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Look w:val="04A0" w:firstRow="1" w:lastRow="0" w:firstColumn="1" w:lastColumn="0" w:noHBand="0" w:noVBand="1"/>
      </w:tblPr>
      <w:tblGrid>
        <w:gridCol w:w="9061"/>
      </w:tblGrid>
      <w:tr w:rsidR="000603DA" w14:paraId="4FBAC59E" w14:textId="77777777" w:rsidTr="000603DA">
        <w:tc>
          <w:tcPr>
            <w:tcW w:w="9061" w:type="dxa"/>
          </w:tcPr>
          <w:p w14:paraId="51E76E16" w14:textId="51EECC19" w:rsidR="000603DA" w:rsidRPr="00FE105A" w:rsidRDefault="000603DA" w:rsidP="000603DA">
            <w:pPr>
              <w:rPr>
                <w:ins w:id="0" w:author="만든 이"/>
                <w:lang w:val="nb-NO"/>
              </w:rPr>
            </w:pPr>
            <w:ins w:id="1" w:author="만든 이">
              <w:r w:rsidRPr="00FE105A">
                <w:rPr>
                  <w:lang w:val="nb-NO"/>
                </w:rPr>
                <w:t xml:space="preserve">Dette dokumentet er den godkjente produktinformasjonen for </w:t>
              </w:r>
              <w:r w:rsidRPr="00FE105A">
                <w:rPr>
                  <w:rFonts w:eastAsia="맑은 고딕"/>
                  <w:lang w:val="nb-NO" w:eastAsia="ko-KR"/>
                </w:rPr>
                <w:t>Avtozma</w:t>
              </w:r>
              <w:r w:rsidRPr="00FE105A">
                <w:rPr>
                  <w:lang w:val="nb-NO"/>
                </w:rPr>
                <w:t xml:space="preserve">. Endringer siden forrige prosedyre som påvirker produktinformasjonen </w:t>
              </w:r>
              <w:r w:rsidRPr="00FE105A">
                <w:rPr>
                  <w:rFonts w:eastAsia="맑은 고딕"/>
                  <w:lang w:val="nb-NO" w:eastAsia="ko-KR"/>
                </w:rPr>
                <w:t>(</w:t>
              </w:r>
              <w:r w:rsidRPr="007833F1">
                <w:rPr>
                  <w:rFonts w:eastAsia="맑은 고딕" w:cs="Times New Roman"/>
                  <w:szCs w:val="28"/>
                  <w:lang w:val="en-GB" w:eastAsia="ko-KR"/>
                </w:rPr>
                <w:t>EMA/VR/0000287521</w:t>
              </w:r>
              <w:r w:rsidRPr="00FE105A">
                <w:rPr>
                  <w:rFonts w:eastAsia="맑은 고딕"/>
                  <w:szCs w:val="28"/>
                  <w:lang w:val="nb-NO" w:eastAsia="ko-KR"/>
                </w:rPr>
                <w:t xml:space="preserve">) </w:t>
              </w:r>
              <w:r w:rsidRPr="00FE105A">
                <w:rPr>
                  <w:lang w:val="nb-NO"/>
                </w:rPr>
                <w:t>er uthevet.</w:t>
              </w:r>
            </w:ins>
          </w:p>
          <w:p w14:paraId="3677231A" w14:textId="77777777" w:rsidR="000603DA" w:rsidRPr="00FE105A" w:rsidRDefault="000603DA" w:rsidP="000603DA">
            <w:pPr>
              <w:rPr>
                <w:ins w:id="2" w:author="만든 이"/>
                <w:lang w:val="nb-NO"/>
              </w:rPr>
            </w:pPr>
          </w:p>
          <w:p w14:paraId="0E28D688" w14:textId="138A5F82" w:rsidR="000603DA" w:rsidRDefault="000603DA">
            <w:pPr>
              <w:pPrChange w:id="3" w:author="만든 이">
                <w:pPr>
                  <w:jc w:val="center"/>
                </w:pPr>
              </w:pPrChange>
            </w:pPr>
            <w:ins w:id="4" w:author="만든 이">
              <w:r w:rsidRPr="00FE105A">
                <w:rPr>
                  <w:lang w:val="nb-NO"/>
                </w:rPr>
                <w:t xml:space="preserve">Mer informasjon finnes på nettstedet til Det europeiske legemiddelkontoret: </w:t>
              </w:r>
              <w:r w:rsidRPr="00FE105A">
                <w:fldChar w:fldCharType="begin"/>
              </w:r>
              <w:r w:rsidRPr="00FE105A">
                <w:instrText>HYPERLINK "https://www.ema.europa.eu/en/medicines/human/EPAR/avtozma"</w:instrText>
              </w:r>
              <w:r w:rsidRPr="00FE105A">
                <w:fldChar w:fldCharType="separate"/>
              </w:r>
              <w:r w:rsidRPr="00FE105A">
                <w:rPr>
                  <w:rStyle w:val="a6"/>
                  <w:noProof/>
                  <w:color w:val="0000FF"/>
                  <w:lang w:val="nb-NO"/>
                </w:rPr>
                <w:t>https://www.ema.europa.eu/en/medicines/human/EPAR/</w:t>
              </w:r>
              <w:r w:rsidRPr="00FE105A">
                <w:rPr>
                  <w:rStyle w:val="a6"/>
                  <w:noProof/>
                  <w:color w:val="0000FF"/>
                  <w:lang w:val="nb-NO" w:eastAsia="ko-KR"/>
                </w:rPr>
                <w:t>avtozma</w:t>
              </w:r>
              <w:r w:rsidRPr="00FE105A">
                <w:fldChar w:fldCharType="end"/>
              </w:r>
            </w:ins>
          </w:p>
        </w:tc>
      </w:tr>
    </w:tbl>
    <w:p w14:paraId="49D75C43" w14:textId="77777777" w:rsidR="00711234" w:rsidRPr="00BD4D94" w:rsidRDefault="00711234" w:rsidP="00641834">
      <w:pPr>
        <w:jc w:val="center"/>
      </w:pPr>
    </w:p>
    <w:p w14:paraId="65FB411E" w14:textId="77777777" w:rsidR="00711234" w:rsidRPr="00A942F6" w:rsidRDefault="00711234" w:rsidP="00641834">
      <w:pPr>
        <w:jc w:val="center"/>
        <w:rPr>
          <w:lang w:val="nb-NO"/>
        </w:rPr>
      </w:pPr>
    </w:p>
    <w:p w14:paraId="72FE0060" w14:textId="77777777" w:rsidR="00711234" w:rsidRPr="00A942F6" w:rsidRDefault="00711234" w:rsidP="00641834">
      <w:pPr>
        <w:jc w:val="center"/>
        <w:rPr>
          <w:lang w:val="nb-NO"/>
        </w:rPr>
      </w:pPr>
    </w:p>
    <w:p w14:paraId="156152F8" w14:textId="77777777" w:rsidR="00711234" w:rsidRPr="00A942F6" w:rsidRDefault="00711234" w:rsidP="00641834">
      <w:pPr>
        <w:jc w:val="center"/>
        <w:rPr>
          <w:lang w:val="nb-NO"/>
        </w:rPr>
      </w:pPr>
    </w:p>
    <w:p w14:paraId="51B8C3BE" w14:textId="77777777" w:rsidR="00711234" w:rsidRPr="00A942F6" w:rsidRDefault="00711234" w:rsidP="00641834">
      <w:pPr>
        <w:jc w:val="center"/>
        <w:rPr>
          <w:lang w:val="nb-NO"/>
        </w:rPr>
      </w:pPr>
    </w:p>
    <w:p w14:paraId="383A2D16" w14:textId="77777777" w:rsidR="00711234" w:rsidRPr="00A942F6" w:rsidRDefault="00711234" w:rsidP="00641834">
      <w:pPr>
        <w:jc w:val="center"/>
        <w:rPr>
          <w:lang w:val="nb-NO"/>
        </w:rPr>
      </w:pPr>
    </w:p>
    <w:p w14:paraId="2AE06F66" w14:textId="77777777" w:rsidR="00711234" w:rsidRPr="00A942F6" w:rsidRDefault="00711234" w:rsidP="00641834">
      <w:pPr>
        <w:jc w:val="center"/>
        <w:rPr>
          <w:lang w:val="nb-NO"/>
        </w:rPr>
      </w:pPr>
    </w:p>
    <w:p w14:paraId="7F1E5DB0" w14:textId="77777777" w:rsidR="00711234" w:rsidRPr="00A942F6" w:rsidRDefault="00711234" w:rsidP="00641834">
      <w:pPr>
        <w:jc w:val="center"/>
        <w:rPr>
          <w:lang w:val="nb-NO"/>
        </w:rPr>
      </w:pPr>
    </w:p>
    <w:p w14:paraId="4AFD2DA3" w14:textId="77777777" w:rsidR="00711234" w:rsidRPr="00A942F6" w:rsidRDefault="00711234" w:rsidP="00641834">
      <w:pPr>
        <w:jc w:val="center"/>
        <w:rPr>
          <w:lang w:val="nb-NO"/>
        </w:rPr>
      </w:pPr>
    </w:p>
    <w:p w14:paraId="6DCC9410" w14:textId="77777777" w:rsidR="00711234" w:rsidRPr="00A942F6" w:rsidRDefault="00711234" w:rsidP="00641834">
      <w:pPr>
        <w:jc w:val="center"/>
        <w:rPr>
          <w:lang w:val="nb-NO"/>
        </w:rPr>
      </w:pPr>
    </w:p>
    <w:p w14:paraId="5C591F73" w14:textId="77777777" w:rsidR="00711234" w:rsidRPr="00A942F6" w:rsidRDefault="00711234" w:rsidP="00641834">
      <w:pPr>
        <w:jc w:val="center"/>
        <w:rPr>
          <w:lang w:val="nb-NO"/>
        </w:rPr>
      </w:pPr>
    </w:p>
    <w:p w14:paraId="62185F82" w14:textId="77777777" w:rsidR="00711234" w:rsidRPr="00A942F6" w:rsidRDefault="00711234" w:rsidP="00641834">
      <w:pPr>
        <w:jc w:val="center"/>
        <w:rPr>
          <w:lang w:val="nb-NO"/>
        </w:rPr>
      </w:pPr>
    </w:p>
    <w:p w14:paraId="5C14EB2C" w14:textId="77777777" w:rsidR="00711234" w:rsidRPr="00A942F6" w:rsidRDefault="00711234" w:rsidP="00641834">
      <w:pPr>
        <w:jc w:val="center"/>
        <w:rPr>
          <w:lang w:val="nb-NO"/>
        </w:rPr>
      </w:pPr>
    </w:p>
    <w:p w14:paraId="298ED4DF" w14:textId="77777777" w:rsidR="00711234" w:rsidRPr="00A942F6" w:rsidRDefault="00711234" w:rsidP="00641834">
      <w:pPr>
        <w:jc w:val="center"/>
        <w:rPr>
          <w:lang w:val="nb-NO"/>
        </w:rPr>
      </w:pPr>
    </w:p>
    <w:p w14:paraId="67893957" w14:textId="77777777" w:rsidR="00711234" w:rsidRPr="00A942F6" w:rsidRDefault="00711234" w:rsidP="00641834">
      <w:pPr>
        <w:jc w:val="center"/>
        <w:rPr>
          <w:lang w:val="nb-NO"/>
        </w:rPr>
      </w:pPr>
    </w:p>
    <w:p w14:paraId="16699FA4" w14:textId="77777777" w:rsidR="00711234" w:rsidRPr="00A942F6" w:rsidRDefault="00711234" w:rsidP="00641834">
      <w:pPr>
        <w:jc w:val="center"/>
        <w:rPr>
          <w:lang w:val="nb-NO"/>
        </w:rPr>
      </w:pPr>
    </w:p>
    <w:p w14:paraId="6D1E12AB" w14:textId="77777777" w:rsidR="00711234" w:rsidRPr="00A942F6" w:rsidRDefault="00711234" w:rsidP="00641834">
      <w:pPr>
        <w:jc w:val="center"/>
        <w:rPr>
          <w:lang w:val="nb-NO"/>
        </w:rPr>
      </w:pPr>
    </w:p>
    <w:p w14:paraId="35BF1DE3" w14:textId="77777777" w:rsidR="00711234" w:rsidRPr="00A942F6" w:rsidRDefault="00711234" w:rsidP="00641834">
      <w:pPr>
        <w:jc w:val="center"/>
        <w:rPr>
          <w:lang w:val="nb-NO"/>
        </w:rPr>
      </w:pPr>
    </w:p>
    <w:p w14:paraId="7FEA595D" w14:textId="77777777" w:rsidR="00711234" w:rsidRPr="00A942F6" w:rsidRDefault="00711234" w:rsidP="00641834">
      <w:pPr>
        <w:jc w:val="center"/>
        <w:rPr>
          <w:lang w:val="nb-NO"/>
        </w:rPr>
      </w:pPr>
    </w:p>
    <w:p w14:paraId="5C734510" w14:textId="77777777" w:rsidR="00711234" w:rsidRPr="00A942F6" w:rsidRDefault="00711234" w:rsidP="00641834">
      <w:pPr>
        <w:jc w:val="center"/>
        <w:rPr>
          <w:lang w:val="nb-NO"/>
        </w:rPr>
      </w:pPr>
    </w:p>
    <w:p w14:paraId="4D2D4F74" w14:textId="77777777" w:rsidR="00711234" w:rsidRPr="00A942F6" w:rsidRDefault="00711234" w:rsidP="00641834">
      <w:pPr>
        <w:jc w:val="center"/>
        <w:rPr>
          <w:lang w:val="nb-NO"/>
        </w:rPr>
      </w:pPr>
    </w:p>
    <w:p w14:paraId="5E4DEA68" w14:textId="77777777" w:rsidR="00711234" w:rsidRPr="00A942F6" w:rsidRDefault="00711234" w:rsidP="00641834">
      <w:pPr>
        <w:jc w:val="center"/>
        <w:rPr>
          <w:lang w:val="nb-NO"/>
        </w:rPr>
      </w:pPr>
    </w:p>
    <w:p w14:paraId="6E268CBE" w14:textId="77777777" w:rsidR="00711234" w:rsidRPr="00A942F6" w:rsidRDefault="00711234" w:rsidP="00641834">
      <w:pPr>
        <w:jc w:val="center"/>
        <w:rPr>
          <w:lang w:val="nb-NO"/>
        </w:rPr>
      </w:pPr>
    </w:p>
    <w:p w14:paraId="57F2439E" w14:textId="77777777" w:rsidR="00711234" w:rsidRPr="00A942F6" w:rsidRDefault="00711234" w:rsidP="00641834">
      <w:pPr>
        <w:pStyle w:val="Boldcenter"/>
        <w:rPr>
          <w:lang w:val="nb-NO"/>
        </w:rPr>
      </w:pPr>
      <w:r w:rsidRPr="00A942F6">
        <w:rPr>
          <w:lang w:val="nb-NO"/>
        </w:rPr>
        <w:t>VEDLEGG I</w:t>
      </w:r>
    </w:p>
    <w:p w14:paraId="0418E223" w14:textId="77777777" w:rsidR="00711234" w:rsidRPr="00A942F6" w:rsidRDefault="00711234" w:rsidP="00641834">
      <w:pPr>
        <w:jc w:val="center"/>
        <w:rPr>
          <w:lang w:val="nb-NO"/>
        </w:rPr>
      </w:pPr>
    </w:p>
    <w:p w14:paraId="49A8151B" w14:textId="77777777" w:rsidR="00711234" w:rsidRPr="00A942F6" w:rsidRDefault="00711234" w:rsidP="00641834">
      <w:pPr>
        <w:pStyle w:val="1"/>
        <w:jc w:val="center"/>
        <w:rPr>
          <w:lang w:val="nb-NO"/>
        </w:rPr>
      </w:pPr>
      <w:r w:rsidRPr="00A942F6">
        <w:rPr>
          <w:lang w:val="nb-NO"/>
        </w:rPr>
        <w:t>PREPARATOMTALE</w:t>
      </w:r>
    </w:p>
    <w:p w14:paraId="503E9615" w14:textId="31C7C0E9" w:rsidR="00711234" w:rsidRPr="00A942F6" w:rsidRDefault="00711234" w:rsidP="00641834">
      <w:pPr>
        <w:rPr>
          <w:b/>
          <w:bCs/>
          <w:lang w:val="nb-NO"/>
        </w:rPr>
      </w:pPr>
      <w:r w:rsidRPr="00A942F6">
        <w:rPr>
          <w:b/>
          <w:bCs/>
          <w:lang w:val="nb-NO"/>
        </w:rPr>
        <w:br w:type="page"/>
      </w:r>
      <w:r w:rsidR="00D94A8B">
        <w:rPr>
          <w:noProof/>
          <w:lang w:eastAsia="ko-KR"/>
        </w:rPr>
        <w:lastRenderedPageBreak/>
        <w:drawing>
          <wp:inline distT="0" distB="0" distL="0" distR="0" wp14:anchorId="3E574D47" wp14:editId="58CC5438">
            <wp:extent cx="243840" cy="170815"/>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 cy="170815"/>
                    </a:xfrm>
                    <a:prstGeom prst="rect">
                      <a:avLst/>
                    </a:prstGeom>
                    <a:noFill/>
                    <a:ln>
                      <a:noFill/>
                    </a:ln>
                  </pic:spPr>
                </pic:pic>
              </a:graphicData>
            </a:graphic>
          </wp:inline>
        </w:drawing>
      </w:r>
      <w:r w:rsidR="00923E68" w:rsidRPr="00A942F6">
        <w:rPr>
          <w:lang w:val="nb-NO"/>
        </w:rPr>
        <w:t>Dette legemidlet er underlagt særlig overvåking for å oppdage ny sikkerhetsinformasjon så raskt som mulig. Helsepersonell oppfordres til å melde enhver mistenkt bivirkning. Se pkt. 4.8 for informasjon om bivirkningsrapportering.</w:t>
      </w:r>
    </w:p>
    <w:p w14:paraId="0C108557" w14:textId="77777777" w:rsidR="00923E68" w:rsidRPr="00A942F6" w:rsidRDefault="00923E68" w:rsidP="00641834">
      <w:pPr>
        <w:rPr>
          <w:b/>
          <w:bCs/>
          <w:lang w:val="nb-NO"/>
        </w:rPr>
      </w:pPr>
    </w:p>
    <w:p w14:paraId="70D808AF" w14:textId="77777777" w:rsidR="00923E68" w:rsidRPr="00A942F6" w:rsidRDefault="00923E68" w:rsidP="00641834">
      <w:pPr>
        <w:rPr>
          <w:b/>
          <w:bCs/>
          <w:lang w:val="nb-NO"/>
        </w:rPr>
      </w:pPr>
    </w:p>
    <w:p w14:paraId="2AD2169D" w14:textId="77777777" w:rsidR="00711234" w:rsidRPr="00A942F6" w:rsidRDefault="00711234" w:rsidP="00641834">
      <w:pPr>
        <w:pStyle w:val="H1"/>
        <w:rPr>
          <w:lang w:val="nb-NO"/>
        </w:rPr>
      </w:pPr>
      <w:r w:rsidRPr="00A942F6">
        <w:rPr>
          <w:lang w:val="nb-NO"/>
        </w:rPr>
        <w:t>1.</w:t>
      </w:r>
      <w:r w:rsidRPr="00A942F6">
        <w:rPr>
          <w:lang w:val="nb-NO"/>
        </w:rPr>
        <w:tab/>
        <w:t>LEGEMIDLETS NAVN</w:t>
      </w:r>
    </w:p>
    <w:p w14:paraId="58BA5462" w14:textId="77777777" w:rsidR="00426296" w:rsidRPr="00A942F6" w:rsidRDefault="00426296" w:rsidP="00641834">
      <w:pPr>
        <w:pStyle w:val="H1"/>
        <w:rPr>
          <w:lang w:val="nb-NO"/>
        </w:rPr>
      </w:pPr>
    </w:p>
    <w:p w14:paraId="7F441B26" w14:textId="73EC16CE" w:rsidR="00711234" w:rsidRPr="00A942F6" w:rsidRDefault="00A942F6" w:rsidP="00641834">
      <w:pPr>
        <w:rPr>
          <w:lang w:val="nb-NO"/>
        </w:rPr>
      </w:pPr>
      <w:r w:rsidRPr="00A942F6">
        <w:rPr>
          <w:lang w:val="nb-NO"/>
        </w:rPr>
        <w:t>Avtozma</w:t>
      </w:r>
      <w:r w:rsidR="00711234" w:rsidRPr="00A942F6">
        <w:rPr>
          <w:lang w:val="nb-NO"/>
        </w:rPr>
        <w:t xml:space="preserve"> 20 mg/ml konsentrat til infusjonsvæske, oppløsning</w:t>
      </w:r>
    </w:p>
    <w:p w14:paraId="72D2820E" w14:textId="77777777" w:rsidR="00711234" w:rsidRPr="00A942F6" w:rsidRDefault="00711234" w:rsidP="00641834">
      <w:pPr>
        <w:rPr>
          <w:lang w:val="nb-NO"/>
        </w:rPr>
      </w:pPr>
    </w:p>
    <w:p w14:paraId="10D439AA" w14:textId="77777777" w:rsidR="00711234" w:rsidRPr="00A942F6" w:rsidRDefault="00711234" w:rsidP="00641834">
      <w:pPr>
        <w:rPr>
          <w:lang w:val="nb-NO"/>
        </w:rPr>
      </w:pPr>
    </w:p>
    <w:p w14:paraId="38B4FBDC" w14:textId="77777777" w:rsidR="00711234" w:rsidRPr="00A942F6" w:rsidRDefault="00711234" w:rsidP="00641834">
      <w:pPr>
        <w:pStyle w:val="H1"/>
        <w:rPr>
          <w:lang w:val="nb-NO"/>
        </w:rPr>
      </w:pPr>
      <w:r w:rsidRPr="00A942F6">
        <w:rPr>
          <w:lang w:val="nb-NO"/>
        </w:rPr>
        <w:t>2.</w:t>
      </w:r>
      <w:r w:rsidRPr="00A942F6">
        <w:rPr>
          <w:lang w:val="nb-NO"/>
        </w:rPr>
        <w:tab/>
        <w:t>KVALITATIV OG KVANTITATIV SAMMENSETNING</w:t>
      </w:r>
    </w:p>
    <w:p w14:paraId="122EFD3E" w14:textId="77777777" w:rsidR="00426296" w:rsidRPr="00A942F6" w:rsidRDefault="00426296" w:rsidP="00641834">
      <w:pPr>
        <w:rPr>
          <w:lang w:val="nb-NO"/>
        </w:rPr>
      </w:pPr>
    </w:p>
    <w:p w14:paraId="2FB5F097" w14:textId="77777777" w:rsidR="00711234" w:rsidRPr="00A942F6" w:rsidRDefault="00711234" w:rsidP="00641834">
      <w:pPr>
        <w:rPr>
          <w:lang w:val="nb-NO"/>
        </w:rPr>
      </w:pPr>
      <w:r w:rsidRPr="00A942F6">
        <w:rPr>
          <w:lang w:val="nb-NO"/>
        </w:rPr>
        <w:t>Hver ml konsentrat inneholder 20 mg tocilizumab*.</w:t>
      </w:r>
    </w:p>
    <w:p w14:paraId="71DBAC1E" w14:textId="77777777" w:rsidR="00711234" w:rsidRPr="00A942F6" w:rsidRDefault="00711234" w:rsidP="00641834">
      <w:pPr>
        <w:rPr>
          <w:lang w:val="nb-NO"/>
        </w:rPr>
      </w:pPr>
    </w:p>
    <w:p w14:paraId="1366DDE2" w14:textId="77777777" w:rsidR="00711234" w:rsidRPr="00A942F6" w:rsidRDefault="00711234" w:rsidP="00641834">
      <w:pPr>
        <w:rPr>
          <w:lang w:val="nb-NO"/>
        </w:rPr>
      </w:pPr>
      <w:r w:rsidRPr="00A942F6">
        <w:rPr>
          <w:lang w:val="nb-NO"/>
        </w:rPr>
        <w:t>Hvert hetteglass inneholder 80 mg tocilizumab* i 4 ml (20 mg/ml). Hvert hetteglass inneholder 200</w:t>
      </w:r>
      <w:r w:rsidR="00240A54" w:rsidRPr="00A942F6">
        <w:rPr>
          <w:lang w:val="nb-NO"/>
        </w:rPr>
        <w:t> </w:t>
      </w:r>
      <w:r w:rsidRPr="00A942F6">
        <w:rPr>
          <w:lang w:val="nb-NO"/>
        </w:rPr>
        <w:t>mg tocilizumab* i 10 ml (20 mg/ml). Hvert hetteglass inneholder 400 mg tocilizumab* i 20 ml (20 mg/ml).</w:t>
      </w:r>
    </w:p>
    <w:p w14:paraId="6C5AD8A0" w14:textId="77777777" w:rsidR="00711234" w:rsidRPr="00A942F6" w:rsidRDefault="00711234" w:rsidP="00641834">
      <w:pPr>
        <w:rPr>
          <w:lang w:val="nb-NO"/>
        </w:rPr>
      </w:pPr>
    </w:p>
    <w:p w14:paraId="743574CC" w14:textId="77777777" w:rsidR="00711234" w:rsidRPr="00A942F6" w:rsidRDefault="00711234" w:rsidP="00641834">
      <w:pPr>
        <w:rPr>
          <w:lang w:val="nb-NO"/>
        </w:rPr>
      </w:pPr>
      <w:r w:rsidRPr="00A942F6">
        <w:rPr>
          <w:lang w:val="nb-NO"/>
        </w:rPr>
        <w:t>*humanisert IgG1 monoklonalt antistoff mot human interleukin-6 (IL-6)-reseptor produsert i kinesiske hamsterovarie (CHO)-celler ved rekombinant DNA-teknologi.</w:t>
      </w:r>
    </w:p>
    <w:p w14:paraId="2BE3EEC9" w14:textId="77777777" w:rsidR="00711234" w:rsidRPr="00A942F6" w:rsidRDefault="00711234" w:rsidP="00641834">
      <w:pPr>
        <w:rPr>
          <w:lang w:val="nb-NO"/>
        </w:rPr>
      </w:pPr>
    </w:p>
    <w:p w14:paraId="3505114E" w14:textId="77777777" w:rsidR="00CD6EF2" w:rsidRPr="002419C8" w:rsidRDefault="00CD6EF2" w:rsidP="00CD6EF2">
      <w:pPr>
        <w:rPr>
          <w:i/>
          <w:iCs/>
          <w:lang w:val="nb-NO"/>
        </w:rPr>
      </w:pPr>
      <w:r w:rsidRPr="009B40A5">
        <w:rPr>
          <w:u w:val="single"/>
          <w:lang w:val="nb-NO"/>
        </w:rPr>
        <w:t xml:space="preserve">Hjelpestoffer med kjente effekter: </w:t>
      </w:r>
      <w:r w:rsidRPr="009B40A5">
        <w:rPr>
          <w:u w:val="single"/>
          <w:lang w:val="nb-NO"/>
        </w:rPr>
        <w:br/>
      </w:r>
      <w:r w:rsidRPr="002419C8">
        <w:rPr>
          <w:i/>
          <w:iCs/>
          <w:lang w:val="nb-NO"/>
        </w:rPr>
        <w:t>Polysorbat</w:t>
      </w:r>
    </w:p>
    <w:p w14:paraId="1E75BBF9" w14:textId="5311D37F" w:rsidR="00CD6EF2" w:rsidRPr="00BD4D94" w:rsidRDefault="00CD6EF2" w:rsidP="00CD6EF2">
      <w:pPr>
        <w:rPr>
          <w:rFonts w:eastAsia="맑은 고딕"/>
          <w:lang w:val="nb-NO" w:eastAsia="ko-KR"/>
        </w:rPr>
      </w:pPr>
      <w:r>
        <w:rPr>
          <w:lang w:val="nb-NO"/>
        </w:rPr>
        <w:t>Hvert hetteglass med 80 mg inneholder 2,0 mg polysorbat</w:t>
      </w:r>
      <w:r w:rsidR="00F44CBF">
        <w:rPr>
          <w:rFonts w:eastAsia="맑은 고딕" w:hint="eastAsia"/>
          <w:lang w:val="nb-NO" w:eastAsia="ko-KR"/>
        </w:rPr>
        <w:t xml:space="preserve"> 80</w:t>
      </w:r>
      <w:r w:rsidR="009A4C7C">
        <w:rPr>
          <w:rFonts w:eastAsia="맑은 고딕" w:hint="eastAsia"/>
          <w:lang w:val="nb-NO" w:eastAsia="ko-KR"/>
        </w:rPr>
        <w:t>.</w:t>
      </w:r>
    </w:p>
    <w:p w14:paraId="25B902BF" w14:textId="248E639D" w:rsidR="00CD6EF2" w:rsidRPr="00BD4D94" w:rsidRDefault="00CD6EF2" w:rsidP="00CD6EF2">
      <w:pPr>
        <w:rPr>
          <w:rFonts w:eastAsia="맑은 고딕"/>
          <w:lang w:val="nb-NO" w:eastAsia="ko-KR"/>
        </w:rPr>
      </w:pPr>
      <w:r>
        <w:rPr>
          <w:lang w:val="nb-NO"/>
        </w:rPr>
        <w:t>Hvert hetteglass med 200 mg inneholder 5,0 mg polysorbat</w:t>
      </w:r>
      <w:r w:rsidR="00F44CBF">
        <w:rPr>
          <w:rFonts w:eastAsia="맑은 고딕" w:hint="eastAsia"/>
          <w:lang w:val="nb-NO" w:eastAsia="ko-KR"/>
        </w:rPr>
        <w:t xml:space="preserve"> 80</w:t>
      </w:r>
      <w:r w:rsidR="009A4C7C">
        <w:rPr>
          <w:rFonts w:eastAsia="맑은 고딕" w:hint="eastAsia"/>
          <w:lang w:val="nb-NO" w:eastAsia="ko-KR"/>
        </w:rPr>
        <w:t>.</w:t>
      </w:r>
    </w:p>
    <w:p w14:paraId="7AFD6AFB" w14:textId="688AAE52" w:rsidR="00CD6EF2" w:rsidRPr="00BD4D94" w:rsidRDefault="00CD6EF2" w:rsidP="00CD6EF2">
      <w:pPr>
        <w:rPr>
          <w:rFonts w:eastAsia="맑은 고딕"/>
          <w:lang w:val="nb-NO" w:eastAsia="ko-KR"/>
        </w:rPr>
      </w:pPr>
      <w:r>
        <w:rPr>
          <w:lang w:val="nb-NO"/>
        </w:rPr>
        <w:t>Hvert hetteglass med 400 mg inneholder 10,0 mg polysorbat</w:t>
      </w:r>
      <w:r w:rsidR="00F44CBF">
        <w:rPr>
          <w:rFonts w:eastAsia="맑은 고딕" w:hint="eastAsia"/>
          <w:lang w:val="nb-NO" w:eastAsia="ko-KR"/>
        </w:rPr>
        <w:t xml:space="preserve"> 80</w:t>
      </w:r>
      <w:r w:rsidR="009A4C7C">
        <w:rPr>
          <w:rFonts w:eastAsia="맑은 고딕" w:hint="eastAsia"/>
          <w:lang w:val="nb-NO" w:eastAsia="ko-KR"/>
        </w:rPr>
        <w:t>.</w:t>
      </w:r>
    </w:p>
    <w:p w14:paraId="3D81A95F" w14:textId="77777777" w:rsidR="00CD6EF2" w:rsidRDefault="00CD6EF2" w:rsidP="00641834">
      <w:pPr>
        <w:rPr>
          <w:lang w:val="nb-NO"/>
        </w:rPr>
      </w:pPr>
    </w:p>
    <w:p w14:paraId="624C718E" w14:textId="6BE2E879" w:rsidR="00711234" w:rsidRPr="00A942F6" w:rsidRDefault="00711234" w:rsidP="00641834">
      <w:pPr>
        <w:rPr>
          <w:lang w:val="nb-NO"/>
        </w:rPr>
      </w:pPr>
      <w:r w:rsidRPr="00A942F6">
        <w:rPr>
          <w:lang w:val="nb-NO"/>
        </w:rPr>
        <w:t>For fullstendig liste over hjelpestoffer se pkt. 6.1.</w:t>
      </w:r>
    </w:p>
    <w:p w14:paraId="5DDF672C" w14:textId="77777777" w:rsidR="00CD6EF2" w:rsidRPr="00A942F6" w:rsidRDefault="00CD6EF2" w:rsidP="00641834">
      <w:pPr>
        <w:rPr>
          <w:lang w:val="nb-NO"/>
        </w:rPr>
      </w:pPr>
    </w:p>
    <w:p w14:paraId="75BAE7AB" w14:textId="77777777" w:rsidR="00711234" w:rsidRPr="00A942F6" w:rsidRDefault="00711234" w:rsidP="00641834">
      <w:pPr>
        <w:rPr>
          <w:lang w:val="nb-NO"/>
        </w:rPr>
      </w:pPr>
    </w:p>
    <w:p w14:paraId="1E568D33" w14:textId="77777777" w:rsidR="00711234" w:rsidRPr="00A942F6" w:rsidRDefault="00711234" w:rsidP="00641834">
      <w:pPr>
        <w:pStyle w:val="H1"/>
        <w:rPr>
          <w:lang w:val="nb-NO"/>
        </w:rPr>
      </w:pPr>
      <w:r w:rsidRPr="00A942F6">
        <w:rPr>
          <w:lang w:val="nb-NO"/>
        </w:rPr>
        <w:t>3.</w:t>
      </w:r>
      <w:r w:rsidRPr="00A942F6">
        <w:rPr>
          <w:lang w:val="nb-NO"/>
        </w:rPr>
        <w:tab/>
        <w:t>LEGEMIDDELFORM</w:t>
      </w:r>
    </w:p>
    <w:p w14:paraId="79739D96" w14:textId="77777777" w:rsidR="00426296" w:rsidRPr="00A942F6" w:rsidRDefault="00426296" w:rsidP="00641834">
      <w:pPr>
        <w:rPr>
          <w:lang w:val="nb-NO"/>
        </w:rPr>
      </w:pPr>
    </w:p>
    <w:p w14:paraId="38A53A6D" w14:textId="2A51F0EA" w:rsidR="00711234" w:rsidRPr="00A942F6" w:rsidRDefault="00711234" w:rsidP="00641834">
      <w:pPr>
        <w:rPr>
          <w:lang w:val="nb-NO"/>
        </w:rPr>
      </w:pPr>
      <w:r w:rsidRPr="00A942F6">
        <w:rPr>
          <w:lang w:val="nb-NO"/>
        </w:rPr>
        <w:t>Konsentrat til infusjonsvæske, o</w:t>
      </w:r>
      <w:r w:rsidR="00366C66" w:rsidRPr="00A942F6">
        <w:rPr>
          <w:lang w:val="nb-NO"/>
        </w:rPr>
        <w:t>ppløsning (sterilt konsentrat).</w:t>
      </w:r>
      <w:r w:rsidR="00A942F6">
        <w:rPr>
          <w:lang w:val="nb-NO"/>
        </w:rPr>
        <w:t xml:space="preserve"> </w:t>
      </w:r>
      <w:r w:rsidRPr="00A942F6">
        <w:rPr>
          <w:lang w:val="nb-NO"/>
        </w:rPr>
        <w:t>Klar til</w:t>
      </w:r>
      <w:r w:rsidR="00923E68" w:rsidRPr="00A942F6">
        <w:rPr>
          <w:lang w:val="nb-NO"/>
        </w:rPr>
        <w:t xml:space="preserve"> l</w:t>
      </w:r>
      <w:r w:rsidR="005A0DAF" w:rsidRPr="00A942F6">
        <w:rPr>
          <w:lang w:val="nb-NO"/>
        </w:rPr>
        <w:t>e</w:t>
      </w:r>
      <w:r w:rsidR="00923E68" w:rsidRPr="00A942F6">
        <w:rPr>
          <w:lang w:val="nb-NO"/>
        </w:rPr>
        <w:t>tt</w:t>
      </w:r>
      <w:r w:rsidRPr="00A942F6">
        <w:rPr>
          <w:lang w:val="nb-NO"/>
        </w:rPr>
        <w:t xml:space="preserve"> opaliserende, fargeløs til lys gul oppløsning.</w:t>
      </w:r>
    </w:p>
    <w:p w14:paraId="35BF414A" w14:textId="77777777" w:rsidR="00711234" w:rsidRPr="00A942F6" w:rsidRDefault="00711234" w:rsidP="00641834">
      <w:pPr>
        <w:rPr>
          <w:lang w:val="nb-NO"/>
        </w:rPr>
      </w:pPr>
    </w:p>
    <w:p w14:paraId="0538779F" w14:textId="77777777" w:rsidR="00426296" w:rsidRPr="00A942F6" w:rsidRDefault="00426296" w:rsidP="00641834">
      <w:pPr>
        <w:rPr>
          <w:lang w:val="nb-NO"/>
        </w:rPr>
      </w:pPr>
    </w:p>
    <w:p w14:paraId="6251CA07" w14:textId="77777777" w:rsidR="00711234" w:rsidRPr="00A942F6" w:rsidRDefault="00711234" w:rsidP="00641834">
      <w:pPr>
        <w:pStyle w:val="H1"/>
        <w:rPr>
          <w:lang w:val="nb-NO"/>
        </w:rPr>
      </w:pPr>
      <w:r w:rsidRPr="00A942F6">
        <w:rPr>
          <w:lang w:val="nb-NO"/>
        </w:rPr>
        <w:t>4.</w:t>
      </w:r>
      <w:r w:rsidRPr="00A942F6">
        <w:rPr>
          <w:lang w:val="nb-NO"/>
        </w:rPr>
        <w:tab/>
        <w:t>KLINISKE OPPLYSNINGER</w:t>
      </w:r>
    </w:p>
    <w:p w14:paraId="76C06261" w14:textId="77777777" w:rsidR="00711234" w:rsidRPr="00A942F6" w:rsidRDefault="00711234" w:rsidP="00641834">
      <w:pPr>
        <w:rPr>
          <w:lang w:val="nb-NO"/>
        </w:rPr>
      </w:pPr>
    </w:p>
    <w:p w14:paraId="4D8B1C66" w14:textId="77777777" w:rsidR="00711234" w:rsidRPr="00A942F6" w:rsidRDefault="00711234" w:rsidP="00641834">
      <w:pPr>
        <w:pStyle w:val="H2"/>
        <w:rPr>
          <w:lang w:val="nb-NO"/>
        </w:rPr>
      </w:pPr>
      <w:r w:rsidRPr="00A942F6">
        <w:rPr>
          <w:lang w:val="nb-NO"/>
        </w:rPr>
        <w:t>4.1</w:t>
      </w:r>
      <w:r w:rsidRPr="00A942F6">
        <w:rPr>
          <w:lang w:val="nb-NO"/>
        </w:rPr>
        <w:tab/>
        <w:t>Indikasjoner</w:t>
      </w:r>
    </w:p>
    <w:p w14:paraId="6CCD43F4" w14:textId="77777777" w:rsidR="00426296" w:rsidRDefault="00426296" w:rsidP="00641834">
      <w:pPr>
        <w:pStyle w:val="H2"/>
        <w:rPr>
          <w:rFonts w:eastAsia="맑은 고딕"/>
          <w:lang w:val="nb-NO" w:eastAsia="ko-KR"/>
        </w:rPr>
      </w:pPr>
    </w:p>
    <w:p w14:paraId="3C8B3391" w14:textId="2351BD5D" w:rsidR="00F44CBF" w:rsidRPr="00BD4D94" w:rsidRDefault="00F44CBF" w:rsidP="00641834">
      <w:pPr>
        <w:pStyle w:val="H2"/>
        <w:rPr>
          <w:rFonts w:eastAsia="맑은 고딕"/>
          <w:b w:val="0"/>
          <w:bCs/>
          <w:u w:val="single"/>
          <w:lang w:val="nb-NO" w:eastAsia="ko-KR"/>
        </w:rPr>
      </w:pPr>
      <w:r w:rsidRPr="00BD4D94">
        <w:rPr>
          <w:rFonts w:eastAsia="맑은 고딕"/>
          <w:b w:val="0"/>
          <w:bCs/>
          <w:u w:val="single"/>
          <w:lang w:val="nb-NO" w:eastAsia="ko-KR"/>
        </w:rPr>
        <w:t>Revmatoid artritt (RA)</w:t>
      </w:r>
    </w:p>
    <w:p w14:paraId="19B4CBBF" w14:textId="2494032C" w:rsidR="00711234" w:rsidRPr="00A942F6" w:rsidRDefault="00916746" w:rsidP="00641834">
      <w:pPr>
        <w:rPr>
          <w:lang w:val="nb-NO"/>
        </w:rPr>
      </w:pPr>
      <w:r w:rsidRPr="00A942F6">
        <w:rPr>
          <w:lang w:val="nb-NO"/>
        </w:rPr>
        <w:t>Avtozma</w:t>
      </w:r>
      <w:r w:rsidR="00711234" w:rsidRPr="00A942F6">
        <w:rPr>
          <w:lang w:val="nb-NO"/>
        </w:rPr>
        <w:t>, i kombinasjon med metotreksat, er indisert til:</w:t>
      </w:r>
    </w:p>
    <w:p w14:paraId="47F92BA3" w14:textId="77777777" w:rsidR="00711234" w:rsidRPr="00A942F6" w:rsidRDefault="00711234" w:rsidP="00641834">
      <w:pPr>
        <w:rPr>
          <w:lang w:val="nb-NO"/>
        </w:rPr>
      </w:pPr>
    </w:p>
    <w:p w14:paraId="3D0BF078" w14:textId="77777777" w:rsidR="00711234" w:rsidRPr="00A942F6" w:rsidRDefault="00711234" w:rsidP="00641834">
      <w:pPr>
        <w:pStyle w:val="Bullet1cm"/>
        <w:rPr>
          <w:lang w:val="nb-NO"/>
        </w:rPr>
      </w:pPr>
      <w:r w:rsidRPr="00A942F6">
        <w:rPr>
          <w:lang w:val="nb-NO"/>
        </w:rPr>
        <w:t>behandling av alvorlig, aktiv og progressiv revmatoid artritt (RA) hos voksne som ikke tidligere er behandlet med metotreksat.</w:t>
      </w:r>
    </w:p>
    <w:p w14:paraId="0E1506C9" w14:textId="77777777" w:rsidR="00711234" w:rsidRPr="00A942F6" w:rsidRDefault="00711234" w:rsidP="00641834">
      <w:pPr>
        <w:pStyle w:val="Bullet1cm"/>
        <w:rPr>
          <w:lang w:val="nb-NO"/>
        </w:rPr>
      </w:pPr>
      <w:r w:rsidRPr="00A942F6">
        <w:rPr>
          <w:lang w:val="nb-NO"/>
        </w:rPr>
        <w:t>behandling av moderat til alvorlig, aktiv RA hos voksne pasienter som enten ikke har respondert tilfredsstillende på eller som har vist intoleranse for tidligere terapi med ett eller flere sykdomsmodifiserende antirevmatiske legemidler (DMARD) eller tumornekrosefaktor (TNF)- antagonister.</w:t>
      </w:r>
    </w:p>
    <w:p w14:paraId="57B202AB" w14:textId="77777777" w:rsidR="00366C66" w:rsidRPr="00A942F6" w:rsidRDefault="00366C66" w:rsidP="00641834">
      <w:pPr>
        <w:rPr>
          <w:lang w:val="nb-NO"/>
        </w:rPr>
      </w:pPr>
    </w:p>
    <w:p w14:paraId="631D360E" w14:textId="5D4A715F" w:rsidR="00711234" w:rsidRPr="00A942F6" w:rsidRDefault="00711234" w:rsidP="00641834">
      <w:pPr>
        <w:rPr>
          <w:lang w:val="nb-NO"/>
        </w:rPr>
      </w:pPr>
      <w:r w:rsidRPr="00A942F6">
        <w:rPr>
          <w:lang w:val="nb-NO"/>
        </w:rPr>
        <w:t xml:space="preserve">Hos disse pasientene kan </w:t>
      </w:r>
      <w:r w:rsidR="00923E68" w:rsidRPr="00A942F6">
        <w:rPr>
          <w:lang w:val="nb-NO"/>
        </w:rPr>
        <w:t>Avtozma</w:t>
      </w:r>
      <w:r w:rsidRPr="00A942F6">
        <w:rPr>
          <w:lang w:val="nb-NO"/>
        </w:rPr>
        <w:t xml:space="preserve"> gis som monoterapi ved intoleranse overfor metotreksat eller hvor fortsatt behandling med metotreksat ikke anses som egnet.</w:t>
      </w:r>
    </w:p>
    <w:p w14:paraId="72AFB26A" w14:textId="0BEC20CF" w:rsidR="00711234" w:rsidRPr="00A942F6" w:rsidRDefault="00711234" w:rsidP="00641834">
      <w:pPr>
        <w:rPr>
          <w:lang w:val="nb-NO"/>
        </w:rPr>
      </w:pPr>
      <w:r w:rsidRPr="00A942F6">
        <w:rPr>
          <w:lang w:val="nb-NO"/>
        </w:rPr>
        <w:t xml:space="preserve">Målt med røntgen, har </w:t>
      </w:r>
      <w:r w:rsidR="00923E68" w:rsidRPr="00A942F6">
        <w:rPr>
          <w:lang w:val="nb-NO"/>
        </w:rPr>
        <w:t>Avtozma</w:t>
      </w:r>
      <w:r w:rsidRPr="00A942F6">
        <w:rPr>
          <w:lang w:val="nb-NO"/>
        </w:rPr>
        <w:t xml:space="preserve"> vist å redusere raten av leddskadeprogresjon og å forbedre fysisk funksjon når det er gitt i kombinasjon med metotreksat.</w:t>
      </w:r>
    </w:p>
    <w:p w14:paraId="595C8BF6" w14:textId="77777777" w:rsidR="00366C66" w:rsidRDefault="00366C66" w:rsidP="00641834">
      <w:pPr>
        <w:rPr>
          <w:rFonts w:eastAsia="맑은 고딕"/>
          <w:lang w:val="nb-NO" w:eastAsia="ko-KR"/>
        </w:rPr>
      </w:pPr>
    </w:p>
    <w:p w14:paraId="34988852" w14:textId="3962C699" w:rsidR="00F44CBF" w:rsidRPr="00BD4D94" w:rsidRDefault="00F44CBF" w:rsidP="00641834">
      <w:pPr>
        <w:rPr>
          <w:rFonts w:eastAsia="맑은 고딕"/>
          <w:u w:val="single"/>
          <w:lang w:val="nb-NO" w:eastAsia="ko-KR"/>
        </w:rPr>
      </w:pPr>
      <w:r w:rsidRPr="00BD4D94">
        <w:rPr>
          <w:rFonts w:eastAsia="맑은 고딕"/>
          <w:u w:val="single"/>
          <w:lang w:val="nb-NO" w:eastAsia="ko-KR"/>
        </w:rPr>
        <w:t>Koronavirussykdom 2019 (covid-19)</w:t>
      </w:r>
    </w:p>
    <w:p w14:paraId="4E723528" w14:textId="7CB349C3" w:rsidR="00711234" w:rsidRPr="00A942F6" w:rsidRDefault="00923E68" w:rsidP="00641834">
      <w:pPr>
        <w:rPr>
          <w:lang w:val="nb-NO"/>
        </w:rPr>
      </w:pPr>
      <w:r w:rsidRPr="00A942F6">
        <w:rPr>
          <w:lang w:val="nb-NO"/>
        </w:rPr>
        <w:lastRenderedPageBreak/>
        <w:t>Avtozma</w:t>
      </w:r>
      <w:r w:rsidR="00711234" w:rsidRPr="00A942F6">
        <w:rPr>
          <w:lang w:val="nb-NO"/>
        </w:rPr>
        <w:t xml:space="preserve"> er indisert til behandling av koronavirussykdom 2019 (covid-19) hos voksne som får systemiske kortikosteroider og trenger supplerende oksygen eller mekanisk ventilasjon.</w:t>
      </w:r>
    </w:p>
    <w:p w14:paraId="0E6E22BD" w14:textId="77777777" w:rsidR="00366C66" w:rsidRDefault="00366C66" w:rsidP="00641834">
      <w:pPr>
        <w:rPr>
          <w:rFonts w:eastAsia="맑은 고딕"/>
          <w:lang w:val="nb-NO" w:eastAsia="ko-KR"/>
        </w:rPr>
      </w:pPr>
    </w:p>
    <w:p w14:paraId="162D8AD5" w14:textId="653B1CE4" w:rsidR="00F44CBF" w:rsidRPr="00BD4D94" w:rsidRDefault="00F44CBF" w:rsidP="00641834">
      <w:pPr>
        <w:rPr>
          <w:rFonts w:eastAsia="맑은 고딕"/>
          <w:u w:val="single"/>
          <w:lang w:val="nb-NO" w:eastAsia="ko-KR"/>
        </w:rPr>
      </w:pPr>
      <w:r w:rsidRPr="00BD4D94">
        <w:rPr>
          <w:rFonts w:eastAsia="맑은 고딕"/>
          <w:u w:val="single"/>
          <w:lang w:val="nb-NO" w:eastAsia="ko-KR"/>
        </w:rPr>
        <w:t>Systemisk juvenil idiopatisk artritt (sJIA)</w:t>
      </w:r>
    </w:p>
    <w:p w14:paraId="32377305" w14:textId="78739589" w:rsidR="00711234" w:rsidRPr="00A942F6" w:rsidRDefault="00923E68" w:rsidP="00641834">
      <w:pPr>
        <w:rPr>
          <w:lang w:val="nb-NO"/>
        </w:rPr>
      </w:pPr>
      <w:r w:rsidRPr="00A942F6">
        <w:rPr>
          <w:lang w:val="nb-NO"/>
        </w:rPr>
        <w:t>Avtozma</w:t>
      </w:r>
      <w:r w:rsidR="00711234" w:rsidRPr="00A942F6">
        <w:rPr>
          <w:lang w:val="nb-NO"/>
        </w:rPr>
        <w:t xml:space="preserve"> er indisert til behandling av aktiv systemisk juvenil idiopatisk artritt (sJIA) hos pasienter i alderen 2 år og eldre, som ikke har respondert adekvat på tidligere behandling med NSAIDs og systemiske kortikosteroider. </w:t>
      </w:r>
      <w:r w:rsidRPr="00A942F6">
        <w:rPr>
          <w:lang w:val="nb-NO"/>
        </w:rPr>
        <w:t>Avtozma</w:t>
      </w:r>
      <w:r w:rsidR="00711234" w:rsidRPr="00A942F6">
        <w:rPr>
          <w:lang w:val="nb-NO"/>
        </w:rPr>
        <w:t xml:space="preserve"> kan brukes som monoterapi (ved intoleranse overfor metotreksat eller når behandling med metotreksat ikke er egnet) eller i kombinasjon med metotreksat.</w:t>
      </w:r>
    </w:p>
    <w:p w14:paraId="378A3B18" w14:textId="77777777" w:rsidR="00F44CBF" w:rsidRDefault="00F44CBF" w:rsidP="00641834">
      <w:pPr>
        <w:rPr>
          <w:rFonts w:eastAsia="맑은 고딕"/>
          <w:lang w:val="nb-NO" w:eastAsia="ko-KR"/>
        </w:rPr>
      </w:pPr>
    </w:p>
    <w:p w14:paraId="0AF20D55" w14:textId="246BDFE3" w:rsidR="00F44CBF" w:rsidRPr="00BD4D94" w:rsidRDefault="00F44CBF" w:rsidP="00641834">
      <w:pPr>
        <w:rPr>
          <w:rFonts w:eastAsia="맑은 고딕"/>
          <w:u w:val="single"/>
          <w:lang w:val="nb-NO" w:eastAsia="ko-KR"/>
        </w:rPr>
      </w:pPr>
      <w:r w:rsidRPr="00BD4D94">
        <w:rPr>
          <w:rFonts w:eastAsia="맑은 고딕"/>
          <w:u w:val="single"/>
          <w:lang w:val="nb-NO" w:eastAsia="ko-KR"/>
        </w:rPr>
        <w:t>Polyartikulær juvenil idiopatisk artritt (pJIA)</w:t>
      </w:r>
    </w:p>
    <w:p w14:paraId="14444FCD" w14:textId="3B4CC36D" w:rsidR="00711234" w:rsidRPr="00A942F6" w:rsidRDefault="00923E68" w:rsidP="00641834">
      <w:pPr>
        <w:rPr>
          <w:lang w:val="nb-NO"/>
        </w:rPr>
      </w:pPr>
      <w:r w:rsidRPr="00A942F6">
        <w:rPr>
          <w:lang w:val="nb-NO"/>
        </w:rPr>
        <w:t>Avtozma</w:t>
      </w:r>
      <w:r w:rsidR="00711234" w:rsidRPr="00A942F6">
        <w:rPr>
          <w:lang w:val="nb-NO"/>
        </w:rPr>
        <w:t xml:space="preserve"> i kombinasjon med metotreksat er indisert til behandling av polyartikulær juvenil idiopatisk artritt (pJIA; revmatoid faktor positiv eller negativ og utvidet oligoartritt) hos pasienter i alderen 2 år og eldre, som ikke har respondert adekvat på tidligere behandling med metotreksat.</w:t>
      </w:r>
      <w:r w:rsidR="00366C66" w:rsidRPr="00A942F6">
        <w:rPr>
          <w:lang w:val="nb-NO"/>
        </w:rPr>
        <w:t xml:space="preserve"> </w:t>
      </w:r>
      <w:r w:rsidRPr="00A942F6">
        <w:rPr>
          <w:lang w:val="nb-NO"/>
        </w:rPr>
        <w:t>Avtozma</w:t>
      </w:r>
      <w:r w:rsidR="00711234" w:rsidRPr="00A942F6">
        <w:rPr>
          <w:lang w:val="nb-NO"/>
        </w:rPr>
        <w:t xml:space="preserve"> kan gis som monoterapi i tilfeller ved intoleranse overfor metotreksat eller når videre bahandling med metotreksat ikke er egnet.</w:t>
      </w:r>
    </w:p>
    <w:p w14:paraId="1BB61BCE" w14:textId="77777777" w:rsidR="00366C66" w:rsidRDefault="00366C66" w:rsidP="00641834">
      <w:pPr>
        <w:rPr>
          <w:rFonts w:eastAsia="맑은 고딕"/>
          <w:lang w:val="nb-NO" w:eastAsia="ko-KR"/>
        </w:rPr>
      </w:pPr>
    </w:p>
    <w:p w14:paraId="68425043" w14:textId="59021C84" w:rsidR="00F44CBF" w:rsidRPr="00BD4D94" w:rsidRDefault="00F44CBF" w:rsidP="00641834">
      <w:pPr>
        <w:rPr>
          <w:rFonts w:eastAsia="맑은 고딕"/>
          <w:u w:val="single"/>
          <w:lang w:val="nb-NO" w:eastAsia="ko-KR"/>
        </w:rPr>
      </w:pPr>
      <w:r w:rsidRPr="00BD4D94">
        <w:rPr>
          <w:rFonts w:eastAsia="맑은 고딕"/>
          <w:u w:val="single"/>
          <w:lang w:val="nb-NO" w:eastAsia="ko-KR"/>
        </w:rPr>
        <w:t>Cytokinfrigjøringssyndrom (CRS)</w:t>
      </w:r>
    </w:p>
    <w:p w14:paraId="34556762" w14:textId="72EE26B9" w:rsidR="00711234" w:rsidRPr="00A942F6" w:rsidRDefault="00923E68" w:rsidP="00641834">
      <w:pPr>
        <w:rPr>
          <w:lang w:val="nb-NO"/>
        </w:rPr>
      </w:pPr>
      <w:r w:rsidRPr="00A942F6">
        <w:rPr>
          <w:lang w:val="nb-NO"/>
        </w:rPr>
        <w:t>Avtozma</w:t>
      </w:r>
      <w:r w:rsidR="00711234" w:rsidRPr="00A942F6">
        <w:rPr>
          <w:lang w:val="nb-NO"/>
        </w:rPr>
        <w:t xml:space="preserve"> er indisert til behandling av kimær antigenreseptor (CAR) T-celleindusert alvorlig eller livstruende cytokinfrigjøringssyndrom (CRS) hos voksne og barn i alderen 2 år og eldre.</w:t>
      </w:r>
    </w:p>
    <w:p w14:paraId="4B6BE142" w14:textId="77777777" w:rsidR="00711234" w:rsidRPr="00A942F6" w:rsidRDefault="00711234" w:rsidP="00641834">
      <w:pPr>
        <w:rPr>
          <w:lang w:val="nb-NO"/>
        </w:rPr>
      </w:pPr>
    </w:p>
    <w:p w14:paraId="04AD85D6" w14:textId="77777777" w:rsidR="00711234" w:rsidRPr="00A942F6" w:rsidRDefault="00711234" w:rsidP="00641834">
      <w:pPr>
        <w:pStyle w:val="H2"/>
        <w:rPr>
          <w:lang w:val="nb-NO"/>
        </w:rPr>
      </w:pPr>
      <w:r w:rsidRPr="00A942F6">
        <w:rPr>
          <w:lang w:val="nb-NO"/>
        </w:rPr>
        <w:t>4.2</w:t>
      </w:r>
      <w:r w:rsidRPr="00A942F6">
        <w:rPr>
          <w:lang w:val="nb-NO"/>
        </w:rPr>
        <w:tab/>
        <w:t>Dosering og administrasjonsmåte</w:t>
      </w:r>
    </w:p>
    <w:p w14:paraId="0FF40297" w14:textId="77777777" w:rsidR="00426296" w:rsidRPr="00A942F6" w:rsidRDefault="00426296" w:rsidP="00641834">
      <w:pPr>
        <w:rPr>
          <w:lang w:val="nb-NO"/>
        </w:rPr>
      </w:pPr>
    </w:p>
    <w:p w14:paraId="1F1415E7" w14:textId="77777777" w:rsidR="00C83FB7" w:rsidRPr="00A942F6" w:rsidRDefault="00711234" w:rsidP="00C83FB7">
      <w:pPr>
        <w:rPr>
          <w:lang w:val="nb-NO"/>
        </w:rPr>
      </w:pPr>
      <w:r w:rsidRPr="00A942F6">
        <w:rPr>
          <w:lang w:val="nb-NO"/>
        </w:rPr>
        <w:t xml:space="preserve">Behandlingen skal initieres av lege med erfaring i diagnostikk og behandling av RA, covid-19, sJIA pJIA eller CRS. </w:t>
      </w:r>
    </w:p>
    <w:p w14:paraId="6098F77D" w14:textId="77777777" w:rsidR="00C83FB7" w:rsidRPr="00A942F6" w:rsidRDefault="00C83FB7" w:rsidP="00C83FB7">
      <w:pPr>
        <w:rPr>
          <w:lang w:val="nb-NO"/>
        </w:rPr>
      </w:pPr>
    </w:p>
    <w:p w14:paraId="675B5591" w14:textId="4063F8A5" w:rsidR="00C83FB7" w:rsidRPr="00A942F6" w:rsidRDefault="00C65986" w:rsidP="00C83FB7">
      <w:pPr>
        <w:rPr>
          <w:lang w:val="nb-NO"/>
        </w:rPr>
      </w:pPr>
      <w:r>
        <w:rPr>
          <w:lang w:val="nb-NO"/>
        </w:rPr>
        <w:t>Ved bruk av</w:t>
      </w:r>
      <w:r w:rsidR="00C83FB7" w:rsidRPr="00A942F6">
        <w:rPr>
          <w:lang w:val="nb-NO"/>
        </w:rPr>
        <w:t xml:space="preserve"> infusjonsposer laget av polyvinylklorid (PVC) </w:t>
      </w:r>
      <w:r>
        <w:rPr>
          <w:lang w:val="nb-NO"/>
        </w:rPr>
        <w:t xml:space="preserve">skal </w:t>
      </w:r>
      <w:r w:rsidR="00C83FB7" w:rsidRPr="00A942F6">
        <w:rPr>
          <w:lang w:val="nb-NO"/>
        </w:rPr>
        <w:t xml:space="preserve">det brukes infusjonsposer som er </w:t>
      </w:r>
      <w:r>
        <w:rPr>
          <w:lang w:val="nb-NO"/>
        </w:rPr>
        <w:t xml:space="preserve">fri for </w:t>
      </w:r>
      <w:r w:rsidR="00C83FB7" w:rsidRPr="00A942F6">
        <w:rPr>
          <w:lang w:val="nb-NO"/>
        </w:rPr>
        <w:t>di(2</w:t>
      </w:r>
      <w:r w:rsidR="00E31B81">
        <w:rPr>
          <w:lang w:val="nb-NO"/>
        </w:rPr>
        <w:noBreakHyphen/>
      </w:r>
      <w:r w:rsidR="00C83FB7" w:rsidRPr="00A942F6">
        <w:rPr>
          <w:lang w:val="nb-NO"/>
        </w:rPr>
        <w:t>etylheksyl)ftalat (DEHP</w:t>
      </w:r>
      <w:r w:rsidR="00E31B81">
        <w:rPr>
          <w:lang w:val="nb-NO"/>
        </w:rPr>
        <w:noBreakHyphen/>
      </w:r>
      <w:r w:rsidR="00C83FB7" w:rsidRPr="00A942F6">
        <w:rPr>
          <w:lang w:val="nb-NO"/>
        </w:rPr>
        <w:t>frie).</w:t>
      </w:r>
    </w:p>
    <w:p w14:paraId="35EE8FBE" w14:textId="77777777" w:rsidR="00C83FB7" w:rsidRPr="00A942F6" w:rsidRDefault="00C83FB7" w:rsidP="00C83FB7">
      <w:pPr>
        <w:rPr>
          <w:lang w:val="nb-NO"/>
        </w:rPr>
      </w:pPr>
    </w:p>
    <w:p w14:paraId="1C0D2D5D" w14:textId="35508D8F" w:rsidR="00711234" w:rsidRPr="00A942F6" w:rsidRDefault="00711234" w:rsidP="00641834">
      <w:pPr>
        <w:rPr>
          <w:lang w:val="nb-NO"/>
        </w:rPr>
      </w:pPr>
      <w:r w:rsidRPr="00A942F6">
        <w:rPr>
          <w:lang w:val="nb-NO"/>
        </w:rPr>
        <w:t xml:space="preserve">Alle pasienter som behandles med </w:t>
      </w:r>
      <w:r w:rsidR="00923E68" w:rsidRPr="00A942F6">
        <w:rPr>
          <w:lang w:val="nb-NO"/>
        </w:rPr>
        <w:t>Avtozma</w:t>
      </w:r>
      <w:r w:rsidRPr="00A942F6">
        <w:rPr>
          <w:lang w:val="nb-NO"/>
        </w:rPr>
        <w:t xml:space="preserve"> skal få utdelt pasientkort.</w:t>
      </w:r>
    </w:p>
    <w:p w14:paraId="40920B3F" w14:textId="77777777" w:rsidR="00923E68" w:rsidRPr="00A942F6" w:rsidRDefault="00923E68" w:rsidP="00641834">
      <w:pPr>
        <w:rPr>
          <w:lang w:val="nb-NO"/>
        </w:rPr>
      </w:pPr>
    </w:p>
    <w:p w14:paraId="3DC64E26" w14:textId="77777777" w:rsidR="00711234" w:rsidRPr="00A942F6" w:rsidRDefault="00711234" w:rsidP="00641834">
      <w:pPr>
        <w:pStyle w:val="Style1underline"/>
        <w:rPr>
          <w:lang w:val="nb-NO"/>
        </w:rPr>
      </w:pPr>
      <w:r w:rsidRPr="00A942F6">
        <w:rPr>
          <w:lang w:val="nb-NO"/>
        </w:rPr>
        <w:t>Dosering</w:t>
      </w:r>
    </w:p>
    <w:p w14:paraId="7BB0CE9C" w14:textId="77777777" w:rsidR="00711234" w:rsidRPr="00A942F6" w:rsidRDefault="00711234" w:rsidP="00641834">
      <w:pPr>
        <w:rPr>
          <w:lang w:val="nb-NO"/>
        </w:rPr>
      </w:pPr>
    </w:p>
    <w:p w14:paraId="48F32976" w14:textId="77777777" w:rsidR="00711234" w:rsidRPr="00A942F6" w:rsidRDefault="00711234" w:rsidP="00641834">
      <w:pPr>
        <w:pStyle w:val="Style1underline"/>
        <w:rPr>
          <w:lang w:val="nb-NO"/>
        </w:rPr>
      </w:pPr>
      <w:r w:rsidRPr="00A942F6">
        <w:rPr>
          <w:lang w:val="nb-NO"/>
        </w:rPr>
        <w:t>RA-pasienter</w:t>
      </w:r>
    </w:p>
    <w:p w14:paraId="338A7832" w14:textId="77777777" w:rsidR="00711234" w:rsidRPr="00A942F6" w:rsidRDefault="00711234" w:rsidP="00641834">
      <w:pPr>
        <w:rPr>
          <w:lang w:val="nb-NO"/>
        </w:rPr>
      </w:pPr>
      <w:r w:rsidRPr="00A942F6">
        <w:rPr>
          <w:lang w:val="nb-NO"/>
        </w:rPr>
        <w:t>Anbefalt dosering er 8 mg/kg kroppsvekt gitt én gang hver fjerde uke.</w:t>
      </w:r>
    </w:p>
    <w:p w14:paraId="6231F852" w14:textId="77777777" w:rsidR="00711234" w:rsidRPr="00A942F6" w:rsidRDefault="00711234" w:rsidP="00641834">
      <w:pPr>
        <w:rPr>
          <w:lang w:val="nb-NO"/>
        </w:rPr>
      </w:pPr>
    </w:p>
    <w:p w14:paraId="321039AE" w14:textId="77777777" w:rsidR="00711234" w:rsidRPr="00A942F6" w:rsidRDefault="00711234" w:rsidP="00641834">
      <w:pPr>
        <w:rPr>
          <w:lang w:val="nb-NO"/>
        </w:rPr>
      </w:pPr>
      <w:r w:rsidRPr="00A942F6">
        <w:rPr>
          <w:lang w:val="nb-NO"/>
        </w:rPr>
        <w:t>For personer som veier mer enn 100 kg, anbefales ikke doser høyere enn 800 mg per infusjon (se pkt.</w:t>
      </w:r>
      <w:r w:rsidR="00366C66" w:rsidRPr="00A942F6">
        <w:rPr>
          <w:lang w:val="nb-NO"/>
        </w:rPr>
        <w:t> </w:t>
      </w:r>
      <w:r w:rsidRPr="00A942F6">
        <w:rPr>
          <w:lang w:val="nb-NO"/>
        </w:rPr>
        <w:t>5.2).</w:t>
      </w:r>
    </w:p>
    <w:p w14:paraId="3381A486" w14:textId="77777777" w:rsidR="00366C66" w:rsidRPr="00A942F6" w:rsidRDefault="00366C66" w:rsidP="00641834">
      <w:pPr>
        <w:rPr>
          <w:lang w:val="nb-NO"/>
        </w:rPr>
      </w:pPr>
    </w:p>
    <w:p w14:paraId="0F917A21" w14:textId="77777777" w:rsidR="00366C66" w:rsidRPr="00A942F6" w:rsidRDefault="00711234" w:rsidP="00641834">
      <w:pPr>
        <w:rPr>
          <w:lang w:val="nb-NO"/>
        </w:rPr>
      </w:pPr>
      <w:r w:rsidRPr="00A942F6">
        <w:rPr>
          <w:lang w:val="nb-NO"/>
        </w:rPr>
        <w:t xml:space="preserve">Doser over 1,2 g har ikke blitt undersøkt i </w:t>
      </w:r>
      <w:r w:rsidR="00366C66" w:rsidRPr="00A942F6">
        <w:rPr>
          <w:lang w:val="nb-NO"/>
        </w:rPr>
        <w:t>kliniske studier (se pkt. 5.1).</w:t>
      </w:r>
    </w:p>
    <w:p w14:paraId="5B070879" w14:textId="77777777" w:rsidR="00366C66" w:rsidRPr="00A942F6" w:rsidRDefault="00366C66" w:rsidP="00641834">
      <w:pPr>
        <w:rPr>
          <w:lang w:val="nb-NO"/>
        </w:rPr>
      </w:pPr>
    </w:p>
    <w:p w14:paraId="37DCE48C" w14:textId="77777777" w:rsidR="00711234" w:rsidRPr="00A942F6" w:rsidRDefault="00711234" w:rsidP="00641834">
      <w:pPr>
        <w:pStyle w:val="Style1underline"/>
        <w:rPr>
          <w:lang w:val="nb-NO"/>
        </w:rPr>
      </w:pPr>
      <w:r w:rsidRPr="00A942F6">
        <w:rPr>
          <w:lang w:val="nb-NO"/>
        </w:rPr>
        <w:t>Dosejustering på grunn av unormale laboratorieprøver (se pkt. 4.4).</w:t>
      </w:r>
    </w:p>
    <w:p w14:paraId="3038997D" w14:textId="77777777" w:rsidR="00366C66" w:rsidRPr="00A942F6" w:rsidRDefault="00366C66" w:rsidP="00641834">
      <w:pPr>
        <w:pStyle w:val="Style1underline"/>
        <w:rPr>
          <w:lang w:val="nb-NO"/>
        </w:rPr>
      </w:pPr>
    </w:p>
    <w:p w14:paraId="066526F5" w14:textId="77777777" w:rsidR="00711234" w:rsidRPr="00A942F6" w:rsidRDefault="00711234" w:rsidP="00641834">
      <w:pPr>
        <w:pStyle w:val="Bullet1cm"/>
        <w:rPr>
          <w:lang w:val="nb-NO"/>
        </w:rPr>
      </w:pPr>
      <w:r w:rsidRPr="00A942F6">
        <w:rPr>
          <w:lang w:val="nb-NO"/>
        </w:rPr>
        <w:t>Unormale leverenzymverdier</w:t>
      </w:r>
    </w:p>
    <w:p w14:paraId="7194309C" w14:textId="77777777" w:rsidR="006B30E5" w:rsidRPr="00A942F6" w:rsidRDefault="006B30E5" w:rsidP="00641834">
      <w:pPr>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0"/>
        <w:gridCol w:w="6295"/>
      </w:tblGrid>
      <w:tr w:rsidR="004A07DC" w:rsidRPr="00A942F6" w14:paraId="51496895" w14:textId="77777777" w:rsidTr="00E1582A">
        <w:trPr>
          <w:cantSplit/>
          <w:trHeight w:val="20"/>
          <w:tblHeader/>
        </w:trPr>
        <w:tc>
          <w:tcPr>
            <w:tcW w:w="2760" w:type="dxa"/>
          </w:tcPr>
          <w:p w14:paraId="5D19C5EF" w14:textId="77777777" w:rsidR="004A07DC" w:rsidRPr="00A942F6" w:rsidRDefault="004A07DC" w:rsidP="00641834">
            <w:pPr>
              <w:pStyle w:val="TableParagraph"/>
              <w:jc w:val="center"/>
              <w:rPr>
                <w:b/>
                <w:sz w:val="20"/>
                <w:szCs w:val="20"/>
                <w:lang w:val="nb-NO"/>
              </w:rPr>
            </w:pPr>
            <w:r w:rsidRPr="00A942F6">
              <w:rPr>
                <w:b/>
                <w:sz w:val="20"/>
                <w:szCs w:val="20"/>
                <w:lang w:val="nb-NO"/>
              </w:rPr>
              <w:t>Laboratorieverdi</w:t>
            </w:r>
          </w:p>
        </w:tc>
        <w:tc>
          <w:tcPr>
            <w:tcW w:w="6295" w:type="dxa"/>
          </w:tcPr>
          <w:p w14:paraId="40CB4601"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B477E5" w14:paraId="1E609A97" w14:textId="77777777" w:rsidTr="00E1582A">
        <w:trPr>
          <w:cantSplit/>
          <w:trHeight w:val="20"/>
        </w:trPr>
        <w:tc>
          <w:tcPr>
            <w:tcW w:w="2760" w:type="dxa"/>
          </w:tcPr>
          <w:p w14:paraId="083DFC44" w14:textId="77777777" w:rsidR="004A07DC" w:rsidRPr="00A942F6" w:rsidRDefault="004A07DC" w:rsidP="00641834">
            <w:pPr>
              <w:pStyle w:val="TableParagraph"/>
              <w:rPr>
                <w:sz w:val="20"/>
                <w:szCs w:val="20"/>
                <w:lang w:val="nb-NO"/>
              </w:rPr>
            </w:pPr>
            <w:r w:rsidRPr="00A942F6">
              <w:rPr>
                <w:sz w:val="20"/>
                <w:szCs w:val="20"/>
                <w:lang w:val="nb-NO"/>
              </w:rPr>
              <w:t>&gt; 1 til 3 x øvre normalverdi (ULN)</w:t>
            </w:r>
          </w:p>
        </w:tc>
        <w:tc>
          <w:tcPr>
            <w:tcW w:w="6295" w:type="dxa"/>
          </w:tcPr>
          <w:p w14:paraId="4D0371E7" w14:textId="77777777" w:rsidR="004A07DC" w:rsidRPr="00A942F6" w:rsidRDefault="004A07DC" w:rsidP="00641834">
            <w:pPr>
              <w:pStyle w:val="TableParagraph"/>
              <w:rPr>
                <w:sz w:val="20"/>
                <w:szCs w:val="20"/>
                <w:lang w:val="nb-NO"/>
              </w:rPr>
            </w:pPr>
            <w:r w:rsidRPr="00A942F6">
              <w:rPr>
                <w:sz w:val="20"/>
                <w:szCs w:val="20"/>
                <w:lang w:val="nb-NO"/>
              </w:rPr>
              <w:t>Juster dosen av samtidig metotreksat hvis nødvendig</w:t>
            </w:r>
          </w:p>
          <w:p w14:paraId="18358369" w14:textId="77777777" w:rsidR="00366C66" w:rsidRPr="00A942F6" w:rsidRDefault="00366C66" w:rsidP="00641834">
            <w:pPr>
              <w:pStyle w:val="TableParagraph"/>
              <w:rPr>
                <w:sz w:val="20"/>
                <w:szCs w:val="20"/>
                <w:lang w:val="nb-NO"/>
              </w:rPr>
            </w:pPr>
          </w:p>
          <w:p w14:paraId="57FF1A7A" w14:textId="105EC6A6" w:rsidR="004A07DC" w:rsidRPr="00A942F6" w:rsidRDefault="004A07DC" w:rsidP="00641834">
            <w:pPr>
              <w:pStyle w:val="TableParagraph"/>
              <w:rPr>
                <w:sz w:val="20"/>
                <w:szCs w:val="20"/>
                <w:lang w:val="nb-NO"/>
              </w:rPr>
            </w:pPr>
            <w:r w:rsidRPr="00A942F6">
              <w:rPr>
                <w:sz w:val="20"/>
                <w:szCs w:val="20"/>
                <w:lang w:val="nb-NO"/>
              </w:rPr>
              <w:t xml:space="preserve">Ved vedvarende forhøyede verdier innenfor dette området, reduser </w:t>
            </w:r>
            <w:r w:rsidR="00923E68" w:rsidRPr="00A942F6">
              <w:rPr>
                <w:sz w:val="20"/>
                <w:szCs w:val="20"/>
                <w:lang w:val="nb-NO"/>
              </w:rPr>
              <w:t>Avtozma</w:t>
            </w:r>
            <w:r w:rsidRPr="00A942F6">
              <w:rPr>
                <w:sz w:val="20"/>
                <w:szCs w:val="20"/>
                <w:lang w:val="nb-NO"/>
              </w:rPr>
              <w:t xml:space="preserve">-dosen til 4 mg/kg eller avbryt </w:t>
            </w:r>
            <w:r w:rsidR="00923E68" w:rsidRPr="00A942F6">
              <w:rPr>
                <w:sz w:val="20"/>
                <w:szCs w:val="20"/>
                <w:lang w:val="nb-NO"/>
              </w:rPr>
              <w:t>Avtozma</w:t>
            </w:r>
            <w:r w:rsidRPr="00A942F6">
              <w:rPr>
                <w:sz w:val="20"/>
                <w:szCs w:val="20"/>
                <w:lang w:val="nb-NO"/>
              </w:rPr>
              <w:t xml:space="preserve"> til alaninamino-transferase (ALAT) eller aspartataminotransferase (ASAT) er normalisert</w:t>
            </w:r>
          </w:p>
          <w:p w14:paraId="70A79129" w14:textId="77777777" w:rsidR="00366C66" w:rsidRPr="00A942F6" w:rsidRDefault="00366C66" w:rsidP="00641834">
            <w:pPr>
              <w:pStyle w:val="TableParagraph"/>
              <w:rPr>
                <w:sz w:val="20"/>
                <w:szCs w:val="20"/>
                <w:lang w:val="nb-NO"/>
              </w:rPr>
            </w:pPr>
          </w:p>
          <w:p w14:paraId="6778BFBD" w14:textId="77777777" w:rsidR="004A07DC" w:rsidRPr="00A942F6" w:rsidRDefault="004A07DC" w:rsidP="00641834">
            <w:pPr>
              <w:pStyle w:val="TableParagraph"/>
              <w:rPr>
                <w:sz w:val="20"/>
                <w:szCs w:val="20"/>
                <w:lang w:val="nb-NO"/>
              </w:rPr>
            </w:pPr>
            <w:r w:rsidRPr="00A942F6">
              <w:rPr>
                <w:sz w:val="20"/>
                <w:szCs w:val="20"/>
                <w:lang w:val="nb-NO"/>
              </w:rPr>
              <w:t>Start opp igjen behandlingen med 4 mg/kg eller 8 mg/kg i hht klinikk</w:t>
            </w:r>
          </w:p>
        </w:tc>
      </w:tr>
      <w:tr w:rsidR="004A07DC" w:rsidRPr="00B477E5" w14:paraId="3887E68D" w14:textId="77777777" w:rsidTr="00E1582A">
        <w:trPr>
          <w:cantSplit/>
          <w:trHeight w:val="20"/>
        </w:trPr>
        <w:tc>
          <w:tcPr>
            <w:tcW w:w="2760" w:type="dxa"/>
          </w:tcPr>
          <w:p w14:paraId="7B176007" w14:textId="77777777" w:rsidR="004A07DC" w:rsidRPr="00A942F6" w:rsidRDefault="004A07DC" w:rsidP="00641834">
            <w:pPr>
              <w:pStyle w:val="TableParagraph"/>
              <w:rPr>
                <w:sz w:val="20"/>
                <w:szCs w:val="20"/>
                <w:lang w:val="nb-NO"/>
              </w:rPr>
            </w:pPr>
            <w:r w:rsidRPr="00A942F6">
              <w:rPr>
                <w:sz w:val="20"/>
                <w:szCs w:val="20"/>
                <w:lang w:val="nb-NO"/>
              </w:rPr>
              <w:t>&gt; 3 til 5 x ULN (bekreftet ved gjentatte prøver, se pkt. 4.4)</w:t>
            </w:r>
          </w:p>
        </w:tc>
        <w:tc>
          <w:tcPr>
            <w:tcW w:w="6295" w:type="dxa"/>
          </w:tcPr>
          <w:p w14:paraId="4ACBF031" w14:textId="1EF795DD"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til &lt; 3 x ULN og følg anbefalninger over for &gt; 1 til 3 x ULN</w:t>
            </w:r>
          </w:p>
          <w:p w14:paraId="0CCA6730" w14:textId="77777777" w:rsidR="00366C66" w:rsidRPr="00A942F6" w:rsidRDefault="00366C66" w:rsidP="00641834">
            <w:pPr>
              <w:pStyle w:val="TableParagraph"/>
              <w:rPr>
                <w:sz w:val="20"/>
                <w:szCs w:val="20"/>
                <w:lang w:val="nb-NO"/>
              </w:rPr>
            </w:pPr>
          </w:p>
          <w:p w14:paraId="4BE558AE" w14:textId="1B3D04AC" w:rsidR="004A07DC" w:rsidRPr="00A942F6" w:rsidRDefault="004A07DC" w:rsidP="00641834">
            <w:pPr>
              <w:pStyle w:val="TableParagraph"/>
              <w:rPr>
                <w:sz w:val="20"/>
                <w:szCs w:val="20"/>
                <w:lang w:val="nb-NO"/>
              </w:rPr>
            </w:pPr>
            <w:r w:rsidRPr="00A942F6">
              <w:rPr>
                <w:sz w:val="20"/>
                <w:szCs w:val="20"/>
                <w:lang w:val="nb-NO"/>
              </w:rPr>
              <w:t xml:space="preserve">Ved vedvarende forhøyede verdier &gt; 3 x ULN, seponer </w:t>
            </w:r>
            <w:r w:rsidR="00923E68" w:rsidRPr="00A942F6">
              <w:rPr>
                <w:sz w:val="20"/>
                <w:szCs w:val="20"/>
                <w:lang w:val="nb-NO"/>
              </w:rPr>
              <w:t>Avtozma</w:t>
            </w:r>
          </w:p>
        </w:tc>
      </w:tr>
      <w:tr w:rsidR="004A07DC" w:rsidRPr="00A942F6" w14:paraId="437420E9" w14:textId="77777777" w:rsidTr="00E1582A">
        <w:trPr>
          <w:cantSplit/>
          <w:trHeight w:val="20"/>
        </w:trPr>
        <w:tc>
          <w:tcPr>
            <w:tcW w:w="2760" w:type="dxa"/>
          </w:tcPr>
          <w:p w14:paraId="50A472CF" w14:textId="77777777" w:rsidR="004A07DC" w:rsidRPr="00A942F6" w:rsidRDefault="004A07DC" w:rsidP="00641834">
            <w:pPr>
              <w:pStyle w:val="TableParagraph"/>
              <w:rPr>
                <w:sz w:val="20"/>
                <w:szCs w:val="20"/>
                <w:lang w:val="nb-NO"/>
              </w:rPr>
            </w:pPr>
            <w:r w:rsidRPr="00A942F6">
              <w:rPr>
                <w:sz w:val="20"/>
                <w:szCs w:val="20"/>
                <w:lang w:val="nb-NO"/>
              </w:rPr>
              <w:t>&gt; 5 x ULN</w:t>
            </w:r>
          </w:p>
        </w:tc>
        <w:tc>
          <w:tcPr>
            <w:tcW w:w="6295" w:type="dxa"/>
          </w:tcPr>
          <w:p w14:paraId="4FD542E5" w14:textId="0EE8F59B"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tc>
      </w:tr>
    </w:tbl>
    <w:p w14:paraId="591F5CB1" w14:textId="77777777" w:rsidR="004A07DC" w:rsidRPr="00A942F6" w:rsidRDefault="004A07DC" w:rsidP="00641834">
      <w:pPr>
        <w:rPr>
          <w:lang w:val="nb-NO"/>
        </w:rPr>
      </w:pPr>
    </w:p>
    <w:p w14:paraId="2333C82C" w14:textId="77777777" w:rsidR="004A07DC" w:rsidRPr="00A942F6" w:rsidRDefault="004A07DC" w:rsidP="00641834">
      <w:pPr>
        <w:pStyle w:val="Bullet1cm"/>
        <w:rPr>
          <w:lang w:val="nb-NO"/>
        </w:rPr>
      </w:pPr>
      <w:r w:rsidRPr="00A942F6">
        <w:rPr>
          <w:lang w:val="nb-NO"/>
        </w:rPr>
        <w:lastRenderedPageBreak/>
        <w:t>Lavt absolutt nøytrofiltall (ANC)</w:t>
      </w:r>
    </w:p>
    <w:p w14:paraId="1492F99B" w14:textId="77777777" w:rsidR="00366C66" w:rsidRPr="00A942F6" w:rsidRDefault="00366C66" w:rsidP="00641834">
      <w:pPr>
        <w:pStyle w:val="Bullet1cm"/>
        <w:numPr>
          <w:ilvl w:val="0"/>
          <w:numId w:val="0"/>
        </w:numPr>
        <w:rPr>
          <w:lang w:val="nb-NO"/>
        </w:rPr>
      </w:pPr>
    </w:p>
    <w:p w14:paraId="657E7CEF" w14:textId="1A22FADA" w:rsidR="004A07DC" w:rsidRPr="00A942F6" w:rsidRDefault="004A07DC" w:rsidP="00641834">
      <w:pPr>
        <w:rPr>
          <w:lang w:val="nb-NO"/>
        </w:rPr>
      </w:pPr>
      <w:r w:rsidRPr="00A942F6">
        <w:rPr>
          <w:lang w:val="nb-NO"/>
        </w:rPr>
        <w:t xml:space="preserve">For pasienter som ikke tidligere er behandlet med </w:t>
      </w:r>
      <w:r w:rsidR="00C83FB7" w:rsidRPr="00A942F6">
        <w:rPr>
          <w:lang w:val="nb-NO"/>
        </w:rPr>
        <w:t>tocilizumab</w:t>
      </w:r>
      <w:r w:rsidRPr="00A942F6">
        <w:rPr>
          <w:lang w:val="nb-NO"/>
        </w:rPr>
        <w:t xml:space="preserve"> er initiering ikke anbefalt for pasienter med et absolutt nøytrofiltall (ANC) under 2 x 10</w:t>
      </w:r>
      <w:r w:rsidRPr="00A942F6">
        <w:rPr>
          <w:vertAlign w:val="superscript"/>
          <w:lang w:val="nb-NO"/>
        </w:rPr>
        <w:t>9</w:t>
      </w:r>
      <w:r w:rsidRPr="00A942F6">
        <w:rPr>
          <w:lang w:val="nb-NO"/>
        </w:rPr>
        <w:t>/l.</w:t>
      </w:r>
    </w:p>
    <w:p w14:paraId="408BBD8F"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7"/>
        <w:gridCol w:w="6288"/>
      </w:tblGrid>
      <w:tr w:rsidR="004A07DC" w:rsidRPr="00A942F6" w14:paraId="75276F92" w14:textId="77777777" w:rsidTr="00E1582A">
        <w:trPr>
          <w:cantSplit/>
          <w:trHeight w:val="20"/>
          <w:tblHeader/>
        </w:trPr>
        <w:tc>
          <w:tcPr>
            <w:tcW w:w="2767" w:type="dxa"/>
          </w:tcPr>
          <w:p w14:paraId="4BF3DD88" w14:textId="77777777" w:rsidR="004A07DC" w:rsidRPr="00A942F6" w:rsidRDefault="004A07DC" w:rsidP="00641834">
            <w:pPr>
              <w:pStyle w:val="TableParagraph"/>
              <w:jc w:val="center"/>
              <w:rPr>
                <w:b/>
                <w:sz w:val="20"/>
                <w:szCs w:val="20"/>
                <w:lang w:val="nb-NO"/>
              </w:rPr>
            </w:pPr>
            <w:r w:rsidRPr="00A942F6">
              <w:rPr>
                <w:b/>
                <w:sz w:val="20"/>
                <w:szCs w:val="20"/>
                <w:lang w:val="nb-NO"/>
              </w:rPr>
              <w:t>Laboratorieverdi (celler x 10</w:t>
            </w:r>
            <w:r w:rsidRPr="00A942F6">
              <w:rPr>
                <w:b/>
                <w:sz w:val="20"/>
                <w:szCs w:val="20"/>
                <w:vertAlign w:val="superscript"/>
                <w:lang w:val="nb-NO"/>
              </w:rPr>
              <w:t>9</w:t>
            </w:r>
            <w:r w:rsidRPr="00A942F6">
              <w:rPr>
                <w:b/>
                <w:sz w:val="20"/>
                <w:szCs w:val="20"/>
                <w:lang w:val="nb-NO"/>
              </w:rPr>
              <w:t>/liter)</w:t>
            </w:r>
          </w:p>
        </w:tc>
        <w:tc>
          <w:tcPr>
            <w:tcW w:w="6288" w:type="dxa"/>
          </w:tcPr>
          <w:p w14:paraId="6586884A" w14:textId="77777777" w:rsidR="004A07DC" w:rsidRPr="00A942F6" w:rsidRDefault="004A07DC" w:rsidP="00641834">
            <w:pPr>
              <w:pStyle w:val="TableParagraph"/>
              <w:rPr>
                <w:b/>
                <w:sz w:val="20"/>
                <w:szCs w:val="20"/>
                <w:lang w:val="nb-NO"/>
              </w:rPr>
            </w:pPr>
            <w:r w:rsidRPr="00A942F6">
              <w:rPr>
                <w:b/>
                <w:sz w:val="20"/>
                <w:szCs w:val="20"/>
                <w:lang w:val="nb-NO"/>
              </w:rPr>
              <w:t>Tiltak</w:t>
            </w:r>
          </w:p>
        </w:tc>
      </w:tr>
      <w:tr w:rsidR="004A07DC" w:rsidRPr="00A942F6" w14:paraId="17ABECEE" w14:textId="77777777" w:rsidTr="00E1582A">
        <w:trPr>
          <w:cantSplit/>
          <w:trHeight w:val="20"/>
        </w:trPr>
        <w:tc>
          <w:tcPr>
            <w:tcW w:w="2767" w:type="dxa"/>
          </w:tcPr>
          <w:p w14:paraId="04F03B70" w14:textId="77777777" w:rsidR="004A07DC" w:rsidRPr="00A942F6" w:rsidRDefault="004A07DC" w:rsidP="00641834">
            <w:pPr>
              <w:pStyle w:val="TableParagraph"/>
              <w:rPr>
                <w:sz w:val="20"/>
                <w:szCs w:val="20"/>
                <w:lang w:val="nb-NO"/>
              </w:rPr>
            </w:pPr>
            <w:r w:rsidRPr="00A942F6">
              <w:rPr>
                <w:sz w:val="20"/>
                <w:szCs w:val="20"/>
                <w:lang w:val="nb-NO"/>
              </w:rPr>
              <w:t>ANC &gt; 1</w:t>
            </w:r>
          </w:p>
        </w:tc>
        <w:tc>
          <w:tcPr>
            <w:tcW w:w="6288" w:type="dxa"/>
          </w:tcPr>
          <w:p w14:paraId="0F24F3DC" w14:textId="77777777" w:rsidR="004A07DC" w:rsidRPr="00A942F6" w:rsidRDefault="004A07DC" w:rsidP="00641834">
            <w:pPr>
              <w:pStyle w:val="TableParagraph"/>
              <w:rPr>
                <w:sz w:val="20"/>
                <w:szCs w:val="20"/>
                <w:lang w:val="nb-NO"/>
              </w:rPr>
            </w:pPr>
            <w:r w:rsidRPr="00A942F6">
              <w:rPr>
                <w:sz w:val="20"/>
                <w:szCs w:val="20"/>
                <w:lang w:val="nb-NO"/>
              </w:rPr>
              <w:t>Oppretthold doseringen</w:t>
            </w:r>
          </w:p>
        </w:tc>
      </w:tr>
      <w:tr w:rsidR="004A07DC" w:rsidRPr="00B477E5" w14:paraId="0FB93144" w14:textId="77777777" w:rsidTr="00E1582A">
        <w:trPr>
          <w:cantSplit/>
          <w:trHeight w:val="20"/>
        </w:trPr>
        <w:tc>
          <w:tcPr>
            <w:tcW w:w="2767" w:type="dxa"/>
          </w:tcPr>
          <w:p w14:paraId="39AD2E2B" w14:textId="77777777" w:rsidR="004A07DC" w:rsidRPr="00A942F6" w:rsidRDefault="004A07DC" w:rsidP="00641834">
            <w:pPr>
              <w:pStyle w:val="TableParagraph"/>
              <w:rPr>
                <w:sz w:val="20"/>
                <w:szCs w:val="20"/>
                <w:lang w:val="nb-NO"/>
              </w:rPr>
            </w:pPr>
            <w:r w:rsidRPr="00A942F6">
              <w:rPr>
                <w:sz w:val="20"/>
                <w:szCs w:val="20"/>
                <w:lang w:val="nb-NO"/>
              </w:rPr>
              <w:t>ANC 0,5 til 1</w:t>
            </w:r>
          </w:p>
        </w:tc>
        <w:tc>
          <w:tcPr>
            <w:tcW w:w="6288" w:type="dxa"/>
          </w:tcPr>
          <w:p w14:paraId="43D0FAF1" w14:textId="4AFE31DF"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4337C8CA" w14:textId="77777777" w:rsidR="004A07DC" w:rsidRPr="00A942F6" w:rsidRDefault="004A07DC" w:rsidP="00641834">
            <w:pPr>
              <w:pStyle w:val="TableParagraph"/>
              <w:rPr>
                <w:sz w:val="20"/>
                <w:szCs w:val="20"/>
                <w:lang w:val="nb-NO"/>
              </w:rPr>
            </w:pPr>
          </w:p>
          <w:p w14:paraId="4E1ED409" w14:textId="14CC0617" w:rsidR="004A07DC" w:rsidRPr="00A942F6" w:rsidRDefault="004A07DC" w:rsidP="00641834">
            <w:pPr>
              <w:pStyle w:val="TableParagraph"/>
              <w:rPr>
                <w:sz w:val="20"/>
                <w:szCs w:val="20"/>
                <w:lang w:val="nb-NO"/>
              </w:rPr>
            </w:pPr>
            <w:r w:rsidRPr="00A942F6">
              <w:rPr>
                <w:sz w:val="20"/>
                <w:szCs w:val="20"/>
                <w:lang w:val="nb-NO"/>
              </w:rPr>
              <w:t>Når ANC øker &gt; 1 x 10</w:t>
            </w:r>
            <w:r w:rsidRPr="00A942F6">
              <w:rPr>
                <w:sz w:val="20"/>
                <w:szCs w:val="20"/>
                <w:vertAlign w:val="superscript"/>
                <w:lang w:val="nb-NO"/>
              </w:rPr>
              <w:t>9</w:t>
            </w:r>
            <w:r w:rsidRPr="00A942F6">
              <w:rPr>
                <w:sz w:val="20"/>
                <w:szCs w:val="20"/>
                <w:lang w:val="nb-NO"/>
              </w:rPr>
              <w:t xml:space="preserve">/liter, gjenoppta </w:t>
            </w:r>
            <w:r w:rsidR="00923E68" w:rsidRPr="00A942F6">
              <w:rPr>
                <w:sz w:val="20"/>
                <w:szCs w:val="20"/>
                <w:lang w:val="nb-NO"/>
              </w:rPr>
              <w:t>Avtozma</w:t>
            </w:r>
            <w:r w:rsidRPr="00A942F6">
              <w:rPr>
                <w:sz w:val="20"/>
                <w:szCs w:val="20"/>
                <w:lang w:val="nb-NO"/>
              </w:rPr>
              <w:t>-behandling med 4 mg/kg og øk til 8 mg/kg i hht. klinikk</w:t>
            </w:r>
          </w:p>
        </w:tc>
      </w:tr>
      <w:tr w:rsidR="004A07DC" w:rsidRPr="00A942F6" w14:paraId="12ACBF56" w14:textId="77777777" w:rsidTr="00E1582A">
        <w:trPr>
          <w:cantSplit/>
          <w:trHeight w:val="20"/>
        </w:trPr>
        <w:tc>
          <w:tcPr>
            <w:tcW w:w="2767" w:type="dxa"/>
          </w:tcPr>
          <w:p w14:paraId="4EA3C8EE" w14:textId="77777777" w:rsidR="004A07DC" w:rsidRPr="00A942F6" w:rsidRDefault="004A07DC" w:rsidP="00641834">
            <w:pPr>
              <w:pStyle w:val="TableParagraph"/>
              <w:rPr>
                <w:sz w:val="20"/>
                <w:szCs w:val="20"/>
                <w:lang w:val="nb-NO"/>
              </w:rPr>
            </w:pPr>
            <w:r w:rsidRPr="00A942F6">
              <w:rPr>
                <w:sz w:val="20"/>
                <w:szCs w:val="20"/>
                <w:lang w:val="nb-NO"/>
              </w:rPr>
              <w:t>ANC &lt; 0,5</w:t>
            </w:r>
          </w:p>
        </w:tc>
        <w:tc>
          <w:tcPr>
            <w:tcW w:w="6288" w:type="dxa"/>
          </w:tcPr>
          <w:p w14:paraId="7C603A62" w14:textId="72125E2B"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tc>
      </w:tr>
    </w:tbl>
    <w:p w14:paraId="0834F1EE" w14:textId="77777777" w:rsidR="004A07DC" w:rsidRPr="00A942F6" w:rsidRDefault="004A07DC" w:rsidP="00641834">
      <w:pPr>
        <w:rPr>
          <w:lang w:val="nb-NO"/>
        </w:rPr>
      </w:pPr>
    </w:p>
    <w:p w14:paraId="7231E6F6" w14:textId="77777777" w:rsidR="004A07DC" w:rsidRPr="00A942F6" w:rsidRDefault="004A07DC" w:rsidP="00641834">
      <w:pPr>
        <w:pStyle w:val="Bullet1cm"/>
        <w:keepNext/>
        <w:rPr>
          <w:lang w:val="nb-NO"/>
        </w:rPr>
      </w:pPr>
      <w:r w:rsidRPr="00A942F6">
        <w:rPr>
          <w:lang w:val="nb-NO"/>
        </w:rPr>
        <w:t>Lavt platetall</w:t>
      </w:r>
    </w:p>
    <w:p w14:paraId="7F7671B6" w14:textId="77777777" w:rsidR="004A07DC" w:rsidRPr="00A942F6" w:rsidRDefault="004A07DC" w:rsidP="00641834">
      <w:pPr>
        <w:keepNext/>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6291"/>
      </w:tblGrid>
      <w:tr w:rsidR="004A07DC" w:rsidRPr="00A942F6" w14:paraId="55985FEA" w14:textId="77777777" w:rsidTr="00E1582A">
        <w:trPr>
          <w:cantSplit/>
          <w:trHeight w:val="20"/>
          <w:tblHeader/>
        </w:trPr>
        <w:tc>
          <w:tcPr>
            <w:tcW w:w="2765" w:type="dxa"/>
          </w:tcPr>
          <w:p w14:paraId="7DF5472D" w14:textId="77777777" w:rsidR="004A07DC" w:rsidRPr="00A942F6" w:rsidRDefault="004A07DC" w:rsidP="00641834">
            <w:pPr>
              <w:pStyle w:val="TableParagraph"/>
              <w:jc w:val="center"/>
              <w:rPr>
                <w:b/>
                <w:sz w:val="20"/>
                <w:szCs w:val="20"/>
                <w:lang w:val="nb-NO"/>
              </w:rPr>
            </w:pPr>
            <w:r w:rsidRPr="00A942F6">
              <w:rPr>
                <w:b/>
                <w:sz w:val="20"/>
                <w:szCs w:val="20"/>
                <w:lang w:val="nb-NO"/>
              </w:rPr>
              <w:t>Laboratorieverdi (celler x 10</w:t>
            </w:r>
            <w:r w:rsidRPr="00A942F6">
              <w:rPr>
                <w:b/>
                <w:sz w:val="20"/>
                <w:szCs w:val="20"/>
                <w:vertAlign w:val="superscript"/>
                <w:lang w:val="nb-NO"/>
              </w:rPr>
              <w:t>3</w:t>
            </w:r>
            <w:r w:rsidRPr="00A942F6">
              <w:rPr>
                <w:b/>
                <w:sz w:val="20"/>
                <w:szCs w:val="20"/>
                <w:lang w:val="nb-NO"/>
              </w:rPr>
              <w:t>/mikroliter)</w:t>
            </w:r>
          </w:p>
        </w:tc>
        <w:tc>
          <w:tcPr>
            <w:tcW w:w="6291" w:type="dxa"/>
          </w:tcPr>
          <w:p w14:paraId="45B8977D"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B477E5" w14:paraId="7255E6A6" w14:textId="77777777" w:rsidTr="00E1582A">
        <w:trPr>
          <w:cantSplit/>
          <w:trHeight w:val="20"/>
        </w:trPr>
        <w:tc>
          <w:tcPr>
            <w:tcW w:w="2765" w:type="dxa"/>
          </w:tcPr>
          <w:p w14:paraId="51A4751D" w14:textId="77777777" w:rsidR="004A07DC" w:rsidRPr="00A942F6" w:rsidRDefault="004A07DC" w:rsidP="00641834">
            <w:pPr>
              <w:pStyle w:val="TableParagraph"/>
              <w:rPr>
                <w:sz w:val="20"/>
                <w:szCs w:val="20"/>
                <w:lang w:val="nb-NO"/>
              </w:rPr>
            </w:pPr>
            <w:r w:rsidRPr="00A942F6">
              <w:rPr>
                <w:sz w:val="20"/>
                <w:szCs w:val="20"/>
                <w:lang w:val="nb-NO"/>
              </w:rPr>
              <w:t>50 til 100</w:t>
            </w:r>
          </w:p>
        </w:tc>
        <w:tc>
          <w:tcPr>
            <w:tcW w:w="6291" w:type="dxa"/>
          </w:tcPr>
          <w:p w14:paraId="2D2DC2F6" w14:textId="45B39234"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4F9D20A5" w14:textId="77777777" w:rsidR="004A07DC" w:rsidRPr="00A942F6" w:rsidRDefault="004A07DC" w:rsidP="00641834">
            <w:pPr>
              <w:pStyle w:val="TableParagraph"/>
              <w:rPr>
                <w:sz w:val="20"/>
                <w:szCs w:val="20"/>
                <w:lang w:val="nb-NO"/>
              </w:rPr>
            </w:pPr>
          </w:p>
          <w:p w14:paraId="59FA4C81" w14:textId="14FCB507" w:rsidR="004A07DC" w:rsidRPr="00A942F6" w:rsidRDefault="004A07DC" w:rsidP="00641834">
            <w:pPr>
              <w:pStyle w:val="TableParagraph"/>
              <w:rPr>
                <w:sz w:val="20"/>
                <w:szCs w:val="20"/>
                <w:lang w:val="nb-NO"/>
              </w:rPr>
            </w:pPr>
            <w:r w:rsidRPr="00A942F6">
              <w:rPr>
                <w:sz w:val="20"/>
                <w:szCs w:val="20"/>
                <w:lang w:val="nb-NO"/>
              </w:rPr>
              <w:t>Når platetallet &gt; 100 x 10</w:t>
            </w:r>
            <w:r w:rsidRPr="00A942F6">
              <w:rPr>
                <w:sz w:val="20"/>
                <w:szCs w:val="20"/>
                <w:vertAlign w:val="superscript"/>
                <w:lang w:val="nb-NO"/>
              </w:rPr>
              <w:t>3</w:t>
            </w:r>
            <w:r w:rsidRPr="00A942F6">
              <w:rPr>
                <w:sz w:val="20"/>
                <w:szCs w:val="20"/>
                <w:lang w:val="nb-NO"/>
              </w:rPr>
              <w:t xml:space="preserve">/mikroliter, gjenoppta </w:t>
            </w:r>
            <w:r w:rsidR="00923E68" w:rsidRPr="00A942F6">
              <w:rPr>
                <w:sz w:val="20"/>
                <w:szCs w:val="20"/>
                <w:lang w:val="nb-NO"/>
              </w:rPr>
              <w:t>Avtozma</w:t>
            </w:r>
            <w:r w:rsidRPr="00A942F6">
              <w:rPr>
                <w:sz w:val="20"/>
                <w:szCs w:val="20"/>
                <w:lang w:val="nb-NO"/>
              </w:rPr>
              <w:t>- behandling med 4 mg/kg og øk til 8 mg/kg i hht. klinikk</w:t>
            </w:r>
          </w:p>
        </w:tc>
      </w:tr>
      <w:tr w:rsidR="004A07DC" w:rsidRPr="00A942F6" w14:paraId="68C68C9E" w14:textId="77777777" w:rsidTr="00E1582A">
        <w:trPr>
          <w:cantSplit/>
          <w:trHeight w:val="20"/>
        </w:trPr>
        <w:tc>
          <w:tcPr>
            <w:tcW w:w="2765" w:type="dxa"/>
          </w:tcPr>
          <w:p w14:paraId="647E5CD2" w14:textId="77777777" w:rsidR="004A07DC" w:rsidRPr="00A942F6" w:rsidRDefault="004A07DC" w:rsidP="00641834">
            <w:pPr>
              <w:pStyle w:val="TableParagraph"/>
              <w:rPr>
                <w:sz w:val="20"/>
                <w:szCs w:val="20"/>
                <w:lang w:val="nb-NO"/>
              </w:rPr>
            </w:pPr>
            <w:r w:rsidRPr="00A942F6">
              <w:rPr>
                <w:sz w:val="20"/>
                <w:szCs w:val="20"/>
                <w:lang w:val="nb-NO"/>
              </w:rPr>
              <w:t>&lt; 50</w:t>
            </w:r>
          </w:p>
        </w:tc>
        <w:tc>
          <w:tcPr>
            <w:tcW w:w="6291" w:type="dxa"/>
          </w:tcPr>
          <w:p w14:paraId="5EBBE17E" w14:textId="3DB982BE"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tc>
      </w:tr>
    </w:tbl>
    <w:p w14:paraId="240D6E2E" w14:textId="77777777" w:rsidR="004A07DC" w:rsidRPr="00A942F6" w:rsidRDefault="004A07DC" w:rsidP="00641834">
      <w:pPr>
        <w:rPr>
          <w:lang w:val="nb-NO"/>
        </w:rPr>
      </w:pPr>
    </w:p>
    <w:p w14:paraId="324899F4" w14:textId="77777777" w:rsidR="004A07DC" w:rsidRPr="00A942F6" w:rsidRDefault="004A07DC" w:rsidP="00641834">
      <w:pPr>
        <w:pStyle w:val="Style1underline"/>
        <w:rPr>
          <w:lang w:val="nb-NO"/>
        </w:rPr>
      </w:pPr>
      <w:r w:rsidRPr="00A942F6">
        <w:rPr>
          <w:lang w:val="nb-NO"/>
        </w:rPr>
        <w:t>Covid-19-pasienter</w:t>
      </w:r>
    </w:p>
    <w:p w14:paraId="2646E4CF" w14:textId="77777777" w:rsidR="004A07DC" w:rsidRPr="00A942F6" w:rsidRDefault="004A07DC" w:rsidP="00641834">
      <w:pPr>
        <w:rPr>
          <w:lang w:val="nb-NO"/>
        </w:rPr>
      </w:pPr>
    </w:p>
    <w:p w14:paraId="08C49166" w14:textId="10D98B84" w:rsidR="004A07DC" w:rsidRPr="00A942F6" w:rsidRDefault="004A07DC" w:rsidP="00641834">
      <w:pPr>
        <w:rPr>
          <w:lang w:val="nb-NO"/>
        </w:rPr>
      </w:pPr>
      <w:r w:rsidRPr="00A942F6">
        <w:rPr>
          <w:lang w:val="nb-NO"/>
        </w:rPr>
        <w:t xml:space="preserve">Anbefalt dose for behandling av covid-19 er en enkelt 60-minutters intravenøs infusjon på 8 mg/kg hos pasienter som får systemiske kortikosteroider og trenger supplerende oksygen eller mekanisk ventilasjon, se pkt 5.1. Hvis kliniske tegn eller symptomer forverrer eller ikke forbedrer seg etter første dose, kan én ekstra infusjon av 8 mg/kg </w:t>
      </w:r>
      <w:r w:rsidR="00923E68" w:rsidRPr="00A942F6">
        <w:rPr>
          <w:lang w:val="nb-NO"/>
        </w:rPr>
        <w:t>Avtozma</w:t>
      </w:r>
      <w:r w:rsidRPr="00A942F6">
        <w:rPr>
          <w:lang w:val="nb-NO"/>
        </w:rPr>
        <w:t xml:space="preserve"> administreres. Intervallet mellom de to infusjonene skal være minst 8 timer.</w:t>
      </w:r>
    </w:p>
    <w:p w14:paraId="780AB25E" w14:textId="77777777" w:rsidR="00366C66" w:rsidRPr="00A942F6" w:rsidRDefault="00366C66" w:rsidP="00641834">
      <w:pPr>
        <w:rPr>
          <w:lang w:val="nb-NO"/>
        </w:rPr>
      </w:pPr>
    </w:p>
    <w:p w14:paraId="4D69C8D1" w14:textId="77777777" w:rsidR="004A07DC" w:rsidRPr="00A942F6" w:rsidRDefault="004A07DC" w:rsidP="00641834">
      <w:pPr>
        <w:rPr>
          <w:lang w:val="nb-NO"/>
        </w:rPr>
      </w:pPr>
      <w:r w:rsidRPr="00A942F6">
        <w:rPr>
          <w:lang w:val="nb-NO"/>
        </w:rPr>
        <w:t>For personer som veier mer enn 100 kg, anbefales ikke doser høyere enn 800 mg per infusjon (se pkt.</w:t>
      </w:r>
      <w:r w:rsidR="00366C66" w:rsidRPr="00A942F6">
        <w:rPr>
          <w:lang w:val="nb-NO"/>
        </w:rPr>
        <w:t> </w:t>
      </w:r>
      <w:r w:rsidRPr="00A942F6">
        <w:rPr>
          <w:lang w:val="nb-NO"/>
        </w:rPr>
        <w:t>5.2).</w:t>
      </w:r>
    </w:p>
    <w:p w14:paraId="6E49DFC0" w14:textId="77777777" w:rsidR="004A07DC" w:rsidRPr="00A942F6" w:rsidRDefault="004A07DC" w:rsidP="00641834">
      <w:pPr>
        <w:rPr>
          <w:lang w:val="nb-NO"/>
        </w:rPr>
      </w:pPr>
    </w:p>
    <w:p w14:paraId="2319C32F" w14:textId="04CA0E4A" w:rsidR="004A07DC" w:rsidRPr="00A942F6" w:rsidRDefault="004A07DC" w:rsidP="00641834">
      <w:pPr>
        <w:pStyle w:val="Style1underline"/>
        <w:rPr>
          <w:lang w:val="nb-NO"/>
        </w:rPr>
      </w:pPr>
      <w:r w:rsidRPr="00A942F6">
        <w:rPr>
          <w:lang w:val="nb-NO"/>
        </w:rPr>
        <w:t xml:space="preserve">Administrering av </w:t>
      </w:r>
      <w:r w:rsidR="00923E68" w:rsidRPr="00A942F6">
        <w:rPr>
          <w:lang w:val="nb-NO"/>
        </w:rPr>
        <w:t>Avtozma</w:t>
      </w:r>
      <w:r w:rsidRPr="00A942F6">
        <w:rPr>
          <w:lang w:val="nb-NO"/>
        </w:rPr>
        <w:t xml:space="preserve"> anbefales ikke til pasienter med covid-19 som har noen av følgende unormale laboratorieprøver:</w:t>
      </w:r>
    </w:p>
    <w:p w14:paraId="2E61B46C"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17"/>
        <w:gridCol w:w="3019"/>
      </w:tblGrid>
      <w:tr w:rsidR="004A07DC" w:rsidRPr="00A942F6" w14:paraId="1C289DB6" w14:textId="77777777" w:rsidTr="00E1582A">
        <w:trPr>
          <w:tblHeader/>
        </w:trPr>
        <w:tc>
          <w:tcPr>
            <w:tcW w:w="3019" w:type="dxa"/>
          </w:tcPr>
          <w:p w14:paraId="75535E9C" w14:textId="77777777" w:rsidR="004A07DC" w:rsidRPr="00A942F6" w:rsidRDefault="004A07DC" w:rsidP="00641834">
            <w:pPr>
              <w:pStyle w:val="TableParagraph"/>
              <w:jc w:val="center"/>
              <w:rPr>
                <w:sz w:val="20"/>
                <w:szCs w:val="20"/>
                <w:lang w:val="nb-NO"/>
              </w:rPr>
            </w:pPr>
            <w:r w:rsidRPr="00A942F6">
              <w:rPr>
                <w:sz w:val="20"/>
                <w:szCs w:val="20"/>
                <w:u w:val="single"/>
                <w:lang w:val="nb-NO"/>
              </w:rPr>
              <w:t>Type laboratorietest</w:t>
            </w:r>
          </w:p>
        </w:tc>
        <w:tc>
          <w:tcPr>
            <w:tcW w:w="3017" w:type="dxa"/>
          </w:tcPr>
          <w:p w14:paraId="1A617C89" w14:textId="77777777" w:rsidR="004A07DC" w:rsidRPr="00A942F6" w:rsidRDefault="004A07DC" w:rsidP="00641834">
            <w:pPr>
              <w:pStyle w:val="TableParagraph"/>
              <w:jc w:val="center"/>
              <w:rPr>
                <w:sz w:val="20"/>
                <w:szCs w:val="20"/>
                <w:lang w:val="nb-NO"/>
              </w:rPr>
            </w:pPr>
            <w:r w:rsidRPr="00A942F6">
              <w:rPr>
                <w:sz w:val="20"/>
                <w:szCs w:val="20"/>
                <w:u w:val="single"/>
                <w:lang w:val="nb-NO"/>
              </w:rPr>
              <w:t>Laboratorieverdi</w:t>
            </w:r>
          </w:p>
        </w:tc>
        <w:tc>
          <w:tcPr>
            <w:tcW w:w="3019" w:type="dxa"/>
          </w:tcPr>
          <w:p w14:paraId="28F362F8" w14:textId="77777777" w:rsidR="004A07DC" w:rsidRPr="00A942F6" w:rsidRDefault="004A07DC" w:rsidP="00641834">
            <w:pPr>
              <w:pStyle w:val="TableParagraph"/>
              <w:jc w:val="center"/>
              <w:rPr>
                <w:sz w:val="20"/>
                <w:szCs w:val="20"/>
                <w:lang w:val="nb-NO"/>
              </w:rPr>
            </w:pPr>
            <w:r w:rsidRPr="00A942F6">
              <w:rPr>
                <w:sz w:val="20"/>
                <w:szCs w:val="20"/>
                <w:u w:val="single"/>
                <w:lang w:val="nb-NO"/>
              </w:rPr>
              <w:t>Tiltak</w:t>
            </w:r>
          </w:p>
        </w:tc>
      </w:tr>
      <w:tr w:rsidR="004A07DC" w:rsidRPr="00B477E5" w14:paraId="7E85E1B5" w14:textId="77777777" w:rsidTr="00E1582A">
        <w:tc>
          <w:tcPr>
            <w:tcW w:w="3019" w:type="dxa"/>
          </w:tcPr>
          <w:p w14:paraId="5D370BE2" w14:textId="77777777" w:rsidR="004A07DC" w:rsidRPr="00A942F6" w:rsidRDefault="004A07DC" w:rsidP="00641834">
            <w:pPr>
              <w:pStyle w:val="TableParagraph"/>
              <w:rPr>
                <w:sz w:val="20"/>
                <w:szCs w:val="20"/>
                <w:lang w:val="nb-NO"/>
              </w:rPr>
            </w:pPr>
            <w:r w:rsidRPr="00A942F6">
              <w:rPr>
                <w:sz w:val="20"/>
                <w:szCs w:val="20"/>
                <w:lang w:val="nb-NO"/>
              </w:rPr>
              <w:t>Leverenzymverdi</w:t>
            </w:r>
          </w:p>
        </w:tc>
        <w:tc>
          <w:tcPr>
            <w:tcW w:w="3017" w:type="dxa"/>
          </w:tcPr>
          <w:p w14:paraId="23CFC2DB" w14:textId="77777777" w:rsidR="004A07DC" w:rsidRPr="00A942F6" w:rsidRDefault="004A07DC" w:rsidP="00641834">
            <w:pPr>
              <w:pStyle w:val="TableParagraph"/>
              <w:jc w:val="center"/>
              <w:rPr>
                <w:sz w:val="20"/>
                <w:szCs w:val="20"/>
                <w:lang w:val="nb-NO"/>
              </w:rPr>
            </w:pPr>
            <w:r w:rsidRPr="00A942F6">
              <w:rPr>
                <w:sz w:val="20"/>
                <w:szCs w:val="20"/>
                <w:u w:val="single"/>
                <w:lang w:val="nb-NO"/>
              </w:rPr>
              <w:t xml:space="preserve">&gt; </w:t>
            </w:r>
            <w:r w:rsidRPr="00A942F6">
              <w:rPr>
                <w:sz w:val="20"/>
                <w:szCs w:val="20"/>
                <w:lang w:val="nb-NO"/>
              </w:rPr>
              <w:t>10 x ULN</w:t>
            </w:r>
          </w:p>
        </w:tc>
        <w:tc>
          <w:tcPr>
            <w:tcW w:w="3019" w:type="dxa"/>
            <w:vMerge w:val="restart"/>
          </w:tcPr>
          <w:p w14:paraId="747318A8" w14:textId="5692DD5C" w:rsidR="004A07DC" w:rsidRPr="00A942F6" w:rsidRDefault="004A07DC" w:rsidP="00641834">
            <w:pPr>
              <w:pStyle w:val="TableParagraph"/>
              <w:rPr>
                <w:sz w:val="20"/>
                <w:szCs w:val="20"/>
                <w:lang w:val="nb-NO"/>
              </w:rPr>
            </w:pPr>
            <w:r w:rsidRPr="00A942F6">
              <w:rPr>
                <w:sz w:val="20"/>
                <w:szCs w:val="20"/>
                <w:lang w:val="nb-NO"/>
              </w:rPr>
              <w:t xml:space="preserve">Administrering av </w:t>
            </w:r>
            <w:r w:rsidR="00923E68" w:rsidRPr="00A942F6">
              <w:rPr>
                <w:sz w:val="20"/>
                <w:szCs w:val="20"/>
                <w:lang w:val="nb-NO"/>
              </w:rPr>
              <w:t>Avtozma</w:t>
            </w:r>
            <w:r w:rsidRPr="00A942F6">
              <w:rPr>
                <w:sz w:val="20"/>
                <w:szCs w:val="20"/>
                <w:lang w:val="nb-NO"/>
              </w:rPr>
              <w:t xml:space="preserve"> anbefales ikke</w:t>
            </w:r>
          </w:p>
        </w:tc>
      </w:tr>
      <w:tr w:rsidR="004A07DC" w:rsidRPr="00A942F6" w14:paraId="6721582C" w14:textId="77777777" w:rsidTr="00E1582A">
        <w:tc>
          <w:tcPr>
            <w:tcW w:w="3019" w:type="dxa"/>
          </w:tcPr>
          <w:p w14:paraId="7130E68B" w14:textId="77777777" w:rsidR="004A07DC" w:rsidRPr="00A942F6" w:rsidRDefault="004A07DC" w:rsidP="00641834">
            <w:pPr>
              <w:pStyle w:val="TableParagraph"/>
              <w:rPr>
                <w:sz w:val="20"/>
                <w:szCs w:val="20"/>
                <w:lang w:val="nb-NO"/>
              </w:rPr>
            </w:pPr>
            <w:r w:rsidRPr="00A942F6">
              <w:rPr>
                <w:sz w:val="20"/>
                <w:szCs w:val="20"/>
                <w:lang w:val="nb-NO"/>
              </w:rPr>
              <w:t>Absolutt nøytrofiltall</w:t>
            </w:r>
          </w:p>
        </w:tc>
        <w:tc>
          <w:tcPr>
            <w:tcW w:w="3017" w:type="dxa"/>
          </w:tcPr>
          <w:p w14:paraId="7C096432" w14:textId="77777777" w:rsidR="004A07DC" w:rsidRPr="00A942F6" w:rsidRDefault="004A07DC" w:rsidP="00641834">
            <w:pPr>
              <w:pStyle w:val="TableParagraph"/>
              <w:jc w:val="center"/>
              <w:rPr>
                <w:sz w:val="20"/>
                <w:szCs w:val="20"/>
                <w:lang w:val="nb-NO"/>
              </w:rPr>
            </w:pPr>
            <w:r w:rsidRPr="00A942F6">
              <w:rPr>
                <w:sz w:val="20"/>
                <w:szCs w:val="20"/>
                <w:lang w:val="nb-NO"/>
              </w:rPr>
              <w:t>&lt; 1 x 10</w:t>
            </w:r>
            <w:r w:rsidRPr="00A942F6">
              <w:rPr>
                <w:sz w:val="20"/>
                <w:szCs w:val="20"/>
                <w:vertAlign w:val="superscript"/>
                <w:lang w:val="nb-NO"/>
              </w:rPr>
              <w:t>9</w:t>
            </w:r>
            <w:r w:rsidRPr="00A942F6">
              <w:rPr>
                <w:sz w:val="20"/>
                <w:szCs w:val="20"/>
                <w:lang w:val="nb-NO"/>
              </w:rPr>
              <w:t>/l</w:t>
            </w:r>
          </w:p>
        </w:tc>
        <w:tc>
          <w:tcPr>
            <w:tcW w:w="3019" w:type="dxa"/>
            <w:vMerge/>
            <w:tcBorders>
              <w:top w:val="nil"/>
            </w:tcBorders>
          </w:tcPr>
          <w:p w14:paraId="0F55BC31" w14:textId="77777777" w:rsidR="004A07DC" w:rsidRPr="00A942F6" w:rsidRDefault="004A07DC" w:rsidP="00641834">
            <w:pPr>
              <w:rPr>
                <w:sz w:val="20"/>
                <w:szCs w:val="20"/>
                <w:lang w:val="nb-NO"/>
              </w:rPr>
            </w:pPr>
          </w:p>
        </w:tc>
      </w:tr>
      <w:tr w:rsidR="004A07DC" w:rsidRPr="00A942F6" w14:paraId="40943917" w14:textId="77777777" w:rsidTr="00E1582A">
        <w:tc>
          <w:tcPr>
            <w:tcW w:w="3019" w:type="dxa"/>
          </w:tcPr>
          <w:p w14:paraId="05408EEB" w14:textId="77777777" w:rsidR="004A07DC" w:rsidRPr="00A942F6" w:rsidRDefault="004A07DC" w:rsidP="00641834">
            <w:pPr>
              <w:pStyle w:val="TableParagraph"/>
              <w:rPr>
                <w:sz w:val="20"/>
                <w:szCs w:val="20"/>
                <w:lang w:val="nb-NO"/>
              </w:rPr>
            </w:pPr>
            <w:r w:rsidRPr="00A942F6">
              <w:rPr>
                <w:sz w:val="20"/>
                <w:szCs w:val="20"/>
                <w:lang w:val="nb-NO"/>
              </w:rPr>
              <w:t>Platetall</w:t>
            </w:r>
          </w:p>
        </w:tc>
        <w:tc>
          <w:tcPr>
            <w:tcW w:w="3017" w:type="dxa"/>
          </w:tcPr>
          <w:p w14:paraId="18B77550" w14:textId="77777777" w:rsidR="004A07DC" w:rsidRPr="00A942F6" w:rsidRDefault="004A07DC" w:rsidP="00641834">
            <w:pPr>
              <w:pStyle w:val="TableParagraph"/>
              <w:jc w:val="center"/>
              <w:rPr>
                <w:sz w:val="20"/>
                <w:szCs w:val="20"/>
                <w:lang w:val="nb-NO"/>
              </w:rPr>
            </w:pPr>
            <w:r w:rsidRPr="00A942F6">
              <w:rPr>
                <w:sz w:val="20"/>
                <w:szCs w:val="20"/>
                <w:lang w:val="nb-NO"/>
              </w:rPr>
              <w:t>&lt; 50 x 10</w:t>
            </w:r>
            <w:r w:rsidRPr="00A942F6">
              <w:rPr>
                <w:sz w:val="20"/>
                <w:szCs w:val="20"/>
                <w:vertAlign w:val="superscript"/>
                <w:lang w:val="nb-NO"/>
              </w:rPr>
              <w:t>3</w:t>
            </w:r>
            <w:r w:rsidRPr="00A942F6">
              <w:rPr>
                <w:sz w:val="20"/>
                <w:szCs w:val="20"/>
                <w:lang w:val="nb-NO"/>
              </w:rPr>
              <w:t>/mikroliter</w:t>
            </w:r>
          </w:p>
        </w:tc>
        <w:tc>
          <w:tcPr>
            <w:tcW w:w="3019" w:type="dxa"/>
            <w:vMerge/>
            <w:tcBorders>
              <w:top w:val="nil"/>
            </w:tcBorders>
          </w:tcPr>
          <w:p w14:paraId="511C2A6B" w14:textId="77777777" w:rsidR="004A07DC" w:rsidRPr="00A942F6" w:rsidRDefault="004A07DC" w:rsidP="00641834">
            <w:pPr>
              <w:rPr>
                <w:sz w:val="20"/>
                <w:szCs w:val="20"/>
                <w:lang w:val="nb-NO"/>
              </w:rPr>
            </w:pPr>
          </w:p>
        </w:tc>
      </w:tr>
    </w:tbl>
    <w:p w14:paraId="115F089E" w14:textId="77777777" w:rsidR="004A07DC" w:rsidRPr="00A942F6" w:rsidRDefault="004A07DC" w:rsidP="00641834">
      <w:pPr>
        <w:rPr>
          <w:lang w:val="nb-NO"/>
        </w:rPr>
      </w:pPr>
    </w:p>
    <w:p w14:paraId="05DA4009" w14:textId="77777777" w:rsidR="004A07DC" w:rsidRPr="00A942F6" w:rsidRDefault="004A07DC" w:rsidP="00641834">
      <w:pPr>
        <w:pStyle w:val="Style1underline"/>
        <w:rPr>
          <w:lang w:val="nb-NO"/>
        </w:rPr>
      </w:pPr>
      <w:r w:rsidRPr="00A942F6">
        <w:rPr>
          <w:lang w:val="nb-NO"/>
        </w:rPr>
        <w:t>Cytokinfrigjøringssyndrom (CRS) (voksne, barn og ungdom)</w:t>
      </w:r>
    </w:p>
    <w:p w14:paraId="20D75A4F" w14:textId="77777777" w:rsidR="004A07DC" w:rsidRPr="00A942F6" w:rsidRDefault="004A07DC" w:rsidP="00641834">
      <w:pPr>
        <w:rPr>
          <w:lang w:val="nb-NO"/>
        </w:rPr>
      </w:pPr>
      <w:r w:rsidRPr="00A942F6">
        <w:rPr>
          <w:lang w:val="nb-NO"/>
        </w:rPr>
        <w:t>Anbefalt dose for behandling av CRS gitt som en 60-minutters intravenøs infusjon er 8 mg/kg for pasienter som veier 30 kg eller mer, eller 12 mg/kg for pasienter som veier mindre enn 30 kg.</w:t>
      </w:r>
    </w:p>
    <w:p w14:paraId="00B055A8" w14:textId="5B430044" w:rsidR="004A07DC" w:rsidRPr="00A942F6" w:rsidRDefault="00923E68" w:rsidP="00641834">
      <w:pPr>
        <w:rPr>
          <w:lang w:val="nb-NO"/>
        </w:rPr>
      </w:pPr>
      <w:r w:rsidRPr="00A942F6">
        <w:rPr>
          <w:lang w:val="nb-NO"/>
        </w:rPr>
        <w:t>Avtozma</w:t>
      </w:r>
      <w:r w:rsidR="004A07DC" w:rsidRPr="00A942F6">
        <w:rPr>
          <w:lang w:val="nb-NO"/>
        </w:rPr>
        <w:t xml:space="preserve"> kan gis alene eller i kombinasjon med kortikosteroider.</w:t>
      </w:r>
    </w:p>
    <w:p w14:paraId="07D2B00D" w14:textId="77777777" w:rsidR="004A07DC" w:rsidRPr="00A942F6" w:rsidRDefault="004A07DC" w:rsidP="00641834">
      <w:pPr>
        <w:rPr>
          <w:lang w:val="nb-NO"/>
        </w:rPr>
      </w:pPr>
    </w:p>
    <w:p w14:paraId="38B8A809" w14:textId="346E157C" w:rsidR="004A07DC" w:rsidRPr="00A942F6" w:rsidRDefault="004A07DC" w:rsidP="00641834">
      <w:pPr>
        <w:rPr>
          <w:lang w:val="nb-NO"/>
        </w:rPr>
      </w:pPr>
      <w:r w:rsidRPr="00A942F6">
        <w:rPr>
          <w:lang w:val="nb-NO"/>
        </w:rPr>
        <w:t>Hvis det ikke oppstår klinisk forbedring av tegn og symptomer på CRS etter første dose, kan inntil 3</w:t>
      </w:r>
      <w:r w:rsidR="001208EB" w:rsidRPr="00A942F6">
        <w:rPr>
          <w:lang w:val="nb-NO"/>
        </w:rPr>
        <w:t> </w:t>
      </w:r>
      <w:r w:rsidRPr="00A942F6">
        <w:rPr>
          <w:lang w:val="nb-NO"/>
        </w:rPr>
        <w:t xml:space="preserve">ekstra doser av </w:t>
      </w:r>
      <w:r w:rsidR="00923E68" w:rsidRPr="00A942F6">
        <w:rPr>
          <w:lang w:val="nb-NO"/>
        </w:rPr>
        <w:t>Avtozma</w:t>
      </w:r>
      <w:r w:rsidRPr="00A942F6">
        <w:rPr>
          <w:lang w:val="nb-NO"/>
        </w:rPr>
        <w:t xml:space="preserve"> administreres. Intervallet mellom påfølgende doser skal være på minst 8</w:t>
      </w:r>
      <w:r w:rsidR="001208EB" w:rsidRPr="00A942F6">
        <w:rPr>
          <w:lang w:val="nb-NO"/>
        </w:rPr>
        <w:t> </w:t>
      </w:r>
      <w:r w:rsidRPr="00A942F6">
        <w:rPr>
          <w:lang w:val="nb-NO"/>
        </w:rPr>
        <w:t>timer. Doser som overskrider 800 mg per infusjon, anbefales ikke hos CRS-pasienter.</w:t>
      </w:r>
    </w:p>
    <w:p w14:paraId="1F1320EC" w14:textId="77777777" w:rsidR="004A07DC" w:rsidRPr="00A942F6" w:rsidRDefault="004A07DC" w:rsidP="00641834">
      <w:pPr>
        <w:rPr>
          <w:lang w:val="nb-NO"/>
        </w:rPr>
      </w:pPr>
    </w:p>
    <w:p w14:paraId="3BE2D002" w14:textId="77777777" w:rsidR="004A07DC" w:rsidRPr="00E6250A" w:rsidRDefault="004A07DC" w:rsidP="00E26977">
      <w:pPr>
        <w:rPr>
          <w:lang w:val="nb-NO"/>
        </w:rPr>
      </w:pPr>
      <w:r w:rsidRPr="00E6250A">
        <w:rPr>
          <w:lang w:val="nb-NO"/>
        </w:rPr>
        <w:t>Pasienter med alvorlig eller livstruende CRS har ofte cytopeni eller forhøyet ALT eller AST på grunn av den underliggende maligniteten, tidligere lymfocyttdepleterende kjemoterapi eller CRS.</w:t>
      </w:r>
    </w:p>
    <w:p w14:paraId="0752A124" w14:textId="77777777" w:rsidR="004A07DC" w:rsidRPr="00A942F6" w:rsidRDefault="004A07DC" w:rsidP="00641834">
      <w:pPr>
        <w:rPr>
          <w:lang w:val="nb-NO"/>
        </w:rPr>
      </w:pPr>
    </w:p>
    <w:p w14:paraId="07FC8F57" w14:textId="77777777" w:rsidR="004A07DC" w:rsidRPr="00A942F6" w:rsidRDefault="004A07DC" w:rsidP="00641834">
      <w:pPr>
        <w:pStyle w:val="Style1underline"/>
        <w:rPr>
          <w:lang w:val="nb-NO"/>
        </w:rPr>
      </w:pPr>
      <w:r w:rsidRPr="00A942F6">
        <w:rPr>
          <w:lang w:val="nb-NO"/>
        </w:rPr>
        <w:t>Spesielle populasjoner</w:t>
      </w:r>
    </w:p>
    <w:p w14:paraId="7F13A4FD" w14:textId="77777777" w:rsidR="004A07DC" w:rsidRPr="00A942F6" w:rsidRDefault="004A07DC" w:rsidP="00641834">
      <w:pPr>
        <w:rPr>
          <w:lang w:val="nb-NO"/>
        </w:rPr>
      </w:pPr>
    </w:p>
    <w:p w14:paraId="2FAD7A71" w14:textId="77777777" w:rsidR="004A07DC" w:rsidRPr="00A942F6" w:rsidRDefault="004A07DC" w:rsidP="00641834">
      <w:pPr>
        <w:pStyle w:val="Style1Iitaic"/>
        <w:rPr>
          <w:lang w:val="nb-NO"/>
        </w:rPr>
      </w:pPr>
      <w:r w:rsidRPr="00A942F6">
        <w:rPr>
          <w:lang w:val="nb-NO"/>
        </w:rPr>
        <w:lastRenderedPageBreak/>
        <w:t>Barn og ungdom:</w:t>
      </w:r>
    </w:p>
    <w:p w14:paraId="2D3F16B2" w14:textId="77777777" w:rsidR="00366C66" w:rsidRPr="00A942F6" w:rsidRDefault="00366C66" w:rsidP="00641834">
      <w:pPr>
        <w:pStyle w:val="Style1Iitaic"/>
        <w:rPr>
          <w:lang w:val="nb-NO"/>
        </w:rPr>
      </w:pPr>
    </w:p>
    <w:p w14:paraId="685675BD" w14:textId="77777777" w:rsidR="004A07DC" w:rsidRPr="00A942F6" w:rsidRDefault="004A07DC" w:rsidP="00641834">
      <w:pPr>
        <w:pStyle w:val="Style1Iitaic"/>
        <w:rPr>
          <w:lang w:val="nb-NO"/>
        </w:rPr>
      </w:pPr>
      <w:r w:rsidRPr="00A942F6">
        <w:rPr>
          <w:lang w:val="nb-NO"/>
        </w:rPr>
        <w:t>sJIA-pasienter</w:t>
      </w:r>
    </w:p>
    <w:p w14:paraId="57EFD403" w14:textId="77777777" w:rsidR="004A07DC" w:rsidRPr="00A942F6" w:rsidRDefault="004A07DC" w:rsidP="00641834">
      <w:pPr>
        <w:rPr>
          <w:lang w:val="nb-NO"/>
        </w:rPr>
      </w:pPr>
    </w:p>
    <w:p w14:paraId="26A556B3" w14:textId="77777777" w:rsidR="004A07DC" w:rsidRPr="00A942F6" w:rsidRDefault="004A07DC" w:rsidP="00641834">
      <w:pPr>
        <w:rPr>
          <w:lang w:val="nb-NO"/>
        </w:rPr>
      </w:pPr>
      <w:r w:rsidRPr="00A942F6">
        <w:rPr>
          <w:lang w:val="nb-NO"/>
        </w:rPr>
        <w:t>Anbefalt dose for pasienter fra 2 år og oppover er 8 mg/kg én gang annenhver uke til pasienter som veier 30 kg eller mer, eller 12 mg/kg én gang annenhver uke til pasienter som veier mindre enn 30 kg. Dosen bør beregnes ut i fra pasientens kroppsvekt ved hver administrasjon. Endring av dosen skal skje bare på bakgrunn av en vedvarende endring av pasientens kroppsvekt over tid.</w:t>
      </w:r>
    </w:p>
    <w:p w14:paraId="2FFBE22D" w14:textId="77777777" w:rsidR="00366C66" w:rsidRPr="00A942F6" w:rsidRDefault="00366C66" w:rsidP="00641834">
      <w:pPr>
        <w:rPr>
          <w:lang w:val="nb-NO"/>
        </w:rPr>
      </w:pPr>
    </w:p>
    <w:p w14:paraId="6D20A752" w14:textId="7E3AF548" w:rsidR="004A07DC" w:rsidRPr="00A942F6" w:rsidRDefault="004A07DC" w:rsidP="00641834">
      <w:pPr>
        <w:rPr>
          <w:lang w:val="nb-NO"/>
        </w:rPr>
      </w:pPr>
      <w:r w:rsidRPr="00A942F6">
        <w:rPr>
          <w:lang w:val="nb-NO"/>
        </w:rPr>
        <w:t xml:space="preserve">Sikkerhet og effekt av intravenøs </w:t>
      </w:r>
      <w:r w:rsidR="00923E68" w:rsidRPr="00A942F6">
        <w:rPr>
          <w:lang w:val="nb-NO"/>
        </w:rPr>
        <w:t>Avtozma</w:t>
      </w:r>
      <w:r w:rsidRPr="00A942F6">
        <w:rPr>
          <w:lang w:val="nb-NO"/>
        </w:rPr>
        <w:t xml:space="preserve"> hos barn under 2 år har ikke blitt fastslått.</w:t>
      </w:r>
    </w:p>
    <w:p w14:paraId="18BFDFDD" w14:textId="77777777" w:rsidR="004A07DC" w:rsidRPr="00A942F6" w:rsidRDefault="004A07DC" w:rsidP="00641834">
      <w:pPr>
        <w:rPr>
          <w:lang w:val="nb-NO"/>
        </w:rPr>
      </w:pPr>
    </w:p>
    <w:p w14:paraId="13FBEA7E" w14:textId="77777777" w:rsidR="004A07DC" w:rsidRPr="00A942F6" w:rsidRDefault="004A07DC" w:rsidP="00641834">
      <w:pPr>
        <w:rPr>
          <w:lang w:val="nb-NO"/>
        </w:rPr>
      </w:pPr>
      <w:r w:rsidRPr="00A942F6">
        <w:rPr>
          <w:lang w:val="nb-NO"/>
        </w:rPr>
        <w:t>Seponering av tocilizumab hos sJIA-pasienter anbefales ved følgende unormale laboratoriesvar som i tabellen under. Dersom det er hensiktsmessig, bør dosen av samtidig administrert metotreksat og/eller andre medikamenter modifiseres eller seponeres, og administrasjonen av tocilizumab bør avbrytes inntil den kliniske situasjonen er vurdert. Da det er mange komorbide tilstander som kan påvirke laboratorieverdiene ved sJIA, bør beslutningen om å seponere tocilizumab på grunn av unormale laboratoriesvar, være basert på en klinisk vurdering av den aktuelle pasienten.</w:t>
      </w:r>
    </w:p>
    <w:p w14:paraId="425FA902" w14:textId="77777777" w:rsidR="004A07DC" w:rsidRPr="00A942F6" w:rsidRDefault="004A07DC" w:rsidP="00641834">
      <w:pPr>
        <w:rPr>
          <w:lang w:val="nb-NO"/>
        </w:rPr>
      </w:pPr>
    </w:p>
    <w:p w14:paraId="6AE38545" w14:textId="77777777" w:rsidR="004A07DC" w:rsidRPr="00A942F6" w:rsidRDefault="004A07DC" w:rsidP="00641834">
      <w:pPr>
        <w:pStyle w:val="Bullet1cm"/>
        <w:rPr>
          <w:lang w:val="nb-NO"/>
        </w:rPr>
      </w:pPr>
      <w:r w:rsidRPr="00A942F6">
        <w:rPr>
          <w:lang w:val="nb-NO"/>
        </w:rPr>
        <w:t>Unormale leverenzymverdier</w:t>
      </w:r>
    </w:p>
    <w:p w14:paraId="357C9636"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5530"/>
      </w:tblGrid>
      <w:tr w:rsidR="004A07DC" w:rsidRPr="00A942F6" w14:paraId="73A6BFDC" w14:textId="77777777" w:rsidTr="00E1582A">
        <w:trPr>
          <w:cantSplit/>
          <w:trHeight w:val="20"/>
          <w:tblHeader/>
        </w:trPr>
        <w:tc>
          <w:tcPr>
            <w:tcW w:w="2417" w:type="dxa"/>
          </w:tcPr>
          <w:p w14:paraId="079B700F" w14:textId="77777777" w:rsidR="004A07DC" w:rsidRPr="00A942F6" w:rsidRDefault="004A07DC" w:rsidP="00641834">
            <w:pPr>
              <w:pStyle w:val="TableParagraph"/>
              <w:jc w:val="center"/>
              <w:rPr>
                <w:b/>
                <w:sz w:val="20"/>
                <w:szCs w:val="20"/>
                <w:lang w:val="nb-NO"/>
              </w:rPr>
            </w:pPr>
            <w:r w:rsidRPr="00A942F6">
              <w:rPr>
                <w:b/>
                <w:sz w:val="20"/>
                <w:szCs w:val="20"/>
                <w:lang w:val="nb-NO"/>
              </w:rPr>
              <w:t>Laboratorie- verdier</w:t>
            </w:r>
          </w:p>
        </w:tc>
        <w:tc>
          <w:tcPr>
            <w:tcW w:w="5530" w:type="dxa"/>
          </w:tcPr>
          <w:p w14:paraId="7126AC23"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B477E5" w14:paraId="4AFFFBF6" w14:textId="77777777" w:rsidTr="00E1582A">
        <w:trPr>
          <w:cantSplit/>
          <w:trHeight w:val="20"/>
        </w:trPr>
        <w:tc>
          <w:tcPr>
            <w:tcW w:w="2417" w:type="dxa"/>
          </w:tcPr>
          <w:p w14:paraId="5F1B5295" w14:textId="77777777" w:rsidR="004A07DC" w:rsidRPr="00A942F6" w:rsidRDefault="004A07DC" w:rsidP="00641834">
            <w:pPr>
              <w:pStyle w:val="TableParagraph"/>
              <w:rPr>
                <w:sz w:val="20"/>
                <w:szCs w:val="20"/>
                <w:lang w:val="nb-NO"/>
              </w:rPr>
            </w:pPr>
            <w:r w:rsidRPr="00A942F6">
              <w:rPr>
                <w:sz w:val="20"/>
                <w:szCs w:val="20"/>
                <w:lang w:val="nb-NO"/>
              </w:rPr>
              <w:t>&gt; 1 til 3 x ULN</w:t>
            </w:r>
          </w:p>
        </w:tc>
        <w:tc>
          <w:tcPr>
            <w:tcW w:w="5530" w:type="dxa"/>
          </w:tcPr>
          <w:p w14:paraId="363BFB1E" w14:textId="77777777" w:rsidR="004A07DC" w:rsidRPr="00A942F6" w:rsidRDefault="004A07DC" w:rsidP="00641834">
            <w:pPr>
              <w:pStyle w:val="TableParagraph"/>
              <w:rPr>
                <w:sz w:val="20"/>
                <w:szCs w:val="20"/>
                <w:lang w:val="nb-NO"/>
              </w:rPr>
            </w:pPr>
            <w:r w:rsidRPr="00A942F6">
              <w:rPr>
                <w:sz w:val="20"/>
                <w:szCs w:val="20"/>
                <w:lang w:val="nb-NO"/>
              </w:rPr>
              <w:t>Juster dosen av samtidig metotreksat hvis nødvendig</w:t>
            </w:r>
          </w:p>
          <w:p w14:paraId="361D7156" w14:textId="77777777" w:rsidR="004A07DC" w:rsidRPr="00A942F6" w:rsidRDefault="004A07DC" w:rsidP="00641834">
            <w:pPr>
              <w:pStyle w:val="TableParagraph"/>
              <w:rPr>
                <w:sz w:val="20"/>
                <w:szCs w:val="20"/>
                <w:lang w:val="nb-NO"/>
              </w:rPr>
            </w:pPr>
          </w:p>
          <w:p w14:paraId="2291B601" w14:textId="36E0D70C" w:rsidR="004A07DC" w:rsidRPr="00A942F6" w:rsidRDefault="004A07DC" w:rsidP="00641834">
            <w:pPr>
              <w:pStyle w:val="TableParagraph"/>
              <w:rPr>
                <w:sz w:val="20"/>
                <w:szCs w:val="20"/>
                <w:lang w:val="nb-NO"/>
              </w:rPr>
            </w:pPr>
            <w:r w:rsidRPr="00A942F6">
              <w:rPr>
                <w:sz w:val="20"/>
                <w:szCs w:val="20"/>
                <w:lang w:val="nb-NO"/>
              </w:rPr>
              <w:t xml:space="preserve">Ved vedvarende forhøyede verdier innenfor dette området, reduser </w:t>
            </w:r>
            <w:r w:rsidR="00923E68" w:rsidRPr="00A942F6">
              <w:rPr>
                <w:sz w:val="20"/>
                <w:szCs w:val="20"/>
                <w:lang w:val="nb-NO"/>
              </w:rPr>
              <w:t>Avtozma</w:t>
            </w:r>
            <w:r w:rsidRPr="00A942F6">
              <w:rPr>
                <w:sz w:val="20"/>
                <w:szCs w:val="20"/>
                <w:lang w:val="nb-NO"/>
              </w:rPr>
              <w:t>-dosen inntil alaninamino-transferase (ALAT) eller aspartataminotransferase (ASAT) er normalisert</w:t>
            </w:r>
          </w:p>
        </w:tc>
      </w:tr>
      <w:tr w:rsidR="004A07DC" w:rsidRPr="00B477E5" w14:paraId="5F70B949" w14:textId="77777777" w:rsidTr="00E1582A">
        <w:trPr>
          <w:cantSplit/>
          <w:trHeight w:val="20"/>
        </w:trPr>
        <w:tc>
          <w:tcPr>
            <w:tcW w:w="2417" w:type="dxa"/>
          </w:tcPr>
          <w:p w14:paraId="5971DDAA" w14:textId="77777777" w:rsidR="004A07DC" w:rsidRPr="00A942F6" w:rsidRDefault="004A07DC" w:rsidP="00641834">
            <w:pPr>
              <w:pStyle w:val="TableParagraph"/>
              <w:rPr>
                <w:sz w:val="20"/>
                <w:szCs w:val="20"/>
                <w:lang w:val="nb-NO"/>
              </w:rPr>
            </w:pPr>
            <w:r w:rsidRPr="00A942F6">
              <w:rPr>
                <w:sz w:val="20"/>
                <w:szCs w:val="20"/>
                <w:lang w:val="nb-NO"/>
              </w:rPr>
              <w:t>&gt; 3 til 5 x ULN</w:t>
            </w:r>
          </w:p>
        </w:tc>
        <w:tc>
          <w:tcPr>
            <w:tcW w:w="5530" w:type="dxa"/>
          </w:tcPr>
          <w:p w14:paraId="00519FAC" w14:textId="77777777" w:rsidR="004A07DC" w:rsidRPr="00A942F6" w:rsidRDefault="004A07DC" w:rsidP="00641834">
            <w:pPr>
              <w:pStyle w:val="TableParagraph"/>
              <w:rPr>
                <w:sz w:val="20"/>
                <w:szCs w:val="20"/>
                <w:lang w:val="nb-NO"/>
              </w:rPr>
            </w:pPr>
            <w:r w:rsidRPr="00A942F6">
              <w:rPr>
                <w:sz w:val="20"/>
                <w:szCs w:val="20"/>
                <w:lang w:val="nb-NO"/>
              </w:rPr>
              <w:t>Juster dosen av samtidig metotreksat hvis nødvendig</w:t>
            </w:r>
          </w:p>
          <w:p w14:paraId="566745F3" w14:textId="77777777" w:rsidR="004A07DC" w:rsidRPr="00A942F6" w:rsidRDefault="004A07DC" w:rsidP="00641834">
            <w:pPr>
              <w:pStyle w:val="TableParagraph"/>
              <w:rPr>
                <w:sz w:val="20"/>
                <w:szCs w:val="20"/>
                <w:lang w:val="nb-NO"/>
              </w:rPr>
            </w:pPr>
          </w:p>
          <w:p w14:paraId="52F36B85" w14:textId="6AA6C5FE"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inntil &lt; 3 x ULN, og følg anbefalninger over for &gt; 1 til 3 x ULN</w:t>
            </w:r>
          </w:p>
        </w:tc>
      </w:tr>
      <w:tr w:rsidR="004A07DC" w:rsidRPr="00B477E5" w14:paraId="2CB5CCB1" w14:textId="77777777" w:rsidTr="00E1582A">
        <w:trPr>
          <w:cantSplit/>
          <w:trHeight w:val="20"/>
        </w:trPr>
        <w:tc>
          <w:tcPr>
            <w:tcW w:w="2417" w:type="dxa"/>
          </w:tcPr>
          <w:p w14:paraId="02811BE9" w14:textId="77777777" w:rsidR="004A07DC" w:rsidRPr="00A942F6" w:rsidRDefault="004A07DC" w:rsidP="00641834">
            <w:pPr>
              <w:pStyle w:val="TableParagraph"/>
              <w:rPr>
                <w:sz w:val="20"/>
                <w:szCs w:val="20"/>
                <w:lang w:val="nb-NO"/>
              </w:rPr>
            </w:pPr>
            <w:r w:rsidRPr="00A942F6">
              <w:rPr>
                <w:sz w:val="20"/>
                <w:szCs w:val="20"/>
                <w:lang w:val="nb-NO"/>
              </w:rPr>
              <w:t>&gt; 5 x ULN</w:t>
            </w:r>
          </w:p>
        </w:tc>
        <w:tc>
          <w:tcPr>
            <w:tcW w:w="5530" w:type="dxa"/>
          </w:tcPr>
          <w:p w14:paraId="2E186CD2" w14:textId="1B068AED"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7A139073" w14:textId="77777777" w:rsidR="001208EB" w:rsidRPr="00A942F6" w:rsidRDefault="001208EB" w:rsidP="00641834">
            <w:pPr>
              <w:pStyle w:val="TableParagraph"/>
              <w:rPr>
                <w:sz w:val="20"/>
                <w:szCs w:val="20"/>
                <w:lang w:val="nb-NO"/>
              </w:rPr>
            </w:pPr>
          </w:p>
          <w:p w14:paraId="5B998CA7" w14:textId="650C5DEB" w:rsidR="004A07DC" w:rsidRPr="00A942F6" w:rsidRDefault="004A07DC"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på grunn av unormale laboratorieverdier skal baseres på medisinsk vurdering av hver enkelt pasient</w:t>
            </w:r>
          </w:p>
        </w:tc>
      </w:tr>
    </w:tbl>
    <w:p w14:paraId="557A7CF7" w14:textId="77777777" w:rsidR="004A07DC" w:rsidRPr="00A942F6" w:rsidRDefault="004A07DC" w:rsidP="00641834">
      <w:pPr>
        <w:rPr>
          <w:lang w:val="nb-NO"/>
        </w:rPr>
      </w:pPr>
    </w:p>
    <w:p w14:paraId="5718E154" w14:textId="77777777" w:rsidR="004A07DC" w:rsidRPr="00A942F6" w:rsidRDefault="004A07DC" w:rsidP="00641834">
      <w:pPr>
        <w:pStyle w:val="Bullet1cm"/>
        <w:rPr>
          <w:lang w:val="nb-NO"/>
        </w:rPr>
      </w:pPr>
      <w:r w:rsidRPr="00A942F6">
        <w:rPr>
          <w:lang w:val="nb-NO"/>
        </w:rPr>
        <w:t>Lavt absolutt nøytrofiltall (ANC)</w:t>
      </w:r>
    </w:p>
    <w:p w14:paraId="708925EF"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5555"/>
      </w:tblGrid>
      <w:tr w:rsidR="004A07DC" w:rsidRPr="00A942F6" w14:paraId="13CB122D" w14:textId="77777777" w:rsidTr="00E1582A">
        <w:trPr>
          <w:cantSplit/>
          <w:trHeight w:val="20"/>
          <w:tblHeader/>
        </w:trPr>
        <w:tc>
          <w:tcPr>
            <w:tcW w:w="2459" w:type="dxa"/>
          </w:tcPr>
          <w:p w14:paraId="58813A88" w14:textId="77777777" w:rsidR="004A07DC" w:rsidRPr="00A942F6" w:rsidRDefault="004A07DC" w:rsidP="00641834">
            <w:pPr>
              <w:pStyle w:val="TableParagraph"/>
              <w:jc w:val="center"/>
              <w:rPr>
                <w:b/>
                <w:sz w:val="20"/>
                <w:szCs w:val="20"/>
                <w:lang w:val="nb-NO"/>
              </w:rPr>
            </w:pPr>
            <w:r w:rsidRPr="00A942F6">
              <w:rPr>
                <w:b/>
                <w:sz w:val="20"/>
                <w:szCs w:val="20"/>
                <w:lang w:val="nb-NO"/>
              </w:rPr>
              <w:t>Laboratorie verdier (celler x 10</w:t>
            </w:r>
            <w:r w:rsidRPr="00A942F6">
              <w:rPr>
                <w:b/>
                <w:sz w:val="20"/>
                <w:szCs w:val="20"/>
                <w:vertAlign w:val="superscript"/>
                <w:lang w:val="nb-NO"/>
              </w:rPr>
              <w:t>9</w:t>
            </w:r>
            <w:r w:rsidRPr="00A942F6">
              <w:rPr>
                <w:b/>
                <w:sz w:val="20"/>
                <w:szCs w:val="20"/>
                <w:lang w:val="nb-NO"/>
              </w:rPr>
              <w:t>/ liter )</w:t>
            </w:r>
          </w:p>
        </w:tc>
        <w:tc>
          <w:tcPr>
            <w:tcW w:w="5555" w:type="dxa"/>
          </w:tcPr>
          <w:p w14:paraId="70AF6538"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A942F6" w14:paraId="7C80C223" w14:textId="77777777" w:rsidTr="00E1582A">
        <w:trPr>
          <w:cantSplit/>
          <w:trHeight w:val="20"/>
        </w:trPr>
        <w:tc>
          <w:tcPr>
            <w:tcW w:w="2459" w:type="dxa"/>
          </w:tcPr>
          <w:p w14:paraId="70851380" w14:textId="77777777" w:rsidR="004A07DC" w:rsidRPr="00A942F6" w:rsidRDefault="004A07DC" w:rsidP="00641834">
            <w:pPr>
              <w:pStyle w:val="TableParagraph"/>
              <w:rPr>
                <w:sz w:val="20"/>
                <w:szCs w:val="20"/>
                <w:lang w:val="nb-NO"/>
              </w:rPr>
            </w:pPr>
            <w:r w:rsidRPr="00A942F6">
              <w:rPr>
                <w:sz w:val="20"/>
                <w:szCs w:val="20"/>
                <w:lang w:val="nb-NO"/>
              </w:rPr>
              <w:t>ANC &gt; 1</w:t>
            </w:r>
          </w:p>
        </w:tc>
        <w:tc>
          <w:tcPr>
            <w:tcW w:w="5555" w:type="dxa"/>
          </w:tcPr>
          <w:p w14:paraId="3C49F675" w14:textId="77777777" w:rsidR="004A07DC" w:rsidRPr="00A942F6" w:rsidRDefault="004A07DC" w:rsidP="00641834">
            <w:pPr>
              <w:pStyle w:val="TableParagraph"/>
              <w:rPr>
                <w:sz w:val="20"/>
                <w:szCs w:val="20"/>
                <w:lang w:val="nb-NO"/>
              </w:rPr>
            </w:pPr>
            <w:r w:rsidRPr="00A942F6">
              <w:rPr>
                <w:sz w:val="20"/>
                <w:szCs w:val="20"/>
                <w:lang w:val="nb-NO"/>
              </w:rPr>
              <w:t>Oppretthold doseringen</w:t>
            </w:r>
          </w:p>
        </w:tc>
      </w:tr>
      <w:tr w:rsidR="004A07DC" w:rsidRPr="00B477E5" w14:paraId="0013F687" w14:textId="77777777" w:rsidTr="00E1582A">
        <w:trPr>
          <w:cantSplit/>
          <w:trHeight w:val="20"/>
        </w:trPr>
        <w:tc>
          <w:tcPr>
            <w:tcW w:w="2459" w:type="dxa"/>
          </w:tcPr>
          <w:p w14:paraId="72A4BE89" w14:textId="77777777" w:rsidR="004A07DC" w:rsidRPr="00A942F6" w:rsidRDefault="004A07DC" w:rsidP="00641834">
            <w:pPr>
              <w:pStyle w:val="TableParagraph"/>
              <w:rPr>
                <w:sz w:val="20"/>
                <w:szCs w:val="20"/>
                <w:lang w:val="nb-NO"/>
              </w:rPr>
            </w:pPr>
            <w:r w:rsidRPr="00A942F6">
              <w:rPr>
                <w:sz w:val="20"/>
                <w:szCs w:val="20"/>
                <w:lang w:val="nb-NO"/>
              </w:rPr>
              <w:t>ANC 0,5 til 1</w:t>
            </w:r>
          </w:p>
        </w:tc>
        <w:tc>
          <w:tcPr>
            <w:tcW w:w="5555" w:type="dxa"/>
          </w:tcPr>
          <w:p w14:paraId="352E777F" w14:textId="267BE693" w:rsidR="004A07DC" w:rsidRPr="00A942F6" w:rsidRDefault="004A07DC" w:rsidP="00641834">
            <w:pPr>
              <w:pStyle w:val="TableParagraph"/>
              <w:rPr>
                <w:sz w:val="20"/>
                <w:szCs w:val="20"/>
                <w:lang w:val="nb-NO"/>
              </w:rPr>
            </w:pPr>
            <w:r w:rsidRPr="00A942F6">
              <w:rPr>
                <w:sz w:val="20"/>
                <w:szCs w:val="20"/>
                <w:lang w:val="nb-NO"/>
              </w:rPr>
              <w:t xml:space="preserve">Seponer dosering med </w:t>
            </w:r>
            <w:r w:rsidR="00923E68" w:rsidRPr="00A942F6">
              <w:rPr>
                <w:sz w:val="20"/>
                <w:szCs w:val="20"/>
                <w:lang w:val="nb-NO"/>
              </w:rPr>
              <w:t>Avtozma</w:t>
            </w:r>
          </w:p>
          <w:p w14:paraId="52AB0200" w14:textId="77777777" w:rsidR="00C667D2" w:rsidRPr="00A942F6" w:rsidRDefault="00C667D2" w:rsidP="00641834">
            <w:pPr>
              <w:pStyle w:val="TableParagraph"/>
              <w:rPr>
                <w:sz w:val="20"/>
                <w:szCs w:val="20"/>
                <w:lang w:val="nb-NO"/>
              </w:rPr>
            </w:pPr>
          </w:p>
          <w:p w14:paraId="0578A30E" w14:textId="7A4965F2" w:rsidR="004A07DC" w:rsidRPr="00A942F6" w:rsidRDefault="004A07DC" w:rsidP="00641834">
            <w:pPr>
              <w:pStyle w:val="TableParagraph"/>
              <w:rPr>
                <w:sz w:val="20"/>
                <w:szCs w:val="20"/>
                <w:lang w:val="nb-NO"/>
              </w:rPr>
            </w:pPr>
            <w:r w:rsidRPr="00A942F6">
              <w:rPr>
                <w:sz w:val="20"/>
                <w:szCs w:val="20"/>
                <w:lang w:val="nb-NO"/>
              </w:rPr>
              <w:t xml:space="preserve">Gjenoppta behandling med </w:t>
            </w:r>
            <w:r w:rsidR="00923E68" w:rsidRPr="00A942F6">
              <w:rPr>
                <w:sz w:val="20"/>
                <w:szCs w:val="20"/>
                <w:lang w:val="nb-NO"/>
              </w:rPr>
              <w:t>Avtozma</w:t>
            </w:r>
            <w:r w:rsidRPr="00A942F6">
              <w:rPr>
                <w:sz w:val="20"/>
                <w:szCs w:val="20"/>
                <w:lang w:val="nb-NO"/>
              </w:rPr>
              <w:t xml:space="preserve"> når ANC øker til &gt; 1</w:t>
            </w:r>
            <w:r w:rsidR="00F4296C" w:rsidRPr="00A942F6">
              <w:rPr>
                <w:sz w:val="20"/>
                <w:szCs w:val="20"/>
                <w:lang w:val="nb-NO"/>
              </w:rPr>
              <w:t> </w:t>
            </w:r>
            <w:r w:rsidRPr="00A942F6">
              <w:rPr>
                <w:sz w:val="20"/>
                <w:szCs w:val="20"/>
                <w:lang w:val="nb-NO"/>
              </w:rPr>
              <w:t>x 10</w:t>
            </w:r>
            <w:r w:rsidRPr="00A942F6">
              <w:rPr>
                <w:sz w:val="20"/>
                <w:szCs w:val="20"/>
                <w:vertAlign w:val="superscript"/>
                <w:lang w:val="nb-NO"/>
              </w:rPr>
              <w:t>9</w:t>
            </w:r>
            <w:r w:rsidRPr="00A942F6">
              <w:rPr>
                <w:sz w:val="20"/>
                <w:szCs w:val="20"/>
                <w:lang w:val="nb-NO"/>
              </w:rPr>
              <w:t>/liter</w:t>
            </w:r>
          </w:p>
        </w:tc>
      </w:tr>
      <w:tr w:rsidR="004A07DC" w:rsidRPr="00B477E5" w14:paraId="6A7FB25A" w14:textId="77777777" w:rsidTr="00E1582A">
        <w:trPr>
          <w:cantSplit/>
          <w:trHeight w:val="20"/>
        </w:trPr>
        <w:tc>
          <w:tcPr>
            <w:tcW w:w="2459" w:type="dxa"/>
          </w:tcPr>
          <w:p w14:paraId="18E5537D" w14:textId="77777777" w:rsidR="004A07DC" w:rsidRPr="00A942F6" w:rsidRDefault="004A07DC" w:rsidP="00641834">
            <w:pPr>
              <w:pStyle w:val="TableParagraph"/>
              <w:rPr>
                <w:sz w:val="20"/>
                <w:szCs w:val="20"/>
                <w:lang w:val="nb-NO"/>
              </w:rPr>
            </w:pPr>
            <w:r w:rsidRPr="00A942F6">
              <w:rPr>
                <w:sz w:val="20"/>
                <w:szCs w:val="20"/>
                <w:lang w:val="nb-NO"/>
              </w:rPr>
              <w:t>ANC &lt; 0,5</w:t>
            </w:r>
          </w:p>
        </w:tc>
        <w:tc>
          <w:tcPr>
            <w:tcW w:w="5555" w:type="dxa"/>
          </w:tcPr>
          <w:p w14:paraId="30C0AFF7" w14:textId="6CD8FF3B"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6B2B57C9" w14:textId="77777777" w:rsidR="00C667D2" w:rsidRPr="00A942F6" w:rsidRDefault="00C667D2" w:rsidP="00641834">
            <w:pPr>
              <w:pStyle w:val="TableParagraph"/>
              <w:rPr>
                <w:sz w:val="20"/>
                <w:szCs w:val="20"/>
                <w:lang w:val="nb-NO"/>
              </w:rPr>
            </w:pPr>
          </w:p>
          <w:p w14:paraId="78D3A577" w14:textId="5BC46043" w:rsidR="004A07DC" w:rsidRPr="00A942F6" w:rsidRDefault="004A07DC"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på grunn av unormale laboratorieverdier skal baseres på medisinsk vurdering av hver enkelt pasient</w:t>
            </w:r>
          </w:p>
        </w:tc>
      </w:tr>
    </w:tbl>
    <w:p w14:paraId="3FEA04BB" w14:textId="77777777" w:rsidR="004A07DC" w:rsidRPr="00A942F6" w:rsidRDefault="004A07DC" w:rsidP="00641834">
      <w:pPr>
        <w:rPr>
          <w:lang w:val="nb-NO"/>
        </w:rPr>
      </w:pPr>
    </w:p>
    <w:p w14:paraId="0FC45234" w14:textId="77777777" w:rsidR="004A07DC" w:rsidRPr="00A942F6" w:rsidRDefault="004A07DC" w:rsidP="00641834">
      <w:pPr>
        <w:pStyle w:val="Bullet1cm"/>
        <w:rPr>
          <w:lang w:val="nb-NO"/>
        </w:rPr>
      </w:pPr>
      <w:r w:rsidRPr="00A942F6">
        <w:rPr>
          <w:lang w:val="nb-NO"/>
        </w:rPr>
        <w:t>Lavt platetall</w:t>
      </w:r>
    </w:p>
    <w:p w14:paraId="79924750"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5516"/>
      </w:tblGrid>
      <w:tr w:rsidR="004A07DC" w:rsidRPr="00A942F6" w14:paraId="5DDFB2AC" w14:textId="77777777" w:rsidTr="00E1582A">
        <w:trPr>
          <w:cantSplit/>
          <w:trHeight w:val="20"/>
          <w:tblHeader/>
        </w:trPr>
        <w:tc>
          <w:tcPr>
            <w:tcW w:w="2417" w:type="dxa"/>
          </w:tcPr>
          <w:p w14:paraId="7BC6D1A1" w14:textId="77777777" w:rsidR="004A07DC" w:rsidRPr="00A942F6" w:rsidRDefault="004A07DC" w:rsidP="00641834">
            <w:pPr>
              <w:pStyle w:val="TableParagraph"/>
              <w:jc w:val="center"/>
              <w:rPr>
                <w:b/>
                <w:sz w:val="20"/>
                <w:szCs w:val="20"/>
                <w:lang w:val="nb-NO"/>
              </w:rPr>
            </w:pPr>
            <w:r w:rsidRPr="00A942F6">
              <w:rPr>
                <w:b/>
                <w:sz w:val="20"/>
                <w:szCs w:val="20"/>
                <w:lang w:val="nb-NO"/>
              </w:rPr>
              <w:lastRenderedPageBreak/>
              <w:t>Laboratorie verdier (celler x</w:t>
            </w:r>
            <w:r w:rsidR="00C667D2" w:rsidRPr="00A942F6">
              <w:rPr>
                <w:b/>
                <w:sz w:val="20"/>
                <w:szCs w:val="20"/>
                <w:lang w:val="nb-NO"/>
              </w:rPr>
              <w:t xml:space="preserve"> </w:t>
            </w:r>
            <w:r w:rsidRPr="00A942F6">
              <w:rPr>
                <w:b/>
                <w:sz w:val="20"/>
                <w:szCs w:val="20"/>
                <w:lang w:val="nb-NO"/>
              </w:rPr>
              <w:t>10</w:t>
            </w:r>
            <w:r w:rsidRPr="00A942F6">
              <w:rPr>
                <w:b/>
                <w:sz w:val="20"/>
                <w:szCs w:val="20"/>
                <w:vertAlign w:val="superscript"/>
                <w:lang w:val="nb-NO"/>
              </w:rPr>
              <w:t>3</w:t>
            </w:r>
            <w:r w:rsidRPr="00A942F6">
              <w:rPr>
                <w:b/>
                <w:sz w:val="20"/>
                <w:szCs w:val="20"/>
                <w:lang w:val="nb-NO"/>
              </w:rPr>
              <w:t>/mikroliter)</w:t>
            </w:r>
          </w:p>
        </w:tc>
        <w:tc>
          <w:tcPr>
            <w:tcW w:w="5516" w:type="dxa"/>
          </w:tcPr>
          <w:p w14:paraId="1564FA36"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B477E5" w14:paraId="6465023A" w14:textId="77777777" w:rsidTr="00E1582A">
        <w:trPr>
          <w:cantSplit/>
          <w:trHeight w:val="20"/>
        </w:trPr>
        <w:tc>
          <w:tcPr>
            <w:tcW w:w="2417" w:type="dxa"/>
          </w:tcPr>
          <w:p w14:paraId="69D64E24" w14:textId="77777777" w:rsidR="004A07DC" w:rsidRPr="00A942F6" w:rsidRDefault="004A07DC" w:rsidP="00641834">
            <w:pPr>
              <w:pStyle w:val="TableParagraph"/>
              <w:rPr>
                <w:sz w:val="20"/>
                <w:szCs w:val="20"/>
                <w:lang w:val="nb-NO"/>
              </w:rPr>
            </w:pPr>
            <w:r w:rsidRPr="00A942F6">
              <w:rPr>
                <w:sz w:val="20"/>
                <w:szCs w:val="20"/>
                <w:lang w:val="nb-NO"/>
              </w:rPr>
              <w:t>50 til 100</w:t>
            </w:r>
          </w:p>
        </w:tc>
        <w:tc>
          <w:tcPr>
            <w:tcW w:w="5516" w:type="dxa"/>
          </w:tcPr>
          <w:p w14:paraId="5D80BD3A" w14:textId="77777777" w:rsidR="00C667D2" w:rsidRPr="00A942F6" w:rsidRDefault="004A07DC" w:rsidP="00641834">
            <w:pPr>
              <w:pStyle w:val="TableParagraph"/>
              <w:rPr>
                <w:sz w:val="20"/>
                <w:szCs w:val="20"/>
                <w:lang w:val="nb-NO"/>
              </w:rPr>
            </w:pPr>
            <w:r w:rsidRPr="00A942F6">
              <w:rPr>
                <w:sz w:val="20"/>
                <w:szCs w:val="20"/>
                <w:lang w:val="nb-NO"/>
              </w:rPr>
              <w:t>Juster dosen av samt</w:t>
            </w:r>
            <w:r w:rsidR="00C667D2" w:rsidRPr="00A942F6">
              <w:rPr>
                <w:sz w:val="20"/>
                <w:szCs w:val="20"/>
                <w:lang w:val="nb-NO"/>
              </w:rPr>
              <w:t>idig metotreksat hvis nødvendig</w:t>
            </w:r>
          </w:p>
          <w:p w14:paraId="2EE84778" w14:textId="77777777" w:rsidR="00C667D2" w:rsidRPr="00A942F6" w:rsidRDefault="00C667D2" w:rsidP="00641834">
            <w:pPr>
              <w:pStyle w:val="TableParagraph"/>
              <w:rPr>
                <w:sz w:val="20"/>
                <w:szCs w:val="20"/>
                <w:lang w:val="nb-NO"/>
              </w:rPr>
            </w:pPr>
          </w:p>
          <w:p w14:paraId="200A8191" w14:textId="17ADBE7D"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4E194947" w14:textId="77777777" w:rsidR="00C667D2" w:rsidRPr="00A942F6" w:rsidRDefault="00C667D2" w:rsidP="00641834">
            <w:pPr>
              <w:pStyle w:val="TableParagraph"/>
              <w:rPr>
                <w:sz w:val="20"/>
                <w:szCs w:val="20"/>
                <w:lang w:val="nb-NO"/>
              </w:rPr>
            </w:pPr>
          </w:p>
          <w:p w14:paraId="3B1D0C13" w14:textId="7F717435" w:rsidR="004A07DC" w:rsidRPr="00A942F6" w:rsidRDefault="004A07DC" w:rsidP="00641834">
            <w:pPr>
              <w:pStyle w:val="TableParagraph"/>
              <w:rPr>
                <w:sz w:val="20"/>
                <w:szCs w:val="20"/>
                <w:lang w:val="nb-NO"/>
              </w:rPr>
            </w:pPr>
            <w:r w:rsidRPr="00A942F6">
              <w:rPr>
                <w:sz w:val="20"/>
                <w:szCs w:val="20"/>
                <w:lang w:val="nb-NO"/>
              </w:rPr>
              <w:t xml:space="preserve">Gjenoppta behandlingen med </w:t>
            </w:r>
            <w:r w:rsidR="00923E68" w:rsidRPr="00A942F6">
              <w:rPr>
                <w:sz w:val="20"/>
                <w:szCs w:val="20"/>
                <w:lang w:val="nb-NO"/>
              </w:rPr>
              <w:t>Avtozma</w:t>
            </w:r>
            <w:r w:rsidRPr="00A942F6">
              <w:rPr>
                <w:sz w:val="20"/>
                <w:szCs w:val="20"/>
                <w:lang w:val="nb-NO"/>
              </w:rPr>
              <w:t xml:space="preserve"> når platetallet er</w:t>
            </w:r>
            <w:r w:rsidR="00C667D2" w:rsidRPr="00A942F6">
              <w:rPr>
                <w:sz w:val="20"/>
                <w:szCs w:val="20"/>
                <w:lang w:val="nb-NO"/>
              </w:rPr>
              <w:t xml:space="preserve"> </w:t>
            </w:r>
            <w:r w:rsidRPr="00A942F6">
              <w:rPr>
                <w:sz w:val="20"/>
                <w:szCs w:val="20"/>
                <w:lang w:val="nb-NO"/>
              </w:rPr>
              <w:t>&gt;</w:t>
            </w:r>
            <w:r w:rsidR="00C667D2" w:rsidRPr="00A942F6">
              <w:rPr>
                <w:sz w:val="20"/>
                <w:szCs w:val="20"/>
                <w:lang w:val="nb-NO"/>
              </w:rPr>
              <w:t> </w:t>
            </w:r>
            <w:r w:rsidRPr="00A942F6">
              <w:rPr>
                <w:sz w:val="20"/>
                <w:szCs w:val="20"/>
                <w:lang w:val="nb-NO"/>
              </w:rPr>
              <w:t>100 x 10</w:t>
            </w:r>
            <w:r w:rsidRPr="00A942F6">
              <w:rPr>
                <w:sz w:val="20"/>
                <w:szCs w:val="20"/>
                <w:vertAlign w:val="superscript"/>
                <w:lang w:val="nb-NO"/>
              </w:rPr>
              <w:t>3</w:t>
            </w:r>
            <w:r w:rsidRPr="00A942F6">
              <w:rPr>
                <w:sz w:val="20"/>
                <w:szCs w:val="20"/>
                <w:lang w:val="nb-NO"/>
              </w:rPr>
              <w:t>/mikroliter</w:t>
            </w:r>
          </w:p>
        </w:tc>
      </w:tr>
      <w:tr w:rsidR="004A07DC" w:rsidRPr="00B477E5" w14:paraId="0E2C7D88" w14:textId="77777777" w:rsidTr="00E1582A">
        <w:trPr>
          <w:cantSplit/>
          <w:trHeight w:val="20"/>
        </w:trPr>
        <w:tc>
          <w:tcPr>
            <w:tcW w:w="2417" w:type="dxa"/>
          </w:tcPr>
          <w:p w14:paraId="1213564C" w14:textId="77777777" w:rsidR="004A07DC" w:rsidRPr="00A942F6" w:rsidRDefault="004A07DC" w:rsidP="00641834">
            <w:pPr>
              <w:pStyle w:val="TableParagraph"/>
              <w:rPr>
                <w:sz w:val="20"/>
                <w:szCs w:val="20"/>
                <w:lang w:val="nb-NO"/>
              </w:rPr>
            </w:pPr>
            <w:r w:rsidRPr="00A942F6">
              <w:rPr>
                <w:sz w:val="20"/>
                <w:szCs w:val="20"/>
                <w:lang w:val="nb-NO"/>
              </w:rPr>
              <w:t>&lt; 50</w:t>
            </w:r>
          </w:p>
        </w:tc>
        <w:tc>
          <w:tcPr>
            <w:tcW w:w="5516" w:type="dxa"/>
          </w:tcPr>
          <w:p w14:paraId="0AE25251" w14:textId="3E841B4D"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p w14:paraId="277CA373" w14:textId="77777777" w:rsidR="00C667D2" w:rsidRPr="00A942F6" w:rsidRDefault="00C667D2" w:rsidP="00641834">
            <w:pPr>
              <w:pStyle w:val="TableParagraph"/>
              <w:rPr>
                <w:sz w:val="20"/>
                <w:szCs w:val="20"/>
                <w:lang w:val="nb-NO"/>
              </w:rPr>
            </w:pPr>
          </w:p>
          <w:p w14:paraId="73974B31" w14:textId="6D183129" w:rsidR="004A07DC" w:rsidRPr="00A942F6" w:rsidRDefault="004A07DC"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på grunn av unormale laboratorieverdier skal baseres på medisinsk vurdering av hver enkelt pasient</w:t>
            </w:r>
          </w:p>
        </w:tc>
      </w:tr>
    </w:tbl>
    <w:p w14:paraId="5BD87F14" w14:textId="77777777" w:rsidR="004A07DC" w:rsidRPr="00A942F6" w:rsidRDefault="004A07DC" w:rsidP="00641834">
      <w:pPr>
        <w:rPr>
          <w:lang w:val="nb-NO"/>
        </w:rPr>
      </w:pPr>
    </w:p>
    <w:p w14:paraId="1B9016B5" w14:textId="77777777" w:rsidR="004A07DC" w:rsidRPr="00A942F6" w:rsidRDefault="004A07DC" w:rsidP="00641834">
      <w:pPr>
        <w:rPr>
          <w:lang w:val="nb-NO"/>
        </w:rPr>
      </w:pPr>
      <w:r w:rsidRPr="00A942F6">
        <w:rPr>
          <w:lang w:val="nb-NO"/>
        </w:rPr>
        <w:t>Det foreligger ikke tilstrekkelige kliniske data for å vurdere virkningen av en dosereduksjon av tocilizumab hos sJIA-pasienter som har hatt unormale laboratoriesvar.</w:t>
      </w:r>
    </w:p>
    <w:p w14:paraId="01C3DB93" w14:textId="77777777" w:rsidR="004A07DC" w:rsidRPr="00A942F6" w:rsidRDefault="004A07DC" w:rsidP="00641834">
      <w:pPr>
        <w:rPr>
          <w:lang w:val="nb-NO"/>
        </w:rPr>
      </w:pPr>
    </w:p>
    <w:p w14:paraId="51CB4442" w14:textId="5422EA14" w:rsidR="004A07DC" w:rsidRPr="00A942F6" w:rsidRDefault="004A07DC" w:rsidP="00641834">
      <w:pPr>
        <w:rPr>
          <w:lang w:val="nb-NO"/>
        </w:rPr>
      </w:pPr>
      <w:r w:rsidRPr="00A942F6">
        <w:rPr>
          <w:lang w:val="nb-NO"/>
        </w:rPr>
        <w:t xml:space="preserve">Tilgjengelige data tyder på at klinisk bedring kan sees innen 6 uker etter behandlingsstart med </w:t>
      </w:r>
      <w:r w:rsidR="00923E68" w:rsidRPr="00A942F6">
        <w:rPr>
          <w:lang w:val="nb-NO"/>
        </w:rPr>
        <w:t>tocilizumab</w:t>
      </w:r>
      <w:r w:rsidRPr="00A942F6">
        <w:rPr>
          <w:lang w:val="nb-NO"/>
        </w:rPr>
        <w:t>. Fortsatt behandling bør revurderes nøye dersom pasienten ikke viser bedring i løpet av denne tiden.</w:t>
      </w:r>
    </w:p>
    <w:p w14:paraId="7E06781C" w14:textId="77777777" w:rsidR="00C667D2" w:rsidRPr="00A942F6" w:rsidRDefault="00C667D2" w:rsidP="00641834">
      <w:pPr>
        <w:rPr>
          <w:lang w:val="nb-NO"/>
        </w:rPr>
      </w:pPr>
    </w:p>
    <w:p w14:paraId="593ABCBC" w14:textId="77777777" w:rsidR="004A07DC" w:rsidRPr="00A942F6" w:rsidRDefault="004A07DC" w:rsidP="00641834">
      <w:pPr>
        <w:pStyle w:val="Style1Iitaic"/>
        <w:rPr>
          <w:lang w:val="nb-NO"/>
        </w:rPr>
      </w:pPr>
      <w:r w:rsidRPr="00A942F6">
        <w:rPr>
          <w:lang w:val="nb-NO"/>
        </w:rPr>
        <w:t>pJIA-pasienter</w:t>
      </w:r>
    </w:p>
    <w:p w14:paraId="3D676E29" w14:textId="77777777" w:rsidR="004A07DC" w:rsidRPr="00A942F6" w:rsidRDefault="004A07DC" w:rsidP="00641834">
      <w:pPr>
        <w:rPr>
          <w:lang w:val="nb-NO"/>
        </w:rPr>
      </w:pPr>
    </w:p>
    <w:p w14:paraId="43F9EA05" w14:textId="77777777" w:rsidR="004A07DC" w:rsidRPr="00A942F6" w:rsidRDefault="004A07DC" w:rsidP="00641834">
      <w:pPr>
        <w:rPr>
          <w:lang w:val="nb-NO"/>
        </w:rPr>
      </w:pPr>
      <w:r w:rsidRPr="00A942F6">
        <w:rPr>
          <w:lang w:val="nb-NO"/>
        </w:rPr>
        <w:t xml:space="preserve">Anbefalt dosering for pasienter fra 2 år og oppover er 8 mg/kg en gang hver 4. uke hos pasienter som veier </w:t>
      </w:r>
      <w:r w:rsidRPr="00A942F6">
        <w:rPr>
          <w:rFonts w:cs="Times New Roman"/>
          <w:lang w:val="nb-NO"/>
        </w:rPr>
        <w:t>≥</w:t>
      </w:r>
      <w:r w:rsidRPr="00A942F6">
        <w:rPr>
          <w:lang w:val="nb-NO"/>
        </w:rPr>
        <w:t xml:space="preserve"> 30 kg eller 10 mg/kg en gang hver 4. uke hos pasienter &lt; 30 kg. Dosen bør beregnes ut i fra pasientens kroppsvekt ved hver administrasjon. Endring av dosen skal bare skje på bakgrunn av en vedvarende endring av pasientens kroppsvekt over tid.</w:t>
      </w:r>
    </w:p>
    <w:p w14:paraId="65939476" w14:textId="77777777" w:rsidR="00C667D2" w:rsidRPr="00A942F6" w:rsidRDefault="00C667D2" w:rsidP="00641834">
      <w:pPr>
        <w:rPr>
          <w:lang w:val="nb-NO"/>
        </w:rPr>
      </w:pPr>
    </w:p>
    <w:p w14:paraId="69B35A1E" w14:textId="5A7AE897" w:rsidR="004A07DC" w:rsidRPr="00A942F6" w:rsidRDefault="004A07DC" w:rsidP="00641834">
      <w:pPr>
        <w:rPr>
          <w:lang w:val="nb-NO"/>
        </w:rPr>
      </w:pPr>
      <w:r w:rsidRPr="00A942F6">
        <w:rPr>
          <w:lang w:val="nb-NO"/>
        </w:rPr>
        <w:t xml:space="preserve">Sikkerhet og effekt av intravenøs </w:t>
      </w:r>
      <w:r w:rsidR="00923E68" w:rsidRPr="00A942F6">
        <w:rPr>
          <w:lang w:val="nb-NO"/>
        </w:rPr>
        <w:t>Avtozma</w:t>
      </w:r>
      <w:r w:rsidRPr="00A942F6">
        <w:rPr>
          <w:lang w:val="nb-NO"/>
        </w:rPr>
        <w:t xml:space="preserve"> hos barn under 2 år har ikke blitt fastslått.</w:t>
      </w:r>
    </w:p>
    <w:p w14:paraId="20951647" w14:textId="77777777" w:rsidR="004A07DC" w:rsidRPr="00A942F6" w:rsidRDefault="004A07DC" w:rsidP="00641834">
      <w:pPr>
        <w:rPr>
          <w:lang w:val="nb-NO"/>
        </w:rPr>
      </w:pPr>
    </w:p>
    <w:p w14:paraId="1284726B" w14:textId="77777777" w:rsidR="004A07DC" w:rsidRPr="00A942F6" w:rsidRDefault="004A07DC" w:rsidP="00641834">
      <w:pPr>
        <w:rPr>
          <w:lang w:val="nb-NO"/>
        </w:rPr>
      </w:pPr>
      <w:r w:rsidRPr="00A942F6">
        <w:rPr>
          <w:lang w:val="nb-NO"/>
        </w:rPr>
        <w:t>Opphold i administrering av tocilizumab hos pJIA-pasienter anbefales ved følgende unormale laboratoriesvar som i tabellen under. Dersom det er hensiktsmessig, bør dosen av samtidig administrert metotreksat og/eller andre medikamenter modifiseres eller seponeres, og administrasjonen av tocilizumab bør avbrytes inntil den kliniske situasjonen er vurdert. Da det er mange komorbide tilstander som kan påvirke laboratorieverdiene ved pJIA, bør beslutningen om å seponere tocilizumab på grunn av unormale laboratoriesvar, være basert på en klinisk vurdering av den enkelte pasienten.</w:t>
      </w:r>
    </w:p>
    <w:p w14:paraId="7E26376D" w14:textId="77777777" w:rsidR="004A07DC" w:rsidRPr="00A942F6" w:rsidRDefault="004A07DC" w:rsidP="00641834">
      <w:pPr>
        <w:rPr>
          <w:lang w:val="nb-NO"/>
        </w:rPr>
      </w:pPr>
    </w:p>
    <w:p w14:paraId="1B295885" w14:textId="77777777" w:rsidR="004A07DC" w:rsidRPr="00A942F6" w:rsidRDefault="004A07DC" w:rsidP="00641834">
      <w:pPr>
        <w:pStyle w:val="Bullet1cm"/>
        <w:rPr>
          <w:lang w:val="nb-NO"/>
        </w:rPr>
      </w:pPr>
      <w:r w:rsidRPr="00A942F6">
        <w:rPr>
          <w:lang w:val="nb-NO"/>
        </w:rPr>
        <w:t>Unormale leverenzymverdier</w:t>
      </w:r>
    </w:p>
    <w:p w14:paraId="1C35ACFA"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5577"/>
      </w:tblGrid>
      <w:tr w:rsidR="004A07DC" w:rsidRPr="00A942F6" w14:paraId="56010879" w14:textId="77777777" w:rsidTr="00E1582A">
        <w:trPr>
          <w:trHeight w:val="20"/>
          <w:tblHeader/>
        </w:trPr>
        <w:tc>
          <w:tcPr>
            <w:tcW w:w="2431" w:type="dxa"/>
          </w:tcPr>
          <w:p w14:paraId="5239B14F" w14:textId="77777777" w:rsidR="004A07DC" w:rsidRPr="00A942F6" w:rsidRDefault="004A07DC" w:rsidP="00641834">
            <w:pPr>
              <w:pStyle w:val="TableParagraph"/>
              <w:jc w:val="center"/>
              <w:rPr>
                <w:b/>
                <w:sz w:val="20"/>
                <w:szCs w:val="20"/>
                <w:lang w:val="nb-NO"/>
              </w:rPr>
            </w:pPr>
            <w:r w:rsidRPr="00A942F6">
              <w:rPr>
                <w:b/>
                <w:sz w:val="20"/>
                <w:szCs w:val="20"/>
                <w:lang w:val="nb-NO"/>
              </w:rPr>
              <w:t>Laboratorie verdier</w:t>
            </w:r>
          </w:p>
        </w:tc>
        <w:tc>
          <w:tcPr>
            <w:tcW w:w="5577" w:type="dxa"/>
          </w:tcPr>
          <w:p w14:paraId="0A541046"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B477E5" w14:paraId="50B45D8D" w14:textId="77777777" w:rsidTr="00E1582A">
        <w:trPr>
          <w:trHeight w:val="20"/>
        </w:trPr>
        <w:tc>
          <w:tcPr>
            <w:tcW w:w="2431" w:type="dxa"/>
          </w:tcPr>
          <w:p w14:paraId="00AEE8E5" w14:textId="77777777" w:rsidR="004A07DC" w:rsidRPr="00A942F6" w:rsidRDefault="004A07DC" w:rsidP="00641834">
            <w:pPr>
              <w:pStyle w:val="TableParagraph"/>
              <w:rPr>
                <w:sz w:val="20"/>
                <w:szCs w:val="20"/>
                <w:lang w:val="nb-NO"/>
              </w:rPr>
            </w:pPr>
            <w:r w:rsidRPr="00A942F6">
              <w:rPr>
                <w:sz w:val="20"/>
                <w:szCs w:val="20"/>
                <w:lang w:val="nb-NO"/>
              </w:rPr>
              <w:t>&gt; 1 til 3 x ULN</w:t>
            </w:r>
          </w:p>
        </w:tc>
        <w:tc>
          <w:tcPr>
            <w:tcW w:w="5577" w:type="dxa"/>
          </w:tcPr>
          <w:p w14:paraId="512951FD" w14:textId="77777777" w:rsidR="004A07DC" w:rsidRPr="00A942F6" w:rsidRDefault="004A07DC" w:rsidP="00641834">
            <w:pPr>
              <w:pStyle w:val="TableParagraph"/>
              <w:rPr>
                <w:sz w:val="20"/>
                <w:szCs w:val="20"/>
                <w:lang w:val="nb-NO"/>
              </w:rPr>
            </w:pPr>
            <w:r w:rsidRPr="00A942F6">
              <w:rPr>
                <w:sz w:val="20"/>
                <w:szCs w:val="20"/>
                <w:lang w:val="nb-NO"/>
              </w:rPr>
              <w:t>Juster dosen av samtidig metotreksat hvis nødvendig</w:t>
            </w:r>
          </w:p>
          <w:p w14:paraId="393B249D" w14:textId="77777777" w:rsidR="004A07DC" w:rsidRPr="00A942F6" w:rsidRDefault="004A07DC" w:rsidP="00641834">
            <w:pPr>
              <w:pStyle w:val="TableParagraph"/>
              <w:rPr>
                <w:sz w:val="20"/>
                <w:szCs w:val="20"/>
                <w:lang w:val="nb-NO"/>
              </w:rPr>
            </w:pPr>
          </w:p>
          <w:p w14:paraId="2CF867D7" w14:textId="3839D534" w:rsidR="004A07DC" w:rsidRPr="00A942F6" w:rsidRDefault="004A07DC" w:rsidP="00641834">
            <w:pPr>
              <w:pStyle w:val="TableParagraph"/>
              <w:rPr>
                <w:sz w:val="20"/>
                <w:szCs w:val="20"/>
                <w:lang w:val="nb-NO"/>
              </w:rPr>
            </w:pPr>
            <w:r w:rsidRPr="00A942F6">
              <w:rPr>
                <w:sz w:val="20"/>
                <w:szCs w:val="20"/>
                <w:lang w:val="nb-NO"/>
              </w:rPr>
              <w:t xml:space="preserve">Ved vedvarende forhøyede verdier innenfor dette området, reduser </w:t>
            </w:r>
            <w:r w:rsidR="00923E68" w:rsidRPr="00A942F6">
              <w:rPr>
                <w:sz w:val="20"/>
                <w:szCs w:val="20"/>
                <w:lang w:val="nb-NO"/>
              </w:rPr>
              <w:t>Avtozma</w:t>
            </w:r>
            <w:r w:rsidRPr="00A942F6">
              <w:rPr>
                <w:sz w:val="20"/>
                <w:szCs w:val="20"/>
                <w:lang w:val="nb-NO"/>
              </w:rPr>
              <w:t>-dosen inntil ALAT eller ASAT er normalisert</w:t>
            </w:r>
          </w:p>
        </w:tc>
      </w:tr>
      <w:tr w:rsidR="004A07DC" w:rsidRPr="00B477E5" w14:paraId="7F51D73E" w14:textId="77777777" w:rsidTr="00E1582A">
        <w:trPr>
          <w:trHeight w:val="20"/>
        </w:trPr>
        <w:tc>
          <w:tcPr>
            <w:tcW w:w="2431" w:type="dxa"/>
          </w:tcPr>
          <w:p w14:paraId="3275B7C6" w14:textId="77777777" w:rsidR="004A07DC" w:rsidRPr="00A942F6" w:rsidRDefault="004A07DC" w:rsidP="00641834">
            <w:pPr>
              <w:pStyle w:val="TableParagraph"/>
              <w:rPr>
                <w:sz w:val="20"/>
                <w:szCs w:val="20"/>
                <w:lang w:val="nb-NO"/>
              </w:rPr>
            </w:pPr>
            <w:r w:rsidRPr="00A942F6">
              <w:rPr>
                <w:sz w:val="20"/>
                <w:szCs w:val="20"/>
                <w:lang w:val="nb-NO"/>
              </w:rPr>
              <w:t>&gt; 3 til 5 x ULN</w:t>
            </w:r>
          </w:p>
        </w:tc>
        <w:tc>
          <w:tcPr>
            <w:tcW w:w="5577" w:type="dxa"/>
          </w:tcPr>
          <w:p w14:paraId="691800B1" w14:textId="77777777" w:rsidR="004A07DC" w:rsidRPr="00A942F6" w:rsidRDefault="004A07DC" w:rsidP="00641834">
            <w:pPr>
              <w:pStyle w:val="TableParagraph"/>
              <w:rPr>
                <w:sz w:val="20"/>
                <w:szCs w:val="20"/>
                <w:lang w:val="nb-NO"/>
              </w:rPr>
            </w:pPr>
            <w:r w:rsidRPr="00A942F6">
              <w:rPr>
                <w:sz w:val="20"/>
                <w:szCs w:val="20"/>
                <w:lang w:val="nb-NO"/>
              </w:rPr>
              <w:t>Juster dosen av samtidig metotreksat hvis nødvendig</w:t>
            </w:r>
          </w:p>
          <w:p w14:paraId="58DF775E" w14:textId="77777777" w:rsidR="004A07DC" w:rsidRPr="00A942F6" w:rsidRDefault="004A07DC" w:rsidP="00641834">
            <w:pPr>
              <w:pStyle w:val="TableParagraph"/>
              <w:rPr>
                <w:sz w:val="20"/>
                <w:szCs w:val="20"/>
                <w:lang w:val="nb-NO"/>
              </w:rPr>
            </w:pPr>
          </w:p>
          <w:p w14:paraId="0FF32EAA" w14:textId="1DB4F865"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til &lt; 3 x ULN og følg anbefalninger over for &gt; 1 til 3 x ULN</w:t>
            </w:r>
          </w:p>
        </w:tc>
      </w:tr>
      <w:tr w:rsidR="004A07DC" w:rsidRPr="00B477E5" w14:paraId="57F44F36" w14:textId="77777777" w:rsidTr="00E1582A">
        <w:trPr>
          <w:trHeight w:val="20"/>
        </w:trPr>
        <w:tc>
          <w:tcPr>
            <w:tcW w:w="2431" w:type="dxa"/>
          </w:tcPr>
          <w:p w14:paraId="01BB5B2A" w14:textId="77777777" w:rsidR="004A07DC" w:rsidRPr="00A942F6" w:rsidRDefault="004A07DC" w:rsidP="00641834">
            <w:pPr>
              <w:pStyle w:val="TableParagraph"/>
              <w:rPr>
                <w:sz w:val="20"/>
                <w:szCs w:val="20"/>
                <w:lang w:val="nb-NO"/>
              </w:rPr>
            </w:pPr>
            <w:r w:rsidRPr="00A942F6">
              <w:rPr>
                <w:sz w:val="20"/>
                <w:szCs w:val="20"/>
                <w:lang w:val="nb-NO"/>
              </w:rPr>
              <w:t>&gt; 5x ULN</w:t>
            </w:r>
          </w:p>
        </w:tc>
        <w:tc>
          <w:tcPr>
            <w:tcW w:w="5577" w:type="dxa"/>
          </w:tcPr>
          <w:p w14:paraId="0BA514A1" w14:textId="42A9FFA0"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57152B12" w14:textId="77777777" w:rsidR="00C667D2" w:rsidRPr="00A942F6" w:rsidRDefault="00C667D2" w:rsidP="00641834">
            <w:pPr>
              <w:pStyle w:val="TableParagraph"/>
              <w:rPr>
                <w:sz w:val="20"/>
                <w:szCs w:val="20"/>
                <w:lang w:val="nb-NO"/>
              </w:rPr>
            </w:pPr>
          </w:p>
          <w:p w14:paraId="6222466B" w14:textId="0EC07B2A" w:rsidR="004A07DC" w:rsidRPr="00A942F6" w:rsidRDefault="004A07DC"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pJIA ved unormale laboratorieverdier skal baseres på medisinsk vurdering av hver enkelt pasient</w:t>
            </w:r>
          </w:p>
        </w:tc>
      </w:tr>
    </w:tbl>
    <w:p w14:paraId="528FAA60" w14:textId="77777777" w:rsidR="004A07DC" w:rsidRPr="00A942F6" w:rsidRDefault="004A07DC" w:rsidP="00641834">
      <w:pPr>
        <w:rPr>
          <w:lang w:val="nb-NO"/>
        </w:rPr>
      </w:pPr>
    </w:p>
    <w:p w14:paraId="6C8803F5" w14:textId="77777777" w:rsidR="004A07DC" w:rsidRPr="00A942F6" w:rsidRDefault="004A07DC" w:rsidP="00641834">
      <w:pPr>
        <w:pStyle w:val="Bullet1cm"/>
        <w:rPr>
          <w:lang w:val="nb-NO"/>
        </w:rPr>
      </w:pPr>
      <w:r w:rsidRPr="00A942F6">
        <w:rPr>
          <w:lang w:val="nb-NO"/>
        </w:rPr>
        <w:t>Lavt absolutt nøytrofiltall (ANC)</w:t>
      </w:r>
    </w:p>
    <w:p w14:paraId="390CBB1A" w14:textId="77777777" w:rsidR="004A07DC" w:rsidRPr="00A942F6" w:rsidRDefault="004A07DC" w:rsidP="00641834">
      <w:pPr>
        <w:rPr>
          <w:lang w:val="nb-NO"/>
        </w:rPr>
      </w:pPr>
    </w:p>
    <w:tbl>
      <w:tblPr>
        <w:tblW w:w="8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5555"/>
      </w:tblGrid>
      <w:tr w:rsidR="004A07DC" w:rsidRPr="00A942F6" w14:paraId="1D31C6EF" w14:textId="77777777" w:rsidTr="00E1582A">
        <w:trPr>
          <w:cantSplit/>
          <w:trHeight w:val="20"/>
          <w:tblHeader/>
        </w:trPr>
        <w:tc>
          <w:tcPr>
            <w:tcW w:w="2459" w:type="dxa"/>
          </w:tcPr>
          <w:p w14:paraId="387299E8" w14:textId="77777777" w:rsidR="004A07DC" w:rsidRPr="00A942F6" w:rsidRDefault="004A07DC" w:rsidP="00641834">
            <w:pPr>
              <w:pStyle w:val="TableParagraph"/>
              <w:jc w:val="center"/>
              <w:rPr>
                <w:b/>
                <w:sz w:val="20"/>
                <w:szCs w:val="20"/>
                <w:lang w:val="nb-NO"/>
              </w:rPr>
            </w:pPr>
            <w:r w:rsidRPr="00A942F6">
              <w:rPr>
                <w:b/>
                <w:sz w:val="20"/>
                <w:szCs w:val="20"/>
                <w:lang w:val="nb-NO"/>
              </w:rPr>
              <w:t>Laboratorie verdier (celler x 10</w:t>
            </w:r>
            <w:r w:rsidRPr="00A942F6">
              <w:rPr>
                <w:b/>
                <w:sz w:val="20"/>
                <w:szCs w:val="20"/>
                <w:vertAlign w:val="superscript"/>
                <w:lang w:val="nb-NO"/>
              </w:rPr>
              <w:t>9</w:t>
            </w:r>
            <w:r w:rsidRPr="00A942F6">
              <w:rPr>
                <w:b/>
                <w:sz w:val="20"/>
                <w:szCs w:val="20"/>
                <w:lang w:val="nb-NO"/>
              </w:rPr>
              <w:t>/ liter )</w:t>
            </w:r>
          </w:p>
        </w:tc>
        <w:tc>
          <w:tcPr>
            <w:tcW w:w="5555" w:type="dxa"/>
          </w:tcPr>
          <w:p w14:paraId="1F871B5F"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A942F6" w14:paraId="697BD408" w14:textId="77777777" w:rsidTr="00E1582A">
        <w:trPr>
          <w:cantSplit/>
          <w:trHeight w:val="20"/>
        </w:trPr>
        <w:tc>
          <w:tcPr>
            <w:tcW w:w="2459" w:type="dxa"/>
          </w:tcPr>
          <w:p w14:paraId="19A973E0" w14:textId="77777777" w:rsidR="004A07DC" w:rsidRPr="00A942F6" w:rsidRDefault="004A07DC" w:rsidP="00641834">
            <w:pPr>
              <w:pStyle w:val="TableParagraph"/>
              <w:rPr>
                <w:sz w:val="20"/>
                <w:szCs w:val="20"/>
                <w:lang w:val="nb-NO"/>
              </w:rPr>
            </w:pPr>
            <w:r w:rsidRPr="00A942F6">
              <w:rPr>
                <w:sz w:val="20"/>
                <w:szCs w:val="20"/>
                <w:lang w:val="nb-NO"/>
              </w:rPr>
              <w:t>ANC &gt; 1</w:t>
            </w:r>
          </w:p>
        </w:tc>
        <w:tc>
          <w:tcPr>
            <w:tcW w:w="5555" w:type="dxa"/>
          </w:tcPr>
          <w:p w14:paraId="14CF22EE" w14:textId="77777777" w:rsidR="004A07DC" w:rsidRPr="00A942F6" w:rsidRDefault="004A07DC" w:rsidP="00641834">
            <w:pPr>
              <w:pStyle w:val="TableParagraph"/>
              <w:rPr>
                <w:sz w:val="20"/>
                <w:szCs w:val="20"/>
                <w:lang w:val="nb-NO"/>
              </w:rPr>
            </w:pPr>
            <w:r w:rsidRPr="00A942F6">
              <w:rPr>
                <w:sz w:val="20"/>
                <w:szCs w:val="20"/>
                <w:lang w:val="nb-NO"/>
              </w:rPr>
              <w:t>Oppretthold doseringen</w:t>
            </w:r>
          </w:p>
        </w:tc>
      </w:tr>
      <w:tr w:rsidR="004A07DC" w:rsidRPr="00B477E5" w14:paraId="62E85FFA" w14:textId="77777777" w:rsidTr="00E1582A">
        <w:trPr>
          <w:cantSplit/>
          <w:trHeight w:val="20"/>
        </w:trPr>
        <w:tc>
          <w:tcPr>
            <w:tcW w:w="2459" w:type="dxa"/>
          </w:tcPr>
          <w:p w14:paraId="4E82335D" w14:textId="77777777" w:rsidR="004A07DC" w:rsidRPr="00A942F6" w:rsidRDefault="004A07DC" w:rsidP="00641834">
            <w:pPr>
              <w:pStyle w:val="TableParagraph"/>
              <w:rPr>
                <w:sz w:val="20"/>
                <w:szCs w:val="20"/>
                <w:lang w:val="nb-NO"/>
              </w:rPr>
            </w:pPr>
            <w:r w:rsidRPr="00A942F6">
              <w:rPr>
                <w:sz w:val="20"/>
                <w:szCs w:val="20"/>
                <w:lang w:val="nb-NO"/>
              </w:rPr>
              <w:lastRenderedPageBreak/>
              <w:t>ANC 0,5 til 1</w:t>
            </w:r>
          </w:p>
        </w:tc>
        <w:tc>
          <w:tcPr>
            <w:tcW w:w="5555" w:type="dxa"/>
          </w:tcPr>
          <w:p w14:paraId="73F9454F" w14:textId="0941AC2A" w:rsidR="004A07DC" w:rsidRPr="00A942F6" w:rsidRDefault="004A07DC" w:rsidP="00641834">
            <w:pPr>
              <w:pStyle w:val="TableParagraph"/>
              <w:rPr>
                <w:sz w:val="20"/>
                <w:szCs w:val="20"/>
                <w:lang w:val="nb-NO"/>
              </w:rPr>
            </w:pPr>
            <w:r w:rsidRPr="00A942F6">
              <w:rPr>
                <w:sz w:val="20"/>
                <w:szCs w:val="20"/>
                <w:lang w:val="nb-NO"/>
              </w:rPr>
              <w:t xml:space="preserve">Seponer dosering med </w:t>
            </w:r>
            <w:r w:rsidR="00923E68" w:rsidRPr="00A942F6">
              <w:rPr>
                <w:sz w:val="20"/>
                <w:szCs w:val="20"/>
                <w:lang w:val="nb-NO"/>
              </w:rPr>
              <w:t>Avtozma</w:t>
            </w:r>
          </w:p>
          <w:p w14:paraId="3CE4CF53" w14:textId="77777777" w:rsidR="00C667D2" w:rsidRPr="00A942F6" w:rsidRDefault="00C667D2" w:rsidP="00641834">
            <w:pPr>
              <w:pStyle w:val="TableParagraph"/>
              <w:rPr>
                <w:sz w:val="20"/>
                <w:szCs w:val="20"/>
                <w:lang w:val="nb-NO"/>
              </w:rPr>
            </w:pPr>
          </w:p>
          <w:p w14:paraId="30F28516" w14:textId="377679AF" w:rsidR="004A07DC" w:rsidRPr="00A942F6" w:rsidRDefault="004A07DC" w:rsidP="00641834">
            <w:pPr>
              <w:pStyle w:val="TableParagraph"/>
              <w:rPr>
                <w:sz w:val="20"/>
                <w:szCs w:val="20"/>
                <w:lang w:val="nb-NO"/>
              </w:rPr>
            </w:pPr>
            <w:r w:rsidRPr="00A942F6">
              <w:rPr>
                <w:sz w:val="20"/>
                <w:szCs w:val="20"/>
                <w:lang w:val="nb-NO"/>
              </w:rPr>
              <w:t xml:space="preserve">Gjenoppta behandling med </w:t>
            </w:r>
            <w:r w:rsidR="00923E68" w:rsidRPr="00A942F6">
              <w:rPr>
                <w:sz w:val="20"/>
                <w:szCs w:val="20"/>
                <w:lang w:val="nb-NO"/>
              </w:rPr>
              <w:t>Avtozma</w:t>
            </w:r>
            <w:r w:rsidRPr="00A942F6">
              <w:rPr>
                <w:sz w:val="20"/>
                <w:szCs w:val="20"/>
                <w:lang w:val="nb-NO"/>
              </w:rPr>
              <w:t xml:space="preserve"> når ANC øker til &gt; 1 x 10</w:t>
            </w:r>
            <w:r w:rsidRPr="00A942F6">
              <w:rPr>
                <w:sz w:val="20"/>
                <w:szCs w:val="20"/>
                <w:vertAlign w:val="superscript"/>
                <w:lang w:val="nb-NO"/>
              </w:rPr>
              <w:t>9</w:t>
            </w:r>
            <w:r w:rsidRPr="00A942F6">
              <w:rPr>
                <w:sz w:val="20"/>
                <w:szCs w:val="20"/>
                <w:lang w:val="nb-NO"/>
              </w:rPr>
              <w:t>/liter</w:t>
            </w:r>
          </w:p>
        </w:tc>
      </w:tr>
      <w:tr w:rsidR="004A07DC" w:rsidRPr="00B477E5" w14:paraId="3DC6ADBB" w14:textId="77777777" w:rsidTr="00E1582A">
        <w:trPr>
          <w:cantSplit/>
          <w:trHeight w:val="20"/>
        </w:trPr>
        <w:tc>
          <w:tcPr>
            <w:tcW w:w="2459" w:type="dxa"/>
          </w:tcPr>
          <w:p w14:paraId="07B6E280" w14:textId="77777777" w:rsidR="004A07DC" w:rsidRPr="00A942F6" w:rsidRDefault="004A07DC" w:rsidP="00641834">
            <w:pPr>
              <w:pStyle w:val="TableParagraph"/>
              <w:rPr>
                <w:sz w:val="20"/>
                <w:szCs w:val="20"/>
                <w:lang w:val="nb-NO"/>
              </w:rPr>
            </w:pPr>
            <w:r w:rsidRPr="00A942F6">
              <w:rPr>
                <w:sz w:val="20"/>
                <w:szCs w:val="20"/>
                <w:lang w:val="nb-NO"/>
              </w:rPr>
              <w:t>ANC &lt; 0,5</w:t>
            </w:r>
          </w:p>
        </w:tc>
        <w:tc>
          <w:tcPr>
            <w:tcW w:w="5555" w:type="dxa"/>
          </w:tcPr>
          <w:p w14:paraId="0E1BF277" w14:textId="572711C7"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613167EA" w14:textId="77777777" w:rsidR="00C667D2" w:rsidRPr="00A942F6" w:rsidRDefault="00C667D2" w:rsidP="00641834">
            <w:pPr>
              <w:pStyle w:val="TableParagraph"/>
              <w:rPr>
                <w:sz w:val="20"/>
                <w:szCs w:val="20"/>
                <w:lang w:val="nb-NO"/>
              </w:rPr>
            </w:pPr>
          </w:p>
          <w:p w14:paraId="3F6C6E0D" w14:textId="10E1EC04" w:rsidR="004A07DC" w:rsidRPr="00A942F6" w:rsidRDefault="004A07DC"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pJIA ved unormale laboratorieverdier skal baseres på medisinsk vurdering av hver enkelt pasient</w:t>
            </w:r>
          </w:p>
        </w:tc>
      </w:tr>
    </w:tbl>
    <w:p w14:paraId="0A03C3F1" w14:textId="77777777" w:rsidR="004A07DC" w:rsidRPr="00A942F6" w:rsidRDefault="004A07DC" w:rsidP="00641834">
      <w:pPr>
        <w:rPr>
          <w:lang w:val="nb-NO"/>
        </w:rPr>
      </w:pPr>
    </w:p>
    <w:p w14:paraId="4D80A255" w14:textId="77777777" w:rsidR="004A07DC" w:rsidRPr="00A942F6" w:rsidRDefault="004A07DC" w:rsidP="00641834">
      <w:pPr>
        <w:pStyle w:val="Bullet1cm"/>
        <w:keepNext/>
        <w:rPr>
          <w:lang w:val="nb-NO"/>
        </w:rPr>
      </w:pPr>
      <w:r w:rsidRPr="00A942F6">
        <w:rPr>
          <w:lang w:val="nb-NO"/>
        </w:rPr>
        <w:t>Lavt platetall</w:t>
      </w:r>
    </w:p>
    <w:p w14:paraId="5AE0700B"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1"/>
        <w:gridCol w:w="5558"/>
      </w:tblGrid>
      <w:tr w:rsidR="004A07DC" w:rsidRPr="00A942F6" w14:paraId="5E985D5E" w14:textId="77777777" w:rsidTr="00E1582A">
        <w:trPr>
          <w:cantSplit/>
          <w:trHeight w:val="20"/>
          <w:tblHeader/>
        </w:trPr>
        <w:tc>
          <w:tcPr>
            <w:tcW w:w="2431" w:type="dxa"/>
          </w:tcPr>
          <w:p w14:paraId="6F3735AD" w14:textId="77777777" w:rsidR="004A07DC" w:rsidRPr="00A942F6" w:rsidRDefault="004A07DC" w:rsidP="00641834">
            <w:pPr>
              <w:pStyle w:val="TableParagraph"/>
              <w:jc w:val="center"/>
              <w:rPr>
                <w:b/>
                <w:sz w:val="20"/>
                <w:szCs w:val="20"/>
                <w:lang w:val="nb-NO"/>
              </w:rPr>
            </w:pPr>
            <w:r w:rsidRPr="00A942F6">
              <w:rPr>
                <w:b/>
                <w:sz w:val="20"/>
                <w:szCs w:val="20"/>
                <w:lang w:val="nb-NO"/>
              </w:rPr>
              <w:t>Laboratorie verdier (celler x</w:t>
            </w:r>
            <w:r w:rsidR="00F4296C" w:rsidRPr="00A942F6">
              <w:rPr>
                <w:b/>
                <w:sz w:val="20"/>
                <w:szCs w:val="20"/>
                <w:lang w:val="nb-NO"/>
              </w:rPr>
              <w:t xml:space="preserve"> </w:t>
            </w:r>
            <w:r w:rsidRPr="00A942F6">
              <w:rPr>
                <w:b/>
                <w:sz w:val="20"/>
                <w:szCs w:val="20"/>
                <w:lang w:val="nb-NO"/>
              </w:rPr>
              <w:t>10</w:t>
            </w:r>
            <w:r w:rsidRPr="00A942F6">
              <w:rPr>
                <w:b/>
                <w:sz w:val="20"/>
                <w:szCs w:val="20"/>
                <w:vertAlign w:val="superscript"/>
                <w:lang w:val="nb-NO"/>
              </w:rPr>
              <w:t>3</w:t>
            </w:r>
            <w:r w:rsidRPr="00A942F6">
              <w:rPr>
                <w:b/>
                <w:sz w:val="20"/>
                <w:szCs w:val="20"/>
                <w:lang w:val="nb-NO"/>
              </w:rPr>
              <w:t>/mikroliter)</w:t>
            </w:r>
          </w:p>
        </w:tc>
        <w:tc>
          <w:tcPr>
            <w:tcW w:w="5558" w:type="dxa"/>
          </w:tcPr>
          <w:p w14:paraId="34132C54" w14:textId="77777777" w:rsidR="004A07DC" w:rsidRPr="00A942F6" w:rsidRDefault="004A07DC" w:rsidP="00641834">
            <w:pPr>
              <w:pStyle w:val="TableParagraph"/>
              <w:jc w:val="center"/>
              <w:rPr>
                <w:b/>
                <w:sz w:val="20"/>
                <w:szCs w:val="20"/>
                <w:lang w:val="nb-NO"/>
              </w:rPr>
            </w:pPr>
            <w:r w:rsidRPr="00A942F6">
              <w:rPr>
                <w:b/>
                <w:sz w:val="20"/>
                <w:szCs w:val="20"/>
                <w:lang w:val="nb-NO"/>
              </w:rPr>
              <w:t>Tiltak</w:t>
            </w:r>
          </w:p>
        </w:tc>
      </w:tr>
      <w:tr w:rsidR="004A07DC" w:rsidRPr="00A942F6" w14:paraId="2F632A17" w14:textId="77777777" w:rsidTr="00E1582A">
        <w:trPr>
          <w:cantSplit/>
          <w:trHeight w:val="20"/>
        </w:trPr>
        <w:tc>
          <w:tcPr>
            <w:tcW w:w="2431" w:type="dxa"/>
          </w:tcPr>
          <w:p w14:paraId="1642CA99" w14:textId="77777777" w:rsidR="004A07DC" w:rsidRPr="00A942F6" w:rsidRDefault="004A07DC" w:rsidP="00641834">
            <w:pPr>
              <w:pStyle w:val="TableParagraph"/>
              <w:rPr>
                <w:sz w:val="20"/>
                <w:szCs w:val="20"/>
                <w:lang w:val="nb-NO"/>
              </w:rPr>
            </w:pPr>
            <w:r w:rsidRPr="00A942F6">
              <w:rPr>
                <w:sz w:val="20"/>
                <w:szCs w:val="20"/>
                <w:lang w:val="nb-NO"/>
              </w:rPr>
              <w:t>50 til 100</w:t>
            </w:r>
          </w:p>
        </w:tc>
        <w:tc>
          <w:tcPr>
            <w:tcW w:w="5558" w:type="dxa"/>
          </w:tcPr>
          <w:p w14:paraId="1B631531" w14:textId="77777777" w:rsidR="00C667D2" w:rsidRPr="00A942F6" w:rsidRDefault="004A07DC" w:rsidP="00641834">
            <w:pPr>
              <w:pStyle w:val="TableParagraph"/>
              <w:rPr>
                <w:sz w:val="20"/>
                <w:szCs w:val="20"/>
                <w:lang w:val="nb-NO"/>
              </w:rPr>
            </w:pPr>
            <w:r w:rsidRPr="00A942F6">
              <w:rPr>
                <w:sz w:val="20"/>
                <w:szCs w:val="20"/>
                <w:lang w:val="nb-NO"/>
              </w:rPr>
              <w:t>Juster dosen av samt</w:t>
            </w:r>
            <w:r w:rsidR="00C667D2" w:rsidRPr="00A942F6">
              <w:rPr>
                <w:sz w:val="20"/>
                <w:szCs w:val="20"/>
                <w:lang w:val="nb-NO"/>
              </w:rPr>
              <w:t>idig metotreksat hvis nødvendig</w:t>
            </w:r>
          </w:p>
          <w:p w14:paraId="4330C8D3" w14:textId="77777777" w:rsidR="00C667D2" w:rsidRPr="00A942F6" w:rsidRDefault="00C667D2" w:rsidP="00641834">
            <w:pPr>
              <w:pStyle w:val="TableParagraph"/>
              <w:rPr>
                <w:sz w:val="20"/>
                <w:szCs w:val="20"/>
                <w:lang w:val="nb-NO"/>
              </w:rPr>
            </w:pPr>
          </w:p>
          <w:p w14:paraId="41952031" w14:textId="46281E6F" w:rsidR="004A07DC" w:rsidRPr="00A942F6" w:rsidRDefault="004A07DC"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1100D3F7" w14:textId="77777777" w:rsidR="00C667D2" w:rsidRPr="00A942F6" w:rsidRDefault="00C667D2" w:rsidP="00641834">
            <w:pPr>
              <w:pStyle w:val="TableParagraph"/>
              <w:rPr>
                <w:sz w:val="20"/>
                <w:szCs w:val="20"/>
                <w:lang w:val="nb-NO"/>
              </w:rPr>
            </w:pPr>
          </w:p>
          <w:p w14:paraId="67D06E3D" w14:textId="0C245F05" w:rsidR="004A07DC" w:rsidRPr="00A942F6" w:rsidRDefault="004A07DC" w:rsidP="00641834">
            <w:pPr>
              <w:pStyle w:val="TableParagraph"/>
              <w:rPr>
                <w:sz w:val="20"/>
                <w:szCs w:val="20"/>
                <w:lang w:val="nb-NO"/>
              </w:rPr>
            </w:pPr>
            <w:r w:rsidRPr="00A942F6">
              <w:rPr>
                <w:sz w:val="20"/>
                <w:szCs w:val="20"/>
                <w:lang w:val="nb-NO"/>
              </w:rPr>
              <w:t xml:space="preserve">Gjenoppta behandlingen med </w:t>
            </w:r>
            <w:r w:rsidR="00923E68" w:rsidRPr="00A942F6">
              <w:rPr>
                <w:sz w:val="20"/>
                <w:szCs w:val="20"/>
                <w:lang w:val="nb-NO"/>
              </w:rPr>
              <w:t>Avtozma</w:t>
            </w:r>
            <w:r w:rsidRPr="00A942F6">
              <w:rPr>
                <w:sz w:val="20"/>
                <w:szCs w:val="20"/>
                <w:lang w:val="nb-NO"/>
              </w:rPr>
              <w:t xml:space="preserve"> når platetallet er</w:t>
            </w:r>
          </w:p>
          <w:p w14:paraId="42220D40" w14:textId="77777777" w:rsidR="004A07DC" w:rsidRPr="00A942F6" w:rsidRDefault="004A07DC" w:rsidP="00641834">
            <w:pPr>
              <w:pStyle w:val="TableParagraph"/>
              <w:rPr>
                <w:sz w:val="20"/>
                <w:szCs w:val="20"/>
                <w:lang w:val="nb-NO"/>
              </w:rPr>
            </w:pPr>
            <w:r w:rsidRPr="00A942F6">
              <w:rPr>
                <w:sz w:val="20"/>
                <w:szCs w:val="20"/>
                <w:lang w:val="nb-NO"/>
              </w:rPr>
              <w:t>&gt; 100 x 10</w:t>
            </w:r>
            <w:r w:rsidRPr="00A942F6">
              <w:rPr>
                <w:sz w:val="20"/>
                <w:szCs w:val="20"/>
                <w:vertAlign w:val="superscript"/>
                <w:lang w:val="nb-NO"/>
              </w:rPr>
              <w:t>3</w:t>
            </w:r>
            <w:r w:rsidRPr="00A942F6">
              <w:rPr>
                <w:sz w:val="20"/>
                <w:szCs w:val="20"/>
                <w:lang w:val="nb-NO"/>
              </w:rPr>
              <w:t>/mikroliter</w:t>
            </w:r>
          </w:p>
        </w:tc>
      </w:tr>
      <w:tr w:rsidR="004A07DC" w:rsidRPr="00B477E5" w14:paraId="01B4D04E" w14:textId="77777777" w:rsidTr="00E1582A">
        <w:trPr>
          <w:cantSplit/>
          <w:trHeight w:val="20"/>
        </w:trPr>
        <w:tc>
          <w:tcPr>
            <w:tcW w:w="2431" w:type="dxa"/>
          </w:tcPr>
          <w:p w14:paraId="0A528608" w14:textId="77777777" w:rsidR="004A07DC" w:rsidRPr="00A942F6" w:rsidRDefault="004A07DC" w:rsidP="00641834">
            <w:pPr>
              <w:pStyle w:val="TableParagraph"/>
              <w:rPr>
                <w:sz w:val="20"/>
                <w:szCs w:val="20"/>
                <w:lang w:val="nb-NO"/>
              </w:rPr>
            </w:pPr>
            <w:r w:rsidRPr="00A942F6">
              <w:rPr>
                <w:sz w:val="20"/>
                <w:szCs w:val="20"/>
                <w:lang w:val="nb-NO"/>
              </w:rPr>
              <w:t>&lt; 50</w:t>
            </w:r>
          </w:p>
        </w:tc>
        <w:tc>
          <w:tcPr>
            <w:tcW w:w="5558" w:type="dxa"/>
          </w:tcPr>
          <w:p w14:paraId="1AEC93EF" w14:textId="6A5DFC5C" w:rsidR="004A07DC" w:rsidRPr="00A942F6" w:rsidRDefault="004A07DC"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p w14:paraId="00F4060E" w14:textId="77777777" w:rsidR="00C667D2" w:rsidRPr="00A942F6" w:rsidRDefault="00C667D2" w:rsidP="00641834">
            <w:pPr>
              <w:pStyle w:val="TableParagraph"/>
              <w:rPr>
                <w:sz w:val="20"/>
                <w:szCs w:val="20"/>
                <w:lang w:val="nb-NO"/>
              </w:rPr>
            </w:pPr>
          </w:p>
          <w:p w14:paraId="2C98EC7A" w14:textId="32A74272" w:rsidR="004A07DC" w:rsidRPr="00A942F6" w:rsidRDefault="004A07DC"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pJIA ved unormale laboratorieverdier skal baseres på medisinsk vurdering av hver enkelt pasient.</w:t>
            </w:r>
          </w:p>
        </w:tc>
      </w:tr>
    </w:tbl>
    <w:p w14:paraId="10A7DFFF" w14:textId="77777777" w:rsidR="004A07DC" w:rsidRPr="00A942F6" w:rsidRDefault="004A07DC" w:rsidP="00641834">
      <w:pPr>
        <w:rPr>
          <w:lang w:val="nb-NO"/>
        </w:rPr>
      </w:pPr>
    </w:p>
    <w:p w14:paraId="1348F672" w14:textId="77777777" w:rsidR="004A07DC" w:rsidRPr="00A942F6" w:rsidRDefault="004A07DC" w:rsidP="00641834">
      <w:pPr>
        <w:rPr>
          <w:lang w:val="nb-NO"/>
        </w:rPr>
      </w:pPr>
      <w:r w:rsidRPr="00A942F6">
        <w:rPr>
          <w:lang w:val="nb-NO"/>
        </w:rPr>
        <w:t>Reduksjon av tocilizumab dosen på grunn av unormale laboratoriesvar, er ikke undersøkt hos pJIA- pasienter.</w:t>
      </w:r>
    </w:p>
    <w:p w14:paraId="71233A1B" w14:textId="77777777" w:rsidR="004A07DC" w:rsidRPr="00A942F6" w:rsidRDefault="004A07DC" w:rsidP="00641834">
      <w:pPr>
        <w:rPr>
          <w:lang w:val="nb-NO"/>
        </w:rPr>
      </w:pPr>
    </w:p>
    <w:p w14:paraId="6F791953" w14:textId="55ACCDE7" w:rsidR="004A07DC" w:rsidRPr="00A942F6" w:rsidRDefault="004A07DC" w:rsidP="00641834">
      <w:pPr>
        <w:rPr>
          <w:lang w:val="nb-NO"/>
        </w:rPr>
      </w:pPr>
      <w:r w:rsidRPr="00A942F6">
        <w:rPr>
          <w:lang w:val="nb-NO"/>
        </w:rPr>
        <w:t xml:space="preserve">Tilgjengelige data tyder på at klinisk bedring kan sees innen 12 uker etter behandlinsstart med </w:t>
      </w:r>
      <w:r w:rsidR="00923E68" w:rsidRPr="00A942F6">
        <w:rPr>
          <w:lang w:val="nb-NO"/>
        </w:rPr>
        <w:t>tocilizumab</w:t>
      </w:r>
      <w:r w:rsidRPr="00A942F6">
        <w:rPr>
          <w:lang w:val="nb-NO"/>
        </w:rPr>
        <w:t>. Fortsatt behandling bør revurderes nøye dersom pasienten ikke viser bedring i løpet av denne tiden.</w:t>
      </w:r>
    </w:p>
    <w:p w14:paraId="13CD82F6" w14:textId="77777777" w:rsidR="00C667D2" w:rsidRPr="00A942F6" w:rsidRDefault="00C667D2" w:rsidP="00641834">
      <w:pPr>
        <w:rPr>
          <w:lang w:val="nb-NO"/>
        </w:rPr>
      </w:pPr>
    </w:p>
    <w:p w14:paraId="4E25C9F1" w14:textId="77777777" w:rsidR="004A07DC" w:rsidRPr="00A942F6" w:rsidRDefault="004A07DC" w:rsidP="00641834">
      <w:pPr>
        <w:pStyle w:val="Style1Iitaic"/>
        <w:rPr>
          <w:lang w:val="nb-NO"/>
        </w:rPr>
      </w:pPr>
      <w:r w:rsidRPr="00A942F6">
        <w:rPr>
          <w:lang w:val="nb-NO"/>
        </w:rPr>
        <w:t>Eldre</w:t>
      </w:r>
    </w:p>
    <w:p w14:paraId="1AC113B2" w14:textId="77777777" w:rsidR="004A07DC" w:rsidRPr="00A942F6" w:rsidRDefault="004A07DC" w:rsidP="00641834">
      <w:pPr>
        <w:rPr>
          <w:lang w:val="nb-NO"/>
        </w:rPr>
      </w:pPr>
      <w:r w:rsidRPr="00A942F6">
        <w:rPr>
          <w:lang w:val="nb-NO"/>
        </w:rPr>
        <w:t>Dosejustering er ikke nødvendig hos eldre pasienter &gt; 65 år.</w:t>
      </w:r>
    </w:p>
    <w:p w14:paraId="7C1D51C7" w14:textId="77777777" w:rsidR="00C667D2" w:rsidRPr="00A942F6" w:rsidRDefault="00C667D2" w:rsidP="00641834">
      <w:pPr>
        <w:rPr>
          <w:lang w:val="nb-NO"/>
        </w:rPr>
      </w:pPr>
    </w:p>
    <w:p w14:paraId="0BD72F64" w14:textId="77777777" w:rsidR="004A07DC" w:rsidRPr="00A942F6" w:rsidRDefault="004A07DC" w:rsidP="00641834">
      <w:pPr>
        <w:pStyle w:val="Style1Iitaic"/>
        <w:rPr>
          <w:lang w:val="nb-NO"/>
        </w:rPr>
      </w:pPr>
      <w:r w:rsidRPr="00A942F6">
        <w:rPr>
          <w:lang w:val="nb-NO"/>
        </w:rPr>
        <w:t>Nedsatt nyrefunksjon</w:t>
      </w:r>
    </w:p>
    <w:p w14:paraId="5941B89D" w14:textId="6164037D" w:rsidR="004A07DC" w:rsidRPr="00A942F6" w:rsidRDefault="004A07DC" w:rsidP="00641834">
      <w:pPr>
        <w:rPr>
          <w:lang w:val="nb-NO"/>
        </w:rPr>
      </w:pPr>
      <w:r w:rsidRPr="00A942F6">
        <w:rPr>
          <w:lang w:val="nb-NO"/>
        </w:rPr>
        <w:t xml:space="preserve">Dosejustering er ikke nødvendig hos pasienter med lett nedsatt nyrefunksjon. </w:t>
      </w:r>
      <w:r w:rsidR="00923E68" w:rsidRPr="00A942F6">
        <w:rPr>
          <w:lang w:val="nb-NO"/>
        </w:rPr>
        <w:t>Avtozma</w:t>
      </w:r>
      <w:r w:rsidRPr="00A942F6">
        <w:rPr>
          <w:lang w:val="nb-NO"/>
        </w:rPr>
        <w:t xml:space="preserve"> er ikke undersøkt hos pasienter med moderat til alvorlig nedsatt nyrefunksjon (se pkt. 5.2). Nyrefunksjonen bør monitoreres nøye hos disse pasientene.</w:t>
      </w:r>
    </w:p>
    <w:p w14:paraId="49543C19" w14:textId="77777777" w:rsidR="00C667D2" w:rsidRPr="00A942F6" w:rsidRDefault="00C667D2" w:rsidP="00641834">
      <w:pPr>
        <w:rPr>
          <w:lang w:val="nb-NO"/>
        </w:rPr>
      </w:pPr>
    </w:p>
    <w:p w14:paraId="3F92557C" w14:textId="77777777" w:rsidR="004A07DC" w:rsidRPr="00A942F6" w:rsidRDefault="004A07DC" w:rsidP="00641834">
      <w:pPr>
        <w:pStyle w:val="Style1Iitaic"/>
        <w:rPr>
          <w:lang w:val="nb-NO"/>
        </w:rPr>
      </w:pPr>
      <w:r w:rsidRPr="00A942F6">
        <w:rPr>
          <w:lang w:val="nb-NO"/>
        </w:rPr>
        <w:t>Nedsatt leverfunksjon</w:t>
      </w:r>
    </w:p>
    <w:p w14:paraId="6BE65E0C" w14:textId="54E6B3D1" w:rsidR="004A07DC" w:rsidRPr="00A942F6" w:rsidRDefault="00923E68" w:rsidP="00641834">
      <w:pPr>
        <w:rPr>
          <w:lang w:val="nb-NO"/>
        </w:rPr>
      </w:pPr>
      <w:r w:rsidRPr="00A942F6">
        <w:rPr>
          <w:lang w:val="nb-NO"/>
        </w:rPr>
        <w:t>Avtozma</w:t>
      </w:r>
      <w:r w:rsidR="004A07DC" w:rsidRPr="00A942F6">
        <w:rPr>
          <w:lang w:val="nb-NO"/>
        </w:rPr>
        <w:t xml:space="preserve"> er ikke studert hos pasienter med nedsatt leverfunksjon. Doseanbefaling kan derfor ikke gis.</w:t>
      </w:r>
    </w:p>
    <w:p w14:paraId="7FB2D0B1" w14:textId="77777777" w:rsidR="004A07DC" w:rsidRPr="00A942F6" w:rsidRDefault="004A07DC" w:rsidP="00641834">
      <w:pPr>
        <w:rPr>
          <w:lang w:val="nb-NO"/>
        </w:rPr>
      </w:pPr>
    </w:p>
    <w:p w14:paraId="09FD0A85" w14:textId="77777777" w:rsidR="004A07DC" w:rsidRPr="00A942F6" w:rsidRDefault="004A07DC" w:rsidP="00641834">
      <w:pPr>
        <w:pStyle w:val="Style1underline"/>
        <w:rPr>
          <w:lang w:val="nb-NO"/>
        </w:rPr>
      </w:pPr>
      <w:r w:rsidRPr="00A942F6">
        <w:rPr>
          <w:lang w:val="nb-NO"/>
        </w:rPr>
        <w:t>Administrasjonsmåte</w:t>
      </w:r>
    </w:p>
    <w:p w14:paraId="4B89394D" w14:textId="77777777" w:rsidR="004A07DC" w:rsidRPr="00A942F6" w:rsidRDefault="004A07DC" w:rsidP="00641834">
      <w:pPr>
        <w:rPr>
          <w:lang w:val="nb-NO"/>
        </w:rPr>
      </w:pPr>
    </w:p>
    <w:p w14:paraId="6A682685" w14:textId="318D37DC" w:rsidR="004A07DC" w:rsidRPr="00A942F6" w:rsidRDefault="00923E68" w:rsidP="00641834">
      <w:pPr>
        <w:rPr>
          <w:lang w:val="nb-NO"/>
        </w:rPr>
      </w:pPr>
      <w:r w:rsidRPr="00A942F6">
        <w:rPr>
          <w:lang w:val="nb-NO"/>
        </w:rPr>
        <w:t>Avtozma</w:t>
      </w:r>
      <w:r w:rsidR="004A07DC" w:rsidRPr="00A942F6">
        <w:rPr>
          <w:lang w:val="nb-NO"/>
        </w:rPr>
        <w:t xml:space="preserve"> skal etter fortynning administreres til RA-, sJIA-, pJIA-, CRS- og covid-19-pasienter som en intravenøs infusjon over 1 time.</w:t>
      </w:r>
    </w:p>
    <w:p w14:paraId="389ABD92" w14:textId="77777777" w:rsidR="00C667D2" w:rsidRPr="00A942F6" w:rsidRDefault="00C667D2" w:rsidP="00641834">
      <w:pPr>
        <w:rPr>
          <w:lang w:val="nb-NO"/>
        </w:rPr>
      </w:pPr>
    </w:p>
    <w:p w14:paraId="23674A2E" w14:textId="77777777" w:rsidR="004A07DC" w:rsidRPr="00A942F6" w:rsidRDefault="004A07DC" w:rsidP="00641834">
      <w:pPr>
        <w:rPr>
          <w:lang w:val="nb-NO"/>
        </w:rPr>
      </w:pPr>
      <w:r w:rsidRPr="00A942F6">
        <w:rPr>
          <w:lang w:val="nb-NO"/>
        </w:rPr>
        <w:t xml:space="preserve">RA-, sJIA-, pJIA-, og CRS-, og covid-19-pasienter </w:t>
      </w:r>
      <w:r w:rsidR="00F4296C" w:rsidRPr="00A942F6">
        <w:rPr>
          <w:rFonts w:cs="Times New Roman"/>
          <w:lang w:val="nb-NO"/>
        </w:rPr>
        <w:t>≥</w:t>
      </w:r>
      <w:r w:rsidRPr="00A942F6">
        <w:rPr>
          <w:lang w:val="nb-NO"/>
        </w:rPr>
        <w:t xml:space="preserve"> 30 kg</w:t>
      </w:r>
    </w:p>
    <w:p w14:paraId="4C958CC5" w14:textId="11A4D215" w:rsidR="004A07DC" w:rsidRPr="00A942F6" w:rsidRDefault="00923E68" w:rsidP="00641834">
      <w:pPr>
        <w:rPr>
          <w:lang w:val="nb-NO"/>
        </w:rPr>
      </w:pPr>
      <w:r w:rsidRPr="00A942F6">
        <w:rPr>
          <w:lang w:val="nb-NO"/>
        </w:rPr>
        <w:t>Avtozma</w:t>
      </w:r>
      <w:r w:rsidR="004A07DC" w:rsidRPr="00A942F6">
        <w:rPr>
          <w:lang w:val="nb-NO"/>
        </w:rPr>
        <w:t xml:space="preserve"> skal fortynnes aseptisk til et sluttvolum på 100 ml med steril, pyrogenfri natriumklorid injeksjonsvæske 9 mg/ml (0,9 %)</w:t>
      </w:r>
      <w:r w:rsidRPr="00A942F6">
        <w:rPr>
          <w:lang w:val="nb-NO"/>
        </w:rPr>
        <w:t xml:space="preserve"> eller 4,5 mg/ml (0,45 %)</w:t>
      </w:r>
      <w:r w:rsidR="004A07DC" w:rsidRPr="00A942F6">
        <w:rPr>
          <w:lang w:val="nb-NO"/>
        </w:rPr>
        <w:t>.</w:t>
      </w:r>
    </w:p>
    <w:p w14:paraId="2046350A" w14:textId="77777777" w:rsidR="00C667D2" w:rsidRPr="00A942F6" w:rsidRDefault="00C667D2" w:rsidP="00641834">
      <w:pPr>
        <w:rPr>
          <w:lang w:val="nb-NO"/>
        </w:rPr>
      </w:pPr>
    </w:p>
    <w:p w14:paraId="406D8172" w14:textId="77777777" w:rsidR="00C667D2" w:rsidRPr="00A942F6" w:rsidRDefault="004A07DC" w:rsidP="00641834">
      <w:pPr>
        <w:rPr>
          <w:lang w:val="nb-NO"/>
        </w:rPr>
      </w:pPr>
      <w:r w:rsidRPr="00A942F6">
        <w:rPr>
          <w:lang w:val="nb-NO"/>
        </w:rPr>
        <w:t>For instruksjoner vedrørende fortynning av dette legemidlet f</w:t>
      </w:r>
      <w:r w:rsidR="00C667D2" w:rsidRPr="00A942F6">
        <w:rPr>
          <w:lang w:val="nb-NO"/>
        </w:rPr>
        <w:t>ør administrering, se pkt. 6.6.</w:t>
      </w:r>
    </w:p>
    <w:p w14:paraId="440BD0D3" w14:textId="77777777" w:rsidR="00C667D2" w:rsidRPr="00A942F6" w:rsidRDefault="00C667D2" w:rsidP="00641834">
      <w:pPr>
        <w:rPr>
          <w:lang w:val="nb-NO"/>
        </w:rPr>
      </w:pPr>
    </w:p>
    <w:p w14:paraId="14570366" w14:textId="77777777" w:rsidR="004A07DC" w:rsidRPr="00A942F6" w:rsidRDefault="004A07DC" w:rsidP="00641834">
      <w:pPr>
        <w:rPr>
          <w:lang w:val="nb-NO"/>
        </w:rPr>
      </w:pPr>
      <w:r w:rsidRPr="00A942F6">
        <w:rPr>
          <w:lang w:val="nb-NO"/>
        </w:rPr>
        <w:t>sJIA-, pJIA-, og CRS-pasienter &lt; 30 kg</w:t>
      </w:r>
    </w:p>
    <w:p w14:paraId="692A243D" w14:textId="7B1C3D54" w:rsidR="004A07DC" w:rsidRPr="00A942F6" w:rsidRDefault="00923E68" w:rsidP="00641834">
      <w:pPr>
        <w:rPr>
          <w:lang w:val="nb-NO"/>
        </w:rPr>
      </w:pPr>
      <w:r w:rsidRPr="00A942F6">
        <w:rPr>
          <w:lang w:val="nb-NO"/>
        </w:rPr>
        <w:t>Avtozma</w:t>
      </w:r>
      <w:r w:rsidR="004A07DC" w:rsidRPr="00A942F6">
        <w:rPr>
          <w:lang w:val="nb-NO"/>
        </w:rPr>
        <w:t xml:space="preserve"> skal fortynnes aseptisk til et sluttvolum på 50 ml med steril, pyrogenfri natriumklorid</w:t>
      </w:r>
    </w:p>
    <w:p w14:paraId="10BD1D3E" w14:textId="4AC94040" w:rsidR="004A07DC" w:rsidRPr="00A942F6" w:rsidRDefault="004A07DC" w:rsidP="00641834">
      <w:pPr>
        <w:rPr>
          <w:lang w:val="nb-NO"/>
        </w:rPr>
      </w:pPr>
      <w:r w:rsidRPr="00A942F6">
        <w:rPr>
          <w:lang w:val="nb-NO"/>
        </w:rPr>
        <w:lastRenderedPageBreak/>
        <w:t>injeksjonsvæske 9 mg/ml (0,9 %)</w:t>
      </w:r>
      <w:r w:rsidR="00781CD2">
        <w:rPr>
          <w:lang w:val="nb-NO"/>
        </w:rPr>
        <w:t xml:space="preserve"> eller 4,5 mg/ml (0,45 %)</w:t>
      </w:r>
      <w:r w:rsidR="00EA04B6">
        <w:rPr>
          <w:lang w:val="nb-NO"/>
        </w:rPr>
        <w:t xml:space="preserve"> løsning for injeksjon med aseptisk teknikk</w:t>
      </w:r>
      <w:r w:rsidRPr="00A942F6">
        <w:rPr>
          <w:lang w:val="nb-NO"/>
        </w:rPr>
        <w:t>.</w:t>
      </w:r>
    </w:p>
    <w:p w14:paraId="42178846" w14:textId="77777777" w:rsidR="004A07DC" w:rsidRPr="00A942F6" w:rsidRDefault="004A07DC" w:rsidP="00641834">
      <w:pPr>
        <w:rPr>
          <w:lang w:val="nb-NO"/>
        </w:rPr>
      </w:pPr>
    </w:p>
    <w:p w14:paraId="1BD3BA7A" w14:textId="77777777" w:rsidR="004A07DC" w:rsidRPr="00A942F6" w:rsidRDefault="004A07DC" w:rsidP="00641834">
      <w:pPr>
        <w:rPr>
          <w:lang w:val="nb-NO"/>
        </w:rPr>
      </w:pPr>
      <w:r w:rsidRPr="00A942F6">
        <w:rPr>
          <w:lang w:val="nb-NO"/>
        </w:rPr>
        <w:t>For instruksjoner om fortynning av dette legemidlet før administrering, se pkt. 6.6.</w:t>
      </w:r>
    </w:p>
    <w:p w14:paraId="24A59404" w14:textId="77777777" w:rsidR="004A07DC" w:rsidRPr="00A942F6" w:rsidRDefault="004A07DC" w:rsidP="00641834">
      <w:pPr>
        <w:rPr>
          <w:lang w:val="nb-NO"/>
        </w:rPr>
      </w:pPr>
    </w:p>
    <w:p w14:paraId="7F2C320B" w14:textId="77777777" w:rsidR="004A07DC" w:rsidRPr="00A942F6" w:rsidRDefault="004A07DC" w:rsidP="00641834">
      <w:pPr>
        <w:rPr>
          <w:lang w:val="nb-NO"/>
        </w:rPr>
      </w:pPr>
      <w:r w:rsidRPr="00A942F6">
        <w:rPr>
          <w:lang w:val="nb-NO"/>
        </w:rPr>
        <w:t>Dersom tegn eller symptomer på infusjonsrelaterte reaksjoner oppstår, senk hastigheten eller stopp infusjonen og gi egnede legemidler/støttende behandling umiddelbart, se pkt 4.4.</w:t>
      </w:r>
    </w:p>
    <w:p w14:paraId="5D88D2F8" w14:textId="77777777" w:rsidR="004A07DC" w:rsidRPr="00A942F6" w:rsidRDefault="004A07DC" w:rsidP="00641834">
      <w:pPr>
        <w:rPr>
          <w:lang w:val="nb-NO"/>
        </w:rPr>
      </w:pPr>
    </w:p>
    <w:p w14:paraId="6512616A" w14:textId="77777777" w:rsidR="004A07DC" w:rsidRPr="00A942F6" w:rsidRDefault="004A07DC" w:rsidP="00641834">
      <w:pPr>
        <w:pStyle w:val="H2"/>
        <w:rPr>
          <w:lang w:val="nb-NO"/>
        </w:rPr>
      </w:pPr>
      <w:r w:rsidRPr="00A942F6">
        <w:rPr>
          <w:lang w:val="nb-NO"/>
        </w:rPr>
        <w:t>4.3</w:t>
      </w:r>
      <w:r w:rsidRPr="00A942F6">
        <w:rPr>
          <w:lang w:val="nb-NO"/>
        </w:rPr>
        <w:tab/>
        <w:t>Kontraindikasjoner</w:t>
      </w:r>
    </w:p>
    <w:p w14:paraId="0D2FF9E0" w14:textId="77777777" w:rsidR="00426296" w:rsidRPr="00A942F6" w:rsidRDefault="00426296" w:rsidP="00641834">
      <w:pPr>
        <w:pStyle w:val="H2"/>
        <w:rPr>
          <w:lang w:val="nb-NO"/>
        </w:rPr>
      </w:pPr>
    </w:p>
    <w:p w14:paraId="0491BC1A" w14:textId="77777777" w:rsidR="00C667D2" w:rsidRPr="00A942F6" w:rsidRDefault="004A07DC" w:rsidP="00641834">
      <w:pPr>
        <w:rPr>
          <w:lang w:val="nb-NO"/>
        </w:rPr>
      </w:pPr>
      <w:r w:rsidRPr="00A942F6">
        <w:rPr>
          <w:lang w:val="nb-NO"/>
        </w:rPr>
        <w:t>Overfølsomhet overfor virkestoffet eller overfor noen av hjelpe</w:t>
      </w:r>
      <w:r w:rsidR="00C667D2" w:rsidRPr="00A942F6">
        <w:rPr>
          <w:lang w:val="nb-NO"/>
        </w:rPr>
        <w:t>stoffene listet opp i pkt. 6.1.</w:t>
      </w:r>
    </w:p>
    <w:p w14:paraId="65E9EDFC" w14:textId="77777777" w:rsidR="00C667D2" w:rsidRPr="00A942F6" w:rsidRDefault="00C667D2" w:rsidP="00641834">
      <w:pPr>
        <w:rPr>
          <w:lang w:val="nb-NO"/>
        </w:rPr>
      </w:pPr>
    </w:p>
    <w:p w14:paraId="5A5BD3C2" w14:textId="77777777" w:rsidR="004A07DC" w:rsidRPr="00A942F6" w:rsidRDefault="004A07DC" w:rsidP="00641834">
      <w:pPr>
        <w:rPr>
          <w:lang w:val="nb-NO"/>
        </w:rPr>
      </w:pPr>
      <w:r w:rsidRPr="00A942F6">
        <w:rPr>
          <w:lang w:val="nb-NO"/>
        </w:rPr>
        <w:t>Aktive, alvorlige infeksjoner med unntak av covid-19 (se pkt. 4.4).</w:t>
      </w:r>
    </w:p>
    <w:p w14:paraId="0FD792F2" w14:textId="77777777" w:rsidR="00426296" w:rsidRPr="00A942F6" w:rsidRDefault="00426296" w:rsidP="00641834">
      <w:pPr>
        <w:pStyle w:val="H2"/>
        <w:rPr>
          <w:lang w:val="nb-NO"/>
        </w:rPr>
      </w:pPr>
    </w:p>
    <w:p w14:paraId="5C2CFCBE" w14:textId="77777777" w:rsidR="004A07DC" w:rsidRPr="00A942F6" w:rsidRDefault="004A07DC" w:rsidP="00641834">
      <w:pPr>
        <w:pStyle w:val="H2"/>
        <w:rPr>
          <w:lang w:val="nb-NO"/>
        </w:rPr>
      </w:pPr>
      <w:r w:rsidRPr="00A942F6">
        <w:rPr>
          <w:lang w:val="nb-NO"/>
        </w:rPr>
        <w:t>4.4</w:t>
      </w:r>
      <w:r w:rsidRPr="00A942F6">
        <w:rPr>
          <w:lang w:val="nb-NO"/>
        </w:rPr>
        <w:tab/>
        <w:t>Advarsler og forsiktighetsregler</w:t>
      </w:r>
    </w:p>
    <w:p w14:paraId="44E8F305" w14:textId="77777777" w:rsidR="00426296" w:rsidRPr="00A942F6" w:rsidRDefault="00426296" w:rsidP="00641834">
      <w:pPr>
        <w:pStyle w:val="H2"/>
        <w:rPr>
          <w:lang w:val="nb-NO"/>
        </w:rPr>
      </w:pPr>
    </w:p>
    <w:p w14:paraId="37BFD32B" w14:textId="77777777" w:rsidR="004A07DC" w:rsidRPr="00A942F6" w:rsidRDefault="004A07DC" w:rsidP="00641834">
      <w:pPr>
        <w:pStyle w:val="Style1Iitaic"/>
        <w:rPr>
          <w:lang w:val="nb-NO"/>
        </w:rPr>
      </w:pPr>
      <w:r w:rsidRPr="00A942F6">
        <w:rPr>
          <w:lang w:val="nb-NO"/>
        </w:rPr>
        <w:t>Sporbarhet</w:t>
      </w:r>
    </w:p>
    <w:p w14:paraId="5514F5FB" w14:textId="77777777" w:rsidR="004A07DC" w:rsidRPr="00A942F6" w:rsidRDefault="004A07DC" w:rsidP="00641834">
      <w:pPr>
        <w:rPr>
          <w:lang w:val="nb-NO"/>
        </w:rPr>
      </w:pPr>
      <w:r w:rsidRPr="00A942F6">
        <w:rPr>
          <w:lang w:val="nb-NO"/>
        </w:rPr>
        <w:t>For å forbedre sporbarheten til biologiske legemidler skal navn og batchnummer til det administrerte legemidlet protokollføres.</w:t>
      </w:r>
    </w:p>
    <w:p w14:paraId="202D8477" w14:textId="77777777" w:rsidR="004A07DC" w:rsidRPr="00A942F6" w:rsidRDefault="004A07DC" w:rsidP="00641834">
      <w:pPr>
        <w:rPr>
          <w:lang w:val="nb-NO"/>
        </w:rPr>
      </w:pPr>
    </w:p>
    <w:p w14:paraId="0D3F7A63" w14:textId="77777777" w:rsidR="004A07DC" w:rsidRPr="00A942F6" w:rsidRDefault="004A07DC" w:rsidP="00641834">
      <w:pPr>
        <w:rPr>
          <w:lang w:val="nb-NO"/>
        </w:rPr>
      </w:pPr>
      <w:r w:rsidRPr="00A942F6">
        <w:rPr>
          <w:lang w:val="nb-NO"/>
        </w:rPr>
        <w:t>RA-, pJIA- og sJIA-pasienter</w:t>
      </w:r>
    </w:p>
    <w:p w14:paraId="5746E16F" w14:textId="77777777" w:rsidR="00C667D2" w:rsidRPr="00A942F6" w:rsidRDefault="00C667D2" w:rsidP="00641834">
      <w:pPr>
        <w:pStyle w:val="Style1Iitaic"/>
        <w:rPr>
          <w:lang w:val="nb-NO"/>
        </w:rPr>
      </w:pPr>
    </w:p>
    <w:p w14:paraId="55434560" w14:textId="77777777" w:rsidR="004A07DC" w:rsidRPr="00A942F6" w:rsidRDefault="004A07DC" w:rsidP="00641834">
      <w:pPr>
        <w:pStyle w:val="Style1Iitaic"/>
        <w:rPr>
          <w:lang w:val="nb-NO"/>
        </w:rPr>
      </w:pPr>
      <w:r w:rsidRPr="00A942F6">
        <w:rPr>
          <w:lang w:val="nb-NO"/>
        </w:rPr>
        <w:t>Infeksjoner</w:t>
      </w:r>
    </w:p>
    <w:p w14:paraId="10C95CDA" w14:textId="7D3347E3" w:rsidR="004A07DC" w:rsidRPr="00A942F6" w:rsidRDefault="004A07DC" w:rsidP="00641834">
      <w:pPr>
        <w:rPr>
          <w:lang w:val="nb-NO"/>
        </w:rPr>
      </w:pPr>
      <w:r w:rsidRPr="00A942F6">
        <w:rPr>
          <w:lang w:val="nb-NO"/>
        </w:rPr>
        <w:t xml:space="preserve">Alvorlige og iblant dødelige infeksjoner har blitt rapportert hos pasienter som får immunsuppressive legemidler, inkludert </w:t>
      </w:r>
      <w:r w:rsidR="00923E68" w:rsidRPr="00A942F6">
        <w:rPr>
          <w:lang w:val="nb-NO"/>
        </w:rPr>
        <w:t>tocilizumab</w:t>
      </w:r>
      <w:r w:rsidRPr="00A942F6">
        <w:rPr>
          <w:lang w:val="nb-NO"/>
        </w:rPr>
        <w:t xml:space="preserve"> (se pkt. 4.8, bivirkninger). </w:t>
      </w:r>
      <w:r w:rsidR="00923E68" w:rsidRPr="00A942F6">
        <w:rPr>
          <w:lang w:val="nb-NO"/>
        </w:rPr>
        <w:t>Avtozma</w:t>
      </w:r>
      <w:r w:rsidRPr="00A942F6">
        <w:rPr>
          <w:lang w:val="nb-NO"/>
        </w:rPr>
        <w:t xml:space="preserve">-behandling skal ikke initieres hos pasienter med aktive infeksjoner (se pkt. 4.3). Dersom en pasient utvikler en alvorlig infeksjon bør behandling med </w:t>
      </w:r>
      <w:r w:rsidR="00923E68" w:rsidRPr="00A942F6">
        <w:rPr>
          <w:lang w:val="nb-NO"/>
        </w:rPr>
        <w:t>tocilizumab</w:t>
      </w:r>
      <w:r w:rsidRPr="00A942F6">
        <w:rPr>
          <w:lang w:val="nb-NO"/>
        </w:rPr>
        <w:t xml:space="preserve"> avbrytes inntil infeksjonen er under kontroll (se pkt. 4.8). Det bør utvises forsiktighet ved vurdering av bruk av </w:t>
      </w:r>
      <w:r w:rsidR="00923E68" w:rsidRPr="00A942F6">
        <w:rPr>
          <w:lang w:val="nb-NO"/>
        </w:rPr>
        <w:t>Avtozma</w:t>
      </w:r>
      <w:r w:rsidRPr="00A942F6">
        <w:rPr>
          <w:lang w:val="nb-NO"/>
        </w:rPr>
        <w:t xml:space="preserve"> hos pasienter med residiverende eller kroniske infeksjoner i anamnesen eller underliggende tilstander (f. eks. divertikulitt, diabetes og interstitiell lungesykdom) som kan predisponere for infeksjoner.</w:t>
      </w:r>
    </w:p>
    <w:p w14:paraId="17FBDD08" w14:textId="77777777" w:rsidR="00C667D2" w:rsidRPr="00A942F6" w:rsidRDefault="00C667D2" w:rsidP="00641834">
      <w:pPr>
        <w:rPr>
          <w:lang w:val="nb-NO"/>
        </w:rPr>
      </w:pPr>
    </w:p>
    <w:p w14:paraId="345B3A79" w14:textId="77777777" w:rsidR="004A07DC" w:rsidRPr="00A942F6" w:rsidRDefault="004A07DC" w:rsidP="00641834">
      <w:pPr>
        <w:rPr>
          <w:lang w:val="nb-NO"/>
        </w:rPr>
      </w:pPr>
      <w:r w:rsidRPr="00A942F6">
        <w:rPr>
          <w:lang w:val="nb-NO"/>
        </w:rPr>
        <w:t>Overvåkning for snarlig diagnostisering av alvorlig infeksjon anbefales for pasienter som får biologisk behandling da symptomer og funn på akutt inflammasjon kan reduseres i forbindelse med suppresjon av akuttfasereaksjonen. Effekten av tocilizumab på C-reaktivt protein (CRP), nøytrofiler og infeksjonssymptomer skal vurderes når en pasient evalueres for mulig infeksjon. Pasienter (også inkludert yngre barn med sJIA eller pJIA som ikke har evne til å kommunisere sine symptomer) og foreldre/foresatte av sJIA- eller pJIA-pasienter, skal informeres om at de bør kontakte lege umiddelbart dersom symptomer på infeksjon oppstår, for å sikre rask undersøkelse og adekvat behandling.</w:t>
      </w:r>
    </w:p>
    <w:p w14:paraId="2ADF0123" w14:textId="77777777" w:rsidR="004A07DC" w:rsidRPr="00A942F6" w:rsidRDefault="004A07DC" w:rsidP="00641834">
      <w:pPr>
        <w:rPr>
          <w:lang w:val="nb-NO"/>
        </w:rPr>
      </w:pPr>
    </w:p>
    <w:p w14:paraId="483B52A3" w14:textId="77777777" w:rsidR="004A07DC" w:rsidRPr="00A942F6" w:rsidRDefault="004A07DC" w:rsidP="00641834">
      <w:pPr>
        <w:pStyle w:val="Style1Iitaic"/>
        <w:rPr>
          <w:lang w:val="nb-NO"/>
        </w:rPr>
      </w:pPr>
      <w:r w:rsidRPr="00A942F6">
        <w:rPr>
          <w:lang w:val="nb-NO"/>
        </w:rPr>
        <w:t>Tuberkulose</w:t>
      </w:r>
    </w:p>
    <w:p w14:paraId="26DE1687" w14:textId="1580FBE4" w:rsidR="004A07DC" w:rsidRPr="00A942F6" w:rsidRDefault="004A07DC" w:rsidP="00641834">
      <w:pPr>
        <w:rPr>
          <w:lang w:val="nb-NO"/>
        </w:rPr>
      </w:pPr>
      <w:r w:rsidRPr="00A942F6">
        <w:rPr>
          <w:lang w:val="nb-NO"/>
        </w:rPr>
        <w:t xml:space="preserve">Som anbefalt for annen biologisk behandling, bør RA-, sJIA- og pJIA-pasienter screenes for latent tuberkulose (TB) før behandling med </w:t>
      </w:r>
      <w:r w:rsidR="00923E68" w:rsidRPr="00A942F6">
        <w:rPr>
          <w:lang w:val="nb-NO"/>
        </w:rPr>
        <w:t>Avtozma</w:t>
      </w:r>
      <w:r w:rsidRPr="00A942F6">
        <w:rPr>
          <w:lang w:val="nb-NO"/>
        </w:rPr>
        <w:t xml:space="preserve"> startes. Pasienter med latent TB bør behandles med standard antimykobakteriell terapi før </w:t>
      </w:r>
      <w:r w:rsidR="00923E68" w:rsidRPr="00A942F6">
        <w:rPr>
          <w:lang w:val="nb-NO"/>
        </w:rPr>
        <w:t>Avtozma</w:t>
      </w:r>
      <w:r w:rsidRPr="00A942F6">
        <w:rPr>
          <w:lang w:val="nb-NO"/>
        </w:rPr>
        <w:t xml:space="preserve"> initieres. Leger gjøres oppmerksom på risikoen for falske negative tuberkulintest og interferon-gamma TB blodprøveresultater, spesielt hos pasienter som er alvorlig syke eller immunsupprimerte.</w:t>
      </w:r>
    </w:p>
    <w:p w14:paraId="3112EE51" w14:textId="77777777" w:rsidR="004A07DC" w:rsidRPr="00A942F6" w:rsidRDefault="004A07DC" w:rsidP="00641834">
      <w:pPr>
        <w:rPr>
          <w:lang w:val="nb-NO"/>
        </w:rPr>
      </w:pPr>
    </w:p>
    <w:p w14:paraId="3E4D78E3" w14:textId="104C1879" w:rsidR="004A07DC" w:rsidRPr="00A942F6" w:rsidRDefault="004A07DC" w:rsidP="00641834">
      <w:pPr>
        <w:rPr>
          <w:lang w:val="nb-NO"/>
        </w:rPr>
      </w:pPr>
      <w:r w:rsidRPr="00A942F6">
        <w:rPr>
          <w:lang w:val="nb-NO"/>
        </w:rPr>
        <w:t xml:space="preserve">Pasienter skal instrueres til å søke lege dersom tegn og symptomer (for eksempel vedvarende hoste, tæring / vekttap, lavgradig feber) som kan tyde på en tuberkulose infeksjon oppstår under eller etter behandling med </w:t>
      </w:r>
      <w:r w:rsidR="00923E68" w:rsidRPr="00A942F6">
        <w:rPr>
          <w:lang w:val="nb-NO"/>
        </w:rPr>
        <w:t>Avtozma</w:t>
      </w:r>
      <w:r w:rsidRPr="00A942F6">
        <w:rPr>
          <w:lang w:val="nb-NO"/>
        </w:rPr>
        <w:t>.</w:t>
      </w:r>
    </w:p>
    <w:p w14:paraId="3D235FAD" w14:textId="77777777" w:rsidR="00C667D2" w:rsidRPr="00A942F6" w:rsidRDefault="00C667D2" w:rsidP="00641834">
      <w:pPr>
        <w:pStyle w:val="Style1Iitaic"/>
        <w:rPr>
          <w:lang w:val="nb-NO"/>
        </w:rPr>
      </w:pPr>
    </w:p>
    <w:p w14:paraId="111A4711" w14:textId="77777777" w:rsidR="004A07DC" w:rsidRPr="00A942F6" w:rsidRDefault="004A07DC" w:rsidP="00641834">
      <w:pPr>
        <w:pStyle w:val="Style1Iitaic"/>
        <w:rPr>
          <w:lang w:val="nb-NO"/>
        </w:rPr>
      </w:pPr>
      <w:r w:rsidRPr="00A942F6">
        <w:rPr>
          <w:lang w:val="nb-NO"/>
        </w:rPr>
        <w:t>Viral reaktivering</w:t>
      </w:r>
    </w:p>
    <w:p w14:paraId="38251B23" w14:textId="77777777" w:rsidR="004A07DC" w:rsidRPr="00A942F6" w:rsidRDefault="004A07DC" w:rsidP="00641834">
      <w:pPr>
        <w:rPr>
          <w:lang w:val="nb-NO"/>
        </w:rPr>
      </w:pPr>
      <w:r w:rsidRPr="00A942F6">
        <w:rPr>
          <w:lang w:val="nb-NO"/>
        </w:rPr>
        <w:t>Viral reaktivering (f.eks. hepatitt B virus) er blitt rapportert ved biologisk terapi for RA. I kliniske studier med tocilizumab ble pasienter som testet positivt for hepatitt ekskludert.</w:t>
      </w:r>
    </w:p>
    <w:p w14:paraId="028EDDE4" w14:textId="77777777" w:rsidR="00C667D2" w:rsidRPr="00A942F6" w:rsidRDefault="00C667D2" w:rsidP="00641834">
      <w:pPr>
        <w:rPr>
          <w:lang w:val="nb-NO"/>
        </w:rPr>
      </w:pPr>
    </w:p>
    <w:p w14:paraId="3DE334F1" w14:textId="77777777" w:rsidR="004A07DC" w:rsidRPr="00A942F6" w:rsidRDefault="004A07DC" w:rsidP="00641834">
      <w:pPr>
        <w:pStyle w:val="Style1Iitaic"/>
        <w:rPr>
          <w:lang w:val="nb-NO"/>
        </w:rPr>
      </w:pPr>
      <w:r w:rsidRPr="00A942F6">
        <w:rPr>
          <w:lang w:val="nb-NO"/>
        </w:rPr>
        <w:t>Komplikasjoner til divertikulitt</w:t>
      </w:r>
    </w:p>
    <w:p w14:paraId="5072D579" w14:textId="698B36D3" w:rsidR="004A07DC" w:rsidRPr="00A942F6" w:rsidRDefault="004A07DC" w:rsidP="00641834">
      <w:pPr>
        <w:rPr>
          <w:lang w:val="nb-NO"/>
        </w:rPr>
      </w:pPr>
      <w:r w:rsidRPr="00A942F6">
        <w:rPr>
          <w:lang w:val="nb-NO"/>
        </w:rPr>
        <w:t xml:space="preserve">Sjeldne tilfeller av divertikulær perforasjon som komplikasjon til divertikulitt har vært rapportert med </w:t>
      </w:r>
      <w:r w:rsidR="003B0F09" w:rsidRPr="00A942F6">
        <w:rPr>
          <w:lang w:val="nb-NO"/>
        </w:rPr>
        <w:t>tocilizumab</w:t>
      </w:r>
      <w:r w:rsidRPr="00A942F6">
        <w:rPr>
          <w:lang w:val="nb-NO"/>
        </w:rPr>
        <w:t xml:space="preserve"> hos RA-pasienter (se pkt. 4.8). </w:t>
      </w:r>
      <w:r w:rsidR="00923E68" w:rsidRPr="00A942F6">
        <w:rPr>
          <w:lang w:val="nb-NO"/>
        </w:rPr>
        <w:t>Avtozma</w:t>
      </w:r>
      <w:r w:rsidRPr="00A942F6">
        <w:rPr>
          <w:lang w:val="nb-NO"/>
        </w:rPr>
        <w:t xml:space="preserve"> bør brukes med forsiktighet av pasienter med </w:t>
      </w:r>
      <w:r w:rsidRPr="00A942F6">
        <w:rPr>
          <w:lang w:val="nb-NO"/>
        </w:rPr>
        <w:lastRenderedPageBreak/>
        <w:t>intestinal ulcerasjon eller divertikulitt i anamnesen. Pasienter med symptomer på komplikasjoner til divertikulitt, f.eks. abdominale smerter, blødning og/eller uforklarlig endring i avføringsmønster med feber, skal undersøkes snarest med tanke på divertikulitt som kan være forbundet med gastrointestinal perforasjon.</w:t>
      </w:r>
    </w:p>
    <w:p w14:paraId="60745E38" w14:textId="77777777" w:rsidR="004A07DC" w:rsidRPr="00A942F6" w:rsidRDefault="004A07DC" w:rsidP="00641834">
      <w:pPr>
        <w:rPr>
          <w:lang w:val="nb-NO"/>
        </w:rPr>
      </w:pPr>
    </w:p>
    <w:p w14:paraId="6B4F6D52" w14:textId="77777777" w:rsidR="004A07DC" w:rsidRPr="00A942F6" w:rsidRDefault="004A07DC" w:rsidP="00641834">
      <w:pPr>
        <w:pStyle w:val="Style1Iitaic"/>
        <w:rPr>
          <w:lang w:val="nb-NO"/>
        </w:rPr>
      </w:pPr>
      <w:r w:rsidRPr="00A942F6">
        <w:rPr>
          <w:lang w:val="nb-NO"/>
        </w:rPr>
        <w:t>Hypersensitivitetsreaksjoner</w:t>
      </w:r>
    </w:p>
    <w:p w14:paraId="6121E0F7" w14:textId="42A98BE1" w:rsidR="004A07DC" w:rsidRPr="00A942F6" w:rsidRDefault="004A07DC" w:rsidP="00641834">
      <w:pPr>
        <w:rPr>
          <w:lang w:val="nb-NO"/>
        </w:rPr>
      </w:pPr>
      <w:r w:rsidRPr="00A942F6">
        <w:rPr>
          <w:lang w:val="nb-NO"/>
        </w:rPr>
        <w:t xml:space="preserve">Alvorlige hypersensitivitetsreaksjoner har blitt rapportert i forbindelse med infusjon av </w:t>
      </w:r>
      <w:r w:rsidR="00923E68" w:rsidRPr="00A942F6">
        <w:rPr>
          <w:lang w:val="nb-NO"/>
        </w:rPr>
        <w:t>tocilizumab</w:t>
      </w:r>
      <w:r w:rsidRPr="00A942F6">
        <w:rPr>
          <w:lang w:val="nb-NO"/>
        </w:rPr>
        <w:t xml:space="preserve"> (se pkt. 4.8). Slike reaksjoner kan være mer alvorlig og potensielt dødelige for pasienter som har opplevd hypersensitivitetsreaksjoner under tidligere infusjoner, selv om de har fått premedisinering med kortikosteroider og antihistaminer. Egnet behandling bør være tilgjengelig for øyeblikkelig bruk dersom det oppstår en anafylaktisk reaksjon under administrering av </w:t>
      </w:r>
      <w:r w:rsidR="00923E68" w:rsidRPr="00A942F6">
        <w:rPr>
          <w:lang w:val="nb-NO"/>
        </w:rPr>
        <w:t>Avtozma</w:t>
      </w:r>
      <w:r w:rsidRPr="00A942F6">
        <w:rPr>
          <w:lang w:val="nb-NO"/>
        </w:rPr>
        <w:t xml:space="preserve">. Hvis en anafylaktisk reaksjon eller annen alvorlig hypersensitivitet/alvorlig infusjonsrelatert reaksjon inntreffer, skal behandling med </w:t>
      </w:r>
      <w:r w:rsidR="00923E68" w:rsidRPr="00A942F6">
        <w:rPr>
          <w:lang w:val="nb-NO"/>
        </w:rPr>
        <w:t>Avtozma</w:t>
      </w:r>
      <w:r w:rsidRPr="00A942F6">
        <w:rPr>
          <w:lang w:val="nb-NO"/>
        </w:rPr>
        <w:t xml:space="preserve"> stoppes umiddelbart og </w:t>
      </w:r>
      <w:r w:rsidR="00923E68" w:rsidRPr="00A942F6">
        <w:rPr>
          <w:lang w:val="nb-NO"/>
        </w:rPr>
        <w:t>Avtozma</w:t>
      </w:r>
      <w:r w:rsidRPr="00A942F6">
        <w:rPr>
          <w:lang w:val="nb-NO"/>
        </w:rPr>
        <w:t xml:space="preserve"> skal seponeres permanent.</w:t>
      </w:r>
    </w:p>
    <w:p w14:paraId="6BC05F6F" w14:textId="77777777" w:rsidR="004A07DC" w:rsidRPr="00A942F6" w:rsidRDefault="004A07DC" w:rsidP="00641834">
      <w:pPr>
        <w:rPr>
          <w:lang w:val="nb-NO"/>
        </w:rPr>
      </w:pPr>
    </w:p>
    <w:p w14:paraId="4E1A2141" w14:textId="77777777" w:rsidR="004A07DC" w:rsidRPr="00A942F6" w:rsidRDefault="004A07DC" w:rsidP="00641834">
      <w:pPr>
        <w:pStyle w:val="Style1Iitaic"/>
        <w:rPr>
          <w:lang w:val="nb-NO"/>
        </w:rPr>
      </w:pPr>
      <w:r w:rsidRPr="00A942F6">
        <w:rPr>
          <w:lang w:val="nb-NO"/>
        </w:rPr>
        <w:t>Aktiv leversykdom og nedsatt leverfunksjon</w:t>
      </w:r>
    </w:p>
    <w:p w14:paraId="5B7AA53C" w14:textId="7D67FC58" w:rsidR="004A07DC" w:rsidRPr="00A942F6" w:rsidRDefault="004A07DC" w:rsidP="00641834">
      <w:pPr>
        <w:rPr>
          <w:lang w:val="nb-NO"/>
        </w:rPr>
      </w:pPr>
      <w:r w:rsidRPr="00A942F6">
        <w:rPr>
          <w:lang w:val="nb-NO"/>
        </w:rPr>
        <w:t xml:space="preserve">Behandling med </w:t>
      </w:r>
      <w:r w:rsidR="003B0F09" w:rsidRPr="00A942F6">
        <w:rPr>
          <w:lang w:val="nb-NO"/>
        </w:rPr>
        <w:t>tocilizumab</w:t>
      </w:r>
      <w:r w:rsidRPr="00A942F6">
        <w:rPr>
          <w:lang w:val="nb-NO"/>
        </w:rPr>
        <w:t>, spesielt ved samtidig bruk med metotreksat, kan være forbundet med forhøyede hepatiske transaminaser. Det bør derfor utvises forsiktighet når behandling av pasienter med aktiv leversykdom eller nedsatt leverfunksjon vurderes (se pkt. 4.2 og 4.8).</w:t>
      </w:r>
    </w:p>
    <w:p w14:paraId="0B21DAD9" w14:textId="77777777" w:rsidR="004A07DC" w:rsidRPr="00A942F6" w:rsidRDefault="004A07DC" w:rsidP="00641834">
      <w:pPr>
        <w:rPr>
          <w:lang w:val="nb-NO"/>
        </w:rPr>
      </w:pPr>
    </w:p>
    <w:p w14:paraId="2CD56776" w14:textId="77777777" w:rsidR="004A07DC" w:rsidRPr="00A942F6" w:rsidRDefault="004A07DC" w:rsidP="00641834">
      <w:pPr>
        <w:pStyle w:val="Style1Iitaic"/>
        <w:rPr>
          <w:lang w:val="nb-NO"/>
        </w:rPr>
      </w:pPr>
      <w:r w:rsidRPr="00A942F6">
        <w:rPr>
          <w:lang w:val="nb-NO"/>
        </w:rPr>
        <w:t>Levertoksisitet</w:t>
      </w:r>
    </w:p>
    <w:p w14:paraId="11EEEF4A" w14:textId="14EF269A" w:rsidR="004A07DC" w:rsidRPr="00A942F6" w:rsidRDefault="004A07DC" w:rsidP="00641834">
      <w:pPr>
        <w:rPr>
          <w:lang w:val="nb-NO"/>
        </w:rPr>
      </w:pPr>
      <w:r w:rsidRPr="00A942F6">
        <w:rPr>
          <w:lang w:val="nb-NO"/>
        </w:rPr>
        <w:t xml:space="preserve">I forbindelse med </w:t>
      </w:r>
      <w:r w:rsidR="003B0F09" w:rsidRPr="00A942F6">
        <w:rPr>
          <w:lang w:val="nb-NO"/>
        </w:rPr>
        <w:t>tocilizumab</w:t>
      </w:r>
      <w:r w:rsidRPr="00A942F6">
        <w:rPr>
          <w:lang w:val="nb-NO"/>
        </w:rPr>
        <w:t xml:space="preserve">behandling har det ofte blitt rapportert forbigående eller intermitterende mild til moderat økning av hepatiske transaminaser (se pkt. 4.8). Økt frekvens av forhøyede verdier ble observert når potensielt hepatotoksiske legemidler (f. eks. metotreksat) ble gitt i kombinasjon med </w:t>
      </w:r>
      <w:r w:rsidR="003B0F09" w:rsidRPr="00A942F6">
        <w:rPr>
          <w:lang w:val="nb-NO"/>
        </w:rPr>
        <w:t>tocilizumab</w:t>
      </w:r>
      <w:r w:rsidRPr="00A942F6">
        <w:rPr>
          <w:lang w:val="nb-NO"/>
        </w:rPr>
        <w:t>. Når det er klinisk indisert bør andre leverfunksjonstester inkludert bilirubin vurderes.</w:t>
      </w:r>
    </w:p>
    <w:p w14:paraId="165EA00F" w14:textId="77777777" w:rsidR="007934E2" w:rsidRPr="00A942F6" w:rsidRDefault="007934E2" w:rsidP="00641834">
      <w:pPr>
        <w:rPr>
          <w:lang w:val="nb-NO"/>
        </w:rPr>
      </w:pPr>
    </w:p>
    <w:p w14:paraId="472F1F70" w14:textId="1FD23DE6" w:rsidR="004A07DC" w:rsidRPr="00A942F6" w:rsidRDefault="004A07DC" w:rsidP="00641834">
      <w:pPr>
        <w:rPr>
          <w:lang w:val="nb-NO"/>
        </w:rPr>
      </w:pPr>
      <w:r w:rsidRPr="00A942F6">
        <w:rPr>
          <w:lang w:val="nb-NO"/>
        </w:rPr>
        <w:t xml:space="preserve">Det er observert alvorlige tilfeller av legemiddelinduserte leverskader med </w:t>
      </w:r>
      <w:r w:rsidR="003B0F09" w:rsidRPr="00A942F6">
        <w:rPr>
          <w:lang w:val="nb-NO"/>
        </w:rPr>
        <w:t>tocilizumab</w:t>
      </w:r>
      <w:r w:rsidRPr="00A942F6">
        <w:rPr>
          <w:lang w:val="nb-NO"/>
        </w:rPr>
        <w:t xml:space="preserve">, inkludert akutt leversvikt, hepatitt og gulsott (se pkt. 4.8). Alvorlig leverskade oppstod fra mellom 2 uker til mer enn 5 år etter oppstart av </w:t>
      </w:r>
      <w:r w:rsidR="003B0F09" w:rsidRPr="00A942F6">
        <w:rPr>
          <w:lang w:val="nb-NO"/>
        </w:rPr>
        <w:t>tocilizumab</w:t>
      </w:r>
      <w:r w:rsidRPr="00A942F6">
        <w:rPr>
          <w:lang w:val="nb-NO"/>
        </w:rPr>
        <w:t>. Tilfeller av leversvikt som resulterte i levertransplantasjon er rapportert. Pasientene skal rådes til å søke medisinsk hjelp øyeblikkelig ved tegn og symptomer på leverskade.</w:t>
      </w:r>
    </w:p>
    <w:p w14:paraId="75D5EA2B" w14:textId="77777777" w:rsidR="004A07DC" w:rsidRPr="00A942F6" w:rsidRDefault="004A07DC" w:rsidP="00641834">
      <w:pPr>
        <w:rPr>
          <w:lang w:val="nb-NO"/>
        </w:rPr>
      </w:pPr>
    </w:p>
    <w:p w14:paraId="2A8575B3" w14:textId="5F9D6D48" w:rsidR="004A07DC" w:rsidRPr="00A942F6" w:rsidRDefault="004A07DC" w:rsidP="00641834">
      <w:pPr>
        <w:rPr>
          <w:lang w:val="nb-NO"/>
        </w:rPr>
      </w:pPr>
      <w:r w:rsidRPr="00A942F6">
        <w:rPr>
          <w:lang w:val="nb-NO"/>
        </w:rPr>
        <w:t xml:space="preserve">Det bør utvises forsiktighet ved initiering av </w:t>
      </w:r>
      <w:r w:rsidR="00923E68" w:rsidRPr="00A942F6">
        <w:rPr>
          <w:lang w:val="nb-NO"/>
        </w:rPr>
        <w:t>Avtozma</w:t>
      </w:r>
      <w:r w:rsidRPr="00A942F6">
        <w:rPr>
          <w:lang w:val="nb-NO"/>
        </w:rPr>
        <w:t>-behandling hos pasienter med forhøyet ALAT eller ASAT &gt; 1,5 x øvre normalverdi. Hos RA-, pJIA- og sJIA-pasienter med forhøyet ALAT eller ASAT &gt; 5 x øvre normalverdi anbefales ikke behandling.</w:t>
      </w:r>
    </w:p>
    <w:p w14:paraId="5D011417" w14:textId="77777777" w:rsidR="007934E2" w:rsidRPr="00A942F6" w:rsidRDefault="007934E2" w:rsidP="00641834">
      <w:pPr>
        <w:rPr>
          <w:lang w:val="nb-NO"/>
        </w:rPr>
      </w:pPr>
    </w:p>
    <w:p w14:paraId="0D6C9BD0" w14:textId="140ED450" w:rsidR="004A07DC" w:rsidRPr="00A942F6" w:rsidRDefault="004A07DC" w:rsidP="00641834">
      <w:pPr>
        <w:rPr>
          <w:lang w:val="nb-NO"/>
        </w:rPr>
      </w:pPr>
      <w:r w:rsidRPr="00A942F6">
        <w:rPr>
          <w:lang w:val="nb-NO"/>
        </w:rPr>
        <w:t xml:space="preserve">Hos RA-, pJIA- og sJIA-pasienter bør ALAT og ASAT måles hver 4. til 8. uke i de første 6 månedene av behandlingen, og deretter hver 12. uke. Anbefalinger om dosejustering og seponering av </w:t>
      </w:r>
      <w:r w:rsidR="00923E68" w:rsidRPr="00A942F6">
        <w:rPr>
          <w:lang w:val="nb-NO"/>
        </w:rPr>
        <w:t>Avtozma</w:t>
      </w:r>
      <w:r w:rsidRPr="00A942F6">
        <w:rPr>
          <w:lang w:val="nb-NO"/>
        </w:rPr>
        <w:t xml:space="preserve"> basert på transaminaseverdier er gitt i pkt. 4.2. Ved ALAT eller ASAT forhøyelser &gt;</w:t>
      </w:r>
      <w:r w:rsidR="002C204D" w:rsidRPr="00A942F6">
        <w:rPr>
          <w:lang w:val="nb-NO"/>
        </w:rPr>
        <w:t> </w:t>
      </w:r>
      <w:r w:rsidRPr="00A942F6">
        <w:rPr>
          <w:lang w:val="nb-NO"/>
        </w:rPr>
        <w:t>3</w:t>
      </w:r>
      <w:r w:rsidR="002C204D" w:rsidRPr="00A942F6">
        <w:rPr>
          <w:lang w:val="nb-NO"/>
        </w:rPr>
        <w:t> </w:t>
      </w:r>
      <w:r w:rsidRPr="00A942F6">
        <w:rPr>
          <w:lang w:val="nb-NO"/>
        </w:rPr>
        <w:t>–</w:t>
      </w:r>
      <w:r w:rsidR="002C204D" w:rsidRPr="00A942F6">
        <w:rPr>
          <w:lang w:val="nb-NO"/>
        </w:rPr>
        <w:t> </w:t>
      </w:r>
      <w:r w:rsidRPr="00A942F6">
        <w:rPr>
          <w:lang w:val="nb-NO"/>
        </w:rPr>
        <w:t>5</w:t>
      </w:r>
      <w:r w:rsidR="002C204D" w:rsidRPr="00A942F6">
        <w:rPr>
          <w:lang w:val="nb-NO"/>
        </w:rPr>
        <w:t> </w:t>
      </w:r>
      <w:r w:rsidRPr="00A942F6">
        <w:rPr>
          <w:lang w:val="nb-NO"/>
        </w:rPr>
        <w:t xml:space="preserve">x øvre normalverdi som bekreftes med gjentatte prøver bør behandling med </w:t>
      </w:r>
      <w:r w:rsidR="00923E68" w:rsidRPr="00A942F6">
        <w:rPr>
          <w:lang w:val="nb-NO"/>
        </w:rPr>
        <w:t>Avtozma</w:t>
      </w:r>
      <w:r w:rsidRPr="00A942F6">
        <w:rPr>
          <w:lang w:val="nb-NO"/>
        </w:rPr>
        <w:t xml:space="preserve"> avbrytes.</w:t>
      </w:r>
    </w:p>
    <w:p w14:paraId="1AA22BCB" w14:textId="77777777" w:rsidR="004A07DC" w:rsidRPr="00A942F6" w:rsidRDefault="004A07DC" w:rsidP="00641834">
      <w:pPr>
        <w:rPr>
          <w:lang w:val="nb-NO"/>
        </w:rPr>
      </w:pPr>
    </w:p>
    <w:p w14:paraId="5A76CB2F" w14:textId="77777777" w:rsidR="004A07DC" w:rsidRPr="00A942F6" w:rsidRDefault="004A07DC" w:rsidP="00641834">
      <w:pPr>
        <w:pStyle w:val="Style1Iitaic"/>
        <w:rPr>
          <w:lang w:val="nb-NO"/>
        </w:rPr>
      </w:pPr>
      <w:r w:rsidRPr="00A942F6">
        <w:rPr>
          <w:lang w:val="nb-NO"/>
        </w:rPr>
        <w:t>Hematologiske forandringer</w:t>
      </w:r>
    </w:p>
    <w:p w14:paraId="1A5DAC02" w14:textId="77777777" w:rsidR="004A07DC" w:rsidRPr="00A942F6" w:rsidRDefault="004A07DC" w:rsidP="00641834">
      <w:pPr>
        <w:rPr>
          <w:lang w:val="nb-NO"/>
        </w:rPr>
      </w:pPr>
      <w:r w:rsidRPr="00A942F6">
        <w:rPr>
          <w:lang w:val="nb-NO"/>
        </w:rPr>
        <w:t>Reduserte verdier for nøytrofile granulocytter og trombocytter har oppstått ved behandling med tocilizumab 8 mg/kg i kombinasjon med metotreksat (se pkt. 4.8). Det kan være økt risiko for nøytropeni hos pasienter som tidligere er behandlet med en TNF-antagonist.</w:t>
      </w:r>
    </w:p>
    <w:p w14:paraId="169C8BB7" w14:textId="77777777" w:rsidR="007934E2" w:rsidRPr="00A942F6" w:rsidRDefault="007934E2" w:rsidP="00641834">
      <w:pPr>
        <w:rPr>
          <w:lang w:val="nb-NO"/>
        </w:rPr>
      </w:pPr>
    </w:p>
    <w:p w14:paraId="0EA8ADCC" w14:textId="7B50A494" w:rsidR="004A07DC" w:rsidRPr="00A942F6" w:rsidRDefault="004A07DC" w:rsidP="00641834">
      <w:pPr>
        <w:rPr>
          <w:lang w:val="nb-NO"/>
        </w:rPr>
      </w:pPr>
      <w:r w:rsidRPr="00A942F6">
        <w:rPr>
          <w:lang w:val="nb-NO"/>
        </w:rPr>
        <w:t xml:space="preserve">For pasienter som ikke tidligere er behandlet med </w:t>
      </w:r>
      <w:r w:rsidR="003B0F09" w:rsidRPr="00A942F6">
        <w:rPr>
          <w:lang w:val="nb-NO"/>
        </w:rPr>
        <w:t>tocilizumab</w:t>
      </w:r>
      <w:r w:rsidRPr="00A942F6">
        <w:rPr>
          <w:lang w:val="nb-NO"/>
        </w:rPr>
        <w:t xml:space="preserve"> er initiering ikke anbefalt for pasienter med et absolutt nøytrofiltall (ANC) under 2 x 10</w:t>
      </w:r>
      <w:r w:rsidRPr="00A942F6">
        <w:rPr>
          <w:vertAlign w:val="superscript"/>
          <w:lang w:val="nb-NO"/>
        </w:rPr>
        <w:t>9</w:t>
      </w:r>
      <w:r w:rsidRPr="00A942F6">
        <w:rPr>
          <w:lang w:val="nb-NO"/>
        </w:rPr>
        <w:t xml:space="preserve">/l. Det bør utvises forsiktighet ved initiering av </w:t>
      </w:r>
      <w:r w:rsidR="003B0F09" w:rsidRPr="00A942F6">
        <w:rPr>
          <w:lang w:val="nb-NO"/>
        </w:rPr>
        <w:t>tocilizumab</w:t>
      </w:r>
      <w:r w:rsidRPr="00A942F6">
        <w:rPr>
          <w:lang w:val="nb-NO"/>
        </w:rPr>
        <w:t>-behandling hos pasienter med lave verdier for trombocytter (trombocyttall &lt; 100 x 10</w:t>
      </w:r>
      <w:r w:rsidRPr="00A942F6">
        <w:rPr>
          <w:vertAlign w:val="superscript"/>
          <w:lang w:val="nb-NO"/>
        </w:rPr>
        <w:t>3</w:t>
      </w:r>
      <w:r w:rsidRPr="00A942F6">
        <w:rPr>
          <w:lang w:val="nb-NO"/>
        </w:rPr>
        <w:t>/mikroliter). Uavbrutt behandling frarådes hos RA-, sJIA- og pJIA-pasienter som utvikler ANC</w:t>
      </w:r>
    </w:p>
    <w:p w14:paraId="78201511" w14:textId="77777777" w:rsidR="004A07DC" w:rsidRPr="00A942F6" w:rsidRDefault="004A07DC" w:rsidP="00641834">
      <w:pPr>
        <w:rPr>
          <w:lang w:val="nb-NO"/>
        </w:rPr>
      </w:pPr>
      <w:r w:rsidRPr="00A942F6">
        <w:rPr>
          <w:lang w:val="nb-NO"/>
        </w:rPr>
        <w:t>&lt; 0,5 x 10</w:t>
      </w:r>
      <w:r w:rsidRPr="00A942F6">
        <w:rPr>
          <w:vertAlign w:val="superscript"/>
          <w:lang w:val="nb-NO"/>
        </w:rPr>
        <w:t>9</w:t>
      </w:r>
      <w:r w:rsidRPr="00A942F6">
        <w:rPr>
          <w:lang w:val="nb-NO"/>
        </w:rPr>
        <w:t>/l eller trombocyttall &lt; 50 x 10</w:t>
      </w:r>
      <w:r w:rsidRPr="00A942F6">
        <w:rPr>
          <w:vertAlign w:val="superscript"/>
          <w:lang w:val="nb-NO"/>
        </w:rPr>
        <w:t>3</w:t>
      </w:r>
      <w:r w:rsidRPr="00A942F6">
        <w:rPr>
          <w:lang w:val="nb-NO"/>
        </w:rPr>
        <w:t>/mikroliter.</w:t>
      </w:r>
    </w:p>
    <w:p w14:paraId="01D52298" w14:textId="77777777" w:rsidR="004A07DC" w:rsidRPr="00A942F6" w:rsidRDefault="004A07DC" w:rsidP="00641834">
      <w:pPr>
        <w:rPr>
          <w:lang w:val="nb-NO"/>
        </w:rPr>
      </w:pPr>
    </w:p>
    <w:p w14:paraId="689CC69B" w14:textId="5FC6B3E1" w:rsidR="004A07DC" w:rsidRPr="00A942F6" w:rsidRDefault="004A07DC" w:rsidP="00641834">
      <w:pPr>
        <w:rPr>
          <w:lang w:val="nb-NO"/>
        </w:rPr>
      </w:pPr>
      <w:r w:rsidRPr="00A942F6">
        <w:rPr>
          <w:lang w:val="nb-NO"/>
        </w:rPr>
        <w:t xml:space="preserve">Alvorlig nøytropeni kan være assosiert med økt risiko for alvorlige infeksjoner, selv om det hittil ikke har vært noen klar assosiasjon mellom nedgang i nøytrofiler og forekomst av alvorlige infeksjoner i kliniske studier med </w:t>
      </w:r>
      <w:r w:rsidR="003B0F09" w:rsidRPr="00A942F6">
        <w:rPr>
          <w:lang w:val="nb-NO"/>
        </w:rPr>
        <w:t>tocilizumab</w:t>
      </w:r>
      <w:r w:rsidRPr="00A942F6">
        <w:rPr>
          <w:lang w:val="nb-NO"/>
        </w:rPr>
        <w:t>.</w:t>
      </w:r>
    </w:p>
    <w:p w14:paraId="617C1AA6" w14:textId="77777777" w:rsidR="007934E2" w:rsidRPr="00A942F6" w:rsidRDefault="007934E2" w:rsidP="00641834">
      <w:pPr>
        <w:rPr>
          <w:lang w:val="nb-NO"/>
        </w:rPr>
      </w:pPr>
    </w:p>
    <w:p w14:paraId="71174A30" w14:textId="77777777" w:rsidR="004A07DC" w:rsidRPr="00A942F6" w:rsidRDefault="004A07DC" w:rsidP="00641834">
      <w:pPr>
        <w:rPr>
          <w:lang w:val="nb-NO"/>
        </w:rPr>
      </w:pPr>
      <w:r w:rsidRPr="00A942F6">
        <w:rPr>
          <w:lang w:val="nb-NO"/>
        </w:rPr>
        <w:lastRenderedPageBreak/>
        <w:t>Hos RA-pasienter bør nøytrofile granulocytter og trombocytter monitoreres 4 til 8 uker etter behandlingsstart og deretter i henhold til standard klinisk praksis. Anbefalinger om dosejustering basert på ANC og trombocyttall er gitt i pkt. 4.2.</w:t>
      </w:r>
    </w:p>
    <w:p w14:paraId="25860541" w14:textId="77777777" w:rsidR="004A07DC" w:rsidRPr="00A942F6" w:rsidRDefault="004A07DC" w:rsidP="00641834">
      <w:pPr>
        <w:rPr>
          <w:lang w:val="nb-NO"/>
        </w:rPr>
      </w:pPr>
    </w:p>
    <w:p w14:paraId="21846528" w14:textId="77777777" w:rsidR="004A07DC" w:rsidRPr="00A942F6" w:rsidRDefault="004A07DC" w:rsidP="00641834">
      <w:pPr>
        <w:rPr>
          <w:lang w:val="nb-NO"/>
        </w:rPr>
      </w:pPr>
      <w:r w:rsidRPr="00A942F6">
        <w:rPr>
          <w:lang w:val="nb-NO"/>
        </w:rPr>
        <w:t>Hos sJIA- og pJIA-pasienter bør nøytrofile granulocytter og trombocytter monitoreres på tidspunktet for andre infusjon, og deretter i henhold til god klinisk praksis, se pkt. 4.2.</w:t>
      </w:r>
    </w:p>
    <w:p w14:paraId="6F298180" w14:textId="77777777" w:rsidR="004A07DC" w:rsidRPr="00A942F6" w:rsidRDefault="004A07DC" w:rsidP="00641834">
      <w:pPr>
        <w:rPr>
          <w:lang w:val="nb-NO"/>
        </w:rPr>
      </w:pPr>
    </w:p>
    <w:p w14:paraId="265A00C4" w14:textId="77777777" w:rsidR="004A07DC" w:rsidRPr="00A942F6" w:rsidRDefault="004A07DC" w:rsidP="00641834">
      <w:pPr>
        <w:pStyle w:val="Style1Iitaic"/>
        <w:rPr>
          <w:lang w:val="nb-NO"/>
        </w:rPr>
      </w:pPr>
      <w:r w:rsidRPr="00A942F6">
        <w:rPr>
          <w:lang w:val="nb-NO"/>
        </w:rPr>
        <w:t>Lipidverdier</w:t>
      </w:r>
    </w:p>
    <w:p w14:paraId="65DC1D04" w14:textId="77777777" w:rsidR="004A07DC" w:rsidRPr="00A942F6" w:rsidRDefault="004A07DC" w:rsidP="00641834">
      <w:pPr>
        <w:rPr>
          <w:lang w:val="nb-NO"/>
        </w:rPr>
      </w:pPr>
      <w:r w:rsidRPr="00A942F6">
        <w:rPr>
          <w:lang w:val="nb-NO"/>
        </w:rPr>
        <w:t>Økning i lipidverdier inkludert totalkolesterol, LDL-kolesterol, HDL-kolesterol og triglycerider har vært observert hos pasienter behandlet med tocilizumab (se pkt. 4.8). Hos flertallet av pasientene var det ikke tegn på økt forekomst av atherogenese, og pasienter med økt total kolesterol responderte på behandling med lipidsenkende legemidler.</w:t>
      </w:r>
    </w:p>
    <w:p w14:paraId="48521D09" w14:textId="77777777" w:rsidR="007934E2" w:rsidRPr="00A942F6" w:rsidRDefault="007934E2" w:rsidP="00641834">
      <w:pPr>
        <w:rPr>
          <w:lang w:val="nb-NO"/>
        </w:rPr>
      </w:pPr>
    </w:p>
    <w:p w14:paraId="1130C268" w14:textId="64EFB127" w:rsidR="004A07DC" w:rsidRPr="00A942F6" w:rsidRDefault="004A07DC" w:rsidP="00641834">
      <w:pPr>
        <w:rPr>
          <w:lang w:val="nb-NO"/>
        </w:rPr>
      </w:pPr>
      <w:r w:rsidRPr="00A942F6">
        <w:rPr>
          <w:lang w:val="nb-NO"/>
        </w:rPr>
        <w:t xml:space="preserve">Hos sJIA-, pJIA- og RA-pasienter bør måling av lipidverdier gjøres 4 til 8 uker etter at behandling med </w:t>
      </w:r>
      <w:r w:rsidR="003B0F09" w:rsidRPr="00A942F6">
        <w:rPr>
          <w:lang w:val="nb-NO"/>
        </w:rPr>
        <w:t>tocilizumab</w:t>
      </w:r>
      <w:r w:rsidRPr="00A942F6">
        <w:rPr>
          <w:lang w:val="nb-NO"/>
        </w:rPr>
        <w:t xml:space="preserve"> er startet. Pasienter bør behandles for hyperlipidemi i henhold til lokale kliniske retningslinjer.</w:t>
      </w:r>
    </w:p>
    <w:p w14:paraId="169EC4FC" w14:textId="77777777" w:rsidR="004A07DC" w:rsidRPr="00A942F6" w:rsidRDefault="004A07DC" w:rsidP="00641834">
      <w:pPr>
        <w:rPr>
          <w:lang w:val="nb-NO"/>
        </w:rPr>
      </w:pPr>
    </w:p>
    <w:p w14:paraId="63F7A9AC" w14:textId="77777777" w:rsidR="004A07DC" w:rsidRPr="00A942F6" w:rsidRDefault="004A07DC" w:rsidP="00641834">
      <w:pPr>
        <w:pStyle w:val="Style1Iitaic"/>
        <w:rPr>
          <w:lang w:val="nb-NO"/>
        </w:rPr>
      </w:pPr>
      <w:r w:rsidRPr="00A942F6">
        <w:rPr>
          <w:lang w:val="nb-NO"/>
        </w:rPr>
        <w:t>Nevrologiske sykdommer</w:t>
      </w:r>
    </w:p>
    <w:p w14:paraId="2F35192E" w14:textId="5A6C0D04" w:rsidR="004A07DC" w:rsidRPr="00A942F6" w:rsidRDefault="004A07DC" w:rsidP="00641834">
      <w:pPr>
        <w:rPr>
          <w:lang w:val="nb-NO"/>
        </w:rPr>
      </w:pPr>
      <w:r w:rsidRPr="00A942F6">
        <w:rPr>
          <w:lang w:val="nb-NO"/>
        </w:rPr>
        <w:t xml:space="preserve">Behandlende lege bør være oppmerksom på symptomer på nyoppstått demyeliniserende sykdom i sentralnervesystemet. Risiko for slik demyeliniserende sykdom ved bruk av </w:t>
      </w:r>
      <w:r w:rsidR="003B0F09" w:rsidRPr="00A942F6">
        <w:rPr>
          <w:lang w:val="nb-NO"/>
        </w:rPr>
        <w:t>tocilizumab</w:t>
      </w:r>
      <w:r w:rsidRPr="00A942F6">
        <w:rPr>
          <w:lang w:val="nb-NO"/>
        </w:rPr>
        <w:t xml:space="preserve"> er ukjent på det nåværende tidspunkt.</w:t>
      </w:r>
    </w:p>
    <w:p w14:paraId="2313D08E" w14:textId="77777777" w:rsidR="004A07DC" w:rsidRPr="00A942F6" w:rsidRDefault="004A07DC" w:rsidP="00641834">
      <w:pPr>
        <w:rPr>
          <w:lang w:val="nb-NO"/>
        </w:rPr>
      </w:pPr>
    </w:p>
    <w:p w14:paraId="4A349F11" w14:textId="77777777" w:rsidR="004A07DC" w:rsidRPr="00A942F6" w:rsidRDefault="004A07DC" w:rsidP="00641834">
      <w:pPr>
        <w:pStyle w:val="Style1Iitaic"/>
        <w:rPr>
          <w:lang w:val="nb-NO"/>
        </w:rPr>
      </w:pPr>
      <w:r w:rsidRPr="00A942F6">
        <w:rPr>
          <w:lang w:val="nb-NO"/>
        </w:rPr>
        <w:t>Maligne lidelser</w:t>
      </w:r>
    </w:p>
    <w:p w14:paraId="5FC733F4" w14:textId="77777777" w:rsidR="004A07DC" w:rsidRPr="00A942F6" w:rsidRDefault="004A07DC" w:rsidP="00641834">
      <w:pPr>
        <w:rPr>
          <w:lang w:val="nb-NO"/>
        </w:rPr>
      </w:pPr>
      <w:r w:rsidRPr="00A942F6">
        <w:rPr>
          <w:lang w:val="nb-NO"/>
        </w:rPr>
        <w:t>Pasienter med RA har økt risiko for maligne lidelser. Immunmodulerende legemidler kan øke risikoen for malignitet.</w:t>
      </w:r>
    </w:p>
    <w:p w14:paraId="7820FD3E" w14:textId="77777777" w:rsidR="004A07DC" w:rsidRPr="00A942F6" w:rsidRDefault="004A07DC" w:rsidP="00641834">
      <w:pPr>
        <w:rPr>
          <w:lang w:val="nb-NO"/>
        </w:rPr>
      </w:pPr>
    </w:p>
    <w:p w14:paraId="24A0190E" w14:textId="77777777" w:rsidR="004A07DC" w:rsidRPr="00A942F6" w:rsidRDefault="004A07DC" w:rsidP="00641834">
      <w:pPr>
        <w:pStyle w:val="Style1Iitaic"/>
        <w:rPr>
          <w:lang w:val="nb-NO"/>
        </w:rPr>
      </w:pPr>
      <w:r w:rsidRPr="00A942F6">
        <w:rPr>
          <w:lang w:val="nb-NO"/>
        </w:rPr>
        <w:t>Vaksinasjon</w:t>
      </w:r>
    </w:p>
    <w:p w14:paraId="2CEDE65C" w14:textId="4ED69F55" w:rsidR="004A07DC" w:rsidRPr="00A942F6" w:rsidRDefault="004A07DC" w:rsidP="00641834">
      <w:pPr>
        <w:rPr>
          <w:lang w:val="nb-NO"/>
        </w:rPr>
      </w:pPr>
      <w:r w:rsidRPr="00A942F6">
        <w:rPr>
          <w:lang w:val="nb-NO"/>
        </w:rPr>
        <w:t xml:space="preserve">Levende og svekkede levende vaksiner bør på det nåværende tidspunkt ikke gis samtidig med </w:t>
      </w:r>
      <w:r w:rsidR="003B0F09" w:rsidRPr="00A942F6">
        <w:rPr>
          <w:lang w:val="nb-NO"/>
        </w:rPr>
        <w:t>tocilizumab</w:t>
      </w:r>
      <w:r w:rsidRPr="00A942F6">
        <w:rPr>
          <w:lang w:val="nb-NO"/>
        </w:rPr>
        <w:t xml:space="preserve">, da klinisk sikkerhet ikke er fastslått. I en randomisert, åpen studie, oppnådde </w:t>
      </w:r>
      <w:r w:rsidR="007934E2" w:rsidRPr="00A942F6">
        <w:rPr>
          <w:lang w:val="nb-NO"/>
        </w:rPr>
        <w:t xml:space="preserve">vaksne </w:t>
      </w:r>
      <w:r w:rsidRPr="00A942F6">
        <w:rPr>
          <w:lang w:val="nb-NO"/>
        </w:rPr>
        <w:t xml:space="preserve">RA-pasienter behandlet med </w:t>
      </w:r>
      <w:r w:rsidR="003B0F09" w:rsidRPr="00A942F6">
        <w:rPr>
          <w:lang w:val="nb-NO"/>
        </w:rPr>
        <w:t>tocilizumab</w:t>
      </w:r>
      <w:r w:rsidRPr="00A942F6">
        <w:rPr>
          <w:lang w:val="nb-NO"/>
        </w:rPr>
        <w:t xml:space="preserve"> og metotreksat en effektiv responsrate mot vaksiner for både 23-verdig pneumokokkpolysakkarid og tetanustoksoid. Dette var sammenlignbart med responsen sett hos pasienter som kun fikk metotreksat. Det anbefales at alle pasienter, spesielt sJIA-og pJIA- pasienter, er ajour med hensyn til all immunisering i samsvar med gjeldende retningslinjer for immunisering, før oppstart av </w:t>
      </w:r>
      <w:r w:rsidR="00923E68" w:rsidRPr="00A942F6">
        <w:rPr>
          <w:lang w:val="nb-NO"/>
        </w:rPr>
        <w:t>Avtozma</w:t>
      </w:r>
      <w:r w:rsidRPr="00A942F6">
        <w:rPr>
          <w:lang w:val="nb-NO"/>
        </w:rPr>
        <w:t xml:space="preserve">-behandling. Intervallet mellom levende vaksiner og oppstart av </w:t>
      </w:r>
      <w:r w:rsidR="00923E68" w:rsidRPr="00A942F6">
        <w:rPr>
          <w:lang w:val="nb-NO"/>
        </w:rPr>
        <w:t>Avtozma</w:t>
      </w:r>
      <w:r w:rsidRPr="00A942F6">
        <w:rPr>
          <w:lang w:val="nb-NO"/>
        </w:rPr>
        <w:t>-behandling bør være i samsvar med gjeldende retningslinjer for vaksinering og immunsuppressive midler.</w:t>
      </w:r>
    </w:p>
    <w:p w14:paraId="3DAB1AB5" w14:textId="77777777" w:rsidR="007934E2" w:rsidRPr="00A942F6" w:rsidRDefault="007934E2" w:rsidP="00641834">
      <w:pPr>
        <w:rPr>
          <w:lang w:val="nb-NO"/>
        </w:rPr>
      </w:pPr>
    </w:p>
    <w:p w14:paraId="682C6FF0" w14:textId="77777777" w:rsidR="004A07DC" w:rsidRPr="00A942F6" w:rsidRDefault="004A07DC" w:rsidP="00641834">
      <w:pPr>
        <w:pStyle w:val="Style1Iitaic"/>
        <w:rPr>
          <w:lang w:val="nb-NO"/>
        </w:rPr>
      </w:pPr>
      <w:r w:rsidRPr="00A942F6">
        <w:rPr>
          <w:lang w:val="nb-NO"/>
        </w:rPr>
        <w:t>Kardiovaskulær risiko</w:t>
      </w:r>
    </w:p>
    <w:p w14:paraId="0BCF3065" w14:textId="77777777" w:rsidR="004A07DC" w:rsidRPr="00A942F6" w:rsidRDefault="004A07DC" w:rsidP="00641834">
      <w:pPr>
        <w:rPr>
          <w:lang w:val="nb-NO"/>
        </w:rPr>
      </w:pPr>
      <w:r w:rsidRPr="00A942F6">
        <w:rPr>
          <w:lang w:val="nb-NO"/>
        </w:rPr>
        <w:t>Pasienter med RA har økt risiko for kardiovaskulære sykdommer og risikofaktorer (f.eks. hypertensjon, hyperlipidemi) bør behandles i henhold til klinisk praksis.</w:t>
      </w:r>
    </w:p>
    <w:p w14:paraId="26803CE1" w14:textId="77777777" w:rsidR="007934E2" w:rsidRPr="00A942F6" w:rsidRDefault="007934E2" w:rsidP="00641834">
      <w:pPr>
        <w:rPr>
          <w:lang w:val="nb-NO"/>
        </w:rPr>
      </w:pPr>
    </w:p>
    <w:p w14:paraId="20AC4155" w14:textId="77777777" w:rsidR="004A07DC" w:rsidRPr="00A942F6" w:rsidRDefault="004A07DC" w:rsidP="00641834">
      <w:pPr>
        <w:pStyle w:val="Style1Iitaic"/>
        <w:rPr>
          <w:lang w:val="nb-NO"/>
        </w:rPr>
      </w:pPr>
      <w:r w:rsidRPr="00A942F6">
        <w:rPr>
          <w:lang w:val="nb-NO"/>
        </w:rPr>
        <w:t>Kombinasjon med TNF-antagonister</w:t>
      </w:r>
    </w:p>
    <w:p w14:paraId="0B531932" w14:textId="3BC2EC53" w:rsidR="004A07DC" w:rsidRPr="00A942F6" w:rsidRDefault="004A07DC" w:rsidP="00641834">
      <w:pPr>
        <w:rPr>
          <w:lang w:val="nb-NO"/>
        </w:rPr>
      </w:pPr>
      <w:r w:rsidRPr="00A942F6">
        <w:rPr>
          <w:lang w:val="nb-NO"/>
        </w:rPr>
        <w:t xml:space="preserve">Det er ingen erfaring med bruk av </w:t>
      </w:r>
      <w:r w:rsidR="00923E68" w:rsidRPr="00A942F6">
        <w:rPr>
          <w:lang w:val="nb-NO"/>
        </w:rPr>
        <w:t>Avtozma</w:t>
      </w:r>
      <w:r w:rsidRPr="00A942F6">
        <w:rPr>
          <w:lang w:val="nb-NO"/>
        </w:rPr>
        <w:t xml:space="preserve"> kombinert med TNF-antagonister eller annen biologisk behandling av RA-, sJIA- eller pJIA-pasienter. Det anbefales ikke å bruke </w:t>
      </w:r>
      <w:r w:rsidR="00923E68" w:rsidRPr="00A942F6">
        <w:rPr>
          <w:lang w:val="nb-NO"/>
        </w:rPr>
        <w:t>Avtozma</w:t>
      </w:r>
      <w:r w:rsidRPr="00A942F6">
        <w:rPr>
          <w:lang w:val="nb-NO"/>
        </w:rPr>
        <w:t xml:space="preserve"> sammen med andre biologiske legemidler.</w:t>
      </w:r>
    </w:p>
    <w:p w14:paraId="41A6BF4B" w14:textId="77777777" w:rsidR="007934E2" w:rsidRPr="00A942F6" w:rsidRDefault="007934E2" w:rsidP="00641834">
      <w:pPr>
        <w:rPr>
          <w:lang w:val="nb-NO"/>
        </w:rPr>
      </w:pPr>
    </w:p>
    <w:p w14:paraId="35057178" w14:textId="77777777" w:rsidR="004A07DC" w:rsidRPr="00A942F6" w:rsidRDefault="004A07DC" w:rsidP="00641834">
      <w:pPr>
        <w:rPr>
          <w:lang w:val="nb-NO"/>
        </w:rPr>
      </w:pPr>
      <w:r w:rsidRPr="00A942F6">
        <w:rPr>
          <w:lang w:val="nb-NO"/>
        </w:rPr>
        <w:t>Covid-19-pasienter</w:t>
      </w:r>
    </w:p>
    <w:p w14:paraId="2CDEDE8A" w14:textId="77777777" w:rsidR="007934E2" w:rsidRPr="00A942F6" w:rsidRDefault="007934E2" w:rsidP="00641834">
      <w:pPr>
        <w:rPr>
          <w:lang w:val="nb-NO"/>
        </w:rPr>
      </w:pPr>
    </w:p>
    <w:p w14:paraId="7D0C14B8" w14:textId="757FE064" w:rsidR="004A07DC" w:rsidRPr="00A942F6" w:rsidRDefault="004A07DC" w:rsidP="00641834">
      <w:pPr>
        <w:pStyle w:val="Bullet1cm"/>
        <w:rPr>
          <w:lang w:val="nb-NO"/>
        </w:rPr>
      </w:pPr>
      <w:r w:rsidRPr="00A942F6">
        <w:rPr>
          <w:lang w:val="nb-NO"/>
        </w:rPr>
        <w:t xml:space="preserve">Effekten av </w:t>
      </w:r>
      <w:r w:rsidR="00923E68" w:rsidRPr="00A942F6">
        <w:rPr>
          <w:lang w:val="nb-NO"/>
        </w:rPr>
        <w:t>Avtozma</w:t>
      </w:r>
      <w:r w:rsidRPr="00A942F6">
        <w:rPr>
          <w:lang w:val="nb-NO"/>
        </w:rPr>
        <w:t xml:space="preserve"> har ikke blitt fastslått ved behandling av covid-19-pasienter som ikke har forhøyede CRP-nivåer, se pkt. 5.1.</w:t>
      </w:r>
    </w:p>
    <w:p w14:paraId="5383C6B6" w14:textId="45D045E7" w:rsidR="004A07DC" w:rsidRPr="00A942F6" w:rsidRDefault="00923E68" w:rsidP="00641834">
      <w:pPr>
        <w:pStyle w:val="Bullet1cm"/>
        <w:rPr>
          <w:lang w:val="nb-NO"/>
        </w:rPr>
      </w:pPr>
      <w:r w:rsidRPr="00A942F6">
        <w:rPr>
          <w:lang w:val="nb-NO"/>
        </w:rPr>
        <w:t>Avtozma</w:t>
      </w:r>
      <w:r w:rsidR="004A07DC" w:rsidRPr="00A942F6">
        <w:rPr>
          <w:lang w:val="nb-NO"/>
        </w:rPr>
        <w:t xml:space="preserve"> skal ikke administreres til covid-19-pasienter som ikke får systemiske kortikosteroider ettersom en økning i dødelighet ikke kan utelukkes i denne undergruppen, se pkt 5.1.</w:t>
      </w:r>
    </w:p>
    <w:p w14:paraId="016B154E" w14:textId="77777777" w:rsidR="004A07DC" w:rsidRPr="00A942F6" w:rsidRDefault="004A07DC" w:rsidP="00641834">
      <w:pPr>
        <w:rPr>
          <w:lang w:val="nb-NO"/>
        </w:rPr>
      </w:pPr>
    </w:p>
    <w:p w14:paraId="041CF501" w14:textId="77777777" w:rsidR="004A07DC" w:rsidRPr="00A942F6" w:rsidRDefault="004A07DC" w:rsidP="00641834">
      <w:pPr>
        <w:pStyle w:val="Style1Iitaic"/>
        <w:rPr>
          <w:lang w:val="nb-NO"/>
        </w:rPr>
      </w:pPr>
      <w:r w:rsidRPr="00A942F6">
        <w:rPr>
          <w:lang w:val="nb-NO"/>
        </w:rPr>
        <w:t>Infeksjoner</w:t>
      </w:r>
    </w:p>
    <w:p w14:paraId="65EFEC85" w14:textId="1527908C" w:rsidR="004A07DC" w:rsidRPr="00A942F6" w:rsidRDefault="004A07DC" w:rsidP="00641834">
      <w:pPr>
        <w:rPr>
          <w:lang w:val="nb-NO"/>
        </w:rPr>
      </w:pPr>
      <w:r w:rsidRPr="00A942F6">
        <w:rPr>
          <w:lang w:val="nb-NO"/>
        </w:rPr>
        <w:t xml:space="preserve">Hos covid-19-pasienter skal </w:t>
      </w:r>
      <w:r w:rsidR="00551975" w:rsidRPr="00A942F6">
        <w:rPr>
          <w:lang w:val="nb-NO"/>
        </w:rPr>
        <w:t>Avtozma</w:t>
      </w:r>
      <w:r w:rsidRPr="00A942F6">
        <w:rPr>
          <w:lang w:val="nb-NO"/>
        </w:rPr>
        <w:t xml:space="preserve"> ikke administreres dersom pasienten har noen andre pågående alvorlige aktive infeksjoner. Helsepersonell bør utvise forsiktighet når de vurderer bruk av </w:t>
      </w:r>
      <w:r w:rsidR="00923E68" w:rsidRPr="00A942F6">
        <w:rPr>
          <w:lang w:val="nb-NO"/>
        </w:rPr>
        <w:t>Avtozma</w:t>
      </w:r>
      <w:r w:rsidRPr="00A942F6">
        <w:rPr>
          <w:lang w:val="nb-NO"/>
        </w:rPr>
        <w:t xml:space="preserve"> hos pasienter med en historie av tilbakevendende eller kroniske infeksjoner eller med underliggende </w:t>
      </w:r>
      <w:r w:rsidRPr="00A942F6">
        <w:rPr>
          <w:lang w:val="nb-NO"/>
        </w:rPr>
        <w:lastRenderedPageBreak/>
        <w:t>tilstander (f.eks. divertikulitt, diabetes og interstitiell lungesykdom) som kan predisponere pasienter for infeksjoner.</w:t>
      </w:r>
    </w:p>
    <w:p w14:paraId="4051A8C1" w14:textId="77777777" w:rsidR="007934E2" w:rsidRPr="00A942F6" w:rsidRDefault="007934E2" w:rsidP="00641834">
      <w:pPr>
        <w:rPr>
          <w:lang w:val="nb-NO"/>
        </w:rPr>
      </w:pPr>
    </w:p>
    <w:p w14:paraId="17C3C710" w14:textId="77777777" w:rsidR="004A07DC" w:rsidRPr="00A942F6" w:rsidRDefault="004A07DC" w:rsidP="00641834">
      <w:pPr>
        <w:pStyle w:val="Style1Iitaic"/>
        <w:rPr>
          <w:lang w:val="nb-NO"/>
        </w:rPr>
      </w:pPr>
      <w:r w:rsidRPr="00A942F6">
        <w:rPr>
          <w:lang w:val="nb-NO"/>
        </w:rPr>
        <w:t>Levertoksisitet</w:t>
      </w:r>
    </w:p>
    <w:p w14:paraId="4CB86736" w14:textId="29E116EA" w:rsidR="004A07DC" w:rsidRPr="00A942F6" w:rsidRDefault="004A07DC" w:rsidP="00641834">
      <w:pPr>
        <w:rPr>
          <w:lang w:val="nb-NO"/>
        </w:rPr>
      </w:pPr>
      <w:r w:rsidRPr="00A942F6">
        <w:rPr>
          <w:lang w:val="nb-NO"/>
        </w:rPr>
        <w:t xml:space="preserve">Sykehusinnlagte pasienter med covid-19 kan ha forhøyede ALAT- eller ASAT-nivåer. Multiorgansvikt med involvering av leveren er kjent som en komplikasjon av alvorlig covid-19. Beslutningen om å administrere tocilizumab bør balansere den potensielle fordelen ved å behandle covid-19 mot den potensielle risikoen ved akutt behandling med tocilizumab. Hos covid-19-pasienter med forhøyet ALAT eller ASAT over 10 x øvre normalverdi (ULN), frarådes behandling med </w:t>
      </w:r>
      <w:r w:rsidR="00923E68" w:rsidRPr="00A942F6">
        <w:rPr>
          <w:lang w:val="nb-NO"/>
        </w:rPr>
        <w:t>Avtozma</w:t>
      </w:r>
      <w:r w:rsidRPr="00A942F6">
        <w:rPr>
          <w:lang w:val="nb-NO"/>
        </w:rPr>
        <w:t>. Hos covid-19-pasienter bør ALAT og ASAT monitoreres i henhold til gjeldende standard klinisk praksis.</w:t>
      </w:r>
    </w:p>
    <w:p w14:paraId="595C5782" w14:textId="77777777" w:rsidR="007934E2" w:rsidRPr="00A942F6" w:rsidRDefault="007934E2" w:rsidP="00641834">
      <w:pPr>
        <w:rPr>
          <w:lang w:val="nb-NO"/>
        </w:rPr>
      </w:pPr>
    </w:p>
    <w:p w14:paraId="46960EB6" w14:textId="77777777" w:rsidR="004A07DC" w:rsidRPr="00A942F6" w:rsidRDefault="004A07DC" w:rsidP="00641834">
      <w:pPr>
        <w:pStyle w:val="Style1Iitaic"/>
        <w:rPr>
          <w:lang w:val="nb-NO"/>
        </w:rPr>
      </w:pPr>
      <w:r w:rsidRPr="00A942F6">
        <w:rPr>
          <w:lang w:val="nb-NO"/>
        </w:rPr>
        <w:t>Hematologiske forandringer</w:t>
      </w:r>
    </w:p>
    <w:p w14:paraId="05BF38F5" w14:textId="77777777" w:rsidR="004A07DC" w:rsidRPr="00A942F6" w:rsidRDefault="004A07DC" w:rsidP="00641834">
      <w:pPr>
        <w:rPr>
          <w:lang w:val="nb-NO"/>
        </w:rPr>
      </w:pPr>
      <w:r w:rsidRPr="00A942F6">
        <w:rPr>
          <w:lang w:val="nb-NO"/>
        </w:rPr>
        <w:t>Hos covid-19-pasienter som utvikler ANC &lt; 1 x 10</w:t>
      </w:r>
      <w:r w:rsidRPr="00A942F6">
        <w:rPr>
          <w:vertAlign w:val="superscript"/>
          <w:lang w:val="nb-NO"/>
        </w:rPr>
        <w:t>9</w:t>
      </w:r>
      <w:r w:rsidRPr="00A942F6">
        <w:rPr>
          <w:lang w:val="nb-NO"/>
        </w:rPr>
        <w:t>/l eller trombocyttall &lt; 50 x 10</w:t>
      </w:r>
      <w:r w:rsidRPr="00A942F6">
        <w:rPr>
          <w:vertAlign w:val="superscript"/>
          <w:lang w:val="nb-NO"/>
        </w:rPr>
        <w:t>3</w:t>
      </w:r>
      <w:r w:rsidRPr="00A942F6">
        <w:rPr>
          <w:lang w:val="nb-NO"/>
        </w:rPr>
        <w:t>/mikroliter frarådes administering av behandlingen. Nøytrofile granulocytter og trombocytter bør monitoreres i henhold til gjeldende standard klinisk praksis, se pkt 4.2.</w:t>
      </w:r>
    </w:p>
    <w:p w14:paraId="13F8C481" w14:textId="77777777" w:rsidR="004A07DC" w:rsidRPr="00A942F6" w:rsidRDefault="004A07DC" w:rsidP="00641834">
      <w:pPr>
        <w:rPr>
          <w:lang w:val="nb-NO"/>
        </w:rPr>
      </w:pPr>
    </w:p>
    <w:p w14:paraId="499756DD" w14:textId="77777777" w:rsidR="004A07DC" w:rsidRPr="00A942F6" w:rsidRDefault="004A07DC" w:rsidP="00641834">
      <w:pPr>
        <w:pStyle w:val="Style1underline"/>
        <w:rPr>
          <w:lang w:val="nb-NO"/>
        </w:rPr>
      </w:pPr>
      <w:r w:rsidRPr="00A942F6">
        <w:rPr>
          <w:lang w:val="nb-NO"/>
        </w:rPr>
        <w:t>Pediatrisk populasjon</w:t>
      </w:r>
    </w:p>
    <w:p w14:paraId="4DEC397F" w14:textId="77777777" w:rsidR="004A07DC" w:rsidRPr="00A942F6" w:rsidRDefault="004A07DC" w:rsidP="00641834">
      <w:pPr>
        <w:rPr>
          <w:lang w:val="nb-NO"/>
        </w:rPr>
      </w:pPr>
    </w:p>
    <w:p w14:paraId="7A669579" w14:textId="77777777" w:rsidR="004A07DC" w:rsidRPr="00A942F6" w:rsidRDefault="004A07DC" w:rsidP="00641834">
      <w:pPr>
        <w:pStyle w:val="Style1Iitaic"/>
        <w:rPr>
          <w:lang w:val="nb-NO"/>
        </w:rPr>
      </w:pPr>
      <w:r w:rsidRPr="00A942F6">
        <w:rPr>
          <w:lang w:val="nb-NO"/>
        </w:rPr>
        <w:t>sJIA-pasienter</w:t>
      </w:r>
    </w:p>
    <w:p w14:paraId="4C814914" w14:textId="77777777" w:rsidR="004A07DC" w:rsidRPr="00A942F6" w:rsidRDefault="004A07DC" w:rsidP="00641834">
      <w:pPr>
        <w:rPr>
          <w:lang w:val="nb-NO"/>
        </w:rPr>
      </w:pPr>
      <w:r w:rsidRPr="00A942F6">
        <w:rPr>
          <w:lang w:val="nb-NO"/>
        </w:rPr>
        <w:t>Makrofagaktivering-syndrom (MAS) er en alvorlig, livstruende sykdom som kan utvikles hos sJIA- pasienter. Det er ikke utført kliniske forsøk med tocilizumab hos pasienter med aktiv MAS.</w:t>
      </w:r>
    </w:p>
    <w:p w14:paraId="16DD6381" w14:textId="77777777" w:rsidR="004A07DC" w:rsidRPr="00A942F6" w:rsidRDefault="004A07DC" w:rsidP="00641834">
      <w:pPr>
        <w:rPr>
          <w:lang w:val="nb-NO"/>
        </w:rPr>
      </w:pPr>
    </w:p>
    <w:p w14:paraId="463EFA2B" w14:textId="77777777" w:rsidR="003B0F09" w:rsidRPr="00A942F6" w:rsidRDefault="003B0F09" w:rsidP="003B0F09">
      <w:pPr>
        <w:rPr>
          <w:u w:val="single"/>
          <w:lang w:val="nb-NO"/>
        </w:rPr>
      </w:pPr>
      <w:r w:rsidRPr="00A942F6">
        <w:rPr>
          <w:u w:val="single"/>
          <w:lang w:val="nb-NO"/>
        </w:rPr>
        <w:t>Hjelpestoffer med kjent effekt</w:t>
      </w:r>
    </w:p>
    <w:p w14:paraId="79102733" w14:textId="77777777" w:rsidR="003B0F09" w:rsidRPr="00A942F6" w:rsidRDefault="003B0F09" w:rsidP="003B0F09">
      <w:pPr>
        <w:rPr>
          <w:i/>
          <w:iCs/>
          <w:lang w:val="nb-NO"/>
        </w:rPr>
      </w:pPr>
      <w:r w:rsidRPr="00A942F6">
        <w:rPr>
          <w:i/>
          <w:iCs/>
          <w:lang w:val="nb-NO"/>
        </w:rPr>
        <w:t>Polysorbat</w:t>
      </w:r>
    </w:p>
    <w:p w14:paraId="7BBCB8B9" w14:textId="7E5BBF0E" w:rsidR="003B0F09" w:rsidRPr="00A942F6" w:rsidRDefault="003B0F09" w:rsidP="003B0F09">
      <w:pPr>
        <w:rPr>
          <w:lang w:val="nb-NO"/>
        </w:rPr>
      </w:pPr>
      <w:r w:rsidRPr="00A942F6">
        <w:rPr>
          <w:lang w:val="nb-NO"/>
        </w:rPr>
        <w:t>Hvert 80 mg hetteglass inneholder 2,0 mg polysorbat</w:t>
      </w:r>
      <w:r w:rsidR="009A4C7C">
        <w:rPr>
          <w:rFonts w:eastAsia="맑은 고딕" w:hint="eastAsia"/>
          <w:lang w:val="nb-NO" w:eastAsia="ko-KR"/>
        </w:rPr>
        <w:t xml:space="preserve"> 80</w:t>
      </w:r>
      <w:r w:rsidRPr="00A942F6">
        <w:rPr>
          <w:lang w:val="nb-NO"/>
        </w:rPr>
        <w:t>.</w:t>
      </w:r>
    </w:p>
    <w:p w14:paraId="12079250" w14:textId="235BEEBD" w:rsidR="003B0F09" w:rsidRPr="00A942F6" w:rsidRDefault="003B0F09" w:rsidP="003B0F09">
      <w:pPr>
        <w:rPr>
          <w:lang w:val="nb-NO"/>
        </w:rPr>
      </w:pPr>
      <w:r w:rsidRPr="00A942F6">
        <w:rPr>
          <w:lang w:val="nb-NO"/>
        </w:rPr>
        <w:t>Hvert 200 mg hetteglass inneholder 5,0 mg polysorbat</w:t>
      </w:r>
      <w:r w:rsidR="009A4C7C">
        <w:rPr>
          <w:rFonts w:eastAsia="맑은 고딕" w:hint="eastAsia"/>
          <w:lang w:val="nb-NO" w:eastAsia="ko-KR"/>
        </w:rPr>
        <w:t xml:space="preserve"> 80</w:t>
      </w:r>
      <w:r w:rsidRPr="00A942F6">
        <w:rPr>
          <w:lang w:val="nb-NO"/>
        </w:rPr>
        <w:t>.</w:t>
      </w:r>
    </w:p>
    <w:p w14:paraId="4784B957" w14:textId="42E82D33" w:rsidR="003B0F09" w:rsidRPr="00A942F6" w:rsidRDefault="003B0F09" w:rsidP="003B0F09">
      <w:pPr>
        <w:rPr>
          <w:lang w:val="nb-NO"/>
        </w:rPr>
      </w:pPr>
      <w:r w:rsidRPr="00A942F6">
        <w:rPr>
          <w:lang w:val="nb-NO"/>
        </w:rPr>
        <w:t>Hvert 400 mg hetteglass inneholder 10,0 mg polysorbat</w:t>
      </w:r>
      <w:r w:rsidR="009A4C7C">
        <w:rPr>
          <w:rFonts w:eastAsia="맑은 고딕" w:hint="eastAsia"/>
          <w:lang w:val="nb-NO" w:eastAsia="ko-KR"/>
        </w:rPr>
        <w:t xml:space="preserve"> 80</w:t>
      </w:r>
      <w:r w:rsidRPr="00A942F6">
        <w:rPr>
          <w:lang w:val="nb-NO"/>
        </w:rPr>
        <w:t>.</w:t>
      </w:r>
    </w:p>
    <w:p w14:paraId="49C713E0" w14:textId="77777777" w:rsidR="003B0F09" w:rsidRPr="00A942F6" w:rsidRDefault="003B0F09" w:rsidP="003B0F09">
      <w:pPr>
        <w:rPr>
          <w:lang w:val="nb-NO"/>
        </w:rPr>
      </w:pPr>
      <w:r w:rsidRPr="00A942F6">
        <w:rPr>
          <w:lang w:val="nb-NO"/>
        </w:rPr>
        <w:t>Polysorbater kan forårsake allergiske reaksjoner. Pasienter med polysorbatallergi bør ikke ta dette legemidlet.</w:t>
      </w:r>
    </w:p>
    <w:p w14:paraId="755246F9" w14:textId="77777777" w:rsidR="003B0F09" w:rsidRPr="00A942F6" w:rsidRDefault="003B0F09" w:rsidP="00641834">
      <w:pPr>
        <w:rPr>
          <w:lang w:val="nb-NO"/>
        </w:rPr>
      </w:pPr>
    </w:p>
    <w:p w14:paraId="7079AD0C" w14:textId="77777777" w:rsidR="004A07DC" w:rsidRPr="00A942F6" w:rsidRDefault="004A07DC" w:rsidP="00641834">
      <w:pPr>
        <w:pStyle w:val="H2"/>
        <w:rPr>
          <w:lang w:val="nb-NO"/>
        </w:rPr>
      </w:pPr>
      <w:r w:rsidRPr="00A942F6">
        <w:rPr>
          <w:lang w:val="nb-NO"/>
        </w:rPr>
        <w:t>4.5</w:t>
      </w:r>
      <w:r w:rsidRPr="00A942F6">
        <w:rPr>
          <w:lang w:val="nb-NO"/>
        </w:rPr>
        <w:tab/>
        <w:t>Interaksjon med andre legemidler og andre former for interaksjon</w:t>
      </w:r>
    </w:p>
    <w:p w14:paraId="06F0A976" w14:textId="77777777" w:rsidR="00426296" w:rsidRPr="00A942F6" w:rsidRDefault="00426296" w:rsidP="00641834">
      <w:pPr>
        <w:rPr>
          <w:lang w:val="nb-NO"/>
        </w:rPr>
      </w:pPr>
    </w:p>
    <w:p w14:paraId="59A1D055" w14:textId="77777777" w:rsidR="004A07DC" w:rsidRPr="00A942F6" w:rsidRDefault="004A07DC" w:rsidP="00641834">
      <w:pPr>
        <w:rPr>
          <w:lang w:val="nb-NO"/>
        </w:rPr>
      </w:pPr>
      <w:r w:rsidRPr="00A942F6">
        <w:rPr>
          <w:lang w:val="nb-NO"/>
        </w:rPr>
        <w:t>Interaksjonsstudier har kun blitt utført hos voksne.</w:t>
      </w:r>
    </w:p>
    <w:p w14:paraId="2FC23D1F" w14:textId="77777777" w:rsidR="004A07DC" w:rsidRPr="00A942F6" w:rsidRDefault="004A07DC" w:rsidP="00641834">
      <w:pPr>
        <w:rPr>
          <w:lang w:val="nb-NO"/>
        </w:rPr>
      </w:pPr>
    </w:p>
    <w:p w14:paraId="49AFABD9" w14:textId="77777777" w:rsidR="004A07DC" w:rsidRPr="00A942F6" w:rsidRDefault="004A07DC" w:rsidP="00641834">
      <w:pPr>
        <w:rPr>
          <w:lang w:val="nb-NO"/>
        </w:rPr>
      </w:pPr>
      <w:r w:rsidRPr="00A942F6">
        <w:rPr>
          <w:lang w:val="nb-NO"/>
        </w:rPr>
        <w:t>Samtidig administrering av en enkeltdose tocilizumab 10 mg/kg og metotreksat 10-25 mg én gang ukentlig hadde ingen klinisk signifikant effekt på metotreksateksponeringen.</w:t>
      </w:r>
    </w:p>
    <w:p w14:paraId="736078A6" w14:textId="77777777" w:rsidR="007934E2" w:rsidRPr="00A942F6" w:rsidRDefault="007934E2" w:rsidP="00641834">
      <w:pPr>
        <w:rPr>
          <w:lang w:val="nb-NO"/>
        </w:rPr>
      </w:pPr>
    </w:p>
    <w:p w14:paraId="570169D2" w14:textId="77777777" w:rsidR="004A07DC" w:rsidRPr="00A942F6" w:rsidRDefault="004A07DC" w:rsidP="00641834">
      <w:pPr>
        <w:rPr>
          <w:lang w:val="nb-NO"/>
        </w:rPr>
      </w:pPr>
      <w:r w:rsidRPr="00A942F6">
        <w:rPr>
          <w:lang w:val="nb-NO"/>
        </w:rPr>
        <w:t>Populasjonsfarmakokinetiske analyser med samtidig bruk av metotreksat, ikke-steroide antiinflammatoriske legemidler (NSAIDs) eller kortikosteroider viste ingen påvirkning på clearance for tocilizumab.</w:t>
      </w:r>
    </w:p>
    <w:p w14:paraId="6C457E52" w14:textId="77777777" w:rsidR="004A07DC" w:rsidRPr="00A942F6" w:rsidRDefault="004A07DC" w:rsidP="00641834">
      <w:pPr>
        <w:rPr>
          <w:lang w:val="nb-NO"/>
        </w:rPr>
      </w:pPr>
    </w:p>
    <w:p w14:paraId="410BF23F" w14:textId="77777777" w:rsidR="004A07DC" w:rsidRPr="00A942F6" w:rsidRDefault="004A07DC" w:rsidP="00641834">
      <w:pPr>
        <w:rPr>
          <w:lang w:val="nb-NO"/>
        </w:rPr>
      </w:pPr>
      <w:r w:rsidRPr="00A942F6">
        <w:rPr>
          <w:lang w:val="nb-NO"/>
        </w:rPr>
        <w:t>Ekspresjon av hepatiske CYP450-enzymer hemmes av cytokiner, for eksempel IL-6, som stimulerer kronisk inflammasjon. Ekspresjon av CYP450 kan derfor reverseres når behandling med potent cytokinhemmende terapi, som tocilizumab, iverksettes.</w:t>
      </w:r>
    </w:p>
    <w:p w14:paraId="02592871" w14:textId="77777777" w:rsidR="004A07DC" w:rsidRPr="00A942F6" w:rsidRDefault="004A07DC" w:rsidP="00641834">
      <w:pPr>
        <w:rPr>
          <w:lang w:val="nb-NO"/>
        </w:rPr>
      </w:pPr>
    </w:p>
    <w:p w14:paraId="31712A74" w14:textId="77777777" w:rsidR="004A07DC" w:rsidRPr="00A942F6" w:rsidRDefault="004A07DC" w:rsidP="00641834">
      <w:pPr>
        <w:rPr>
          <w:lang w:val="nb-NO"/>
        </w:rPr>
      </w:pPr>
      <w:r w:rsidRPr="00A942F6">
        <w:rPr>
          <w:i/>
          <w:iCs/>
          <w:lang w:val="nb-NO"/>
        </w:rPr>
        <w:t>In vitro</w:t>
      </w:r>
      <w:r w:rsidRPr="00A942F6">
        <w:rPr>
          <w:lang w:val="nb-NO"/>
        </w:rPr>
        <w:t>-studier med humane hepatocytter i kultur har vist at IL-6 forårsaket reduksjon av enzymene CYP1A2, CYP2C9, CYP2C19 og CYP3A4. Tocilizumab normaliserer ekspresjonen av disse enzymene.</w:t>
      </w:r>
    </w:p>
    <w:p w14:paraId="5D766ED8" w14:textId="77777777" w:rsidR="007934E2" w:rsidRPr="00A942F6" w:rsidRDefault="007934E2" w:rsidP="00641834">
      <w:pPr>
        <w:rPr>
          <w:lang w:val="nb-NO"/>
        </w:rPr>
      </w:pPr>
    </w:p>
    <w:p w14:paraId="238748FC" w14:textId="77777777" w:rsidR="004A07DC" w:rsidRPr="00A942F6" w:rsidRDefault="004A07DC" w:rsidP="00641834">
      <w:pPr>
        <w:rPr>
          <w:lang w:val="nb-NO"/>
        </w:rPr>
      </w:pPr>
      <w:r w:rsidRPr="00A942F6">
        <w:rPr>
          <w:lang w:val="nb-NO"/>
        </w:rPr>
        <w:t>I en studie med RA-pasienter ble nivåene for simvastatin (CYP3A4) senket med 57 % en uke etterfulgt av en enkeltdose tocilizumab til nivået likt, eller litt høyere enn det som var observert hos friske individer.</w:t>
      </w:r>
    </w:p>
    <w:p w14:paraId="1807B055" w14:textId="77777777" w:rsidR="004A07DC" w:rsidRPr="00A942F6" w:rsidRDefault="004A07DC" w:rsidP="00641834">
      <w:pPr>
        <w:rPr>
          <w:lang w:val="nb-NO"/>
        </w:rPr>
      </w:pPr>
    </w:p>
    <w:p w14:paraId="7A047CF9" w14:textId="77777777" w:rsidR="004A07DC" w:rsidRPr="00A942F6" w:rsidRDefault="004A07DC" w:rsidP="00641834">
      <w:pPr>
        <w:rPr>
          <w:lang w:val="nb-NO"/>
        </w:rPr>
      </w:pPr>
      <w:r w:rsidRPr="00A942F6">
        <w:rPr>
          <w:lang w:val="nb-NO"/>
        </w:rPr>
        <w:t xml:space="preserve">Ved oppstart eller seponering av behandling med tocilizumab bør pasienter som tar legemidler som justeres individuelt, og som metaboliseres via CYP450 3A4, 1A2 eller 2C9 (f.eks. metylprednisolon, deksametason, (med mulighet for seponeringssyndrom av oral glukokortikoid), atorvastatin, kalsiumkanalblokkere, teofyllin, warfarin, fenprokumon, fenytoin, ciklosporin eller benzodiazepiner), </w:t>
      </w:r>
      <w:r w:rsidRPr="00A942F6">
        <w:rPr>
          <w:lang w:val="nb-NO"/>
        </w:rPr>
        <w:lastRenderedPageBreak/>
        <w:t>monitoreres da doseøkning kan bli nødvendig for å beholde terapeutisk effekt. På grunn av den lange halveringstiden (t</w:t>
      </w:r>
      <w:r w:rsidR="002D2136" w:rsidRPr="00A942F6">
        <w:rPr>
          <w:vertAlign w:val="subscript"/>
          <w:lang w:val="nb-NO"/>
        </w:rPr>
        <w:t>1/2</w:t>
      </w:r>
      <w:r w:rsidRPr="00A942F6">
        <w:rPr>
          <w:lang w:val="nb-NO"/>
        </w:rPr>
        <w:t>) kan effekten av tocilizumab på CYP450-enzymaktiviteten vedvare i flere uker etter seponering.</w:t>
      </w:r>
    </w:p>
    <w:p w14:paraId="193B6355" w14:textId="77777777" w:rsidR="004A07DC" w:rsidRPr="00A942F6" w:rsidRDefault="004A07DC" w:rsidP="00641834">
      <w:pPr>
        <w:rPr>
          <w:lang w:val="nb-NO"/>
        </w:rPr>
      </w:pPr>
    </w:p>
    <w:p w14:paraId="165E658F" w14:textId="77777777" w:rsidR="004A07DC" w:rsidRPr="00A942F6" w:rsidRDefault="004A07DC" w:rsidP="00641834">
      <w:pPr>
        <w:pStyle w:val="H2"/>
        <w:rPr>
          <w:lang w:val="nb-NO"/>
        </w:rPr>
      </w:pPr>
      <w:r w:rsidRPr="00A942F6">
        <w:rPr>
          <w:lang w:val="nb-NO"/>
        </w:rPr>
        <w:t>4.6</w:t>
      </w:r>
      <w:r w:rsidRPr="00A942F6">
        <w:rPr>
          <w:lang w:val="nb-NO"/>
        </w:rPr>
        <w:tab/>
        <w:t>Fertilitet, graviditet og amming</w:t>
      </w:r>
    </w:p>
    <w:p w14:paraId="3E6AE2D6" w14:textId="77777777" w:rsidR="00426296" w:rsidRPr="00A942F6" w:rsidRDefault="00426296" w:rsidP="00641834">
      <w:pPr>
        <w:keepNext/>
        <w:rPr>
          <w:lang w:val="nb-NO"/>
        </w:rPr>
      </w:pPr>
    </w:p>
    <w:p w14:paraId="258CF4F3" w14:textId="77777777" w:rsidR="004A07DC" w:rsidRPr="00A942F6" w:rsidRDefault="004A07DC" w:rsidP="00641834">
      <w:pPr>
        <w:pStyle w:val="Style1underline"/>
        <w:rPr>
          <w:lang w:val="nb-NO"/>
        </w:rPr>
      </w:pPr>
      <w:r w:rsidRPr="00A942F6">
        <w:rPr>
          <w:lang w:val="nb-NO"/>
        </w:rPr>
        <w:t>Kvinner i fertil alder</w:t>
      </w:r>
    </w:p>
    <w:p w14:paraId="2B9DD383" w14:textId="77777777" w:rsidR="004A07DC" w:rsidRPr="00A942F6" w:rsidRDefault="004A07DC" w:rsidP="00641834">
      <w:pPr>
        <w:rPr>
          <w:lang w:val="nb-NO"/>
        </w:rPr>
      </w:pPr>
      <w:r w:rsidRPr="00A942F6">
        <w:rPr>
          <w:lang w:val="nb-NO"/>
        </w:rPr>
        <w:t>Kvinner i fertil alder må bruke sikker prevensjon under og opptil 3 måneder etter behandlingen.</w:t>
      </w:r>
    </w:p>
    <w:p w14:paraId="60C81C22" w14:textId="77777777" w:rsidR="004A07DC" w:rsidRPr="00A942F6" w:rsidRDefault="004A07DC" w:rsidP="00641834">
      <w:pPr>
        <w:rPr>
          <w:lang w:val="nb-NO"/>
        </w:rPr>
      </w:pPr>
    </w:p>
    <w:p w14:paraId="77EC327E" w14:textId="77777777" w:rsidR="004A07DC" w:rsidRPr="00A942F6" w:rsidRDefault="004A07DC" w:rsidP="00641834">
      <w:pPr>
        <w:pStyle w:val="Style1underline"/>
        <w:rPr>
          <w:lang w:val="nb-NO"/>
        </w:rPr>
      </w:pPr>
      <w:r w:rsidRPr="00A942F6">
        <w:rPr>
          <w:lang w:val="nb-NO"/>
        </w:rPr>
        <w:t>Graviditet</w:t>
      </w:r>
    </w:p>
    <w:p w14:paraId="3B5A0C6D" w14:textId="77777777" w:rsidR="004A07DC" w:rsidRPr="00A942F6" w:rsidRDefault="004A07DC" w:rsidP="00641834">
      <w:pPr>
        <w:rPr>
          <w:lang w:val="nb-NO"/>
        </w:rPr>
      </w:pPr>
      <w:r w:rsidRPr="00A942F6">
        <w:rPr>
          <w:lang w:val="nb-NO"/>
        </w:rPr>
        <w:t>Det foreligger ikke tilstrekkelige data på bruk av tocilizumab hos gravide kvinner. En dyrestudie har vist en økt risiko for spontanabort/fosterdød ved høy dose (se pkt. 5.3). Potensiell risiko for mennesker er ukjent.</w:t>
      </w:r>
    </w:p>
    <w:p w14:paraId="089B86CB" w14:textId="77777777" w:rsidR="007934E2" w:rsidRPr="00A942F6" w:rsidRDefault="007934E2" w:rsidP="00641834">
      <w:pPr>
        <w:rPr>
          <w:lang w:val="nb-NO"/>
        </w:rPr>
      </w:pPr>
    </w:p>
    <w:p w14:paraId="518EE160" w14:textId="3B38D07F" w:rsidR="007934E2" w:rsidRPr="00A942F6" w:rsidRDefault="00923E68" w:rsidP="00641834">
      <w:pPr>
        <w:rPr>
          <w:lang w:val="nb-NO"/>
        </w:rPr>
      </w:pPr>
      <w:r w:rsidRPr="00A942F6">
        <w:rPr>
          <w:lang w:val="nb-NO"/>
        </w:rPr>
        <w:t>Avtozma</w:t>
      </w:r>
      <w:r w:rsidR="004A07DC" w:rsidRPr="00A942F6">
        <w:rPr>
          <w:lang w:val="nb-NO"/>
        </w:rPr>
        <w:t xml:space="preserve"> bør ikke brukes under graviditet, hvis ikke strengt nødvendig. </w:t>
      </w:r>
    </w:p>
    <w:p w14:paraId="71691296" w14:textId="77777777" w:rsidR="007934E2" w:rsidRPr="00A942F6" w:rsidRDefault="007934E2" w:rsidP="00641834">
      <w:pPr>
        <w:rPr>
          <w:lang w:val="nb-NO"/>
        </w:rPr>
      </w:pPr>
    </w:p>
    <w:p w14:paraId="66FB0837" w14:textId="77777777" w:rsidR="004A07DC" w:rsidRPr="00A942F6" w:rsidRDefault="004A07DC" w:rsidP="00641834">
      <w:pPr>
        <w:pStyle w:val="Style1underline"/>
        <w:rPr>
          <w:lang w:val="nb-NO"/>
        </w:rPr>
      </w:pPr>
      <w:r w:rsidRPr="00A942F6">
        <w:rPr>
          <w:lang w:val="nb-NO"/>
        </w:rPr>
        <w:t>Amming</w:t>
      </w:r>
    </w:p>
    <w:p w14:paraId="47770C68" w14:textId="50EE25C9" w:rsidR="004A07DC" w:rsidRPr="00A942F6" w:rsidRDefault="004A07DC" w:rsidP="00641834">
      <w:pPr>
        <w:rPr>
          <w:lang w:val="nb-NO"/>
        </w:rPr>
      </w:pPr>
      <w:r w:rsidRPr="00A942F6">
        <w:rPr>
          <w:lang w:val="nb-NO"/>
        </w:rPr>
        <w:t xml:space="preserve">Det er ukjent hvorvidt tocilizumab skilles ut i morsmelk hos mennesker. Utskillelse av tocilizumab i melk er ikke undersøkt hos dyr. Ved spørsmål om hvorvidt amming skal avbrytes eller fortsette, eller om behandling med </w:t>
      </w:r>
      <w:r w:rsidR="00923E68" w:rsidRPr="00A942F6">
        <w:rPr>
          <w:lang w:val="nb-NO"/>
        </w:rPr>
        <w:t>Avtozma</w:t>
      </w:r>
      <w:r w:rsidRPr="00A942F6">
        <w:rPr>
          <w:lang w:val="nb-NO"/>
        </w:rPr>
        <w:t xml:space="preserve"> skal avbrytes eller fortsette, bør nytten av amming for barnet vurderes mot nytten av behandling med </w:t>
      </w:r>
      <w:r w:rsidR="00923E68" w:rsidRPr="00A942F6">
        <w:rPr>
          <w:lang w:val="nb-NO"/>
        </w:rPr>
        <w:t>Avtozma</w:t>
      </w:r>
      <w:r w:rsidRPr="00A942F6">
        <w:rPr>
          <w:lang w:val="nb-NO"/>
        </w:rPr>
        <w:t xml:space="preserve"> for kvinnen.</w:t>
      </w:r>
    </w:p>
    <w:p w14:paraId="3D23D73C" w14:textId="77777777" w:rsidR="007934E2" w:rsidRPr="00A942F6" w:rsidRDefault="007934E2" w:rsidP="00641834">
      <w:pPr>
        <w:rPr>
          <w:lang w:val="nb-NO"/>
        </w:rPr>
      </w:pPr>
    </w:p>
    <w:p w14:paraId="2304F064" w14:textId="77777777" w:rsidR="004A07DC" w:rsidRPr="00A942F6" w:rsidRDefault="004A07DC" w:rsidP="00641834">
      <w:pPr>
        <w:pStyle w:val="Style1underline"/>
        <w:rPr>
          <w:lang w:val="nb-NO"/>
        </w:rPr>
      </w:pPr>
      <w:r w:rsidRPr="00A942F6">
        <w:rPr>
          <w:lang w:val="nb-NO"/>
        </w:rPr>
        <w:t>Fertilitet</w:t>
      </w:r>
    </w:p>
    <w:p w14:paraId="0F86ECC5" w14:textId="77777777" w:rsidR="004A07DC" w:rsidRPr="00A942F6" w:rsidRDefault="004A07DC" w:rsidP="00641834">
      <w:pPr>
        <w:rPr>
          <w:lang w:val="nb-NO"/>
        </w:rPr>
      </w:pPr>
      <w:r w:rsidRPr="00A942F6">
        <w:rPr>
          <w:lang w:val="nb-NO"/>
        </w:rPr>
        <w:t>Tilgjengelige ikke-kliniske data antyder ingen effekt av behandling med tocilizumab på fertilitet.</w:t>
      </w:r>
    </w:p>
    <w:p w14:paraId="4635FD22" w14:textId="77777777" w:rsidR="004A07DC" w:rsidRPr="00A942F6" w:rsidRDefault="004A07DC" w:rsidP="00641834">
      <w:pPr>
        <w:rPr>
          <w:lang w:val="nb-NO"/>
        </w:rPr>
      </w:pPr>
    </w:p>
    <w:p w14:paraId="203CEAB4" w14:textId="77777777" w:rsidR="004A07DC" w:rsidRPr="00A942F6" w:rsidRDefault="004A07DC" w:rsidP="00641834">
      <w:pPr>
        <w:pStyle w:val="H2"/>
        <w:rPr>
          <w:lang w:val="nb-NO"/>
        </w:rPr>
      </w:pPr>
      <w:r w:rsidRPr="00A942F6">
        <w:rPr>
          <w:lang w:val="nb-NO"/>
        </w:rPr>
        <w:t>4.7</w:t>
      </w:r>
      <w:r w:rsidRPr="00A942F6">
        <w:rPr>
          <w:lang w:val="nb-NO"/>
        </w:rPr>
        <w:tab/>
        <w:t>Påvirkning av evnen til å kjøre bil og bruke maskiner</w:t>
      </w:r>
    </w:p>
    <w:p w14:paraId="5C04BDB3" w14:textId="77777777" w:rsidR="00426296" w:rsidRPr="00A942F6" w:rsidRDefault="00426296" w:rsidP="00641834">
      <w:pPr>
        <w:rPr>
          <w:lang w:val="nb-NO"/>
        </w:rPr>
      </w:pPr>
    </w:p>
    <w:p w14:paraId="3CEE72B7" w14:textId="5B2C7DF0" w:rsidR="004A07DC" w:rsidRPr="00A942F6" w:rsidRDefault="003B0F09" w:rsidP="00641834">
      <w:pPr>
        <w:rPr>
          <w:lang w:val="nb-NO"/>
        </w:rPr>
      </w:pPr>
      <w:r w:rsidRPr="00A942F6">
        <w:rPr>
          <w:lang w:val="nb-NO"/>
        </w:rPr>
        <w:t>Tocilizumab</w:t>
      </w:r>
      <w:r w:rsidR="004A07DC" w:rsidRPr="00A942F6">
        <w:rPr>
          <w:lang w:val="nb-NO"/>
        </w:rPr>
        <w:t xml:space="preserve"> har liten påvirkning på evnen til å kjøre bil og bruke maskiner (se pkt. 4.8 svimmelhet).</w:t>
      </w:r>
    </w:p>
    <w:p w14:paraId="22B3A588" w14:textId="77777777" w:rsidR="004A07DC" w:rsidRPr="00A942F6" w:rsidRDefault="004A07DC" w:rsidP="00641834">
      <w:pPr>
        <w:rPr>
          <w:lang w:val="nb-NO"/>
        </w:rPr>
      </w:pPr>
    </w:p>
    <w:p w14:paraId="60E21E15" w14:textId="77777777" w:rsidR="004A07DC" w:rsidRPr="00A942F6" w:rsidRDefault="004A07DC" w:rsidP="00641834">
      <w:pPr>
        <w:pStyle w:val="H2"/>
        <w:rPr>
          <w:lang w:val="nb-NO"/>
        </w:rPr>
      </w:pPr>
      <w:r w:rsidRPr="00A942F6">
        <w:rPr>
          <w:lang w:val="nb-NO"/>
        </w:rPr>
        <w:t>4.8</w:t>
      </w:r>
      <w:r w:rsidRPr="00A942F6">
        <w:rPr>
          <w:lang w:val="nb-NO"/>
        </w:rPr>
        <w:tab/>
        <w:t>Bivirkninger</w:t>
      </w:r>
    </w:p>
    <w:p w14:paraId="5DA8F700" w14:textId="77777777" w:rsidR="00426296" w:rsidRPr="00A942F6" w:rsidRDefault="00426296" w:rsidP="00641834">
      <w:pPr>
        <w:rPr>
          <w:lang w:val="nb-NO"/>
        </w:rPr>
      </w:pPr>
    </w:p>
    <w:p w14:paraId="3618A001" w14:textId="77777777" w:rsidR="004A07DC" w:rsidRPr="00A942F6" w:rsidRDefault="004A07DC" w:rsidP="00641834">
      <w:pPr>
        <w:pStyle w:val="Style1underline"/>
        <w:rPr>
          <w:lang w:val="nb-NO"/>
        </w:rPr>
      </w:pPr>
      <w:r w:rsidRPr="00A942F6">
        <w:rPr>
          <w:lang w:val="nb-NO"/>
        </w:rPr>
        <w:t>Oppsummering av sikkerhetsprofilen</w:t>
      </w:r>
    </w:p>
    <w:p w14:paraId="69BF1A81" w14:textId="77777777" w:rsidR="004A07DC" w:rsidRPr="00A942F6" w:rsidRDefault="004A07DC" w:rsidP="00641834">
      <w:pPr>
        <w:rPr>
          <w:lang w:val="nb-NO"/>
        </w:rPr>
      </w:pPr>
      <w:r w:rsidRPr="00A942F6">
        <w:rPr>
          <w:lang w:val="nb-NO"/>
        </w:rPr>
        <w:t xml:space="preserve">De hyppigst rapporterte bivirkningene (forekom hos </w:t>
      </w:r>
      <w:r w:rsidR="00F4296C" w:rsidRPr="00A942F6">
        <w:rPr>
          <w:rFonts w:cs="Times New Roman"/>
          <w:lang w:val="nb-NO"/>
        </w:rPr>
        <w:t>≥</w:t>
      </w:r>
      <w:r w:rsidRPr="00A942F6">
        <w:rPr>
          <w:lang w:val="nb-NO"/>
        </w:rPr>
        <w:t xml:space="preserve"> 5 % av pasientene behandlet med tocilizumab som monoterapi eller i kombinasjon med DMARDs for RA, sJIA, pJIA og CRS) var øvre luftveisinfeksjoner, nasofaryngitt, hodepine, hypertensjon og økt ALAT.</w:t>
      </w:r>
    </w:p>
    <w:p w14:paraId="6368C664" w14:textId="77777777" w:rsidR="004A07DC" w:rsidRPr="00A942F6" w:rsidRDefault="004A07DC" w:rsidP="00641834">
      <w:pPr>
        <w:rPr>
          <w:lang w:val="nb-NO"/>
        </w:rPr>
      </w:pPr>
    </w:p>
    <w:p w14:paraId="458FCA03" w14:textId="77777777" w:rsidR="004A07DC" w:rsidRPr="00A942F6" w:rsidRDefault="004A07DC" w:rsidP="00641834">
      <w:pPr>
        <w:rPr>
          <w:lang w:val="nb-NO"/>
        </w:rPr>
      </w:pPr>
      <w:r w:rsidRPr="00A942F6">
        <w:rPr>
          <w:lang w:val="nb-NO"/>
        </w:rPr>
        <w:t>De mest alvorlige bivirkningene var alvorlige infeksjoner, komplikasjoner til divertikulitt, og overfølsomhetreaksjoner.</w:t>
      </w:r>
    </w:p>
    <w:p w14:paraId="3845AD35" w14:textId="77777777" w:rsidR="007934E2" w:rsidRPr="00A942F6" w:rsidRDefault="007934E2" w:rsidP="00641834">
      <w:pPr>
        <w:rPr>
          <w:lang w:val="nb-NO"/>
        </w:rPr>
      </w:pPr>
    </w:p>
    <w:p w14:paraId="6412951B" w14:textId="77777777" w:rsidR="004A07DC" w:rsidRPr="00A942F6" w:rsidRDefault="004A07DC" w:rsidP="00641834">
      <w:pPr>
        <w:rPr>
          <w:lang w:val="nb-NO"/>
        </w:rPr>
      </w:pPr>
      <w:r w:rsidRPr="00A942F6">
        <w:rPr>
          <w:lang w:val="nb-NO"/>
        </w:rPr>
        <w:t xml:space="preserve">De mest vanlige rapporterte bivirkningene (forekom hos </w:t>
      </w:r>
      <w:r w:rsidR="00F4296C" w:rsidRPr="00A942F6">
        <w:rPr>
          <w:rFonts w:cs="Times New Roman"/>
          <w:lang w:val="nb-NO"/>
        </w:rPr>
        <w:t>≥</w:t>
      </w:r>
      <w:r w:rsidRPr="00A942F6">
        <w:rPr>
          <w:lang w:val="nb-NO"/>
        </w:rPr>
        <w:t xml:space="preserve"> 5 % av pasientene behandlet med</w:t>
      </w:r>
      <w:r w:rsidR="007934E2" w:rsidRPr="00A942F6">
        <w:rPr>
          <w:lang w:val="nb-NO"/>
        </w:rPr>
        <w:t xml:space="preserve"> </w:t>
      </w:r>
      <w:r w:rsidRPr="00A942F6">
        <w:rPr>
          <w:lang w:val="nb-NO"/>
        </w:rPr>
        <w:t>tocilizumab for covid-19) var forhøyede hepatiske transaminaser, forstoppelse og urinveisinfeksjon.</w:t>
      </w:r>
    </w:p>
    <w:p w14:paraId="37EF1842" w14:textId="77777777" w:rsidR="007934E2" w:rsidRPr="00A942F6" w:rsidRDefault="007934E2" w:rsidP="00641834">
      <w:pPr>
        <w:rPr>
          <w:lang w:val="nb-NO"/>
        </w:rPr>
      </w:pPr>
    </w:p>
    <w:p w14:paraId="6A826195" w14:textId="54E84BEF" w:rsidR="004A07DC" w:rsidRPr="00A942F6" w:rsidRDefault="004A07DC" w:rsidP="00641834">
      <w:pPr>
        <w:rPr>
          <w:lang w:val="nb-NO"/>
        </w:rPr>
      </w:pPr>
      <w:r w:rsidRPr="00A942F6">
        <w:rPr>
          <w:lang w:val="nb-NO"/>
        </w:rPr>
        <w:t xml:space="preserve">Bivirkninger fra kliniske studier og/eller erfaring etter markedsføring med </w:t>
      </w:r>
      <w:r w:rsidR="00B97FAC" w:rsidRPr="00A942F6">
        <w:rPr>
          <w:lang w:val="nb-NO"/>
        </w:rPr>
        <w:t>tocilizumab</w:t>
      </w:r>
      <w:r w:rsidRPr="00A942F6">
        <w:rPr>
          <w:lang w:val="nb-NO"/>
        </w:rPr>
        <w:t xml:space="preserve"> basert på spontan kasuistikk, kasuistikk fra litteraturen og tilfeller fra ikke-intervensjons-studieprogrammer er vist i tabell 1 og tabell 2 etter MedDRA-organklassesystem. Tilhørende frekvenskategori for hver bivirkning er basert på følgende konvensjon: svært vanlige (</w:t>
      </w:r>
      <w:r w:rsidR="00F36EEE" w:rsidRPr="00A942F6">
        <w:rPr>
          <w:rFonts w:cs="Times New Roman"/>
          <w:lang w:val="nb-NO"/>
        </w:rPr>
        <w:t>≥</w:t>
      </w:r>
      <w:r w:rsidRPr="00A942F6">
        <w:rPr>
          <w:lang w:val="nb-NO"/>
        </w:rPr>
        <w:t xml:space="preserve"> 1/10); vanlige (</w:t>
      </w:r>
      <w:r w:rsidR="00F36EEE" w:rsidRPr="00A942F6">
        <w:rPr>
          <w:rFonts w:cs="Times New Roman"/>
          <w:lang w:val="nb-NO"/>
        </w:rPr>
        <w:t>≥</w:t>
      </w:r>
      <w:r w:rsidRPr="00A942F6">
        <w:rPr>
          <w:lang w:val="nb-NO"/>
        </w:rPr>
        <w:t xml:space="preserve"> 1/100 til &lt; 1/10), mindre vanlige (</w:t>
      </w:r>
      <w:r w:rsidR="00F36EEE" w:rsidRPr="00A942F6">
        <w:rPr>
          <w:rFonts w:cs="Times New Roman"/>
          <w:lang w:val="nb-NO"/>
        </w:rPr>
        <w:t>≥</w:t>
      </w:r>
      <w:r w:rsidRPr="00A942F6">
        <w:rPr>
          <w:lang w:val="nb-NO"/>
        </w:rPr>
        <w:t xml:space="preserve"> 1/1000 til &lt; 1/100), sjeldne (</w:t>
      </w:r>
      <w:r w:rsidR="00F36EEE" w:rsidRPr="00A942F6">
        <w:rPr>
          <w:rFonts w:cs="Times New Roman"/>
          <w:lang w:val="nb-NO"/>
        </w:rPr>
        <w:t>≥</w:t>
      </w:r>
      <w:r w:rsidRPr="00A942F6">
        <w:rPr>
          <w:lang w:val="nb-NO"/>
        </w:rPr>
        <w:t xml:space="preserve"> 1/10 000 til &lt; 1/1000) eller svært sjeldne</w:t>
      </w:r>
      <w:r w:rsidR="007934E2" w:rsidRPr="00A942F6">
        <w:rPr>
          <w:lang w:val="nb-NO"/>
        </w:rPr>
        <w:t xml:space="preserve"> </w:t>
      </w:r>
      <w:r w:rsidRPr="00A942F6">
        <w:rPr>
          <w:lang w:val="nb-NO"/>
        </w:rPr>
        <w:t>(&lt;</w:t>
      </w:r>
      <w:r w:rsidR="002C204D" w:rsidRPr="00A942F6">
        <w:rPr>
          <w:lang w:val="nb-NO"/>
        </w:rPr>
        <w:t> </w:t>
      </w:r>
      <w:r w:rsidRPr="00A942F6">
        <w:rPr>
          <w:lang w:val="nb-NO"/>
        </w:rPr>
        <w:t>1/10</w:t>
      </w:r>
      <w:r w:rsidR="002C204D" w:rsidRPr="00A942F6">
        <w:rPr>
          <w:lang w:val="nb-NO"/>
        </w:rPr>
        <w:t> </w:t>
      </w:r>
      <w:r w:rsidRPr="00A942F6">
        <w:rPr>
          <w:lang w:val="nb-NO"/>
        </w:rPr>
        <w:t>000). Innenfor hver frekvensgruppe er bivirkningene presentert etter synkende alvorlighetsgrad.</w:t>
      </w:r>
    </w:p>
    <w:p w14:paraId="26E68784" w14:textId="77777777" w:rsidR="004A07DC" w:rsidRPr="00A942F6" w:rsidRDefault="004A07DC" w:rsidP="00641834">
      <w:pPr>
        <w:rPr>
          <w:lang w:val="nb-NO"/>
        </w:rPr>
      </w:pPr>
    </w:p>
    <w:p w14:paraId="74E9AC7D" w14:textId="77777777" w:rsidR="004A07DC" w:rsidRPr="00A942F6" w:rsidRDefault="004A07DC" w:rsidP="00641834">
      <w:pPr>
        <w:rPr>
          <w:u w:val="single"/>
          <w:lang w:val="nb-NO"/>
        </w:rPr>
      </w:pPr>
      <w:r w:rsidRPr="00A942F6">
        <w:rPr>
          <w:u w:val="single"/>
          <w:lang w:val="nb-NO"/>
        </w:rPr>
        <w:t>RA-pasienter</w:t>
      </w:r>
    </w:p>
    <w:p w14:paraId="438B39EF" w14:textId="77777777" w:rsidR="004A07DC" w:rsidRPr="00A942F6" w:rsidRDefault="004A07DC" w:rsidP="00641834">
      <w:pPr>
        <w:rPr>
          <w:lang w:val="nb-NO"/>
        </w:rPr>
      </w:pPr>
      <w:r w:rsidRPr="00A942F6">
        <w:rPr>
          <w:lang w:val="nb-NO"/>
        </w:rPr>
        <w:t>Sikkerhetsprofilen for tocilizumab har blitt studert i 4 placebokontrollerte studier (studie II, III, IV og V), en metotreksat-kontrollert studie (studie I) og deres forlengelsesperioder (se pkt. 5.1).</w:t>
      </w:r>
    </w:p>
    <w:p w14:paraId="4F3A6FD9" w14:textId="77777777" w:rsidR="004A07DC" w:rsidRPr="00A942F6" w:rsidRDefault="004A07DC" w:rsidP="00641834">
      <w:pPr>
        <w:rPr>
          <w:lang w:val="nb-NO"/>
        </w:rPr>
      </w:pPr>
    </w:p>
    <w:p w14:paraId="0FE1B280" w14:textId="77777777" w:rsidR="004A07DC" w:rsidRPr="00A942F6" w:rsidRDefault="004A07DC" w:rsidP="00641834">
      <w:pPr>
        <w:rPr>
          <w:lang w:val="nb-NO"/>
        </w:rPr>
      </w:pPr>
      <w:r w:rsidRPr="00A942F6">
        <w:rPr>
          <w:lang w:val="nb-NO"/>
        </w:rPr>
        <w:t xml:space="preserve">Den dobbeltblinde kontrollperioden var 6 måneder i fire studier (studie I, III, IV og V) og var opp til to år i en studie (studie II). I de dobbeltblinde studiene fikk 774 pasienter tocilizumab 4 mg/kg i </w:t>
      </w:r>
      <w:r w:rsidRPr="00A942F6">
        <w:rPr>
          <w:lang w:val="nb-NO"/>
        </w:rPr>
        <w:lastRenderedPageBreak/>
        <w:t>kombinasjon med metotreksat, 1 870 pasienter fikk tocilizumab 8 mg/kg i kombinasjon med metotreksat eller andre DMARDs og 288 pasienter fikk tocilizumab 8 mg/kg som monoterapi.</w:t>
      </w:r>
    </w:p>
    <w:p w14:paraId="608983BB" w14:textId="77777777" w:rsidR="004A07DC" w:rsidRPr="00A942F6" w:rsidRDefault="004A07DC" w:rsidP="00641834">
      <w:pPr>
        <w:rPr>
          <w:lang w:val="nb-NO"/>
        </w:rPr>
      </w:pPr>
    </w:p>
    <w:p w14:paraId="168F95B9" w14:textId="77777777" w:rsidR="004A07DC" w:rsidRPr="00A942F6" w:rsidRDefault="004A07DC" w:rsidP="00641834">
      <w:pPr>
        <w:rPr>
          <w:lang w:val="nb-NO"/>
        </w:rPr>
      </w:pPr>
      <w:r w:rsidRPr="00A942F6">
        <w:rPr>
          <w:lang w:val="nb-NO"/>
        </w:rPr>
        <w:t>Populasjonen med langtidseksponering inkluderer alle pasienter som fikk minst én dose tocilizumab enten i den dobbeltblinde kontrollperioden eller i den åpne forlengelsesfasen av studien. Av de 4009</w:t>
      </w:r>
      <w:r w:rsidR="002C204D" w:rsidRPr="00A942F6">
        <w:rPr>
          <w:lang w:val="nb-NO"/>
        </w:rPr>
        <w:t> </w:t>
      </w:r>
      <w:r w:rsidRPr="00A942F6">
        <w:rPr>
          <w:lang w:val="nb-NO"/>
        </w:rPr>
        <w:t>pasientene i denne populasjonen, fikk 3577 pasienter behandling i minst 6 måneder, 3296 i minst ett år, 2806 fikk behandling i minst to år og 1222 i tre år.</w:t>
      </w:r>
    </w:p>
    <w:p w14:paraId="1D6F8631" w14:textId="77777777" w:rsidR="007934E2" w:rsidRPr="00A942F6" w:rsidRDefault="007934E2" w:rsidP="00641834">
      <w:pPr>
        <w:rPr>
          <w:lang w:val="nb-NO"/>
        </w:rPr>
      </w:pPr>
    </w:p>
    <w:p w14:paraId="5A7BD12D" w14:textId="77777777" w:rsidR="004A07DC" w:rsidRPr="00A942F6" w:rsidRDefault="004A07DC" w:rsidP="005C539A">
      <w:pPr>
        <w:pStyle w:val="Style1Iitaic"/>
        <w:rPr>
          <w:lang w:val="nb-NO"/>
        </w:rPr>
      </w:pPr>
      <w:r w:rsidRPr="00A942F6">
        <w:rPr>
          <w:lang w:val="nb-NO"/>
        </w:rPr>
        <w:t>Tabell 1. Liste over bivirkninger som oppstod hos RA-pasienter som fikk tocilizumab som monoterapi eller i kombinasjon med metotreksat eller andre DMARDs i den dobbeltblinde kontrollperioden eller fra erfaring etter markedsføring</w:t>
      </w:r>
    </w:p>
    <w:p w14:paraId="5B14A135" w14:textId="77777777" w:rsidR="004A07DC" w:rsidRPr="00A942F6" w:rsidRDefault="004A07DC" w:rsidP="005C539A">
      <w:pPr>
        <w:keepNext/>
        <w:rPr>
          <w:lang w:val="nb-NO"/>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532"/>
        <w:gridCol w:w="2268"/>
        <w:gridCol w:w="1728"/>
        <w:gridCol w:w="1559"/>
      </w:tblGrid>
      <w:tr w:rsidR="004A07DC" w:rsidRPr="00A942F6" w14:paraId="3D304187" w14:textId="77777777" w:rsidTr="00E1582A">
        <w:trPr>
          <w:cantSplit/>
          <w:tblHeader/>
        </w:trPr>
        <w:tc>
          <w:tcPr>
            <w:tcW w:w="1980" w:type="dxa"/>
            <w:vMerge w:val="restart"/>
          </w:tcPr>
          <w:p w14:paraId="417963BE" w14:textId="77777777" w:rsidR="004A07DC" w:rsidRPr="00A942F6" w:rsidRDefault="004A07DC" w:rsidP="00641834">
            <w:pPr>
              <w:pStyle w:val="TableParagraph"/>
              <w:jc w:val="center"/>
              <w:rPr>
                <w:b/>
                <w:sz w:val="20"/>
                <w:szCs w:val="20"/>
                <w:lang w:val="nb-NO"/>
              </w:rPr>
            </w:pPr>
            <w:r w:rsidRPr="00A942F6">
              <w:rPr>
                <w:b/>
                <w:sz w:val="20"/>
                <w:szCs w:val="20"/>
                <w:lang w:val="nb-NO"/>
              </w:rPr>
              <w:t>MedDRA-</w:t>
            </w:r>
          </w:p>
          <w:p w14:paraId="68F442AB" w14:textId="77777777" w:rsidR="004A07DC" w:rsidRPr="00A942F6" w:rsidRDefault="004A07DC" w:rsidP="00641834">
            <w:pPr>
              <w:pStyle w:val="TableParagraph"/>
              <w:jc w:val="center"/>
              <w:rPr>
                <w:b/>
                <w:sz w:val="20"/>
                <w:szCs w:val="20"/>
                <w:lang w:val="nb-NO"/>
              </w:rPr>
            </w:pPr>
            <w:r w:rsidRPr="00A942F6">
              <w:rPr>
                <w:b/>
                <w:sz w:val="20"/>
                <w:szCs w:val="20"/>
                <w:lang w:val="nb-NO"/>
              </w:rPr>
              <w:t>organklassesystem</w:t>
            </w:r>
          </w:p>
          <w:p w14:paraId="7DAE815E" w14:textId="77777777" w:rsidR="00300F7B" w:rsidRPr="00A942F6" w:rsidRDefault="00300F7B" w:rsidP="00641834">
            <w:pPr>
              <w:pStyle w:val="TableParagraph"/>
              <w:jc w:val="center"/>
              <w:rPr>
                <w:b/>
                <w:sz w:val="20"/>
                <w:szCs w:val="20"/>
                <w:lang w:val="nb-NO"/>
              </w:rPr>
            </w:pPr>
          </w:p>
        </w:tc>
        <w:tc>
          <w:tcPr>
            <w:tcW w:w="7087" w:type="dxa"/>
            <w:gridSpan w:val="4"/>
          </w:tcPr>
          <w:p w14:paraId="2AA5FEE4" w14:textId="77777777" w:rsidR="004A07DC" w:rsidRPr="00A942F6" w:rsidRDefault="004A07DC" w:rsidP="00641834">
            <w:pPr>
              <w:pStyle w:val="TableParagraph"/>
              <w:jc w:val="center"/>
              <w:rPr>
                <w:b/>
                <w:sz w:val="20"/>
                <w:szCs w:val="20"/>
                <w:lang w:val="nb-NO"/>
              </w:rPr>
            </w:pPr>
            <w:r w:rsidRPr="00A942F6">
              <w:rPr>
                <w:b/>
                <w:sz w:val="20"/>
                <w:szCs w:val="20"/>
                <w:lang w:val="nb-NO"/>
              </w:rPr>
              <w:t>Frekvenskategorier med foretrukne betegnelser</w:t>
            </w:r>
          </w:p>
        </w:tc>
      </w:tr>
      <w:tr w:rsidR="004A07DC" w:rsidRPr="00A942F6" w14:paraId="7B717E38" w14:textId="77777777" w:rsidTr="00E1582A">
        <w:trPr>
          <w:cantSplit/>
          <w:tblHeader/>
        </w:trPr>
        <w:tc>
          <w:tcPr>
            <w:tcW w:w="1980" w:type="dxa"/>
            <w:vMerge/>
            <w:tcBorders>
              <w:top w:val="nil"/>
            </w:tcBorders>
          </w:tcPr>
          <w:p w14:paraId="7F4EA391" w14:textId="77777777" w:rsidR="004A07DC" w:rsidRPr="00A942F6" w:rsidRDefault="004A07DC" w:rsidP="00641834">
            <w:pPr>
              <w:rPr>
                <w:sz w:val="20"/>
                <w:szCs w:val="20"/>
                <w:lang w:val="nb-NO"/>
              </w:rPr>
            </w:pPr>
          </w:p>
        </w:tc>
        <w:tc>
          <w:tcPr>
            <w:tcW w:w="1532" w:type="dxa"/>
          </w:tcPr>
          <w:p w14:paraId="06E5F57A" w14:textId="77777777" w:rsidR="004A07DC" w:rsidRPr="00A942F6" w:rsidRDefault="004A07DC" w:rsidP="00641834">
            <w:pPr>
              <w:pStyle w:val="TableParagraph"/>
              <w:rPr>
                <w:b/>
                <w:sz w:val="20"/>
                <w:szCs w:val="20"/>
                <w:lang w:val="nb-NO"/>
              </w:rPr>
            </w:pPr>
            <w:r w:rsidRPr="00A942F6">
              <w:rPr>
                <w:b/>
                <w:sz w:val="20"/>
                <w:szCs w:val="20"/>
                <w:lang w:val="nb-NO"/>
              </w:rPr>
              <w:t>Svært vanlige</w:t>
            </w:r>
          </w:p>
          <w:p w14:paraId="3F071047" w14:textId="77777777" w:rsidR="00300F7B" w:rsidRPr="00A942F6" w:rsidRDefault="00300F7B" w:rsidP="00641834">
            <w:pPr>
              <w:pStyle w:val="TableParagraph"/>
              <w:rPr>
                <w:b/>
                <w:sz w:val="20"/>
                <w:szCs w:val="20"/>
                <w:lang w:val="nb-NO"/>
              </w:rPr>
            </w:pPr>
          </w:p>
        </w:tc>
        <w:tc>
          <w:tcPr>
            <w:tcW w:w="2268" w:type="dxa"/>
          </w:tcPr>
          <w:p w14:paraId="0D084E29" w14:textId="77777777" w:rsidR="004A07DC" w:rsidRPr="00A942F6" w:rsidRDefault="004A07DC" w:rsidP="00641834">
            <w:pPr>
              <w:pStyle w:val="TableParagraph"/>
              <w:jc w:val="center"/>
              <w:rPr>
                <w:b/>
                <w:sz w:val="20"/>
                <w:szCs w:val="20"/>
                <w:lang w:val="nb-NO"/>
              </w:rPr>
            </w:pPr>
            <w:r w:rsidRPr="00A942F6">
              <w:rPr>
                <w:b/>
                <w:sz w:val="20"/>
                <w:szCs w:val="20"/>
                <w:lang w:val="nb-NO"/>
              </w:rPr>
              <w:t>Vanlige</w:t>
            </w:r>
          </w:p>
          <w:p w14:paraId="12AB309F" w14:textId="77777777" w:rsidR="00300F7B" w:rsidRPr="00A942F6" w:rsidRDefault="00300F7B" w:rsidP="00641834">
            <w:pPr>
              <w:pStyle w:val="TableParagraph"/>
              <w:jc w:val="center"/>
              <w:rPr>
                <w:b/>
                <w:sz w:val="20"/>
                <w:szCs w:val="20"/>
                <w:lang w:val="nb-NO"/>
              </w:rPr>
            </w:pPr>
          </w:p>
        </w:tc>
        <w:tc>
          <w:tcPr>
            <w:tcW w:w="1728" w:type="dxa"/>
          </w:tcPr>
          <w:p w14:paraId="4C75004E" w14:textId="77777777" w:rsidR="004A07DC" w:rsidRPr="00A942F6" w:rsidRDefault="004A07DC" w:rsidP="00641834">
            <w:pPr>
              <w:pStyle w:val="TableParagraph"/>
              <w:rPr>
                <w:b/>
                <w:sz w:val="20"/>
                <w:szCs w:val="20"/>
                <w:lang w:val="nb-NO"/>
              </w:rPr>
            </w:pPr>
            <w:r w:rsidRPr="00A942F6">
              <w:rPr>
                <w:b/>
                <w:sz w:val="20"/>
                <w:szCs w:val="20"/>
                <w:lang w:val="nb-NO"/>
              </w:rPr>
              <w:t>Mindre vanlige</w:t>
            </w:r>
          </w:p>
          <w:p w14:paraId="3F99812F" w14:textId="77777777" w:rsidR="00300F7B" w:rsidRPr="00A942F6" w:rsidRDefault="00300F7B" w:rsidP="00641834">
            <w:pPr>
              <w:pStyle w:val="TableParagraph"/>
              <w:rPr>
                <w:b/>
                <w:sz w:val="20"/>
                <w:szCs w:val="20"/>
                <w:lang w:val="nb-NO"/>
              </w:rPr>
            </w:pPr>
          </w:p>
        </w:tc>
        <w:tc>
          <w:tcPr>
            <w:tcW w:w="1559" w:type="dxa"/>
          </w:tcPr>
          <w:p w14:paraId="7EFDC189" w14:textId="77777777" w:rsidR="004A07DC" w:rsidRPr="00A942F6" w:rsidRDefault="004A07DC" w:rsidP="00641834">
            <w:pPr>
              <w:pStyle w:val="TableParagraph"/>
              <w:rPr>
                <w:b/>
                <w:sz w:val="20"/>
                <w:szCs w:val="20"/>
                <w:lang w:val="nb-NO"/>
              </w:rPr>
            </w:pPr>
            <w:r w:rsidRPr="00A942F6">
              <w:rPr>
                <w:b/>
                <w:sz w:val="20"/>
                <w:szCs w:val="20"/>
                <w:lang w:val="nb-NO"/>
              </w:rPr>
              <w:t>Sjeldne</w:t>
            </w:r>
          </w:p>
          <w:p w14:paraId="67F6A053" w14:textId="77777777" w:rsidR="00300F7B" w:rsidRPr="00A942F6" w:rsidRDefault="00300F7B" w:rsidP="00641834">
            <w:pPr>
              <w:pStyle w:val="TableParagraph"/>
              <w:rPr>
                <w:b/>
                <w:sz w:val="20"/>
                <w:szCs w:val="20"/>
                <w:lang w:val="nb-NO"/>
              </w:rPr>
            </w:pPr>
          </w:p>
        </w:tc>
      </w:tr>
      <w:tr w:rsidR="004A07DC" w:rsidRPr="00A942F6" w14:paraId="517BA27B" w14:textId="77777777" w:rsidTr="00E1582A">
        <w:trPr>
          <w:cantSplit/>
        </w:trPr>
        <w:tc>
          <w:tcPr>
            <w:tcW w:w="1980" w:type="dxa"/>
          </w:tcPr>
          <w:p w14:paraId="4C042407" w14:textId="77777777" w:rsidR="004A07DC" w:rsidRPr="00A942F6" w:rsidRDefault="004A07DC" w:rsidP="00641834">
            <w:pPr>
              <w:pStyle w:val="TableParagraph"/>
              <w:rPr>
                <w:sz w:val="20"/>
                <w:szCs w:val="20"/>
                <w:lang w:val="nb-NO"/>
              </w:rPr>
            </w:pPr>
            <w:r w:rsidRPr="00A942F6">
              <w:rPr>
                <w:sz w:val="20"/>
                <w:szCs w:val="20"/>
                <w:lang w:val="nb-NO"/>
              </w:rPr>
              <w:t>Infeksiøse og parasittære</w:t>
            </w:r>
            <w:r w:rsidR="00300F7B" w:rsidRPr="00A942F6">
              <w:rPr>
                <w:sz w:val="20"/>
                <w:szCs w:val="20"/>
                <w:lang w:val="nb-NO"/>
              </w:rPr>
              <w:t xml:space="preserve"> </w:t>
            </w:r>
            <w:r w:rsidRPr="00A942F6">
              <w:rPr>
                <w:sz w:val="20"/>
                <w:szCs w:val="20"/>
                <w:lang w:val="nb-NO"/>
              </w:rPr>
              <w:t>sykdommer</w:t>
            </w:r>
          </w:p>
        </w:tc>
        <w:tc>
          <w:tcPr>
            <w:tcW w:w="1532" w:type="dxa"/>
          </w:tcPr>
          <w:p w14:paraId="55E6F9C8" w14:textId="77777777" w:rsidR="004A07DC" w:rsidRPr="00A942F6" w:rsidRDefault="004A07DC" w:rsidP="00641834">
            <w:pPr>
              <w:pStyle w:val="TableParagraph"/>
              <w:rPr>
                <w:sz w:val="20"/>
                <w:szCs w:val="20"/>
                <w:lang w:val="nb-NO"/>
              </w:rPr>
            </w:pPr>
            <w:r w:rsidRPr="00A942F6">
              <w:rPr>
                <w:sz w:val="20"/>
                <w:szCs w:val="20"/>
                <w:lang w:val="nb-NO"/>
              </w:rPr>
              <w:t>Øvre luftveis- infeksjoner</w:t>
            </w:r>
          </w:p>
        </w:tc>
        <w:tc>
          <w:tcPr>
            <w:tcW w:w="2268" w:type="dxa"/>
          </w:tcPr>
          <w:p w14:paraId="19095450" w14:textId="77777777" w:rsidR="004A07DC" w:rsidRPr="00A942F6" w:rsidRDefault="004A07DC" w:rsidP="00641834">
            <w:pPr>
              <w:pStyle w:val="TableParagraph"/>
              <w:rPr>
                <w:sz w:val="20"/>
                <w:szCs w:val="20"/>
                <w:lang w:val="nb-NO"/>
              </w:rPr>
            </w:pPr>
            <w:r w:rsidRPr="00A942F6">
              <w:rPr>
                <w:sz w:val="20"/>
                <w:szCs w:val="20"/>
                <w:lang w:val="nb-NO"/>
              </w:rPr>
              <w:t>Cellulitt, Pneumoni, Oral herpes simplex,</w:t>
            </w:r>
          </w:p>
          <w:p w14:paraId="15F42EB2" w14:textId="77777777" w:rsidR="004A07DC" w:rsidRPr="00A942F6" w:rsidRDefault="004A07DC" w:rsidP="00641834">
            <w:pPr>
              <w:pStyle w:val="TableParagraph"/>
              <w:rPr>
                <w:sz w:val="20"/>
                <w:szCs w:val="20"/>
                <w:lang w:val="nb-NO"/>
              </w:rPr>
            </w:pPr>
            <w:r w:rsidRPr="00A942F6">
              <w:rPr>
                <w:sz w:val="20"/>
                <w:szCs w:val="20"/>
                <w:lang w:val="nb-NO"/>
              </w:rPr>
              <w:t>Herpes zoster</w:t>
            </w:r>
          </w:p>
        </w:tc>
        <w:tc>
          <w:tcPr>
            <w:tcW w:w="1728" w:type="dxa"/>
          </w:tcPr>
          <w:p w14:paraId="53B02DE4" w14:textId="77777777" w:rsidR="004A07DC" w:rsidRPr="00A942F6" w:rsidRDefault="004A07DC" w:rsidP="00641834">
            <w:pPr>
              <w:pStyle w:val="TableParagraph"/>
              <w:rPr>
                <w:sz w:val="20"/>
                <w:szCs w:val="20"/>
                <w:lang w:val="nb-NO"/>
              </w:rPr>
            </w:pPr>
            <w:r w:rsidRPr="00A942F6">
              <w:rPr>
                <w:sz w:val="20"/>
                <w:szCs w:val="20"/>
                <w:lang w:val="nb-NO"/>
              </w:rPr>
              <w:t>Divertikulitt</w:t>
            </w:r>
          </w:p>
        </w:tc>
        <w:tc>
          <w:tcPr>
            <w:tcW w:w="1559" w:type="dxa"/>
          </w:tcPr>
          <w:p w14:paraId="28DD6BC1" w14:textId="77777777" w:rsidR="004A07DC" w:rsidRPr="00A942F6" w:rsidRDefault="004A07DC" w:rsidP="00641834">
            <w:pPr>
              <w:pStyle w:val="TableParagraph"/>
              <w:rPr>
                <w:sz w:val="20"/>
                <w:szCs w:val="20"/>
                <w:lang w:val="nb-NO"/>
              </w:rPr>
            </w:pPr>
          </w:p>
        </w:tc>
      </w:tr>
      <w:tr w:rsidR="004A07DC" w:rsidRPr="00A942F6" w14:paraId="6E838ABD" w14:textId="77777777" w:rsidTr="00E1582A">
        <w:trPr>
          <w:cantSplit/>
        </w:trPr>
        <w:tc>
          <w:tcPr>
            <w:tcW w:w="1980" w:type="dxa"/>
          </w:tcPr>
          <w:p w14:paraId="0F151A95" w14:textId="77777777" w:rsidR="004A07DC" w:rsidRPr="00A942F6" w:rsidRDefault="004A07DC" w:rsidP="00641834">
            <w:pPr>
              <w:pStyle w:val="TableParagraph"/>
              <w:rPr>
                <w:sz w:val="20"/>
                <w:szCs w:val="20"/>
                <w:lang w:val="nb-NO"/>
              </w:rPr>
            </w:pPr>
            <w:r w:rsidRPr="00A942F6">
              <w:rPr>
                <w:sz w:val="20"/>
                <w:szCs w:val="20"/>
                <w:lang w:val="nb-NO"/>
              </w:rPr>
              <w:t>Sykdommer i blod og lymfatiske</w:t>
            </w:r>
          </w:p>
          <w:p w14:paraId="37A98E10" w14:textId="77777777" w:rsidR="004A07DC" w:rsidRPr="00A942F6" w:rsidRDefault="004A07DC" w:rsidP="00641834">
            <w:pPr>
              <w:pStyle w:val="TableParagraph"/>
              <w:rPr>
                <w:sz w:val="20"/>
                <w:szCs w:val="20"/>
                <w:lang w:val="nb-NO"/>
              </w:rPr>
            </w:pPr>
            <w:r w:rsidRPr="00A942F6">
              <w:rPr>
                <w:sz w:val="20"/>
                <w:szCs w:val="20"/>
                <w:lang w:val="nb-NO"/>
              </w:rPr>
              <w:t>organer</w:t>
            </w:r>
          </w:p>
        </w:tc>
        <w:tc>
          <w:tcPr>
            <w:tcW w:w="1532" w:type="dxa"/>
          </w:tcPr>
          <w:p w14:paraId="7EBBBDAC" w14:textId="77777777" w:rsidR="004A07DC" w:rsidRPr="00A942F6" w:rsidRDefault="004A07DC" w:rsidP="00641834">
            <w:pPr>
              <w:pStyle w:val="TableParagraph"/>
              <w:rPr>
                <w:sz w:val="20"/>
                <w:szCs w:val="20"/>
                <w:lang w:val="nb-NO"/>
              </w:rPr>
            </w:pPr>
          </w:p>
        </w:tc>
        <w:tc>
          <w:tcPr>
            <w:tcW w:w="2268" w:type="dxa"/>
          </w:tcPr>
          <w:p w14:paraId="036862BA" w14:textId="77777777" w:rsidR="004A07DC" w:rsidRPr="00A942F6" w:rsidRDefault="004A07DC" w:rsidP="00641834">
            <w:pPr>
              <w:pStyle w:val="TableParagraph"/>
              <w:rPr>
                <w:sz w:val="20"/>
                <w:szCs w:val="20"/>
                <w:lang w:val="nb-NO"/>
              </w:rPr>
            </w:pPr>
            <w:r w:rsidRPr="00A942F6">
              <w:rPr>
                <w:sz w:val="20"/>
                <w:szCs w:val="20"/>
                <w:lang w:val="nb-NO"/>
              </w:rPr>
              <w:t>Leukopeni, Nøytropeni, Hypofibrinogenemi</w:t>
            </w:r>
          </w:p>
        </w:tc>
        <w:tc>
          <w:tcPr>
            <w:tcW w:w="1728" w:type="dxa"/>
          </w:tcPr>
          <w:p w14:paraId="56A03B22" w14:textId="77777777" w:rsidR="004A07DC" w:rsidRPr="00A942F6" w:rsidRDefault="004A07DC" w:rsidP="00641834">
            <w:pPr>
              <w:pStyle w:val="TableParagraph"/>
              <w:rPr>
                <w:sz w:val="20"/>
                <w:szCs w:val="20"/>
                <w:lang w:val="nb-NO"/>
              </w:rPr>
            </w:pPr>
          </w:p>
        </w:tc>
        <w:tc>
          <w:tcPr>
            <w:tcW w:w="1559" w:type="dxa"/>
          </w:tcPr>
          <w:p w14:paraId="5C095EB7" w14:textId="77777777" w:rsidR="004A07DC" w:rsidRPr="00A942F6" w:rsidRDefault="004A07DC" w:rsidP="00641834">
            <w:pPr>
              <w:pStyle w:val="TableParagraph"/>
              <w:rPr>
                <w:sz w:val="20"/>
                <w:szCs w:val="20"/>
                <w:lang w:val="nb-NO"/>
              </w:rPr>
            </w:pPr>
          </w:p>
        </w:tc>
      </w:tr>
      <w:tr w:rsidR="004A07DC" w:rsidRPr="00A942F6" w14:paraId="6CBACEBE" w14:textId="77777777" w:rsidTr="00E1582A">
        <w:trPr>
          <w:cantSplit/>
        </w:trPr>
        <w:tc>
          <w:tcPr>
            <w:tcW w:w="1980" w:type="dxa"/>
          </w:tcPr>
          <w:p w14:paraId="476E62F4" w14:textId="77777777" w:rsidR="004A07DC" w:rsidRPr="00A942F6" w:rsidRDefault="004A07DC" w:rsidP="00641834">
            <w:pPr>
              <w:pStyle w:val="TableParagraph"/>
              <w:rPr>
                <w:sz w:val="20"/>
                <w:szCs w:val="20"/>
                <w:lang w:val="nb-NO"/>
              </w:rPr>
            </w:pPr>
            <w:r w:rsidRPr="00A942F6">
              <w:rPr>
                <w:sz w:val="20"/>
                <w:szCs w:val="20"/>
                <w:lang w:val="nb-NO"/>
              </w:rPr>
              <w:t>Forstyrrelser i</w:t>
            </w:r>
            <w:r w:rsidR="00300F7B" w:rsidRPr="00A942F6">
              <w:rPr>
                <w:sz w:val="20"/>
                <w:szCs w:val="20"/>
                <w:lang w:val="nb-NO"/>
              </w:rPr>
              <w:t xml:space="preserve"> </w:t>
            </w:r>
            <w:r w:rsidRPr="00A942F6">
              <w:rPr>
                <w:sz w:val="20"/>
                <w:szCs w:val="20"/>
                <w:lang w:val="nb-NO"/>
              </w:rPr>
              <w:t>immunsystemet</w:t>
            </w:r>
          </w:p>
        </w:tc>
        <w:tc>
          <w:tcPr>
            <w:tcW w:w="1532" w:type="dxa"/>
          </w:tcPr>
          <w:p w14:paraId="70D712DD" w14:textId="77777777" w:rsidR="004A07DC" w:rsidRPr="00A942F6" w:rsidRDefault="004A07DC" w:rsidP="00641834">
            <w:pPr>
              <w:pStyle w:val="TableParagraph"/>
              <w:rPr>
                <w:sz w:val="20"/>
                <w:szCs w:val="20"/>
                <w:lang w:val="nb-NO"/>
              </w:rPr>
            </w:pPr>
          </w:p>
        </w:tc>
        <w:tc>
          <w:tcPr>
            <w:tcW w:w="2268" w:type="dxa"/>
          </w:tcPr>
          <w:p w14:paraId="05FB9B87" w14:textId="77777777" w:rsidR="004A07DC" w:rsidRPr="00A942F6" w:rsidRDefault="004A07DC" w:rsidP="00641834">
            <w:pPr>
              <w:pStyle w:val="TableParagraph"/>
              <w:rPr>
                <w:sz w:val="20"/>
                <w:szCs w:val="20"/>
                <w:lang w:val="nb-NO"/>
              </w:rPr>
            </w:pPr>
          </w:p>
        </w:tc>
        <w:tc>
          <w:tcPr>
            <w:tcW w:w="1728" w:type="dxa"/>
          </w:tcPr>
          <w:p w14:paraId="208A4B9C" w14:textId="77777777" w:rsidR="004A07DC" w:rsidRPr="00A942F6" w:rsidRDefault="004A07DC" w:rsidP="00641834">
            <w:pPr>
              <w:pStyle w:val="TableParagraph"/>
              <w:rPr>
                <w:sz w:val="20"/>
                <w:szCs w:val="20"/>
                <w:lang w:val="nb-NO"/>
              </w:rPr>
            </w:pPr>
          </w:p>
        </w:tc>
        <w:tc>
          <w:tcPr>
            <w:tcW w:w="1559" w:type="dxa"/>
          </w:tcPr>
          <w:p w14:paraId="748350AC" w14:textId="77777777" w:rsidR="004A07DC" w:rsidRPr="00A942F6" w:rsidRDefault="004A07DC" w:rsidP="00641834">
            <w:pPr>
              <w:pStyle w:val="TableParagraph"/>
              <w:rPr>
                <w:sz w:val="20"/>
                <w:szCs w:val="20"/>
                <w:lang w:val="nb-NO"/>
              </w:rPr>
            </w:pPr>
            <w:r w:rsidRPr="00A942F6">
              <w:rPr>
                <w:sz w:val="20"/>
                <w:szCs w:val="20"/>
                <w:lang w:val="nb-NO"/>
              </w:rPr>
              <w:t>Anafylaksi</w:t>
            </w:r>
            <w:r w:rsidR="00300F7B" w:rsidRPr="00A942F6">
              <w:rPr>
                <w:sz w:val="20"/>
                <w:szCs w:val="20"/>
                <w:lang w:val="nb-NO"/>
              </w:rPr>
              <w:t xml:space="preserve"> </w:t>
            </w:r>
            <w:r w:rsidRPr="00A942F6">
              <w:rPr>
                <w:sz w:val="20"/>
                <w:szCs w:val="20"/>
                <w:lang w:val="nb-NO"/>
              </w:rPr>
              <w:t>(dødelig)</w:t>
            </w:r>
            <w:r w:rsidRPr="00A942F6">
              <w:rPr>
                <w:sz w:val="20"/>
                <w:szCs w:val="20"/>
                <w:vertAlign w:val="superscript"/>
                <w:lang w:val="nb-NO"/>
              </w:rPr>
              <w:t>1,</w:t>
            </w:r>
            <w:r w:rsidRPr="00A942F6">
              <w:rPr>
                <w:sz w:val="20"/>
                <w:szCs w:val="20"/>
                <w:lang w:val="nb-NO"/>
              </w:rPr>
              <w:t xml:space="preserve"> </w:t>
            </w:r>
            <w:r w:rsidRPr="00A942F6">
              <w:rPr>
                <w:sz w:val="20"/>
                <w:szCs w:val="20"/>
                <w:vertAlign w:val="superscript"/>
                <w:lang w:val="nb-NO"/>
              </w:rPr>
              <w:t>2</w:t>
            </w:r>
            <w:r w:rsidRPr="00A942F6">
              <w:rPr>
                <w:sz w:val="20"/>
                <w:szCs w:val="20"/>
                <w:lang w:val="nb-NO"/>
              </w:rPr>
              <w:t xml:space="preserve"> </w:t>
            </w:r>
            <w:r w:rsidRPr="00A942F6">
              <w:rPr>
                <w:sz w:val="20"/>
                <w:szCs w:val="20"/>
                <w:vertAlign w:val="superscript"/>
                <w:lang w:val="nb-NO"/>
              </w:rPr>
              <w:t>,</w:t>
            </w:r>
            <w:r w:rsidRPr="00A942F6">
              <w:rPr>
                <w:sz w:val="20"/>
                <w:szCs w:val="20"/>
                <w:lang w:val="nb-NO"/>
              </w:rPr>
              <w:t xml:space="preserve"> </w:t>
            </w:r>
            <w:r w:rsidRPr="00A942F6">
              <w:rPr>
                <w:sz w:val="20"/>
                <w:szCs w:val="20"/>
                <w:vertAlign w:val="superscript"/>
                <w:lang w:val="nb-NO"/>
              </w:rPr>
              <w:t>3</w:t>
            </w:r>
          </w:p>
        </w:tc>
      </w:tr>
      <w:tr w:rsidR="004A07DC" w:rsidRPr="00A942F6" w14:paraId="248742CC" w14:textId="77777777" w:rsidTr="00E1582A">
        <w:trPr>
          <w:cantSplit/>
        </w:trPr>
        <w:tc>
          <w:tcPr>
            <w:tcW w:w="1980" w:type="dxa"/>
          </w:tcPr>
          <w:p w14:paraId="559A3D64" w14:textId="77777777" w:rsidR="004A07DC" w:rsidRPr="00A942F6" w:rsidRDefault="004A07DC" w:rsidP="00641834">
            <w:pPr>
              <w:pStyle w:val="TableParagraph"/>
              <w:rPr>
                <w:sz w:val="20"/>
                <w:szCs w:val="20"/>
                <w:lang w:val="nb-NO"/>
              </w:rPr>
            </w:pPr>
            <w:r w:rsidRPr="00A942F6">
              <w:rPr>
                <w:sz w:val="20"/>
                <w:szCs w:val="20"/>
                <w:lang w:val="nb-NO"/>
              </w:rPr>
              <w:t>Endokrine</w:t>
            </w:r>
          </w:p>
          <w:p w14:paraId="19321499" w14:textId="77777777" w:rsidR="004A07DC" w:rsidRPr="00A942F6" w:rsidRDefault="004A07DC" w:rsidP="00641834">
            <w:pPr>
              <w:pStyle w:val="TableParagraph"/>
              <w:rPr>
                <w:sz w:val="20"/>
                <w:szCs w:val="20"/>
                <w:lang w:val="nb-NO"/>
              </w:rPr>
            </w:pPr>
            <w:r w:rsidRPr="00A942F6">
              <w:rPr>
                <w:sz w:val="20"/>
                <w:szCs w:val="20"/>
                <w:lang w:val="nb-NO"/>
              </w:rPr>
              <w:t>sykdommer</w:t>
            </w:r>
          </w:p>
        </w:tc>
        <w:tc>
          <w:tcPr>
            <w:tcW w:w="1532" w:type="dxa"/>
          </w:tcPr>
          <w:p w14:paraId="314D014F" w14:textId="77777777" w:rsidR="004A07DC" w:rsidRPr="00A942F6" w:rsidRDefault="004A07DC" w:rsidP="00641834">
            <w:pPr>
              <w:pStyle w:val="TableParagraph"/>
              <w:rPr>
                <w:sz w:val="20"/>
                <w:szCs w:val="20"/>
                <w:lang w:val="nb-NO"/>
              </w:rPr>
            </w:pPr>
          </w:p>
        </w:tc>
        <w:tc>
          <w:tcPr>
            <w:tcW w:w="2268" w:type="dxa"/>
          </w:tcPr>
          <w:p w14:paraId="7237F15D" w14:textId="77777777" w:rsidR="004A07DC" w:rsidRPr="00A942F6" w:rsidRDefault="004A07DC" w:rsidP="00641834">
            <w:pPr>
              <w:pStyle w:val="TableParagraph"/>
              <w:rPr>
                <w:rFonts w:eastAsia="DengXian"/>
                <w:sz w:val="20"/>
                <w:szCs w:val="20"/>
                <w:lang w:val="nb-NO" w:eastAsia="zh-CN"/>
              </w:rPr>
            </w:pPr>
          </w:p>
        </w:tc>
        <w:tc>
          <w:tcPr>
            <w:tcW w:w="1728" w:type="dxa"/>
          </w:tcPr>
          <w:p w14:paraId="6733696E" w14:textId="77777777" w:rsidR="004A07DC" w:rsidRPr="00A942F6" w:rsidRDefault="004A07DC" w:rsidP="00641834">
            <w:pPr>
              <w:pStyle w:val="TableParagraph"/>
              <w:rPr>
                <w:sz w:val="20"/>
                <w:szCs w:val="20"/>
                <w:lang w:val="nb-NO"/>
              </w:rPr>
            </w:pPr>
            <w:r w:rsidRPr="00A942F6">
              <w:rPr>
                <w:sz w:val="20"/>
                <w:szCs w:val="20"/>
                <w:lang w:val="nb-NO"/>
              </w:rPr>
              <w:t>Hypotyreoidisme</w:t>
            </w:r>
          </w:p>
        </w:tc>
        <w:tc>
          <w:tcPr>
            <w:tcW w:w="1559" w:type="dxa"/>
          </w:tcPr>
          <w:p w14:paraId="3A60897D" w14:textId="77777777" w:rsidR="004A07DC" w:rsidRPr="00A942F6" w:rsidRDefault="004A07DC" w:rsidP="00641834">
            <w:pPr>
              <w:pStyle w:val="TableParagraph"/>
              <w:rPr>
                <w:sz w:val="20"/>
                <w:szCs w:val="20"/>
                <w:lang w:val="nb-NO"/>
              </w:rPr>
            </w:pPr>
          </w:p>
        </w:tc>
      </w:tr>
      <w:tr w:rsidR="004A07DC" w:rsidRPr="00A942F6" w14:paraId="1D3FE827" w14:textId="77777777" w:rsidTr="00E1582A">
        <w:trPr>
          <w:cantSplit/>
        </w:trPr>
        <w:tc>
          <w:tcPr>
            <w:tcW w:w="1980" w:type="dxa"/>
          </w:tcPr>
          <w:p w14:paraId="741A6366" w14:textId="77777777" w:rsidR="004A07DC" w:rsidRPr="00A942F6" w:rsidRDefault="004A07DC" w:rsidP="00641834">
            <w:pPr>
              <w:pStyle w:val="TableParagraph"/>
              <w:rPr>
                <w:sz w:val="20"/>
                <w:szCs w:val="20"/>
                <w:lang w:val="nb-NO"/>
              </w:rPr>
            </w:pPr>
            <w:r w:rsidRPr="00A942F6">
              <w:rPr>
                <w:sz w:val="20"/>
                <w:szCs w:val="20"/>
                <w:lang w:val="nb-NO"/>
              </w:rPr>
              <w:t>Stoffskifte- og ernæringsbetinge</w:t>
            </w:r>
            <w:r w:rsidR="00300F7B" w:rsidRPr="00A942F6">
              <w:rPr>
                <w:sz w:val="20"/>
                <w:szCs w:val="20"/>
                <w:lang w:val="nb-NO"/>
              </w:rPr>
              <w:t xml:space="preserve"> </w:t>
            </w:r>
            <w:r w:rsidRPr="00A942F6">
              <w:rPr>
                <w:sz w:val="20"/>
                <w:szCs w:val="20"/>
                <w:lang w:val="nb-NO"/>
              </w:rPr>
              <w:t>de sykdommer</w:t>
            </w:r>
          </w:p>
        </w:tc>
        <w:tc>
          <w:tcPr>
            <w:tcW w:w="1532" w:type="dxa"/>
          </w:tcPr>
          <w:p w14:paraId="33643159" w14:textId="77777777" w:rsidR="004A07DC" w:rsidRPr="00A942F6" w:rsidRDefault="004A07DC" w:rsidP="00641834">
            <w:pPr>
              <w:pStyle w:val="TableParagraph"/>
              <w:rPr>
                <w:sz w:val="20"/>
                <w:szCs w:val="20"/>
                <w:lang w:val="nb-NO"/>
              </w:rPr>
            </w:pPr>
            <w:r w:rsidRPr="00A942F6">
              <w:rPr>
                <w:sz w:val="20"/>
                <w:szCs w:val="20"/>
                <w:lang w:val="nb-NO"/>
              </w:rPr>
              <w:t>Hyper- kolesterolemi*</w:t>
            </w:r>
          </w:p>
        </w:tc>
        <w:tc>
          <w:tcPr>
            <w:tcW w:w="2268" w:type="dxa"/>
          </w:tcPr>
          <w:p w14:paraId="25C5EF63" w14:textId="77777777" w:rsidR="004A07DC" w:rsidRPr="00A942F6" w:rsidRDefault="004A07DC" w:rsidP="00641834">
            <w:pPr>
              <w:pStyle w:val="TableParagraph"/>
              <w:rPr>
                <w:sz w:val="20"/>
                <w:szCs w:val="20"/>
                <w:lang w:val="nb-NO"/>
              </w:rPr>
            </w:pPr>
          </w:p>
        </w:tc>
        <w:tc>
          <w:tcPr>
            <w:tcW w:w="1728" w:type="dxa"/>
          </w:tcPr>
          <w:p w14:paraId="357D6A74" w14:textId="77777777" w:rsidR="004A07DC" w:rsidRPr="00A942F6" w:rsidRDefault="004A07DC" w:rsidP="00641834">
            <w:pPr>
              <w:pStyle w:val="TableParagraph"/>
              <w:rPr>
                <w:sz w:val="20"/>
                <w:szCs w:val="20"/>
                <w:lang w:val="nb-NO"/>
              </w:rPr>
            </w:pPr>
            <w:r w:rsidRPr="00A942F6">
              <w:rPr>
                <w:sz w:val="20"/>
                <w:szCs w:val="20"/>
                <w:lang w:val="nb-NO"/>
              </w:rPr>
              <w:t>Hyper- triglyseridemi</w:t>
            </w:r>
          </w:p>
        </w:tc>
        <w:tc>
          <w:tcPr>
            <w:tcW w:w="1559" w:type="dxa"/>
          </w:tcPr>
          <w:p w14:paraId="2769B48A" w14:textId="77777777" w:rsidR="004A07DC" w:rsidRPr="00A942F6" w:rsidRDefault="004A07DC" w:rsidP="00641834">
            <w:pPr>
              <w:pStyle w:val="TableParagraph"/>
              <w:rPr>
                <w:sz w:val="20"/>
                <w:szCs w:val="20"/>
                <w:lang w:val="nb-NO"/>
              </w:rPr>
            </w:pPr>
          </w:p>
        </w:tc>
      </w:tr>
      <w:tr w:rsidR="004A07DC" w:rsidRPr="00A942F6" w14:paraId="1F0853B4" w14:textId="77777777" w:rsidTr="00E1582A">
        <w:trPr>
          <w:cantSplit/>
        </w:trPr>
        <w:tc>
          <w:tcPr>
            <w:tcW w:w="1980" w:type="dxa"/>
          </w:tcPr>
          <w:p w14:paraId="37B9E7BA" w14:textId="77777777" w:rsidR="004A07DC" w:rsidRPr="00A942F6" w:rsidRDefault="004A07DC" w:rsidP="00641834">
            <w:pPr>
              <w:pStyle w:val="TableParagraph"/>
              <w:rPr>
                <w:sz w:val="20"/>
                <w:szCs w:val="20"/>
                <w:lang w:val="nb-NO"/>
              </w:rPr>
            </w:pPr>
            <w:r w:rsidRPr="00A942F6">
              <w:rPr>
                <w:sz w:val="20"/>
                <w:szCs w:val="20"/>
                <w:lang w:val="nb-NO"/>
              </w:rPr>
              <w:t>Nevrologiske</w:t>
            </w:r>
          </w:p>
          <w:p w14:paraId="71FB8FF4" w14:textId="77777777" w:rsidR="004A07DC" w:rsidRPr="00A942F6" w:rsidRDefault="004A07DC" w:rsidP="00641834">
            <w:pPr>
              <w:pStyle w:val="TableParagraph"/>
              <w:rPr>
                <w:sz w:val="20"/>
                <w:szCs w:val="20"/>
                <w:lang w:val="nb-NO"/>
              </w:rPr>
            </w:pPr>
            <w:r w:rsidRPr="00A942F6">
              <w:rPr>
                <w:sz w:val="20"/>
                <w:szCs w:val="20"/>
                <w:lang w:val="nb-NO"/>
              </w:rPr>
              <w:t>sykdommer</w:t>
            </w:r>
          </w:p>
        </w:tc>
        <w:tc>
          <w:tcPr>
            <w:tcW w:w="1532" w:type="dxa"/>
          </w:tcPr>
          <w:p w14:paraId="5ACE651F" w14:textId="77777777" w:rsidR="004A07DC" w:rsidRPr="00A942F6" w:rsidRDefault="004A07DC" w:rsidP="00641834">
            <w:pPr>
              <w:pStyle w:val="TableParagraph"/>
              <w:rPr>
                <w:sz w:val="20"/>
                <w:szCs w:val="20"/>
                <w:lang w:val="nb-NO"/>
              </w:rPr>
            </w:pPr>
          </w:p>
        </w:tc>
        <w:tc>
          <w:tcPr>
            <w:tcW w:w="2268" w:type="dxa"/>
          </w:tcPr>
          <w:p w14:paraId="3B0A3C3D" w14:textId="77777777" w:rsidR="004A07DC" w:rsidRPr="00A942F6" w:rsidRDefault="004A07DC" w:rsidP="00641834">
            <w:pPr>
              <w:pStyle w:val="TableParagraph"/>
              <w:rPr>
                <w:sz w:val="20"/>
                <w:szCs w:val="20"/>
                <w:lang w:val="nb-NO"/>
              </w:rPr>
            </w:pPr>
            <w:r w:rsidRPr="00A942F6">
              <w:rPr>
                <w:sz w:val="20"/>
                <w:szCs w:val="20"/>
                <w:lang w:val="nb-NO"/>
              </w:rPr>
              <w:t>Hodepine,</w:t>
            </w:r>
          </w:p>
          <w:p w14:paraId="12B5D22B" w14:textId="77777777" w:rsidR="004A07DC" w:rsidRPr="00A942F6" w:rsidRDefault="004A07DC" w:rsidP="00641834">
            <w:pPr>
              <w:pStyle w:val="TableParagraph"/>
              <w:rPr>
                <w:sz w:val="20"/>
                <w:szCs w:val="20"/>
                <w:lang w:val="nb-NO"/>
              </w:rPr>
            </w:pPr>
            <w:r w:rsidRPr="00A942F6">
              <w:rPr>
                <w:sz w:val="20"/>
                <w:szCs w:val="20"/>
                <w:lang w:val="nb-NO"/>
              </w:rPr>
              <w:t>Svimmelhet</w:t>
            </w:r>
          </w:p>
        </w:tc>
        <w:tc>
          <w:tcPr>
            <w:tcW w:w="1728" w:type="dxa"/>
          </w:tcPr>
          <w:p w14:paraId="644C8593" w14:textId="77777777" w:rsidR="004A07DC" w:rsidRPr="00A942F6" w:rsidRDefault="004A07DC" w:rsidP="00641834">
            <w:pPr>
              <w:pStyle w:val="TableParagraph"/>
              <w:rPr>
                <w:sz w:val="20"/>
                <w:szCs w:val="20"/>
                <w:lang w:val="nb-NO"/>
              </w:rPr>
            </w:pPr>
          </w:p>
        </w:tc>
        <w:tc>
          <w:tcPr>
            <w:tcW w:w="1559" w:type="dxa"/>
          </w:tcPr>
          <w:p w14:paraId="66AD3CF4" w14:textId="77777777" w:rsidR="004A07DC" w:rsidRPr="00A942F6" w:rsidRDefault="004A07DC" w:rsidP="00641834">
            <w:pPr>
              <w:pStyle w:val="TableParagraph"/>
              <w:rPr>
                <w:sz w:val="20"/>
                <w:szCs w:val="20"/>
                <w:lang w:val="nb-NO"/>
              </w:rPr>
            </w:pPr>
          </w:p>
        </w:tc>
      </w:tr>
      <w:tr w:rsidR="004A07DC" w:rsidRPr="00A942F6" w14:paraId="3368067F" w14:textId="77777777" w:rsidTr="00E1582A">
        <w:trPr>
          <w:cantSplit/>
        </w:trPr>
        <w:tc>
          <w:tcPr>
            <w:tcW w:w="1980" w:type="dxa"/>
          </w:tcPr>
          <w:p w14:paraId="1D7FEBEC" w14:textId="77777777" w:rsidR="004A07DC" w:rsidRPr="00A942F6" w:rsidRDefault="004A07DC" w:rsidP="00641834">
            <w:pPr>
              <w:pStyle w:val="TableParagraph"/>
              <w:rPr>
                <w:sz w:val="20"/>
                <w:szCs w:val="20"/>
                <w:lang w:val="nb-NO"/>
              </w:rPr>
            </w:pPr>
            <w:r w:rsidRPr="00A942F6">
              <w:rPr>
                <w:sz w:val="20"/>
                <w:szCs w:val="20"/>
                <w:lang w:val="nb-NO"/>
              </w:rPr>
              <w:t>Øyesykdommer</w:t>
            </w:r>
          </w:p>
        </w:tc>
        <w:tc>
          <w:tcPr>
            <w:tcW w:w="1532" w:type="dxa"/>
          </w:tcPr>
          <w:p w14:paraId="4F8A73CE" w14:textId="77777777" w:rsidR="004A07DC" w:rsidRPr="00A942F6" w:rsidRDefault="004A07DC" w:rsidP="00641834">
            <w:pPr>
              <w:pStyle w:val="TableParagraph"/>
              <w:rPr>
                <w:sz w:val="20"/>
                <w:szCs w:val="20"/>
                <w:lang w:val="nb-NO"/>
              </w:rPr>
            </w:pPr>
          </w:p>
        </w:tc>
        <w:tc>
          <w:tcPr>
            <w:tcW w:w="2268" w:type="dxa"/>
          </w:tcPr>
          <w:p w14:paraId="0D899316" w14:textId="77777777" w:rsidR="004A07DC" w:rsidRPr="00A942F6" w:rsidRDefault="004A07DC" w:rsidP="00641834">
            <w:pPr>
              <w:pStyle w:val="TableParagraph"/>
              <w:rPr>
                <w:sz w:val="20"/>
                <w:szCs w:val="20"/>
                <w:lang w:val="nb-NO"/>
              </w:rPr>
            </w:pPr>
            <w:r w:rsidRPr="00A942F6">
              <w:rPr>
                <w:sz w:val="20"/>
                <w:szCs w:val="20"/>
                <w:lang w:val="nb-NO"/>
              </w:rPr>
              <w:t>Konjunktivitt</w:t>
            </w:r>
          </w:p>
        </w:tc>
        <w:tc>
          <w:tcPr>
            <w:tcW w:w="1728" w:type="dxa"/>
          </w:tcPr>
          <w:p w14:paraId="71DC6005" w14:textId="77777777" w:rsidR="004A07DC" w:rsidRPr="00A942F6" w:rsidRDefault="004A07DC" w:rsidP="00641834">
            <w:pPr>
              <w:pStyle w:val="TableParagraph"/>
              <w:rPr>
                <w:sz w:val="20"/>
                <w:szCs w:val="20"/>
                <w:lang w:val="nb-NO"/>
              </w:rPr>
            </w:pPr>
          </w:p>
        </w:tc>
        <w:tc>
          <w:tcPr>
            <w:tcW w:w="1559" w:type="dxa"/>
          </w:tcPr>
          <w:p w14:paraId="2E5CA664" w14:textId="77777777" w:rsidR="004A07DC" w:rsidRPr="00A942F6" w:rsidRDefault="004A07DC" w:rsidP="00641834">
            <w:pPr>
              <w:pStyle w:val="TableParagraph"/>
              <w:rPr>
                <w:sz w:val="20"/>
                <w:szCs w:val="20"/>
                <w:lang w:val="nb-NO"/>
              </w:rPr>
            </w:pPr>
          </w:p>
        </w:tc>
      </w:tr>
      <w:tr w:rsidR="004A07DC" w:rsidRPr="00A942F6" w14:paraId="78A22326" w14:textId="77777777" w:rsidTr="00E1582A">
        <w:trPr>
          <w:cantSplit/>
        </w:trPr>
        <w:tc>
          <w:tcPr>
            <w:tcW w:w="1980" w:type="dxa"/>
          </w:tcPr>
          <w:p w14:paraId="38CE0A82" w14:textId="77777777" w:rsidR="004A07DC" w:rsidRPr="00A942F6" w:rsidRDefault="004A07DC" w:rsidP="00641834">
            <w:pPr>
              <w:pStyle w:val="TableParagraph"/>
              <w:rPr>
                <w:sz w:val="20"/>
                <w:szCs w:val="20"/>
                <w:lang w:val="nb-NO"/>
              </w:rPr>
            </w:pPr>
            <w:r w:rsidRPr="00A942F6">
              <w:rPr>
                <w:sz w:val="20"/>
                <w:szCs w:val="20"/>
                <w:lang w:val="nb-NO"/>
              </w:rPr>
              <w:t>Karsykdommer</w:t>
            </w:r>
          </w:p>
        </w:tc>
        <w:tc>
          <w:tcPr>
            <w:tcW w:w="1532" w:type="dxa"/>
          </w:tcPr>
          <w:p w14:paraId="5375E4EF" w14:textId="77777777" w:rsidR="004A07DC" w:rsidRPr="00A942F6" w:rsidRDefault="004A07DC" w:rsidP="00641834">
            <w:pPr>
              <w:pStyle w:val="TableParagraph"/>
              <w:rPr>
                <w:sz w:val="20"/>
                <w:szCs w:val="20"/>
                <w:lang w:val="nb-NO"/>
              </w:rPr>
            </w:pPr>
          </w:p>
        </w:tc>
        <w:tc>
          <w:tcPr>
            <w:tcW w:w="2268" w:type="dxa"/>
          </w:tcPr>
          <w:p w14:paraId="6CDC7824" w14:textId="77777777" w:rsidR="004A07DC" w:rsidRPr="00A942F6" w:rsidRDefault="004A07DC" w:rsidP="00641834">
            <w:pPr>
              <w:pStyle w:val="TableParagraph"/>
              <w:rPr>
                <w:sz w:val="20"/>
                <w:szCs w:val="20"/>
                <w:lang w:val="nb-NO"/>
              </w:rPr>
            </w:pPr>
            <w:r w:rsidRPr="00A942F6">
              <w:rPr>
                <w:sz w:val="20"/>
                <w:szCs w:val="20"/>
                <w:lang w:val="nb-NO"/>
              </w:rPr>
              <w:t>Hypertensjon</w:t>
            </w:r>
          </w:p>
        </w:tc>
        <w:tc>
          <w:tcPr>
            <w:tcW w:w="1728" w:type="dxa"/>
          </w:tcPr>
          <w:p w14:paraId="60F9FCAE" w14:textId="77777777" w:rsidR="004A07DC" w:rsidRPr="00A942F6" w:rsidRDefault="004A07DC" w:rsidP="00641834">
            <w:pPr>
              <w:pStyle w:val="TableParagraph"/>
              <w:rPr>
                <w:sz w:val="20"/>
                <w:szCs w:val="20"/>
                <w:lang w:val="nb-NO"/>
              </w:rPr>
            </w:pPr>
          </w:p>
        </w:tc>
        <w:tc>
          <w:tcPr>
            <w:tcW w:w="1559" w:type="dxa"/>
          </w:tcPr>
          <w:p w14:paraId="715F85EF" w14:textId="77777777" w:rsidR="004A07DC" w:rsidRPr="00A942F6" w:rsidRDefault="004A07DC" w:rsidP="00641834">
            <w:pPr>
              <w:pStyle w:val="TableParagraph"/>
              <w:rPr>
                <w:sz w:val="20"/>
                <w:szCs w:val="20"/>
                <w:lang w:val="nb-NO"/>
              </w:rPr>
            </w:pPr>
          </w:p>
        </w:tc>
      </w:tr>
      <w:tr w:rsidR="004A07DC" w:rsidRPr="00A942F6" w14:paraId="41E1FAA2" w14:textId="77777777" w:rsidTr="00E1582A">
        <w:trPr>
          <w:cantSplit/>
        </w:trPr>
        <w:tc>
          <w:tcPr>
            <w:tcW w:w="1980" w:type="dxa"/>
          </w:tcPr>
          <w:p w14:paraId="7F2B566C" w14:textId="77777777" w:rsidR="004A07DC" w:rsidRPr="00A942F6" w:rsidRDefault="004A07DC" w:rsidP="00641834">
            <w:pPr>
              <w:pStyle w:val="TableParagraph"/>
              <w:rPr>
                <w:sz w:val="20"/>
                <w:szCs w:val="20"/>
                <w:lang w:val="nb-NO"/>
              </w:rPr>
            </w:pPr>
            <w:r w:rsidRPr="00A942F6">
              <w:rPr>
                <w:sz w:val="20"/>
                <w:szCs w:val="20"/>
                <w:lang w:val="nb-NO"/>
              </w:rPr>
              <w:t>Sykdommer i respirasjonsorgan er, thorax og</w:t>
            </w:r>
            <w:r w:rsidR="00300F7B" w:rsidRPr="00A942F6">
              <w:rPr>
                <w:sz w:val="20"/>
                <w:szCs w:val="20"/>
                <w:lang w:val="nb-NO"/>
              </w:rPr>
              <w:t xml:space="preserve"> </w:t>
            </w:r>
            <w:r w:rsidRPr="00A942F6">
              <w:rPr>
                <w:sz w:val="20"/>
                <w:szCs w:val="20"/>
                <w:lang w:val="nb-NO"/>
              </w:rPr>
              <w:t>mediastinum</w:t>
            </w:r>
          </w:p>
        </w:tc>
        <w:tc>
          <w:tcPr>
            <w:tcW w:w="1532" w:type="dxa"/>
          </w:tcPr>
          <w:p w14:paraId="3C9F638C" w14:textId="77777777" w:rsidR="004A07DC" w:rsidRPr="00A942F6" w:rsidRDefault="004A07DC" w:rsidP="00641834">
            <w:pPr>
              <w:pStyle w:val="TableParagraph"/>
              <w:rPr>
                <w:sz w:val="20"/>
                <w:szCs w:val="20"/>
                <w:lang w:val="nb-NO"/>
              </w:rPr>
            </w:pPr>
          </w:p>
        </w:tc>
        <w:tc>
          <w:tcPr>
            <w:tcW w:w="2268" w:type="dxa"/>
          </w:tcPr>
          <w:p w14:paraId="49BAC481" w14:textId="77777777" w:rsidR="004A07DC" w:rsidRPr="00A942F6" w:rsidRDefault="004A07DC" w:rsidP="00641834">
            <w:pPr>
              <w:pStyle w:val="TableParagraph"/>
              <w:rPr>
                <w:sz w:val="20"/>
                <w:szCs w:val="20"/>
                <w:lang w:val="nb-NO"/>
              </w:rPr>
            </w:pPr>
            <w:r w:rsidRPr="00A942F6">
              <w:rPr>
                <w:sz w:val="20"/>
                <w:szCs w:val="20"/>
                <w:lang w:val="nb-NO"/>
              </w:rPr>
              <w:t>Hoste, Dyspné</w:t>
            </w:r>
          </w:p>
        </w:tc>
        <w:tc>
          <w:tcPr>
            <w:tcW w:w="1728" w:type="dxa"/>
          </w:tcPr>
          <w:p w14:paraId="1D11701E" w14:textId="77777777" w:rsidR="004A07DC" w:rsidRPr="00A942F6" w:rsidRDefault="004A07DC" w:rsidP="00641834">
            <w:pPr>
              <w:pStyle w:val="TableParagraph"/>
              <w:rPr>
                <w:sz w:val="20"/>
                <w:szCs w:val="20"/>
                <w:lang w:val="nb-NO"/>
              </w:rPr>
            </w:pPr>
          </w:p>
        </w:tc>
        <w:tc>
          <w:tcPr>
            <w:tcW w:w="1559" w:type="dxa"/>
          </w:tcPr>
          <w:p w14:paraId="4106EDEA" w14:textId="77777777" w:rsidR="004A07DC" w:rsidRPr="00A942F6" w:rsidRDefault="004A07DC" w:rsidP="00641834">
            <w:pPr>
              <w:pStyle w:val="TableParagraph"/>
              <w:rPr>
                <w:sz w:val="20"/>
                <w:szCs w:val="20"/>
                <w:lang w:val="nb-NO"/>
              </w:rPr>
            </w:pPr>
          </w:p>
        </w:tc>
      </w:tr>
      <w:tr w:rsidR="004A07DC" w:rsidRPr="00A942F6" w14:paraId="06CA6571" w14:textId="77777777" w:rsidTr="00E1582A">
        <w:trPr>
          <w:cantSplit/>
        </w:trPr>
        <w:tc>
          <w:tcPr>
            <w:tcW w:w="1980" w:type="dxa"/>
          </w:tcPr>
          <w:p w14:paraId="1558DD6A" w14:textId="77777777" w:rsidR="004A07DC" w:rsidRPr="00A942F6" w:rsidRDefault="004A07DC" w:rsidP="00641834">
            <w:pPr>
              <w:pStyle w:val="TableParagraph"/>
              <w:rPr>
                <w:sz w:val="20"/>
                <w:szCs w:val="20"/>
                <w:lang w:val="nb-NO"/>
              </w:rPr>
            </w:pPr>
            <w:r w:rsidRPr="00A942F6">
              <w:rPr>
                <w:sz w:val="20"/>
                <w:szCs w:val="20"/>
                <w:lang w:val="nb-NO"/>
              </w:rPr>
              <w:t>Gastrointestinale sykdommer</w:t>
            </w:r>
          </w:p>
        </w:tc>
        <w:tc>
          <w:tcPr>
            <w:tcW w:w="1532" w:type="dxa"/>
          </w:tcPr>
          <w:p w14:paraId="0D32E6B4" w14:textId="77777777" w:rsidR="004A07DC" w:rsidRPr="00A942F6" w:rsidRDefault="004A07DC" w:rsidP="00641834">
            <w:pPr>
              <w:pStyle w:val="TableParagraph"/>
              <w:rPr>
                <w:sz w:val="20"/>
                <w:szCs w:val="20"/>
                <w:lang w:val="nb-NO"/>
              </w:rPr>
            </w:pPr>
          </w:p>
        </w:tc>
        <w:tc>
          <w:tcPr>
            <w:tcW w:w="2268" w:type="dxa"/>
          </w:tcPr>
          <w:p w14:paraId="74C94DE5" w14:textId="77777777" w:rsidR="004A07DC" w:rsidRPr="00A942F6" w:rsidRDefault="004A07DC" w:rsidP="00641834">
            <w:pPr>
              <w:pStyle w:val="TableParagraph"/>
              <w:rPr>
                <w:sz w:val="20"/>
                <w:szCs w:val="20"/>
                <w:lang w:val="nb-NO"/>
              </w:rPr>
            </w:pPr>
            <w:r w:rsidRPr="00A942F6">
              <w:rPr>
                <w:sz w:val="20"/>
                <w:szCs w:val="20"/>
                <w:lang w:val="nb-NO"/>
              </w:rPr>
              <w:t>Abdominale smerter,</w:t>
            </w:r>
            <w:r w:rsidR="00300F7B" w:rsidRPr="00A942F6">
              <w:rPr>
                <w:sz w:val="20"/>
                <w:szCs w:val="20"/>
                <w:lang w:val="nb-NO"/>
              </w:rPr>
              <w:t xml:space="preserve"> </w:t>
            </w:r>
            <w:r w:rsidRPr="00A942F6">
              <w:rPr>
                <w:sz w:val="20"/>
                <w:szCs w:val="20"/>
                <w:lang w:val="nb-NO"/>
              </w:rPr>
              <w:t>Munnulcerasjon, Gastritt</w:t>
            </w:r>
          </w:p>
        </w:tc>
        <w:tc>
          <w:tcPr>
            <w:tcW w:w="1728" w:type="dxa"/>
          </w:tcPr>
          <w:p w14:paraId="69BE4778" w14:textId="77777777" w:rsidR="004A07DC" w:rsidRPr="00A942F6" w:rsidRDefault="004A07DC" w:rsidP="00641834">
            <w:pPr>
              <w:pStyle w:val="TableParagraph"/>
              <w:rPr>
                <w:sz w:val="20"/>
                <w:szCs w:val="20"/>
                <w:lang w:val="nb-NO"/>
              </w:rPr>
            </w:pPr>
            <w:r w:rsidRPr="00A942F6">
              <w:rPr>
                <w:sz w:val="20"/>
                <w:szCs w:val="20"/>
                <w:lang w:val="nb-NO"/>
              </w:rPr>
              <w:t>Stomatitt, Magesår</w:t>
            </w:r>
          </w:p>
        </w:tc>
        <w:tc>
          <w:tcPr>
            <w:tcW w:w="1559" w:type="dxa"/>
          </w:tcPr>
          <w:p w14:paraId="43C8BB68" w14:textId="77777777" w:rsidR="004A07DC" w:rsidRPr="00A942F6" w:rsidRDefault="004A07DC" w:rsidP="00641834">
            <w:pPr>
              <w:pStyle w:val="TableParagraph"/>
              <w:rPr>
                <w:sz w:val="20"/>
                <w:szCs w:val="20"/>
                <w:lang w:val="nb-NO"/>
              </w:rPr>
            </w:pPr>
          </w:p>
        </w:tc>
      </w:tr>
      <w:tr w:rsidR="004A07DC" w:rsidRPr="00B477E5" w14:paraId="54218965" w14:textId="77777777" w:rsidTr="00E1582A">
        <w:trPr>
          <w:cantSplit/>
          <w:trHeight w:val="805"/>
        </w:trPr>
        <w:tc>
          <w:tcPr>
            <w:tcW w:w="1980" w:type="dxa"/>
          </w:tcPr>
          <w:p w14:paraId="1DA25FAB" w14:textId="77777777" w:rsidR="004A07DC" w:rsidRPr="00A942F6" w:rsidRDefault="004A07DC" w:rsidP="00641834">
            <w:pPr>
              <w:pStyle w:val="TableParagraph"/>
              <w:rPr>
                <w:sz w:val="20"/>
                <w:szCs w:val="20"/>
                <w:lang w:val="nb-NO"/>
              </w:rPr>
            </w:pPr>
            <w:r w:rsidRPr="00A942F6">
              <w:rPr>
                <w:sz w:val="20"/>
                <w:szCs w:val="20"/>
                <w:lang w:val="nb-NO"/>
              </w:rPr>
              <w:t>Sykdommer i lever og galleveier</w:t>
            </w:r>
          </w:p>
        </w:tc>
        <w:tc>
          <w:tcPr>
            <w:tcW w:w="1532" w:type="dxa"/>
          </w:tcPr>
          <w:p w14:paraId="793CDEC3" w14:textId="77777777" w:rsidR="004A07DC" w:rsidRPr="00A942F6" w:rsidRDefault="004A07DC" w:rsidP="00641834">
            <w:pPr>
              <w:pStyle w:val="TableParagraph"/>
              <w:rPr>
                <w:sz w:val="20"/>
                <w:szCs w:val="20"/>
                <w:lang w:val="nb-NO"/>
              </w:rPr>
            </w:pPr>
          </w:p>
        </w:tc>
        <w:tc>
          <w:tcPr>
            <w:tcW w:w="2268" w:type="dxa"/>
          </w:tcPr>
          <w:p w14:paraId="2F3ACF29" w14:textId="77777777" w:rsidR="004A07DC" w:rsidRPr="00A942F6" w:rsidRDefault="004A07DC" w:rsidP="00641834">
            <w:pPr>
              <w:pStyle w:val="TableParagraph"/>
              <w:rPr>
                <w:sz w:val="20"/>
                <w:szCs w:val="20"/>
                <w:lang w:val="nb-NO"/>
              </w:rPr>
            </w:pPr>
          </w:p>
        </w:tc>
        <w:tc>
          <w:tcPr>
            <w:tcW w:w="1728" w:type="dxa"/>
          </w:tcPr>
          <w:p w14:paraId="7E2A1628" w14:textId="77777777" w:rsidR="004A07DC" w:rsidRPr="00A942F6" w:rsidRDefault="004A07DC" w:rsidP="00641834">
            <w:pPr>
              <w:pStyle w:val="TableParagraph"/>
              <w:rPr>
                <w:sz w:val="20"/>
                <w:szCs w:val="20"/>
                <w:lang w:val="nb-NO"/>
              </w:rPr>
            </w:pPr>
          </w:p>
        </w:tc>
        <w:tc>
          <w:tcPr>
            <w:tcW w:w="1559" w:type="dxa"/>
          </w:tcPr>
          <w:p w14:paraId="2FA0FA90" w14:textId="77777777" w:rsidR="004A07DC" w:rsidRPr="00A942F6" w:rsidRDefault="004A07DC" w:rsidP="00641834">
            <w:pPr>
              <w:pStyle w:val="TableParagraph"/>
              <w:rPr>
                <w:sz w:val="20"/>
                <w:szCs w:val="20"/>
                <w:lang w:val="nb-NO"/>
              </w:rPr>
            </w:pPr>
            <w:r w:rsidRPr="00A942F6">
              <w:rPr>
                <w:sz w:val="20"/>
                <w:szCs w:val="20"/>
                <w:lang w:val="nb-NO"/>
              </w:rPr>
              <w:t>Legemiddel- indusert leverskade, Hepatitt, Gulsott</w:t>
            </w:r>
          </w:p>
          <w:p w14:paraId="4DB92DDE" w14:textId="77777777" w:rsidR="004A07DC" w:rsidRPr="00A942F6" w:rsidRDefault="004A07DC" w:rsidP="00641834">
            <w:pPr>
              <w:pStyle w:val="TableParagraph"/>
              <w:rPr>
                <w:sz w:val="20"/>
                <w:szCs w:val="20"/>
                <w:lang w:val="nb-NO"/>
              </w:rPr>
            </w:pPr>
            <w:r w:rsidRPr="00A942F6">
              <w:rPr>
                <w:sz w:val="20"/>
                <w:szCs w:val="20"/>
                <w:lang w:val="nb-NO"/>
              </w:rPr>
              <w:t>Svært sjeldne: Leversvikt</w:t>
            </w:r>
          </w:p>
        </w:tc>
      </w:tr>
      <w:tr w:rsidR="004A07DC" w:rsidRPr="00A942F6" w14:paraId="0017EBB9" w14:textId="77777777" w:rsidTr="00E1582A">
        <w:trPr>
          <w:cantSplit/>
        </w:trPr>
        <w:tc>
          <w:tcPr>
            <w:tcW w:w="1980" w:type="dxa"/>
          </w:tcPr>
          <w:p w14:paraId="25A0C92D" w14:textId="77777777" w:rsidR="004A07DC" w:rsidRPr="00A942F6" w:rsidRDefault="004A07DC" w:rsidP="00641834">
            <w:pPr>
              <w:pStyle w:val="TableParagraph"/>
              <w:rPr>
                <w:sz w:val="20"/>
                <w:szCs w:val="20"/>
                <w:lang w:val="nb-NO"/>
              </w:rPr>
            </w:pPr>
            <w:r w:rsidRPr="00A942F6">
              <w:rPr>
                <w:sz w:val="20"/>
                <w:szCs w:val="20"/>
                <w:lang w:val="nb-NO"/>
              </w:rPr>
              <w:t>Hud- og underhuds-</w:t>
            </w:r>
          </w:p>
          <w:p w14:paraId="245282E4" w14:textId="77777777" w:rsidR="004A07DC" w:rsidRPr="00A942F6" w:rsidRDefault="004A07DC" w:rsidP="00641834">
            <w:pPr>
              <w:pStyle w:val="TableParagraph"/>
              <w:rPr>
                <w:sz w:val="20"/>
                <w:szCs w:val="20"/>
                <w:lang w:val="nb-NO"/>
              </w:rPr>
            </w:pPr>
            <w:r w:rsidRPr="00A942F6">
              <w:rPr>
                <w:sz w:val="20"/>
                <w:szCs w:val="20"/>
                <w:lang w:val="nb-NO"/>
              </w:rPr>
              <w:t>sykdommer</w:t>
            </w:r>
          </w:p>
        </w:tc>
        <w:tc>
          <w:tcPr>
            <w:tcW w:w="1532" w:type="dxa"/>
          </w:tcPr>
          <w:p w14:paraId="0C741982" w14:textId="77777777" w:rsidR="004A07DC" w:rsidRPr="00A942F6" w:rsidRDefault="004A07DC" w:rsidP="00641834">
            <w:pPr>
              <w:pStyle w:val="TableParagraph"/>
              <w:rPr>
                <w:sz w:val="20"/>
                <w:szCs w:val="20"/>
                <w:lang w:val="nb-NO"/>
              </w:rPr>
            </w:pPr>
          </w:p>
        </w:tc>
        <w:tc>
          <w:tcPr>
            <w:tcW w:w="2268" w:type="dxa"/>
          </w:tcPr>
          <w:p w14:paraId="5D0337F0" w14:textId="77777777" w:rsidR="004A07DC" w:rsidRPr="00A942F6" w:rsidRDefault="004A07DC" w:rsidP="00641834">
            <w:pPr>
              <w:pStyle w:val="TableParagraph"/>
              <w:rPr>
                <w:sz w:val="20"/>
                <w:szCs w:val="20"/>
                <w:lang w:val="nb-NO"/>
              </w:rPr>
            </w:pPr>
            <w:r w:rsidRPr="00A942F6">
              <w:rPr>
                <w:sz w:val="20"/>
                <w:szCs w:val="20"/>
                <w:lang w:val="nb-NO"/>
              </w:rPr>
              <w:t>Utslett, Pruritus,</w:t>
            </w:r>
          </w:p>
          <w:p w14:paraId="5F85D65D" w14:textId="77777777" w:rsidR="004A07DC" w:rsidRPr="00A942F6" w:rsidRDefault="004A07DC" w:rsidP="00641834">
            <w:pPr>
              <w:pStyle w:val="TableParagraph"/>
              <w:rPr>
                <w:sz w:val="20"/>
                <w:szCs w:val="20"/>
                <w:lang w:val="nb-NO"/>
              </w:rPr>
            </w:pPr>
            <w:r w:rsidRPr="00A942F6">
              <w:rPr>
                <w:sz w:val="20"/>
                <w:szCs w:val="20"/>
                <w:lang w:val="nb-NO"/>
              </w:rPr>
              <w:t>Urtikaria</w:t>
            </w:r>
          </w:p>
        </w:tc>
        <w:tc>
          <w:tcPr>
            <w:tcW w:w="1728" w:type="dxa"/>
          </w:tcPr>
          <w:p w14:paraId="2C7DA85F" w14:textId="77777777" w:rsidR="004A07DC" w:rsidRPr="00A942F6" w:rsidRDefault="004A07DC" w:rsidP="00641834">
            <w:pPr>
              <w:pStyle w:val="TableParagraph"/>
              <w:rPr>
                <w:sz w:val="20"/>
                <w:szCs w:val="20"/>
                <w:lang w:val="nb-NO"/>
              </w:rPr>
            </w:pPr>
          </w:p>
        </w:tc>
        <w:tc>
          <w:tcPr>
            <w:tcW w:w="1559" w:type="dxa"/>
          </w:tcPr>
          <w:p w14:paraId="6BB0FE47" w14:textId="77777777" w:rsidR="004A07DC" w:rsidRPr="00A942F6" w:rsidRDefault="004A07DC" w:rsidP="00641834">
            <w:pPr>
              <w:pStyle w:val="TableParagraph"/>
              <w:rPr>
                <w:sz w:val="20"/>
                <w:szCs w:val="20"/>
                <w:lang w:val="nb-NO"/>
              </w:rPr>
            </w:pPr>
            <w:r w:rsidRPr="00A942F6">
              <w:rPr>
                <w:sz w:val="20"/>
                <w:szCs w:val="20"/>
                <w:lang w:val="nb-NO"/>
              </w:rPr>
              <w:t>Stevens- Johnson</w:t>
            </w:r>
            <w:r w:rsidR="00300F7B" w:rsidRPr="00A942F6">
              <w:rPr>
                <w:sz w:val="20"/>
                <w:szCs w:val="20"/>
                <w:lang w:val="nb-NO"/>
              </w:rPr>
              <w:t xml:space="preserve"> </w:t>
            </w:r>
            <w:r w:rsidRPr="00A942F6">
              <w:rPr>
                <w:sz w:val="20"/>
                <w:szCs w:val="20"/>
                <w:lang w:val="nb-NO"/>
              </w:rPr>
              <w:t>syndrom</w:t>
            </w:r>
            <w:r w:rsidRPr="00A942F6">
              <w:rPr>
                <w:sz w:val="20"/>
                <w:szCs w:val="20"/>
                <w:vertAlign w:val="superscript"/>
                <w:lang w:val="nb-NO"/>
              </w:rPr>
              <w:t>3</w:t>
            </w:r>
          </w:p>
        </w:tc>
      </w:tr>
      <w:tr w:rsidR="004A07DC" w:rsidRPr="00A942F6" w14:paraId="59B3A028" w14:textId="77777777" w:rsidTr="00E1582A">
        <w:trPr>
          <w:cantSplit/>
        </w:trPr>
        <w:tc>
          <w:tcPr>
            <w:tcW w:w="1980" w:type="dxa"/>
          </w:tcPr>
          <w:p w14:paraId="30BACA7C" w14:textId="77777777" w:rsidR="004A07DC" w:rsidRPr="00A942F6" w:rsidRDefault="004A07DC" w:rsidP="00641834">
            <w:pPr>
              <w:pStyle w:val="TableParagraph"/>
              <w:rPr>
                <w:sz w:val="20"/>
                <w:szCs w:val="20"/>
                <w:lang w:val="nb-NO"/>
              </w:rPr>
            </w:pPr>
            <w:r w:rsidRPr="00A942F6">
              <w:rPr>
                <w:sz w:val="20"/>
                <w:szCs w:val="20"/>
                <w:lang w:val="nb-NO"/>
              </w:rPr>
              <w:t>Sykdommer i</w:t>
            </w:r>
            <w:r w:rsidR="00300F7B" w:rsidRPr="00A942F6">
              <w:rPr>
                <w:sz w:val="20"/>
                <w:szCs w:val="20"/>
                <w:lang w:val="nb-NO"/>
              </w:rPr>
              <w:t xml:space="preserve"> </w:t>
            </w:r>
            <w:r w:rsidRPr="00A942F6">
              <w:rPr>
                <w:sz w:val="20"/>
                <w:szCs w:val="20"/>
                <w:lang w:val="nb-NO"/>
              </w:rPr>
              <w:t>nyre og urinveier</w:t>
            </w:r>
          </w:p>
        </w:tc>
        <w:tc>
          <w:tcPr>
            <w:tcW w:w="1532" w:type="dxa"/>
          </w:tcPr>
          <w:p w14:paraId="08F6CC52" w14:textId="77777777" w:rsidR="004A07DC" w:rsidRPr="00A942F6" w:rsidRDefault="004A07DC" w:rsidP="00641834">
            <w:pPr>
              <w:pStyle w:val="TableParagraph"/>
              <w:rPr>
                <w:sz w:val="20"/>
                <w:szCs w:val="20"/>
                <w:lang w:val="nb-NO"/>
              </w:rPr>
            </w:pPr>
          </w:p>
        </w:tc>
        <w:tc>
          <w:tcPr>
            <w:tcW w:w="2268" w:type="dxa"/>
          </w:tcPr>
          <w:p w14:paraId="7F091BA9" w14:textId="77777777" w:rsidR="004A07DC" w:rsidRPr="00A942F6" w:rsidRDefault="004A07DC" w:rsidP="00641834">
            <w:pPr>
              <w:pStyle w:val="TableParagraph"/>
              <w:rPr>
                <w:sz w:val="20"/>
                <w:szCs w:val="20"/>
                <w:lang w:val="nb-NO"/>
              </w:rPr>
            </w:pPr>
          </w:p>
        </w:tc>
        <w:tc>
          <w:tcPr>
            <w:tcW w:w="1728" w:type="dxa"/>
          </w:tcPr>
          <w:p w14:paraId="1B77133D" w14:textId="77777777" w:rsidR="004A07DC" w:rsidRPr="00A942F6" w:rsidRDefault="004A07DC" w:rsidP="00641834">
            <w:pPr>
              <w:pStyle w:val="TableParagraph"/>
              <w:rPr>
                <w:sz w:val="20"/>
                <w:szCs w:val="20"/>
                <w:lang w:val="nb-NO"/>
              </w:rPr>
            </w:pPr>
            <w:r w:rsidRPr="00A942F6">
              <w:rPr>
                <w:sz w:val="20"/>
                <w:szCs w:val="20"/>
                <w:lang w:val="nb-NO"/>
              </w:rPr>
              <w:t>Nefrolitt</w:t>
            </w:r>
          </w:p>
        </w:tc>
        <w:tc>
          <w:tcPr>
            <w:tcW w:w="1559" w:type="dxa"/>
          </w:tcPr>
          <w:p w14:paraId="4229D3EA" w14:textId="77777777" w:rsidR="004A07DC" w:rsidRPr="00A942F6" w:rsidRDefault="004A07DC" w:rsidP="00641834">
            <w:pPr>
              <w:pStyle w:val="TableParagraph"/>
              <w:rPr>
                <w:sz w:val="20"/>
                <w:szCs w:val="20"/>
                <w:lang w:val="nb-NO"/>
              </w:rPr>
            </w:pPr>
          </w:p>
        </w:tc>
      </w:tr>
      <w:tr w:rsidR="004A07DC" w:rsidRPr="00A942F6" w14:paraId="5B14F3F0" w14:textId="77777777" w:rsidTr="00E1582A">
        <w:trPr>
          <w:cantSplit/>
        </w:trPr>
        <w:tc>
          <w:tcPr>
            <w:tcW w:w="1980" w:type="dxa"/>
          </w:tcPr>
          <w:p w14:paraId="5B140ACD" w14:textId="77777777" w:rsidR="004A07DC" w:rsidRPr="00A942F6" w:rsidRDefault="004A07DC" w:rsidP="00641834">
            <w:pPr>
              <w:pStyle w:val="TableParagraph"/>
              <w:rPr>
                <w:sz w:val="20"/>
                <w:szCs w:val="20"/>
                <w:lang w:val="nb-NO"/>
              </w:rPr>
            </w:pPr>
            <w:r w:rsidRPr="00A942F6">
              <w:rPr>
                <w:sz w:val="20"/>
                <w:szCs w:val="20"/>
                <w:lang w:val="nb-NO"/>
              </w:rPr>
              <w:t>Generelle lidelser og reaksjoner på administrasjonsst</w:t>
            </w:r>
            <w:r w:rsidR="00300F7B" w:rsidRPr="00A942F6">
              <w:rPr>
                <w:sz w:val="20"/>
                <w:szCs w:val="20"/>
                <w:lang w:val="nb-NO"/>
              </w:rPr>
              <w:t xml:space="preserve"> </w:t>
            </w:r>
            <w:r w:rsidRPr="00A942F6">
              <w:rPr>
                <w:sz w:val="20"/>
                <w:szCs w:val="20"/>
                <w:lang w:val="nb-NO"/>
              </w:rPr>
              <w:t>edet</w:t>
            </w:r>
          </w:p>
        </w:tc>
        <w:tc>
          <w:tcPr>
            <w:tcW w:w="1532" w:type="dxa"/>
          </w:tcPr>
          <w:p w14:paraId="2AEF465F" w14:textId="77777777" w:rsidR="004A07DC" w:rsidRPr="00A942F6" w:rsidRDefault="004A07DC" w:rsidP="00641834">
            <w:pPr>
              <w:pStyle w:val="TableParagraph"/>
              <w:rPr>
                <w:sz w:val="20"/>
                <w:szCs w:val="20"/>
                <w:lang w:val="nb-NO"/>
              </w:rPr>
            </w:pPr>
          </w:p>
        </w:tc>
        <w:tc>
          <w:tcPr>
            <w:tcW w:w="2268" w:type="dxa"/>
          </w:tcPr>
          <w:p w14:paraId="386B7391" w14:textId="77777777" w:rsidR="004A07DC" w:rsidRPr="00A942F6" w:rsidRDefault="004A07DC" w:rsidP="00641834">
            <w:pPr>
              <w:pStyle w:val="TableParagraph"/>
              <w:rPr>
                <w:sz w:val="20"/>
                <w:szCs w:val="20"/>
                <w:lang w:val="nb-NO"/>
              </w:rPr>
            </w:pPr>
            <w:r w:rsidRPr="00A942F6">
              <w:rPr>
                <w:sz w:val="20"/>
                <w:szCs w:val="20"/>
                <w:lang w:val="nb-NO"/>
              </w:rPr>
              <w:t>Perifert ødem, Hypersensitivitets- reaksjoner</w:t>
            </w:r>
          </w:p>
        </w:tc>
        <w:tc>
          <w:tcPr>
            <w:tcW w:w="1728" w:type="dxa"/>
          </w:tcPr>
          <w:p w14:paraId="0D3D5F57" w14:textId="77777777" w:rsidR="004A07DC" w:rsidRPr="00A942F6" w:rsidRDefault="004A07DC" w:rsidP="00641834">
            <w:pPr>
              <w:pStyle w:val="TableParagraph"/>
              <w:rPr>
                <w:sz w:val="20"/>
                <w:szCs w:val="20"/>
                <w:lang w:val="nb-NO"/>
              </w:rPr>
            </w:pPr>
          </w:p>
        </w:tc>
        <w:tc>
          <w:tcPr>
            <w:tcW w:w="1559" w:type="dxa"/>
          </w:tcPr>
          <w:p w14:paraId="067F4208" w14:textId="77777777" w:rsidR="004A07DC" w:rsidRPr="00A942F6" w:rsidRDefault="004A07DC" w:rsidP="00641834">
            <w:pPr>
              <w:pStyle w:val="TableParagraph"/>
              <w:rPr>
                <w:sz w:val="20"/>
                <w:szCs w:val="20"/>
                <w:lang w:val="nb-NO"/>
              </w:rPr>
            </w:pPr>
          </w:p>
        </w:tc>
      </w:tr>
      <w:tr w:rsidR="004A07DC" w:rsidRPr="00B477E5" w14:paraId="2E3E7A21" w14:textId="77777777" w:rsidTr="00E1582A">
        <w:trPr>
          <w:cantSplit/>
        </w:trPr>
        <w:tc>
          <w:tcPr>
            <w:tcW w:w="1980" w:type="dxa"/>
          </w:tcPr>
          <w:p w14:paraId="4DDF1F85" w14:textId="77777777" w:rsidR="004A07DC" w:rsidRPr="00A942F6" w:rsidRDefault="004A07DC" w:rsidP="00641834">
            <w:pPr>
              <w:pStyle w:val="TableParagraph"/>
              <w:rPr>
                <w:sz w:val="20"/>
                <w:szCs w:val="20"/>
                <w:lang w:val="nb-NO"/>
              </w:rPr>
            </w:pPr>
            <w:r w:rsidRPr="00A942F6">
              <w:rPr>
                <w:sz w:val="20"/>
                <w:szCs w:val="20"/>
                <w:lang w:val="nb-NO"/>
              </w:rPr>
              <w:t>Undersøkelser</w:t>
            </w:r>
          </w:p>
        </w:tc>
        <w:tc>
          <w:tcPr>
            <w:tcW w:w="1532" w:type="dxa"/>
          </w:tcPr>
          <w:p w14:paraId="03C90949" w14:textId="77777777" w:rsidR="004A07DC" w:rsidRPr="00A942F6" w:rsidRDefault="004A07DC" w:rsidP="00641834">
            <w:pPr>
              <w:pStyle w:val="TableParagraph"/>
              <w:rPr>
                <w:sz w:val="20"/>
                <w:szCs w:val="20"/>
                <w:lang w:val="nb-NO"/>
              </w:rPr>
            </w:pPr>
          </w:p>
        </w:tc>
        <w:tc>
          <w:tcPr>
            <w:tcW w:w="2268" w:type="dxa"/>
          </w:tcPr>
          <w:p w14:paraId="5275F26F" w14:textId="77777777" w:rsidR="004A07DC" w:rsidRPr="00A942F6" w:rsidRDefault="004A07DC" w:rsidP="00641834">
            <w:pPr>
              <w:pStyle w:val="TableParagraph"/>
              <w:rPr>
                <w:sz w:val="20"/>
                <w:szCs w:val="20"/>
                <w:lang w:val="nb-NO"/>
              </w:rPr>
            </w:pPr>
            <w:r w:rsidRPr="00A942F6">
              <w:rPr>
                <w:sz w:val="20"/>
                <w:szCs w:val="20"/>
                <w:lang w:val="nb-NO"/>
              </w:rPr>
              <w:t>Forhøyede hepatiske transaminaser, Vektøkning, Forhøyet</w:t>
            </w:r>
            <w:r w:rsidR="00300F7B" w:rsidRPr="00A942F6">
              <w:rPr>
                <w:sz w:val="20"/>
                <w:szCs w:val="20"/>
                <w:lang w:val="nb-NO"/>
              </w:rPr>
              <w:t xml:space="preserve"> </w:t>
            </w:r>
            <w:r w:rsidRPr="00A942F6">
              <w:rPr>
                <w:sz w:val="20"/>
                <w:szCs w:val="20"/>
                <w:lang w:val="nb-NO"/>
              </w:rPr>
              <w:t>total bilirubin*</w:t>
            </w:r>
          </w:p>
        </w:tc>
        <w:tc>
          <w:tcPr>
            <w:tcW w:w="1728" w:type="dxa"/>
          </w:tcPr>
          <w:p w14:paraId="11E28004" w14:textId="77777777" w:rsidR="004A07DC" w:rsidRPr="00A942F6" w:rsidRDefault="004A07DC" w:rsidP="00641834">
            <w:pPr>
              <w:pStyle w:val="TableParagraph"/>
              <w:rPr>
                <w:sz w:val="20"/>
                <w:szCs w:val="20"/>
                <w:lang w:val="nb-NO"/>
              </w:rPr>
            </w:pPr>
          </w:p>
        </w:tc>
        <w:tc>
          <w:tcPr>
            <w:tcW w:w="1559" w:type="dxa"/>
          </w:tcPr>
          <w:p w14:paraId="3955DE50" w14:textId="77777777" w:rsidR="004A07DC" w:rsidRPr="00A942F6" w:rsidRDefault="004A07DC" w:rsidP="00641834">
            <w:pPr>
              <w:pStyle w:val="TableParagraph"/>
              <w:rPr>
                <w:sz w:val="20"/>
                <w:szCs w:val="20"/>
                <w:lang w:val="nb-NO"/>
              </w:rPr>
            </w:pPr>
          </w:p>
        </w:tc>
      </w:tr>
    </w:tbl>
    <w:p w14:paraId="2DE02060" w14:textId="77777777" w:rsidR="004A07DC" w:rsidRPr="00A942F6" w:rsidRDefault="004A07DC" w:rsidP="00641834">
      <w:pPr>
        <w:rPr>
          <w:sz w:val="18"/>
          <w:szCs w:val="18"/>
          <w:lang w:val="nb-NO"/>
        </w:rPr>
      </w:pPr>
      <w:r w:rsidRPr="00A942F6">
        <w:rPr>
          <w:sz w:val="18"/>
          <w:szCs w:val="18"/>
          <w:lang w:val="nb-NO"/>
        </w:rPr>
        <w:t>* Inkluderer økte verdier ved rutinemessige laboratoriekontroller (se tekst under)</w:t>
      </w:r>
    </w:p>
    <w:p w14:paraId="0A46DB4B" w14:textId="77777777" w:rsidR="004A07DC" w:rsidRPr="00A942F6" w:rsidRDefault="004A07DC" w:rsidP="00641834">
      <w:pPr>
        <w:pStyle w:val="tablenote"/>
        <w:ind w:left="284" w:hanging="284"/>
        <w:rPr>
          <w:lang w:val="nb-NO"/>
        </w:rPr>
      </w:pPr>
      <w:r w:rsidRPr="00A942F6">
        <w:rPr>
          <w:lang w:val="nb-NO"/>
        </w:rPr>
        <w:t>Se pkt. 4.3</w:t>
      </w:r>
    </w:p>
    <w:p w14:paraId="5B578C9C" w14:textId="77777777" w:rsidR="004A07DC" w:rsidRPr="00A942F6" w:rsidRDefault="004A07DC" w:rsidP="00641834">
      <w:pPr>
        <w:pStyle w:val="tablenote"/>
        <w:ind w:left="284" w:hanging="284"/>
        <w:rPr>
          <w:lang w:val="nb-NO"/>
        </w:rPr>
      </w:pPr>
      <w:r w:rsidRPr="00A942F6">
        <w:rPr>
          <w:lang w:val="nb-NO"/>
        </w:rPr>
        <w:t>Se pkt. 4.4</w:t>
      </w:r>
    </w:p>
    <w:p w14:paraId="48BA17A2" w14:textId="77777777" w:rsidR="004A07DC" w:rsidRPr="00A942F6" w:rsidRDefault="004A07DC" w:rsidP="00641834">
      <w:pPr>
        <w:pStyle w:val="tablenote"/>
        <w:ind w:left="284" w:hanging="284"/>
        <w:rPr>
          <w:lang w:val="nb-NO"/>
        </w:rPr>
      </w:pPr>
      <w:r w:rsidRPr="00A942F6">
        <w:rPr>
          <w:lang w:val="nb-NO"/>
        </w:rPr>
        <w:lastRenderedPageBreak/>
        <w:t>Denne bivirkningen ble identifisert gjennom overvåkning etter markedsføring, men ikke observert i kontrollerte kliniske studier. Frekvenskategorien er anslått som den øvre grensen av 95% konfidensintervall, beregningen er basert på det totale antall pasienter som ble eksponert for tocilizumab i kliniske studier.</w:t>
      </w:r>
    </w:p>
    <w:p w14:paraId="26298F53" w14:textId="77777777" w:rsidR="004A07DC" w:rsidRPr="00A942F6" w:rsidRDefault="004A07DC" w:rsidP="00641834">
      <w:pPr>
        <w:rPr>
          <w:lang w:val="nb-NO"/>
        </w:rPr>
      </w:pPr>
    </w:p>
    <w:p w14:paraId="236C2517" w14:textId="77777777" w:rsidR="004A07DC" w:rsidRPr="00A942F6" w:rsidRDefault="004A07DC" w:rsidP="00641834">
      <w:pPr>
        <w:pStyle w:val="Style1Iitaic"/>
        <w:rPr>
          <w:lang w:val="nb-NO"/>
        </w:rPr>
      </w:pPr>
      <w:r w:rsidRPr="00A942F6">
        <w:rPr>
          <w:lang w:val="nb-NO"/>
        </w:rPr>
        <w:t>Infeksjoner</w:t>
      </w:r>
    </w:p>
    <w:p w14:paraId="06D7B734" w14:textId="6EB5F14E" w:rsidR="004A07DC" w:rsidRPr="00A942F6" w:rsidRDefault="004A07DC" w:rsidP="00641834">
      <w:pPr>
        <w:rPr>
          <w:lang w:val="nb-NO"/>
        </w:rPr>
      </w:pPr>
      <w:r w:rsidRPr="00A942F6">
        <w:rPr>
          <w:lang w:val="nb-NO"/>
        </w:rPr>
        <w:t>I de 6-måneders kontrollerte studiene var hyppigheten av rapporterte infeksjoner med tocilizumab 8</w:t>
      </w:r>
      <w:r w:rsidR="0018702F" w:rsidRPr="00A942F6">
        <w:rPr>
          <w:lang w:val="nb-NO"/>
        </w:rPr>
        <w:t> </w:t>
      </w:r>
      <w:r w:rsidRPr="00A942F6">
        <w:rPr>
          <w:lang w:val="nb-NO"/>
        </w:rPr>
        <w:t>mg/kg pluss DMARD-behandling 127 hendelser per 100 pasientår mot 112 hendelser per 100</w:t>
      </w:r>
      <w:r w:rsidR="0018702F" w:rsidRPr="00A942F6">
        <w:rPr>
          <w:lang w:val="nb-NO"/>
        </w:rPr>
        <w:t> </w:t>
      </w:r>
      <w:r w:rsidRPr="00A942F6">
        <w:rPr>
          <w:lang w:val="nb-NO"/>
        </w:rPr>
        <w:t xml:space="preserve">pasientår i gruppen som fikk placebo pluss DMARDs. I populasjonen med langtidseksponering var den totale hyppigheten av infeksjoner med </w:t>
      </w:r>
      <w:r w:rsidR="00B97FAC" w:rsidRPr="00A942F6">
        <w:rPr>
          <w:lang w:val="nb-NO"/>
        </w:rPr>
        <w:t>tocilizumab</w:t>
      </w:r>
      <w:r w:rsidRPr="00A942F6">
        <w:rPr>
          <w:lang w:val="nb-NO"/>
        </w:rPr>
        <w:t xml:space="preserve"> 108 hendelser per 100 pasientår.</w:t>
      </w:r>
    </w:p>
    <w:p w14:paraId="1C9C032F" w14:textId="77777777" w:rsidR="0018702F" w:rsidRPr="00A942F6" w:rsidRDefault="0018702F" w:rsidP="00641834">
      <w:pPr>
        <w:rPr>
          <w:lang w:val="nb-NO"/>
        </w:rPr>
      </w:pPr>
    </w:p>
    <w:p w14:paraId="2832EBE1" w14:textId="77777777" w:rsidR="004A07DC" w:rsidRPr="00A942F6" w:rsidRDefault="004A07DC" w:rsidP="00641834">
      <w:pPr>
        <w:rPr>
          <w:lang w:val="nb-NO"/>
        </w:rPr>
      </w:pPr>
      <w:r w:rsidRPr="00A942F6">
        <w:rPr>
          <w:lang w:val="nb-NO"/>
        </w:rPr>
        <w:t>I 6-måneders kontrollerte kliniske studier var hyppigheten av alvorlige infeksjoner med tocilizumab 8</w:t>
      </w:r>
      <w:r w:rsidR="0018702F" w:rsidRPr="00A942F6">
        <w:rPr>
          <w:lang w:val="nb-NO"/>
        </w:rPr>
        <w:t> </w:t>
      </w:r>
      <w:r w:rsidRPr="00A942F6">
        <w:rPr>
          <w:lang w:val="nb-NO"/>
        </w:rPr>
        <w:t>mg/kg pluss DMARDs 5,3 hendelser per 100 pasientår sammenlignet med 3,9 hendelser per 100</w:t>
      </w:r>
      <w:r w:rsidR="0018702F" w:rsidRPr="00A942F6">
        <w:rPr>
          <w:lang w:val="nb-NO"/>
        </w:rPr>
        <w:t> </w:t>
      </w:r>
      <w:r w:rsidRPr="00A942F6">
        <w:rPr>
          <w:lang w:val="nb-NO"/>
        </w:rPr>
        <w:t>pasientår i gruppen som fikk placebo pluss DMARDs. I monoterapistudien var hyppigheten av alvorlige infeksjoner 3,6 hendelser per 100 pasientår i gruppen som fikk tocilizumab og 1,5 hendelser per 100 pasientår i gruppen som fikk metotreksat.</w:t>
      </w:r>
    </w:p>
    <w:p w14:paraId="448FED5B" w14:textId="77777777" w:rsidR="0018702F" w:rsidRPr="00A942F6" w:rsidRDefault="0018702F" w:rsidP="00641834">
      <w:pPr>
        <w:rPr>
          <w:lang w:val="nb-NO"/>
        </w:rPr>
      </w:pPr>
    </w:p>
    <w:p w14:paraId="609194FF" w14:textId="77777777" w:rsidR="004A07DC" w:rsidRPr="00A942F6" w:rsidRDefault="004A07DC" w:rsidP="00641834">
      <w:pPr>
        <w:rPr>
          <w:lang w:val="nb-NO"/>
        </w:rPr>
      </w:pPr>
      <w:r w:rsidRPr="00A942F6">
        <w:rPr>
          <w:lang w:val="nb-NO"/>
        </w:rPr>
        <w:t>I populasjonen med langtidseksponering var den totale hyppigheten av alvorlige infeksjoner (bakterielle, virale og sopp) 4,7 hendelser per 100 pasientår. Rapporterte alvorlige infeksjoner, noen dødelige, inkluderte aktiv tuberkulose, som kunne utarte seg som intrapulmonal eller ekstrapulmonal sykdom, invasive pulmonale infeksjoner inkludert kandidiasis, aspergillose, koksidioidomykose og pneumosystisinfeksjon (pneumocystis jirovecii), pneumoni, cellulitt, herpes zoster, gastroenteritt, divertikulitt, sepsis og bakteriell artritt. Tilfeller av opportunistiske infeksjoner er rapportert.</w:t>
      </w:r>
    </w:p>
    <w:p w14:paraId="4C0DEBC7" w14:textId="77777777" w:rsidR="004A07DC" w:rsidRPr="00A942F6" w:rsidRDefault="004A07DC" w:rsidP="00641834">
      <w:pPr>
        <w:rPr>
          <w:lang w:val="nb-NO"/>
        </w:rPr>
      </w:pPr>
    </w:p>
    <w:p w14:paraId="4D1B15C5" w14:textId="77777777" w:rsidR="004A07DC" w:rsidRPr="00A942F6" w:rsidRDefault="004A07DC" w:rsidP="00641834">
      <w:pPr>
        <w:pStyle w:val="Style1Iitaic"/>
        <w:rPr>
          <w:lang w:val="nb-NO"/>
        </w:rPr>
      </w:pPr>
      <w:r w:rsidRPr="00A942F6">
        <w:rPr>
          <w:lang w:val="nb-NO"/>
        </w:rPr>
        <w:t>Interstitiell lungesykdom</w:t>
      </w:r>
    </w:p>
    <w:p w14:paraId="231F16A9" w14:textId="77777777" w:rsidR="004A07DC" w:rsidRPr="00A942F6" w:rsidRDefault="004A07DC" w:rsidP="00641834">
      <w:pPr>
        <w:rPr>
          <w:lang w:val="nb-NO"/>
        </w:rPr>
      </w:pPr>
      <w:r w:rsidRPr="00A942F6">
        <w:rPr>
          <w:lang w:val="nb-NO"/>
        </w:rPr>
        <w:t>Nedsatt lungefunksjon kan øke risikoen for å utvikle infeksjoner. Det har blitt rapportert tilfeller av interstitiell lungesykdom etter markedsføring (inkludert pneumonitt og pulmonal fibrose), hvor noen hadde dødelig utgang.</w:t>
      </w:r>
    </w:p>
    <w:p w14:paraId="7AB5210A" w14:textId="77777777" w:rsidR="0018702F" w:rsidRPr="00A942F6" w:rsidRDefault="0018702F" w:rsidP="00641834">
      <w:pPr>
        <w:pStyle w:val="Style1Iitaic"/>
        <w:rPr>
          <w:lang w:val="nb-NO"/>
        </w:rPr>
      </w:pPr>
    </w:p>
    <w:p w14:paraId="11C1800F" w14:textId="77777777" w:rsidR="004A07DC" w:rsidRPr="00A942F6" w:rsidRDefault="004A07DC" w:rsidP="00641834">
      <w:pPr>
        <w:pStyle w:val="Style1Iitaic"/>
        <w:rPr>
          <w:lang w:val="nb-NO"/>
        </w:rPr>
      </w:pPr>
      <w:r w:rsidRPr="00A942F6">
        <w:rPr>
          <w:lang w:val="nb-NO"/>
        </w:rPr>
        <w:t>Gastrointestinale perforasjoner</w:t>
      </w:r>
    </w:p>
    <w:p w14:paraId="475A8A01" w14:textId="77777777" w:rsidR="004A07DC" w:rsidRPr="00A942F6" w:rsidRDefault="004A07DC" w:rsidP="00641834">
      <w:pPr>
        <w:rPr>
          <w:lang w:val="nb-NO"/>
        </w:rPr>
      </w:pPr>
      <w:r w:rsidRPr="00A942F6">
        <w:rPr>
          <w:lang w:val="nb-NO"/>
        </w:rPr>
        <w:t>I løpet av de kontrollerte 6-måneders kliniske studiene var raten av gastrointestinale perforasjoner 0,26</w:t>
      </w:r>
      <w:r w:rsidR="002C204D" w:rsidRPr="00A942F6">
        <w:rPr>
          <w:lang w:val="nb-NO"/>
        </w:rPr>
        <w:t> </w:t>
      </w:r>
      <w:r w:rsidRPr="00A942F6">
        <w:rPr>
          <w:lang w:val="nb-NO"/>
        </w:rPr>
        <w:t>tilfeller per 100 pasientår med tocilizumabterapi. I populasjonen for langtidseksponering var den totale raten av gastrointestinale perforasjoner 0,28 tilfeller per 100 pasientår. Rapporter om gastrointestinale perforasjoner fra tocilizumab var primært rapportert som komplikasjoner av divertikulitt inkludert generalisert purulent peritonitt, nedre gastrointestinale perforasjoner, fistler og abscesser.</w:t>
      </w:r>
    </w:p>
    <w:p w14:paraId="776D17EF" w14:textId="77777777" w:rsidR="0018702F" w:rsidRPr="00A942F6" w:rsidRDefault="0018702F" w:rsidP="00641834">
      <w:pPr>
        <w:rPr>
          <w:lang w:val="nb-NO"/>
        </w:rPr>
      </w:pPr>
    </w:p>
    <w:p w14:paraId="2F3C2848" w14:textId="77777777" w:rsidR="004A07DC" w:rsidRPr="00A942F6" w:rsidRDefault="004A07DC" w:rsidP="00641834">
      <w:pPr>
        <w:pStyle w:val="Style1Iitaic"/>
        <w:rPr>
          <w:lang w:val="nb-NO"/>
        </w:rPr>
      </w:pPr>
      <w:r w:rsidRPr="00A942F6">
        <w:rPr>
          <w:lang w:val="nb-NO"/>
        </w:rPr>
        <w:t>Infusjonsrelaterte reaksjoner</w:t>
      </w:r>
    </w:p>
    <w:p w14:paraId="31E220C2" w14:textId="77777777" w:rsidR="004A07DC" w:rsidRPr="00A942F6" w:rsidRDefault="004A07DC" w:rsidP="00641834">
      <w:pPr>
        <w:rPr>
          <w:lang w:val="nb-NO"/>
        </w:rPr>
      </w:pPr>
      <w:r w:rsidRPr="00A942F6">
        <w:rPr>
          <w:lang w:val="nb-NO"/>
        </w:rPr>
        <w:t>I de 6-måneders kontrollerte studiene var bivirkninger forbundet med infusjon (utvalgte hendelser som oppstod i løpet av eller innen 24 timer etter infusjon) rapportert hos 6,9 % av pasientene i gruppen som fikk tocilizumab 8 mg/kg pluss DMARD og hos 5,1 % i gruppen som ble fikk placebo pluss DMARD. Hendelser rapportert i løpet av infusjonen var primært hypertensjon. Hendelser som ble rapportert innen 24 timer etter avsluttet infusjon var hodepine og hudreaksjoner (utslett, urtikaria). Disse hendelsene begrenset ikke behandlingen.</w:t>
      </w:r>
    </w:p>
    <w:p w14:paraId="4B0F7AB5" w14:textId="77777777" w:rsidR="004A07DC" w:rsidRPr="00A942F6" w:rsidRDefault="004A07DC" w:rsidP="00641834">
      <w:pPr>
        <w:rPr>
          <w:lang w:val="nb-NO"/>
        </w:rPr>
      </w:pPr>
    </w:p>
    <w:p w14:paraId="2BE34F7E" w14:textId="77777777" w:rsidR="004A07DC" w:rsidRPr="00A942F6" w:rsidRDefault="004A07DC" w:rsidP="00641834">
      <w:pPr>
        <w:rPr>
          <w:lang w:val="nb-NO"/>
        </w:rPr>
      </w:pPr>
      <w:r w:rsidRPr="00A942F6">
        <w:rPr>
          <w:lang w:val="nb-NO"/>
        </w:rPr>
        <w:t>Hyppigheten av anafylaktiske reaksjoner (oppstod hos totalt 8 av 4009 pasienter, 0,2 %) var flere ganger høyere med dosering 4 mg/kg enn med dosering 8 mg/kg. Klinisk signifikante hypersensitivitetsreaksjoner som var forbundet med tocilizumab, og som nødvendiggjorde behandlingsstans ble rapportert hos totalt 56 av 4009 pasienter (1,4 %) behandlet med tocilizumab i de kontrollerte og åpne, kliniske studiene. Disse reaksjonene ble hovedsaklig observert i løpet av andre til femte infusjon med tocilizumab (se pkt. 4.4). Etter markedsføring har fatal anafylaksi blitt rapportert under behandling med tocilizumab (se pkt. 4.4).</w:t>
      </w:r>
    </w:p>
    <w:p w14:paraId="3FFAECFB" w14:textId="77777777" w:rsidR="0018702F" w:rsidRPr="00A942F6" w:rsidRDefault="0018702F" w:rsidP="00641834">
      <w:pPr>
        <w:pStyle w:val="Style1Iitaic"/>
        <w:rPr>
          <w:lang w:val="nb-NO"/>
        </w:rPr>
      </w:pPr>
    </w:p>
    <w:p w14:paraId="186227DC" w14:textId="77777777" w:rsidR="004A07DC" w:rsidRPr="00A942F6" w:rsidRDefault="004A07DC" w:rsidP="00641834">
      <w:pPr>
        <w:pStyle w:val="Style1Iitaic"/>
        <w:rPr>
          <w:lang w:val="nb-NO"/>
        </w:rPr>
      </w:pPr>
      <w:r w:rsidRPr="00A942F6">
        <w:rPr>
          <w:lang w:val="nb-NO"/>
        </w:rPr>
        <w:t>Hematologiske forandringer:</w:t>
      </w:r>
    </w:p>
    <w:p w14:paraId="089FF220" w14:textId="77777777" w:rsidR="004A07DC" w:rsidRPr="00A942F6" w:rsidRDefault="004A07DC" w:rsidP="00641834">
      <w:pPr>
        <w:pStyle w:val="Style1Iitaic"/>
        <w:rPr>
          <w:lang w:val="nb-NO"/>
        </w:rPr>
      </w:pPr>
      <w:r w:rsidRPr="00A942F6">
        <w:rPr>
          <w:lang w:val="nb-NO"/>
        </w:rPr>
        <w:t>Nøytrofiler</w:t>
      </w:r>
    </w:p>
    <w:p w14:paraId="7B1868DF" w14:textId="3D8B862C" w:rsidR="004A07DC" w:rsidRPr="00A942F6" w:rsidRDefault="004A07DC" w:rsidP="00641834">
      <w:pPr>
        <w:rPr>
          <w:lang w:val="nb-NO"/>
        </w:rPr>
      </w:pPr>
      <w:r w:rsidRPr="00A942F6">
        <w:rPr>
          <w:lang w:val="nb-NO"/>
        </w:rPr>
        <w:t>I de 6-måneders kontrollerte studiene oppstod reduksjon i antall nøytrofile granulocytter &lt; 1 x 10</w:t>
      </w:r>
      <w:r w:rsidRPr="00A942F6">
        <w:rPr>
          <w:vertAlign w:val="superscript"/>
          <w:lang w:val="nb-NO"/>
        </w:rPr>
        <w:t>9</w:t>
      </w:r>
      <w:r w:rsidRPr="00A942F6">
        <w:rPr>
          <w:lang w:val="nb-NO"/>
        </w:rPr>
        <w:t>/l</w:t>
      </w:r>
      <w:r w:rsidR="002C204D" w:rsidRPr="00A942F6">
        <w:rPr>
          <w:lang w:val="nb-NO"/>
        </w:rPr>
        <w:t> </w:t>
      </w:r>
      <w:r w:rsidRPr="00A942F6">
        <w:rPr>
          <w:lang w:val="nb-NO"/>
        </w:rPr>
        <w:t>hos 3,4 % av pasientene som fikk tocilizumab 8 mg/kg pluss DMARDs sammenlignet med &lt;</w:t>
      </w:r>
      <w:r w:rsidR="00394415">
        <w:rPr>
          <w:lang w:val="nb-NO"/>
        </w:rPr>
        <w:t> </w:t>
      </w:r>
      <w:r w:rsidRPr="00A942F6">
        <w:rPr>
          <w:lang w:val="nb-NO"/>
        </w:rPr>
        <w:t>0,1 % av pasientene som fikk placebo pluss DMARDs. Omtrent halvparten av pasientene som utviklet ANC &lt; 1 x 10</w:t>
      </w:r>
      <w:r w:rsidRPr="00A942F6">
        <w:rPr>
          <w:vertAlign w:val="superscript"/>
          <w:lang w:val="nb-NO"/>
        </w:rPr>
        <w:t>9</w:t>
      </w:r>
      <w:r w:rsidRPr="00A942F6">
        <w:rPr>
          <w:lang w:val="nb-NO"/>
        </w:rPr>
        <w:t>/l gjorde det innen 8 uker etter terapistart. Reduksjon til &lt; 0,5 x 10</w:t>
      </w:r>
      <w:r w:rsidRPr="00A942F6">
        <w:rPr>
          <w:vertAlign w:val="superscript"/>
          <w:lang w:val="nb-NO"/>
        </w:rPr>
        <w:t>9</w:t>
      </w:r>
      <w:r w:rsidRPr="00A942F6">
        <w:rPr>
          <w:lang w:val="nb-NO"/>
        </w:rPr>
        <w:t xml:space="preserve">/l ble </w:t>
      </w:r>
      <w:r w:rsidRPr="00A942F6">
        <w:rPr>
          <w:lang w:val="nb-NO"/>
        </w:rPr>
        <w:lastRenderedPageBreak/>
        <w:t>rapportert hos 0,3 % av pasientene som fikk tocilizumab 8 mg/kg pluss DMARDs. Infeksjoner med nøytropeni har vært rapportert.</w:t>
      </w:r>
    </w:p>
    <w:p w14:paraId="727C3C81" w14:textId="77777777" w:rsidR="004A07DC" w:rsidRPr="00A942F6" w:rsidRDefault="004A07DC" w:rsidP="00641834">
      <w:pPr>
        <w:rPr>
          <w:lang w:val="nb-NO"/>
        </w:rPr>
      </w:pPr>
    </w:p>
    <w:p w14:paraId="232A06B1" w14:textId="77777777" w:rsidR="004A07DC" w:rsidRPr="00A942F6" w:rsidRDefault="004A07DC" w:rsidP="00641834">
      <w:pPr>
        <w:rPr>
          <w:lang w:val="nb-NO"/>
        </w:rPr>
      </w:pPr>
      <w:r w:rsidRPr="00A942F6">
        <w:rPr>
          <w:lang w:val="nb-NO"/>
        </w:rPr>
        <w:t>I løpet av den dobbeltblinde kontrollerte perioden og med langtidseksponering, var det tendens og tilfeller av reduksjon i antall nøytrofile som var konsekvent med det som var sett i den 6-måneders kontrollerte kliniske studien.</w:t>
      </w:r>
    </w:p>
    <w:p w14:paraId="1E4F8873" w14:textId="77777777" w:rsidR="004A07DC" w:rsidRPr="00A942F6" w:rsidRDefault="004A07DC" w:rsidP="00641834">
      <w:pPr>
        <w:rPr>
          <w:lang w:val="nb-NO"/>
        </w:rPr>
      </w:pPr>
    </w:p>
    <w:p w14:paraId="6C325694" w14:textId="77777777" w:rsidR="004A07DC" w:rsidRPr="00A942F6" w:rsidRDefault="004A07DC" w:rsidP="00641834">
      <w:pPr>
        <w:pStyle w:val="Style1Iitaic"/>
        <w:rPr>
          <w:lang w:val="nb-NO"/>
        </w:rPr>
      </w:pPr>
      <w:r w:rsidRPr="00A942F6">
        <w:rPr>
          <w:lang w:val="nb-NO"/>
        </w:rPr>
        <w:t>Blodplater</w:t>
      </w:r>
    </w:p>
    <w:p w14:paraId="62304B73" w14:textId="77777777" w:rsidR="004A07DC" w:rsidRPr="00A942F6" w:rsidRDefault="004A07DC" w:rsidP="00641834">
      <w:pPr>
        <w:rPr>
          <w:lang w:val="nb-NO"/>
        </w:rPr>
      </w:pPr>
      <w:r w:rsidRPr="00A942F6">
        <w:rPr>
          <w:lang w:val="nb-NO"/>
        </w:rPr>
        <w:t>I de 6-måneders kontrollerte studiene oppstod det reduksjon i platetall til &lt; 100 x 10</w:t>
      </w:r>
      <w:r w:rsidRPr="00A942F6">
        <w:rPr>
          <w:vertAlign w:val="superscript"/>
          <w:lang w:val="nb-NO"/>
        </w:rPr>
        <w:t>3</w:t>
      </w:r>
      <w:r w:rsidRPr="00A942F6">
        <w:rPr>
          <w:lang w:val="nb-NO"/>
        </w:rPr>
        <w:t>/µl hos 1,7 % av pasientene som fikk tocilizumab 8 mg/kg pluss DMARDs sammenlignet med &lt; 1 % av de som fikk placebo pluss DMARDs. Disse reduksjonene oppstod uten at blødninger ble rapportert.</w:t>
      </w:r>
    </w:p>
    <w:p w14:paraId="71CB52F7" w14:textId="77777777" w:rsidR="004A07DC" w:rsidRPr="00A942F6" w:rsidRDefault="004A07DC" w:rsidP="00641834">
      <w:pPr>
        <w:rPr>
          <w:lang w:val="nb-NO"/>
        </w:rPr>
      </w:pPr>
    </w:p>
    <w:p w14:paraId="203AC5EB" w14:textId="77777777" w:rsidR="004A07DC" w:rsidRPr="00A942F6" w:rsidRDefault="004A07DC" w:rsidP="00641834">
      <w:pPr>
        <w:rPr>
          <w:lang w:val="nb-NO"/>
        </w:rPr>
      </w:pPr>
      <w:r w:rsidRPr="00A942F6">
        <w:rPr>
          <w:lang w:val="nb-NO"/>
        </w:rPr>
        <w:t>I løpet av den dobbeltblinde kontrollerte perioden og med langtidseksponering, var det tendens og tilfeller av reduksjon i antall blodplater som var samsvarende med det som var sett i den 6-måneders klinisk kontrollerte studien.</w:t>
      </w:r>
    </w:p>
    <w:p w14:paraId="09C78956" w14:textId="77777777" w:rsidR="0018702F" w:rsidRPr="00A942F6" w:rsidRDefault="0018702F" w:rsidP="00641834">
      <w:pPr>
        <w:rPr>
          <w:lang w:val="nb-NO"/>
        </w:rPr>
      </w:pPr>
    </w:p>
    <w:p w14:paraId="46EC6E3A" w14:textId="77777777" w:rsidR="004A07DC" w:rsidRPr="00A942F6" w:rsidRDefault="004A07DC" w:rsidP="00641834">
      <w:pPr>
        <w:rPr>
          <w:lang w:val="nb-NO"/>
        </w:rPr>
      </w:pPr>
      <w:r w:rsidRPr="00A942F6">
        <w:rPr>
          <w:lang w:val="nb-NO"/>
        </w:rPr>
        <w:t>Svært sjeldne tilfeller av pancytopeni er rapportert etter markedsføring.</w:t>
      </w:r>
    </w:p>
    <w:p w14:paraId="774D7392" w14:textId="77777777" w:rsidR="004A07DC" w:rsidRPr="00A942F6" w:rsidRDefault="004A07DC" w:rsidP="00641834">
      <w:pPr>
        <w:rPr>
          <w:lang w:val="nb-NO"/>
        </w:rPr>
      </w:pPr>
    </w:p>
    <w:p w14:paraId="71579355" w14:textId="77777777" w:rsidR="004A07DC" w:rsidRPr="00A942F6" w:rsidRDefault="004A07DC" w:rsidP="00641834">
      <w:pPr>
        <w:pStyle w:val="Style1Iitaic"/>
        <w:rPr>
          <w:lang w:val="nb-NO"/>
        </w:rPr>
      </w:pPr>
      <w:r w:rsidRPr="00A942F6">
        <w:rPr>
          <w:lang w:val="nb-NO"/>
        </w:rPr>
        <w:t>Økning av hepatiske transaminaser</w:t>
      </w:r>
    </w:p>
    <w:p w14:paraId="18620423" w14:textId="05865943" w:rsidR="004A07DC" w:rsidRPr="00A942F6" w:rsidRDefault="004A07DC" w:rsidP="00394415">
      <w:pPr>
        <w:rPr>
          <w:lang w:val="nb-NO"/>
        </w:rPr>
      </w:pPr>
      <w:r w:rsidRPr="00A942F6">
        <w:rPr>
          <w:lang w:val="nb-NO"/>
        </w:rPr>
        <w:t>I løpet av de 6-måneders kontrollerte studiene oppstod det forbigående forhøyelser av ALAT/ASAT</w:t>
      </w:r>
      <w:r w:rsidR="00394415">
        <w:rPr>
          <w:lang w:val="nb-NO"/>
        </w:rPr>
        <w:t xml:space="preserve"> </w:t>
      </w:r>
      <w:r w:rsidRPr="00A942F6">
        <w:rPr>
          <w:lang w:val="nb-NO"/>
        </w:rPr>
        <w:t>&gt;</w:t>
      </w:r>
      <w:r w:rsidR="00394415">
        <w:rPr>
          <w:lang w:val="nb-NO"/>
        </w:rPr>
        <w:t> </w:t>
      </w:r>
      <w:r w:rsidRPr="00A942F6">
        <w:rPr>
          <w:lang w:val="nb-NO"/>
        </w:rPr>
        <w:t>3 x øvre normalverdi hos 2,1 % av pasientene som fikk tocilizumab 8 mg/kg mot 4,9 % av pasientene som fikk metotreksat og hos 6,5 % av pasientene som fikk tocilizumab 8 mg/kg pluss DMARDs mot 1,5 % av pasientene som fikk placebo pluss DMARDs.</w:t>
      </w:r>
    </w:p>
    <w:p w14:paraId="03456C1D" w14:textId="77777777" w:rsidR="0018702F" w:rsidRPr="00A942F6" w:rsidRDefault="0018702F" w:rsidP="00641834">
      <w:pPr>
        <w:rPr>
          <w:lang w:val="nb-NO"/>
        </w:rPr>
      </w:pPr>
    </w:p>
    <w:p w14:paraId="19514D42" w14:textId="475D5239" w:rsidR="004A07DC" w:rsidRPr="00A942F6" w:rsidRDefault="004A07DC" w:rsidP="00641834">
      <w:pPr>
        <w:rPr>
          <w:lang w:val="nb-NO"/>
        </w:rPr>
      </w:pPr>
      <w:r w:rsidRPr="00A942F6">
        <w:rPr>
          <w:lang w:val="nb-NO"/>
        </w:rPr>
        <w:t>Samtidig bruk av potensielt hepatotoksiske legemidler (f. eks. metotreksat) og tocilizumab resulterte i økt hyppighet av forhøyede leverenzymer. Forhøyelser av ALAT/ASAT &gt; 5 x øvre normalverdi ble observert hos 0,7 % av pasienter som fikk tocilizumab som monoterapi og hos 1,4 % av pasienter som fikk tocilizumab pluss DMARDs. For de fleste av disse ble behandlingen med tocilizumab permanent seponert. Insidens av indirekte bilirubinverdier over øvre normalgrense, påvist i rutineprøver, er 6,2 % hos pasienter behandlet med 8 mg/kg tocilizumab + DMARD i løpet av den dobbeltblinde kontrollperioden. En total på 5,8 % av pasientene fikk forhøyete verdier for indirekte bilirubin på &gt;</w:t>
      </w:r>
      <w:r w:rsidR="00FC1DF2">
        <w:rPr>
          <w:lang w:val="nb-NO"/>
        </w:rPr>
        <w:t> </w:t>
      </w:r>
      <w:r w:rsidRPr="00A942F6">
        <w:rPr>
          <w:lang w:val="nb-NO"/>
        </w:rPr>
        <w:t>1</w:t>
      </w:r>
      <w:r w:rsidR="002C204D" w:rsidRPr="00A942F6">
        <w:rPr>
          <w:lang w:val="nb-NO"/>
        </w:rPr>
        <w:t> </w:t>
      </w:r>
      <w:r w:rsidRPr="00A942F6">
        <w:rPr>
          <w:lang w:val="nb-NO"/>
        </w:rPr>
        <w:t>til 2 x ULN og 0,4 % hadde en økning på &gt; 2 x ULN.</w:t>
      </w:r>
    </w:p>
    <w:p w14:paraId="5F0DA3B6" w14:textId="77777777" w:rsidR="004A07DC" w:rsidRPr="00A942F6" w:rsidRDefault="004A07DC" w:rsidP="00641834">
      <w:pPr>
        <w:rPr>
          <w:lang w:val="nb-NO"/>
        </w:rPr>
      </w:pPr>
    </w:p>
    <w:p w14:paraId="294E5995" w14:textId="77777777" w:rsidR="004A07DC" w:rsidRPr="00A942F6" w:rsidRDefault="004A07DC" w:rsidP="00641834">
      <w:pPr>
        <w:rPr>
          <w:lang w:val="nb-NO"/>
        </w:rPr>
      </w:pPr>
      <w:r w:rsidRPr="00A942F6">
        <w:rPr>
          <w:lang w:val="nb-NO"/>
        </w:rPr>
        <w:t>I løpet av den dobbeltblinde kontrollerte perioden og med langtidseksponering, var det tendens og tilfeller av forhøyelser av ALAT/ASAT samsvarende med det som var sett i den 6-måneders klinisk kontrollerte studien.</w:t>
      </w:r>
    </w:p>
    <w:p w14:paraId="3DCF6226" w14:textId="77777777" w:rsidR="004A07DC" w:rsidRPr="00A942F6" w:rsidRDefault="004A07DC" w:rsidP="00641834">
      <w:pPr>
        <w:rPr>
          <w:lang w:val="nb-NO"/>
        </w:rPr>
      </w:pPr>
    </w:p>
    <w:p w14:paraId="57F52E69" w14:textId="77777777" w:rsidR="004A07DC" w:rsidRPr="00A942F6" w:rsidRDefault="004A07DC" w:rsidP="00641834">
      <w:pPr>
        <w:pStyle w:val="Style1Iitaic"/>
        <w:rPr>
          <w:lang w:val="nb-NO"/>
        </w:rPr>
      </w:pPr>
      <w:r w:rsidRPr="00A942F6">
        <w:rPr>
          <w:lang w:val="nb-NO"/>
        </w:rPr>
        <w:t>Lipidparametere</w:t>
      </w:r>
    </w:p>
    <w:p w14:paraId="74024D7B" w14:textId="7DCD9099" w:rsidR="004A07DC" w:rsidRPr="00A942F6" w:rsidRDefault="004A07DC" w:rsidP="00641834">
      <w:pPr>
        <w:rPr>
          <w:lang w:val="nb-NO"/>
        </w:rPr>
      </w:pPr>
      <w:r w:rsidRPr="00A942F6">
        <w:rPr>
          <w:lang w:val="nb-NO"/>
        </w:rPr>
        <w:t xml:space="preserve">I de kontrollerte 6-måneders studiene ble økning av lipidparametere som total kolesterol, triglycerider, LDL-kolesterol og/eller HDL-kolesterol ofte observert. Ved rutinemonitorering fikk ca 24 % av pasientene som fikk </w:t>
      </w:r>
      <w:r w:rsidR="00B97FAC" w:rsidRPr="00A942F6">
        <w:rPr>
          <w:lang w:val="nb-NO"/>
        </w:rPr>
        <w:t>tocilizumab</w:t>
      </w:r>
      <w:r w:rsidRPr="00A942F6">
        <w:rPr>
          <w:lang w:val="nb-NO"/>
        </w:rPr>
        <w:t xml:space="preserve"> i kliniske studier påvist vedvarende økning i total kolesterol </w:t>
      </w:r>
      <w:r w:rsidRPr="00A942F6">
        <w:rPr>
          <w:rFonts w:cs="Times New Roman"/>
          <w:lang w:val="nb-NO"/>
        </w:rPr>
        <w:t>≥</w:t>
      </w:r>
      <w:r w:rsidR="00FC1DF2">
        <w:rPr>
          <w:lang w:val="nb-NO"/>
        </w:rPr>
        <w:t> </w:t>
      </w:r>
      <w:r w:rsidRPr="00A942F6">
        <w:rPr>
          <w:lang w:val="nb-NO"/>
        </w:rPr>
        <w:t>6,2</w:t>
      </w:r>
      <w:r w:rsidR="0018702F" w:rsidRPr="00A942F6">
        <w:rPr>
          <w:lang w:val="nb-NO"/>
        </w:rPr>
        <w:t> </w:t>
      </w:r>
      <w:r w:rsidRPr="00A942F6">
        <w:rPr>
          <w:lang w:val="nb-NO"/>
        </w:rPr>
        <w:t xml:space="preserve">mmol/l, og 15 % opplevde en vedvarende økning i LDL til </w:t>
      </w:r>
      <w:r w:rsidR="00F4296C" w:rsidRPr="00A942F6">
        <w:rPr>
          <w:rFonts w:cs="Times New Roman"/>
          <w:lang w:val="nb-NO"/>
        </w:rPr>
        <w:t>≥</w:t>
      </w:r>
      <w:r w:rsidRPr="00A942F6">
        <w:rPr>
          <w:lang w:val="nb-NO"/>
        </w:rPr>
        <w:t xml:space="preserve"> 4,1 mmol/l. Forhøyede lipidparametre responderte på behandling med lipidsenkende legemidler.</w:t>
      </w:r>
    </w:p>
    <w:p w14:paraId="176351A3" w14:textId="77777777" w:rsidR="0018702F" w:rsidRPr="00A942F6" w:rsidRDefault="0018702F" w:rsidP="00641834">
      <w:pPr>
        <w:rPr>
          <w:lang w:val="nb-NO"/>
        </w:rPr>
      </w:pPr>
    </w:p>
    <w:p w14:paraId="583F87B2" w14:textId="77777777" w:rsidR="004A07DC" w:rsidRPr="00A942F6" w:rsidRDefault="004A07DC" w:rsidP="00641834">
      <w:pPr>
        <w:rPr>
          <w:lang w:val="nb-NO"/>
        </w:rPr>
      </w:pPr>
      <w:r w:rsidRPr="00A942F6">
        <w:rPr>
          <w:lang w:val="nb-NO"/>
        </w:rPr>
        <w:t>I løpet av den dobbeltblinde kontrollerte perioden og med langtidseksponering, var det tendens og tilfeller av økning i lipidparametrene som var samsvarende med det som var sett i den 6-måneders kontrollerte studien.</w:t>
      </w:r>
    </w:p>
    <w:p w14:paraId="18459B52" w14:textId="77777777" w:rsidR="004A07DC" w:rsidRPr="00A942F6" w:rsidRDefault="004A07DC" w:rsidP="00641834">
      <w:pPr>
        <w:rPr>
          <w:lang w:val="nb-NO"/>
        </w:rPr>
      </w:pPr>
    </w:p>
    <w:p w14:paraId="41646298" w14:textId="77777777" w:rsidR="004A07DC" w:rsidRPr="00A942F6" w:rsidRDefault="004A07DC" w:rsidP="00641834">
      <w:pPr>
        <w:pStyle w:val="Style1Iitaic"/>
        <w:rPr>
          <w:lang w:val="nb-NO"/>
        </w:rPr>
      </w:pPr>
      <w:r w:rsidRPr="00A942F6">
        <w:rPr>
          <w:lang w:val="nb-NO"/>
        </w:rPr>
        <w:t>Maligniteter</w:t>
      </w:r>
    </w:p>
    <w:p w14:paraId="432737D6" w14:textId="77777777" w:rsidR="004A07DC" w:rsidRPr="00A942F6" w:rsidRDefault="004A07DC" w:rsidP="00641834">
      <w:pPr>
        <w:rPr>
          <w:lang w:val="nb-NO"/>
        </w:rPr>
      </w:pPr>
      <w:r w:rsidRPr="00A942F6">
        <w:rPr>
          <w:lang w:val="nb-NO"/>
        </w:rPr>
        <w:t>De kliniske data er utilstrekkelige for å fastslå insidens av malign sykdom etter eksponering for tocilizumab. Langvarige sikkerhetsstudier pågår.</w:t>
      </w:r>
    </w:p>
    <w:p w14:paraId="5295E5AE" w14:textId="77777777" w:rsidR="004A07DC" w:rsidRPr="00A942F6" w:rsidRDefault="004A07DC" w:rsidP="00641834">
      <w:pPr>
        <w:rPr>
          <w:lang w:val="nb-NO"/>
        </w:rPr>
      </w:pPr>
    </w:p>
    <w:p w14:paraId="5B99355A" w14:textId="77777777" w:rsidR="004A07DC" w:rsidRPr="00A942F6" w:rsidRDefault="004A07DC" w:rsidP="00641834">
      <w:pPr>
        <w:pStyle w:val="Style1Iitaic"/>
        <w:rPr>
          <w:lang w:val="nb-NO"/>
        </w:rPr>
      </w:pPr>
      <w:r w:rsidRPr="00A942F6">
        <w:rPr>
          <w:lang w:val="nb-NO"/>
        </w:rPr>
        <w:t>Hudreaksjoner</w:t>
      </w:r>
    </w:p>
    <w:p w14:paraId="1FA0A22D" w14:textId="77777777" w:rsidR="004A07DC" w:rsidRPr="00A942F6" w:rsidRDefault="004A07DC" w:rsidP="00641834">
      <w:pPr>
        <w:rPr>
          <w:lang w:val="nb-NO"/>
        </w:rPr>
      </w:pPr>
      <w:r w:rsidRPr="00A942F6">
        <w:rPr>
          <w:lang w:val="nb-NO"/>
        </w:rPr>
        <w:t>Sjeldne tilfeller av Stevens-Johnsons syndrom er rapportert etter markedsføring.</w:t>
      </w:r>
    </w:p>
    <w:p w14:paraId="707A6213" w14:textId="77777777" w:rsidR="004A07DC" w:rsidRPr="00A942F6" w:rsidRDefault="004A07DC" w:rsidP="00641834">
      <w:pPr>
        <w:rPr>
          <w:lang w:val="nb-NO"/>
        </w:rPr>
      </w:pPr>
    </w:p>
    <w:p w14:paraId="221168EB" w14:textId="77777777" w:rsidR="004A07DC" w:rsidRPr="00A942F6" w:rsidRDefault="004A07DC" w:rsidP="00641834">
      <w:pPr>
        <w:pStyle w:val="Style1underline"/>
        <w:rPr>
          <w:lang w:val="nb-NO"/>
        </w:rPr>
      </w:pPr>
      <w:r w:rsidRPr="00A942F6">
        <w:rPr>
          <w:lang w:val="nb-NO"/>
        </w:rPr>
        <w:lastRenderedPageBreak/>
        <w:t>Pasienter med covid-19</w:t>
      </w:r>
    </w:p>
    <w:p w14:paraId="10F2B626" w14:textId="47A8C7EB" w:rsidR="004A07DC" w:rsidRPr="00A942F6" w:rsidRDefault="004A07DC" w:rsidP="00641834">
      <w:pPr>
        <w:rPr>
          <w:lang w:val="nb-NO"/>
        </w:rPr>
      </w:pPr>
      <w:r w:rsidRPr="00A942F6">
        <w:rPr>
          <w:lang w:val="nb-NO"/>
        </w:rPr>
        <w:t xml:space="preserve">Sikkerhetsevalueringen av </w:t>
      </w:r>
      <w:r w:rsidR="00B97FAC" w:rsidRPr="00A942F6">
        <w:rPr>
          <w:lang w:val="nb-NO"/>
        </w:rPr>
        <w:t>tocilizumab</w:t>
      </w:r>
      <w:r w:rsidRPr="00A942F6">
        <w:rPr>
          <w:lang w:val="nb-NO"/>
        </w:rPr>
        <w:t xml:space="preserve"> i covid-19 var basert på 3 randomiserte, dobbeltblindede, placebokontrollerte studier (studiene ML42528, WA42380 og WA42511). Totalt 974 pasienter ble eksponert til </w:t>
      </w:r>
      <w:r w:rsidR="00B97FAC" w:rsidRPr="00A942F6">
        <w:rPr>
          <w:lang w:val="nb-NO"/>
        </w:rPr>
        <w:t>tocilizumab</w:t>
      </w:r>
      <w:r w:rsidRPr="00A942F6">
        <w:rPr>
          <w:lang w:val="nb-NO"/>
        </w:rPr>
        <w:t xml:space="preserve"> i disse studiene. Innsamlingen av sikkerhetsdata fra RECOVERY-studien var begrenset og er ikke presentert her.</w:t>
      </w:r>
    </w:p>
    <w:p w14:paraId="4A427AD0" w14:textId="77777777" w:rsidR="0018702F" w:rsidRPr="00A942F6" w:rsidRDefault="0018702F" w:rsidP="00641834">
      <w:pPr>
        <w:rPr>
          <w:lang w:val="nb-NO"/>
        </w:rPr>
      </w:pPr>
    </w:p>
    <w:p w14:paraId="736E6170" w14:textId="310A6979" w:rsidR="004A07DC" w:rsidRPr="00A942F6" w:rsidRDefault="004A07DC" w:rsidP="00641834">
      <w:pPr>
        <w:rPr>
          <w:lang w:val="nb-NO"/>
        </w:rPr>
      </w:pPr>
      <w:r w:rsidRPr="00A942F6">
        <w:rPr>
          <w:lang w:val="nb-NO"/>
        </w:rPr>
        <w:t xml:space="preserve">Følgende bivirkninger, oppført etter MedDRA-organklassesystem i tabell 2, har blitt bedømt fra hendelser som oppsto i minst 3% av pasienter behandlet med </w:t>
      </w:r>
      <w:r w:rsidR="00B97FAC" w:rsidRPr="00A942F6">
        <w:rPr>
          <w:lang w:val="nb-NO"/>
        </w:rPr>
        <w:t>tocilizumab</w:t>
      </w:r>
      <w:r w:rsidRPr="00A942F6">
        <w:rPr>
          <w:lang w:val="nb-NO"/>
        </w:rPr>
        <w:t xml:space="preserve"> og var mer vanlig enn hos pasienter på placebo i den samlede sikkerhetsevaluerbare populasjonen fra kliniske studier ML42528, WA42380 og WA42511.</w:t>
      </w:r>
    </w:p>
    <w:p w14:paraId="6C9D0AC2" w14:textId="77777777" w:rsidR="004A07DC" w:rsidRPr="00A942F6" w:rsidRDefault="004A07DC" w:rsidP="00641834">
      <w:pPr>
        <w:rPr>
          <w:lang w:val="nb-NO"/>
        </w:rPr>
      </w:pPr>
    </w:p>
    <w:p w14:paraId="5FB2A518" w14:textId="777D1E65" w:rsidR="004A07DC" w:rsidRPr="00A942F6" w:rsidRDefault="004A07DC" w:rsidP="00641834">
      <w:pPr>
        <w:pStyle w:val="Style1Iitaic"/>
        <w:rPr>
          <w:lang w:val="nb-NO"/>
        </w:rPr>
      </w:pPr>
      <w:r w:rsidRPr="00A942F6">
        <w:rPr>
          <w:lang w:val="nb-NO"/>
        </w:rPr>
        <w:t>Tabell 2: Liste over bivirkninger</w:t>
      </w:r>
      <w:r w:rsidRPr="00A942F6">
        <w:rPr>
          <w:vertAlign w:val="superscript"/>
          <w:lang w:val="nb-NO"/>
        </w:rPr>
        <w:t>1</w:t>
      </w:r>
      <w:r w:rsidRPr="00A942F6">
        <w:rPr>
          <w:lang w:val="nb-NO"/>
        </w:rPr>
        <w:t xml:space="preserve"> identifisert fra den samlede sikkerhetsevaluerbare populasjonen fra </w:t>
      </w:r>
      <w:r w:rsidR="00B97FAC" w:rsidRPr="00A942F6">
        <w:rPr>
          <w:lang w:val="nb-NO"/>
        </w:rPr>
        <w:t>tocilizumab</w:t>
      </w:r>
      <w:r w:rsidRPr="00A942F6">
        <w:rPr>
          <w:lang w:val="nb-NO"/>
        </w:rPr>
        <w:t xml:space="preserve"> kliniske studier i covid-19-pasienter</w:t>
      </w:r>
      <w:r w:rsidRPr="00A942F6">
        <w:rPr>
          <w:vertAlign w:val="superscript"/>
          <w:lang w:val="nb-NO"/>
        </w:rPr>
        <w:t>2</w:t>
      </w:r>
    </w:p>
    <w:p w14:paraId="637463DB" w14:textId="77777777" w:rsidR="004A07DC" w:rsidRPr="00A942F6" w:rsidRDefault="004A07DC"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3367"/>
        <w:gridCol w:w="3369"/>
      </w:tblGrid>
      <w:tr w:rsidR="004A07DC" w:rsidRPr="00A942F6" w14:paraId="0876A851" w14:textId="77777777" w:rsidTr="00E1582A">
        <w:trPr>
          <w:cantSplit/>
          <w:trHeight w:val="20"/>
          <w:tblHeader/>
        </w:trPr>
        <w:tc>
          <w:tcPr>
            <w:tcW w:w="2443" w:type="dxa"/>
          </w:tcPr>
          <w:p w14:paraId="0327B61C" w14:textId="77777777" w:rsidR="004A07DC" w:rsidRPr="00A942F6" w:rsidRDefault="004A07DC" w:rsidP="00641834">
            <w:pPr>
              <w:pStyle w:val="TableParagraph"/>
              <w:rPr>
                <w:b/>
                <w:sz w:val="20"/>
                <w:szCs w:val="20"/>
                <w:lang w:val="nb-NO"/>
              </w:rPr>
            </w:pPr>
            <w:r w:rsidRPr="00A942F6">
              <w:rPr>
                <w:b/>
                <w:sz w:val="20"/>
                <w:szCs w:val="20"/>
                <w:lang w:val="nb-NO"/>
              </w:rPr>
              <w:t>MedDRA-</w:t>
            </w:r>
          </w:p>
          <w:p w14:paraId="2581F2B7" w14:textId="77777777" w:rsidR="004A07DC" w:rsidRPr="00A942F6" w:rsidRDefault="004A07DC" w:rsidP="00641834">
            <w:pPr>
              <w:pStyle w:val="TableParagraph"/>
              <w:rPr>
                <w:b/>
                <w:sz w:val="20"/>
                <w:szCs w:val="20"/>
                <w:lang w:val="nb-NO"/>
              </w:rPr>
            </w:pPr>
            <w:r w:rsidRPr="00A942F6">
              <w:rPr>
                <w:b/>
                <w:sz w:val="20"/>
                <w:szCs w:val="20"/>
                <w:lang w:val="nb-NO"/>
              </w:rPr>
              <w:t>organklassesystem</w:t>
            </w:r>
          </w:p>
        </w:tc>
        <w:tc>
          <w:tcPr>
            <w:tcW w:w="3367" w:type="dxa"/>
          </w:tcPr>
          <w:p w14:paraId="05492636" w14:textId="77777777" w:rsidR="004A07DC" w:rsidRPr="00A942F6" w:rsidRDefault="004A07DC" w:rsidP="00641834">
            <w:pPr>
              <w:pStyle w:val="TableParagraph"/>
              <w:rPr>
                <w:b/>
                <w:sz w:val="20"/>
                <w:szCs w:val="20"/>
                <w:lang w:val="nb-NO"/>
              </w:rPr>
            </w:pPr>
            <w:r w:rsidRPr="00A942F6">
              <w:rPr>
                <w:b/>
                <w:sz w:val="20"/>
                <w:szCs w:val="20"/>
                <w:lang w:val="nb-NO"/>
              </w:rPr>
              <w:t>Veldig vanlige</w:t>
            </w:r>
          </w:p>
        </w:tc>
        <w:tc>
          <w:tcPr>
            <w:tcW w:w="3369" w:type="dxa"/>
          </w:tcPr>
          <w:p w14:paraId="624B93EC" w14:textId="77777777" w:rsidR="004A07DC" w:rsidRPr="00A942F6" w:rsidRDefault="004A07DC" w:rsidP="00641834">
            <w:pPr>
              <w:pStyle w:val="TableParagraph"/>
              <w:jc w:val="center"/>
              <w:rPr>
                <w:b/>
                <w:sz w:val="20"/>
                <w:szCs w:val="20"/>
                <w:lang w:val="nb-NO"/>
              </w:rPr>
            </w:pPr>
            <w:r w:rsidRPr="00A942F6">
              <w:rPr>
                <w:b/>
                <w:sz w:val="20"/>
                <w:szCs w:val="20"/>
                <w:lang w:val="nb-NO"/>
              </w:rPr>
              <w:t>Vanlige</w:t>
            </w:r>
          </w:p>
        </w:tc>
      </w:tr>
      <w:tr w:rsidR="004A07DC" w:rsidRPr="00A942F6" w14:paraId="2E78B102" w14:textId="77777777" w:rsidTr="00E1582A">
        <w:trPr>
          <w:cantSplit/>
          <w:trHeight w:val="20"/>
        </w:trPr>
        <w:tc>
          <w:tcPr>
            <w:tcW w:w="2443" w:type="dxa"/>
          </w:tcPr>
          <w:p w14:paraId="4B23EE43" w14:textId="77777777" w:rsidR="004A07DC" w:rsidRPr="00A942F6" w:rsidRDefault="004A07DC" w:rsidP="00641834">
            <w:pPr>
              <w:pStyle w:val="TableParagraph"/>
              <w:rPr>
                <w:sz w:val="20"/>
                <w:szCs w:val="20"/>
                <w:lang w:val="nb-NO"/>
              </w:rPr>
            </w:pPr>
            <w:r w:rsidRPr="00A942F6">
              <w:rPr>
                <w:sz w:val="20"/>
                <w:szCs w:val="20"/>
                <w:lang w:val="nb-NO"/>
              </w:rPr>
              <w:t>Infeksiøse og parasittære</w:t>
            </w:r>
          </w:p>
          <w:p w14:paraId="3C785B14" w14:textId="77777777" w:rsidR="004A07DC" w:rsidRPr="00A942F6" w:rsidRDefault="004A07DC" w:rsidP="00641834">
            <w:pPr>
              <w:pStyle w:val="TableParagraph"/>
              <w:rPr>
                <w:sz w:val="20"/>
                <w:szCs w:val="20"/>
                <w:lang w:val="nb-NO"/>
              </w:rPr>
            </w:pPr>
            <w:r w:rsidRPr="00A942F6">
              <w:rPr>
                <w:sz w:val="20"/>
                <w:szCs w:val="20"/>
                <w:lang w:val="nb-NO"/>
              </w:rPr>
              <w:t>sykdommer</w:t>
            </w:r>
          </w:p>
        </w:tc>
        <w:tc>
          <w:tcPr>
            <w:tcW w:w="3367" w:type="dxa"/>
          </w:tcPr>
          <w:p w14:paraId="704AE6D4" w14:textId="77777777" w:rsidR="004A07DC" w:rsidRPr="00A942F6" w:rsidRDefault="004A07DC" w:rsidP="00641834">
            <w:pPr>
              <w:pStyle w:val="TableParagraph"/>
              <w:rPr>
                <w:sz w:val="20"/>
                <w:szCs w:val="20"/>
                <w:lang w:val="nb-NO"/>
              </w:rPr>
            </w:pPr>
          </w:p>
        </w:tc>
        <w:tc>
          <w:tcPr>
            <w:tcW w:w="3369" w:type="dxa"/>
          </w:tcPr>
          <w:p w14:paraId="048647AF" w14:textId="77777777" w:rsidR="004A07DC" w:rsidRPr="00A942F6" w:rsidRDefault="004A07DC" w:rsidP="00641834">
            <w:pPr>
              <w:pStyle w:val="TableParagraph"/>
              <w:rPr>
                <w:sz w:val="20"/>
                <w:szCs w:val="20"/>
                <w:lang w:val="nb-NO"/>
              </w:rPr>
            </w:pPr>
            <w:r w:rsidRPr="00A942F6">
              <w:rPr>
                <w:sz w:val="20"/>
                <w:szCs w:val="20"/>
                <w:lang w:val="nb-NO"/>
              </w:rPr>
              <w:t>Urinveisinfeksjon</w:t>
            </w:r>
          </w:p>
        </w:tc>
      </w:tr>
      <w:tr w:rsidR="004A07DC" w:rsidRPr="00A942F6" w14:paraId="5A9153D5" w14:textId="77777777" w:rsidTr="00E1582A">
        <w:trPr>
          <w:cantSplit/>
          <w:trHeight w:val="20"/>
        </w:trPr>
        <w:tc>
          <w:tcPr>
            <w:tcW w:w="2443" w:type="dxa"/>
          </w:tcPr>
          <w:p w14:paraId="672B688D" w14:textId="77777777" w:rsidR="004A07DC" w:rsidRPr="00A942F6" w:rsidRDefault="004A07DC" w:rsidP="00641834">
            <w:pPr>
              <w:pStyle w:val="TableParagraph"/>
              <w:rPr>
                <w:sz w:val="20"/>
                <w:szCs w:val="20"/>
                <w:lang w:val="nb-NO"/>
              </w:rPr>
            </w:pPr>
            <w:r w:rsidRPr="00A942F6">
              <w:rPr>
                <w:sz w:val="20"/>
                <w:szCs w:val="20"/>
                <w:lang w:val="nb-NO"/>
              </w:rPr>
              <w:t>Stoffskifte- og ernæringsbetingede</w:t>
            </w:r>
          </w:p>
          <w:p w14:paraId="0756C65D" w14:textId="77777777" w:rsidR="004A07DC" w:rsidRPr="00A942F6" w:rsidRDefault="004A07DC" w:rsidP="00641834">
            <w:pPr>
              <w:pStyle w:val="TableParagraph"/>
              <w:rPr>
                <w:sz w:val="20"/>
                <w:szCs w:val="20"/>
                <w:lang w:val="nb-NO"/>
              </w:rPr>
            </w:pPr>
            <w:r w:rsidRPr="00A942F6">
              <w:rPr>
                <w:sz w:val="20"/>
                <w:szCs w:val="20"/>
                <w:lang w:val="nb-NO"/>
              </w:rPr>
              <w:t>sykdommer</w:t>
            </w:r>
          </w:p>
        </w:tc>
        <w:tc>
          <w:tcPr>
            <w:tcW w:w="3367" w:type="dxa"/>
          </w:tcPr>
          <w:p w14:paraId="270488CC" w14:textId="77777777" w:rsidR="004A07DC" w:rsidRPr="00A942F6" w:rsidRDefault="004A07DC" w:rsidP="00641834">
            <w:pPr>
              <w:pStyle w:val="TableParagraph"/>
              <w:rPr>
                <w:sz w:val="20"/>
                <w:szCs w:val="20"/>
                <w:lang w:val="nb-NO"/>
              </w:rPr>
            </w:pPr>
          </w:p>
        </w:tc>
        <w:tc>
          <w:tcPr>
            <w:tcW w:w="3369" w:type="dxa"/>
          </w:tcPr>
          <w:p w14:paraId="7400B79F" w14:textId="77777777" w:rsidR="004A07DC" w:rsidRPr="00A942F6" w:rsidRDefault="004A07DC" w:rsidP="00641834">
            <w:pPr>
              <w:pStyle w:val="TableParagraph"/>
              <w:rPr>
                <w:sz w:val="20"/>
                <w:szCs w:val="20"/>
                <w:lang w:val="nb-NO"/>
              </w:rPr>
            </w:pPr>
            <w:r w:rsidRPr="00A942F6">
              <w:rPr>
                <w:sz w:val="20"/>
                <w:szCs w:val="20"/>
                <w:lang w:val="nb-NO"/>
              </w:rPr>
              <w:t>Hypokalemi</w:t>
            </w:r>
          </w:p>
        </w:tc>
      </w:tr>
      <w:tr w:rsidR="004A07DC" w:rsidRPr="00A942F6" w14:paraId="38F1D669" w14:textId="77777777" w:rsidTr="00E1582A">
        <w:trPr>
          <w:cantSplit/>
          <w:trHeight w:val="20"/>
        </w:trPr>
        <w:tc>
          <w:tcPr>
            <w:tcW w:w="2443" w:type="dxa"/>
          </w:tcPr>
          <w:p w14:paraId="144A0300" w14:textId="77777777" w:rsidR="004A07DC" w:rsidRPr="00A942F6" w:rsidRDefault="004A07DC" w:rsidP="00641834">
            <w:pPr>
              <w:pStyle w:val="TableParagraph"/>
              <w:rPr>
                <w:sz w:val="20"/>
                <w:szCs w:val="20"/>
                <w:lang w:val="nb-NO"/>
              </w:rPr>
            </w:pPr>
            <w:r w:rsidRPr="00A942F6">
              <w:rPr>
                <w:sz w:val="20"/>
                <w:szCs w:val="20"/>
                <w:lang w:val="nb-NO"/>
              </w:rPr>
              <w:t>Psykiatriske lidelser</w:t>
            </w:r>
          </w:p>
        </w:tc>
        <w:tc>
          <w:tcPr>
            <w:tcW w:w="3367" w:type="dxa"/>
          </w:tcPr>
          <w:p w14:paraId="7661CAB3" w14:textId="77777777" w:rsidR="004A07DC" w:rsidRPr="00A942F6" w:rsidRDefault="004A07DC" w:rsidP="00641834">
            <w:pPr>
              <w:pStyle w:val="TableParagraph"/>
              <w:rPr>
                <w:sz w:val="20"/>
                <w:szCs w:val="20"/>
                <w:lang w:val="nb-NO"/>
              </w:rPr>
            </w:pPr>
          </w:p>
        </w:tc>
        <w:tc>
          <w:tcPr>
            <w:tcW w:w="3369" w:type="dxa"/>
          </w:tcPr>
          <w:p w14:paraId="20AA1B9B" w14:textId="77777777" w:rsidR="004A07DC" w:rsidRPr="00A942F6" w:rsidRDefault="004A07DC" w:rsidP="00641834">
            <w:pPr>
              <w:pStyle w:val="TableParagraph"/>
              <w:rPr>
                <w:sz w:val="20"/>
                <w:szCs w:val="20"/>
                <w:lang w:val="nb-NO"/>
              </w:rPr>
            </w:pPr>
            <w:r w:rsidRPr="00A942F6">
              <w:rPr>
                <w:sz w:val="20"/>
                <w:szCs w:val="20"/>
                <w:lang w:val="nb-NO"/>
              </w:rPr>
              <w:t>Angst, Insomni</w:t>
            </w:r>
          </w:p>
        </w:tc>
      </w:tr>
      <w:tr w:rsidR="004A07DC" w:rsidRPr="00A942F6" w14:paraId="112405FF" w14:textId="77777777" w:rsidTr="00E1582A">
        <w:trPr>
          <w:cantSplit/>
          <w:trHeight w:val="20"/>
        </w:trPr>
        <w:tc>
          <w:tcPr>
            <w:tcW w:w="2443" w:type="dxa"/>
          </w:tcPr>
          <w:p w14:paraId="30BB5077" w14:textId="77777777" w:rsidR="004A07DC" w:rsidRPr="00A942F6" w:rsidRDefault="004A07DC" w:rsidP="00641834">
            <w:pPr>
              <w:pStyle w:val="TableParagraph"/>
              <w:rPr>
                <w:sz w:val="20"/>
                <w:szCs w:val="20"/>
                <w:lang w:val="nb-NO"/>
              </w:rPr>
            </w:pPr>
            <w:r w:rsidRPr="00A942F6">
              <w:rPr>
                <w:sz w:val="20"/>
                <w:szCs w:val="20"/>
                <w:lang w:val="nb-NO"/>
              </w:rPr>
              <w:t>Karsykdommer</w:t>
            </w:r>
          </w:p>
        </w:tc>
        <w:tc>
          <w:tcPr>
            <w:tcW w:w="3367" w:type="dxa"/>
          </w:tcPr>
          <w:p w14:paraId="1D0AA24D" w14:textId="77777777" w:rsidR="004A07DC" w:rsidRPr="00A942F6" w:rsidRDefault="004A07DC" w:rsidP="00641834">
            <w:pPr>
              <w:pStyle w:val="TableParagraph"/>
              <w:rPr>
                <w:sz w:val="20"/>
                <w:szCs w:val="20"/>
                <w:lang w:val="nb-NO"/>
              </w:rPr>
            </w:pPr>
          </w:p>
        </w:tc>
        <w:tc>
          <w:tcPr>
            <w:tcW w:w="3369" w:type="dxa"/>
          </w:tcPr>
          <w:p w14:paraId="3C0118DF" w14:textId="77777777" w:rsidR="004A07DC" w:rsidRPr="00A942F6" w:rsidRDefault="004A07DC" w:rsidP="00641834">
            <w:pPr>
              <w:pStyle w:val="TableParagraph"/>
              <w:rPr>
                <w:sz w:val="20"/>
                <w:szCs w:val="20"/>
                <w:lang w:val="nb-NO"/>
              </w:rPr>
            </w:pPr>
            <w:r w:rsidRPr="00A942F6">
              <w:rPr>
                <w:sz w:val="20"/>
                <w:szCs w:val="20"/>
                <w:lang w:val="nb-NO"/>
              </w:rPr>
              <w:t>Hypertensjon</w:t>
            </w:r>
          </w:p>
        </w:tc>
      </w:tr>
      <w:tr w:rsidR="004A07DC" w:rsidRPr="00A942F6" w14:paraId="3A5815B1" w14:textId="77777777" w:rsidTr="00E1582A">
        <w:trPr>
          <w:cantSplit/>
          <w:trHeight w:val="20"/>
        </w:trPr>
        <w:tc>
          <w:tcPr>
            <w:tcW w:w="2443" w:type="dxa"/>
          </w:tcPr>
          <w:p w14:paraId="2E06B917" w14:textId="77777777" w:rsidR="004A07DC" w:rsidRPr="00A942F6" w:rsidRDefault="004A07DC" w:rsidP="00641834">
            <w:pPr>
              <w:pStyle w:val="TableParagraph"/>
              <w:rPr>
                <w:sz w:val="20"/>
                <w:szCs w:val="20"/>
                <w:lang w:val="nb-NO"/>
              </w:rPr>
            </w:pPr>
            <w:r w:rsidRPr="00A942F6">
              <w:rPr>
                <w:sz w:val="20"/>
                <w:szCs w:val="20"/>
                <w:lang w:val="nb-NO"/>
              </w:rPr>
              <w:t>Gastrointestinale sykdommer</w:t>
            </w:r>
          </w:p>
        </w:tc>
        <w:tc>
          <w:tcPr>
            <w:tcW w:w="3367" w:type="dxa"/>
          </w:tcPr>
          <w:p w14:paraId="52F77CB3" w14:textId="77777777" w:rsidR="004A07DC" w:rsidRPr="00A942F6" w:rsidRDefault="004A07DC" w:rsidP="00641834">
            <w:pPr>
              <w:pStyle w:val="TableParagraph"/>
              <w:rPr>
                <w:sz w:val="20"/>
                <w:szCs w:val="20"/>
                <w:lang w:val="nb-NO"/>
              </w:rPr>
            </w:pPr>
          </w:p>
        </w:tc>
        <w:tc>
          <w:tcPr>
            <w:tcW w:w="3369" w:type="dxa"/>
          </w:tcPr>
          <w:p w14:paraId="7B77B498" w14:textId="77777777" w:rsidR="004A07DC" w:rsidRPr="00A942F6" w:rsidRDefault="004A07DC" w:rsidP="00641834">
            <w:pPr>
              <w:pStyle w:val="TableParagraph"/>
              <w:rPr>
                <w:sz w:val="20"/>
                <w:szCs w:val="20"/>
                <w:lang w:val="nb-NO"/>
              </w:rPr>
            </w:pPr>
            <w:r w:rsidRPr="00A942F6">
              <w:rPr>
                <w:sz w:val="20"/>
                <w:szCs w:val="20"/>
                <w:lang w:val="nb-NO"/>
              </w:rPr>
              <w:t>Forstoppelse, Diaré, Kvalme</w:t>
            </w:r>
          </w:p>
        </w:tc>
      </w:tr>
      <w:tr w:rsidR="004A07DC" w:rsidRPr="00A942F6" w14:paraId="1310847E" w14:textId="77777777" w:rsidTr="00E1582A">
        <w:trPr>
          <w:cantSplit/>
          <w:trHeight w:val="20"/>
        </w:trPr>
        <w:tc>
          <w:tcPr>
            <w:tcW w:w="2443" w:type="dxa"/>
          </w:tcPr>
          <w:p w14:paraId="6045057C" w14:textId="77777777" w:rsidR="004A07DC" w:rsidRPr="00A942F6" w:rsidRDefault="004A07DC" w:rsidP="00641834">
            <w:pPr>
              <w:pStyle w:val="TableParagraph"/>
              <w:rPr>
                <w:sz w:val="20"/>
                <w:szCs w:val="20"/>
                <w:lang w:val="nb-NO"/>
              </w:rPr>
            </w:pPr>
            <w:r w:rsidRPr="00A942F6">
              <w:rPr>
                <w:sz w:val="20"/>
                <w:szCs w:val="20"/>
                <w:lang w:val="nb-NO"/>
              </w:rPr>
              <w:t>Sykdommer i lever og</w:t>
            </w:r>
          </w:p>
          <w:p w14:paraId="52F04C40" w14:textId="77777777" w:rsidR="004A07DC" w:rsidRPr="00A942F6" w:rsidRDefault="004A07DC" w:rsidP="00641834">
            <w:pPr>
              <w:pStyle w:val="TableParagraph"/>
              <w:rPr>
                <w:sz w:val="20"/>
                <w:szCs w:val="20"/>
                <w:lang w:val="nb-NO"/>
              </w:rPr>
            </w:pPr>
            <w:r w:rsidRPr="00A942F6">
              <w:rPr>
                <w:sz w:val="20"/>
                <w:szCs w:val="20"/>
                <w:lang w:val="nb-NO"/>
              </w:rPr>
              <w:t>galleveier</w:t>
            </w:r>
          </w:p>
        </w:tc>
        <w:tc>
          <w:tcPr>
            <w:tcW w:w="3367" w:type="dxa"/>
          </w:tcPr>
          <w:p w14:paraId="67AA03CC" w14:textId="77777777" w:rsidR="004A07DC" w:rsidRPr="00A942F6" w:rsidRDefault="004A07DC" w:rsidP="00641834">
            <w:pPr>
              <w:pStyle w:val="TableParagraph"/>
              <w:rPr>
                <w:sz w:val="20"/>
                <w:szCs w:val="20"/>
                <w:lang w:val="nb-NO"/>
              </w:rPr>
            </w:pPr>
          </w:p>
        </w:tc>
        <w:tc>
          <w:tcPr>
            <w:tcW w:w="3369" w:type="dxa"/>
          </w:tcPr>
          <w:p w14:paraId="00608D11" w14:textId="77777777" w:rsidR="004A07DC" w:rsidRPr="00A942F6" w:rsidRDefault="004A07DC" w:rsidP="00641834">
            <w:pPr>
              <w:pStyle w:val="TableParagraph"/>
              <w:rPr>
                <w:sz w:val="20"/>
                <w:szCs w:val="20"/>
                <w:lang w:val="nb-NO"/>
              </w:rPr>
            </w:pPr>
            <w:r w:rsidRPr="00A942F6">
              <w:rPr>
                <w:sz w:val="20"/>
                <w:szCs w:val="20"/>
                <w:lang w:val="nb-NO"/>
              </w:rPr>
              <w:t>Forhøyede hepatiske transaminaser</w:t>
            </w:r>
          </w:p>
        </w:tc>
      </w:tr>
    </w:tbl>
    <w:p w14:paraId="7BB79BE8" w14:textId="77777777" w:rsidR="004A07DC" w:rsidRPr="00A942F6" w:rsidRDefault="004A07DC" w:rsidP="00641834">
      <w:pPr>
        <w:pStyle w:val="tablenote"/>
        <w:numPr>
          <w:ilvl w:val="0"/>
          <w:numId w:val="2"/>
        </w:numPr>
        <w:ind w:left="284" w:hanging="284"/>
        <w:rPr>
          <w:lang w:val="nb-NO"/>
        </w:rPr>
      </w:pPr>
      <w:r w:rsidRPr="00A942F6">
        <w:rPr>
          <w:lang w:val="nb-NO"/>
        </w:rPr>
        <w:t>Pasienter telles én gang for hver kategori uavhengig av antall reaksjoner</w:t>
      </w:r>
    </w:p>
    <w:p w14:paraId="4DE4FC16" w14:textId="77777777" w:rsidR="004A07DC" w:rsidRPr="00A942F6" w:rsidRDefault="004A07DC" w:rsidP="00641834">
      <w:pPr>
        <w:pStyle w:val="tablenote"/>
        <w:numPr>
          <w:ilvl w:val="0"/>
          <w:numId w:val="15"/>
        </w:numPr>
        <w:ind w:left="284" w:hanging="284"/>
        <w:rPr>
          <w:lang w:val="nb-NO"/>
        </w:rPr>
      </w:pPr>
      <w:r w:rsidRPr="00A942F6">
        <w:rPr>
          <w:lang w:val="nb-NO"/>
        </w:rPr>
        <w:t>Inkluderer bedømte reaksjoner rapportert i studiene WA42511, WA42380 og ML42528</w:t>
      </w:r>
    </w:p>
    <w:p w14:paraId="64A7BE1E" w14:textId="77777777" w:rsidR="004A07DC" w:rsidRPr="00A942F6" w:rsidRDefault="004A07DC" w:rsidP="00641834">
      <w:pPr>
        <w:rPr>
          <w:lang w:val="nb-NO"/>
        </w:rPr>
      </w:pPr>
    </w:p>
    <w:p w14:paraId="123574D8" w14:textId="77777777" w:rsidR="004A07DC" w:rsidRPr="00A942F6" w:rsidRDefault="004A07DC" w:rsidP="00641834">
      <w:pPr>
        <w:pStyle w:val="Style1underline"/>
        <w:rPr>
          <w:lang w:val="nb-NO"/>
        </w:rPr>
      </w:pPr>
      <w:r w:rsidRPr="00A942F6">
        <w:rPr>
          <w:lang w:val="nb-NO"/>
        </w:rPr>
        <w:t>Beskrivelse av utvalgte bivirkninger</w:t>
      </w:r>
    </w:p>
    <w:p w14:paraId="27D0442F" w14:textId="77777777" w:rsidR="001C5137" w:rsidRPr="00A942F6" w:rsidRDefault="001C5137" w:rsidP="00641834">
      <w:pPr>
        <w:rPr>
          <w:lang w:val="nb-NO"/>
        </w:rPr>
      </w:pPr>
    </w:p>
    <w:p w14:paraId="7BD47E03" w14:textId="77777777" w:rsidR="004A07DC" w:rsidRPr="00A942F6" w:rsidRDefault="004A07DC" w:rsidP="00641834">
      <w:pPr>
        <w:pStyle w:val="Style1itaicunderline"/>
        <w:rPr>
          <w:lang w:val="nb-NO"/>
        </w:rPr>
      </w:pPr>
      <w:r w:rsidRPr="00A942F6">
        <w:rPr>
          <w:lang w:val="nb-NO"/>
        </w:rPr>
        <w:t>Infeksjoner</w:t>
      </w:r>
    </w:p>
    <w:p w14:paraId="21F3291C" w14:textId="77777777" w:rsidR="004A07DC" w:rsidRPr="00A942F6" w:rsidRDefault="004A07DC" w:rsidP="00641834">
      <w:pPr>
        <w:rPr>
          <w:lang w:val="nb-NO"/>
        </w:rPr>
      </w:pPr>
      <w:r w:rsidRPr="00A942F6">
        <w:rPr>
          <w:lang w:val="nb-NO"/>
        </w:rPr>
        <w:t>I den samlede sikkerhetsevaluerbare populasjonen fra studiene ML42528, WA42380 og WA42511, var frekvensen av infeksjon/alvorlig infeksjonshendelse balansert mellom covid-19-pasienter som fikk tocilizumab (30,3 %/18,6 %, n = 974) versus placebo (32,1 %/22,8 %, n = 483).</w:t>
      </w:r>
    </w:p>
    <w:p w14:paraId="087CDFEE" w14:textId="77777777" w:rsidR="004A07DC" w:rsidRPr="00A942F6" w:rsidRDefault="004A07DC" w:rsidP="00641834">
      <w:pPr>
        <w:rPr>
          <w:lang w:val="nb-NO"/>
        </w:rPr>
      </w:pPr>
    </w:p>
    <w:p w14:paraId="39A76F40" w14:textId="77777777" w:rsidR="004A07DC" w:rsidRPr="00A942F6" w:rsidRDefault="004A07DC" w:rsidP="00641834">
      <w:pPr>
        <w:rPr>
          <w:lang w:val="nb-NO"/>
        </w:rPr>
      </w:pPr>
      <w:r w:rsidRPr="00A942F6">
        <w:rPr>
          <w:lang w:val="nb-NO"/>
        </w:rPr>
        <w:t>Sikkerhetsprofilen observert i behandlingsgruppen for systemiske kortikosteroider ved baseline var i samsvar med sikkerhetsprofilen til tocilizumab fra den totale populasjonen presentert i tabell 2. I denne undergruppen oppsto infeksjoner og alvorlige infeksjoner hos henholdsvis 27,8 % og 18,1 % av pasientene behandlet med intravenøs tocilizumab og henholdsvis 30,5 % og 22,9 % av pasientene behandlet med placebo.</w:t>
      </w:r>
    </w:p>
    <w:p w14:paraId="6763B028" w14:textId="77777777" w:rsidR="004A07DC" w:rsidRPr="00A942F6" w:rsidRDefault="004A07DC" w:rsidP="00641834">
      <w:pPr>
        <w:rPr>
          <w:lang w:val="nb-NO"/>
        </w:rPr>
      </w:pPr>
    </w:p>
    <w:p w14:paraId="7669DA6D" w14:textId="77777777" w:rsidR="004A07DC" w:rsidRPr="00A942F6" w:rsidRDefault="004A07DC" w:rsidP="00641834">
      <w:pPr>
        <w:pStyle w:val="Style1itaicunderline"/>
        <w:rPr>
          <w:lang w:val="nb-NO"/>
        </w:rPr>
      </w:pPr>
      <w:r w:rsidRPr="00A942F6">
        <w:rPr>
          <w:lang w:val="nb-NO"/>
        </w:rPr>
        <w:t>Unormale laboratorieprøver</w:t>
      </w:r>
    </w:p>
    <w:p w14:paraId="55ED7704" w14:textId="33B0ACB2" w:rsidR="004A07DC" w:rsidRPr="00A942F6" w:rsidRDefault="004A07DC" w:rsidP="00641834">
      <w:pPr>
        <w:rPr>
          <w:lang w:val="nb-NO"/>
        </w:rPr>
      </w:pPr>
      <w:r w:rsidRPr="00A942F6">
        <w:rPr>
          <w:lang w:val="nb-NO"/>
        </w:rPr>
        <w:t xml:space="preserve">Forekomsten av unormale laboratorieprøver var generelt likt mellom pasienter med covid-19 som fikk én eller to doser av intravenøs </w:t>
      </w:r>
      <w:r w:rsidR="00B97FAC" w:rsidRPr="00A942F6">
        <w:rPr>
          <w:lang w:val="nb-NO"/>
        </w:rPr>
        <w:t>tocilizumab</w:t>
      </w:r>
      <w:r w:rsidRPr="00A942F6">
        <w:rPr>
          <w:lang w:val="nb-NO"/>
        </w:rPr>
        <w:t xml:space="preserve"> sammenlignet med de som fikk placebo i de randomiserte, dobbeltblindede, placebokontrollerte studiene med få unntak. Nedgang i trombocytter og nøytrofile granulocytter og økning av ALAT og ASAT var hyppigere blant pasienter som fikk intravenøs </w:t>
      </w:r>
      <w:r w:rsidR="00B97FAC" w:rsidRPr="00A942F6">
        <w:rPr>
          <w:lang w:val="nb-NO"/>
        </w:rPr>
        <w:t>tocilizumab</w:t>
      </w:r>
      <w:r w:rsidRPr="00A942F6">
        <w:rPr>
          <w:lang w:val="nb-NO"/>
        </w:rPr>
        <w:t xml:space="preserve"> versus placebo (se pkt. 4.2 og 4.4).</w:t>
      </w:r>
    </w:p>
    <w:p w14:paraId="11FBB231" w14:textId="77777777" w:rsidR="004A07DC" w:rsidRPr="00A942F6" w:rsidRDefault="004A07DC" w:rsidP="00641834">
      <w:pPr>
        <w:rPr>
          <w:lang w:val="nb-NO"/>
        </w:rPr>
      </w:pPr>
    </w:p>
    <w:p w14:paraId="7FEFBE30" w14:textId="77777777" w:rsidR="004A07DC" w:rsidRPr="00A942F6" w:rsidRDefault="004A07DC" w:rsidP="00641834">
      <w:pPr>
        <w:pStyle w:val="Style1underline"/>
        <w:rPr>
          <w:lang w:val="nb-NO"/>
        </w:rPr>
      </w:pPr>
      <w:r w:rsidRPr="00A942F6">
        <w:rPr>
          <w:lang w:val="nb-NO"/>
        </w:rPr>
        <w:t>sJIA- og pJIApasienter</w:t>
      </w:r>
    </w:p>
    <w:p w14:paraId="2B604714" w14:textId="77777777" w:rsidR="004A07DC" w:rsidRPr="00A942F6" w:rsidRDefault="004A07DC" w:rsidP="00641834">
      <w:pPr>
        <w:rPr>
          <w:lang w:val="nb-NO"/>
        </w:rPr>
      </w:pPr>
    </w:p>
    <w:p w14:paraId="279385B0" w14:textId="77777777" w:rsidR="004A07DC" w:rsidRPr="00A942F6" w:rsidRDefault="004A07DC" w:rsidP="00641834">
      <w:pPr>
        <w:rPr>
          <w:lang w:val="nb-NO"/>
        </w:rPr>
      </w:pPr>
      <w:r w:rsidRPr="00A942F6">
        <w:rPr>
          <w:lang w:val="nb-NO"/>
        </w:rPr>
        <w:t>Sikkerhetsprofilen for tocilizumab i den pediatriske populasjonen er oppsummert i punktene for pJIA og sJIA under. Generelt er bivirkninger ved bruk hos pJIA- og sJIA-pasienter like de som er sett hos RA-pasienter, se pkt. 4.8.</w:t>
      </w:r>
    </w:p>
    <w:p w14:paraId="617C65FC" w14:textId="77777777" w:rsidR="001C5137" w:rsidRPr="00A942F6" w:rsidRDefault="001C5137" w:rsidP="00641834">
      <w:pPr>
        <w:rPr>
          <w:lang w:val="nb-NO"/>
        </w:rPr>
      </w:pPr>
    </w:p>
    <w:p w14:paraId="7C616576" w14:textId="77777777" w:rsidR="004A07DC" w:rsidRPr="00A942F6" w:rsidRDefault="004A07DC" w:rsidP="00641834">
      <w:pPr>
        <w:rPr>
          <w:lang w:val="nb-NO"/>
        </w:rPr>
      </w:pPr>
      <w:r w:rsidRPr="00A942F6">
        <w:rPr>
          <w:lang w:val="nb-NO"/>
        </w:rPr>
        <w:t xml:space="preserve">Bivirkningene for pJIA- og sJIA- pasienter behandlet med tocilizumab er oppført i tabell 3 og presentert etter MedDRA-organklassesystem. Tilhørende frekvenskategori for hver bivirkning er </w:t>
      </w:r>
      <w:r w:rsidRPr="00A942F6">
        <w:rPr>
          <w:lang w:val="nb-NO"/>
        </w:rPr>
        <w:lastRenderedPageBreak/>
        <w:t>basert på følgende konvensjon: svært vanlige (</w:t>
      </w:r>
      <w:r w:rsidR="00F36EEE" w:rsidRPr="00A942F6">
        <w:rPr>
          <w:rFonts w:cs="Times New Roman"/>
          <w:lang w:val="nb-NO"/>
        </w:rPr>
        <w:t>≥</w:t>
      </w:r>
      <w:r w:rsidRPr="00A942F6">
        <w:rPr>
          <w:lang w:val="nb-NO"/>
        </w:rPr>
        <w:t xml:space="preserve"> 1/10); vanlige (</w:t>
      </w:r>
      <w:r w:rsidR="00F36EEE" w:rsidRPr="00A942F6">
        <w:rPr>
          <w:rFonts w:cs="Times New Roman"/>
          <w:lang w:val="nb-NO"/>
        </w:rPr>
        <w:t>≥</w:t>
      </w:r>
      <w:r w:rsidRPr="00A942F6">
        <w:rPr>
          <w:lang w:val="nb-NO"/>
        </w:rPr>
        <w:t xml:space="preserve"> 1/100 til &lt; 1/10) eller mindre vanlige (</w:t>
      </w:r>
      <w:r w:rsidR="00F36EEE" w:rsidRPr="00A942F6">
        <w:rPr>
          <w:rFonts w:cs="Times New Roman"/>
          <w:lang w:val="nb-NO"/>
        </w:rPr>
        <w:t>≥</w:t>
      </w:r>
      <w:r w:rsidRPr="00A942F6">
        <w:rPr>
          <w:lang w:val="nb-NO"/>
        </w:rPr>
        <w:t xml:space="preserve"> 1/1000 til &lt; 1/100).</w:t>
      </w:r>
    </w:p>
    <w:p w14:paraId="3F7E55CE" w14:textId="77777777" w:rsidR="004A07DC" w:rsidRPr="00A942F6" w:rsidRDefault="004A07DC" w:rsidP="00641834">
      <w:pPr>
        <w:rPr>
          <w:lang w:val="nb-NO"/>
        </w:rPr>
      </w:pPr>
    </w:p>
    <w:p w14:paraId="6CAE9613" w14:textId="77777777" w:rsidR="004A07DC" w:rsidRPr="00A942F6" w:rsidRDefault="004A07DC" w:rsidP="00641834">
      <w:pPr>
        <w:pStyle w:val="Style1Iitaic"/>
        <w:rPr>
          <w:lang w:val="nb-NO"/>
        </w:rPr>
      </w:pPr>
      <w:r w:rsidRPr="00A942F6">
        <w:rPr>
          <w:lang w:val="nb-NO"/>
        </w:rPr>
        <w:t>Tabell 3: Liste over bivirkninger som oppstod hos sJIA- eller pJIA- pasienter som i kliniske studier fikk tocilizumab som monoterapi eller i kombinasjon med metotreksat.</w:t>
      </w:r>
    </w:p>
    <w:p w14:paraId="00C059BB" w14:textId="77777777" w:rsidR="004A07DC" w:rsidRPr="00A942F6" w:rsidRDefault="004A07DC" w:rsidP="00641834">
      <w:pPr>
        <w:keepNext/>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922"/>
        <w:gridCol w:w="1831"/>
        <w:gridCol w:w="1257"/>
        <w:gridCol w:w="1408"/>
      </w:tblGrid>
      <w:tr w:rsidR="004A07DC" w:rsidRPr="00A942F6" w14:paraId="2856F4C7" w14:textId="77777777" w:rsidTr="00E1582A">
        <w:trPr>
          <w:cantSplit/>
          <w:trHeight w:val="20"/>
          <w:tblHeader/>
        </w:trPr>
        <w:tc>
          <w:tcPr>
            <w:tcW w:w="1980" w:type="dxa"/>
          </w:tcPr>
          <w:p w14:paraId="6E3F141A" w14:textId="77777777" w:rsidR="004A07DC" w:rsidRPr="00A942F6" w:rsidRDefault="004A07DC" w:rsidP="00641834">
            <w:pPr>
              <w:pStyle w:val="TableParagraph"/>
              <w:rPr>
                <w:b/>
                <w:sz w:val="20"/>
                <w:szCs w:val="20"/>
                <w:lang w:val="nb-NO"/>
              </w:rPr>
            </w:pPr>
            <w:r w:rsidRPr="00A942F6">
              <w:rPr>
                <w:b/>
                <w:sz w:val="20"/>
                <w:szCs w:val="20"/>
                <w:lang w:val="nb-NO"/>
              </w:rPr>
              <w:t>MedDRA-</w:t>
            </w:r>
          </w:p>
          <w:p w14:paraId="04F319FE" w14:textId="77777777" w:rsidR="004A07DC" w:rsidRPr="00A942F6" w:rsidRDefault="004A07DC" w:rsidP="00641834">
            <w:pPr>
              <w:pStyle w:val="TableParagraph"/>
              <w:rPr>
                <w:b/>
                <w:sz w:val="20"/>
                <w:szCs w:val="20"/>
                <w:lang w:val="nb-NO"/>
              </w:rPr>
            </w:pPr>
            <w:r w:rsidRPr="00A942F6">
              <w:rPr>
                <w:b/>
                <w:sz w:val="20"/>
                <w:szCs w:val="20"/>
                <w:lang w:val="nb-NO"/>
              </w:rPr>
              <w:t>organklassesystem</w:t>
            </w:r>
          </w:p>
        </w:tc>
        <w:tc>
          <w:tcPr>
            <w:tcW w:w="1922" w:type="dxa"/>
          </w:tcPr>
          <w:p w14:paraId="7D38DD8B" w14:textId="77777777" w:rsidR="004A07DC" w:rsidRPr="00A942F6" w:rsidRDefault="004A07DC" w:rsidP="00641834">
            <w:pPr>
              <w:pStyle w:val="TableParagraph"/>
              <w:rPr>
                <w:b/>
                <w:sz w:val="20"/>
                <w:szCs w:val="20"/>
                <w:lang w:val="nb-NO"/>
              </w:rPr>
            </w:pPr>
            <w:r w:rsidRPr="00A942F6">
              <w:rPr>
                <w:b/>
                <w:sz w:val="20"/>
                <w:szCs w:val="20"/>
                <w:lang w:val="nb-NO"/>
              </w:rPr>
              <w:t>Foretrukket betegnelse</w:t>
            </w:r>
          </w:p>
        </w:tc>
        <w:tc>
          <w:tcPr>
            <w:tcW w:w="4496" w:type="dxa"/>
            <w:gridSpan w:val="3"/>
          </w:tcPr>
          <w:p w14:paraId="09980726" w14:textId="77777777" w:rsidR="004A07DC" w:rsidRPr="00A942F6" w:rsidRDefault="004A07DC" w:rsidP="00641834">
            <w:pPr>
              <w:pStyle w:val="TableParagraph"/>
              <w:jc w:val="center"/>
              <w:rPr>
                <w:b/>
                <w:sz w:val="20"/>
                <w:szCs w:val="20"/>
                <w:lang w:val="nb-NO"/>
              </w:rPr>
            </w:pPr>
            <w:r w:rsidRPr="00A942F6">
              <w:rPr>
                <w:b/>
                <w:sz w:val="20"/>
                <w:szCs w:val="20"/>
                <w:lang w:val="nb-NO"/>
              </w:rPr>
              <w:t>Frekvens</w:t>
            </w:r>
          </w:p>
        </w:tc>
      </w:tr>
      <w:tr w:rsidR="004A07DC" w:rsidRPr="00A942F6" w14:paraId="1F34F60D" w14:textId="77777777" w:rsidTr="00E1582A">
        <w:trPr>
          <w:cantSplit/>
          <w:trHeight w:val="20"/>
        </w:trPr>
        <w:tc>
          <w:tcPr>
            <w:tcW w:w="3902" w:type="dxa"/>
            <w:gridSpan w:val="2"/>
          </w:tcPr>
          <w:p w14:paraId="2AF94412" w14:textId="77777777" w:rsidR="004A07DC" w:rsidRPr="00A942F6" w:rsidRDefault="004A07DC" w:rsidP="00641834">
            <w:pPr>
              <w:pStyle w:val="TableParagraph"/>
              <w:rPr>
                <w:sz w:val="20"/>
                <w:szCs w:val="20"/>
                <w:lang w:val="nb-NO"/>
              </w:rPr>
            </w:pPr>
            <w:r w:rsidRPr="00A942F6">
              <w:rPr>
                <w:sz w:val="20"/>
                <w:szCs w:val="20"/>
                <w:lang w:val="nb-NO"/>
              </w:rPr>
              <w:t>Infeksiøse og parasittære sykdommer</w:t>
            </w:r>
          </w:p>
        </w:tc>
        <w:tc>
          <w:tcPr>
            <w:tcW w:w="1831" w:type="dxa"/>
          </w:tcPr>
          <w:p w14:paraId="37B52ED8" w14:textId="77777777" w:rsidR="004A07DC" w:rsidRPr="00A942F6" w:rsidRDefault="004A07DC" w:rsidP="00641834">
            <w:pPr>
              <w:pStyle w:val="TableParagraph"/>
              <w:rPr>
                <w:sz w:val="20"/>
                <w:szCs w:val="20"/>
                <w:lang w:val="nb-NO"/>
              </w:rPr>
            </w:pPr>
            <w:r w:rsidRPr="00A942F6">
              <w:rPr>
                <w:sz w:val="20"/>
                <w:szCs w:val="20"/>
                <w:lang w:val="nb-NO"/>
              </w:rPr>
              <w:t>Svært vanlig</w:t>
            </w:r>
          </w:p>
        </w:tc>
        <w:tc>
          <w:tcPr>
            <w:tcW w:w="1257" w:type="dxa"/>
          </w:tcPr>
          <w:p w14:paraId="3CD2F92C" w14:textId="77777777" w:rsidR="004A07DC" w:rsidRPr="00A942F6" w:rsidRDefault="004A07DC" w:rsidP="00641834">
            <w:pPr>
              <w:pStyle w:val="TableParagraph"/>
              <w:rPr>
                <w:sz w:val="20"/>
                <w:szCs w:val="20"/>
                <w:lang w:val="nb-NO"/>
              </w:rPr>
            </w:pPr>
            <w:r w:rsidRPr="00A942F6">
              <w:rPr>
                <w:sz w:val="20"/>
                <w:szCs w:val="20"/>
                <w:lang w:val="nb-NO"/>
              </w:rPr>
              <w:t>Vanlig</w:t>
            </w:r>
          </w:p>
        </w:tc>
        <w:tc>
          <w:tcPr>
            <w:tcW w:w="1408" w:type="dxa"/>
          </w:tcPr>
          <w:p w14:paraId="04ADEB9F" w14:textId="77777777" w:rsidR="004A07DC" w:rsidRPr="00A942F6" w:rsidRDefault="004A07DC" w:rsidP="00641834">
            <w:pPr>
              <w:pStyle w:val="TableParagraph"/>
              <w:rPr>
                <w:sz w:val="20"/>
                <w:szCs w:val="20"/>
                <w:lang w:val="nb-NO"/>
              </w:rPr>
            </w:pPr>
            <w:r w:rsidRPr="00A942F6">
              <w:rPr>
                <w:sz w:val="20"/>
                <w:szCs w:val="20"/>
                <w:lang w:val="nb-NO"/>
              </w:rPr>
              <w:t>Mindre vanlig</w:t>
            </w:r>
          </w:p>
        </w:tc>
      </w:tr>
      <w:tr w:rsidR="004A07DC" w:rsidRPr="00A942F6" w14:paraId="7DC24A0D" w14:textId="77777777" w:rsidTr="00E1582A">
        <w:trPr>
          <w:cantSplit/>
          <w:trHeight w:val="20"/>
        </w:trPr>
        <w:tc>
          <w:tcPr>
            <w:tcW w:w="1980" w:type="dxa"/>
          </w:tcPr>
          <w:p w14:paraId="4DD0088B" w14:textId="77777777" w:rsidR="004A07DC" w:rsidRPr="00A942F6" w:rsidRDefault="004A07DC" w:rsidP="00641834">
            <w:pPr>
              <w:pStyle w:val="TableParagraph"/>
              <w:rPr>
                <w:sz w:val="20"/>
                <w:szCs w:val="20"/>
                <w:lang w:val="nb-NO"/>
              </w:rPr>
            </w:pPr>
          </w:p>
        </w:tc>
        <w:tc>
          <w:tcPr>
            <w:tcW w:w="1922" w:type="dxa"/>
          </w:tcPr>
          <w:p w14:paraId="40E4A2B3" w14:textId="77777777" w:rsidR="004A07DC" w:rsidRPr="00A942F6" w:rsidRDefault="004A07DC" w:rsidP="00641834">
            <w:pPr>
              <w:pStyle w:val="TableParagraph"/>
              <w:rPr>
                <w:sz w:val="20"/>
                <w:szCs w:val="20"/>
                <w:lang w:val="nb-NO"/>
              </w:rPr>
            </w:pPr>
            <w:r w:rsidRPr="00A942F6">
              <w:rPr>
                <w:sz w:val="20"/>
                <w:szCs w:val="20"/>
                <w:lang w:val="nb-NO"/>
              </w:rPr>
              <w:t>Øvre</w:t>
            </w:r>
          </w:p>
          <w:p w14:paraId="1E427D94" w14:textId="77777777" w:rsidR="004A07DC" w:rsidRPr="00A942F6" w:rsidRDefault="004A07DC" w:rsidP="00641834">
            <w:pPr>
              <w:pStyle w:val="TableParagraph"/>
              <w:rPr>
                <w:sz w:val="20"/>
                <w:szCs w:val="20"/>
                <w:lang w:val="nb-NO"/>
              </w:rPr>
            </w:pPr>
            <w:r w:rsidRPr="00A942F6">
              <w:rPr>
                <w:sz w:val="20"/>
                <w:szCs w:val="20"/>
                <w:lang w:val="nb-NO"/>
              </w:rPr>
              <w:t>luftveisinfeksjoner</w:t>
            </w:r>
          </w:p>
        </w:tc>
        <w:tc>
          <w:tcPr>
            <w:tcW w:w="1831" w:type="dxa"/>
          </w:tcPr>
          <w:p w14:paraId="77D8545B" w14:textId="77777777" w:rsidR="004A07DC" w:rsidRPr="00A942F6" w:rsidRDefault="004A07DC" w:rsidP="00641834">
            <w:pPr>
              <w:pStyle w:val="TableParagraph"/>
              <w:rPr>
                <w:sz w:val="20"/>
                <w:szCs w:val="20"/>
                <w:lang w:val="nb-NO"/>
              </w:rPr>
            </w:pPr>
            <w:r w:rsidRPr="00A942F6">
              <w:rPr>
                <w:sz w:val="20"/>
                <w:szCs w:val="20"/>
                <w:lang w:val="nb-NO"/>
              </w:rPr>
              <w:t>pJIA, sJIA</w:t>
            </w:r>
          </w:p>
        </w:tc>
        <w:tc>
          <w:tcPr>
            <w:tcW w:w="1257" w:type="dxa"/>
          </w:tcPr>
          <w:p w14:paraId="41290CBD" w14:textId="77777777" w:rsidR="004A07DC" w:rsidRPr="00A942F6" w:rsidRDefault="004A07DC" w:rsidP="00641834">
            <w:pPr>
              <w:pStyle w:val="TableParagraph"/>
              <w:rPr>
                <w:sz w:val="20"/>
                <w:szCs w:val="20"/>
                <w:lang w:val="nb-NO"/>
              </w:rPr>
            </w:pPr>
          </w:p>
        </w:tc>
        <w:tc>
          <w:tcPr>
            <w:tcW w:w="1408" w:type="dxa"/>
          </w:tcPr>
          <w:p w14:paraId="5EDA74DE" w14:textId="77777777" w:rsidR="004A07DC" w:rsidRPr="00A942F6" w:rsidRDefault="004A07DC" w:rsidP="00641834">
            <w:pPr>
              <w:pStyle w:val="TableParagraph"/>
              <w:rPr>
                <w:sz w:val="20"/>
                <w:szCs w:val="20"/>
                <w:lang w:val="nb-NO"/>
              </w:rPr>
            </w:pPr>
          </w:p>
        </w:tc>
      </w:tr>
      <w:tr w:rsidR="004A07DC" w:rsidRPr="00A942F6" w14:paraId="0692BD6D" w14:textId="77777777" w:rsidTr="00E1582A">
        <w:trPr>
          <w:cantSplit/>
          <w:trHeight w:val="20"/>
        </w:trPr>
        <w:tc>
          <w:tcPr>
            <w:tcW w:w="1980" w:type="dxa"/>
          </w:tcPr>
          <w:p w14:paraId="219FDA06" w14:textId="77777777" w:rsidR="004A07DC" w:rsidRPr="00A942F6" w:rsidRDefault="004A07DC" w:rsidP="00641834">
            <w:pPr>
              <w:pStyle w:val="TableParagraph"/>
              <w:rPr>
                <w:sz w:val="20"/>
                <w:szCs w:val="20"/>
                <w:lang w:val="nb-NO"/>
              </w:rPr>
            </w:pPr>
          </w:p>
        </w:tc>
        <w:tc>
          <w:tcPr>
            <w:tcW w:w="1922" w:type="dxa"/>
          </w:tcPr>
          <w:p w14:paraId="0C7BD10E" w14:textId="77777777" w:rsidR="004A07DC" w:rsidRPr="00A942F6" w:rsidRDefault="004A07DC" w:rsidP="00641834">
            <w:pPr>
              <w:pStyle w:val="TableParagraph"/>
              <w:rPr>
                <w:sz w:val="20"/>
                <w:szCs w:val="20"/>
                <w:lang w:val="nb-NO"/>
              </w:rPr>
            </w:pPr>
            <w:r w:rsidRPr="00A942F6">
              <w:rPr>
                <w:sz w:val="20"/>
                <w:szCs w:val="20"/>
                <w:lang w:val="nb-NO"/>
              </w:rPr>
              <w:t>Nasofaryngitt</w:t>
            </w:r>
          </w:p>
        </w:tc>
        <w:tc>
          <w:tcPr>
            <w:tcW w:w="1831" w:type="dxa"/>
          </w:tcPr>
          <w:p w14:paraId="050FB465" w14:textId="77777777" w:rsidR="004A07DC" w:rsidRPr="00A942F6" w:rsidRDefault="004A07DC" w:rsidP="00641834">
            <w:pPr>
              <w:pStyle w:val="TableParagraph"/>
              <w:rPr>
                <w:sz w:val="20"/>
                <w:szCs w:val="20"/>
                <w:lang w:val="nb-NO"/>
              </w:rPr>
            </w:pPr>
            <w:r w:rsidRPr="00A942F6">
              <w:rPr>
                <w:sz w:val="20"/>
                <w:szCs w:val="20"/>
                <w:lang w:val="nb-NO"/>
              </w:rPr>
              <w:t>pJIA, sJIA</w:t>
            </w:r>
          </w:p>
        </w:tc>
        <w:tc>
          <w:tcPr>
            <w:tcW w:w="1257" w:type="dxa"/>
          </w:tcPr>
          <w:p w14:paraId="468843E8" w14:textId="77777777" w:rsidR="004A07DC" w:rsidRPr="00A942F6" w:rsidRDefault="004A07DC" w:rsidP="00641834">
            <w:pPr>
              <w:pStyle w:val="TableParagraph"/>
              <w:rPr>
                <w:sz w:val="20"/>
                <w:szCs w:val="20"/>
                <w:lang w:val="nb-NO"/>
              </w:rPr>
            </w:pPr>
          </w:p>
        </w:tc>
        <w:tc>
          <w:tcPr>
            <w:tcW w:w="1408" w:type="dxa"/>
          </w:tcPr>
          <w:p w14:paraId="74A2047A" w14:textId="77777777" w:rsidR="004A07DC" w:rsidRPr="00A942F6" w:rsidRDefault="004A07DC" w:rsidP="00641834">
            <w:pPr>
              <w:pStyle w:val="TableParagraph"/>
              <w:rPr>
                <w:sz w:val="20"/>
                <w:szCs w:val="20"/>
                <w:lang w:val="nb-NO"/>
              </w:rPr>
            </w:pPr>
          </w:p>
        </w:tc>
      </w:tr>
      <w:tr w:rsidR="004A07DC" w:rsidRPr="00A942F6" w14:paraId="4A26DF4E" w14:textId="77777777" w:rsidTr="00E1582A">
        <w:trPr>
          <w:cantSplit/>
          <w:trHeight w:val="20"/>
        </w:trPr>
        <w:tc>
          <w:tcPr>
            <w:tcW w:w="3902" w:type="dxa"/>
            <w:gridSpan w:val="2"/>
          </w:tcPr>
          <w:p w14:paraId="4679B0E0" w14:textId="77777777" w:rsidR="004A07DC" w:rsidRPr="00A942F6" w:rsidRDefault="004A07DC" w:rsidP="00641834">
            <w:pPr>
              <w:pStyle w:val="TableParagraph"/>
              <w:rPr>
                <w:sz w:val="20"/>
                <w:szCs w:val="20"/>
                <w:lang w:val="nb-NO"/>
              </w:rPr>
            </w:pPr>
            <w:r w:rsidRPr="00A942F6">
              <w:rPr>
                <w:sz w:val="20"/>
                <w:szCs w:val="20"/>
                <w:lang w:val="nb-NO"/>
              </w:rPr>
              <w:t>Nevrologiske sykdommer</w:t>
            </w:r>
          </w:p>
        </w:tc>
        <w:tc>
          <w:tcPr>
            <w:tcW w:w="1831" w:type="dxa"/>
          </w:tcPr>
          <w:p w14:paraId="458356A5" w14:textId="77777777" w:rsidR="004A07DC" w:rsidRPr="00A942F6" w:rsidRDefault="004A07DC" w:rsidP="00641834">
            <w:pPr>
              <w:pStyle w:val="TableParagraph"/>
              <w:rPr>
                <w:sz w:val="20"/>
                <w:szCs w:val="20"/>
                <w:lang w:val="nb-NO"/>
              </w:rPr>
            </w:pPr>
          </w:p>
        </w:tc>
        <w:tc>
          <w:tcPr>
            <w:tcW w:w="1257" w:type="dxa"/>
          </w:tcPr>
          <w:p w14:paraId="5A9FC68A" w14:textId="77777777" w:rsidR="004A07DC" w:rsidRPr="00A942F6" w:rsidRDefault="004A07DC" w:rsidP="00641834">
            <w:pPr>
              <w:pStyle w:val="TableParagraph"/>
              <w:rPr>
                <w:sz w:val="20"/>
                <w:szCs w:val="20"/>
                <w:lang w:val="nb-NO"/>
              </w:rPr>
            </w:pPr>
          </w:p>
        </w:tc>
        <w:tc>
          <w:tcPr>
            <w:tcW w:w="1408" w:type="dxa"/>
          </w:tcPr>
          <w:p w14:paraId="3E908ABA" w14:textId="77777777" w:rsidR="004A07DC" w:rsidRPr="00A942F6" w:rsidRDefault="004A07DC" w:rsidP="00641834">
            <w:pPr>
              <w:pStyle w:val="TableParagraph"/>
              <w:rPr>
                <w:sz w:val="20"/>
                <w:szCs w:val="20"/>
                <w:lang w:val="nb-NO"/>
              </w:rPr>
            </w:pPr>
          </w:p>
        </w:tc>
      </w:tr>
      <w:tr w:rsidR="004A07DC" w:rsidRPr="00A942F6" w14:paraId="25A7CD88" w14:textId="77777777" w:rsidTr="00E1582A">
        <w:trPr>
          <w:cantSplit/>
          <w:trHeight w:val="20"/>
        </w:trPr>
        <w:tc>
          <w:tcPr>
            <w:tcW w:w="1980" w:type="dxa"/>
          </w:tcPr>
          <w:p w14:paraId="50519617" w14:textId="77777777" w:rsidR="004A07DC" w:rsidRPr="00A942F6" w:rsidRDefault="004A07DC" w:rsidP="00641834">
            <w:pPr>
              <w:pStyle w:val="TableParagraph"/>
              <w:rPr>
                <w:sz w:val="20"/>
                <w:szCs w:val="20"/>
                <w:lang w:val="nb-NO"/>
              </w:rPr>
            </w:pPr>
          </w:p>
        </w:tc>
        <w:tc>
          <w:tcPr>
            <w:tcW w:w="1922" w:type="dxa"/>
          </w:tcPr>
          <w:p w14:paraId="64F7D9A1" w14:textId="77777777" w:rsidR="004A07DC" w:rsidRPr="00A942F6" w:rsidRDefault="004A07DC" w:rsidP="00641834">
            <w:pPr>
              <w:pStyle w:val="TableParagraph"/>
              <w:rPr>
                <w:sz w:val="20"/>
                <w:szCs w:val="20"/>
                <w:lang w:val="nb-NO"/>
              </w:rPr>
            </w:pPr>
            <w:r w:rsidRPr="00A942F6">
              <w:rPr>
                <w:sz w:val="20"/>
                <w:szCs w:val="20"/>
                <w:lang w:val="nb-NO"/>
              </w:rPr>
              <w:t>Hodepine</w:t>
            </w:r>
          </w:p>
        </w:tc>
        <w:tc>
          <w:tcPr>
            <w:tcW w:w="1831" w:type="dxa"/>
          </w:tcPr>
          <w:p w14:paraId="1364D733" w14:textId="77777777" w:rsidR="004A07DC" w:rsidRPr="00A942F6" w:rsidRDefault="004A07DC" w:rsidP="00641834">
            <w:pPr>
              <w:pStyle w:val="TableParagraph"/>
              <w:rPr>
                <w:sz w:val="20"/>
                <w:szCs w:val="20"/>
                <w:lang w:val="nb-NO"/>
              </w:rPr>
            </w:pPr>
            <w:r w:rsidRPr="00A942F6">
              <w:rPr>
                <w:sz w:val="20"/>
                <w:szCs w:val="20"/>
                <w:lang w:val="nb-NO"/>
              </w:rPr>
              <w:t>pJIA</w:t>
            </w:r>
          </w:p>
        </w:tc>
        <w:tc>
          <w:tcPr>
            <w:tcW w:w="1257" w:type="dxa"/>
          </w:tcPr>
          <w:p w14:paraId="1EA06D9C" w14:textId="77777777" w:rsidR="004A07DC" w:rsidRPr="00A942F6" w:rsidRDefault="004A07DC" w:rsidP="00641834">
            <w:pPr>
              <w:pStyle w:val="TableParagraph"/>
              <w:rPr>
                <w:sz w:val="20"/>
                <w:szCs w:val="20"/>
                <w:lang w:val="nb-NO"/>
              </w:rPr>
            </w:pPr>
            <w:r w:rsidRPr="00A942F6">
              <w:rPr>
                <w:sz w:val="20"/>
                <w:szCs w:val="20"/>
                <w:lang w:val="nb-NO"/>
              </w:rPr>
              <w:t>sJIA</w:t>
            </w:r>
          </w:p>
        </w:tc>
        <w:tc>
          <w:tcPr>
            <w:tcW w:w="1408" w:type="dxa"/>
          </w:tcPr>
          <w:p w14:paraId="0B99C85A" w14:textId="77777777" w:rsidR="004A07DC" w:rsidRPr="00A942F6" w:rsidRDefault="004A07DC" w:rsidP="00641834">
            <w:pPr>
              <w:pStyle w:val="TableParagraph"/>
              <w:rPr>
                <w:sz w:val="20"/>
                <w:szCs w:val="20"/>
                <w:lang w:val="nb-NO"/>
              </w:rPr>
            </w:pPr>
          </w:p>
        </w:tc>
      </w:tr>
      <w:tr w:rsidR="004A07DC" w:rsidRPr="00A942F6" w14:paraId="6DAE4906" w14:textId="77777777" w:rsidTr="00E1582A">
        <w:trPr>
          <w:cantSplit/>
          <w:trHeight w:val="20"/>
        </w:trPr>
        <w:tc>
          <w:tcPr>
            <w:tcW w:w="3902" w:type="dxa"/>
            <w:gridSpan w:val="2"/>
          </w:tcPr>
          <w:p w14:paraId="3184B406" w14:textId="77777777" w:rsidR="004A07DC" w:rsidRPr="00A942F6" w:rsidRDefault="004A07DC" w:rsidP="00641834">
            <w:pPr>
              <w:pStyle w:val="TableParagraph"/>
              <w:rPr>
                <w:sz w:val="20"/>
                <w:szCs w:val="20"/>
                <w:lang w:val="nb-NO"/>
              </w:rPr>
            </w:pPr>
            <w:r w:rsidRPr="00A942F6">
              <w:rPr>
                <w:sz w:val="20"/>
                <w:szCs w:val="20"/>
                <w:lang w:val="nb-NO"/>
              </w:rPr>
              <w:t>Gastrointestinale sykdommer</w:t>
            </w:r>
          </w:p>
        </w:tc>
        <w:tc>
          <w:tcPr>
            <w:tcW w:w="1831" w:type="dxa"/>
          </w:tcPr>
          <w:p w14:paraId="4AFB06F2" w14:textId="77777777" w:rsidR="004A07DC" w:rsidRPr="00A942F6" w:rsidRDefault="004A07DC" w:rsidP="00641834">
            <w:pPr>
              <w:pStyle w:val="TableParagraph"/>
              <w:rPr>
                <w:sz w:val="20"/>
                <w:szCs w:val="20"/>
                <w:lang w:val="nb-NO"/>
              </w:rPr>
            </w:pPr>
          </w:p>
        </w:tc>
        <w:tc>
          <w:tcPr>
            <w:tcW w:w="1257" w:type="dxa"/>
          </w:tcPr>
          <w:p w14:paraId="1B4657AB" w14:textId="77777777" w:rsidR="004A07DC" w:rsidRPr="00A942F6" w:rsidRDefault="004A07DC" w:rsidP="00641834">
            <w:pPr>
              <w:pStyle w:val="TableParagraph"/>
              <w:rPr>
                <w:sz w:val="20"/>
                <w:szCs w:val="20"/>
                <w:lang w:val="nb-NO"/>
              </w:rPr>
            </w:pPr>
          </w:p>
        </w:tc>
        <w:tc>
          <w:tcPr>
            <w:tcW w:w="1408" w:type="dxa"/>
          </w:tcPr>
          <w:p w14:paraId="749E0838" w14:textId="77777777" w:rsidR="004A07DC" w:rsidRPr="00A942F6" w:rsidRDefault="004A07DC" w:rsidP="00641834">
            <w:pPr>
              <w:pStyle w:val="TableParagraph"/>
              <w:rPr>
                <w:sz w:val="20"/>
                <w:szCs w:val="20"/>
                <w:lang w:val="nb-NO"/>
              </w:rPr>
            </w:pPr>
          </w:p>
        </w:tc>
      </w:tr>
      <w:tr w:rsidR="004A07DC" w:rsidRPr="00A942F6" w14:paraId="4297D207" w14:textId="77777777" w:rsidTr="00E1582A">
        <w:trPr>
          <w:cantSplit/>
          <w:trHeight w:val="20"/>
        </w:trPr>
        <w:tc>
          <w:tcPr>
            <w:tcW w:w="1980" w:type="dxa"/>
          </w:tcPr>
          <w:p w14:paraId="52344E9C" w14:textId="77777777" w:rsidR="004A07DC" w:rsidRPr="00A942F6" w:rsidRDefault="004A07DC" w:rsidP="00641834">
            <w:pPr>
              <w:pStyle w:val="TableParagraph"/>
              <w:rPr>
                <w:sz w:val="20"/>
                <w:szCs w:val="20"/>
                <w:lang w:val="nb-NO"/>
              </w:rPr>
            </w:pPr>
          </w:p>
        </w:tc>
        <w:tc>
          <w:tcPr>
            <w:tcW w:w="1922" w:type="dxa"/>
          </w:tcPr>
          <w:p w14:paraId="3BB89203" w14:textId="77777777" w:rsidR="004A07DC" w:rsidRPr="00A942F6" w:rsidRDefault="004A07DC" w:rsidP="00641834">
            <w:pPr>
              <w:pStyle w:val="TableParagraph"/>
              <w:rPr>
                <w:sz w:val="20"/>
                <w:szCs w:val="20"/>
                <w:lang w:val="nb-NO"/>
              </w:rPr>
            </w:pPr>
            <w:r w:rsidRPr="00A942F6">
              <w:rPr>
                <w:sz w:val="20"/>
                <w:szCs w:val="20"/>
                <w:lang w:val="nb-NO"/>
              </w:rPr>
              <w:t>Kvalme</w:t>
            </w:r>
          </w:p>
        </w:tc>
        <w:tc>
          <w:tcPr>
            <w:tcW w:w="1831" w:type="dxa"/>
          </w:tcPr>
          <w:p w14:paraId="32C640AD" w14:textId="77777777" w:rsidR="004A07DC" w:rsidRPr="00A942F6" w:rsidRDefault="004A07DC" w:rsidP="00641834">
            <w:pPr>
              <w:pStyle w:val="TableParagraph"/>
              <w:rPr>
                <w:sz w:val="20"/>
                <w:szCs w:val="20"/>
                <w:lang w:val="nb-NO"/>
              </w:rPr>
            </w:pPr>
          </w:p>
        </w:tc>
        <w:tc>
          <w:tcPr>
            <w:tcW w:w="1257" w:type="dxa"/>
          </w:tcPr>
          <w:p w14:paraId="7AAC008A" w14:textId="77777777" w:rsidR="004A07DC" w:rsidRPr="00A942F6" w:rsidRDefault="004A07DC" w:rsidP="00641834">
            <w:pPr>
              <w:pStyle w:val="TableParagraph"/>
              <w:rPr>
                <w:sz w:val="20"/>
                <w:szCs w:val="20"/>
                <w:lang w:val="nb-NO"/>
              </w:rPr>
            </w:pPr>
            <w:r w:rsidRPr="00A942F6">
              <w:rPr>
                <w:sz w:val="20"/>
                <w:szCs w:val="20"/>
                <w:lang w:val="nb-NO"/>
              </w:rPr>
              <w:t>pJIA</w:t>
            </w:r>
          </w:p>
        </w:tc>
        <w:tc>
          <w:tcPr>
            <w:tcW w:w="1408" w:type="dxa"/>
          </w:tcPr>
          <w:p w14:paraId="339DAA37" w14:textId="77777777" w:rsidR="004A07DC" w:rsidRPr="00A942F6" w:rsidRDefault="004A07DC" w:rsidP="00641834">
            <w:pPr>
              <w:pStyle w:val="TableParagraph"/>
              <w:rPr>
                <w:sz w:val="20"/>
                <w:szCs w:val="20"/>
                <w:lang w:val="nb-NO"/>
              </w:rPr>
            </w:pPr>
          </w:p>
        </w:tc>
      </w:tr>
      <w:tr w:rsidR="004A07DC" w:rsidRPr="00A942F6" w14:paraId="0F4DDDB1" w14:textId="77777777" w:rsidTr="00E1582A">
        <w:trPr>
          <w:cantSplit/>
          <w:trHeight w:val="20"/>
        </w:trPr>
        <w:tc>
          <w:tcPr>
            <w:tcW w:w="1980" w:type="dxa"/>
          </w:tcPr>
          <w:p w14:paraId="55612C69" w14:textId="77777777" w:rsidR="004A07DC" w:rsidRPr="00A942F6" w:rsidRDefault="004A07DC" w:rsidP="00641834">
            <w:pPr>
              <w:pStyle w:val="TableParagraph"/>
              <w:rPr>
                <w:sz w:val="20"/>
                <w:szCs w:val="20"/>
                <w:lang w:val="nb-NO"/>
              </w:rPr>
            </w:pPr>
          </w:p>
        </w:tc>
        <w:tc>
          <w:tcPr>
            <w:tcW w:w="1922" w:type="dxa"/>
          </w:tcPr>
          <w:p w14:paraId="0BF19822" w14:textId="77777777" w:rsidR="004A07DC" w:rsidRPr="00A942F6" w:rsidRDefault="004A07DC" w:rsidP="00641834">
            <w:pPr>
              <w:pStyle w:val="TableParagraph"/>
              <w:rPr>
                <w:sz w:val="20"/>
                <w:szCs w:val="20"/>
                <w:lang w:val="nb-NO"/>
              </w:rPr>
            </w:pPr>
            <w:r w:rsidRPr="00A942F6">
              <w:rPr>
                <w:sz w:val="20"/>
                <w:szCs w:val="20"/>
                <w:lang w:val="nb-NO"/>
              </w:rPr>
              <w:t>Diarè</w:t>
            </w:r>
          </w:p>
        </w:tc>
        <w:tc>
          <w:tcPr>
            <w:tcW w:w="1831" w:type="dxa"/>
          </w:tcPr>
          <w:p w14:paraId="4E65F79D" w14:textId="77777777" w:rsidR="004A07DC" w:rsidRPr="00A942F6" w:rsidRDefault="004A07DC" w:rsidP="00641834">
            <w:pPr>
              <w:pStyle w:val="TableParagraph"/>
              <w:rPr>
                <w:sz w:val="20"/>
                <w:szCs w:val="20"/>
                <w:lang w:val="nb-NO"/>
              </w:rPr>
            </w:pPr>
          </w:p>
        </w:tc>
        <w:tc>
          <w:tcPr>
            <w:tcW w:w="1257" w:type="dxa"/>
          </w:tcPr>
          <w:p w14:paraId="38D922C5" w14:textId="77777777" w:rsidR="004A07DC" w:rsidRPr="00A942F6" w:rsidRDefault="004A07DC" w:rsidP="00641834">
            <w:pPr>
              <w:pStyle w:val="TableParagraph"/>
              <w:rPr>
                <w:sz w:val="20"/>
                <w:szCs w:val="20"/>
                <w:lang w:val="nb-NO"/>
              </w:rPr>
            </w:pPr>
            <w:r w:rsidRPr="00A942F6">
              <w:rPr>
                <w:sz w:val="20"/>
                <w:szCs w:val="20"/>
                <w:lang w:val="nb-NO"/>
              </w:rPr>
              <w:t>pJIA, sJIA</w:t>
            </w:r>
          </w:p>
        </w:tc>
        <w:tc>
          <w:tcPr>
            <w:tcW w:w="1408" w:type="dxa"/>
          </w:tcPr>
          <w:p w14:paraId="7D17A625" w14:textId="77777777" w:rsidR="004A07DC" w:rsidRPr="00A942F6" w:rsidRDefault="004A07DC" w:rsidP="00641834">
            <w:pPr>
              <w:pStyle w:val="TableParagraph"/>
              <w:rPr>
                <w:sz w:val="20"/>
                <w:szCs w:val="20"/>
                <w:lang w:val="nb-NO"/>
              </w:rPr>
            </w:pPr>
          </w:p>
        </w:tc>
      </w:tr>
      <w:tr w:rsidR="004A07DC" w:rsidRPr="00B477E5" w14:paraId="38C3249B" w14:textId="77777777" w:rsidTr="00E1582A">
        <w:trPr>
          <w:cantSplit/>
          <w:trHeight w:val="20"/>
        </w:trPr>
        <w:tc>
          <w:tcPr>
            <w:tcW w:w="3902" w:type="dxa"/>
            <w:gridSpan w:val="2"/>
          </w:tcPr>
          <w:p w14:paraId="393E99B5" w14:textId="77777777" w:rsidR="004A07DC" w:rsidRPr="00A942F6" w:rsidRDefault="004A07DC" w:rsidP="00641834">
            <w:pPr>
              <w:pStyle w:val="TableParagraph"/>
              <w:rPr>
                <w:sz w:val="20"/>
                <w:szCs w:val="20"/>
                <w:lang w:val="nb-NO"/>
              </w:rPr>
            </w:pPr>
            <w:r w:rsidRPr="00A942F6">
              <w:rPr>
                <w:sz w:val="20"/>
                <w:szCs w:val="20"/>
                <w:lang w:val="nb-NO"/>
              </w:rPr>
              <w:t>Generelle lidelser og reaksjoner på</w:t>
            </w:r>
          </w:p>
          <w:p w14:paraId="319B7664" w14:textId="77777777" w:rsidR="004A07DC" w:rsidRPr="00A942F6" w:rsidRDefault="004A07DC" w:rsidP="00641834">
            <w:pPr>
              <w:pStyle w:val="TableParagraph"/>
              <w:rPr>
                <w:sz w:val="20"/>
                <w:szCs w:val="20"/>
                <w:lang w:val="nb-NO"/>
              </w:rPr>
            </w:pPr>
            <w:r w:rsidRPr="00A942F6">
              <w:rPr>
                <w:sz w:val="20"/>
                <w:szCs w:val="20"/>
                <w:lang w:val="nb-NO"/>
              </w:rPr>
              <w:t>administrasjonsstedet</w:t>
            </w:r>
          </w:p>
        </w:tc>
        <w:tc>
          <w:tcPr>
            <w:tcW w:w="1831" w:type="dxa"/>
          </w:tcPr>
          <w:p w14:paraId="3419B8AA" w14:textId="77777777" w:rsidR="004A07DC" w:rsidRPr="00A942F6" w:rsidRDefault="004A07DC" w:rsidP="00641834">
            <w:pPr>
              <w:pStyle w:val="TableParagraph"/>
              <w:rPr>
                <w:sz w:val="20"/>
                <w:szCs w:val="20"/>
                <w:lang w:val="nb-NO"/>
              </w:rPr>
            </w:pPr>
          </w:p>
        </w:tc>
        <w:tc>
          <w:tcPr>
            <w:tcW w:w="1257" w:type="dxa"/>
          </w:tcPr>
          <w:p w14:paraId="59CE1F88" w14:textId="77777777" w:rsidR="004A07DC" w:rsidRPr="00A942F6" w:rsidRDefault="004A07DC" w:rsidP="00641834">
            <w:pPr>
              <w:pStyle w:val="TableParagraph"/>
              <w:rPr>
                <w:sz w:val="20"/>
                <w:szCs w:val="20"/>
                <w:lang w:val="nb-NO"/>
              </w:rPr>
            </w:pPr>
          </w:p>
        </w:tc>
        <w:tc>
          <w:tcPr>
            <w:tcW w:w="1408" w:type="dxa"/>
          </w:tcPr>
          <w:p w14:paraId="539C9313" w14:textId="77777777" w:rsidR="004A07DC" w:rsidRPr="00A942F6" w:rsidRDefault="004A07DC" w:rsidP="00641834">
            <w:pPr>
              <w:pStyle w:val="TableParagraph"/>
              <w:rPr>
                <w:sz w:val="20"/>
                <w:szCs w:val="20"/>
                <w:lang w:val="nb-NO"/>
              </w:rPr>
            </w:pPr>
          </w:p>
        </w:tc>
      </w:tr>
      <w:tr w:rsidR="004A07DC" w:rsidRPr="00A942F6" w14:paraId="07C3DDFF" w14:textId="77777777" w:rsidTr="00E1582A">
        <w:trPr>
          <w:cantSplit/>
          <w:trHeight w:val="20"/>
        </w:trPr>
        <w:tc>
          <w:tcPr>
            <w:tcW w:w="1980" w:type="dxa"/>
          </w:tcPr>
          <w:p w14:paraId="31602CF2" w14:textId="77777777" w:rsidR="004A07DC" w:rsidRPr="00A942F6" w:rsidRDefault="004A07DC" w:rsidP="00641834">
            <w:pPr>
              <w:pStyle w:val="TableParagraph"/>
              <w:rPr>
                <w:sz w:val="20"/>
                <w:szCs w:val="20"/>
                <w:lang w:val="nb-NO"/>
              </w:rPr>
            </w:pPr>
          </w:p>
        </w:tc>
        <w:tc>
          <w:tcPr>
            <w:tcW w:w="1922" w:type="dxa"/>
          </w:tcPr>
          <w:p w14:paraId="51A90333" w14:textId="77777777" w:rsidR="004A07DC" w:rsidRPr="00A942F6" w:rsidRDefault="004A07DC" w:rsidP="00641834">
            <w:pPr>
              <w:pStyle w:val="TableParagraph"/>
              <w:rPr>
                <w:sz w:val="20"/>
                <w:szCs w:val="20"/>
                <w:lang w:val="nb-NO"/>
              </w:rPr>
            </w:pPr>
            <w:r w:rsidRPr="00A942F6">
              <w:rPr>
                <w:sz w:val="20"/>
                <w:szCs w:val="20"/>
                <w:lang w:val="nb-NO"/>
              </w:rPr>
              <w:t>Infusjonsrelaterte</w:t>
            </w:r>
          </w:p>
          <w:p w14:paraId="5BEC99B6" w14:textId="77777777" w:rsidR="004A07DC" w:rsidRPr="00A942F6" w:rsidRDefault="004A07DC" w:rsidP="00641834">
            <w:pPr>
              <w:pStyle w:val="TableParagraph"/>
              <w:rPr>
                <w:sz w:val="20"/>
                <w:szCs w:val="20"/>
                <w:lang w:val="nb-NO"/>
              </w:rPr>
            </w:pPr>
            <w:r w:rsidRPr="00A942F6">
              <w:rPr>
                <w:sz w:val="20"/>
                <w:szCs w:val="20"/>
                <w:lang w:val="nb-NO"/>
              </w:rPr>
              <w:t>reaksjoner</w:t>
            </w:r>
          </w:p>
        </w:tc>
        <w:tc>
          <w:tcPr>
            <w:tcW w:w="1831" w:type="dxa"/>
          </w:tcPr>
          <w:p w14:paraId="1ED1C152" w14:textId="77777777" w:rsidR="004A07DC" w:rsidRPr="00A942F6" w:rsidRDefault="004A07DC" w:rsidP="00641834">
            <w:pPr>
              <w:pStyle w:val="TableParagraph"/>
              <w:rPr>
                <w:sz w:val="20"/>
                <w:szCs w:val="20"/>
                <w:lang w:val="nb-NO"/>
              </w:rPr>
            </w:pPr>
          </w:p>
        </w:tc>
        <w:tc>
          <w:tcPr>
            <w:tcW w:w="1257" w:type="dxa"/>
          </w:tcPr>
          <w:p w14:paraId="6FF23756" w14:textId="77777777" w:rsidR="004A07DC" w:rsidRPr="00A942F6" w:rsidRDefault="004A07DC" w:rsidP="00641834">
            <w:pPr>
              <w:pStyle w:val="TableParagraph"/>
              <w:rPr>
                <w:sz w:val="20"/>
                <w:szCs w:val="20"/>
                <w:lang w:val="nb-NO"/>
              </w:rPr>
            </w:pPr>
            <w:r w:rsidRPr="00A942F6">
              <w:rPr>
                <w:sz w:val="20"/>
                <w:szCs w:val="20"/>
                <w:lang w:val="nb-NO"/>
              </w:rPr>
              <w:t>pJIA</w:t>
            </w:r>
            <w:r w:rsidRPr="00A942F6">
              <w:rPr>
                <w:sz w:val="20"/>
                <w:szCs w:val="20"/>
                <w:vertAlign w:val="superscript"/>
                <w:lang w:val="nb-NO"/>
              </w:rPr>
              <w:t>1</w:t>
            </w:r>
            <w:r w:rsidRPr="00A942F6">
              <w:rPr>
                <w:sz w:val="20"/>
                <w:szCs w:val="20"/>
                <w:lang w:val="nb-NO"/>
              </w:rPr>
              <w:t>, sJIA</w:t>
            </w:r>
            <w:r w:rsidRPr="00A942F6">
              <w:rPr>
                <w:sz w:val="20"/>
                <w:szCs w:val="20"/>
                <w:vertAlign w:val="superscript"/>
                <w:lang w:val="nb-NO"/>
              </w:rPr>
              <w:t>2</w:t>
            </w:r>
          </w:p>
        </w:tc>
        <w:tc>
          <w:tcPr>
            <w:tcW w:w="1408" w:type="dxa"/>
          </w:tcPr>
          <w:p w14:paraId="3A41C232" w14:textId="77777777" w:rsidR="004A07DC" w:rsidRPr="00A942F6" w:rsidRDefault="004A07DC" w:rsidP="00641834">
            <w:pPr>
              <w:pStyle w:val="TableParagraph"/>
              <w:rPr>
                <w:sz w:val="20"/>
                <w:szCs w:val="20"/>
                <w:lang w:val="nb-NO"/>
              </w:rPr>
            </w:pPr>
          </w:p>
        </w:tc>
      </w:tr>
      <w:tr w:rsidR="004A07DC" w:rsidRPr="00A942F6" w14:paraId="1B9DD422" w14:textId="77777777" w:rsidTr="00E1582A">
        <w:trPr>
          <w:cantSplit/>
          <w:trHeight w:val="20"/>
        </w:trPr>
        <w:tc>
          <w:tcPr>
            <w:tcW w:w="3902" w:type="dxa"/>
            <w:gridSpan w:val="2"/>
          </w:tcPr>
          <w:p w14:paraId="00282D59" w14:textId="77777777" w:rsidR="004A07DC" w:rsidRPr="00A942F6" w:rsidRDefault="004A07DC" w:rsidP="00641834">
            <w:pPr>
              <w:pStyle w:val="TableParagraph"/>
              <w:rPr>
                <w:sz w:val="20"/>
                <w:szCs w:val="20"/>
                <w:lang w:val="nb-NO"/>
              </w:rPr>
            </w:pPr>
            <w:r w:rsidRPr="00A942F6">
              <w:rPr>
                <w:sz w:val="20"/>
                <w:szCs w:val="20"/>
                <w:lang w:val="nb-NO"/>
              </w:rPr>
              <w:t>Undersøkelser</w:t>
            </w:r>
          </w:p>
        </w:tc>
        <w:tc>
          <w:tcPr>
            <w:tcW w:w="1831" w:type="dxa"/>
          </w:tcPr>
          <w:p w14:paraId="20605B2B" w14:textId="77777777" w:rsidR="004A07DC" w:rsidRPr="00A942F6" w:rsidRDefault="004A07DC" w:rsidP="00641834">
            <w:pPr>
              <w:pStyle w:val="TableParagraph"/>
              <w:rPr>
                <w:sz w:val="20"/>
                <w:szCs w:val="20"/>
                <w:lang w:val="nb-NO"/>
              </w:rPr>
            </w:pPr>
          </w:p>
        </w:tc>
        <w:tc>
          <w:tcPr>
            <w:tcW w:w="1257" w:type="dxa"/>
          </w:tcPr>
          <w:p w14:paraId="2B963E11" w14:textId="77777777" w:rsidR="004A07DC" w:rsidRPr="00A942F6" w:rsidRDefault="004A07DC" w:rsidP="00641834">
            <w:pPr>
              <w:pStyle w:val="TableParagraph"/>
              <w:rPr>
                <w:sz w:val="20"/>
                <w:szCs w:val="20"/>
                <w:lang w:val="nb-NO"/>
              </w:rPr>
            </w:pPr>
          </w:p>
        </w:tc>
        <w:tc>
          <w:tcPr>
            <w:tcW w:w="1408" w:type="dxa"/>
          </w:tcPr>
          <w:p w14:paraId="3DD7D1F1" w14:textId="77777777" w:rsidR="004A07DC" w:rsidRPr="00A942F6" w:rsidRDefault="004A07DC" w:rsidP="00641834">
            <w:pPr>
              <w:pStyle w:val="TableParagraph"/>
              <w:rPr>
                <w:sz w:val="20"/>
                <w:szCs w:val="20"/>
                <w:lang w:val="nb-NO"/>
              </w:rPr>
            </w:pPr>
          </w:p>
        </w:tc>
      </w:tr>
      <w:tr w:rsidR="004A07DC" w:rsidRPr="00A942F6" w14:paraId="7061817F" w14:textId="77777777" w:rsidTr="00E1582A">
        <w:trPr>
          <w:cantSplit/>
          <w:trHeight w:val="20"/>
        </w:trPr>
        <w:tc>
          <w:tcPr>
            <w:tcW w:w="1980" w:type="dxa"/>
          </w:tcPr>
          <w:p w14:paraId="10DFDE11" w14:textId="77777777" w:rsidR="004A07DC" w:rsidRPr="00A942F6" w:rsidRDefault="004A07DC" w:rsidP="00641834">
            <w:pPr>
              <w:pStyle w:val="TableParagraph"/>
              <w:rPr>
                <w:sz w:val="20"/>
                <w:szCs w:val="20"/>
                <w:lang w:val="nb-NO"/>
              </w:rPr>
            </w:pPr>
          </w:p>
        </w:tc>
        <w:tc>
          <w:tcPr>
            <w:tcW w:w="1922" w:type="dxa"/>
          </w:tcPr>
          <w:p w14:paraId="7756F11D" w14:textId="77777777" w:rsidR="004A07DC" w:rsidRPr="00A942F6" w:rsidRDefault="004A07DC" w:rsidP="00641834">
            <w:pPr>
              <w:pStyle w:val="TableParagraph"/>
              <w:rPr>
                <w:sz w:val="20"/>
                <w:szCs w:val="20"/>
                <w:lang w:val="nb-NO"/>
              </w:rPr>
            </w:pPr>
            <w:r w:rsidRPr="00A942F6">
              <w:rPr>
                <w:sz w:val="20"/>
                <w:szCs w:val="20"/>
                <w:lang w:val="nb-NO"/>
              </w:rPr>
              <w:t>Forhøyede hepatiske</w:t>
            </w:r>
          </w:p>
          <w:p w14:paraId="5D6CD58D" w14:textId="77777777" w:rsidR="004A07DC" w:rsidRPr="00A942F6" w:rsidRDefault="004A07DC" w:rsidP="00641834">
            <w:pPr>
              <w:pStyle w:val="TableParagraph"/>
              <w:rPr>
                <w:sz w:val="20"/>
                <w:szCs w:val="20"/>
                <w:lang w:val="nb-NO"/>
              </w:rPr>
            </w:pPr>
            <w:r w:rsidRPr="00A942F6">
              <w:rPr>
                <w:sz w:val="20"/>
                <w:szCs w:val="20"/>
                <w:lang w:val="nb-NO"/>
              </w:rPr>
              <w:t>transaminaser</w:t>
            </w:r>
          </w:p>
        </w:tc>
        <w:tc>
          <w:tcPr>
            <w:tcW w:w="1831" w:type="dxa"/>
          </w:tcPr>
          <w:p w14:paraId="33497158" w14:textId="77777777" w:rsidR="004A07DC" w:rsidRPr="00A942F6" w:rsidRDefault="004A07DC" w:rsidP="00641834">
            <w:pPr>
              <w:pStyle w:val="TableParagraph"/>
              <w:rPr>
                <w:sz w:val="20"/>
                <w:szCs w:val="20"/>
                <w:lang w:val="nb-NO"/>
              </w:rPr>
            </w:pPr>
          </w:p>
        </w:tc>
        <w:tc>
          <w:tcPr>
            <w:tcW w:w="1257" w:type="dxa"/>
          </w:tcPr>
          <w:p w14:paraId="238DFEC2" w14:textId="77777777" w:rsidR="004A07DC" w:rsidRPr="00A942F6" w:rsidRDefault="004A07DC" w:rsidP="00641834">
            <w:pPr>
              <w:pStyle w:val="TableParagraph"/>
              <w:rPr>
                <w:sz w:val="20"/>
                <w:szCs w:val="20"/>
                <w:lang w:val="nb-NO"/>
              </w:rPr>
            </w:pPr>
            <w:r w:rsidRPr="00A942F6">
              <w:rPr>
                <w:sz w:val="20"/>
                <w:szCs w:val="20"/>
                <w:lang w:val="nb-NO"/>
              </w:rPr>
              <w:t>pJIA</w:t>
            </w:r>
          </w:p>
        </w:tc>
        <w:tc>
          <w:tcPr>
            <w:tcW w:w="1408" w:type="dxa"/>
          </w:tcPr>
          <w:p w14:paraId="19731E63" w14:textId="77777777" w:rsidR="004A07DC" w:rsidRPr="00A942F6" w:rsidRDefault="004A07DC" w:rsidP="00641834">
            <w:pPr>
              <w:pStyle w:val="TableParagraph"/>
              <w:rPr>
                <w:sz w:val="20"/>
                <w:szCs w:val="20"/>
                <w:lang w:val="nb-NO"/>
              </w:rPr>
            </w:pPr>
          </w:p>
        </w:tc>
      </w:tr>
      <w:tr w:rsidR="004A07DC" w:rsidRPr="00A942F6" w14:paraId="66FA3E0C" w14:textId="77777777" w:rsidTr="00E1582A">
        <w:trPr>
          <w:cantSplit/>
          <w:trHeight w:val="20"/>
        </w:trPr>
        <w:tc>
          <w:tcPr>
            <w:tcW w:w="1980" w:type="dxa"/>
          </w:tcPr>
          <w:p w14:paraId="67B1D48E" w14:textId="77777777" w:rsidR="004A07DC" w:rsidRPr="00A942F6" w:rsidRDefault="004A07DC" w:rsidP="00641834">
            <w:pPr>
              <w:pStyle w:val="TableParagraph"/>
              <w:rPr>
                <w:sz w:val="20"/>
                <w:szCs w:val="20"/>
                <w:lang w:val="nb-NO"/>
              </w:rPr>
            </w:pPr>
          </w:p>
        </w:tc>
        <w:tc>
          <w:tcPr>
            <w:tcW w:w="1922" w:type="dxa"/>
          </w:tcPr>
          <w:p w14:paraId="2C342953" w14:textId="77777777" w:rsidR="004A07DC" w:rsidRPr="00A942F6" w:rsidRDefault="004A07DC" w:rsidP="00641834">
            <w:pPr>
              <w:pStyle w:val="TableParagraph"/>
              <w:rPr>
                <w:sz w:val="20"/>
                <w:szCs w:val="20"/>
                <w:lang w:val="nb-NO"/>
              </w:rPr>
            </w:pPr>
            <w:r w:rsidRPr="00A942F6">
              <w:rPr>
                <w:sz w:val="20"/>
                <w:szCs w:val="20"/>
                <w:lang w:val="nb-NO"/>
              </w:rPr>
              <w:t>Nedsatt antall</w:t>
            </w:r>
          </w:p>
          <w:p w14:paraId="6822118B" w14:textId="77777777" w:rsidR="004A07DC" w:rsidRPr="00A942F6" w:rsidRDefault="004A07DC" w:rsidP="00641834">
            <w:pPr>
              <w:pStyle w:val="TableParagraph"/>
              <w:rPr>
                <w:sz w:val="20"/>
                <w:szCs w:val="20"/>
                <w:lang w:val="nb-NO"/>
              </w:rPr>
            </w:pPr>
            <w:r w:rsidRPr="00A942F6">
              <w:rPr>
                <w:sz w:val="20"/>
                <w:szCs w:val="20"/>
                <w:lang w:val="nb-NO"/>
              </w:rPr>
              <w:t>nøytrofile</w:t>
            </w:r>
          </w:p>
        </w:tc>
        <w:tc>
          <w:tcPr>
            <w:tcW w:w="1831" w:type="dxa"/>
          </w:tcPr>
          <w:p w14:paraId="7E07EAC4" w14:textId="77777777" w:rsidR="004A07DC" w:rsidRPr="00A942F6" w:rsidRDefault="004A07DC" w:rsidP="00641834">
            <w:pPr>
              <w:pStyle w:val="TableParagraph"/>
              <w:rPr>
                <w:sz w:val="20"/>
                <w:szCs w:val="20"/>
                <w:lang w:val="nb-NO"/>
              </w:rPr>
            </w:pPr>
            <w:r w:rsidRPr="00A942F6">
              <w:rPr>
                <w:sz w:val="20"/>
                <w:szCs w:val="20"/>
                <w:lang w:val="nb-NO"/>
              </w:rPr>
              <w:t>sJIA</w:t>
            </w:r>
          </w:p>
        </w:tc>
        <w:tc>
          <w:tcPr>
            <w:tcW w:w="1257" w:type="dxa"/>
          </w:tcPr>
          <w:p w14:paraId="10C66947" w14:textId="77777777" w:rsidR="004A07DC" w:rsidRPr="00A942F6" w:rsidRDefault="004A07DC" w:rsidP="00641834">
            <w:pPr>
              <w:pStyle w:val="TableParagraph"/>
              <w:rPr>
                <w:sz w:val="20"/>
                <w:szCs w:val="20"/>
                <w:lang w:val="nb-NO"/>
              </w:rPr>
            </w:pPr>
            <w:r w:rsidRPr="00A942F6">
              <w:rPr>
                <w:sz w:val="20"/>
                <w:szCs w:val="20"/>
                <w:lang w:val="nb-NO"/>
              </w:rPr>
              <w:t>pJIA</w:t>
            </w:r>
          </w:p>
        </w:tc>
        <w:tc>
          <w:tcPr>
            <w:tcW w:w="1408" w:type="dxa"/>
          </w:tcPr>
          <w:p w14:paraId="26C176E0" w14:textId="77777777" w:rsidR="004A07DC" w:rsidRPr="00A942F6" w:rsidRDefault="004A07DC" w:rsidP="00641834">
            <w:pPr>
              <w:pStyle w:val="TableParagraph"/>
              <w:rPr>
                <w:sz w:val="20"/>
                <w:szCs w:val="20"/>
                <w:lang w:val="nb-NO"/>
              </w:rPr>
            </w:pPr>
          </w:p>
        </w:tc>
      </w:tr>
      <w:tr w:rsidR="004A07DC" w:rsidRPr="00A942F6" w14:paraId="46C29252" w14:textId="77777777" w:rsidTr="00E1582A">
        <w:trPr>
          <w:cantSplit/>
          <w:trHeight w:val="20"/>
        </w:trPr>
        <w:tc>
          <w:tcPr>
            <w:tcW w:w="1980" w:type="dxa"/>
          </w:tcPr>
          <w:p w14:paraId="292B47EC" w14:textId="77777777" w:rsidR="004A07DC" w:rsidRPr="00A942F6" w:rsidRDefault="004A07DC" w:rsidP="00641834">
            <w:pPr>
              <w:pStyle w:val="TableParagraph"/>
              <w:rPr>
                <w:sz w:val="20"/>
                <w:szCs w:val="20"/>
                <w:lang w:val="nb-NO"/>
              </w:rPr>
            </w:pPr>
          </w:p>
        </w:tc>
        <w:tc>
          <w:tcPr>
            <w:tcW w:w="1922" w:type="dxa"/>
          </w:tcPr>
          <w:p w14:paraId="7C730258" w14:textId="77777777" w:rsidR="004A07DC" w:rsidRPr="00A942F6" w:rsidRDefault="004A07DC" w:rsidP="00641834">
            <w:pPr>
              <w:pStyle w:val="TableParagraph"/>
              <w:rPr>
                <w:sz w:val="20"/>
                <w:szCs w:val="20"/>
                <w:lang w:val="nb-NO"/>
              </w:rPr>
            </w:pPr>
            <w:r w:rsidRPr="00A942F6">
              <w:rPr>
                <w:sz w:val="20"/>
                <w:szCs w:val="20"/>
                <w:lang w:val="nb-NO"/>
              </w:rPr>
              <w:t>Nedsatt antall</w:t>
            </w:r>
          </w:p>
          <w:p w14:paraId="632DF376" w14:textId="77777777" w:rsidR="004A07DC" w:rsidRPr="00A942F6" w:rsidRDefault="004A07DC" w:rsidP="00641834">
            <w:pPr>
              <w:pStyle w:val="TableParagraph"/>
              <w:rPr>
                <w:sz w:val="20"/>
                <w:szCs w:val="20"/>
                <w:lang w:val="nb-NO"/>
              </w:rPr>
            </w:pPr>
            <w:r w:rsidRPr="00A942F6">
              <w:rPr>
                <w:sz w:val="20"/>
                <w:szCs w:val="20"/>
                <w:lang w:val="nb-NO"/>
              </w:rPr>
              <w:t>blodplater</w:t>
            </w:r>
          </w:p>
        </w:tc>
        <w:tc>
          <w:tcPr>
            <w:tcW w:w="1831" w:type="dxa"/>
          </w:tcPr>
          <w:p w14:paraId="74E1DBB1" w14:textId="77777777" w:rsidR="004A07DC" w:rsidRPr="00A942F6" w:rsidRDefault="004A07DC" w:rsidP="00641834">
            <w:pPr>
              <w:pStyle w:val="TableParagraph"/>
              <w:rPr>
                <w:sz w:val="20"/>
                <w:szCs w:val="20"/>
                <w:lang w:val="nb-NO"/>
              </w:rPr>
            </w:pPr>
          </w:p>
        </w:tc>
        <w:tc>
          <w:tcPr>
            <w:tcW w:w="1257" w:type="dxa"/>
          </w:tcPr>
          <w:p w14:paraId="17B60FBD" w14:textId="77777777" w:rsidR="004A07DC" w:rsidRPr="00A942F6" w:rsidRDefault="004A07DC" w:rsidP="00641834">
            <w:pPr>
              <w:pStyle w:val="TableParagraph"/>
              <w:rPr>
                <w:sz w:val="20"/>
                <w:szCs w:val="20"/>
                <w:lang w:val="nb-NO"/>
              </w:rPr>
            </w:pPr>
            <w:r w:rsidRPr="00A942F6">
              <w:rPr>
                <w:sz w:val="20"/>
                <w:szCs w:val="20"/>
                <w:lang w:val="nb-NO"/>
              </w:rPr>
              <w:t>sJIA</w:t>
            </w:r>
          </w:p>
        </w:tc>
        <w:tc>
          <w:tcPr>
            <w:tcW w:w="1408" w:type="dxa"/>
          </w:tcPr>
          <w:p w14:paraId="3E8671A5" w14:textId="77777777" w:rsidR="004A07DC" w:rsidRPr="00A942F6" w:rsidRDefault="004A07DC" w:rsidP="00641834">
            <w:pPr>
              <w:pStyle w:val="TableParagraph"/>
              <w:rPr>
                <w:sz w:val="20"/>
                <w:szCs w:val="20"/>
                <w:lang w:val="nb-NO"/>
              </w:rPr>
            </w:pPr>
            <w:r w:rsidRPr="00A942F6">
              <w:rPr>
                <w:sz w:val="20"/>
                <w:szCs w:val="20"/>
                <w:lang w:val="nb-NO"/>
              </w:rPr>
              <w:t>pJIA</w:t>
            </w:r>
          </w:p>
        </w:tc>
      </w:tr>
      <w:tr w:rsidR="004A07DC" w:rsidRPr="00A942F6" w14:paraId="54BA5E0A" w14:textId="77777777" w:rsidTr="00E1582A">
        <w:trPr>
          <w:cantSplit/>
          <w:trHeight w:val="20"/>
        </w:trPr>
        <w:tc>
          <w:tcPr>
            <w:tcW w:w="1980" w:type="dxa"/>
          </w:tcPr>
          <w:p w14:paraId="3174234A" w14:textId="77777777" w:rsidR="004A07DC" w:rsidRPr="00A942F6" w:rsidRDefault="004A07DC" w:rsidP="00641834">
            <w:pPr>
              <w:pStyle w:val="TableParagraph"/>
              <w:rPr>
                <w:sz w:val="20"/>
                <w:szCs w:val="20"/>
                <w:lang w:val="nb-NO"/>
              </w:rPr>
            </w:pPr>
          </w:p>
        </w:tc>
        <w:tc>
          <w:tcPr>
            <w:tcW w:w="1922" w:type="dxa"/>
          </w:tcPr>
          <w:p w14:paraId="4F7A9D02" w14:textId="77777777" w:rsidR="004A07DC" w:rsidRPr="00A942F6" w:rsidRDefault="004A07DC" w:rsidP="00641834">
            <w:pPr>
              <w:pStyle w:val="TableParagraph"/>
              <w:rPr>
                <w:sz w:val="20"/>
                <w:szCs w:val="20"/>
                <w:lang w:val="nb-NO"/>
              </w:rPr>
            </w:pPr>
            <w:r w:rsidRPr="00A942F6">
              <w:rPr>
                <w:sz w:val="20"/>
                <w:szCs w:val="20"/>
                <w:lang w:val="nb-NO"/>
              </w:rPr>
              <w:t>Økt kolesterolnivå</w:t>
            </w:r>
          </w:p>
        </w:tc>
        <w:tc>
          <w:tcPr>
            <w:tcW w:w="1831" w:type="dxa"/>
          </w:tcPr>
          <w:p w14:paraId="2DE62860" w14:textId="77777777" w:rsidR="004A07DC" w:rsidRPr="00A942F6" w:rsidRDefault="004A07DC" w:rsidP="00641834">
            <w:pPr>
              <w:pStyle w:val="TableParagraph"/>
              <w:rPr>
                <w:sz w:val="20"/>
                <w:szCs w:val="20"/>
                <w:lang w:val="nb-NO"/>
              </w:rPr>
            </w:pPr>
          </w:p>
        </w:tc>
        <w:tc>
          <w:tcPr>
            <w:tcW w:w="1257" w:type="dxa"/>
          </w:tcPr>
          <w:p w14:paraId="71A7ABC3" w14:textId="77777777" w:rsidR="004A07DC" w:rsidRPr="00A942F6" w:rsidRDefault="004A07DC" w:rsidP="00641834">
            <w:pPr>
              <w:pStyle w:val="TableParagraph"/>
              <w:rPr>
                <w:sz w:val="20"/>
                <w:szCs w:val="20"/>
                <w:lang w:val="nb-NO"/>
              </w:rPr>
            </w:pPr>
            <w:r w:rsidRPr="00A942F6">
              <w:rPr>
                <w:sz w:val="20"/>
                <w:szCs w:val="20"/>
                <w:lang w:val="nb-NO"/>
              </w:rPr>
              <w:t>sJIA</w:t>
            </w:r>
          </w:p>
        </w:tc>
        <w:tc>
          <w:tcPr>
            <w:tcW w:w="1408" w:type="dxa"/>
          </w:tcPr>
          <w:p w14:paraId="48753D38" w14:textId="77777777" w:rsidR="004A07DC" w:rsidRPr="00A942F6" w:rsidRDefault="004A07DC" w:rsidP="00641834">
            <w:pPr>
              <w:pStyle w:val="TableParagraph"/>
              <w:rPr>
                <w:sz w:val="20"/>
                <w:szCs w:val="20"/>
                <w:lang w:val="nb-NO"/>
              </w:rPr>
            </w:pPr>
            <w:r w:rsidRPr="00A942F6">
              <w:rPr>
                <w:sz w:val="20"/>
                <w:szCs w:val="20"/>
                <w:lang w:val="nb-NO"/>
              </w:rPr>
              <w:t>pJIA</w:t>
            </w:r>
          </w:p>
        </w:tc>
      </w:tr>
    </w:tbl>
    <w:p w14:paraId="0CB69787" w14:textId="77777777" w:rsidR="004A07DC" w:rsidRPr="00A942F6" w:rsidRDefault="004A07DC" w:rsidP="00641834">
      <w:pPr>
        <w:pStyle w:val="tablenote"/>
        <w:numPr>
          <w:ilvl w:val="0"/>
          <w:numId w:val="3"/>
        </w:numPr>
        <w:ind w:left="284" w:hanging="284"/>
        <w:rPr>
          <w:lang w:val="nb-NO"/>
        </w:rPr>
      </w:pPr>
      <w:r w:rsidRPr="00A942F6">
        <w:rPr>
          <w:lang w:val="nb-NO"/>
        </w:rPr>
        <w:t>Infusjonsrelaterte reaksjoner hos pJIA-pasienter ble inkludert, men ikke begrenset til hodepine, kvalme og hypotensjon.</w:t>
      </w:r>
    </w:p>
    <w:p w14:paraId="53DFCD1D" w14:textId="77777777" w:rsidR="004A07DC" w:rsidRPr="00A942F6" w:rsidRDefault="004A07DC" w:rsidP="00641834">
      <w:pPr>
        <w:pStyle w:val="tablenote"/>
        <w:numPr>
          <w:ilvl w:val="0"/>
          <w:numId w:val="16"/>
        </w:numPr>
        <w:ind w:left="284" w:hanging="284"/>
        <w:rPr>
          <w:lang w:val="nb-NO"/>
        </w:rPr>
      </w:pPr>
      <w:r w:rsidRPr="00A942F6">
        <w:rPr>
          <w:lang w:val="nb-NO"/>
        </w:rPr>
        <w:t>Infusjonsrelaterte rekasjoner hos sJIA-pasienter ble inkludert, men ikke begrenset til utslett, urtikaria, smerter i mellomgulvet, leddsmerter og hodepine.</w:t>
      </w:r>
    </w:p>
    <w:p w14:paraId="4BCCBEC8" w14:textId="77777777" w:rsidR="004A07DC" w:rsidRPr="00A942F6" w:rsidRDefault="004A07DC" w:rsidP="00641834">
      <w:pPr>
        <w:rPr>
          <w:lang w:val="nb-NO"/>
        </w:rPr>
      </w:pPr>
    </w:p>
    <w:p w14:paraId="08BFD20E" w14:textId="77777777" w:rsidR="004A07DC" w:rsidRPr="00A942F6" w:rsidRDefault="004A07DC" w:rsidP="00641834">
      <w:pPr>
        <w:pStyle w:val="Style1Iitaic"/>
        <w:rPr>
          <w:lang w:val="nb-NO"/>
        </w:rPr>
      </w:pPr>
      <w:r w:rsidRPr="00A942F6">
        <w:rPr>
          <w:lang w:val="nb-NO"/>
        </w:rPr>
        <w:t>pJIA-pasienter</w:t>
      </w:r>
    </w:p>
    <w:p w14:paraId="41EA1CEE" w14:textId="1BDDF8D7" w:rsidR="004A07DC" w:rsidRPr="00A942F6" w:rsidRDefault="004A07DC" w:rsidP="00641834">
      <w:pPr>
        <w:rPr>
          <w:lang w:val="nb-NO"/>
        </w:rPr>
      </w:pPr>
      <w:r w:rsidRPr="00A942F6">
        <w:rPr>
          <w:lang w:val="nb-NO"/>
        </w:rPr>
        <w:t xml:space="preserve">Sikkerhetsprofilen for intravenøs </w:t>
      </w:r>
      <w:r w:rsidR="00B97FAC" w:rsidRPr="00A942F6">
        <w:rPr>
          <w:lang w:val="nb-NO"/>
        </w:rPr>
        <w:t>tocilizumab</w:t>
      </w:r>
      <w:r w:rsidRPr="00A942F6">
        <w:rPr>
          <w:lang w:val="nb-NO"/>
        </w:rPr>
        <w:t xml:space="preserve"> ved pJIA er studert hos 188 pasienter i alderen 2 til</w:t>
      </w:r>
      <w:r w:rsidR="002C204D" w:rsidRPr="00A942F6">
        <w:rPr>
          <w:lang w:val="nb-NO"/>
        </w:rPr>
        <w:t xml:space="preserve"> </w:t>
      </w:r>
      <w:r w:rsidRPr="00A942F6">
        <w:rPr>
          <w:lang w:val="nb-NO"/>
        </w:rPr>
        <w:t>17 år. Den totale eksponeringen var 184,4 pasientår. Frekvensen av bivirkninger hos pJIA-pasienter er gitt i tabell 3. Bivirkningene hos pJIA-pasienter var av samme type som de som var sett hos RA- og sJIA-pasienter, se pkt. 4.8. Sammenlignet med den voksne RA-populasjonen, var tilfeller av nasofaryngitt, hodepine, kvalme og nedsatt antall nøytrofile hyppigere rapportert hos pJIA- populasjonen. Tilfeller av økt kolesterol var rapportert med en lavere frekvens hos pJIA-populasjonen enn hos den voksne RA-populasjonen.</w:t>
      </w:r>
    </w:p>
    <w:p w14:paraId="4D64B8FE" w14:textId="77777777" w:rsidR="001C5137" w:rsidRPr="00A942F6" w:rsidRDefault="001C5137" w:rsidP="00641834">
      <w:pPr>
        <w:pStyle w:val="Style1Iitaic"/>
        <w:rPr>
          <w:lang w:val="nb-NO"/>
        </w:rPr>
      </w:pPr>
    </w:p>
    <w:p w14:paraId="2C19BCA5" w14:textId="77777777" w:rsidR="004A07DC" w:rsidRPr="00A942F6" w:rsidRDefault="004A07DC" w:rsidP="00641834">
      <w:pPr>
        <w:pStyle w:val="Style1Iitaic"/>
        <w:rPr>
          <w:lang w:val="nb-NO"/>
        </w:rPr>
      </w:pPr>
      <w:r w:rsidRPr="00A942F6">
        <w:rPr>
          <w:lang w:val="nb-NO"/>
        </w:rPr>
        <w:t>Infeksjoner</w:t>
      </w:r>
    </w:p>
    <w:p w14:paraId="7266CDA5" w14:textId="77777777" w:rsidR="004A07DC" w:rsidRPr="00A942F6" w:rsidRDefault="004A07DC" w:rsidP="00641834">
      <w:pPr>
        <w:rPr>
          <w:lang w:val="nb-NO"/>
        </w:rPr>
      </w:pPr>
      <w:r w:rsidRPr="00A942F6">
        <w:rPr>
          <w:lang w:val="nb-NO"/>
        </w:rPr>
        <w:t>Frekvensen av infeksjoner i hele befolkningen som ble eksponert for tocilizumab var 163,7 per 100</w:t>
      </w:r>
      <w:r w:rsidR="00F4296C" w:rsidRPr="00A942F6">
        <w:rPr>
          <w:lang w:val="nb-NO"/>
        </w:rPr>
        <w:t> </w:t>
      </w:r>
      <w:r w:rsidRPr="00A942F6">
        <w:rPr>
          <w:lang w:val="nb-NO"/>
        </w:rPr>
        <w:t xml:space="preserve">pasientår. De vanligste bivirkningne som ble observert, var nasofaryngitt og øvre luftveisinfeksjoner. Frekvensen av alvorlige infeksjoner var numerisk høyere hos pasienter &lt; 30 kg som ble behandlet med 10 mg / kg tocilizumab (12,2 per 100 pasientår) sammenlignet med pasienter </w:t>
      </w:r>
      <w:r w:rsidR="00F4296C" w:rsidRPr="00A942F6">
        <w:rPr>
          <w:rFonts w:cs="Times New Roman"/>
          <w:lang w:val="nb-NO"/>
        </w:rPr>
        <w:t>≥ </w:t>
      </w:r>
      <w:r w:rsidRPr="00A942F6">
        <w:rPr>
          <w:lang w:val="nb-NO"/>
        </w:rPr>
        <w:t>30 kg, behandlet med 8 mg / kg tocilizumab (4,0 per 100 pasientår). Forekomsten av infeksjoner som førte til doseseponring var også tallmessig høyere hos pasienter &lt; 30 kg som ble behandlet med 10 mg / kg tocilizumab (21,4</w:t>
      </w:r>
      <w:r w:rsidR="00F4296C" w:rsidRPr="00A942F6">
        <w:rPr>
          <w:lang w:val="nb-NO"/>
        </w:rPr>
        <w:t xml:space="preserve"> </w:t>
      </w:r>
      <w:r w:rsidRPr="00A942F6">
        <w:rPr>
          <w:lang w:val="nb-NO"/>
        </w:rPr>
        <w:t xml:space="preserve">%) sammenlignet med pasienter </w:t>
      </w:r>
      <w:r w:rsidRPr="00A942F6">
        <w:rPr>
          <w:rFonts w:cs="Times New Roman"/>
          <w:lang w:val="nb-NO"/>
        </w:rPr>
        <w:t>≥</w:t>
      </w:r>
      <w:r w:rsidRPr="00A942F6">
        <w:rPr>
          <w:lang w:val="nb-NO"/>
        </w:rPr>
        <w:t xml:space="preserve"> 30 kg, behandlet med 8 mg / kg tocilizumab (7,6 %).</w:t>
      </w:r>
    </w:p>
    <w:p w14:paraId="6CEC2C9F" w14:textId="77777777" w:rsidR="004A07DC" w:rsidRPr="00A942F6" w:rsidRDefault="004A07DC" w:rsidP="00641834">
      <w:pPr>
        <w:rPr>
          <w:lang w:val="nb-NO"/>
        </w:rPr>
      </w:pPr>
    </w:p>
    <w:p w14:paraId="3B78CF5D" w14:textId="77777777" w:rsidR="004A07DC" w:rsidRPr="00A942F6" w:rsidRDefault="004A07DC" w:rsidP="00641834">
      <w:pPr>
        <w:pStyle w:val="Style1Iitaic"/>
        <w:rPr>
          <w:lang w:val="nb-NO"/>
        </w:rPr>
      </w:pPr>
      <w:r w:rsidRPr="00A942F6">
        <w:rPr>
          <w:lang w:val="nb-NO"/>
        </w:rPr>
        <w:t>Infusjonsrelaterte reaksjoner</w:t>
      </w:r>
    </w:p>
    <w:p w14:paraId="24B80984" w14:textId="77777777" w:rsidR="004A07DC" w:rsidRPr="00A942F6" w:rsidRDefault="004A07DC" w:rsidP="00641834">
      <w:pPr>
        <w:rPr>
          <w:lang w:val="nb-NO"/>
        </w:rPr>
      </w:pPr>
      <w:r w:rsidRPr="00A942F6">
        <w:rPr>
          <w:lang w:val="nb-NO"/>
        </w:rPr>
        <w:t xml:space="preserve">For pJIA-pasienter er infusjonsrelaterte reaksjoner definert som alle bivirkninger som oppstod under eller innen 24 timer etter infusjonen. I hele befolkningen som ble eksponert for tocilizumab, opplevde 11 pasienter (5,9 %) infusjonsrelaterte reaksjoner under infusjonen og 38 pasienter (20,2 %) opplevde en bivirkning innen 24 timer etter en infusjon. De vanligste bivirkningene som oppstod under infusjon var hodepine, kvalme og hypotensjon. De vanligste bivirkningene innen 24 timer etter infusjon var </w:t>
      </w:r>
      <w:r w:rsidRPr="00A942F6">
        <w:rPr>
          <w:lang w:val="nb-NO"/>
        </w:rPr>
        <w:lastRenderedPageBreak/>
        <w:t>svimmelhet og hypotensjon. Generelt, observerte bivirkninger under eller innen 24 timer etter en infusjon var av samme type som de som var sett i RA og sJIA pasienter, se pkt. 4.8.</w:t>
      </w:r>
    </w:p>
    <w:p w14:paraId="4351C18E" w14:textId="77777777" w:rsidR="004A07DC" w:rsidRPr="00A942F6" w:rsidRDefault="004A07DC" w:rsidP="00641834">
      <w:pPr>
        <w:rPr>
          <w:lang w:val="nb-NO"/>
        </w:rPr>
      </w:pPr>
    </w:p>
    <w:p w14:paraId="327B2BB2" w14:textId="2DA01138" w:rsidR="004A07DC" w:rsidRPr="00A942F6" w:rsidRDefault="004A07DC" w:rsidP="00641834">
      <w:pPr>
        <w:rPr>
          <w:lang w:val="nb-NO"/>
        </w:rPr>
      </w:pPr>
      <w:r w:rsidRPr="00A942F6">
        <w:rPr>
          <w:lang w:val="nb-NO"/>
        </w:rPr>
        <w:t xml:space="preserve">Ingen klinsik signifikante hypersensitivitetsreaksjoner assossiert med tocilizumab og ingen hendelser som krevde seponering av </w:t>
      </w:r>
      <w:r w:rsidR="00B97FAC" w:rsidRPr="00A942F6">
        <w:rPr>
          <w:lang w:val="nb-NO"/>
        </w:rPr>
        <w:t>ocilizumab</w:t>
      </w:r>
      <w:r w:rsidRPr="00A942F6">
        <w:rPr>
          <w:lang w:val="nb-NO"/>
        </w:rPr>
        <w:t xml:space="preserve"> ble rapportert.</w:t>
      </w:r>
    </w:p>
    <w:p w14:paraId="301DCE97" w14:textId="77777777" w:rsidR="001C5137" w:rsidRPr="00A942F6" w:rsidRDefault="001C5137" w:rsidP="00641834">
      <w:pPr>
        <w:rPr>
          <w:lang w:val="nb-NO"/>
        </w:rPr>
      </w:pPr>
    </w:p>
    <w:p w14:paraId="028B3520" w14:textId="77777777" w:rsidR="004A07DC" w:rsidRPr="00A942F6" w:rsidRDefault="004A07DC" w:rsidP="00641834">
      <w:pPr>
        <w:pStyle w:val="Style1Iitaic"/>
        <w:rPr>
          <w:lang w:val="nb-NO"/>
        </w:rPr>
      </w:pPr>
      <w:r w:rsidRPr="00A942F6">
        <w:rPr>
          <w:lang w:val="nb-NO"/>
        </w:rPr>
        <w:t>Nøytrofiler</w:t>
      </w:r>
    </w:p>
    <w:p w14:paraId="3181BDEE" w14:textId="77777777" w:rsidR="004A07DC" w:rsidRPr="00A942F6" w:rsidRDefault="004A07DC" w:rsidP="00641834">
      <w:pPr>
        <w:rPr>
          <w:lang w:val="nb-NO"/>
        </w:rPr>
      </w:pPr>
      <w:r w:rsidRPr="00A942F6">
        <w:rPr>
          <w:lang w:val="nb-NO"/>
        </w:rPr>
        <w:t>Den rutinemessige laboratorieovervåkingen av alle pasientene som ble behandlet med tocilizumab, viser reduksjon i antall nøytrofile til under 1 x 10</w:t>
      </w:r>
      <w:r w:rsidRPr="00A942F6">
        <w:rPr>
          <w:vertAlign w:val="superscript"/>
          <w:lang w:val="nb-NO"/>
        </w:rPr>
        <w:t>9</w:t>
      </w:r>
      <w:r w:rsidRPr="00A942F6">
        <w:rPr>
          <w:lang w:val="nb-NO"/>
        </w:rPr>
        <w:t>/l hos 3,7 % av pasientene.</w:t>
      </w:r>
    </w:p>
    <w:p w14:paraId="59601ADE" w14:textId="77777777" w:rsidR="001C5137" w:rsidRPr="00A942F6" w:rsidRDefault="001C5137" w:rsidP="00641834">
      <w:pPr>
        <w:pStyle w:val="Style1Iitaic"/>
        <w:rPr>
          <w:lang w:val="nb-NO"/>
        </w:rPr>
      </w:pPr>
    </w:p>
    <w:p w14:paraId="56F3AB76" w14:textId="77777777" w:rsidR="004A07DC" w:rsidRPr="00A942F6" w:rsidRDefault="004A07DC" w:rsidP="00641834">
      <w:pPr>
        <w:pStyle w:val="Style1Iitaic"/>
        <w:rPr>
          <w:lang w:val="nb-NO"/>
        </w:rPr>
      </w:pPr>
      <w:r w:rsidRPr="00A942F6">
        <w:rPr>
          <w:lang w:val="nb-NO"/>
        </w:rPr>
        <w:t>Blodplater</w:t>
      </w:r>
    </w:p>
    <w:p w14:paraId="5D05AE86" w14:textId="77777777" w:rsidR="004A07DC" w:rsidRPr="00A942F6" w:rsidRDefault="004A07DC" w:rsidP="00641834">
      <w:pPr>
        <w:rPr>
          <w:lang w:val="nb-NO"/>
        </w:rPr>
      </w:pPr>
      <w:r w:rsidRPr="00A942F6">
        <w:rPr>
          <w:lang w:val="nb-NO"/>
        </w:rPr>
        <w:t xml:space="preserve">Den rutinemessige laboratorieovervåkingen av alle pasientene som ble behandlet med tocilizumab, viser reduksjon i antall blodplater til </w:t>
      </w:r>
      <w:r w:rsidRPr="00A942F6">
        <w:rPr>
          <w:rFonts w:cs="Times New Roman"/>
          <w:lang w:val="nb-NO"/>
        </w:rPr>
        <w:t>≤</w:t>
      </w:r>
      <w:r w:rsidRPr="00A942F6">
        <w:rPr>
          <w:lang w:val="nb-NO"/>
        </w:rPr>
        <w:t xml:space="preserve"> 50 x 10</w:t>
      </w:r>
      <w:r w:rsidRPr="00A942F6">
        <w:rPr>
          <w:vertAlign w:val="superscript"/>
          <w:lang w:val="nb-NO"/>
        </w:rPr>
        <w:t>3</w:t>
      </w:r>
      <w:r w:rsidRPr="00A942F6">
        <w:rPr>
          <w:lang w:val="nb-NO"/>
        </w:rPr>
        <w:t>/mikroliter uten relaterte blødninger hos 1 % av pasientene.</w:t>
      </w:r>
    </w:p>
    <w:p w14:paraId="3E0530A8" w14:textId="77777777" w:rsidR="004A07DC" w:rsidRPr="00A942F6" w:rsidRDefault="004A07DC" w:rsidP="00641834">
      <w:pPr>
        <w:rPr>
          <w:lang w:val="nb-NO"/>
        </w:rPr>
      </w:pPr>
    </w:p>
    <w:p w14:paraId="68287F09" w14:textId="77777777" w:rsidR="004A07DC" w:rsidRPr="00A942F6" w:rsidRDefault="004A07DC" w:rsidP="00641834">
      <w:pPr>
        <w:pStyle w:val="Style1Iitaic"/>
        <w:rPr>
          <w:lang w:val="nb-NO"/>
        </w:rPr>
      </w:pPr>
      <w:r w:rsidRPr="00A942F6">
        <w:rPr>
          <w:lang w:val="nb-NO"/>
        </w:rPr>
        <w:t>Forhøyede levertransaminaser</w:t>
      </w:r>
    </w:p>
    <w:p w14:paraId="749E6C96" w14:textId="77777777" w:rsidR="004A07DC" w:rsidRPr="00A942F6" w:rsidRDefault="004A07DC" w:rsidP="00641834">
      <w:pPr>
        <w:rPr>
          <w:lang w:val="nb-NO"/>
        </w:rPr>
      </w:pPr>
      <w:r w:rsidRPr="00A942F6">
        <w:rPr>
          <w:lang w:val="nb-NO"/>
        </w:rPr>
        <w:t xml:space="preserve">Den rutinemessige laboratorieovervåkingen av alle pasientene som ble behandlet med tocilizumab, viser økt ALAT- eller ASAT-nivå til </w:t>
      </w:r>
      <w:r w:rsidRPr="00A942F6">
        <w:rPr>
          <w:rFonts w:cs="Times New Roman"/>
          <w:lang w:val="nb-NO"/>
        </w:rPr>
        <w:t>≥</w:t>
      </w:r>
      <w:r w:rsidRPr="00A942F6">
        <w:rPr>
          <w:lang w:val="nb-NO"/>
        </w:rPr>
        <w:t xml:space="preserve"> 3 x ULN (øvre normalverdi) hos henholdsvis 3,7 % og &lt; 1 % av pasientene.</w:t>
      </w:r>
    </w:p>
    <w:p w14:paraId="7CB89B0B" w14:textId="77777777" w:rsidR="004A07DC" w:rsidRPr="00A942F6" w:rsidRDefault="004A07DC" w:rsidP="00641834">
      <w:pPr>
        <w:rPr>
          <w:lang w:val="nb-NO"/>
        </w:rPr>
      </w:pPr>
    </w:p>
    <w:p w14:paraId="5120EC35" w14:textId="77777777" w:rsidR="004A07DC" w:rsidRPr="00A942F6" w:rsidRDefault="004A07DC" w:rsidP="00641834">
      <w:pPr>
        <w:pStyle w:val="Style1Iitaic"/>
        <w:rPr>
          <w:lang w:val="nb-NO"/>
        </w:rPr>
      </w:pPr>
      <w:r w:rsidRPr="00A942F6">
        <w:rPr>
          <w:lang w:val="nb-NO"/>
        </w:rPr>
        <w:t>Lipidparametre</w:t>
      </w:r>
    </w:p>
    <w:p w14:paraId="771286CA" w14:textId="0529BA7E" w:rsidR="004A07DC" w:rsidRPr="00A942F6" w:rsidRDefault="004A07DC" w:rsidP="00641834">
      <w:pPr>
        <w:rPr>
          <w:lang w:val="nb-NO"/>
        </w:rPr>
      </w:pPr>
      <w:r w:rsidRPr="00A942F6">
        <w:rPr>
          <w:lang w:val="nb-NO"/>
        </w:rPr>
        <w:t xml:space="preserve">Under den rutinemessige laboratorieovervåkingen i studien WA19977 med intravenøs </w:t>
      </w:r>
      <w:r w:rsidR="00B97FAC" w:rsidRPr="00A942F6">
        <w:rPr>
          <w:lang w:val="nb-NO"/>
        </w:rPr>
        <w:t>tocilizumab</w:t>
      </w:r>
      <w:r w:rsidRPr="00A942F6">
        <w:rPr>
          <w:lang w:val="nb-NO"/>
        </w:rPr>
        <w:t xml:space="preserve"> opplevde henholdsvis 3,4 % og 10,4 % av pasientene en økning etter baseline av verdiene for LDL- 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 i løpet av studiebehandlingen.</w:t>
      </w:r>
    </w:p>
    <w:p w14:paraId="1CC9F5E9" w14:textId="77777777" w:rsidR="004A07DC" w:rsidRPr="00A942F6" w:rsidRDefault="004A07DC" w:rsidP="00641834">
      <w:pPr>
        <w:rPr>
          <w:lang w:val="nb-NO"/>
        </w:rPr>
      </w:pPr>
    </w:p>
    <w:p w14:paraId="0AEBAF4F" w14:textId="77777777" w:rsidR="004A07DC" w:rsidRPr="00A942F6" w:rsidRDefault="004A07DC" w:rsidP="00641834">
      <w:pPr>
        <w:pStyle w:val="Style1Iitaic"/>
        <w:rPr>
          <w:lang w:val="nb-NO"/>
        </w:rPr>
      </w:pPr>
      <w:r w:rsidRPr="00A942F6">
        <w:rPr>
          <w:lang w:val="nb-NO"/>
        </w:rPr>
        <w:t>sJIA-pasienter</w:t>
      </w:r>
    </w:p>
    <w:p w14:paraId="0EB11E01" w14:textId="4860ACCF" w:rsidR="004A07DC" w:rsidRPr="00A942F6" w:rsidRDefault="004A07DC" w:rsidP="00641834">
      <w:pPr>
        <w:rPr>
          <w:lang w:val="nb-NO"/>
        </w:rPr>
      </w:pPr>
      <w:r w:rsidRPr="00A942F6">
        <w:rPr>
          <w:lang w:val="nb-NO"/>
        </w:rPr>
        <w:t xml:space="preserve">Sikkerhetsprofilen for intravenøs </w:t>
      </w:r>
      <w:r w:rsidR="00B97FAC" w:rsidRPr="00A942F6">
        <w:rPr>
          <w:lang w:val="nb-NO"/>
        </w:rPr>
        <w:t>tocilizumab</w:t>
      </w:r>
      <w:r w:rsidRPr="00A942F6">
        <w:rPr>
          <w:lang w:val="nb-NO"/>
        </w:rPr>
        <w:t xml:space="preserve"> ved sJIA er studert hos 112 pasienter i alderen 2 til 17 år. I den 12-ukers, dobbeltblinde kontrollerte delen av studien ble 75 pasienter behandlet med tocilizumab (8 mg/kg eller 12 mg/kg avhengig av kroppsvekt). Etter 12 uker eller ved tidspunktet for bytte til </w:t>
      </w:r>
      <w:r w:rsidR="00B97FAC" w:rsidRPr="00A942F6">
        <w:rPr>
          <w:lang w:val="nb-NO"/>
        </w:rPr>
        <w:t>tocilizumab</w:t>
      </w:r>
      <w:r w:rsidRPr="00A942F6">
        <w:rPr>
          <w:lang w:val="nb-NO"/>
        </w:rPr>
        <w:t xml:space="preserve"> på grunn av forverring av sykdommen, ble pasientene behandlet i den åpne forlengelsesfasen.</w:t>
      </w:r>
    </w:p>
    <w:p w14:paraId="3BD8B799" w14:textId="77777777" w:rsidR="001C5137" w:rsidRPr="00A942F6" w:rsidRDefault="001C5137" w:rsidP="00641834">
      <w:pPr>
        <w:rPr>
          <w:lang w:val="nb-NO"/>
        </w:rPr>
      </w:pPr>
    </w:p>
    <w:p w14:paraId="04083B02" w14:textId="77777777" w:rsidR="004A07DC" w:rsidRPr="00A942F6" w:rsidRDefault="004A07DC" w:rsidP="00641834">
      <w:pPr>
        <w:rPr>
          <w:lang w:val="nb-NO"/>
        </w:rPr>
      </w:pPr>
      <w:r w:rsidRPr="00A942F6">
        <w:rPr>
          <w:lang w:val="nb-NO"/>
        </w:rPr>
        <w:t>Generelt var bivirkningene hos sJIA-pasienter av samme type som hos RA-pasienter, se pkt. 4.8. Frekvensen av bivirkninger hos sJIA-pasienter er gitt i tabell 3. Sammenlignet med den voksne RA- populasjonen, var tilfeller av nasofaryngitt, nedsatt antall nøytrofile, forhøyet nivå levertransaminaser og diarè, hyppigere rapportert hos sJIA-populasjonen. Tilfeller av økt kolesterol var rapportert med en lavere frekvens hos sJIA-populasjonen enn hos RA-populasjonen.</w:t>
      </w:r>
    </w:p>
    <w:p w14:paraId="4ACC67B6" w14:textId="77777777" w:rsidR="004A07DC" w:rsidRPr="00A942F6" w:rsidRDefault="004A07DC" w:rsidP="00641834">
      <w:pPr>
        <w:rPr>
          <w:lang w:val="nb-NO"/>
        </w:rPr>
      </w:pPr>
    </w:p>
    <w:p w14:paraId="1EB37C7F" w14:textId="77777777" w:rsidR="004A07DC" w:rsidRPr="00A942F6" w:rsidRDefault="004A07DC" w:rsidP="00641834">
      <w:pPr>
        <w:pStyle w:val="Style1Iitaic"/>
        <w:rPr>
          <w:lang w:val="nb-NO"/>
        </w:rPr>
      </w:pPr>
      <w:r w:rsidRPr="00A942F6">
        <w:rPr>
          <w:lang w:val="nb-NO"/>
        </w:rPr>
        <w:t>Infeksjoner</w:t>
      </w:r>
    </w:p>
    <w:p w14:paraId="66BBE3A2" w14:textId="3FD25E1C" w:rsidR="004A07DC" w:rsidRPr="00A942F6" w:rsidRDefault="004A07DC" w:rsidP="00641834">
      <w:pPr>
        <w:rPr>
          <w:lang w:val="nb-NO"/>
        </w:rPr>
      </w:pPr>
      <w:r w:rsidRPr="00A942F6">
        <w:rPr>
          <w:lang w:val="nb-NO"/>
        </w:rPr>
        <w:t xml:space="preserve">I den 12-ukers kontrollerte delen av studien var den totale infeksjonsraten i gruppen med intravenøs </w:t>
      </w:r>
      <w:r w:rsidR="00B97FAC" w:rsidRPr="00A942F6">
        <w:rPr>
          <w:lang w:val="nb-NO"/>
        </w:rPr>
        <w:t>tocilizumab</w:t>
      </w:r>
      <w:r w:rsidRPr="00A942F6">
        <w:rPr>
          <w:lang w:val="nb-NO"/>
        </w:rPr>
        <w:t xml:space="preserve"> 344,7 per 100 pasientår, mot 287,0 per 100 pasientår i placebogruppen. I den åpne forlengelsesfasen (Del II) var den totale infeksjonsraten omtrent den samme; 306,6 per 100 pasientår.</w:t>
      </w:r>
    </w:p>
    <w:p w14:paraId="5118B357" w14:textId="77777777" w:rsidR="004A07DC" w:rsidRPr="00A942F6" w:rsidRDefault="004A07DC" w:rsidP="00641834">
      <w:pPr>
        <w:rPr>
          <w:lang w:val="nb-NO"/>
        </w:rPr>
      </w:pPr>
    </w:p>
    <w:p w14:paraId="3BA4E341" w14:textId="04713B02" w:rsidR="004A07DC" w:rsidRPr="00A942F6" w:rsidRDefault="004A07DC" w:rsidP="00641834">
      <w:pPr>
        <w:rPr>
          <w:lang w:val="nb-NO"/>
        </w:rPr>
      </w:pPr>
      <w:r w:rsidRPr="00A942F6">
        <w:rPr>
          <w:lang w:val="nb-NO"/>
        </w:rPr>
        <w:t xml:space="preserve">I den 12-ukers kontrollerte delen av studien var raten av alvorlige infeksjoner i gruppen med intravenøs </w:t>
      </w:r>
      <w:r w:rsidR="00B97FAC" w:rsidRPr="00A942F6">
        <w:rPr>
          <w:lang w:val="nb-NO"/>
        </w:rPr>
        <w:t>tocilizumab</w:t>
      </w:r>
      <w:r w:rsidRPr="00A942F6">
        <w:rPr>
          <w:lang w:val="nb-NO"/>
        </w:rPr>
        <w:t xml:space="preserve"> 11,5 per 100 pasientår. Etter ett år i den åpne forlengelsesfasen var totalraten av alvorlige infeksjoner stabil; 11,3 per 100 pasientår. Rapporterte alvorlige infeksjoner var omtrent de samme som for RA-pasienter, med tillegg av varicella og otitis media.</w:t>
      </w:r>
    </w:p>
    <w:p w14:paraId="3FAEF580" w14:textId="77777777" w:rsidR="001C5137" w:rsidRPr="00A942F6" w:rsidRDefault="001C5137" w:rsidP="00641834">
      <w:pPr>
        <w:rPr>
          <w:lang w:val="nb-NO"/>
        </w:rPr>
      </w:pPr>
    </w:p>
    <w:p w14:paraId="360D14E1" w14:textId="77777777" w:rsidR="004A07DC" w:rsidRPr="00A942F6" w:rsidRDefault="004A07DC" w:rsidP="00641834">
      <w:pPr>
        <w:pStyle w:val="Style1Iitaic"/>
        <w:rPr>
          <w:lang w:val="nb-NO"/>
        </w:rPr>
      </w:pPr>
      <w:r w:rsidRPr="00A942F6">
        <w:rPr>
          <w:lang w:val="nb-NO"/>
        </w:rPr>
        <w:t>Infusjonsrelaterte reaksjoner</w:t>
      </w:r>
    </w:p>
    <w:p w14:paraId="2EE6CC5D" w14:textId="77777777" w:rsidR="004A07DC" w:rsidRPr="00A942F6" w:rsidRDefault="004A07DC" w:rsidP="00641834">
      <w:pPr>
        <w:rPr>
          <w:lang w:val="nb-NO"/>
        </w:rPr>
      </w:pPr>
      <w:r w:rsidRPr="00A942F6">
        <w:rPr>
          <w:lang w:val="nb-NO"/>
        </w:rPr>
        <w:t>Infusjonsrelaterte reaksjoner er definert som alle bivirkninger som oppstod under eller innen 24 timer etter infusjonen. I 12-ukers-kontrollfasen opplevde 4 % av pasientene fra tocilizumab-gruppen bivirkninger under infusjon. Én bivirkning (angiødem) ble betraktet som alvorlig og livstruende, og pasienten ble ekskludert fra studiebehandlingen.</w:t>
      </w:r>
    </w:p>
    <w:p w14:paraId="673AD058" w14:textId="77777777" w:rsidR="001C5137" w:rsidRPr="00A942F6" w:rsidRDefault="001C5137" w:rsidP="00641834">
      <w:pPr>
        <w:rPr>
          <w:lang w:val="nb-NO"/>
        </w:rPr>
      </w:pPr>
    </w:p>
    <w:p w14:paraId="5657A186" w14:textId="77777777" w:rsidR="004A07DC" w:rsidRPr="00A942F6" w:rsidRDefault="004A07DC" w:rsidP="00641834">
      <w:pPr>
        <w:rPr>
          <w:lang w:val="nb-NO"/>
        </w:rPr>
      </w:pPr>
      <w:r w:rsidRPr="00A942F6">
        <w:rPr>
          <w:lang w:val="nb-NO"/>
        </w:rPr>
        <w:t xml:space="preserve">I den 12-ukers kontrollerte delen av studien opplevde 16 % av pasientene i tocilizumab-gruppen og 5,4 % av pasientene i placebogruppen en bivirkning innen 24 timer etter infusjon. I tocilizumab- </w:t>
      </w:r>
      <w:r w:rsidRPr="00A942F6">
        <w:rPr>
          <w:lang w:val="nb-NO"/>
        </w:rPr>
        <w:lastRenderedPageBreak/>
        <w:t>gruppen var bivirkningene blant annet utslett, urtikaria, diaré, epigastrisk ubehag, artralgi og hodepine. Én av disse bivirkningene, urtikaria, ble betraktet som alvorlig.</w:t>
      </w:r>
    </w:p>
    <w:p w14:paraId="7ADC7E8C" w14:textId="77777777" w:rsidR="004A07DC" w:rsidRPr="00A942F6" w:rsidRDefault="004A07DC" w:rsidP="00641834">
      <w:pPr>
        <w:rPr>
          <w:lang w:val="nb-NO"/>
        </w:rPr>
      </w:pPr>
    </w:p>
    <w:p w14:paraId="77EFBE23" w14:textId="77777777" w:rsidR="004A07DC" w:rsidRPr="00A942F6" w:rsidRDefault="004A07DC" w:rsidP="00641834">
      <w:pPr>
        <w:rPr>
          <w:lang w:val="nb-NO"/>
        </w:rPr>
      </w:pPr>
      <w:r w:rsidRPr="00A942F6">
        <w:rPr>
          <w:lang w:val="nb-NO"/>
        </w:rPr>
        <w:t>Klinisk signifikante overfølsomhetsreaksjoner relatert til tocilizumab som krevde seponering av behandlingen, ble rapportert hos 1 av 112 pasienter (&lt; 1 %) behandlet med tocilizumab under den kontrollerte delen av studien og før og under den åpne forlengelsesfasen.</w:t>
      </w:r>
    </w:p>
    <w:p w14:paraId="1783F743" w14:textId="77777777" w:rsidR="004A07DC" w:rsidRPr="00A942F6" w:rsidRDefault="004A07DC" w:rsidP="00641834">
      <w:pPr>
        <w:rPr>
          <w:lang w:val="nb-NO"/>
        </w:rPr>
      </w:pPr>
    </w:p>
    <w:p w14:paraId="3CB18FAB" w14:textId="77777777" w:rsidR="004A07DC" w:rsidRPr="00A942F6" w:rsidRDefault="004A07DC" w:rsidP="00641834">
      <w:pPr>
        <w:pStyle w:val="Style1Iitaic"/>
        <w:rPr>
          <w:lang w:val="nb-NO"/>
        </w:rPr>
      </w:pPr>
      <w:r w:rsidRPr="00A942F6">
        <w:rPr>
          <w:lang w:val="nb-NO"/>
        </w:rPr>
        <w:t>Nøytrofiler</w:t>
      </w:r>
    </w:p>
    <w:p w14:paraId="02E17428" w14:textId="77777777" w:rsidR="004A07DC" w:rsidRPr="00A942F6" w:rsidRDefault="004A07DC" w:rsidP="00641834">
      <w:pPr>
        <w:rPr>
          <w:lang w:val="nb-NO"/>
        </w:rPr>
      </w:pPr>
      <w:r w:rsidRPr="00A942F6">
        <w:rPr>
          <w:lang w:val="nb-NO"/>
        </w:rPr>
        <w:t>Under den rutinemessige laboratorieovervåkingen i 12-ukers kontrollerte delen av studien forekom reduksjon i antall nøytrofiler til under 1 x 10</w:t>
      </w:r>
      <w:r w:rsidRPr="00A942F6">
        <w:rPr>
          <w:vertAlign w:val="superscript"/>
          <w:lang w:val="nb-NO"/>
        </w:rPr>
        <w:t>9</w:t>
      </w:r>
      <w:r w:rsidRPr="00A942F6">
        <w:rPr>
          <w:lang w:val="nb-NO"/>
        </w:rPr>
        <w:t>/l hos 7 % av pasientene i tocilizumab-gruppen, mens ingen reduksjon forekom i placebogruppen.</w:t>
      </w:r>
    </w:p>
    <w:p w14:paraId="1E31DEA0" w14:textId="77777777" w:rsidR="001C5137" w:rsidRPr="00A942F6" w:rsidRDefault="001C5137" w:rsidP="00641834">
      <w:pPr>
        <w:rPr>
          <w:lang w:val="nb-NO"/>
        </w:rPr>
      </w:pPr>
    </w:p>
    <w:p w14:paraId="7A366D86" w14:textId="77777777" w:rsidR="004A07DC" w:rsidRPr="00A942F6" w:rsidRDefault="004A07DC" w:rsidP="00641834">
      <w:pPr>
        <w:rPr>
          <w:lang w:val="nb-NO"/>
        </w:rPr>
      </w:pPr>
      <w:r w:rsidRPr="00A942F6">
        <w:rPr>
          <w:lang w:val="nb-NO"/>
        </w:rPr>
        <w:t>I den åpne forlengelsesfasen forekom en reduksjon av antall nøytrofiler til under 1 x 10</w:t>
      </w:r>
      <w:r w:rsidRPr="00A942F6">
        <w:rPr>
          <w:vertAlign w:val="superscript"/>
          <w:lang w:val="nb-NO"/>
        </w:rPr>
        <w:t>9</w:t>
      </w:r>
      <w:r w:rsidRPr="00A942F6">
        <w:rPr>
          <w:lang w:val="nb-NO"/>
        </w:rPr>
        <w:t>/l, hos 15 % i tocilizumab-gruppen.</w:t>
      </w:r>
    </w:p>
    <w:p w14:paraId="1514B6E0" w14:textId="77777777" w:rsidR="001C5137" w:rsidRPr="00A942F6" w:rsidRDefault="001C5137" w:rsidP="00641834">
      <w:pPr>
        <w:rPr>
          <w:lang w:val="nb-NO"/>
        </w:rPr>
      </w:pPr>
    </w:p>
    <w:p w14:paraId="56B87954" w14:textId="77777777" w:rsidR="004A07DC" w:rsidRPr="00A942F6" w:rsidRDefault="004A07DC" w:rsidP="00641834">
      <w:pPr>
        <w:pStyle w:val="Style1Iitaic"/>
        <w:rPr>
          <w:lang w:val="nb-NO"/>
        </w:rPr>
      </w:pPr>
      <w:r w:rsidRPr="00A942F6">
        <w:rPr>
          <w:lang w:val="nb-NO"/>
        </w:rPr>
        <w:t>Blodplater</w:t>
      </w:r>
    </w:p>
    <w:p w14:paraId="7E137011" w14:textId="77777777" w:rsidR="004A07DC" w:rsidRPr="00A942F6" w:rsidRDefault="004A07DC" w:rsidP="00641834">
      <w:pPr>
        <w:rPr>
          <w:lang w:val="nb-NO"/>
        </w:rPr>
      </w:pPr>
      <w:r w:rsidRPr="00A942F6">
        <w:rPr>
          <w:lang w:val="nb-NO"/>
        </w:rPr>
        <w:t xml:space="preserve">Under den rutinemessige laboratorieovervåkingen i den 12-ukers kontrollerte delen av studien forekom en reduksjon av antall blodplater til </w:t>
      </w:r>
      <w:r w:rsidRPr="00A942F6">
        <w:rPr>
          <w:rFonts w:cs="Times New Roman"/>
          <w:lang w:val="nb-NO"/>
        </w:rPr>
        <w:t>≤</w:t>
      </w:r>
      <w:r w:rsidRPr="00A942F6">
        <w:rPr>
          <w:lang w:val="nb-NO"/>
        </w:rPr>
        <w:t xml:space="preserve"> 100 x 10</w:t>
      </w:r>
      <w:r w:rsidRPr="00A942F6">
        <w:rPr>
          <w:vertAlign w:val="superscript"/>
          <w:lang w:val="nb-NO"/>
        </w:rPr>
        <w:t>3</w:t>
      </w:r>
      <w:r w:rsidRPr="00A942F6">
        <w:rPr>
          <w:lang w:val="nb-NO"/>
        </w:rPr>
        <w:t>/mikroliter hos 3 % av pasientene i placebogruppen og hos 1 % i tocilizumab-gruppen.</w:t>
      </w:r>
    </w:p>
    <w:p w14:paraId="4ABF333D" w14:textId="77777777" w:rsidR="004A07DC" w:rsidRPr="00A942F6" w:rsidRDefault="004A07DC" w:rsidP="00641834">
      <w:pPr>
        <w:rPr>
          <w:lang w:val="nb-NO"/>
        </w:rPr>
      </w:pPr>
    </w:p>
    <w:p w14:paraId="241D76C4" w14:textId="77777777" w:rsidR="004A07DC" w:rsidRPr="00A942F6" w:rsidRDefault="004A07DC" w:rsidP="00641834">
      <w:pPr>
        <w:rPr>
          <w:lang w:val="nb-NO"/>
        </w:rPr>
      </w:pPr>
      <w:r w:rsidRPr="00A942F6">
        <w:rPr>
          <w:lang w:val="nb-NO"/>
        </w:rPr>
        <w:t>I den åpne forlengelsesfasen forekom en reduksjon av antall blodplater til under 100 x 10</w:t>
      </w:r>
      <w:r w:rsidRPr="00A942F6">
        <w:rPr>
          <w:vertAlign w:val="superscript"/>
          <w:lang w:val="nb-NO"/>
        </w:rPr>
        <w:t>3</w:t>
      </w:r>
      <w:r w:rsidRPr="00A942F6">
        <w:rPr>
          <w:lang w:val="nb-NO"/>
        </w:rPr>
        <w:t>/mikroliter, hos 3 % av pasientene i tocilizumab-gruppen, uten relaterte blødninger.</w:t>
      </w:r>
    </w:p>
    <w:p w14:paraId="1961FB3F" w14:textId="77777777" w:rsidR="004A07DC" w:rsidRPr="00A942F6" w:rsidRDefault="004A07DC" w:rsidP="00641834">
      <w:pPr>
        <w:rPr>
          <w:lang w:val="nb-NO"/>
        </w:rPr>
      </w:pPr>
    </w:p>
    <w:p w14:paraId="5EF062A5" w14:textId="77777777" w:rsidR="004A07DC" w:rsidRPr="00A942F6" w:rsidRDefault="004A07DC" w:rsidP="00641834">
      <w:pPr>
        <w:pStyle w:val="Style1Iitaic"/>
        <w:rPr>
          <w:lang w:val="nb-NO"/>
        </w:rPr>
      </w:pPr>
      <w:r w:rsidRPr="00A942F6">
        <w:rPr>
          <w:lang w:val="nb-NO"/>
        </w:rPr>
        <w:t>Forhøyede levertransaminaser</w:t>
      </w:r>
    </w:p>
    <w:p w14:paraId="47054E13" w14:textId="77777777" w:rsidR="004A07DC" w:rsidRPr="00A942F6" w:rsidRDefault="004A07DC" w:rsidP="00641834">
      <w:pPr>
        <w:rPr>
          <w:lang w:val="nb-NO"/>
        </w:rPr>
      </w:pPr>
      <w:r w:rsidRPr="00A942F6">
        <w:rPr>
          <w:lang w:val="nb-NO"/>
        </w:rPr>
        <w:t xml:space="preserve">Under den rutinemessige laboratorieovervåkingen i den 12-ukers kontrollerte delen av studien økte ALAT- eller ASAT-nivået til </w:t>
      </w:r>
      <w:r w:rsidRPr="00A942F6">
        <w:rPr>
          <w:rFonts w:cs="Times New Roman"/>
          <w:lang w:val="nb-NO"/>
        </w:rPr>
        <w:t>≥</w:t>
      </w:r>
      <w:r w:rsidRPr="00A942F6">
        <w:rPr>
          <w:lang w:val="nb-NO"/>
        </w:rPr>
        <w:t xml:space="preserve"> 3 x ULN (øvre normalverdi) hos henholdsvis 5 % og 3 % av pasientene i tocilizumab-gruppen og hos 0 % i placebogruppen.</w:t>
      </w:r>
    </w:p>
    <w:p w14:paraId="31910B97" w14:textId="77777777" w:rsidR="001C5137" w:rsidRPr="00A942F6" w:rsidRDefault="001C5137" w:rsidP="00641834">
      <w:pPr>
        <w:rPr>
          <w:lang w:val="nb-NO"/>
        </w:rPr>
      </w:pPr>
    </w:p>
    <w:p w14:paraId="24766DC8" w14:textId="77777777" w:rsidR="004A07DC" w:rsidRPr="00A942F6" w:rsidRDefault="004A07DC" w:rsidP="00641834">
      <w:pPr>
        <w:rPr>
          <w:lang w:val="nb-NO"/>
        </w:rPr>
      </w:pPr>
      <w:r w:rsidRPr="00A942F6">
        <w:rPr>
          <w:lang w:val="nb-NO"/>
        </w:rPr>
        <w:t xml:space="preserve">I den åpne forlengelsesfasen økte ALAT- eller ASAT-nivået til </w:t>
      </w:r>
      <w:r w:rsidRPr="00A942F6">
        <w:rPr>
          <w:rFonts w:cs="Times New Roman"/>
          <w:lang w:val="nb-NO"/>
        </w:rPr>
        <w:t>≥</w:t>
      </w:r>
      <w:r w:rsidRPr="00A942F6">
        <w:rPr>
          <w:lang w:val="nb-NO"/>
        </w:rPr>
        <w:t xml:space="preserve"> 3 x ULN hos henholdsvis 12 % og 4 % av pasientene i tocilizumab-gruppen.</w:t>
      </w:r>
    </w:p>
    <w:p w14:paraId="6E5E67E5" w14:textId="77777777" w:rsidR="001C5137" w:rsidRPr="00A942F6" w:rsidRDefault="001C5137" w:rsidP="00641834">
      <w:pPr>
        <w:pStyle w:val="Style1Iitaic"/>
        <w:rPr>
          <w:lang w:val="nb-NO"/>
        </w:rPr>
      </w:pPr>
    </w:p>
    <w:p w14:paraId="36C4BF04" w14:textId="77777777" w:rsidR="004A07DC" w:rsidRPr="00A942F6" w:rsidRDefault="004A07DC" w:rsidP="00641834">
      <w:pPr>
        <w:pStyle w:val="Style1Iitaic"/>
        <w:rPr>
          <w:lang w:val="nb-NO"/>
        </w:rPr>
      </w:pPr>
      <w:r w:rsidRPr="00A942F6">
        <w:rPr>
          <w:lang w:val="nb-NO"/>
        </w:rPr>
        <w:t>Immunoglobulin G</w:t>
      </w:r>
    </w:p>
    <w:p w14:paraId="34E0DBFD" w14:textId="77777777" w:rsidR="004A07DC" w:rsidRPr="00A942F6" w:rsidRDefault="004A07DC" w:rsidP="00641834">
      <w:pPr>
        <w:rPr>
          <w:lang w:val="nb-NO"/>
        </w:rPr>
      </w:pPr>
      <w:r w:rsidRPr="00A942F6">
        <w:rPr>
          <w:lang w:val="nb-NO"/>
        </w:rPr>
        <w:t>IgG nivåer synker i løpet av behandlingen. 15 pasienter opplevde en senkning til den nedre grense av normalverdien i løpet av studien.</w:t>
      </w:r>
    </w:p>
    <w:p w14:paraId="31644317" w14:textId="77777777" w:rsidR="004A07DC" w:rsidRPr="00A942F6" w:rsidRDefault="004A07DC" w:rsidP="00641834">
      <w:pPr>
        <w:rPr>
          <w:lang w:val="nb-NO"/>
        </w:rPr>
      </w:pPr>
    </w:p>
    <w:p w14:paraId="6E6E9C73" w14:textId="77777777" w:rsidR="004A07DC" w:rsidRPr="00A942F6" w:rsidRDefault="004A07DC" w:rsidP="00641834">
      <w:pPr>
        <w:pStyle w:val="Style1Iitaic"/>
        <w:rPr>
          <w:lang w:val="nb-NO"/>
        </w:rPr>
      </w:pPr>
      <w:r w:rsidRPr="00A942F6">
        <w:rPr>
          <w:lang w:val="nb-NO"/>
        </w:rPr>
        <w:t>Lipidparametre</w:t>
      </w:r>
    </w:p>
    <w:p w14:paraId="2474D27A" w14:textId="77777777" w:rsidR="004A07DC" w:rsidRPr="00A942F6" w:rsidRDefault="004A07DC" w:rsidP="00641834">
      <w:pPr>
        <w:rPr>
          <w:lang w:val="nb-NO"/>
        </w:rPr>
      </w:pPr>
      <w:r w:rsidRPr="00A942F6">
        <w:rPr>
          <w:lang w:val="nb-NO"/>
        </w:rPr>
        <w:t xml:space="preserve">Under den rutinemessige laboratorieovervåkingen i den 12-ukers kontrollerte delen (studien WA18221) opplevde henholdsvis 13,4 % og 33,3 % av pasientene en økning etter baseline av verdiene for LDL-kolesterol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 i løpet av studiebehandlingen.</w:t>
      </w:r>
    </w:p>
    <w:p w14:paraId="30BB5EF9" w14:textId="77777777" w:rsidR="004A07DC" w:rsidRPr="00A942F6" w:rsidRDefault="004A07DC" w:rsidP="00641834">
      <w:pPr>
        <w:rPr>
          <w:lang w:val="nb-NO"/>
        </w:rPr>
      </w:pPr>
    </w:p>
    <w:p w14:paraId="1F374954" w14:textId="77777777" w:rsidR="004A07DC" w:rsidRPr="00A942F6" w:rsidRDefault="004A07DC" w:rsidP="00641834">
      <w:pPr>
        <w:rPr>
          <w:lang w:val="nb-NO"/>
        </w:rPr>
      </w:pPr>
      <w:r w:rsidRPr="00A942F6">
        <w:rPr>
          <w:lang w:val="nb-NO"/>
        </w:rPr>
        <w:t xml:space="preserve">I den åpne forlengelsesfasen (studien WA18221) opplevde henholdsvis 13,2 % og 27,7 % av pasientene en økning etter baseline av verdiene for LDL-kolesterol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 i løpet av studiebehandlingen.</w:t>
      </w:r>
    </w:p>
    <w:p w14:paraId="2704F14F" w14:textId="77777777" w:rsidR="004A07DC" w:rsidRPr="00A942F6" w:rsidRDefault="004A07DC" w:rsidP="00641834">
      <w:pPr>
        <w:rPr>
          <w:lang w:val="nb-NO"/>
        </w:rPr>
      </w:pPr>
    </w:p>
    <w:p w14:paraId="03AA3CB8" w14:textId="77777777" w:rsidR="004A07DC" w:rsidRPr="00A942F6" w:rsidRDefault="004A07DC" w:rsidP="00641834">
      <w:pPr>
        <w:pStyle w:val="Style1underline"/>
        <w:rPr>
          <w:lang w:val="nb-NO"/>
        </w:rPr>
      </w:pPr>
      <w:r w:rsidRPr="00A942F6">
        <w:rPr>
          <w:lang w:val="nb-NO"/>
        </w:rPr>
        <w:t>CRS-pasienter</w:t>
      </w:r>
    </w:p>
    <w:p w14:paraId="34E80A3A" w14:textId="77777777" w:rsidR="004A07DC" w:rsidRPr="00A942F6" w:rsidRDefault="004A07DC" w:rsidP="00641834">
      <w:pPr>
        <w:rPr>
          <w:lang w:val="nb-NO"/>
        </w:rPr>
      </w:pPr>
      <w:r w:rsidRPr="00A942F6">
        <w:rPr>
          <w:lang w:val="nb-NO"/>
        </w:rPr>
        <w:t>Sikkerheten av tocilizumab ved CRS har blitt evaluert i en retrospektiv analyse av data fra kliniske studier, der 51 pasienter ble behandlet med intravenøs tocilizumab 8 mg/kg (12 mg/kg for pasienter under 30 kg) med eller uten ytterligere høydose kortikosteroider for alvorlig eller livstruende CAR T- celleinducert CRS. En median på 1 dose tocilizumab (variasjonsbredde, 1-4 doser) ble administrert.</w:t>
      </w:r>
    </w:p>
    <w:p w14:paraId="44DD336E" w14:textId="77777777" w:rsidR="001C5137" w:rsidRPr="00A942F6" w:rsidRDefault="001C5137" w:rsidP="00641834">
      <w:pPr>
        <w:rPr>
          <w:lang w:val="nb-NO"/>
        </w:rPr>
      </w:pPr>
    </w:p>
    <w:p w14:paraId="750ACD10" w14:textId="77777777" w:rsidR="00B97FAC" w:rsidRPr="00A942F6" w:rsidRDefault="00B97FAC" w:rsidP="00B97FAC">
      <w:pPr>
        <w:rPr>
          <w:u w:val="single"/>
          <w:lang w:val="nb-NO"/>
        </w:rPr>
      </w:pPr>
      <w:r w:rsidRPr="00A942F6">
        <w:rPr>
          <w:u w:val="single"/>
          <w:lang w:val="nb-NO"/>
        </w:rPr>
        <w:t>Immunogenisitet</w:t>
      </w:r>
    </w:p>
    <w:p w14:paraId="3A69D14E" w14:textId="77777777" w:rsidR="00B97FAC" w:rsidRPr="00A942F6" w:rsidRDefault="00B97FAC" w:rsidP="00B97FAC">
      <w:pPr>
        <w:rPr>
          <w:lang w:val="nb-NO"/>
        </w:rPr>
      </w:pPr>
      <w:r w:rsidRPr="00A942F6">
        <w:rPr>
          <w:lang w:val="nb-NO"/>
        </w:rPr>
        <w:t>Anti</w:t>
      </w:r>
      <w:r w:rsidR="003B558D">
        <w:rPr>
          <w:lang w:val="nb-NO"/>
        </w:rPr>
        <w:noBreakHyphen/>
      </w:r>
      <w:r w:rsidRPr="00A942F6">
        <w:rPr>
          <w:lang w:val="nb-NO"/>
        </w:rPr>
        <w:t>tocilizumab</w:t>
      </w:r>
      <w:r w:rsidR="003B558D">
        <w:rPr>
          <w:lang w:val="nb-NO"/>
        </w:rPr>
        <w:noBreakHyphen/>
      </w:r>
      <w:r w:rsidRPr="00A942F6">
        <w:rPr>
          <w:lang w:val="nb-NO"/>
        </w:rPr>
        <w:t>antistoffer kan utvikles under tocilizumab</w:t>
      </w:r>
      <w:r w:rsidR="003B558D">
        <w:rPr>
          <w:lang w:val="nb-NO"/>
        </w:rPr>
        <w:noBreakHyphen/>
      </w:r>
      <w:r w:rsidRPr="00A942F6">
        <w:rPr>
          <w:lang w:val="nb-NO"/>
        </w:rPr>
        <w:t xml:space="preserve">behandling. Korrelasjon mellom </w:t>
      </w:r>
      <w:r w:rsidR="005832F6" w:rsidRPr="00A942F6">
        <w:rPr>
          <w:lang w:val="nb-NO"/>
        </w:rPr>
        <w:t xml:space="preserve">utvikling av </w:t>
      </w:r>
      <w:r w:rsidRPr="00A942F6">
        <w:rPr>
          <w:lang w:val="nb-NO"/>
        </w:rPr>
        <w:t>antistoff</w:t>
      </w:r>
      <w:r w:rsidR="005832F6" w:rsidRPr="00A942F6">
        <w:rPr>
          <w:lang w:val="nb-NO"/>
        </w:rPr>
        <w:t xml:space="preserve">er </w:t>
      </w:r>
      <w:r w:rsidRPr="00A942F6">
        <w:rPr>
          <w:lang w:val="nb-NO"/>
        </w:rPr>
        <w:t xml:space="preserve">og klinisk respons eller bivirkninger kan </w:t>
      </w:r>
      <w:r w:rsidR="00C945E8" w:rsidRPr="00A942F6">
        <w:rPr>
          <w:lang w:val="nb-NO"/>
        </w:rPr>
        <w:t>observeres</w:t>
      </w:r>
      <w:r w:rsidRPr="00A942F6">
        <w:rPr>
          <w:lang w:val="nb-NO"/>
        </w:rPr>
        <w:t>.</w:t>
      </w:r>
    </w:p>
    <w:p w14:paraId="088F65CC" w14:textId="77777777" w:rsidR="00B97FAC" w:rsidRPr="00A942F6" w:rsidRDefault="00B97FAC" w:rsidP="00641834">
      <w:pPr>
        <w:rPr>
          <w:lang w:val="nb-NO"/>
        </w:rPr>
      </w:pPr>
    </w:p>
    <w:p w14:paraId="0040E907" w14:textId="77777777" w:rsidR="004A07DC" w:rsidRPr="00A942F6" w:rsidRDefault="004A07DC" w:rsidP="00641834">
      <w:pPr>
        <w:pStyle w:val="Style1underline"/>
        <w:rPr>
          <w:lang w:val="nb-NO"/>
        </w:rPr>
      </w:pPr>
      <w:r w:rsidRPr="00A942F6">
        <w:rPr>
          <w:lang w:val="nb-NO"/>
        </w:rPr>
        <w:t>Melding av mistenkte bivirkninger</w:t>
      </w:r>
    </w:p>
    <w:p w14:paraId="55386192" w14:textId="77777777" w:rsidR="004A07DC" w:rsidRPr="00A942F6" w:rsidRDefault="004A07DC" w:rsidP="00641834">
      <w:pPr>
        <w:rPr>
          <w:lang w:val="nb-NO"/>
        </w:rPr>
      </w:pPr>
      <w:r w:rsidRPr="00A942F6">
        <w:rPr>
          <w:lang w:val="nb-NO"/>
        </w:rPr>
        <w:t xml:space="preserve">Melding av mistenkte bivirkninger etter godkjenning av legemidlet er viktig. Det gjør det mulig å overvåke forholdet mellom nytte og risiko for legemidlet kontinuerlig. Helsepersonell oppfordres til å </w:t>
      </w:r>
      <w:r w:rsidRPr="00A942F6">
        <w:rPr>
          <w:lang w:val="nb-NO"/>
        </w:rPr>
        <w:lastRenderedPageBreak/>
        <w:t xml:space="preserve">melde enhver mistenkt bivirkning. Dette gjøres via </w:t>
      </w:r>
      <w:r w:rsidRPr="00CB45D2">
        <w:rPr>
          <w:highlight w:val="lightGray"/>
          <w:shd w:val="pct35" w:color="auto" w:fill="auto"/>
          <w:lang w:val="nb-NO"/>
        </w:rPr>
        <w:t xml:space="preserve">det nasjonale meldesystemet som beskrevet i </w:t>
      </w:r>
      <w:hyperlink r:id="rId12" w:history="1">
        <w:r w:rsidRPr="00CB45D2">
          <w:rPr>
            <w:rStyle w:val="a6"/>
            <w:color w:val="0000FF"/>
            <w:highlight w:val="lightGray"/>
            <w:shd w:val="pct35" w:color="auto" w:fill="auto"/>
            <w:lang w:val="nb-NO"/>
          </w:rPr>
          <w:t>Appendix V</w:t>
        </w:r>
      </w:hyperlink>
      <w:r w:rsidRPr="00A942F6">
        <w:rPr>
          <w:lang w:val="nb-NO"/>
        </w:rPr>
        <w:t>.</w:t>
      </w:r>
    </w:p>
    <w:p w14:paraId="6F040870" w14:textId="77777777" w:rsidR="004A07DC" w:rsidRPr="00A942F6" w:rsidRDefault="004A07DC" w:rsidP="00641834">
      <w:pPr>
        <w:rPr>
          <w:lang w:val="nb-NO"/>
        </w:rPr>
      </w:pPr>
    </w:p>
    <w:p w14:paraId="08C49638" w14:textId="77777777" w:rsidR="004A07DC" w:rsidRPr="00A942F6" w:rsidRDefault="004A07DC" w:rsidP="00641834">
      <w:pPr>
        <w:pStyle w:val="H2"/>
        <w:rPr>
          <w:lang w:val="nb-NO"/>
        </w:rPr>
      </w:pPr>
      <w:r w:rsidRPr="00A942F6">
        <w:rPr>
          <w:lang w:val="nb-NO"/>
        </w:rPr>
        <w:t>4.9</w:t>
      </w:r>
      <w:r w:rsidRPr="00A942F6">
        <w:rPr>
          <w:lang w:val="nb-NO"/>
        </w:rPr>
        <w:tab/>
        <w:t>Overdosering</w:t>
      </w:r>
    </w:p>
    <w:p w14:paraId="78C39A9D" w14:textId="77777777" w:rsidR="00426296" w:rsidRPr="00A942F6" w:rsidRDefault="00426296" w:rsidP="00641834">
      <w:pPr>
        <w:pStyle w:val="H2"/>
        <w:rPr>
          <w:lang w:val="nb-NO"/>
        </w:rPr>
      </w:pPr>
    </w:p>
    <w:p w14:paraId="030F62B0" w14:textId="71224C6D" w:rsidR="004A07DC" w:rsidRPr="00A942F6" w:rsidRDefault="004A07DC" w:rsidP="00641834">
      <w:pPr>
        <w:rPr>
          <w:lang w:val="nb-NO"/>
        </w:rPr>
      </w:pPr>
      <w:r w:rsidRPr="00A942F6">
        <w:rPr>
          <w:lang w:val="nb-NO"/>
        </w:rPr>
        <w:t xml:space="preserve">Det er begrensede data tilgjengelig vedrørende overdosering av </w:t>
      </w:r>
      <w:r w:rsidR="00C945E8" w:rsidRPr="00A942F6">
        <w:rPr>
          <w:lang w:val="nb-NO"/>
        </w:rPr>
        <w:t>tocilizumab</w:t>
      </w:r>
      <w:r w:rsidRPr="00A942F6">
        <w:rPr>
          <w:lang w:val="nb-NO"/>
        </w:rPr>
        <w:t>. Et tilfelle av utilsiktet overdosering ble rapportert der en pasient med multippelt myelom fikk en enkeltdose på 40 mg/kg. Ingen bivirkninger ble observert.</w:t>
      </w:r>
    </w:p>
    <w:p w14:paraId="0049B1EA" w14:textId="77777777" w:rsidR="004A07DC" w:rsidRPr="00A942F6" w:rsidRDefault="004A07DC" w:rsidP="00641834">
      <w:pPr>
        <w:rPr>
          <w:lang w:val="nb-NO"/>
        </w:rPr>
      </w:pPr>
    </w:p>
    <w:p w14:paraId="263B056D" w14:textId="77777777" w:rsidR="004A07DC" w:rsidRPr="00A942F6" w:rsidRDefault="004A07DC" w:rsidP="00641834">
      <w:pPr>
        <w:rPr>
          <w:lang w:val="nb-NO"/>
        </w:rPr>
      </w:pPr>
      <w:r w:rsidRPr="00A942F6">
        <w:rPr>
          <w:lang w:val="nb-NO"/>
        </w:rPr>
        <w:t>Ingen alvorlige bivirkninger ble observert hos friske frivillige som fikk enkeltdoser på opptil 28</w:t>
      </w:r>
      <w:r w:rsidR="00552B50" w:rsidRPr="00A942F6">
        <w:rPr>
          <w:lang w:val="nb-NO"/>
        </w:rPr>
        <w:t> </w:t>
      </w:r>
      <w:r w:rsidRPr="00A942F6">
        <w:rPr>
          <w:lang w:val="nb-NO"/>
        </w:rPr>
        <w:t>mg/kg, selv om doseavhengig nøytropeni ble observert.</w:t>
      </w:r>
    </w:p>
    <w:p w14:paraId="414BDF8A" w14:textId="77777777" w:rsidR="004A07DC" w:rsidRPr="00A942F6" w:rsidRDefault="004A07DC" w:rsidP="00641834">
      <w:pPr>
        <w:rPr>
          <w:lang w:val="nb-NO"/>
        </w:rPr>
      </w:pPr>
    </w:p>
    <w:p w14:paraId="16CB7C83" w14:textId="77777777" w:rsidR="004A07DC" w:rsidRPr="00A942F6" w:rsidRDefault="004A07DC" w:rsidP="00641834">
      <w:pPr>
        <w:pStyle w:val="Style2underlinebold"/>
        <w:rPr>
          <w:lang w:val="nb-NO"/>
        </w:rPr>
      </w:pPr>
      <w:r w:rsidRPr="00A942F6">
        <w:rPr>
          <w:lang w:val="nb-NO"/>
        </w:rPr>
        <w:t>Barn og ungdom</w:t>
      </w:r>
    </w:p>
    <w:p w14:paraId="17747D17" w14:textId="77777777" w:rsidR="00552B50" w:rsidRPr="00A942F6" w:rsidRDefault="00552B50" w:rsidP="00641834">
      <w:pPr>
        <w:rPr>
          <w:lang w:val="nb-NO"/>
        </w:rPr>
      </w:pPr>
    </w:p>
    <w:p w14:paraId="6AEFAA7A" w14:textId="77777777" w:rsidR="004A07DC" w:rsidRPr="00A942F6" w:rsidRDefault="004A07DC" w:rsidP="00641834">
      <w:pPr>
        <w:rPr>
          <w:lang w:val="nb-NO"/>
        </w:rPr>
      </w:pPr>
      <w:r w:rsidRPr="00A942F6">
        <w:rPr>
          <w:lang w:val="nb-NO"/>
        </w:rPr>
        <w:t>Ingen tilfeller av overdose hos barn og ungdom har blitt observert.</w:t>
      </w:r>
    </w:p>
    <w:p w14:paraId="076C0355" w14:textId="77777777" w:rsidR="004A07DC" w:rsidRPr="00A942F6" w:rsidRDefault="004A07DC" w:rsidP="00641834">
      <w:pPr>
        <w:rPr>
          <w:lang w:val="nb-NO"/>
        </w:rPr>
      </w:pPr>
    </w:p>
    <w:p w14:paraId="55C894D7" w14:textId="77777777" w:rsidR="004A07DC" w:rsidRPr="00A942F6" w:rsidRDefault="004A07DC" w:rsidP="00641834">
      <w:pPr>
        <w:rPr>
          <w:lang w:val="nb-NO"/>
        </w:rPr>
      </w:pPr>
    </w:p>
    <w:p w14:paraId="0B02E875" w14:textId="77777777" w:rsidR="004A07DC" w:rsidRPr="00A942F6" w:rsidRDefault="004A07DC" w:rsidP="00641834">
      <w:pPr>
        <w:pStyle w:val="H1"/>
        <w:rPr>
          <w:lang w:val="nb-NO"/>
        </w:rPr>
      </w:pPr>
      <w:r w:rsidRPr="00A942F6">
        <w:rPr>
          <w:lang w:val="nb-NO"/>
        </w:rPr>
        <w:t>5.</w:t>
      </w:r>
      <w:r w:rsidRPr="00A942F6">
        <w:rPr>
          <w:lang w:val="nb-NO"/>
        </w:rPr>
        <w:tab/>
        <w:t>FARMAKOLOGISKE EGENSKAPER</w:t>
      </w:r>
    </w:p>
    <w:p w14:paraId="099C76A5" w14:textId="77777777" w:rsidR="004A07DC" w:rsidRPr="00A942F6" w:rsidRDefault="004A07DC" w:rsidP="00641834">
      <w:pPr>
        <w:rPr>
          <w:lang w:val="nb-NO"/>
        </w:rPr>
      </w:pPr>
    </w:p>
    <w:p w14:paraId="52805CE0" w14:textId="77777777" w:rsidR="004A07DC" w:rsidRPr="00A942F6" w:rsidRDefault="004A07DC" w:rsidP="00641834">
      <w:pPr>
        <w:pStyle w:val="H2"/>
        <w:rPr>
          <w:lang w:val="nb-NO"/>
        </w:rPr>
      </w:pPr>
      <w:r w:rsidRPr="00A942F6">
        <w:rPr>
          <w:lang w:val="nb-NO"/>
        </w:rPr>
        <w:t>5.1</w:t>
      </w:r>
      <w:r w:rsidRPr="00A942F6">
        <w:rPr>
          <w:lang w:val="nb-NO"/>
        </w:rPr>
        <w:tab/>
        <w:t>Farmakodynamiske egenskaper</w:t>
      </w:r>
    </w:p>
    <w:p w14:paraId="2177DB6A" w14:textId="77777777" w:rsidR="00426296" w:rsidRPr="00A942F6" w:rsidRDefault="00426296" w:rsidP="00641834">
      <w:pPr>
        <w:rPr>
          <w:lang w:val="nb-NO"/>
        </w:rPr>
      </w:pPr>
    </w:p>
    <w:p w14:paraId="0E29236A" w14:textId="77777777" w:rsidR="004A07DC" w:rsidRPr="00A942F6" w:rsidRDefault="004A07DC" w:rsidP="00641834">
      <w:pPr>
        <w:rPr>
          <w:lang w:val="nb-NO"/>
        </w:rPr>
      </w:pPr>
      <w:r w:rsidRPr="00A942F6">
        <w:rPr>
          <w:lang w:val="nb-NO"/>
        </w:rPr>
        <w:t>Farmakoterapeutisk gruppe: Immunsuppressiver, interleukinhemmere. ATC-kode: L04AC07.</w:t>
      </w:r>
    </w:p>
    <w:p w14:paraId="5B404BEF" w14:textId="77777777" w:rsidR="004A07DC" w:rsidRPr="00A942F6" w:rsidRDefault="004A07DC" w:rsidP="00641834">
      <w:pPr>
        <w:rPr>
          <w:lang w:val="nb-NO"/>
        </w:rPr>
      </w:pPr>
    </w:p>
    <w:p w14:paraId="4CADF307" w14:textId="77777777" w:rsidR="00C945E8" w:rsidRPr="00A942F6" w:rsidRDefault="00C945E8" w:rsidP="00641834">
      <w:pPr>
        <w:rPr>
          <w:lang w:val="nb-NO"/>
        </w:rPr>
      </w:pPr>
      <w:r w:rsidRPr="00A942F6">
        <w:rPr>
          <w:lang w:val="nb-NO"/>
        </w:rPr>
        <w:t xml:space="preserve">Avtozma er et biotilsvarende (”biosimilar”) legemiddel. Detaljert informasjon er tilgjengelig på nettstedet til Det europeiske legemiddelkontoret (the European Medicines Agency) </w:t>
      </w:r>
      <w:hyperlink r:id="rId13" w:history="1">
        <w:r w:rsidRPr="00434BCD">
          <w:rPr>
            <w:rStyle w:val="a6"/>
            <w:color w:val="0000FF"/>
            <w:lang w:val="nb-NO"/>
          </w:rPr>
          <w:t>https://www.ema.europa.eu</w:t>
        </w:r>
      </w:hyperlink>
      <w:r w:rsidRPr="00A942F6">
        <w:rPr>
          <w:lang w:val="nb-NO"/>
        </w:rPr>
        <w:t>.</w:t>
      </w:r>
    </w:p>
    <w:p w14:paraId="48514044" w14:textId="77777777" w:rsidR="00C945E8" w:rsidRPr="00A942F6" w:rsidRDefault="00C945E8" w:rsidP="00641834">
      <w:pPr>
        <w:rPr>
          <w:lang w:val="nb-NO"/>
        </w:rPr>
      </w:pPr>
    </w:p>
    <w:p w14:paraId="701B39AE" w14:textId="77777777" w:rsidR="004A07DC" w:rsidRPr="00A942F6" w:rsidRDefault="004A07DC" w:rsidP="00641834">
      <w:pPr>
        <w:pStyle w:val="Style1underline"/>
        <w:rPr>
          <w:lang w:val="nb-NO"/>
        </w:rPr>
      </w:pPr>
      <w:r w:rsidRPr="00A942F6">
        <w:rPr>
          <w:lang w:val="nb-NO"/>
        </w:rPr>
        <w:t>Virkningsmekanisme</w:t>
      </w:r>
    </w:p>
    <w:p w14:paraId="5F80C544" w14:textId="77777777" w:rsidR="004A07DC" w:rsidRPr="00A942F6" w:rsidRDefault="004A07DC" w:rsidP="00641834">
      <w:pPr>
        <w:rPr>
          <w:lang w:val="nb-NO"/>
        </w:rPr>
      </w:pPr>
      <w:r w:rsidRPr="00A942F6">
        <w:rPr>
          <w:lang w:val="nb-NO"/>
        </w:rPr>
        <w:t>Tocilizumab bindes spesifikt til både løselige og membranbundne IL-6 reseptorer (sIL-6R og mIL- 6R). Det er vist at tocilizumab inhiberer sIL-6R- og mIL-6R-mediert signalering. IL-6 er et pleiotropisk proinflammatorisk cytokin som produseres av en rekke celletyper, inkludert T- og B- celler, monocytter og fibroblaster. IL-6 er involvert i forskjellige fysiologiske prosesser som T- celleaktivering, induksjon av immunglobulinsekresjon, induksjon av hepatisk akuttfaseprotein-syntese og stimulering av hematopoese. IL-6 synes å være medvirkende i patogenesen av sykdommer som inflammasjonssykdommer, osteoporose og neoplasi.</w:t>
      </w:r>
    </w:p>
    <w:p w14:paraId="6A1CA1AF" w14:textId="77777777" w:rsidR="000A09E6" w:rsidRPr="00A942F6" w:rsidRDefault="000A09E6" w:rsidP="00641834">
      <w:pPr>
        <w:rPr>
          <w:lang w:val="nb-NO"/>
        </w:rPr>
      </w:pPr>
    </w:p>
    <w:p w14:paraId="6773AA90" w14:textId="77777777" w:rsidR="004A07DC" w:rsidRPr="00A942F6" w:rsidRDefault="004A07DC" w:rsidP="00641834">
      <w:pPr>
        <w:pStyle w:val="Style1underline"/>
        <w:rPr>
          <w:lang w:val="nb-NO"/>
        </w:rPr>
      </w:pPr>
      <w:r w:rsidRPr="00A942F6">
        <w:rPr>
          <w:lang w:val="nb-NO"/>
        </w:rPr>
        <w:t>Farmakodynamiske effekter</w:t>
      </w:r>
    </w:p>
    <w:p w14:paraId="5B63370B" w14:textId="77777777" w:rsidR="004A07DC" w:rsidRPr="00A942F6" w:rsidRDefault="004A07DC" w:rsidP="00641834">
      <w:pPr>
        <w:rPr>
          <w:lang w:val="nb-NO"/>
        </w:rPr>
      </w:pPr>
      <w:r w:rsidRPr="00A942F6">
        <w:rPr>
          <w:lang w:val="nb-NO"/>
        </w:rPr>
        <w:t>Kliniske studier med RA-pasienter behandlet med tocilizumab viser rask reduksjon av CRP, senkningsreaksjon (SR), serumamyloid A (SAA) og fibrinogen. Behandling med tocilizumab er forbundet med reduksjon i platetall innenfor normalverdiene, som er forenlig med effekten på akuttfase-reaktanter. Økning i hemoglobinnivå er sett. Dette skyldes at tocilizumab reduserer IL-6- drevet hepcidinproduksjon som øker tilgjengeligheten av jern. Hos pasienter behandlet med tocilizumab ble det sett reduksjon i CRP-nivå til normalverdier så tidlig som i uke 2. Reduksjonen ble opprettholdt mens behandlingen pågikk.</w:t>
      </w:r>
    </w:p>
    <w:p w14:paraId="08438DF2" w14:textId="77777777" w:rsidR="000A09E6" w:rsidRPr="00A942F6" w:rsidRDefault="000A09E6" w:rsidP="00641834">
      <w:pPr>
        <w:rPr>
          <w:lang w:val="nb-NO"/>
        </w:rPr>
      </w:pPr>
    </w:p>
    <w:p w14:paraId="22A93470" w14:textId="77777777" w:rsidR="004A07DC" w:rsidRPr="00A942F6" w:rsidRDefault="004A07DC" w:rsidP="00641834">
      <w:pPr>
        <w:rPr>
          <w:lang w:val="nb-NO"/>
        </w:rPr>
      </w:pPr>
      <w:r w:rsidRPr="00A942F6">
        <w:rPr>
          <w:lang w:val="nb-NO"/>
        </w:rPr>
        <w:t>Hos friske individer som ble gitt tocilizumab i doser fra 2 til 28 mg/kg, avtok absolutt nøytrofiltall til sitt laveste nivå 3 til 5 dager etter administrering. Deretter økte antall nøytrofile i et doseavhengig forhold tilbake til «baseline». Pasienter med revmatoid artritt viste en lik tendens av absolutt nøytrofiltall etter administrering av tocilizumab (se pkt. 4.8).</w:t>
      </w:r>
    </w:p>
    <w:p w14:paraId="504D7704" w14:textId="77777777" w:rsidR="000A09E6" w:rsidRPr="00A942F6" w:rsidRDefault="000A09E6" w:rsidP="00641834">
      <w:pPr>
        <w:rPr>
          <w:lang w:val="nb-NO"/>
        </w:rPr>
      </w:pPr>
    </w:p>
    <w:p w14:paraId="46DBB57C" w14:textId="77777777" w:rsidR="004A07DC" w:rsidRPr="00A942F6" w:rsidRDefault="004A07DC" w:rsidP="00641834">
      <w:pPr>
        <w:rPr>
          <w:lang w:val="nb-NO"/>
        </w:rPr>
      </w:pPr>
      <w:r w:rsidRPr="00A942F6">
        <w:rPr>
          <w:lang w:val="nb-NO"/>
        </w:rPr>
        <w:t>Hos covid-19-pasienter med én dose 8 mg/kg tocilizumab administrert intravenøst ble det sett reduksjon i CRP-nivå til normalverdier så tidlig som på dag 7.</w:t>
      </w:r>
    </w:p>
    <w:p w14:paraId="75CE3880" w14:textId="77777777" w:rsidR="004A07DC" w:rsidRPr="00A942F6" w:rsidRDefault="004A07DC" w:rsidP="00641834">
      <w:pPr>
        <w:rPr>
          <w:lang w:val="nb-NO"/>
        </w:rPr>
      </w:pPr>
    </w:p>
    <w:p w14:paraId="035A7A45" w14:textId="77777777" w:rsidR="004A07DC" w:rsidRPr="00A942F6" w:rsidRDefault="004A07DC" w:rsidP="00641834">
      <w:pPr>
        <w:pStyle w:val="Style1underline"/>
        <w:rPr>
          <w:lang w:val="nb-NO"/>
        </w:rPr>
      </w:pPr>
      <w:r w:rsidRPr="00A942F6">
        <w:rPr>
          <w:lang w:val="nb-NO"/>
        </w:rPr>
        <w:t>RA-pasienter</w:t>
      </w:r>
    </w:p>
    <w:p w14:paraId="41114E9B" w14:textId="77777777" w:rsidR="004A07DC" w:rsidRPr="00A942F6" w:rsidRDefault="004A07DC" w:rsidP="00641834">
      <w:pPr>
        <w:rPr>
          <w:lang w:val="nb-NO"/>
        </w:rPr>
      </w:pPr>
    </w:p>
    <w:p w14:paraId="50016A39" w14:textId="77777777" w:rsidR="004A07DC" w:rsidRPr="00A942F6" w:rsidRDefault="004A07DC" w:rsidP="00641834">
      <w:pPr>
        <w:pStyle w:val="Style1underline"/>
        <w:rPr>
          <w:lang w:val="nb-NO"/>
        </w:rPr>
      </w:pPr>
      <w:r w:rsidRPr="00A942F6">
        <w:rPr>
          <w:lang w:val="nb-NO"/>
        </w:rPr>
        <w:lastRenderedPageBreak/>
        <w:t>Klinisk effekt og sikkerhet</w:t>
      </w:r>
    </w:p>
    <w:p w14:paraId="6154E558" w14:textId="77777777" w:rsidR="004A07DC" w:rsidRPr="00A942F6" w:rsidRDefault="004A07DC" w:rsidP="00641834">
      <w:pPr>
        <w:rPr>
          <w:lang w:val="nb-NO"/>
        </w:rPr>
      </w:pPr>
      <w:r w:rsidRPr="00A942F6">
        <w:rPr>
          <w:lang w:val="nb-NO"/>
        </w:rPr>
        <w:t xml:space="preserve">Effekten av tocilizumab ved lindring av symptomer og funn ved RA ble undersøkt i fem randomiserte, dobbeltblinde multisenterstudier. Studie I-V inkluderte pasienter </w:t>
      </w:r>
      <w:r w:rsidR="00F36EEE" w:rsidRPr="00A942F6">
        <w:rPr>
          <w:rFonts w:cs="Times New Roman"/>
          <w:lang w:val="nb-NO"/>
        </w:rPr>
        <w:t>≥</w:t>
      </w:r>
      <w:r w:rsidRPr="00A942F6">
        <w:rPr>
          <w:lang w:val="nb-NO"/>
        </w:rPr>
        <w:t xml:space="preserve"> 18 år med aktiv RA, diagnostisert i henhold til American College of Rheumatology (ACR)-kriterier og som hadde minst åtte ømme og seks hovne ledd ved behandlingsstart.</w:t>
      </w:r>
    </w:p>
    <w:p w14:paraId="10EF5C9B" w14:textId="77777777" w:rsidR="000A09E6" w:rsidRPr="00A942F6" w:rsidRDefault="000A09E6" w:rsidP="00641834">
      <w:pPr>
        <w:rPr>
          <w:lang w:val="nb-NO"/>
        </w:rPr>
      </w:pPr>
    </w:p>
    <w:p w14:paraId="49C04E8B" w14:textId="77777777" w:rsidR="004A07DC" w:rsidRPr="00A942F6" w:rsidRDefault="004A07DC" w:rsidP="00641834">
      <w:pPr>
        <w:rPr>
          <w:lang w:val="nb-NO"/>
        </w:rPr>
      </w:pPr>
      <w:r w:rsidRPr="00A942F6">
        <w:rPr>
          <w:lang w:val="nb-NO"/>
        </w:rPr>
        <w:t>I studie I ble tocilizumab administrert intravenøst hver fjerde uke som monoterapi. I studie II, III og V ble tocilizumab administrert intravenøst hver fjerde uke i kombinasjon med metotreksat versus placebo kombinert med metotreksat. I studie IV ble tocilizumab administrert intravenøst hver fjerde uke i kombinasjon med andre DMARDs versus placebo kombinert med andre DMARDs. Primært endepunkt for alle fem studiene var andel pasienter som oppnådde ACR 20-respons ved uke 24.</w:t>
      </w:r>
    </w:p>
    <w:p w14:paraId="71921916" w14:textId="77777777" w:rsidR="004A07DC" w:rsidRPr="00A942F6" w:rsidRDefault="004A07DC" w:rsidP="00641834">
      <w:pPr>
        <w:rPr>
          <w:lang w:val="nb-NO"/>
        </w:rPr>
      </w:pPr>
    </w:p>
    <w:p w14:paraId="0CD96518" w14:textId="77777777" w:rsidR="004A07DC" w:rsidRPr="00A942F6" w:rsidRDefault="004A07DC" w:rsidP="00641834">
      <w:pPr>
        <w:rPr>
          <w:lang w:val="nb-NO"/>
        </w:rPr>
      </w:pPr>
      <w:r w:rsidRPr="00A942F6">
        <w:rPr>
          <w:lang w:val="nb-NO"/>
        </w:rPr>
        <w:t>Studie I evaluerte 673 pasienter som ikke hadde blitt behandlet med metotreksat de siste seks måneder før randomisering, og som ikke hadde avsluttet tidligere metotreksatbehandling på grunn av klinisk viktige toksiske effekter eller mangel på effekt. De fleste (67 %) av pasientene var metotreksat-naive. Tocilizumab 8 mg/kg ble gitt som monoterapi hver fjerde uke. Kontrollgruppen fikk ukentlig metotreksat (dosetitrert fra 7,5 mg til maksimalt 20 mg ukentlig i løpet av en åtteukers periode).</w:t>
      </w:r>
    </w:p>
    <w:p w14:paraId="0B080630" w14:textId="77777777" w:rsidR="000A09E6" w:rsidRPr="00A942F6" w:rsidRDefault="000A09E6" w:rsidP="00641834">
      <w:pPr>
        <w:rPr>
          <w:lang w:val="nb-NO"/>
        </w:rPr>
      </w:pPr>
    </w:p>
    <w:p w14:paraId="4DE22951" w14:textId="77777777" w:rsidR="004A07DC" w:rsidRPr="00A942F6" w:rsidRDefault="004A07DC" w:rsidP="00641834">
      <w:pPr>
        <w:rPr>
          <w:lang w:val="nb-NO"/>
        </w:rPr>
      </w:pPr>
      <w:r w:rsidRPr="00A942F6">
        <w:rPr>
          <w:lang w:val="nb-NO"/>
        </w:rPr>
        <w:t>Studie II gikk over to år og hadde planlagte analyser ved uke 24, uke 52 og uke 104. 1196 pasienter med utilstrekkelig klinisk respons på metotreksat ble evaluert. Tocilizumab 4 eller 8 mg/kg eller placebo ble gitt som blindet behandling hver fjerde uke i 52 uker, kombinert med stabil dose metotreksat (10-25 mg ukentlig). Etter uke 52 kunne alle pasientene motta åpen behandling med tocilizumab 8 mg/kg. Av de pasientene som fullførte studien som opprinnelig var randomisert til placebo + metotreksat, fikk 86% åpen tocilizumab 8 mg/kg i år 2. Det primære endepunktet ved uke 24 var andel pasienter som oppnådde ACR 20-respons. Ved uke 52 og uke 104 var de koprimære endepunktene forebygging av leddskade og forbedring av fysisk funksjon.</w:t>
      </w:r>
    </w:p>
    <w:p w14:paraId="7857E602" w14:textId="77777777" w:rsidR="004A07DC" w:rsidRPr="00A942F6" w:rsidRDefault="004A07DC" w:rsidP="00641834">
      <w:pPr>
        <w:rPr>
          <w:lang w:val="nb-NO"/>
        </w:rPr>
      </w:pPr>
    </w:p>
    <w:p w14:paraId="5F1FD5E8" w14:textId="2BD713BD" w:rsidR="004A07DC" w:rsidRPr="00A942F6" w:rsidRDefault="004A07DC" w:rsidP="00641834">
      <w:pPr>
        <w:rPr>
          <w:lang w:val="nb-NO"/>
        </w:rPr>
      </w:pPr>
      <w:r w:rsidRPr="00A942F6">
        <w:rPr>
          <w:lang w:val="nb-NO"/>
        </w:rPr>
        <w:t>Studie III evaluerte 623 pasienter med utilstrekkelig klinisk respons på metotreksat. Tocilizumab 4</w:t>
      </w:r>
      <w:r w:rsidR="00FC1DF2">
        <w:rPr>
          <w:lang w:val="nb-NO"/>
        </w:rPr>
        <w:t> </w:t>
      </w:r>
      <w:r w:rsidRPr="00A942F6">
        <w:rPr>
          <w:lang w:val="nb-NO"/>
        </w:rPr>
        <w:t>eller 8 mg/kg eller placebo ble gitt som blindet behandling hver fjerde uke i kombinasjon med stabil dose metotreksat (10 mg til 25 mg ukentlig).</w:t>
      </w:r>
    </w:p>
    <w:p w14:paraId="635E16CC" w14:textId="77777777" w:rsidR="004A07DC" w:rsidRPr="00A942F6" w:rsidRDefault="004A07DC" w:rsidP="00641834">
      <w:pPr>
        <w:rPr>
          <w:lang w:val="nb-NO"/>
        </w:rPr>
      </w:pPr>
    </w:p>
    <w:p w14:paraId="2B9D7111" w14:textId="77777777" w:rsidR="004A07DC" w:rsidRPr="00A942F6" w:rsidRDefault="004A07DC" w:rsidP="00641834">
      <w:pPr>
        <w:rPr>
          <w:lang w:val="nb-NO"/>
        </w:rPr>
      </w:pPr>
      <w:r w:rsidRPr="00A942F6">
        <w:rPr>
          <w:lang w:val="nb-NO"/>
        </w:rPr>
        <w:t>Studie IV evaluerte 1 220 RA-pasienter med utilstrekkelig respons på eksisterende behandling, inkludert en eller flere DMARDs. Tocilizumab 8 mg/kg eller placebo ble gitt hver fjerde uke i kombinasjon med stabile doser DMARDs.</w:t>
      </w:r>
    </w:p>
    <w:p w14:paraId="520774AA" w14:textId="77777777" w:rsidR="004A07DC" w:rsidRPr="00A942F6" w:rsidRDefault="004A07DC" w:rsidP="00641834">
      <w:pPr>
        <w:rPr>
          <w:lang w:val="nb-NO"/>
        </w:rPr>
      </w:pPr>
    </w:p>
    <w:p w14:paraId="03136F49" w14:textId="77777777" w:rsidR="004A07DC" w:rsidRPr="00A942F6" w:rsidRDefault="004A07DC" w:rsidP="00641834">
      <w:pPr>
        <w:rPr>
          <w:lang w:val="nb-NO"/>
        </w:rPr>
      </w:pPr>
      <w:r w:rsidRPr="00A942F6">
        <w:rPr>
          <w:lang w:val="nb-NO"/>
        </w:rPr>
        <w:t>Studie V evaluerte 499 pasienter med utilstrekkelig klinisk respons eller som var intolerante overfor en eller flere TNF-hemmere. Behandling med TNF-hemmere ble avsluttet før randomisering.</w:t>
      </w:r>
    </w:p>
    <w:p w14:paraId="1BA0E89D" w14:textId="77777777" w:rsidR="004A07DC" w:rsidRPr="00A942F6" w:rsidRDefault="004A07DC" w:rsidP="00641834">
      <w:pPr>
        <w:rPr>
          <w:lang w:val="nb-NO"/>
        </w:rPr>
      </w:pPr>
      <w:r w:rsidRPr="00A942F6">
        <w:rPr>
          <w:lang w:val="nb-NO"/>
        </w:rPr>
        <w:t>Tocilizumab 4 eller 8 mg/kg eller placebo ble gitt hver fjerde uke i kombinasjon med stabil dose metotreksat (10 mg til 25 mg ukentlig).</w:t>
      </w:r>
    </w:p>
    <w:p w14:paraId="07087F25" w14:textId="77777777" w:rsidR="000A09E6" w:rsidRPr="00A942F6" w:rsidRDefault="000A09E6" w:rsidP="00641834">
      <w:pPr>
        <w:rPr>
          <w:lang w:val="nb-NO"/>
        </w:rPr>
      </w:pPr>
    </w:p>
    <w:p w14:paraId="6C026A15" w14:textId="77777777" w:rsidR="004A07DC" w:rsidRPr="00A942F6" w:rsidRDefault="004A07DC" w:rsidP="00641834">
      <w:pPr>
        <w:pStyle w:val="Style1Iitaic"/>
        <w:rPr>
          <w:lang w:val="nb-NO"/>
        </w:rPr>
      </w:pPr>
      <w:r w:rsidRPr="00A942F6">
        <w:rPr>
          <w:lang w:val="nb-NO"/>
        </w:rPr>
        <w:t>Klinisk respons</w:t>
      </w:r>
    </w:p>
    <w:p w14:paraId="33AC97F3" w14:textId="77777777" w:rsidR="004A07DC" w:rsidRPr="00A942F6" w:rsidRDefault="004A07DC" w:rsidP="00641834">
      <w:pPr>
        <w:rPr>
          <w:lang w:val="nb-NO"/>
        </w:rPr>
      </w:pPr>
      <w:r w:rsidRPr="00A942F6">
        <w:rPr>
          <w:lang w:val="nb-NO"/>
        </w:rPr>
        <w:t>Pasienter behandlet med tocilizumab 8 mg/kg hadde signifikant høyere ACR 20-, 50-, 70-responsrater etter 6 måneder i alle studiene, sammenlignet med kontrollgruppene (tabell 4). Studie I viste at tocilizumab 8 mg/kg ga signifikant bedre effekt enn den aktive kontrollen metotreksat.</w:t>
      </w:r>
    </w:p>
    <w:p w14:paraId="7F4E038A" w14:textId="77777777" w:rsidR="004A07DC" w:rsidRPr="00A942F6" w:rsidRDefault="004A07DC" w:rsidP="00641834">
      <w:pPr>
        <w:rPr>
          <w:lang w:val="nb-NO"/>
        </w:rPr>
      </w:pPr>
    </w:p>
    <w:p w14:paraId="6EEAC329" w14:textId="77777777" w:rsidR="004A07DC" w:rsidRPr="00A942F6" w:rsidRDefault="004A07DC" w:rsidP="00641834">
      <w:pPr>
        <w:rPr>
          <w:lang w:val="nb-NO"/>
        </w:rPr>
      </w:pPr>
      <w:r w:rsidRPr="00A942F6">
        <w:rPr>
          <w:lang w:val="nb-NO"/>
        </w:rPr>
        <w:t>Behandlingseffekten var tilsvarende for pasientene uavhengig av status for revmatoid faktor, alder, kjønn, rase, antall tidligere behandlinger eller sykdomsstatus. Effekten kom raskt (så tidlig som etter</w:t>
      </w:r>
      <w:r w:rsidR="00426296" w:rsidRPr="00A942F6">
        <w:rPr>
          <w:lang w:val="nb-NO"/>
        </w:rPr>
        <w:t xml:space="preserve"> </w:t>
      </w:r>
      <w:r w:rsidRPr="00A942F6">
        <w:rPr>
          <w:lang w:val="nb-NO"/>
        </w:rPr>
        <w:t>2</w:t>
      </w:r>
      <w:r w:rsidR="002C204D" w:rsidRPr="00A942F6">
        <w:rPr>
          <w:lang w:val="nb-NO"/>
        </w:rPr>
        <w:t> </w:t>
      </w:r>
      <w:r w:rsidRPr="00A942F6">
        <w:rPr>
          <w:lang w:val="nb-NO"/>
        </w:rPr>
        <w:t>uker) og responsen fortsatte å øke med behandlingens varighet. Vedvarende respons ble sett i over</w:t>
      </w:r>
      <w:r w:rsidR="00426296" w:rsidRPr="00A942F6">
        <w:rPr>
          <w:lang w:val="nb-NO"/>
        </w:rPr>
        <w:t xml:space="preserve"> </w:t>
      </w:r>
      <w:r w:rsidRPr="00A942F6">
        <w:rPr>
          <w:lang w:val="nb-NO"/>
        </w:rPr>
        <w:t>3</w:t>
      </w:r>
      <w:r w:rsidR="002C204D" w:rsidRPr="00A942F6">
        <w:rPr>
          <w:lang w:val="nb-NO"/>
        </w:rPr>
        <w:t> </w:t>
      </w:r>
      <w:r w:rsidRPr="00A942F6">
        <w:rPr>
          <w:lang w:val="nb-NO"/>
        </w:rPr>
        <w:t>år i de åpne forlengelsesstudiene I-V.</w:t>
      </w:r>
    </w:p>
    <w:p w14:paraId="3F4DE9D1" w14:textId="77777777" w:rsidR="004A07DC" w:rsidRPr="00A942F6" w:rsidRDefault="004A07DC" w:rsidP="00641834">
      <w:pPr>
        <w:rPr>
          <w:lang w:val="nb-NO"/>
        </w:rPr>
      </w:pPr>
    </w:p>
    <w:p w14:paraId="2B0FBC63" w14:textId="77777777" w:rsidR="004A07DC" w:rsidRPr="00A942F6" w:rsidRDefault="004A07DC" w:rsidP="00641834">
      <w:pPr>
        <w:rPr>
          <w:lang w:val="nb-NO"/>
        </w:rPr>
      </w:pPr>
      <w:r w:rsidRPr="00A942F6">
        <w:rPr>
          <w:lang w:val="nb-NO"/>
        </w:rPr>
        <w:t>Hos pasienter som ble behandlet med tocilizumab 8 mg/kg ble det påvist signifikante forbedringer i alle individuelle komponenter av ACR-respons, inkludert ømme og hovne ledd, pasientens og legens helhetlige bedømmelse, ”disability index scores”, smertebedømmelse og CRP, sammenlignet med pasienter som fikk placebo pluss metotreksat eller andre DMARDs i alle studier.</w:t>
      </w:r>
    </w:p>
    <w:p w14:paraId="15BAE40E" w14:textId="77777777" w:rsidR="004A07DC" w:rsidRPr="00A942F6" w:rsidRDefault="004A07DC" w:rsidP="00641834">
      <w:pPr>
        <w:rPr>
          <w:lang w:val="nb-NO"/>
        </w:rPr>
      </w:pPr>
    </w:p>
    <w:p w14:paraId="3DCBA881" w14:textId="77777777" w:rsidR="004A07DC" w:rsidRPr="00A942F6" w:rsidRDefault="004A07DC" w:rsidP="00641834">
      <w:pPr>
        <w:rPr>
          <w:lang w:val="nb-NO"/>
        </w:rPr>
      </w:pPr>
      <w:r w:rsidRPr="00A942F6">
        <w:rPr>
          <w:lang w:val="nb-NO"/>
        </w:rPr>
        <w:t xml:space="preserve">Pasienter i studiene I-V hadde en gjennomsnittlig DAS28 (Disease Activity Score) på 6,5-6,8 ved utgangsnivået. En signifikant reduksjon i DAS28 (gjennomsnittlig forbedring) på 3,1-3,4 fra </w:t>
      </w:r>
      <w:r w:rsidRPr="00A942F6">
        <w:rPr>
          <w:lang w:val="nb-NO"/>
        </w:rPr>
        <w:lastRenderedPageBreak/>
        <w:t>utgangsnivået ble observert hos pasienter behandlet med tocilizumab sammenlignet med kontrollpasienter (1,3-2,1). Andelen pasienter som oppnådde en klinisk DAS28-remisjon (DAS28 &lt;</w:t>
      </w:r>
      <w:r w:rsidR="002C204D" w:rsidRPr="00A942F6">
        <w:rPr>
          <w:lang w:val="nb-NO"/>
        </w:rPr>
        <w:t> </w:t>
      </w:r>
      <w:r w:rsidRPr="00A942F6">
        <w:rPr>
          <w:lang w:val="nb-NO"/>
        </w:rPr>
        <w:t>2,6) var signifikant høyere hos pasienter som fikk tocilizumab (28-34 %) sammenlignet med 1-12 % av kontrollpasientene etter 24 uker. I studie II oppnådde 65 % av pasientene DAS28 &lt; 2,6 etter uke 104 sammenlignet med 48 % ved 52 uker og 33 % av pasientene ved uke 24.</w:t>
      </w:r>
    </w:p>
    <w:p w14:paraId="490C3847" w14:textId="77777777" w:rsidR="000A09E6" w:rsidRPr="00A942F6" w:rsidRDefault="000A09E6" w:rsidP="00641834">
      <w:pPr>
        <w:rPr>
          <w:lang w:val="nb-NO"/>
        </w:rPr>
      </w:pPr>
    </w:p>
    <w:p w14:paraId="74D7C658" w14:textId="77777777" w:rsidR="004A07DC" w:rsidRPr="00A942F6" w:rsidRDefault="004A07DC" w:rsidP="00641834">
      <w:pPr>
        <w:rPr>
          <w:lang w:val="nb-NO"/>
        </w:rPr>
      </w:pPr>
      <w:r w:rsidRPr="00A942F6">
        <w:rPr>
          <w:lang w:val="nb-NO"/>
        </w:rPr>
        <w:t>I en samleanalyse av studie II, III og IV var andelen pasienter som fikk ACR20-, 50- og 70-respons signifikant høyere (henholdsvis 59 % vs. 50 %, 37 % vs. 27 %, 18 vs. 11 %) i gruppen som fikk tocilizumab 8 mg/kg pluss DMARD vs. gruppen som fikk tocilizumab 4 mg/kg pluss DMARD</w:t>
      </w:r>
      <w:r w:rsidR="000A09E6" w:rsidRPr="00A942F6">
        <w:rPr>
          <w:lang w:val="nb-NO"/>
        </w:rPr>
        <w:t xml:space="preserve"> </w:t>
      </w:r>
      <w:r w:rsidRPr="00A942F6">
        <w:rPr>
          <w:lang w:val="nb-NO"/>
        </w:rPr>
        <w:t>(p&lt;</w:t>
      </w:r>
      <w:r w:rsidR="000A09E6" w:rsidRPr="00A942F6">
        <w:rPr>
          <w:lang w:val="nb-NO"/>
        </w:rPr>
        <w:t> </w:t>
      </w:r>
      <w:r w:rsidRPr="00A942F6">
        <w:rPr>
          <w:lang w:val="nb-NO"/>
        </w:rPr>
        <w:t>0,03). Likedan var andelen pasienter som fikk DAS28 remisjon (DAS28&lt; 2,6) signifikant høyere (henholdsvis 31 % vs. 16 %) hos pasienter som fikk tocilizumab 8 mg/kg pluss DMARD enn hos pasienter som fikk tocilizumab 4 mg/kg pluss DMARD (p&lt; 0,0001).</w:t>
      </w:r>
    </w:p>
    <w:p w14:paraId="14E113E9" w14:textId="77777777" w:rsidR="004A07DC" w:rsidRPr="00A942F6" w:rsidRDefault="004A07DC" w:rsidP="00641834">
      <w:pPr>
        <w:rPr>
          <w:lang w:val="nb-NO"/>
        </w:rPr>
      </w:pPr>
    </w:p>
    <w:p w14:paraId="19C58187" w14:textId="77777777" w:rsidR="004A07DC" w:rsidRPr="00A942F6" w:rsidRDefault="004A07DC" w:rsidP="00641834">
      <w:pPr>
        <w:pStyle w:val="Style1Iitaic"/>
        <w:rPr>
          <w:lang w:val="nb-NO"/>
        </w:rPr>
      </w:pPr>
      <w:r w:rsidRPr="00A942F6">
        <w:rPr>
          <w:lang w:val="nb-NO"/>
        </w:rPr>
        <w:t>Tabell 4. ACR respons i placebo-/ metotreksat-/ DMARD-kontrollerte studier (% pasienter)</w:t>
      </w:r>
    </w:p>
    <w:p w14:paraId="4906CE24" w14:textId="77777777" w:rsidR="004A07DC" w:rsidRPr="00A942F6" w:rsidRDefault="004A07DC" w:rsidP="0036729A">
      <w:pPr>
        <w:keepNext/>
        <w:rPr>
          <w:lang w:val="nb-NO"/>
        </w:rPr>
      </w:pPr>
    </w:p>
    <w:tbl>
      <w:tblPr>
        <w:tblW w:w="9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8"/>
        <w:gridCol w:w="917"/>
        <w:gridCol w:w="840"/>
        <w:gridCol w:w="910"/>
        <w:gridCol w:w="826"/>
        <w:gridCol w:w="929"/>
        <w:gridCol w:w="862"/>
        <w:gridCol w:w="1148"/>
        <w:gridCol w:w="840"/>
        <w:gridCol w:w="929"/>
        <w:gridCol w:w="900"/>
      </w:tblGrid>
      <w:tr w:rsidR="004A07DC" w:rsidRPr="00A942F6" w14:paraId="0AF45D0C" w14:textId="77777777" w:rsidTr="00566B0B">
        <w:trPr>
          <w:cantSplit/>
          <w:trHeight w:val="20"/>
          <w:tblHeader/>
        </w:trPr>
        <w:tc>
          <w:tcPr>
            <w:tcW w:w="618" w:type="dxa"/>
          </w:tcPr>
          <w:p w14:paraId="251F1A77" w14:textId="77777777" w:rsidR="004A07DC" w:rsidRPr="00A942F6" w:rsidRDefault="004A07DC" w:rsidP="0036729A">
            <w:pPr>
              <w:pStyle w:val="TableParagraph"/>
              <w:keepNext/>
              <w:rPr>
                <w:sz w:val="20"/>
                <w:szCs w:val="20"/>
                <w:lang w:val="nb-NO"/>
              </w:rPr>
            </w:pPr>
          </w:p>
        </w:tc>
        <w:tc>
          <w:tcPr>
            <w:tcW w:w="1757" w:type="dxa"/>
            <w:gridSpan w:val="2"/>
          </w:tcPr>
          <w:p w14:paraId="35470379" w14:textId="77777777" w:rsidR="00566B0B" w:rsidRPr="00A942F6" w:rsidRDefault="004A07DC" w:rsidP="0036729A">
            <w:pPr>
              <w:pStyle w:val="TableParagraph"/>
              <w:keepNext/>
              <w:jc w:val="center"/>
              <w:rPr>
                <w:b/>
                <w:sz w:val="20"/>
                <w:szCs w:val="20"/>
                <w:lang w:val="nb-NO"/>
              </w:rPr>
            </w:pPr>
            <w:r w:rsidRPr="00A942F6">
              <w:rPr>
                <w:b/>
                <w:sz w:val="20"/>
                <w:szCs w:val="20"/>
                <w:lang w:val="nb-NO"/>
              </w:rPr>
              <w:t>Studie I</w:t>
            </w:r>
          </w:p>
          <w:p w14:paraId="005D144D" w14:textId="77777777" w:rsidR="004A07DC" w:rsidRPr="00A942F6" w:rsidRDefault="004A07DC" w:rsidP="0036729A">
            <w:pPr>
              <w:pStyle w:val="TableParagraph"/>
              <w:keepNext/>
              <w:jc w:val="center"/>
              <w:rPr>
                <w:b/>
                <w:sz w:val="20"/>
                <w:szCs w:val="20"/>
                <w:lang w:val="nb-NO"/>
              </w:rPr>
            </w:pPr>
            <w:r w:rsidRPr="00A942F6">
              <w:rPr>
                <w:b/>
                <w:sz w:val="20"/>
                <w:szCs w:val="20"/>
                <w:lang w:val="nb-NO"/>
              </w:rPr>
              <w:t>AMBITION</w:t>
            </w:r>
          </w:p>
        </w:tc>
        <w:tc>
          <w:tcPr>
            <w:tcW w:w="1736" w:type="dxa"/>
            <w:gridSpan w:val="2"/>
          </w:tcPr>
          <w:p w14:paraId="0DE06B33" w14:textId="77777777" w:rsidR="00566B0B" w:rsidRPr="00A942F6" w:rsidRDefault="004A07DC" w:rsidP="0036729A">
            <w:pPr>
              <w:pStyle w:val="TableParagraph"/>
              <w:keepNext/>
              <w:jc w:val="center"/>
              <w:rPr>
                <w:b/>
                <w:sz w:val="20"/>
                <w:szCs w:val="20"/>
                <w:lang w:val="nb-NO"/>
              </w:rPr>
            </w:pPr>
            <w:r w:rsidRPr="00A942F6">
              <w:rPr>
                <w:b/>
                <w:sz w:val="20"/>
                <w:szCs w:val="20"/>
                <w:lang w:val="nb-NO"/>
              </w:rPr>
              <w:t>Studie II</w:t>
            </w:r>
          </w:p>
          <w:p w14:paraId="757D30DC" w14:textId="77777777" w:rsidR="004A07DC" w:rsidRPr="00A942F6" w:rsidRDefault="004A07DC" w:rsidP="0036729A">
            <w:pPr>
              <w:pStyle w:val="TableParagraph"/>
              <w:keepNext/>
              <w:jc w:val="center"/>
              <w:rPr>
                <w:b/>
                <w:sz w:val="20"/>
                <w:szCs w:val="20"/>
                <w:lang w:val="nb-NO"/>
              </w:rPr>
            </w:pPr>
            <w:r w:rsidRPr="00A942F6">
              <w:rPr>
                <w:b/>
                <w:sz w:val="20"/>
                <w:szCs w:val="20"/>
                <w:lang w:val="nb-NO"/>
              </w:rPr>
              <w:t>LITHE</w:t>
            </w:r>
          </w:p>
        </w:tc>
        <w:tc>
          <w:tcPr>
            <w:tcW w:w="1791" w:type="dxa"/>
            <w:gridSpan w:val="2"/>
          </w:tcPr>
          <w:p w14:paraId="5EC84C01" w14:textId="77777777" w:rsidR="00566B0B" w:rsidRPr="00A942F6" w:rsidRDefault="004A07DC" w:rsidP="0036729A">
            <w:pPr>
              <w:pStyle w:val="TableParagraph"/>
              <w:keepNext/>
              <w:jc w:val="center"/>
              <w:rPr>
                <w:b/>
                <w:sz w:val="20"/>
                <w:szCs w:val="20"/>
                <w:lang w:val="nb-NO"/>
              </w:rPr>
            </w:pPr>
            <w:r w:rsidRPr="00A942F6">
              <w:rPr>
                <w:b/>
                <w:sz w:val="20"/>
                <w:szCs w:val="20"/>
                <w:lang w:val="nb-NO"/>
              </w:rPr>
              <w:t>Studie III</w:t>
            </w:r>
          </w:p>
          <w:p w14:paraId="4518BDEC" w14:textId="77777777" w:rsidR="004A07DC" w:rsidRPr="00A942F6" w:rsidRDefault="004A07DC" w:rsidP="0036729A">
            <w:pPr>
              <w:pStyle w:val="TableParagraph"/>
              <w:keepNext/>
              <w:jc w:val="center"/>
              <w:rPr>
                <w:b/>
                <w:sz w:val="20"/>
                <w:szCs w:val="20"/>
                <w:lang w:val="nb-NO"/>
              </w:rPr>
            </w:pPr>
            <w:r w:rsidRPr="00A942F6">
              <w:rPr>
                <w:b/>
                <w:sz w:val="20"/>
                <w:szCs w:val="20"/>
                <w:lang w:val="nb-NO"/>
              </w:rPr>
              <w:t>OPTION</w:t>
            </w:r>
          </w:p>
        </w:tc>
        <w:tc>
          <w:tcPr>
            <w:tcW w:w="1988" w:type="dxa"/>
            <w:gridSpan w:val="2"/>
          </w:tcPr>
          <w:p w14:paraId="613ACE5D" w14:textId="77777777" w:rsidR="00566B0B" w:rsidRPr="00A942F6" w:rsidRDefault="004A07DC" w:rsidP="0036729A">
            <w:pPr>
              <w:pStyle w:val="TableParagraph"/>
              <w:keepNext/>
              <w:jc w:val="center"/>
              <w:rPr>
                <w:b/>
                <w:sz w:val="20"/>
                <w:szCs w:val="20"/>
                <w:lang w:val="nb-NO"/>
              </w:rPr>
            </w:pPr>
            <w:r w:rsidRPr="00A942F6">
              <w:rPr>
                <w:b/>
                <w:sz w:val="20"/>
                <w:szCs w:val="20"/>
                <w:lang w:val="nb-NO"/>
              </w:rPr>
              <w:t>Studie IV</w:t>
            </w:r>
          </w:p>
          <w:p w14:paraId="280BB881" w14:textId="77777777" w:rsidR="004A07DC" w:rsidRPr="00A942F6" w:rsidRDefault="004A07DC" w:rsidP="0036729A">
            <w:pPr>
              <w:pStyle w:val="TableParagraph"/>
              <w:keepNext/>
              <w:jc w:val="center"/>
              <w:rPr>
                <w:b/>
                <w:sz w:val="20"/>
                <w:szCs w:val="20"/>
                <w:lang w:val="nb-NO"/>
              </w:rPr>
            </w:pPr>
            <w:r w:rsidRPr="00A942F6">
              <w:rPr>
                <w:b/>
                <w:sz w:val="20"/>
                <w:szCs w:val="20"/>
                <w:lang w:val="nb-NO"/>
              </w:rPr>
              <w:t>TOWARD</w:t>
            </w:r>
          </w:p>
        </w:tc>
        <w:tc>
          <w:tcPr>
            <w:tcW w:w="1829" w:type="dxa"/>
            <w:gridSpan w:val="2"/>
          </w:tcPr>
          <w:p w14:paraId="64B1E3DC" w14:textId="77777777" w:rsidR="00566B0B" w:rsidRPr="00A942F6" w:rsidRDefault="004A07DC" w:rsidP="0036729A">
            <w:pPr>
              <w:pStyle w:val="TableParagraph"/>
              <w:keepNext/>
              <w:jc w:val="center"/>
              <w:rPr>
                <w:b/>
                <w:sz w:val="20"/>
                <w:szCs w:val="20"/>
                <w:lang w:val="nb-NO"/>
              </w:rPr>
            </w:pPr>
            <w:r w:rsidRPr="00A942F6">
              <w:rPr>
                <w:b/>
                <w:sz w:val="20"/>
                <w:szCs w:val="20"/>
                <w:lang w:val="nb-NO"/>
              </w:rPr>
              <w:t>Studie V</w:t>
            </w:r>
          </w:p>
          <w:p w14:paraId="177F5534" w14:textId="77777777" w:rsidR="004A07DC" w:rsidRPr="00A942F6" w:rsidRDefault="004A07DC" w:rsidP="0036729A">
            <w:pPr>
              <w:pStyle w:val="TableParagraph"/>
              <w:keepNext/>
              <w:jc w:val="center"/>
              <w:rPr>
                <w:b/>
                <w:sz w:val="20"/>
                <w:szCs w:val="20"/>
                <w:lang w:val="nb-NO"/>
              </w:rPr>
            </w:pPr>
            <w:r w:rsidRPr="00A942F6">
              <w:rPr>
                <w:b/>
                <w:sz w:val="20"/>
                <w:szCs w:val="20"/>
                <w:lang w:val="nb-NO"/>
              </w:rPr>
              <w:t>RADIATE</w:t>
            </w:r>
          </w:p>
        </w:tc>
      </w:tr>
      <w:tr w:rsidR="004A07DC" w:rsidRPr="00A942F6" w14:paraId="2FA7C972" w14:textId="77777777" w:rsidTr="00566B0B">
        <w:trPr>
          <w:cantSplit/>
          <w:trHeight w:val="20"/>
          <w:tblHeader/>
        </w:trPr>
        <w:tc>
          <w:tcPr>
            <w:tcW w:w="618" w:type="dxa"/>
          </w:tcPr>
          <w:p w14:paraId="5BA24ED4" w14:textId="77777777" w:rsidR="004A07DC" w:rsidRPr="00A942F6" w:rsidRDefault="004A07DC" w:rsidP="00641834">
            <w:pPr>
              <w:pStyle w:val="TableParagraph"/>
              <w:jc w:val="center"/>
              <w:rPr>
                <w:b/>
                <w:sz w:val="20"/>
                <w:szCs w:val="20"/>
                <w:lang w:val="nb-NO"/>
              </w:rPr>
            </w:pPr>
            <w:r w:rsidRPr="00A942F6">
              <w:rPr>
                <w:b/>
                <w:sz w:val="20"/>
                <w:szCs w:val="20"/>
                <w:lang w:val="nb-NO"/>
              </w:rPr>
              <w:t>Uke</w:t>
            </w:r>
          </w:p>
        </w:tc>
        <w:tc>
          <w:tcPr>
            <w:tcW w:w="917" w:type="dxa"/>
          </w:tcPr>
          <w:p w14:paraId="7CB70111" w14:textId="77777777" w:rsidR="004A07DC" w:rsidRPr="00A942F6" w:rsidRDefault="004A07DC" w:rsidP="00641834">
            <w:pPr>
              <w:pStyle w:val="TableParagraph"/>
              <w:jc w:val="center"/>
              <w:rPr>
                <w:b/>
                <w:sz w:val="20"/>
                <w:szCs w:val="20"/>
                <w:lang w:val="nb-NO"/>
              </w:rPr>
            </w:pPr>
            <w:r w:rsidRPr="00A942F6">
              <w:rPr>
                <w:b/>
                <w:sz w:val="20"/>
                <w:szCs w:val="20"/>
                <w:lang w:val="nb-NO"/>
              </w:rPr>
              <w:t>TCZ</w:t>
            </w:r>
          </w:p>
          <w:p w14:paraId="13B0D227" w14:textId="77777777" w:rsidR="004A07DC" w:rsidRPr="00A942F6" w:rsidRDefault="004A07DC" w:rsidP="00641834">
            <w:pPr>
              <w:pStyle w:val="TableParagraph"/>
              <w:jc w:val="center"/>
              <w:rPr>
                <w:b/>
                <w:sz w:val="20"/>
                <w:szCs w:val="20"/>
                <w:lang w:val="nb-NO"/>
              </w:rPr>
            </w:pPr>
            <w:r w:rsidRPr="00A942F6">
              <w:rPr>
                <w:b/>
                <w:sz w:val="20"/>
                <w:szCs w:val="20"/>
                <w:lang w:val="nb-NO"/>
              </w:rPr>
              <w:t>8 mg/kg</w:t>
            </w:r>
          </w:p>
        </w:tc>
        <w:tc>
          <w:tcPr>
            <w:tcW w:w="840" w:type="dxa"/>
          </w:tcPr>
          <w:p w14:paraId="017AE815" w14:textId="77777777" w:rsidR="004A07DC" w:rsidRPr="00A942F6" w:rsidRDefault="004A07DC" w:rsidP="00641834">
            <w:pPr>
              <w:pStyle w:val="TableParagraph"/>
              <w:jc w:val="center"/>
              <w:rPr>
                <w:b/>
                <w:sz w:val="20"/>
                <w:szCs w:val="20"/>
                <w:lang w:val="nb-NO"/>
              </w:rPr>
            </w:pPr>
            <w:r w:rsidRPr="00A942F6">
              <w:rPr>
                <w:b/>
                <w:sz w:val="20"/>
                <w:szCs w:val="20"/>
                <w:lang w:val="nb-NO"/>
              </w:rPr>
              <w:t>MTX</w:t>
            </w:r>
          </w:p>
        </w:tc>
        <w:tc>
          <w:tcPr>
            <w:tcW w:w="910" w:type="dxa"/>
          </w:tcPr>
          <w:p w14:paraId="63260CCC" w14:textId="77777777" w:rsidR="004A07DC" w:rsidRPr="00A942F6" w:rsidRDefault="004A07DC" w:rsidP="00641834">
            <w:pPr>
              <w:pStyle w:val="TableParagraph"/>
              <w:jc w:val="center"/>
              <w:rPr>
                <w:b/>
                <w:sz w:val="20"/>
                <w:szCs w:val="20"/>
                <w:lang w:val="nb-NO"/>
              </w:rPr>
            </w:pPr>
            <w:r w:rsidRPr="00A942F6">
              <w:rPr>
                <w:b/>
                <w:sz w:val="20"/>
                <w:szCs w:val="20"/>
                <w:lang w:val="nb-NO"/>
              </w:rPr>
              <w:t>TCZ</w:t>
            </w:r>
          </w:p>
          <w:p w14:paraId="45C5DD87" w14:textId="77777777" w:rsidR="00157EC5" w:rsidRPr="00A942F6" w:rsidRDefault="004A07DC" w:rsidP="00641834">
            <w:pPr>
              <w:pStyle w:val="TableParagraph"/>
              <w:jc w:val="center"/>
              <w:rPr>
                <w:b/>
                <w:sz w:val="20"/>
                <w:szCs w:val="20"/>
                <w:lang w:val="nb-NO"/>
              </w:rPr>
            </w:pPr>
            <w:r w:rsidRPr="00A942F6">
              <w:rPr>
                <w:b/>
                <w:sz w:val="20"/>
                <w:szCs w:val="20"/>
                <w:lang w:val="nb-NO"/>
              </w:rPr>
              <w:t>8 mg/kg</w:t>
            </w:r>
          </w:p>
          <w:p w14:paraId="52D06D2B" w14:textId="77777777" w:rsidR="004A07DC" w:rsidRPr="00A942F6" w:rsidRDefault="004A07DC" w:rsidP="00641834">
            <w:pPr>
              <w:pStyle w:val="TableParagraph"/>
              <w:jc w:val="center"/>
              <w:rPr>
                <w:b/>
                <w:sz w:val="20"/>
                <w:szCs w:val="20"/>
                <w:lang w:val="nb-NO"/>
              </w:rPr>
            </w:pPr>
            <w:r w:rsidRPr="00A942F6">
              <w:rPr>
                <w:b/>
                <w:sz w:val="20"/>
                <w:szCs w:val="20"/>
                <w:lang w:val="nb-NO"/>
              </w:rPr>
              <w:t>+ MTX</w:t>
            </w:r>
          </w:p>
        </w:tc>
        <w:tc>
          <w:tcPr>
            <w:tcW w:w="826" w:type="dxa"/>
          </w:tcPr>
          <w:p w14:paraId="20F8DE65" w14:textId="77777777" w:rsidR="004A07DC" w:rsidRPr="00A942F6" w:rsidRDefault="004A07DC" w:rsidP="00641834">
            <w:pPr>
              <w:pStyle w:val="TableParagraph"/>
              <w:jc w:val="center"/>
              <w:rPr>
                <w:b/>
                <w:sz w:val="20"/>
                <w:szCs w:val="20"/>
                <w:lang w:val="nb-NO"/>
              </w:rPr>
            </w:pPr>
            <w:r w:rsidRPr="00A942F6">
              <w:rPr>
                <w:b/>
                <w:sz w:val="20"/>
                <w:szCs w:val="20"/>
                <w:lang w:val="nb-NO"/>
              </w:rPr>
              <w:t>PBO + MTX</w:t>
            </w:r>
          </w:p>
        </w:tc>
        <w:tc>
          <w:tcPr>
            <w:tcW w:w="929" w:type="dxa"/>
          </w:tcPr>
          <w:p w14:paraId="06787F05" w14:textId="77777777" w:rsidR="004A07DC" w:rsidRPr="00A942F6" w:rsidRDefault="004A07DC" w:rsidP="00641834">
            <w:pPr>
              <w:pStyle w:val="TableParagraph"/>
              <w:jc w:val="center"/>
              <w:rPr>
                <w:b/>
                <w:sz w:val="20"/>
                <w:szCs w:val="20"/>
                <w:lang w:val="nb-NO"/>
              </w:rPr>
            </w:pPr>
            <w:r w:rsidRPr="00A942F6">
              <w:rPr>
                <w:b/>
                <w:sz w:val="20"/>
                <w:szCs w:val="20"/>
                <w:lang w:val="nb-NO"/>
              </w:rPr>
              <w:t>TCZ</w:t>
            </w:r>
          </w:p>
          <w:p w14:paraId="57AD8A61" w14:textId="77777777" w:rsidR="004A07DC" w:rsidRPr="00A942F6" w:rsidRDefault="004A07DC" w:rsidP="00641834">
            <w:pPr>
              <w:pStyle w:val="TableParagraph"/>
              <w:jc w:val="center"/>
              <w:rPr>
                <w:b/>
                <w:sz w:val="20"/>
                <w:szCs w:val="20"/>
                <w:lang w:val="nb-NO"/>
              </w:rPr>
            </w:pPr>
            <w:r w:rsidRPr="00A942F6">
              <w:rPr>
                <w:b/>
                <w:sz w:val="20"/>
                <w:szCs w:val="20"/>
                <w:lang w:val="nb-NO"/>
              </w:rPr>
              <w:t>8 mg/kg</w:t>
            </w:r>
          </w:p>
          <w:p w14:paraId="37A2817B" w14:textId="77777777" w:rsidR="004A07DC" w:rsidRPr="00A942F6" w:rsidRDefault="004A07DC" w:rsidP="00641834">
            <w:pPr>
              <w:pStyle w:val="TableParagraph"/>
              <w:jc w:val="center"/>
              <w:rPr>
                <w:b/>
                <w:sz w:val="20"/>
                <w:szCs w:val="20"/>
                <w:lang w:val="nb-NO"/>
              </w:rPr>
            </w:pPr>
            <w:r w:rsidRPr="00A942F6">
              <w:rPr>
                <w:b/>
                <w:sz w:val="20"/>
                <w:szCs w:val="20"/>
                <w:lang w:val="nb-NO"/>
              </w:rPr>
              <w:t>+ MTX</w:t>
            </w:r>
          </w:p>
        </w:tc>
        <w:tc>
          <w:tcPr>
            <w:tcW w:w="862" w:type="dxa"/>
          </w:tcPr>
          <w:p w14:paraId="704E2824" w14:textId="77777777" w:rsidR="004A07DC" w:rsidRPr="00A942F6" w:rsidRDefault="004A07DC" w:rsidP="00641834">
            <w:pPr>
              <w:pStyle w:val="TableParagraph"/>
              <w:rPr>
                <w:b/>
                <w:sz w:val="20"/>
                <w:szCs w:val="20"/>
                <w:lang w:val="nb-NO"/>
              </w:rPr>
            </w:pPr>
            <w:r w:rsidRPr="00A942F6">
              <w:rPr>
                <w:b/>
                <w:sz w:val="20"/>
                <w:szCs w:val="20"/>
                <w:lang w:val="nb-NO"/>
              </w:rPr>
              <w:t>PBO</w:t>
            </w:r>
          </w:p>
          <w:p w14:paraId="0166F2D4" w14:textId="77777777" w:rsidR="004A07DC" w:rsidRPr="00A942F6" w:rsidRDefault="004A07DC" w:rsidP="00641834">
            <w:pPr>
              <w:pStyle w:val="TableParagraph"/>
              <w:rPr>
                <w:b/>
                <w:sz w:val="20"/>
                <w:szCs w:val="20"/>
                <w:lang w:val="nb-NO"/>
              </w:rPr>
            </w:pPr>
            <w:r w:rsidRPr="00A942F6">
              <w:rPr>
                <w:b/>
                <w:sz w:val="20"/>
                <w:szCs w:val="20"/>
                <w:lang w:val="nb-NO"/>
              </w:rPr>
              <w:t>+ MTX</w:t>
            </w:r>
          </w:p>
        </w:tc>
        <w:tc>
          <w:tcPr>
            <w:tcW w:w="1148" w:type="dxa"/>
          </w:tcPr>
          <w:p w14:paraId="657E6B55" w14:textId="77777777" w:rsidR="004A07DC" w:rsidRPr="00A942F6" w:rsidRDefault="004A07DC" w:rsidP="00641834">
            <w:pPr>
              <w:pStyle w:val="TableParagraph"/>
              <w:jc w:val="center"/>
              <w:rPr>
                <w:b/>
                <w:sz w:val="20"/>
                <w:szCs w:val="20"/>
                <w:lang w:val="nb-NO"/>
              </w:rPr>
            </w:pPr>
            <w:r w:rsidRPr="00A942F6">
              <w:rPr>
                <w:b/>
                <w:sz w:val="20"/>
                <w:szCs w:val="20"/>
                <w:lang w:val="nb-NO"/>
              </w:rPr>
              <w:t>TCZ</w:t>
            </w:r>
          </w:p>
          <w:p w14:paraId="3DE87E30" w14:textId="77777777" w:rsidR="00157EC5" w:rsidRPr="00A942F6" w:rsidRDefault="004A07DC" w:rsidP="00641834">
            <w:pPr>
              <w:pStyle w:val="TableParagraph"/>
              <w:jc w:val="center"/>
              <w:rPr>
                <w:b/>
                <w:sz w:val="20"/>
                <w:szCs w:val="20"/>
                <w:lang w:val="nb-NO"/>
              </w:rPr>
            </w:pPr>
            <w:r w:rsidRPr="00A942F6">
              <w:rPr>
                <w:b/>
                <w:sz w:val="20"/>
                <w:szCs w:val="20"/>
                <w:lang w:val="nb-NO"/>
              </w:rPr>
              <w:t>8 mg/kg</w:t>
            </w:r>
          </w:p>
          <w:p w14:paraId="1B3DC25E" w14:textId="77777777" w:rsidR="004A07DC" w:rsidRPr="00A942F6" w:rsidRDefault="004A07DC" w:rsidP="00641834">
            <w:pPr>
              <w:pStyle w:val="TableParagraph"/>
              <w:jc w:val="center"/>
              <w:rPr>
                <w:b/>
                <w:sz w:val="20"/>
                <w:szCs w:val="20"/>
                <w:lang w:val="nb-NO"/>
              </w:rPr>
            </w:pPr>
            <w:r w:rsidRPr="00A942F6">
              <w:rPr>
                <w:b/>
                <w:sz w:val="20"/>
                <w:szCs w:val="20"/>
                <w:lang w:val="nb-NO"/>
              </w:rPr>
              <w:t>+ DMARD</w:t>
            </w:r>
          </w:p>
        </w:tc>
        <w:tc>
          <w:tcPr>
            <w:tcW w:w="840" w:type="dxa"/>
          </w:tcPr>
          <w:p w14:paraId="2B565C34" w14:textId="77777777" w:rsidR="004A07DC" w:rsidRPr="00A942F6" w:rsidRDefault="004A07DC" w:rsidP="00641834">
            <w:pPr>
              <w:pStyle w:val="TableParagraph"/>
              <w:rPr>
                <w:b/>
                <w:sz w:val="20"/>
                <w:szCs w:val="20"/>
                <w:lang w:val="nb-NO"/>
              </w:rPr>
            </w:pPr>
            <w:r w:rsidRPr="00A942F6">
              <w:rPr>
                <w:b/>
                <w:sz w:val="20"/>
                <w:szCs w:val="20"/>
                <w:lang w:val="nb-NO"/>
              </w:rPr>
              <w:t>PBO + DMARD</w:t>
            </w:r>
          </w:p>
        </w:tc>
        <w:tc>
          <w:tcPr>
            <w:tcW w:w="929" w:type="dxa"/>
          </w:tcPr>
          <w:p w14:paraId="2B1BF861" w14:textId="77777777" w:rsidR="004A07DC" w:rsidRPr="00A942F6" w:rsidRDefault="004A07DC" w:rsidP="00641834">
            <w:pPr>
              <w:pStyle w:val="TableParagraph"/>
              <w:jc w:val="center"/>
              <w:rPr>
                <w:b/>
                <w:sz w:val="20"/>
                <w:szCs w:val="20"/>
                <w:lang w:val="nb-NO"/>
              </w:rPr>
            </w:pPr>
            <w:r w:rsidRPr="00A942F6">
              <w:rPr>
                <w:b/>
                <w:sz w:val="20"/>
                <w:szCs w:val="20"/>
                <w:lang w:val="nb-NO"/>
              </w:rPr>
              <w:t>TCZ</w:t>
            </w:r>
          </w:p>
          <w:p w14:paraId="6B1471A2" w14:textId="77777777" w:rsidR="004A07DC" w:rsidRPr="00A942F6" w:rsidRDefault="004A07DC" w:rsidP="00641834">
            <w:pPr>
              <w:pStyle w:val="TableParagraph"/>
              <w:jc w:val="center"/>
              <w:rPr>
                <w:b/>
                <w:sz w:val="20"/>
                <w:szCs w:val="20"/>
                <w:lang w:val="nb-NO"/>
              </w:rPr>
            </w:pPr>
            <w:r w:rsidRPr="00A942F6">
              <w:rPr>
                <w:b/>
                <w:sz w:val="20"/>
                <w:szCs w:val="20"/>
                <w:lang w:val="nb-NO"/>
              </w:rPr>
              <w:t>8 mg/kg</w:t>
            </w:r>
          </w:p>
          <w:p w14:paraId="0A58503C" w14:textId="77777777" w:rsidR="004A07DC" w:rsidRPr="00A942F6" w:rsidRDefault="004A07DC" w:rsidP="00641834">
            <w:pPr>
              <w:pStyle w:val="TableParagraph"/>
              <w:jc w:val="center"/>
              <w:rPr>
                <w:b/>
                <w:sz w:val="20"/>
                <w:szCs w:val="20"/>
                <w:lang w:val="nb-NO"/>
              </w:rPr>
            </w:pPr>
            <w:r w:rsidRPr="00A942F6">
              <w:rPr>
                <w:b/>
                <w:sz w:val="20"/>
                <w:szCs w:val="20"/>
                <w:lang w:val="nb-NO"/>
              </w:rPr>
              <w:t>+ MTX</w:t>
            </w:r>
          </w:p>
        </w:tc>
        <w:tc>
          <w:tcPr>
            <w:tcW w:w="900" w:type="dxa"/>
          </w:tcPr>
          <w:p w14:paraId="790AD55A" w14:textId="77777777" w:rsidR="004A07DC" w:rsidRPr="00A942F6" w:rsidRDefault="004A07DC" w:rsidP="00641834">
            <w:pPr>
              <w:pStyle w:val="TableParagraph"/>
              <w:rPr>
                <w:b/>
                <w:sz w:val="20"/>
                <w:szCs w:val="20"/>
                <w:lang w:val="nb-NO"/>
              </w:rPr>
            </w:pPr>
            <w:r w:rsidRPr="00A942F6">
              <w:rPr>
                <w:b/>
                <w:sz w:val="20"/>
                <w:szCs w:val="20"/>
                <w:lang w:val="nb-NO"/>
              </w:rPr>
              <w:t>PBO + MTX</w:t>
            </w:r>
          </w:p>
        </w:tc>
      </w:tr>
      <w:tr w:rsidR="004A07DC" w:rsidRPr="00A942F6" w14:paraId="6CF04A4C" w14:textId="77777777" w:rsidTr="00566B0B">
        <w:trPr>
          <w:cantSplit/>
          <w:trHeight w:val="20"/>
          <w:tblHeader/>
        </w:trPr>
        <w:tc>
          <w:tcPr>
            <w:tcW w:w="618" w:type="dxa"/>
          </w:tcPr>
          <w:p w14:paraId="52E7D5AE" w14:textId="77777777" w:rsidR="004A07DC" w:rsidRPr="00A942F6" w:rsidRDefault="004A07DC" w:rsidP="00641834">
            <w:pPr>
              <w:pStyle w:val="TableParagraph"/>
              <w:rPr>
                <w:sz w:val="20"/>
                <w:szCs w:val="20"/>
                <w:lang w:val="nb-NO"/>
              </w:rPr>
            </w:pPr>
          </w:p>
        </w:tc>
        <w:tc>
          <w:tcPr>
            <w:tcW w:w="917" w:type="dxa"/>
          </w:tcPr>
          <w:p w14:paraId="22FD680D" w14:textId="77777777" w:rsidR="004A07DC" w:rsidRPr="00A942F6" w:rsidRDefault="004A07DC" w:rsidP="00641834">
            <w:pPr>
              <w:pStyle w:val="TableParagraph"/>
              <w:jc w:val="center"/>
              <w:rPr>
                <w:b/>
                <w:sz w:val="20"/>
                <w:szCs w:val="20"/>
                <w:lang w:val="nb-NO"/>
              </w:rPr>
            </w:pPr>
            <w:r w:rsidRPr="00A942F6">
              <w:rPr>
                <w:b/>
                <w:sz w:val="20"/>
                <w:szCs w:val="20"/>
                <w:lang w:val="nb-NO"/>
              </w:rPr>
              <w:t>N= 286</w:t>
            </w:r>
          </w:p>
        </w:tc>
        <w:tc>
          <w:tcPr>
            <w:tcW w:w="840" w:type="dxa"/>
          </w:tcPr>
          <w:p w14:paraId="6E8D8D84" w14:textId="77777777" w:rsidR="004A07DC" w:rsidRPr="00A942F6" w:rsidRDefault="004A07DC" w:rsidP="00641834">
            <w:pPr>
              <w:pStyle w:val="TableParagraph"/>
              <w:rPr>
                <w:b/>
                <w:sz w:val="20"/>
                <w:szCs w:val="20"/>
                <w:lang w:val="nb-NO"/>
              </w:rPr>
            </w:pPr>
            <w:r w:rsidRPr="00A942F6">
              <w:rPr>
                <w:b/>
                <w:sz w:val="20"/>
                <w:szCs w:val="20"/>
                <w:lang w:val="nb-NO"/>
              </w:rPr>
              <w:t>N= 284</w:t>
            </w:r>
          </w:p>
        </w:tc>
        <w:tc>
          <w:tcPr>
            <w:tcW w:w="910" w:type="dxa"/>
          </w:tcPr>
          <w:p w14:paraId="477AF624" w14:textId="77777777" w:rsidR="004A07DC" w:rsidRPr="00A942F6" w:rsidRDefault="004A07DC" w:rsidP="00641834">
            <w:pPr>
              <w:pStyle w:val="TableParagraph"/>
              <w:jc w:val="center"/>
              <w:rPr>
                <w:b/>
                <w:sz w:val="20"/>
                <w:szCs w:val="20"/>
                <w:lang w:val="nb-NO"/>
              </w:rPr>
            </w:pPr>
            <w:r w:rsidRPr="00A942F6">
              <w:rPr>
                <w:b/>
                <w:sz w:val="20"/>
                <w:szCs w:val="20"/>
                <w:lang w:val="nb-NO"/>
              </w:rPr>
              <w:t>N= 398</w:t>
            </w:r>
          </w:p>
        </w:tc>
        <w:tc>
          <w:tcPr>
            <w:tcW w:w="826" w:type="dxa"/>
          </w:tcPr>
          <w:p w14:paraId="5341A037" w14:textId="77777777" w:rsidR="004A07DC" w:rsidRPr="00A942F6" w:rsidRDefault="004A07DC" w:rsidP="00641834">
            <w:pPr>
              <w:pStyle w:val="TableParagraph"/>
              <w:jc w:val="center"/>
              <w:rPr>
                <w:b/>
                <w:sz w:val="20"/>
                <w:szCs w:val="20"/>
                <w:lang w:val="nb-NO"/>
              </w:rPr>
            </w:pPr>
            <w:r w:rsidRPr="00A942F6">
              <w:rPr>
                <w:b/>
                <w:sz w:val="20"/>
                <w:szCs w:val="20"/>
                <w:lang w:val="nb-NO"/>
              </w:rPr>
              <w:t>N= 393</w:t>
            </w:r>
          </w:p>
        </w:tc>
        <w:tc>
          <w:tcPr>
            <w:tcW w:w="929" w:type="dxa"/>
          </w:tcPr>
          <w:p w14:paraId="17AC2F5B" w14:textId="77777777" w:rsidR="004A07DC" w:rsidRPr="00A942F6" w:rsidRDefault="004A07DC" w:rsidP="00641834">
            <w:pPr>
              <w:pStyle w:val="TableParagraph"/>
              <w:jc w:val="center"/>
              <w:rPr>
                <w:b/>
                <w:sz w:val="20"/>
                <w:szCs w:val="20"/>
                <w:lang w:val="nb-NO"/>
              </w:rPr>
            </w:pPr>
            <w:r w:rsidRPr="00A942F6">
              <w:rPr>
                <w:b/>
                <w:sz w:val="20"/>
                <w:szCs w:val="20"/>
                <w:lang w:val="nb-NO"/>
              </w:rPr>
              <w:t>N= 205</w:t>
            </w:r>
          </w:p>
        </w:tc>
        <w:tc>
          <w:tcPr>
            <w:tcW w:w="862" w:type="dxa"/>
          </w:tcPr>
          <w:p w14:paraId="43A17393" w14:textId="77777777" w:rsidR="004A07DC" w:rsidRPr="00A942F6" w:rsidRDefault="004A07DC" w:rsidP="00641834">
            <w:pPr>
              <w:pStyle w:val="TableParagraph"/>
              <w:jc w:val="center"/>
              <w:rPr>
                <w:b/>
                <w:sz w:val="20"/>
                <w:szCs w:val="20"/>
                <w:lang w:val="nb-NO"/>
              </w:rPr>
            </w:pPr>
            <w:r w:rsidRPr="00A942F6">
              <w:rPr>
                <w:b/>
                <w:sz w:val="20"/>
                <w:szCs w:val="20"/>
                <w:lang w:val="nb-NO"/>
              </w:rPr>
              <w:t>N= 204</w:t>
            </w:r>
          </w:p>
        </w:tc>
        <w:tc>
          <w:tcPr>
            <w:tcW w:w="1148" w:type="dxa"/>
          </w:tcPr>
          <w:p w14:paraId="23DBAD1D" w14:textId="77777777" w:rsidR="004A07DC" w:rsidRPr="00A942F6" w:rsidRDefault="004A07DC" w:rsidP="00641834">
            <w:pPr>
              <w:pStyle w:val="TableParagraph"/>
              <w:jc w:val="center"/>
              <w:rPr>
                <w:b/>
                <w:sz w:val="20"/>
                <w:szCs w:val="20"/>
                <w:lang w:val="nb-NO"/>
              </w:rPr>
            </w:pPr>
            <w:r w:rsidRPr="00A942F6">
              <w:rPr>
                <w:b/>
                <w:sz w:val="20"/>
                <w:szCs w:val="20"/>
                <w:lang w:val="nb-NO"/>
              </w:rPr>
              <w:t>N= 803</w:t>
            </w:r>
          </w:p>
        </w:tc>
        <w:tc>
          <w:tcPr>
            <w:tcW w:w="840" w:type="dxa"/>
          </w:tcPr>
          <w:p w14:paraId="3D8CFBCA" w14:textId="77777777" w:rsidR="004A07DC" w:rsidRPr="00A942F6" w:rsidRDefault="004A07DC" w:rsidP="00641834">
            <w:pPr>
              <w:pStyle w:val="TableParagraph"/>
              <w:jc w:val="center"/>
              <w:rPr>
                <w:b/>
                <w:sz w:val="20"/>
                <w:szCs w:val="20"/>
                <w:lang w:val="nb-NO"/>
              </w:rPr>
            </w:pPr>
            <w:r w:rsidRPr="00A942F6">
              <w:rPr>
                <w:b/>
                <w:sz w:val="20"/>
                <w:szCs w:val="20"/>
                <w:lang w:val="nb-NO"/>
              </w:rPr>
              <w:t>N= 413</w:t>
            </w:r>
          </w:p>
        </w:tc>
        <w:tc>
          <w:tcPr>
            <w:tcW w:w="929" w:type="dxa"/>
          </w:tcPr>
          <w:p w14:paraId="64A44E72" w14:textId="77777777" w:rsidR="004A07DC" w:rsidRPr="00A942F6" w:rsidRDefault="004A07DC" w:rsidP="00641834">
            <w:pPr>
              <w:pStyle w:val="TableParagraph"/>
              <w:jc w:val="center"/>
              <w:rPr>
                <w:b/>
                <w:sz w:val="20"/>
                <w:szCs w:val="20"/>
                <w:lang w:val="nb-NO"/>
              </w:rPr>
            </w:pPr>
            <w:r w:rsidRPr="00A942F6">
              <w:rPr>
                <w:b/>
                <w:sz w:val="20"/>
                <w:szCs w:val="20"/>
                <w:lang w:val="nb-NO"/>
              </w:rPr>
              <w:t>N= 170</w:t>
            </w:r>
          </w:p>
        </w:tc>
        <w:tc>
          <w:tcPr>
            <w:tcW w:w="900" w:type="dxa"/>
          </w:tcPr>
          <w:p w14:paraId="0E6251FF" w14:textId="77777777" w:rsidR="004A07DC" w:rsidRPr="00A942F6" w:rsidRDefault="004A07DC" w:rsidP="00641834">
            <w:pPr>
              <w:pStyle w:val="TableParagraph"/>
              <w:jc w:val="center"/>
              <w:rPr>
                <w:b/>
                <w:sz w:val="20"/>
                <w:szCs w:val="20"/>
                <w:lang w:val="nb-NO"/>
              </w:rPr>
            </w:pPr>
            <w:r w:rsidRPr="00A942F6">
              <w:rPr>
                <w:b/>
                <w:sz w:val="20"/>
                <w:szCs w:val="20"/>
                <w:lang w:val="nb-NO"/>
              </w:rPr>
              <w:t>N= 158</w:t>
            </w:r>
          </w:p>
        </w:tc>
      </w:tr>
      <w:tr w:rsidR="004A07DC" w:rsidRPr="00A942F6" w14:paraId="3573A06A" w14:textId="77777777" w:rsidTr="003175D5">
        <w:trPr>
          <w:cantSplit/>
          <w:trHeight w:val="20"/>
        </w:trPr>
        <w:tc>
          <w:tcPr>
            <w:tcW w:w="9719" w:type="dxa"/>
            <w:gridSpan w:val="11"/>
          </w:tcPr>
          <w:p w14:paraId="595F3B52" w14:textId="77777777" w:rsidR="004A07DC" w:rsidRPr="00A942F6" w:rsidRDefault="004A07DC" w:rsidP="00641834">
            <w:pPr>
              <w:pStyle w:val="TableParagraph"/>
              <w:jc w:val="center"/>
              <w:rPr>
                <w:b/>
                <w:sz w:val="20"/>
                <w:szCs w:val="20"/>
                <w:lang w:val="nb-NO"/>
              </w:rPr>
            </w:pPr>
            <w:r w:rsidRPr="00A942F6">
              <w:rPr>
                <w:b/>
                <w:sz w:val="20"/>
                <w:szCs w:val="20"/>
                <w:lang w:val="nb-NO"/>
              </w:rPr>
              <w:t>ACR 20</w:t>
            </w:r>
          </w:p>
        </w:tc>
      </w:tr>
      <w:tr w:rsidR="004A07DC" w:rsidRPr="00A942F6" w14:paraId="4BAE2116" w14:textId="77777777" w:rsidTr="00566B0B">
        <w:trPr>
          <w:cantSplit/>
          <w:trHeight w:val="20"/>
        </w:trPr>
        <w:tc>
          <w:tcPr>
            <w:tcW w:w="618" w:type="dxa"/>
          </w:tcPr>
          <w:p w14:paraId="2FDDE45E" w14:textId="77777777" w:rsidR="004A07DC" w:rsidRPr="00A942F6" w:rsidRDefault="004A07DC" w:rsidP="00641834">
            <w:pPr>
              <w:pStyle w:val="TableParagraph"/>
              <w:jc w:val="center"/>
              <w:rPr>
                <w:sz w:val="20"/>
                <w:szCs w:val="20"/>
                <w:lang w:val="nb-NO"/>
              </w:rPr>
            </w:pPr>
            <w:r w:rsidRPr="00A942F6">
              <w:rPr>
                <w:sz w:val="20"/>
                <w:szCs w:val="20"/>
                <w:lang w:val="nb-NO"/>
              </w:rPr>
              <w:t>24</w:t>
            </w:r>
          </w:p>
        </w:tc>
        <w:tc>
          <w:tcPr>
            <w:tcW w:w="917" w:type="dxa"/>
          </w:tcPr>
          <w:p w14:paraId="6E8EA62A" w14:textId="77777777" w:rsidR="004A07DC" w:rsidRPr="00A942F6" w:rsidRDefault="004A07DC" w:rsidP="00641834">
            <w:pPr>
              <w:pStyle w:val="TableParagraph"/>
              <w:jc w:val="center"/>
              <w:rPr>
                <w:sz w:val="20"/>
                <w:szCs w:val="20"/>
                <w:lang w:val="nb-NO"/>
              </w:rPr>
            </w:pPr>
            <w:r w:rsidRPr="00A942F6">
              <w:rPr>
                <w:sz w:val="20"/>
                <w:szCs w:val="20"/>
                <w:lang w:val="nb-NO"/>
              </w:rPr>
              <w:t>70%***</w:t>
            </w:r>
          </w:p>
        </w:tc>
        <w:tc>
          <w:tcPr>
            <w:tcW w:w="840" w:type="dxa"/>
          </w:tcPr>
          <w:p w14:paraId="7189860D" w14:textId="77777777" w:rsidR="004A07DC" w:rsidRPr="00A942F6" w:rsidRDefault="004A07DC" w:rsidP="00641834">
            <w:pPr>
              <w:pStyle w:val="TableParagraph"/>
              <w:jc w:val="center"/>
              <w:rPr>
                <w:sz w:val="20"/>
                <w:szCs w:val="20"/>
                <w:lang w:val="nb-NO"/>
              </w:rPr>
            </w:pPr>
            <w:r w:rsidRPr="00A942F6">
              <w:rPr>
                <w:sz w:val="20"/>
                <w:szCs w:val="20"/>
                <w:lang w:val="nb-NO"/>
              </w:rPr>
              <w:t>52%</w:t>
            </w:r>
          </w:p>
        </w:tc>
        <w:tc>
          <w:tcPr>
            <w:tcW w:w="910" w:type="dxa"/>
          </w:tcPr>
          <w:p w14:paraId="43E89709" w14:textId="77777777" w:rsidR="004A07DC" w:rsidRPr="00A942F6" w:rsidRDefault="004A07DC" w:rsidP="00641834">
            <w:pPr>
              <w:pStyle w:val="TableParagraph"/>
              <w:jc w:val="center"/>
              <w:rPr>
                <w:sz w:val="20"/>
                <w:szCs w:val="20"/>
                <w:lang w:val="nb-NO"/>
              </w:rPr>
            </w:pPr>
            <w:r w:rsidRPr="00A942F6">
              <w:rPr>
                <w:sz w:val="20"/>
                <w:szCs w:val="20"/>
                <w:lang w:val="nb-NO"/>
              </w:rPr>
              <w:t>56%***</w:t>
            </w:r>
          </w:p>
        </w:tc>
        <w:tc>
          <w:tcPr>
            <w:tcW w:w="826" w:type="dxa"/>
          </w:tcPr>
          <w:p w14:paraId="4CF706EA" w14:textId="77777777" w:rsidR="004A07DC" w:rsidRPr="00A942F6" w:rsidRDefault="004A07DC" w:rsidP="00641834">
            <w:pPr>
              <w:pStyle w:val="TableParagraph"/>
              <w:jc w:val="center"/>
              <w:rPr>
                <w:sz w:val="20"/>
                <w:szCs w:val="20"/>
                <w:lang w:val="nb-NO"/>
              </w:rPr>
            </w:pPr>
            <w:r w:rsidRPr="00A942F6">
              <w:rPr>
                <w:sz w:val="20"/>
                <w:szCs w:val="20"/>
                <w:lang w:val="nb-NO"/>
              </w:rPr>
              <w:t>27%</w:t>
            </w:r>
          </w:p>
        </w:tc>
        <w:tc>
          <w:tcPr>
            <w:tcW w:w="929" w:type="dxa"/>
          </w:tcPr>
          <w:p w14:paraId="3BD12642" w14:textId="77777777" w:rsidR="004A07DC" w:rsidRPr="00A942F6" w:rsidRDefault="004A07DC" w:rsidP="00641834">
            <w:pPr>
              <w:pStyle w:val="TableParagraph"/>
              <w:jc w:val="center"/>
              <w:rPr>
                <w:sz w:val="20"/>
                <w:szCs w:val="20"/>
                <w:lang w:val="nb-NO"/>
              </w:rPr>
            </w:pPr>
            <w:r w:rsidRPr="00A942F6">
              <w:rPr>
                <w:sz w:val="20"/>
                <w:szCs w:val="20"/>
                <w:lang w:val="nb-NO"/>
              </w:rPr>
              <w:t>59%***</w:t>
            </w:r>
          </w:p>
        </w:tc>
        <w:tc>
          <w:tcPr>
            <w:tcW w:w="862" w:type="dxa"/>
          </w:tcPr>
          <w:p w14:paraId="61B5975A" w14:textId="77777777" w:rsidR="004A07DC" w:rsidRPr="00A942F6" w:rsidRDefault="004A07DC" w:rsidP="00641834">
            <w:pPr>
              <w:pStyle w:val="TableParagraph"/>
              <w:jc w:val="center"/>
              <w:rPr>
                <w:sz w:val="20"/>
                <w:szCs w:val="20"/>
                <w:lang w:val="nb-NO"/>
              </w:rPr>
            </w:pPr>
            <w:r w:rsidRPr="00A942F6">
              <w:rPr>
                <w:sz w:val="20"/>
                <w:szCs w:val="20"/>
                <w:lang w:val="nb-NO"/>
              </w:rPr>
              <w:t>26%</w:t>
            </w:r>
          </w:p>
        </w:tc>
        <w:tc>
          <w:tcPr>
            <w:tcW w:w="1148" w:type="dxa"/>
          </w:tcPr>
          <w:p w14:paraId="0E7C4EAF" w14:textId="77777777" w:rsidR="004A07DC" w:rsidRPr="00A942F6" w:rsidRDefault="004A07DC" w:rsidP="00641834">
            <w:pPr>
              <w:pStyle w:val="TableParagraph"/>
              <w:jc w:val="center"/>
              <w:rPr>
                <w:sz w:val="20"/>
                <w:szCs w:val="20"/>
                <w:lang w:val="nb-NO"/>
              </w:rPr>
            </w:pPr>
            <w:r w:rsidRPr="00A942F6">
              <w:rPr>
                <w:sz w:val="20"/>
                <w:szCs w:val="20"/>
                <w:lang w:val="nb-NO"/>
              </w:rPr>
              <w:t>61%***</w:t>
            </w:r>
          </w:p>
        </w:tc>
        <w:tc>
          <w:tcPr>
            <w:tcW w:w="840" w:type="dxa"/>
          </w:tcPr>
          <w:p w14:paraId="51E35422" w14:textId="77777777" w:rsidR="004A07DC" w:rsidRPr="00A942F6" w:rsidRDefault="004A07DC" w:rsidP="00641834">
            <w:pPr>
              <w:pStyle w:val="TableParagraph"/>
              <w:jc w:val="center"/>
              <w:rPr>
                <w:sz w:val="20"/>
                <w:szCs w:val="20"/>
                <w:lang w:val="nb-NO"/>
              </w:rPr>
            </w:pPr>
            <w:r w:rsidRPr="00A942F6">
              <w:rPr>
                <w:sz w:val="20"/>
                <w:szCs w:val="20"/>
                <w:lang w:val="nb-NO"/>
              </w:rPr>
              <w:t>24%</w:t>
            </w:r>
          </w:p>
        </w:tc>
        <w:tc>
          <w:tcPr>
            <w:tcW w:w="929" w:type="dxa"/>
          </w:tcPr>
          <w:p w14:paraId="191F7DE9" w14:textId="77777777" w:rsidR="004A07DC" w:rsidRPr="00A942F6" w:rsidRDefault="004A07DC" w:rsidP="00641834">
            <w:pPr>
              <w:pStyle w:val="TableParagraph"/>
              <w:jc w:val="center"/>
              <w:rPr>
                <w:sz w:val="20"/>
                <w:szCs w:val="20"/>
                <w:lang w:val="nb-NO"/>
              </w:rPr>
            </w:pPr>
            <w:r w:rsidRPr="00A942F6">
              <w:rPr>
                <w:sz w:val="20"/>
                <w:szCs w:val="20"/>
                <w:lang w:val="nb-NO"/>
              </w:rPr>
              <w:t>50%***</w:t>
            </w:r>
          </w:p>
        </w:tc>
        <w:tc>
          <w:tcPr>
            <w:tcW w:w="900" w:type="dxa"/>
          </w:tcPr>
          <w:p w14:paraId="682E1A26" w14:textId="77777777" w:rsidR="004A07DC" w:rsidRPr="00A942F6" w:rsidRDefault="004A07DC" w:rsidP="00641834">
            <w:pPr>
              <w:pStyle w:val="TableParagraph"/>
              <w:jc w:val="center"/>
              <w:rPr>
                <w:sz w:val="20"/>
                <w:szCs w:val="20"/>
                <w:lang w:val="nb-NO"/>
              </w:rPr>
            </w:pPr>
            <w:r w:rsidRPr="00A942F6">
              <w:rPr>
                <w:sz w:val="20"/>
                <w:szCs w:val="20"/>
                <w:lang w:val="nb-NO"/>
              </w:rPr>
              <w:t>10%</w:t>
            </w:r>
          </w:p>
        </w:tc>
      </w:tr>
      <w:tr w:rsidR="004A07DC" w:rsidRPr="00A942F6" w14:paraId="7CA091A8" w14:textId="77777777" w:rsidTr="00566B0B">
        <w:trPr>
          <w:cantSplit/>
          <w:trHeight w:val="20"/>
        </w:trPr>
        <w:tc>
          <w:tcPr>
            <w:tcW w:w="618" w:type="dxa"/>
          </w:tcPr>
          <w:p w14:paraId="72381770" w14:textId="77777777" w:rsidR="004A07DC" w:rsidRPr="00A942F6" w:rsidRDefault="004A07DC" w:rsidP="00641834">
            <w:pPr>
              <w:pStyle w:val="TableParagraph"/>
              <w:jc w:val="center"/>
              <w:rPr>
                <w:sz w:val="20"/>
                <w:szCs w:val="20"/>
                <w:lang w:val="nb-NO"/>
              </w:rPr>
            </w:pPr>
            <w:r w:rsidRPr="00A942F6">
              <w:rPr>
                <w:sz w:val="20"/>
                <w:szCs w:val="20"/>
                <w:lang w:val="nb-NO"/>
              </w:rPr>
              <w:t>52</w:t>
            </w:r>
          </w:p>
        </w:tc>
        <w:tc>
          <w:tcPr>
            <w:tcW w:w="917" w:type="dxa"/>
          </w:tcPr>
          <w:p w14:paraId="6CE82AB5" w14:textId="77777777" w:rsidR="004A07DC" w:rsidRPr="00A942F6" w:rsidRDefault="004A07DC" w:rsidP="00641834">
            <w:pPr>
              <w:pStyle w:val="TableParagraph"/>
              <w:rPr>
                <w:sz w:val="20"/>
                <w:szCs w:val="20"/>
                <w:lang w:val="nb-NO"/>
              </w:rPr>
            </w:pPr>
          </w:p>
        </w:tc>
        <w:tc>
          <w:tcPr>
            <w:tcW w:w="840" w:type="dxa"/>
          </w:tcPr>
          <w:p w14:paraId="21BB47E2" w14:textId="77777777" w:rsidR="004A07DC" w:rsidRPr="00A942F6" w:rsidRDefault="004A07DC" w:rsidP="00641834">
            <w:pPr>
              <w:pStyle w:val="TableParagraph"/>
              <w:rPr>
                <w:sz w:val="20"/>
                <w:szCs w:val="20"/>
                <w:lang w:val="nb-NO"/>
              </w:rPr>
            </w:pPr>
          </w:p>
        </w:tc>
        <w:tc>
          <w:tcPr>
            <w:tcW w:w="910" w:type="dxa"/>
          </w:tcPr>
          <w:p w14:paraId="28C172C2" w14:textId="77777777" w:rsidR="004A07DC" w:rsidRPr="00A942F6" w:rsidRDefault="004A07DC" w:rsidP="00641834">
            <w:pPr>
              <w:pStyle w:val="TableParagraph"/>
              <w:jc w:val="center"/>
              <w:rPr>
                <w:sz w:val="20"/>
                <w:szCs w:val="20"/>
                <w:lang w:val="nb-NO"/>
              </w:rPr>
            </w:pPr>
            <w:r w:rsidRPr="00A942F6">
              <w:rPr>
                <w:sz w:val="20"/>
                <w:szCs w:val="20"/>
                <w:lang w:val="nb-NO"/>
              </w:rPr>
              <w:t>56%***</w:t>
            </w:r>
          </w:p>
        </w:tc>
        <w:tc>
          <w:tcPr>
            <w:tcW w:w="826" w:type="dxa"/>
          </w:tcPr>
          <w:p w14:paraId="205C4529" w14:textId="77777777" w:rsidR="004A07DC" w:rsidRPr="00A942F6" w:rsidRDefault="004A07DC" w:rsidP="00641834">
            <w:pPr>
              <w:pStyle w:val="TableParagraph"/>
              <w:jc w:val="center"/>
              <w:rPr>
                <w:sz w:val="20"/>
                <w:szCs w:val="20"/>
                <w:lang w:val="nb-NO"/>
              </w:rPr>
            </w:pPr>
            <w:r w:rsidRPr="00A942F6">
              <w:rPr>
                <w:sz w:val="20"/>
                <w:szCs w:val="20"/>
                <w:lang w:val="nb-NO"/>
              </w:rPr>
              <w:t>25%</w:t>
            </w:r>
          </w:p>
        </w:tc>
        <w:tc>
          <w:tcPr>
            <w:tcW w:w="929" w:type="dxa"/>
          </w:tcPr>
          <w:p w14:paraId="0ED5F0B7" w14:textId="77777777" w:rsidR="004A07DC" w:rsidRPr="00A942F6" w:rsidRDefault="004A07DC" w:rsidP="00641834">
            <w:pPr>
              <w:pStyle w:val="TableParagraph"/>
              <w:rPr>
                <w:sz w:val="20"/>
                <w:szCs w:val="20"/>
                <w:lang w:val="nb-NO"/>
              </w:rPr>
            </w:pPr>
          </w:p>
        </w:tc>
        <w:tc>
          <w:tcPr>
            <w:tcW w:w="862" w:type="dxa"/>
          </w:tcPr>
          <w:p w14:paraId="40806683" w14:textId="77777777" w:rsidR="004A07DC" w:rsidRPr="00A942F6" w:rsidRDefault="004A07DC" w:rsidP="00641834">
            <w:pPr>
              <w:pStyle w:val="TableParagraph"/>
              <w:rPr>
                <w:sz w:val="20"/>
                <w:szCs w:val="20"/>
                <w:lang w:val="nb-NO"/>
              </w:rPr>
            </w:pPr>
          </w:p>
        </w:tc>
        <w:tc>
          <w:tcPr>
            <w:tcW w:w="1148" w:type="dxa"/>
          </w:tcPr>
          <w:p w14:paraId="18E974C0" w14:textId="77777777" w:rsidR="004A07DC" w:rsidRPr="00A942F6" w:rsidRDefault="004A07DC" w:rsidP="00641834">
            <w:pPr>
              <w:pStyle w:val="TableParagraph"/>
              <w:rPr>
                <w:sz w:val="20"/>
                <w:szCs w:val="20"/>
                <w:lang w:val="nb-NO"/>
              </w:rPr>
            </w:pPr>
          </w:p>
        </w:tc>
        <w:tc>
          <w:tcPr>
            <w:tcW w:w="840" w:type="dxa"/>
          </w:tcPr>
          <w:p w14:paraId="4F30B653" w14:textId="77777777" w:rsidR="004A07DC" w:rsidRPr="00A942F6" w:rsidRDefault="004A07DC" w:rsidP="00641834">
            <w:pPr>
              <w:pStyle w:val="TableParagraph"/>
              <w:rPr>
                <w:sz w:val="20"/>
                <w:szCs w:val="20"/>
                <w:lang w:val="nb-NO"/>
              </w:rPr>
            </w:pPr>
          </w:p>
        </w:tc>
        <w:tc>
          <w:tcPr>
            <w:tcW w:w="929" w:type="dxa"/>
          </w:tcPr>
          <w:p w14:paraId="1ACF806C" w14:textId="77777777" w:rsidR="004A07DC" w:rsidRPr="00A942F6" w:rsidRDefault="004A07DC" w:rsidP="00641834">
            <w:pPr>
              <w:pStyle w:val="TableParagraph"/>
              <w:rPr>
                <w:sz w:val="20"/>
                <w:szCs w:val="20"/>
                <w:lang w:val="nb-NO"/>
              </w:rPr>
            </w:pPr>
          </w:p>
        </w:tc>
        <w:tc>
          <w:tcPr>
            <w:tcW w:w="900" w:type="dxa"/>
          </w:tcPr>
          <w:p w14:paraId="257E62C9" w14:textId="77777777" w:rsidR="004A07DC" w:rsidRPr="00A942F6" w:rsidRDefault="004A07DC" w:rsidP="00641834">
            <w:pPr>
              <w:pStyle w:val="TableParagraph"/>
              <w:rPr>
                <w:sz w:val="20"/>
                <w:szCs w:val="20"/>
                <w:lang w:val="nb-NO"/>
              </w:rPr>
            </w:pPr>
          </w:p>
        </w:tc>
      </w:tr>
      <w:tr w:rsidR="004A07DC" w:rsidRPr="00A942F6" w14:paraId="3611A982" w14:textId="77777777" w:rsidTr="003175D5">
        <w:trPr>
          <w:cantSplit/>
          <w:trHeight w:val="20"/>
        </w:trPr>
        <w:tc>
          <w:tcPr>
            <w:tcW w:w="9719" w:type="dxa"/>
            <w:gridSpan w:val="11"/>
          </w:tcPr>
          <w:p w14:paraId="3700D5AA" w14:textId="77777777" w:rsidR="004A07DC" w:rsidRPr="00A942F6" w:rsidRDefault="004A07DC" w:rsidP="00641834">
            <w:pPr>
              <w:pStyle w:val="TableParagraph"/>
              <w:jc w:val="center"/>
              <w:rPr>
                <w:b/>
                <w:sz w:val="20"/>
                <w:szCs w:val="20"/>
                <w:lang w:val="nb-NO"/>
              </w:rPr>
            </w:pPr>
            <w:r w:rsidRPr="00A942F6">
              <w:rPr>
                <w:b/>
                <w:sz w:val="20"/>
                <w:szCs w:val="20"/>
                <w:lang w:val="nb-NO"/>
              </w:rPr>
              <w:t>ACR 50</w:t>
            </w:r>
          </w:p>
        </w:tc>
      </w:tr>
      <w:tr w:rsidR="004A07DC" w:rsidRPr="00A942F6" w14:paraId="6E4D1A42" w14:textId="77777777" w:rsidTr="00566B0B">
        <w:trPr>
          <w:cantSplit/>
          <w:trHeight w:val="20"/>
        </w:trPr>
        <w:tc>
          <w:tcPr>
            <w:tcW w:w="618" w:type="dxa"/>
          </w:tcPr>
          <w:p w14:paraId="5EA0B664" w14:textId="77777777" w:rsidR="004A07DC" w:rsidRPr="00A942F6" w:rsidRDefault="004A07DC" w:rsidP="00641834">
            <w:pPr>
              <w:pStyle w:val="TableParagraph"/>
              <w:jc w:val="center"/>
              <w:rPr>
                <w:sz w:val="20"/>
                <w:szCs w:val="20"/>
                <w:lang w:val="nb-NO"/>
              </w:rPr>
            </w:pPr>
            <w:r w:rsidRPr="00A942F6">
              <w:rPr>
                <w:sz w:val="20"/>
                <w:szCs w:val="20"/>
                <w:lang w:val="nb-NO"/>
              </w:rPr>
              <w:t>24</w:t>
            </w:r>
          </w:p>
        </w:tc>
        <w:tc>
          <w:tcPr>
            <w:tcW w:w="917" w:type="dxa"/>
          </w:tcPr>
          <w:p w14:paraId="5682162F" w14:textId="77777777" w:rsidR="004A07DC" w:rsidRPr="00A942F6" w:rsidRDefault="004A07DC" w:rsidP="00641834">
            <w:pPr>
              <w:pStyle w:val="TableParagraph"/>
              <w:jc w:val="center"/>
              <w:rPr>
                <w:sz w:val="20"/>
                <w:szCs w:val="20"/>
                <w:lang w:val="nb-NO"/>
              </w:rPr>
            </w:pPr>
            <w:r w:rsidRPr="00A942F6">
              <w:rPr>
                <w:sz w:val="20"/>
                <w:szCs w:val="20"/>
                <w:lang w:val="nb-NO"/>
              </w:rPr>
              <w:t>44%**</w:t>
            </w:r>
          </w:p>
        </w:tc>
        <w:tc>
          <w:tcPr>
            <w:tcW w:w="840" w:type="dxa"/>
          </w:tcPr>
          <w:p w14:paraId="5799EC94" w14:textId="77777777" w:rsidR="004A07DC" w:rsidRPr="00A942F6" w:rsidRDefault="004A07DC" w:rsidP="00641834">
            <w:pPr>
              <w:pStyle w:val="TableParagraph"/>
              <w:jc w:val="center"/>
              <w:rPr>
                <w:sz w:val="20"/>
                <w:szCs w:val="20"/>
                <w:lang w:val="nb-NO"/>
              </w:rPr>
            </w:pPr>
            <w:r w:rsidRPr="00A942F6">
              <w:rPr>
                <w:sz w:val="20"/>
                <w:szCs w:val="20"/>
                <w:lang w:val="nb-NO"/>
              </w:rPr>
              <w:t>33%</w:t>
            </w:r>
          </w:p>
        </w:tc>
        <w:tc>
          <w:tcPr>
            <w:tcW w:w="910" w:type="dxa"/>
          </w:tcPr>
          <w:p w14:paraId="4715CBFF" w14:textId="77777777" w:rsidR="004A07DC" w:rsidRPr="00A942F6" w:rsidRDefault="004A07DC" w:rsidP="00641834">
            <w:pPr>
              <w:pStyle w:val="TableParagraph"/>
              <w:jc w:val="center"/>
              <w:rPr>
                <w:sz w:val="20"/>
                <w:szCs w:val="20"/>
                <w:lang w:val="nb-NO"/>
              </w:rPr>
            </w:pPr>
            <w:r w:rsidRPr="00A942F6">
              <w:rPr>
                <w:sz w:val="20"/>
                <w:szCs w:val="20"/>
                <w:lang w:val="nb-NO"/>
              </w:rPr>
              <w:t>32%***</w:t>
            </w:r>
          </w:p>
        </w:tc>
        <w:tc>
          <w:tcPr>
            <w:tcW w:w="826" w:type="dxa"/>
          </w:tcPr>
          <w:p w14:paraId="2A3FD47F" w14:textId="77777777" w:rsidR="004A07DC" w:rsidRPr="00A942F6" w:rsidRDefault="004A07DC" w:rsidP="00641834">
            <w:pPr>
              <w:pStyle w:val="TableParagraph"/>
              <w:jc w:val="center"/>
              <w:rPr>
                <w:sz w:val="20"/>
                <w:szCs w:val="20"/>
                <w:lang w:val="nb-NO"/>
              </w:rPr>
            </w:pPr>
            <w:r w:rsidRPr="00A942F6">
              <w:rPr>
                <w:sz w:val="20"/>
                <w:szCs w:val="20"/>
                <w:lang w:val="nb-NO"/>
              </w:rPr>
              <w:t>10%</w:t>
            </w:r>
          </w:p>
        </w:tc>
        <w:tc>
          <w:tcPr>
            <w:tcW w:w="929" w:type="dxa"/>
          </w:tcPr>
          <w:p w14:paraId="6DC7E453" w14:textId="77777777" w:rsidR="004A07DC" w:rsidRPr="00A942F6" w:rsidRDefault="004A07DC" w:rsidP="00641834">
            <w:pPr>
              <w:pStyle w:val="TableParagraph"/>
              <w:jc w:val="center"/>
              <w:rPr>
                <w:sz w:val="20"/>
                <w:szCs w:val="20"/>
                <w:lang w:val="nb-NO"/>
              </w:rPr>
            </w:pPr>
            <w:r w:rsidRPr="00A942F6">
              <w:rPr>
                <w:sz w:val="20"/>
                <w:szCs w:val="20"/>
                <w:lang w:val="nb-NO"/>
              </w:rPr>
              <w:t>44%***</w:t>
            </w:r>
          </w:p>
        </w:tc>
        <w:tc>
          <w:tcPr>
            <w:tcW w:w="862" w:type="dxa"/>
          </w:tcPr>
          <w:p w14:paraId="288F3C57" w14:textId="77777777" w:rsidR="004A07DC" w:rsidRPr="00A942F6" w:rsidRDefault="004A07DC" w:rsidP="00641834">
            <w:pPr>
              <w:pStyle w:val="TableParagraph"/>
              <w:jc w:val="center"/>
              <w:rPr>
                <w:sz w:val="20"/>
                <w:szCs w:val="20"/>
                <w:lang w:val="nb-NO"/>
              </w:rPr>
            </w:pPr>
            <w:r w:rsidRPr="00A942F6">
              <w:rPr>
                <w:sz w:val="20"/>
                <w:szCs w:val="20"/>
                <w:lang w:val="nb-NO"/>
              </w:rPr>
              <w:t>11%</w:t>
            </w:r>
          </w:p>
        </w:tc>
        <w:tc>
          <w:tcPr>
            <w:tcW w:w="1148" w:type="dxa"/>
          </w:tcPr>
          <w:p w14:paraId="1A0A9692" w14:textId="77777777" w:rsidR="004A07DC" w:rsidRPr="00A942F6" w:rsidRDefault="004A07DC" w:rsidP="00641834">
            <w:pPr>
              <w:pStyle w:val="TableParagraph"/>
              <w:jc w:val="center"/>
              <w:rPr>
                <w:sz w:val="20"/>
                <w:szCs w:val="20"/>
                <w:lang w:val="nb-NO"/>
              </w:rPr>
            </w:pPr>
            <w:r w:rsidRPr="00A942F6">
              <w:rPr>
                <w:sz w:val="20"/>
                <w:szCs w:val="20"/>
                <w:lang w:val="nb-NO"/>
              </w:rPr>
              <w:t>38%***</w:t>
            </w:r>
          </w:p>
        </w:tc>
        <w:tc>
          <w:tcPr>
            <w:tcW w:w="840" w:type="dxa"/>
          </w:tcPr>
          <w:p w14:paraId="233F2506" w14:textId="77777777" w:rsidR="004A07DC" w:rsidRPr="00A942F6" w:rsidRDefault="004A07DC" w:rsidP="00641834">
            <w:pPr>
              <w:pStyle w:val="TableParagraph"/>
              <w:jc w:val="center"/>
              <w:rPr>
                <w:sz w:val="20"/>
                <w:szCs w:val="20"/>
                <w:lang w:val="nb-NO"/>
              </w:rPr>
            </w:pPr>
            <w:r w:rsidRPr="00A942F6">
              <w:rPr>
                <w:sz w:val="20"/>
                <w:szCs w:val="20"/>
                <w:lang w:val="nb-NO"/>
              </w:rPr>
              <w:t>9%</w:t>
            </w:r>
          </w:p>
        </w:tc>
        <w:tc>
          <w:tcPr>
            <w:tcW w:w="929" w:type="dxa"/>
          </w:tcPr>
          <w:p w14:paraId="487C23AE" w14:textId="77777777" w:rsidR="004A07DC" w:rsidRPr="00A942F6" w:rsidRDefault="004A07DC" w:rsidP="00641834">
            <w:pPr>
              <w:pStyle w:val="TableParagraph"/>
              <w:jc w:val="center"/>
              <w:rPr>
                <w:sz w:val="20"/>
                <w:szCs w:val="20"/>
                <w:lang w:val="nb-NO"/>
              </w:rPr>
            </w:pPr>
            <w:r w:rsidRPr="00A942F6">
              <w:rPr>
                <w:sz w:val="20"/>
                <w:szCs w:val="20"/>
                <w:lang w:val="nb-NO"/>
              </w:rPr>
              <w:t>29%***</w:t>
            </w:r>
          </w:p>
        </w:tc>
        <w:tc>
          <w:tcPr>
            <w:tcW w:w="900" w:type="dxa"/>
          </w:tcPr>
          <w:p w14:paraId="5D71B582" w14:textId="77777777" w:rsidR="004A07DC" w:rsidRPr="00A942F6" w:rsidRDefault="004A07DC" w:rsidP="00641834">
            <w:pPr>
              <w:pStyle w:val="TableParagraph"/>
              <w:jc w:val="center"/>
              <w:rPr>
                <w:sz w:val="20"/>
                <w:szCs w:val="20"/>
                <w:lang w:val="nb-NO"/>
              </w:rPr>
            </w:pPr>
            <w:r w:rsidRPr="00A942F6">
              <w:rPr>
                <w:sz w:val="20"/>
                <w:szCs w:val="20"/>
                <w:lang w:val="nb-NO"/>
              </w:rPr>
              <w:t>4%</w:t>
            </w:r>
          </w:p>
        </w:tc>
      </w:tr>
      <w:tr w:rsidR="004A07DC" w:rsidRPr="00A942F6" w14:paraId="14384546" w14:textId="77777777" w:rsidTr="00566B0B">
        <w:trPr>
          <w:cantSplit/>
          <w:trHeight w:val="20"/>
        </w:trPr>
        <w:tc>
          <w:tcPr>
            <w:tcW w:w="618" w:type="dxa"/>
          </w:tcPr>
          <w:p w14:paraId="1EF5549C" w14:textId="77777777" w:rsidR="004A07DC" w:rsidRPr="00A942F6" w:rsidRDefault="004A07DC" w:rsidP="00641834">
            <w:pPr>
              <w:pStyle w:val="TableParagraph"/>
              <w:jc w:val="center"/>
              <w:rPr>
                <w:sz w:val="20"/>
                <w:szCs w:val="20"/>
                <w:lang w:val="nb-NO"/>
              </w:rPr>
            </w:pPr>
            <w:r w:rsidRPr="00A942F6">
              <w:rPr>
                <w:sz w:val="20"/>
                <w:szCs w:val="20"/>
                <w:lang w:val="nb-NO"/>
              </w:rPr>
              <w:t>52</w:t>
            </w:r>
          </w:p>
        </w:tc>
        <w:tc>
          <w:tcPr>
            <w:tcW w:w="917" w:type="dxa"/>
          </w:tcPr>
          <w:p w14:paraId="44BB9740" w14:textId="77777777" w:rsidR="004A07DC" w:rsidRPr="00A942F6" w:rsidRDefault="004A07DC" w:rsidP="00641834">
            <w:pPr>
              <w:pStyle w:val="TableParagraph"/>
              <w:rPr>
                <w:sz w:val="20"/>
                <w:szCs w:val="20"/>
                <w:lang w:val="nb-NO"/>
              </w:rPr>
            </w:pPr>
          </w:p>
        </w:tc>
        <w:tc>
          <w:tcPr>
            <w:tcW w:w="840" w:type="dxa"/>
          </w:tcPr>
          <w:p w14:paraId="6BA63D07" w14:textId="77777777" w:rsidR="004A07DC" w:rsidRPr="00A942F6" w:rsidRDefault="004A07DC" w:rsidP="00641834">
            <w:pPr>
              <w:pStyle w:val="TableParagraph"/>
              <w:rPr>
                <w:sz w:val="20"/>
                <w:szCs w:val="20"/>
                <w:lang w:val="nb-NO"/>
              </w:rPr>
            </w:pPr>
          </w:p>
        </w:tc>
        <w:tc>
          <w:tcPr>
            <w:tcW w:w="910" w:type="dxa"/>
          </w:tcPr>
          <w:p w14:paraId="63801A05" w14:textId="77777777" w:rsidR="004A07DC" w:rsidRPr="00A942F6" w:rsidRDefault="004A07DC" w:rsidP="00641834">
            <w:pPr>
              <w:pStyle w:val="TableParagraph"/>
              <w:jc w:val="center"/>
              <w:rPr>
                <w:sz w:val="20"/>
                <w:szCs w:val="20"/>
                <w:lang w:val="nb-NO"/>
              </w:rPr>
            </w:pPr>
            <w:r w:rsidRPr="00A942F6">
              <w:rPr>
                <w:sz w:val="20"/>
                <w:szCs w:val="20"/>
                <w:lang w:val="nb-NO"/>
              </w:rPr>
              <w:t>36%***</w:t>
            </w:r>
          </w:p>
        </w:tc>
        <w:tc>
          <w:tcPr>
            <w:tcW w:w="826" w:type="dxa"/>
          </w:tcPr>
          <w:p w14:paraId="447321FC" w14:textId="77777777" w:rsidR="004A07DC" w:rsidRPr="00A942F6" w:rsidRDefault="004A07DC" w:rsidP="00641834">
            <w:pPr>
              <w:pStyle w:val="TableParagraph"/>
              <w:jc w:val="center"/>
              <w:rPr>
                <w:sz w:val="20"/>
                <w:szCs w:val="20"/>
                <w:lang w:val="nb-NO"/>
              </w:rPr>
            </w:pPr>
            <w:r w:rsidRPr="00A942F6">
              <w:rPr>
                <w:sz w:val="20"/>
                <w:szCs w:val="20"/>
                <w:lang w:val="nb-NO"/>
              </w:rPr>
              <w:t>10%</w:t>
            </w:r>
          </w:p>
        </w:tc>
        <w:tc>
          <w:tcPr>
            <w:tcW w:w="929" w:type="dxa"/>
          </w:tcPr>
          <w:p w14:paraId="0FEB972B" w14:textId="77777777" w:rsidR="004A07DC" w:rsidRPr="00A942F6" w:rsidRDefault="004A07DC" w:rsidP="00641834">
            <w:pPr>
              <w:pStyle w:val="TableParagraph"/>
              <w:rPr>
                <w:sz w:val="20"/>
                <w:szCs w:val="20"/>
                <w:lang w:val="nb-NO"/>
              </w:rPr>
            </w:pPr>
          </w:p>
        </w:tc>
        <w:tc>
          <w:tcPr>
            <w:tcW w:w="862" w:type="dxa"/>
          </w:tcPr>
          <w:p w14:paraId="5C12FF32" w14:textId="77777777" w:rsidR="004A07DC" w:rsidRPr="00A942F6" w:rsidRDefault="004A07DC" w:rsidP="00641834">
            <w:pPr>
              <w:pStyle w:val="TableParagraph"/>
              <w:rPr>
                <w:sz w:val="20"/>
                <w:szCs w:val="20"/>
                <w:lang w:val="nb-NO"/>
              </w:rPr>
            </w:pPr>
          </w:p>
        </w:tc>
        <w:tc>
          <w:tcPr>
            <w:tcW w:w="1148" w:type="dxa"/>
          </w:tcPr>
          <w:p w14:paraId="5FD5124E" w14:textId="77777777" w:rsidR="004A07DC" w:rsidRPr="00A942F6" w:rsidRDefault="004A07DC" w:rsidP="00641834">
            <w:pPr>
              <w:pStyle w:val="TableParagraph"/>
              <w:rPr>
                <w:sz w:val="20"/>
                <w:szCs w:val="20"/>
                <w:lang w:val="nb-NO"/>
              </w:rPr>
            </w:pPr>
          </w:p>
        </w:tc>
        <w:tc>
          <w:tcPr>
            <w:tcW w:w="840" w:type="dxa"/>
          </w:tcPr>
          <w:p w14:paraId="0C2C1ED1" w14:textId="77777777" w:rsidR="004A07DC" w:rsidRPr="00A942F6" w:rsidRDefault="004A07DC" w:rsidP="00641834">
            <w:pPr>
              <w:pStyle w:val="TableParagraph"/>
              <w:rPr>
                <w:sz w:val="20"/>
                <w:szCs w:val="20"/>
                <w:lang w:val="nb-NO"/>
              </w:rPr>
            </w:pPr>
          </w:p>
        </w:tc>
        <w:tc>
          <w:tcPr>
            <w:tcW w:w="929" w:type="dxa"/>
          </w:tcPr>
          <w:p w14:paraId="13A701A9" w14:textId="77777777" w:rsidR="004A07DC" w:rsidRPr="00A942F6" w:rsidRDefault="004A07DC" w:rsidP="00641834">
            <w:pPr>
              <w:pStyle w:val="TableParagraph"/>
              <w:rPr>
                <w:sz w:val="20"/>
                <w:szCs w:val="20"/>
                <w:lang w:val="nb-NO"/>
              </w:rPr>
            </w:pPr>
          </w:p>
        </w:tc>
        <w:tc>
          <w:tcPr>
            <w:tcW w:w="900" w:type="dxa"/>
          </w:tcPr>
          <w:p w14:paraId="08F759AF" w14:textId="77777777" w:rsidR="004A07DC" w:rsidRPr="00A942F6" w:rsidRDefault="004A07DC" w:rsidP="00641834">
            <w:pPr>
              <w:pStyle w:val="TableParagraph"/>
              <w:rPr>
                <w:sz w:val="20"/>
                <w:szCs w:val="20"/>
                <w:lang w:val="nb-NO"/>
              </w:rPr>
            </w:pPr>
          </w:p>
        </w:tc>
      </w:tr>
      <w:tr w:rsidR="004A07DC" w:rsidRPr="00A942F6" w14:paraId="4D4ACB61" w14:textId="77777777" w:rsidTr="003175D5">
        <w:trPr>
          <w:cantSplit/>
          <w:trHeight w:val="20"/>
        </w:trPr>
        <w:tc>
          <w:tcPr>
            <w:tcW w:w="9719" w:type="dxa"/>
            <w:gridSpan w:val="11"/>
          </w:tcPr>
          <w:p w14:paraId="4DC658D5" w14:textId="77777777" w:rsidR="004A07DC" w:rsidRPr="00A942F6" w:rsidRDefault="004A07DC" w:rsidP="00641834">
            <w:pPr>
              <w:pStyle w:val="TableParagraph"/>
              <w:jc w:val="center"/>
              <w:rPr>
                <w:b/>
                <w:sz w:val="20"/>
                <w:szCs w:val="20"/>
                <w:lang w:val="nb-NO"/>
              </w:rPr>
            </w:pPr>
            <w:r w:rsidRPr="00A942F6">
              <w:rPr>
                <w:b/>
                <w:sz w:val="20"/>
                <w:szCs w:val="20"/>
                <w:lang w:val="nb-NO"/>
              </w:rPr>
              <w:t>ACR 70</w:t>
            </w:r>
          </w:p>
        </w:tc>
      </w:tr>
      <w:tr w:rsidR="004A07DC" w:rsidRPr="00A942F6" w14:paraId="44E90B47" w14:textId="77777777" w:rsidTr="00566B0B">
        <w:trPr>
          <w:cantSplit/>
          <w:trHeight w:val="20"/>
        </w:trPr>
        <w:tc>
          <w:tcPr>
            <w:tcW w:w="618" w:type="dxa"/>
          </w:tcPr>
          <w:p w14:paraId="49692693" w14:textId="77777777" w:rsidR="004A07DC" w:rsidRPr="00A942F6" w:rsidRDefault="004A07DC" w:rsidP="00641834">
            <w:pPr>
              <w:pStyle w:val="TableParagraph"/>
              <w:jc w:val="center"/>
              <w:rPr>
                <w:sz w:val="20"/>
                <w:szCs w:val="20"/>
                <w:lang w:val="nb-NO"/>
              </w:rPr>
            </w:pPr>
            <w:r w:rsidRPr="00A942F6">
              <w:rPr>
                <w:sz w:val="20"/>
                <w:szCs w:val="20"/>
                <w:lang w:val="nb-NO"/>
              </w:rPr>
              <w:t>24</w:t>
            </w:r>
          </w:p>
        </w:tc>
        <w:tc>
          <w:tcPr>
            <w:tcW w:w="917" w:type="dxa"/>
          </w:tcPr>
          <w:p w14:paraId="61F9A32D" w14:textId="77777777" w:rsidR="004A07DC" w:rsidRPr="00A942F6" w:rsidRDefault="004A07DC" w:rsidP="00641834">
            <w:pPr>
              <w:pStyle w:val="TableParagraph"/>
              <w:jc w:val="center"/>
              <w:rPr>
                <w:sz w:val="20"/>
                <w:szCs w:val="20"/>
                <w:lang w:val="nb-NO"/>
              </w:rPr>
            </w:pPr>
            <w:r w:rsidRPr="00A942F6">
              <w:rPr>
                <w:sz w:val="20"/>
                <w:szCs w:val="20"/>
                <w:lang w:val="nb-NO"/>
              </w:rPr>
              <w:t>28%**</w:t>
            </w:r>
          </w:p>
        </w:tc>
        <w:tc>
          <w:tcPr>
            <w:tcW w:w="840" w:type="dxa"/>
          </w:tcPr>
          <w:p w14:paraId="40F5E404" w14:textId="77777777" w:rsidR="004A07DC" w:rsidRPr="00A942F6" w:rsidRDefault="004A07DC" w:rsidP="00641834">
            <w:pPr>
              <w:pStyle w:val="TableParagraph"/>
              <w:jc w:val="center"/>
              <w:rPr>
                <w:sz w:val="20"/>
                <w:szCs w:val="20"/>
                <w:lang w:val="nb-NO"/>
              </w:rPr>
            </w:pPr>
            <w:r w:rsidRPr="00A942F6">
              <w:rPr>
                <w:sz w:val="20"/>
                <w:szCs w:val="20"/>
                <w:lang w:val="nb-NO"/>
              </w:rPr>
              <w:t>15%</w:t>
            </w:r>
          </w:p>
        </w:tc>
        <w:tc>
          <w:tcPr>
            <w:tcW w:w="910" w:type="dxa"/>
          </w:tcPr>
          <w:p w14:paraId="34395228" w14:textId="77777777" w:rsidR="004A07DC" w:rsidRPr="00A942F6" w:rsidRDefault="004A07DC" w:rsidP="00641834">
            <w:pPr>
              <w:pStyle w:val="TableParagraph"/>
              <w:jc w:val="center"/>
              <w:rPr>
                <w:sz w:val="20"/>
                <w:szCs w:val="20"/>
                <w:lang w:val="nb-NO"/>
              </w:rPr>
            </w:pPr>
            <w:r w:rsidRPr="00A942F6">
              <w:rPr>
                <w:sz w:val="20"/>
                <w:szCs w:val="20"/>
                <w:lang w:val="nb-NO"/>
              </w:rPr>
              <w:t>13%***</w:t>
            </w:r>
          </w:p>
        </w:tc>
        <w:tc>
          <w:tcPr>
            <w:tcW w:w="826" w:type="dxa"/>
          </w:tcPr>
          <w:p w14:paraId="1611A72B" w14:textId="77777777" w:rsidR="004A07DC" w:rsidRPr="00A942F6" w:rsidRDefault="004A07DC" w:rsidP="00641834">
            <w:pPr>
              <w:pStyle w:val="TableParagraph"/>
              <w:jc w:val="center"/>
              <w:rPr>
                <w:sz w:val="20"/>
                <w:szCs w:val="20"/>
                <w:lang w:val="nb-NO"/>
              </w:rPr>
            </w:pPr>
            <w:r w:rsidRPr="00A942F6">
              <w:rPr>
                <w:sz w:val="20"/>
                <w:szCs w:val="20"/>
                <w:lang w:val="nb-NO"/>
              </w:rPr>
              <w:t>2%</w:t>
            </w:r>
          </w:p>
        </w:tc>
        <w:tc>
          <w:tcPr>
            <w:tcW w:w="929" w:type="dxa"/>
          </w:tcPr>
          <w:p w14:paraId="3E46DFE8" w14:textId="77777777" w:rsidR="004A07DC" w:rsidRPr="00A942F6" w:rsidRDefault="004A07DC" w:rsidP="00641834">
            <w:pPr>
              <w:pStyle w:val="TableParagraph"/>
              <w:jc w:val="center"/>
              <w:rPr>
                <w:sz w:val="20"/>
                <w:szCs w:val="20"/>
                <w:lang w:val="nb-NO"/>
              </w:rPr>
            </w:pPr>
            <w:r w:rsidRPr="00A942F6">
              <w:rPr>
                <w:sz w:val="20"/>
                <w:szCs w:val="20"/>
                <w:lang w:val="nb-NO"/>
              </w:rPr>
              <w:t>22%***</w:t>
            </w:r>
          </w:p>
        </w:tc>
        <w:tc>
          <w:tcPr>
            <w:tcW w:w="862" w:type="dxa"/>
          </w:tcPr>
          <w:p w14:paraId="4008A577" w14:textId="77777777" w:rsidR="004A07DC" w:rsidRPr="00A942F6" w:rsidRDefault="004A07DC" w:rsidP="00641834">
            <w:pPr>
              <w:pStyle w:val="TableParagraph"/>
              <w:jc w:val="center"/>
              <w:rPr>
                <w:sz w:val="20"/>
                <w:szCs w:val="20"/>
                <w:lang w:val="nb-NO"/>
              </w:rPr>
            </w:pPr>
            <w:r w:rsidRPr="00A942F6">
              <w:rPr>
                <w:sz w:val="20"/>
                <w:szCs w:val="20"/>
                <w:lang w:val="nb-NO"/>
              </w:rPr>
              <w:t>2%</w:t>
            </w:r>
          </w:p>
        </w:tc>
        <w:tc>
          <w:tcPr>
            <w:tcW w:w="1148" w:type="dxa"/>
          </w:tcPr>
          <w:p w14:paraId="26C0AC6F" w14:textId="77777777" w:rsidR="004A07DC" w:rsidRPr="00A942F6" w:rsidRDefault="004A07DC" w:rsidP="00641834">
            <w:pPr>
              <w:pStyle w:val="TableParagraph"/>
              <w:jc w:val="center"/>
              <w:rPr>
                <w:sz w:val="20"/>
                <w:szCs w:val="20"/>
                <w:lang w:val="nb-NO"/>
              </w:rPr>
            </w:pPr>
            <w:r w:rsidRPr="00A942F6">
              <w:rPr>
                <w:sz w:val="20"/>
                <w:szCs w:val="20"/>
                <w:lang w:val="nb-NO"/>
              </w:rPr>
              <w:t>21%***</w:t>
            </w:r>
          </w:p>
        </w:tc>
        <w:tc>
          <w:tcPr>
            <w:tcW w:w="840" w:type="dxa"/>
          </w:tcPr>
          <w:p w14:paraId="48A3EEDF" w14:textId="77777777" w:rsidR="004A07DC" w:rsidRPr="00A942F6" w:rsidRDefault="004A07DC" w:rsidP="00641834">
            <w:pPr>
              <w:pStyle w:val="TableParagraph"/>
              <w:jc w:val="center"/>
              <w:rPr>
                <w:sz w:val="20"/>
                <w:szCs w:val="20"/>
                <w:lang w:val="nb-NO"/>
              </w:rPr>
            </w:pPr>
            <w:r w:rsidRPr="00A942F6">
              <w:rPr>
                <w:sz w:val="20"/>
                <w:szCs w:val="20"/>
                <w:lang w:val="nb-NO"/>
              </w:rPr>
              <w:t>3%</w:t>
            </w:r>
          </w:p>
        </w:tc>
        <w:tc>
          <w:tcPr>
            <w:tcW w:w="929" w:type="dxa"/>
          </w:tcPr>
          <w:p w14:paraId="540FC4F7" w14:textId="77777777" w:rsidR="004A07DC" w:rsidRPr="00A942F6" w:rsidRDefault="004A07DC" w:rsidP="00641834">
            <w:pPr>
              <w:pStyle w:val="TableParagraph"/>
              <w:jc w:val="center"/>
              <w:rPr>
                <w:sz w:val="20"/>
                <w:szCs w:val="20"/>
                <w:lang w:val="nb-NO"/>
              </w:rPr>
            </w:pPr>
            <w:r w:rsidRPr="00A942F6">
              <w:rPr>
                <w:sz w:val="20"/>
                <w:szCs w:val="20"/>
                <w:lang w:val="nb-NO"/>
              </w:rPr>
              <w:t>12%**</w:t>
            </w:r>
          </w:p>
        </w:tc>
        <w:tc>
          <w:tcPr>
            <w:tcW w:w="900" w:type="dxa"/>
          </w:tcPr>
          <w:p w14:paraId="7C041D68" w14:textId="77777777" w:rsidR="004A07DC" w:rsidRPr="00A942F6" w:rsidRDefault="004A07DC" w:rsidP="00641834">
            <w:pPr>
              <w:pStyle w:val="TableParagraph"/>
              <w:jc w:val="center"/>
              <w:rPr>
                <w:sz w:val="20"/>
                <w:szCs w:val="20"/>
                <w:lang w:val="nb-NO"/>
              </w:rPr>
            </w:pPr>
            <w:r w:rsidRPr="00A942F6">
              <w:rPr>
                <w:sz w:val="20"/>
                <w:szCs w:val="20"/>
                <w:lang w:val="nb-NO"/>
              </w:rPr>
              <w:t>1%</w:t>
            </w:r>
          </w:p>
        </w:tc>
      </w:tr>
      <w:tr w:rsidR="004A07DC" w:rsidRPr="00A942F6" w14:paraId="2C89C395" w14:textId="77777777" w:rsidTr="00566B0B">
        <w:trPr>
          <w:cantSplit/>
          <w:trHeight w:val="20"/>
        </w:trPr>
        <w:tc>
          <w:tcPr>
            <w:tcW w:w="618" w:type="dxa"/>
          </w:tcPr>
          <w:p w14:paraId="3B627D3B" w14:textId="77777777" w:rsidR="004A07DC" w:rsidRPr="00A942F6" w:rsidRDefault="004A07DC" w:rsidP="00641834">
            <w:pPr>
              <w:pStyle w:val="TableParagraph"/>
              <w:jc w:val="center"/>
              <w:rPr>
                <w:sz w:val="20"/>
                <w:szCs w:val="20"/>
                <w:lang w:val="nb-NO"/>
              </w:rPr>
            </w:pPr>
            <w:r w:rsidRPr="00A942F6">
              <w:rPr>
                <w:sz w:val="20"/>
                <w:szCs w:val="20"/>
                <w:lang w:val="nb-NO"/>
              </w:rPr>
              <w:t>52</w:t>
            </w:r>
          </w:p>
        </w:tc>
        <w:tc>
          <w:tcPr>
            <w:tcW w:w="1757" w:type="dxa"/>
            <w:gridSpan w:val="2"/>
          </w:tcPr>
          <w:p w14:paraId="4C6B237D" w14:textId="77777777" w:rsidR="004A07DC" w:rsidRPr="00A942F6" w:rsidRDefault="004A07DC" w:rsidP="00641834">
            <w:pPr>
              <w:pStyle w:val="TableParagraph"/>
              <w:rPr>
                <w:sz w:val="20"/>
                <w:szCs w:val="20"/>
                <w:lang w:val="nb-NO"/>
              </w:rPr>
            </w:pPr>
          </w:p>
        </w:tc>
        <w:tc>
          <w:tcPr>
            <w:tcW w:w="910" w:type="dxa"/>
            <w:tcBorders>
              <w:right w:val="nil"/>
            </w:tcBorders>
          </w:tcPr>
          <w:p w14:paraId="453D5132" w14:textId="77777777" w:rsidR="004A07DC" w:rsidRPr="00A942F6" w:rsidRDefault="004A07DC" w:rsidP="00641834">
            <w:pPr>
              <w:pStyle w:val="TableParagraph"/>
              <w:jc w:val="center"/>
              <w:rPr>
                <w:sz w:val="20"/>
                <w:szCs w:val="20"/>
                <w:lang w:val="nb-NO"/>
              </w:rPr>
            </w:pPr>
            <w:r w:rsidRPr="00A942F6">
              <w:rPr>
                <w:sz w:val="20"/>
                <w:szCs w:val="20"/>
                <w:lang w:val="nb-NO"/>
              </w:rPr>
              <w:t>20%***</w:t>
            </w:r>
          </w:p>
        </w:tc>
        <w:tc>
          <w:tcPr>
            <w:tcW w:w="826" w:type="dxa"/>
            <w:tcBorders>
              <w:left w:val="nil"/>
            </w:tcBorders>
          </w:tcPr>
          <w:p w14:paraId="5C60BC63" w14:textId="77777777" w:rsidR="004A07DC" w:rsidRPr="00A942F6" w:rsidRDefault="004A07DC" w:rsidP="00641834">
            <w:pPr>
              <w:pStyle w:val="TableParagraph"/>
              <w:jc w:val="center"/>
              <w:rPr>
                <w:sz w:val="20"/>
                <w:szCs w:val="20"/>
                <w:lang w:val="nb-NO"/>
              </w:rPr>
            </w:pPr>
            <w:r w:rsidRPr="00A942F6">
              <w:rPr>
                <w:sz w:val="20"/>
                <w:szCs w:val="20"/>
                <w:lang w:val="nb-NO"/>
              </w:rPr>
              <w:t>4%</w:t>
            </w:r>
          </w:p>
        </w:tc>
        <w:tc>
          <w:tcPr>
            <w:tcW w:w="1791" w:type="dxa"/>
            <w:gridSpan w:val="2"/>
          </w:tcPr>
          <w:p w14:paraId="0627F7E9" w14:textId="77777777" w:rsidR="004A07DC" w:rsidRPr="00A942F6" w:rsidRDefault="004A07DC" w:rsidP="00641834">
            <w:pPr>
              <w:pStyle w:val="TableParagraph"/>
              <w:rPr>
                <w:sz w:val="20"/>
                <w:szCs w:val="20"/>
                <w:lang w:val="nb-NO"/>
              </w:rPr>
            </w:pPr>
          </w:p>
        </w:tc>
        <w:tc>
          <w:tcPr>
            <w:tcW w:w="1148" w:type="dxa"/>
          </w:tcPr>
          <w:p w14:paraId="465E663C" w14:textId="77777777" w:rsidR="004A07DC" w:rsidRPr="00A942F6" w:rsidRDefault="004A07DC" w:rsidP="00641834">
            <w:pPr>
              <w:pStyle w:val="TableParagraph"/>
              <w:rPr>
                <w:sz w:val="20"/>
                <w:szCs w:val="20"/>
                <w:lang w:val="nb-NO"/>
              </w:rPr>
            </w:pPr>
          </w:p>
        </w:tc>
        <w:tc>
          <w:tcPr>
            <w:tcW w:w="840" w:type="dxa"/>
          </w:tcPr>
          <w:p w14:paraId="2E84D54E" w14:textId="77777777" w:rsidR="004A07DC" w:rsidRPr="00A942F6" w:rsidRDefault="004A07DC" w:rsidP="00641834">
            <w:pPr>
              <w:pStyle w:val="TableParagraph"/>
              <w:rPr>
                <w:sz w:val="20"/>
                <w:szCs w:val="20"/>
                <w:lang w:val="nb-NO"/>
              </w:rPr>
            </w:pPr>
          </w:p>
        </w:tc>
        <w:tc>
          <w:tcPr>
            <w:tcW w:w="929" w:type="dxa"/>
          </w:tcPr>
          <w:p w14:paraId="38F7CC15" w14:textId="77777777" w:rsidR="004A07DC" w:rsidRPr="00A942F6" w:rsidRDefault="004A07DC" w:rsidP="00641834">
            <w:pPr>
              <w:pStyle w:val="TableParagraph"/>
              <w:rPr>
                <w:sz w:val="20"/>
                <w:szCs w:val="20"/>
                <w:lang w:val="nb-NO"/>
              </w:rPr>
            </w:pPr>
          </w:p>
        </w:tc>
        <w:tc>
          <w:tcPr>
            <w:tcW w:w="900" w:type="dxa"/>
          </w:tcPr>
          <w:p w14:paraId="155D04B1" w14:textId="77777777" w:rsidR="004A07DC" w:rsidRPr="00A942F6" w:rsidRDefault="004A07DC" w:rsidP="00641834">
            <w:pPr>
              <w:pStyle w:val="TableParagraph"/>
              <w:rPr>
                <w:sz w:val="20"/>
                <w:szCs w:val="20"/>
                <w:lang w:val="nb-NO"/>
              </w:rPr>
            </w:pPr>
          </w:p>
        </w:tc>
      </w:tr>
    </w:tbl>
    <w:p w14:paraId="3C20F755" w14:textId="77777777" w:rsidR="004A07DC" w:rsidRPr="00A942F6" w:rsidRDefault="004A07DC" w:rsidP="00641834">
      <w:pPr>
        <w:rPr>
          <w:i/>
          <w:iCs/>
          <w:sz w:val="18"/>
          <w:szCs w:val="18"/>
          <w:lang w:val="nb-NO"/>
        </w:rPr>
      </w:pPr>
      <w:r w:rsidRPr="00A942F6">
        <w:rPr>
          <w:i/>
          <w:iCs/>
          <w:sz w:val="18"/>
          <w:szCs w:val="18"/>
          <w:lang w:val="nb-NO"/>
        </w:rPr>
        <w:t>TCZ</w:t>
      </w:r>
      <w:r w:rsidRPr="00A942F6">
        <w:rPr>
          <w:i/>
          <w:iCs/>
          <w:sz w:val="18"/>
          <w:szCs w:val="18"/>
          <w:lang w:val="nb-NO"/>
        </w:rPr>
        <w:tab/>
        <w:t>- Tocilizumab</w:t>
      </w:r>
    </w:p>
    <w:p w14:paraId="57BD474D" w14:textId="77777777" w:rsidR="004A07DC" w:rsidRPr="00A942F6" w:rsidRDefault="004A07DC" w:rsidP="00641834">
      <w:pPr>
        <w:rPr>
          <w:i/>
          <w:iCs/>
          <w:sz w:val="18"/>
          <w:szCs w:val="18"/>
          <w:lang w:val="nb-NO"/>
        </w:rPr>
      </w:pPr>
      <w:r w:rsidRPr="00A942F6">
        <w:rPr>
          <w:i/>
          <w:iCs/>
          <w:sz w:val="18"/>
          <w:szCs w:val="18"/>
          <w:lang w:val="nb-NO"/>
        </w:rPr>
        <w:t>MTX</w:t>
      </w:r>
      <w:r w:rsidRPr="00A942F6">
        <w:rPr>
          <w:i/>
          <w:iCs/>
          <w:sz w:val="18"/>
          <w:szCs w:val="18"/>
          <w:lang w:val="nb-NO"/>
        </w:rPr>
        <w:tab/>
        <w:t>- Metotreksat</w:t>
      </w:r>
    </w:p>
    <w:p w14:paraId="1365437F" w14:textId="77777777" w:rsidR="004A07DC" w:rsidRPr="00A942F6" w:rsidRDefault="004A07DC" w:rsidP="00641834">
      <w:pPr>
        <w:rPr>
          <w:i/>
          <w:iCs/>
          <w:sz w:val="18"/>
          <w:szCs w:val="18"/>
          <w:lang w:val="nb-NO"/>
        </w:rPr>
      </w:pPr>
      <w:r w:rsidRPr="00A942F6">
        <w:rPr>
          <w:i/>
          <w:iCs/>
          <w:sz w:val="18"/>
          <w:szCs w:val="18"/>
          <w:lang w:val="nb-NO"/>
        </w:rPr>
        <w:t>PBO</w:t>
      </w:r>
      <w:r w:rsidRPr="00A942F6">
        <w:rPr>
          <w:i/>
          <w:iCs/>
          <w:sz w:val="18"/>
          <w:szCs w:val="18"/>
          <w:lang w:val="nb-NO"/>
        </w:rPr>
        <w:tab/>
        <w:t>- Placebo</w:t>
      </w:r>
    </w:p>
    <w:p w14:paraId="2EDB0F8B" w14:textId="77777777" w:rsidR="004A07DC" w:rsidRPr="00A942F6" w:rsidRDefault="004A07DC" w:rsidP="00641834">
      <w:pPr>
        <w:rPr>
          <w:i/>
          <w:iCs/>
          <w:sz w:val="18"/>
          <w:szCs w:val="18"/>
          <w:lang w:val="nb-NO"/>
        </w:rPr>
      </w:pPr>
      <w:r w:rsidRPr="00A942F6">
        <w:rPr>
          <w:i/>
          <w:iCs/>
          <w:sz w:val="18"/>
          <w:szCs w:val="18"/>
          <w:lang w:val="nb-NO"/>
        </w:rPr>
        <w:t>DMARD</w:t>
      </w:r>
      <w:r w:rsidRPr="00A942F6">
        <w:rPr>
          <w:i/>
          <w:iCs/>
          <w:sz w:val="18"/>
          <w:szCs w:val="18"/>
          <w:lang w:val="nb-NO"/>
        </w:rPr>
        <w:tab/>
        <w:t>- Sykdomsmodifiserende anti-revmatiske legemidler</w:t>
      </w:r>
    </w:p>
    <w:p w14:paraId="24F00803" w14:textId="77777777" w:rsidR="004A07DC" w:rsidRPr="00A942F6" w:rsidRDefault="004A07DC" w:rsidP="00641834">
      <w:pPr>
        <w:rPr>
          <w:i/>
          <w:iCs/>
          <w:sz w:val="18"/>
          <w:szCs w:val="18"/>
          <w:lang w:val="nb-NO"/>
        </w:rPr>
      </w:pPr>
      <w:r w:rsidRPr="00A942F6">
        <w:rPr>
          <w:i/>
          <w:iCs/>
          <w:sz w:val="18"/>
          <w:szCs w:val="18"/>
          <w:lang w:val="nb-NO"/>
        </w:rPr>
        <w:t>**</w:t>
      </w:r>
      <w:r w:rsidRPr="00A942F6">
        <w:rPr>
          <w:i/>
          <w:iCs/>
          <w:sz w:val="18"/>
          <w:szCs w:val="18"/>
          <w:lang w:val="nb-NO"/>
        </w:rPr>
        <w:tab/>
        <w:t>- p&lt; 0.01, TCZ vs. PBO + MTX / DMARDs</w:t>
      </w:r>
    </w:p>
    <w:p w14:paraId="27701DA1" w14:textId="77777777" w:rsidR="004A07DC" w:rsidRPr="00A942F6" w:rsidRDefault="004A07DC" w:rsidP="00641834">
      <w:pPr>
        <w:rPr>
          <w:i/>
          <w:iCs/>
          <w:sz w:val="18"/>
          <w:szCs w:val="18"/>
          <w:lang w:val="nb-NO"/>
        </w:rPr>
      </w:pPr>
      <w:r w:rsidRPr="00A942F6">
        <w:rPr>
          <w:i/>
          <w:iCs/>
          <w:sz w:val="18"/>
          <w:szCs w:val="18"/>
          <w:lang w:val="nb-NO"/>
        </w:rPr>
        <w:t>***</w:t>
      </w:r>
      <w:r w:rsidRPr="00A942F6">
        <w:rPr>
          <w:i/>
          <w:iCs/>
          <w:sz w:val="18"/>
          <w:szCs w:val="18"/>
          <w:lang w:val="nb-NO"/>
        </w:rPr>
        <w:tab/>
        <w:t>- p&lt; 0.0001, TCZ vs. PBO + MTX / DMARDs</w:t>
      </w:r>
    </w:p>
    <w:p w14:paraId="132D685B" w14:textId="77777777" w:rsidR="004A07DC" w:rsidRPr="00A942F6" w:rsidRDefault="004A07DC" w:rsidP="00641834">
      <w:pPr>
        <w:rPr>
          <w:lang w:val="nb-NO"/>
        </w:rPr>
      </w:pPr>
    </w:p>
    <w:p w14:paraId="50092DBE" w14:textId="77777777" w:rsidR="004A07DC" w:rsidRPr="00A942F6" w:rsidRDefault="004A07DC" w:rsidP="00641834">
      <w:pPr>
        <w:pStyle w:val="Style1Iitaic"/>
        <w:rPr>
          <w:lang w:val="nb-NO"/>
        </w:rPr>
      </w:pPr>
      <w:r w:rsidRPr="00A942F6">
        <w:rPr>
          <w:lang w:val="nb-NO"/>
        </w:rPr>
        <w:t>Viktig klinisk respons</w:t>
      </w:r>
    </w:p>
    <w:p w14:paraId="0B2CC531" w14:textId="77777777" w:rsidR="004A07DC" w:rsidRPr="00A942F6" w:rsidRDefault="004A07DC" w:rsidP="00641834">
      <w:pPr>
        <w:rPr>
          <w:lang w:val="nb-NO"/>
        </w:rPr>
      </w:pPr>
      <w:r w:rsidRPr="00A942F6">
        <w:rPr>
          <w:lang w:val="nb-NO"/>
        </w:rPr>
        <w:t>Etter 2 år med behandling med tocilizumab pluss metotreksat oppnådde 14 % av pasientene en stor klinisk respons (vedlikehold av en ACR70 respons for 24 uker eller mer).</w:t>
      </w:r>
    </w:p>
    <w:p w14:paraId="4F95A33F" w14:textId="77777777" w:rsidR="000A09E6" w:rsidRPr="00A942F6" w:rsidRDefault="000A09E6" w:rsidP="00641834">
      <w:pPr>
        <w:rPr>
          <w:lang w:val="nb-NO"/>
        </w:rPr>
      </w:pPr>
    </w:p>
    <w:p w14:paraId="3AA47570" w14:textId="77777777" w:rsidR="004A07DC" w:rsidRPr="00A942F6" w:rsidRDefault="004A07DC" w:rsidP="00641834">
      <w:pPr>
        <w:pStyle w:val="Style1Iitaic"/>
        <w:rPr>
          <w:lang w:val="nb-NO"/>
        </w:rPr>
      </w:pPr>
      <w:r w:rsidRPr="00A942F6">
        <w:rPr>
          <w:lang w:val="nb-NO"/>
        </w:rPr>
        <w:t>Radiografisk respons</w:t>
      </w:r>
    </w:p>
    <w:p w14:paraId="523A2373" w14:textId="77777777" w:rsidR="004A07DC" w:rsidRPr="00A942F6" w:rsidRDefault="004A07DC" w:rsidP="00641834">
      <w:pPr>
        <w:rPr>
          <w:lang w:val="nb-NO"/>
        </w:rPr>
      </w:pPr>
      <w:r w:rsidRPr="00A942F6">
        <w:rPr>
          <w:lang w:val="nb-NO"/>
        </w:rPr>
        <w:t>I studie II hos pasienter med utilstrekkelig respons på metotreksat ble hemming av strukturelle leddskader vurdert radiografisk og uttrykt som endring i modifisert Sharpscore, erosjonsscore og leddavsmalningsscore. Hemming av strukturell leddskade ble vist ved signifikant mindre radiografisk progresjon hos pasienter som fikk tocilizumab enn hos kontrollgruppen (tabell 5).</w:t>
      </w:r>
    </w:p>
    <w:p w14:paraId="1B6EE3D9" w14:textId="77777777" w:rsidR="004A07DC" w:rsidRPr="00A942F6" w:rsidRDefault="004A07DC" w:rsidP="00641834">
      <w:pPr>
        <w:rPr>
          <w:lang w:val="nb-NO"/>
        </w:rPr>
      </w:pPr>
    </w:p>
    <w:p w14:paraId="0827B2FC" w14:textId="77777777" w:rsidR="004A07DC" w:rsidRPr="00A942F6" w:rsidRDefault="004A07DC" w:rsidP="00641834">
      <w:pPr>
        <w:rPr>
          <w:lang w:val="nb-NO"/>
        </w:rPr>
      </w:pPr>
      <w:r w:rsidRPr="00A942F6">
        <w:rPr>
          <w:lang w:val="nb-NO"/>
        </w:rPr>
        <w:t>I den åpne forlengelsen av fase II–studien var inhiberingen av progresjon av strukturell leddskade hos pasienter behandlet med tocilizumab pluss metotreksat vedlikeholdt i det andre året av behandlingen. Den største endringen fra utgangspunktet ved uke 104 i total ”Sharp-Genant score” var signifikant lavere for pasienter randomisert til tocilizumab 8 mg/kg pluss metotreksat (p&lt;0,0001) sammenlignet med pasienter som var randomisert til placebo pluss metotreksat.</w:t>
      </w:r>
    </w:p>
    <w:p w14:paraId="760A1508" w14:textId="77777777" w:rsidR="000A09E6" w:rsidRPr="00A942F6" w:rsidRDefault="000A09E6" w:rsidP="00641834">
      <w:pPr>
        <w:rPr>
          <w:lang w:val="nb-NO"/>
        </w:rPr>
      </w:pPr>
    </w:p>
    <w:p w14:paraId="7BD5C98A" w14:textId="77777777" w:rsidR="004A07DC" w:rsidRPr="00A942F6" w:rsidRDefault="004A07DC" w:rsidP="008A72DA">
      <w:pPr>
        <w:pStyle w:val="Style1Iitaic"/>
        <w:rPr>
          <w:lang w:val="nb-NO"/>
        </w:rPr>
      </w:pPr>
      <w:r w:rsidRPr="00A942F6">
        <w:rPr>
          <w:lang w:val="nb-NO"/>
        </w:rPr>
        <w:lastRenderedPageBreak/>
        <w:t>Tabell 5. Radiografiske gjennomsnittlige endringer i løpet av 52 uker i studie II</w:t>
      </w:r>
    </w:p>
    <w:p w14:paraId="53A1BA3A" w14:textId="77777777" w:rsidR="004A07DC" w:rsidRPr="00A942F6" w:rsidRDefault="004A07DC" w:rsidP="008A72DA">
      <w:pPr>
        <w:keepNext/>
        <w:rPr>
          <w:lang w:val="nb-NO"/>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022"/>
        <w:gridCol w:w="3023"/>
      </w:tblGrid>
      <w:tr w:rsidR="004A07DC" w:rsidRPr="00B477E5" w14:paraId="5E8BF920" w14:textId="77777777" w:rsidTr="00DB0F71">
        <w:trPr>
          <w:cantSplit/>
          <w:trHeight w:val="20"/>
          <w:tblHeader/>
        </w:trPr>
        <w:tc>
          <w:tcPr>
            <w:tcW w:w="3022" w:type="dxa"/>
          </w:tcPr>
          <w:p w14:paraId="7E723016" w14:textId="77777777" w:rsidR="004A07DC" w:rsidRPr="00A942F6" w:rsidRDefault="004A07DC" w:rsidP="008A72DA">
            <w:pPr>
              <w:pStyle w:val="TableParagraph"/>
              <w:keepNext/>
              <w:rPr>
                <w:sz w:val="20"/>
                <w:szCs w:val="20"/>
                <w:lang w:val="nb-NO"/>
              </w:rPr>
            </w:pPr>
          </w:p>
        </w:tc>
        <w:tc>
          <w:tcPr>
            <w:tcW w:w="3022" w:type="dxa"/>
          </w:tcPr>
          <w:p w14:paraId="7DABC735" w14:textId="77777777" w:rsidR="004A07DC" w:rsidRPr="00A942F6" w:rsidRDefault="004A07DC" w:rsidP="008A72DA">
            <w:pPr>
              <w:pStyle w:val="TableParagraph"/>
              <w:keepNext/>
              <w:jc w:val="center"/>
              <w:rPr>
                <w:b/>
                <w:sz w:val="20"/>
                <w:szCs w:val="20"/>
                <w:lang w:val="nb-NO"/>
              </w:rPr>
            </w:pPr>
            <w:r w:rsidRPr="00A942F6">
              <w:rPr>
                <w:b/>
                <w:sz w:val="20"/>
                <w:szCs w:val="20"/>
                <w:lang w:val="nb-NO"/>
              </w:rPr>
              <w:t>PBO + MTX</w:t>
            </w:r>
          </w:p>
          <w:p w14:paraId="420628FA" w14:textId="77777777" w:rsidR="00274A63" w:rsidRPr="00A942F6" w:rsidRDefault="004A07DC" w:rsidP="008A72DA">
            <w:pPr>
              <w:pStyle w:val="TableParagraph"/>
              <w:keepNext/>
              <w:jc w:val="center"/>
              <w:rPr>
                <w:b/>
                <w:sz w:val="20"/>
                <w:szCs w:val="20"/>
                <w:lang w:val="nb-NO"/>
              </w:rPr>
            </w:pPr>
            <w:r w:rsidRPr="00A942F6">
              <w:rPr>
                <w:b/>
                <w:sz w:val="20"/>
                <w:szCs w:val="20"/>
                <w:lang w:val="nb-NO"/>
              </w:rPr>
              <w:t>(+TCZ fra uke 24)</w:t>
            </w:r>
          </w:p>
          <w:p w14:paraId="015EC7E1" w14:textId="77777777" w:rsidR="004A07DC" w:rsidRPr="00A942F6" w:rsidRDefault="004A07DC" w:rsidP="008A72DA">
            <w:pPr>
              <w:pStyle w:val="TableParagraph"/>
              <w:keepNext/>
              <w:jc w:val="center"/>
              <w:rPr>
                <w:b/>
                <w:sz w:val="20"/>
                <w:szCs w:val="20"/>
                <w:lang w:val="nb-NO"/>
              </w:rPr>
            </w:pPr>
            <w:r w:rsidRPr="00A942F6">
              <w:rPr>
                <w:b/>
                <w:sz w:val="20"/>
                <w:szCs w:val="20"/>
                <w:lang w:val="nb-NO"/>
              </w:rPr>
              <w:t>N = 393</w:t>
            </w:r>
          </w:p>
        </w:tc>
        <w:tc>
          <w:tcPr>
            <w:tcW w:w="3023" w:type="dxa"/>
          </w:tcPr>
          <w:p w14:paraId="2C26BA09" w14:textId="77777777" w:rsidR="00274A63" w:rsidRPr="00A942F6" w:rsidRDefault="004A07DC" w:rsidP="008A72DA">
            <w:pPr>
              <w:pStyle w:val="TableParagraph"/>
              <w:keepNext/>
              <w:jc w:val="center"/>
              <w:rPr>
                <w:b/>
                <w:sz w:val="20"/>
                <w:szCs w:val="20"/>
                <w:lang w:val="nb-NO"/>
              </w:rPr>
            </w:pPr>
            <w:r w:rsidRPr="00A942F6">
              <w:rPr>
                <w:b/>
                <w:sz w:val="20"/>
                <w:szCs w:val="20"/>
                <w:lang w:val="nb-NO"/>
              </w:rPr>
              <w:t>TCZ 8 mg/kg + MTX</w:t>
            </w:r>
          </w:p>
          <w:p w14:paraId="64BBC70E" w14:textId="77777777" w:rsidR="00274A63" w:rsidRPr="00A942F6" w:rsidRDefault="00274A63" w:rsidP="008A72DA">
            <w:pPr>
              <w:pStyle w:val="TableParagraph"/>
              <w:keepNext/>
              <w:jc w:val="center"/>
              <w:rPr>
                <w:b/>
                <w:sz w:val="20"/>
                <w:szCs w:val="20"/>
                <w:lang w:val="nb-NO"/>
              </w:rPr>
            </w:pPr>
          </w:p>
          <w:p w14:paraId="12D05CFC" w14:textId="77777777" w:rsidR="004A07DC" w:rsidRPr="00A942F6" w:rsidRDefault="004A07DC" w:rsidP="008A72DA">
            <w:pPr>
              <w:pStyle w:val="TableParagraph"/>
              <w:keepNext/>
              <w:jc w:val="center"/>
              <w:rPr>
                <w:b/>
                <w:sz w:val="20"/>
                <w:szCs w:val="20"/>
                <w:lang w:val="nb-NO"/>
              </w:rPr>
            </w:pPr>
            <w:r w:rsidRPr="00A942F6">
              <w:rPr>
                <w:b/>
                <w:sz w:val="20"/>
                <w:szCs w:val="20"/>
                <w:lang w:val="nb-NO"/>
              </w:rPr>
              <w:t>N = 398</w:t>
            </w:r>
          </w:p>
        </w:tc>
      </w:tr>
      <w:tr w:rsidR="004A07DC" w:rsidRPr="00A942F6" w14:paraId="2FF83E87" w14:textId="77777777" w:rsidTr="00DB0F71">
        <w:trPr>
          <w:cantSplit/>
          <w:trHeight w:val="20"/>
        </w:trPr>
        <w:tc>
          <w:tcPr>
            <w:tcW w:w="3022" w:type="dxa"/>
          </w:tcPr>
          <w:p w14:paraId="3AE128B3" w14:textId="77777777" w:rsidR="004A07DC" w:rsidRPr="00A942F6" w:rsidRDefault="004A07DC" w:rsidP="008A72DA">
            <w:pPr>
              <w:pStyle w:val="TableParagraph"/>
              <w:keepNext/>
              <w:rPr>
                <w:sz w:val="20"/>
                <w:szCs w:val="20"/>
                <w:lang w:val="nb-NO"/>
              </w:rPr>
            </w:pPr>
            <w:r w:rsidRPr="00A942F6">
              <w:rPr>
                <w:sz w:val="20"/>
                <w:szCs w:val="20"/>
                <w:lang w:val="nb-NO"/>
              </w:rPr>
              <w:t>“Total Sharp-Genant”-score</w:t>
            </w:r>
          </w:p>
        </w:tc>
        <w:tc>
          <w:tcPr>
            <w:tcW w:w="3022" w:type="dxa"/>
          </w:tcPr>
          <w:p w14:paraId="6AE34054" w14:textId="77777777" w:rsidR="004A07DC" w:rsidRPr="00A942F6" w:rsidRDefault="004A07DC" w:rsidP="008A72DA">
            <w:pPr>
              <w:pStyle w:val="TableParagraph"/>
              <w:keepNext/>
              <w:jc w:val="center"/>
              <w:rPr>
                <w:sz w:val="20"/>
                <w:szCs w:val="20"/>
                <w:lang w:val="nb-NO"/>
              </w:rPr>
            </w:pPr>
            <w:r w:rsidRPr="00A942F6">
              <w:rPr>
                <w:sz w:val="20"/>
                <w:szCs w:val="20"/>
                <w:lang w:val="nb-NO"/>
              </w:rPr>
              <w:t>1.13</w:t>
            </w:r>
          </w:p>
        </w:tc>
        <w:tc>
          <w:tcPr>
            <w:tcW w:w="3023" w:type="dxa"/>
          </w:tcPr>
          <w:p w14:paraId="2B27C689" w14:textId="77777777" w:rsidR="004A07DC" w:rsidRPr="00A942F6" w:rsidRDefault="004A07DC" w:rsidP="008A72DA">
            <w:pPr>
              <w:pStyle w:val="TableParagraph"/>
              <w:keepNext/>
              <w:jc w:val="center"/>
              <w:rPr>
                <w:sz w:val="20"/>
                <w:szCs w:val="20"/>
                <w:lang w:val="nb-NO"/>
              </w:rPr>
            </w:pPr>
            <w:r w:rsidRPr="00A942F6">
              <w:rPr>
                <w:sz w:val="20"/>
                <w:szCs w:val="20"/>
                <w:lang w:val="nb-NO"/>
              </w:rPr>
              <w:t>0.29*</w:t>
            </w:r>
          </w:p>
        </w:tc>
      </w:tr>
      <w:tr w:rsidR="004A07DC" w:rsidRPr="00A942F6" w14:paraId="2C5540ED" w14:textId="77777777" w:rsidTr="00DB0F71">
        <w:trPr>
          <w:cantSplit/>
          <w:trHeight w:val="20"/>
        </w:trPr>
        <w:tc>
          <w:tcPr>
            <w:tcW w:w="3022" w:type="dxa"/>
          </w:tcPr>
          <w:p w14:paraId="618382D4" w14:textId="77777777" w:rsidR="004A07DC" w:rsidRPr="00A942F6" w:rsidRDefault="004A07DC" w:rsidP="008A72DA">
            <w:pPr>
              <w:pStyle w:val="TableParagraph"/>
              <w:keepNext/>
              <w:rPr>
                <w:sz w:val="20"/>
                <w:szCs w:val="20"/>
                <w:lang w:val="nb-NO"/>
              </w:rPr>
            </w:pPr>
            <w:r w:rsidRPr="00A942F6">
              <w:rPr>
                <w:sz w:val="20"/>
                <w:szCs w:val="20"/>
                <w:lang w:val="nb-NO"/>
              </w:rPr>
              <w:t>Erosjonscore</w:t>
            </w:r>
          </w:p>
        </w:tc>
        <w:tc>
          <w:tcPr>
            <w:tcW w:w="3022" w:type="dxa"/>
          </w:tcPr>
          <w:p w14:paraId="0D3EEB4A" w14:textId="77777777" w:rsidR="004A07DC" w:rsidRPr="00A942F6" w:rsidRDefault="004A07DC" w:rsidP="008A72DA">
            <w:pPr>
              <w:pStyle w:val="TableParagraph"/>
              <w:keepNext/>
              <w:jc w:val="center"/>
              <w:rPr>
                <w:sz w:val="20"/>
                <w:szCs w:val="20"/>
                <w:lang w:val="nb-NO"/>
              </w:rPr>
            </w:pPr>
            <w:r w:rsidRPr="00A942F6">
              <w:rPr>
                <w:sz w:val="20"/>
                <w:szCs w:val="20"/>
                <w:lang w:val="nb-NO"/>
              </w:rPr>
              <w:t>0.71</w:t>
            </w:r>
          </w:p>
        </w:tc>
        <w:tc>
          <w:tcPr>
            <w:tcW w:w="3023" w:type="dxa"/>
          </w:tcPr>
          <w:p w14:paraId="41D53B6B" w14:textId="77777777" w:rsidR="004A07DC" w:rsidRPr="00A942F6" w:rsidRDefault="004A07DC" w:rsidP="008A72DA">
            <w:pPr>
              <w:pStyle w:val="TableParagraph"/>
              <w:keepNext/>
              <w:jc w:val="center"/>
              <w:rPr>
                <w:sz w:val="20"/>
                <w:szCs w:val="20"/>
                <w:lang w:val="nb-NO"/>
              </w:rPr>
            </w:pPr>
            <w:r w:rsidRPr="00A942F6">
              <w:rPr>
                <w:sz w:val="20"/>
                <w:szCs w:val="20"/>
                <w:lang w:val="nb-NO"/>
              </w:rPr>
              <w:t>0.17*</w:t>
            </w:r>
          </w:p>
        </w:tc>
      </w:tr>
      <w:tr w:rsidR="004A07DC" w:rsidRPr="00A942F6" w14:paraId="7ADFCBA0" w14:textId="77777777" w:rsidTr="00DB0F71">
        <w:trPr>
          <w:cantSplit/>
          <w:trHeight w:val="20"/>
        </w:trPr>
        <w:tc>
          <w:tcPr>
            <w:tcW w:w="3022" w:type="dxa"/>
          </w:tcPr>
          <w:p w14:paraId="5DA8A1C2" w14:textId="77777777" w:rsidR="004A07DC" w:rsidRPr="00A942F6" w:rsidRDefault="004A07DC" w:rsidP="008A72DA">
            <w:pPr>
              <w:pStyle w:val="TableParagraph"/>
              <w:keepNext/>
              <w:rPr>
                <w:sz w:val="20"/>
                <w:szCs w:val="20"/>
                <w:lang w:val="nb-NO"/>
              </w:rPr>
            </w:pPr>
            <w:r w:rsidRPr="00A942F6">
              <w:rPr>
                <w:sz w:val="20"/>
                <w:szCs w:val="20"/>
                <w:lang w:val="nb-NO"/>
              </w:rPr>
              <w:t>JSNscore</w:t>
            </w:r>
          </w:p>
        </w:tc>
        <w:tc>
          <w:tcPr>
            <w:tcW w:w="3022" w:type="dxa"/>
          </w:tcPr>
          <w:p w14:paraId="29526B44" w14:textId="77777777" w:rsidR="004A07DC" w:rsidRPr="00A942F6" w:rsidRDefault="004A07DC" w:rsidP="008A72DA">
            <w:pPr>
              <w:pStyle w:val="TableParagraph"/>
              <w:keepNext/>
              <w:jc w:val="center"/>
              <w:rPr>
                <w:sz w:val="20"/>
                <w:szCs w:val="20"/>
                <w:lang w:val="nb-NO"/>
              </w:rPr>
            </w:pPr>
            <w:r w:rsidRPr="00A942F6">
              <w:rPr>
                <w:sz w:val="20"/>
                <w:szCs w:val="20"/>
                <w:lang w:val="nb-NO"/>
              </w:rPr>
              <w:t>0.42</w:t>
            </w:r>
          </w:p>
        </w:tc>
        <w:tc>
          <w:tcPr>
            <w:tcW w:w="3023" w:type="dxa"/>
          </w:tcPr>
          <w:p w14:paraId="59E9D6BC" w14:textId="77777777" w:rsidR="004A07DC" w:rsidRPr="00A942F6" w:rsidRDefault="004A07DC" w:rsidP="008A72DA">
            <w:pPr>
              <w:pStyle w:val="TableParagraph"/>
              <w:keepNext/>
              <w:jc w:val="center"/>
              <w:rPr>
                <w:sz w:val="20"/>
                <w:szCs w:val="20"/>
                <w:lang w:val="nb-NO"/>
              </w:rPr>
            </w:pPr>
            <w:r w:rsidRPr="00A942F6">
              <w:rPr>
                <w:sz w:val="20"/>
                <w:szCs w:val="20"/>
                <w:lang w:val="nb-NO"/>
              </w:rPr>
              <w:t>0.12**</w:t>
            </w:r>
          </w:p>
        </w:tc>
      </w:tr>
    </w:tbl>
    <w:p w14:paraId="7693B773" w14:textId="77777777" w:rsidR="000A09E6" w:rsidRPr="00A942F6" w:rsidRDefault="004A07DC" w:rsidP="008A72DA">
      <w:pPr>
        <w:keepNext/>
        <w:rPr>
          <w:i/>
          <w:iCs/>
          <w:sz w:val="18"/>
          <w:szCs w:val="18"/>
          <w:lang w:val="nb-NO"/>
        </w:rPr>
      </w:pPr>
      <w:r w:rsidRPr="00A942F6">
        <w:rPr>
          <w:i/>
          <w:iCs/>
          <w:sz w:val="18"/>
          <w:szCs w:val="18"/>
          <w:lang w:val="nb-NO"/>
        </w:rPr>
        <w:t>PBO</w:t>
      </w:r>
      <w:r w:rsidRPr="00A942F6">
        <w:rPr>
          <w:i/>
          <w:iCs/>
          <w:sz w:val="18"/>
          <w:szCs w:val="18"/>
          <w:lang w:val="nb-NO"/>
        </w:rPr>
        <w:tab/>
        <w:t xml:space="preserve">- Placebo </w:t>
      </w:r>
    </w:p>
    <w:p w14:paraId="1BF1C093" w14:textId="77777777" w:rsidR="000A09E6" w:rsidRPr="00A942F6" w:rsidRDefault="004A07DC" w:rsidP="008A72DA">
      <w:pPr>
        <w:keepNext/>
        <w:rPr>
          <w:i/>
          <w:iCs/>
          <w:sz w:val="18"/>
          <w:szCs w:val="18"/>
          <w:lang w:val="nb-NO"/>
        </w:rPr>
      </w:pPr>
      <w:r w:rsidRPr="00A942F6">
        <w:rPr>
          <w:i/>
          <w:iCs/>
          <w:sz w:val="18"/>
          <w:szCs w:val="18"/>
          <w:lang w:val="nb-NO"/>
        </w:rPr>
        <w:t>MTX</w:t>
      </w:r>
      <w:r w:rsidRPr="00A942F6">
        <w:rPr>
          <w:i/>
          <w:iCs/>
          <w:sz w:val="18"/>
          <w:szCs w:val="18"/>
          <w:lang w:val="nb-NO"/>
        </w:rPr>
        <w:tab/>
        <w:t xml:space="preserve">- Metotreksat </w:t>
      </w:r>
    </w:p>
    <w:p w14:paraId="24757C61" w14:textId="77777777" w:rsidR="004A07DC" w:rsidRPr="00A942F6" w:rsidRDefault="004A07DC" w:rsidP="00641834">
      <w:pPr>
        <w:rPr>
          <w:i/>
          <w:iCs/>
          <w:sz w:val="18"/>
          <w:szCs w:val="18"/>
          <w:lang w:val="nb-NO"/>
        </w:rPr>
      </w:pPr>
      <w:r w:rsidRPr="00A942F6">
        <w:rPr>
          <w:i/>
          <w:iCs/>
          <w:sz w:val="18"/>
          <w:szCs w:val="18"/>
          <w:lang w:val="nb-NO"/>
        </w:rPr>
        <w:t>TCZ</w:t>
      </w:r>
      <w:r w:rsidRPr="00A942F6">
        <w:rPr>
          <w:i/>
          <w:iCs/>
          <w:sz w:val="18"/>
          <w:szCs w:val="18"/>
          <w:lang w:val="nb-NO"/>
        </w:rPr>
        <w:tab/>
        <w:t>- Tocilizumab</w:t>
      </w:r>
    </w:p>
    <w:p w14:paraId="4A3158D3" w14:textId="77777777" w:rsidR="004A07DC" w:rsidRPr="00A942F6" w:rsidRDefault="004A07DC" w:rsidP="00641834">
      <w:pPr>
        <w:rPr>
          <w:i/>
          <w:iCs/>
          <w:sz w:val="18"/>
          <w:szCs w:val="18"/>
          <w:lang w:val="nb-NO"/>
        </w:rPr>
      </w:pPr>
      <w:r w:rsidRPr="00A942F6">
        <w:rPr>
          <w:i/>
          <w:iCs/>
          <w:sz w:val="18"/>
          <w:szCs w:val="18"/>
          <w:lang w:val="nb-NO"/>
        </w:rPr>
        <w:t>JSN</w:t>
      </w:r>
      <w:r w:rsidRPr="00A942F6">
        <w:rPr>
          <w:i/>
          <w:iCs/>
          <w:sz w:val="18"/>
          <w:szCs w:val="18"/>
          <w:lang w:val="nb-NO"/>
        </w:rPr>
        <w:tab/>
        <w:t>- Leddavsmalning</w:t>
      </w:r>
    </w:p>
    <w:p w14:paraId="62296A58" w14:textId="77777777" w:rsidR="004A07DC" w:rsidRPr="00A942F6" w:rsidRDefault="004A07DC" w:rsidP="00641834">
      <w:pPr>
        <w:rPr>
          <w:i/>
          <w:iCs/>
          <w:sz w:val="18"/>
          <w:szCs w:val="18"/>
          <w:lang w:val="nb-NO"/>
        </w:rPr>
      </w:pPr>
      <w:r w:rsidRPr="00A942F6">
        <w:rPr>
          <w:i/>
          <w:iCs/>
          <w:sz w:val="18"/>
          <w:szCs w:val="18"/>
          <w:lang w:val="nb-NO"/>
        </w:rPr>
        <w:t>*</w:t>
      </w:r>
      <w:r w:rsidRPr="00A942F6">
        <w:rPr>
          <w:i/>
          <w:iCs/>
          <w:sz w:val="18"/>
          <w:szCs w:val="18"/>
          <w:lang w:val="nb-NO"/>
        </w:rPr>
        <w:tab/>
        <w:t>- p</w:t>
      </w:r>
      <w:r w:rsidRPr="00A942F6">
        <w:rPr>
          <w:rFonts w:cs="Times New Roman"/>
          <w:i/>
          <w:iCs/>
          <w:sz w:val="18"/>
          <w:szCs w:val="18"/>
          <w:lang w:val="nb-NO"/>
        </w:rPr>
        <w:t>≤</w:t>
      </w:r>
      <w:r w:rsidRPr="00A942F6">
        <w:rPr>
          <w:i/>
          <w:iCs/>
          <w:sz w:val="18"/>
          <w:szCs w:val="18"/>
          <w:lang w:val="nb-NO"/>
        </w:rPr>
        <w:t>0.0001, TCZ vs. PBO + MTX</w:t>
      </w:r>
    </w:p>
    <w:p w14:paraId="69E1AE0C" w14:textId="77777777" w:rsidR="004A07DC" w:rsidRPr="00A942F6" w:rsidRDefault="004A07DC" w:rsidP="00641834">
      <w:pPr>
        <w:rPr>
          <w:i/>
          <w:iCs/>
          <w:sz w:val="18"/>
          <w:szCs w:val="18"/>
          <w:lang w:val="nb-NO"/>
        </w:rPr>
      </w:pPr>
      <w:r w:rsidRPr="00A942F6">
        <w:rPr>
          <w:i/>
          <w:iCs/>
          <w:sz w:val="18"/>
          <w:szCs w:val="18"/>
          <w:lang w:val="nb-NO"/>
        </w:rPr>
        <w:t>**</w:t>
      </w:r>
      <w:r w:rsidRPr="00A942F6">
        <w:rPr>
          <w:i/>
          <w:iCs/>
          <w:sz w:val="18"/>
          <w:szCs w:val="18"/>
          <w:lang w:val="nb-NO"/>
        </w:rPr>
        <w:tab/>
        <w:t>- p&lt; 0.005, TCZ vs. PBO + MTX</w:t>
      </w:r>
    </w:p>
    <w:p w14:paraId="11DEFAC6" w14:textId="77777777" w:rsidR="004A07DC" w:rsidRPr="00A942F6" w:rsidRDefault="004A07DC" w:rsidP="00641834">
      <w:pPr>
        <w:rPr>
          <w:lang w:val="nb-NO"/>
        </w:rPr>
      </w:pPr>
    </w:p>
    <w:p w14:paraId="32472D6F" w14:textId="77777777" w:rsidR="004A07DC" w:rsidRPr="00A942F6" w:rsidRDefault="004A07DC" w:rsidP="00641834">
      <w:pPr>
        <w:rPr>
          <w:lang w:val="nb-NO"/>
        </w:rPr>
      </w:pPr>
      <w:r w:rsidRPr="00A942F6">
        <w:rPr>
          <w:lang w:val="nb-NO"/>
        </w:rPr>
        <w:t xml:space="preserve">Etter ett års behandling med tocilizumab pluss metotreksat, hadde 85 % av pasientene (n=348) ingen progresjon i strukturell leddskade, definert ved en endring i “Total Sharp Score” på null eller mindre, sammenlignet med 67 % av placebo pluss metotreksatbehandlede pasienter (n=290) (p </w:t>
      </w:r>
      <w:r w:rsidR="00F36EEE" w:rsidRPr="00A942F6">
        <w:rPr>
          <w:rFonts w:cs="Times New Roman"/>
          <w:lang w:val="nb-NO"/>
        </w:rPr>
        <w:t>≤</w:t>
      </w:r>
      <w:r w:rsidRPr="00A942F6">
        <w:rPr>
          <w:lang w:val="nb-NO"/>
        </w:rPr>
        <w:t xml:space="preserve"> 0,001). Dette forblir konstant etter 2 år med behandling (83 %; n=353). Nittitre prosent (93 %; n=271) av pasientene hadde ingen progresjon mellom uke 52 og uke 104.</w:t>
      </w:r>
    </w:p>
    <w:p w14:paraId="6FA6DB4E" w14:textId="77777777" w:rsidR="004A07DC" w:rsidRPr="00A942F6" w:rsidRDefault="004A07DC" w:rsidP="00641834">
      <w:pPr>
        <w:rPr>
          <w:lang w:val="nb-NO"/>
        </w:rPr>
      </w:pPr>
    </w:p>
    <w:p w14:paraId="6F383353" w14:textId="77777777" w:rsidR="004A07DC" w:rsidRPr="00A942F6" w:rsidRDefault="004A07DC" w:rsidP="00641834">
      <w:pPr>
        <w:pStyle w:val="Style1Iitaic"/>
        <w:rPr>
          <w:lang w:val="nb-NO"/>
        </w:rPr>
      </w:pPr>
      <w:r w:rsidRPr="00A942F6">
        <w:rPr>
          <w:lang w:val="nb-NO"/>
        </w:rPr>
        <w:t>Helserelaterte effekter og livskvalitet</w:t>
      </w:r>
    </w:p>
    <w:p w14:paraId="5A15D7E2" w14:textId="4BDAD28E" w:rsidR="004A07DC" w:rsidRPr="00A942F6" w:rsidRDefault="004A07DC" w:rsidP="00641834">
      <w:pPr>
        <w:rPr>
          <w:lang w:val="nb-NO"/>
        </w:rPr>
      </w:pPr>
      <w:r w:rsidRPr="00A942F6">
        <w:rPr>
          <w:lang w:val="nb-NO"/>
        </w:rPr>
        <w:t xml:space="preserve">Pasienter som fikk behandling med tocilizumab oppga forbedring i alle pasientrapporterte parametere (Health Assessment Questionnaire Disability Index (HAQ-DI), Short Form-36 og Functional Assessment of Chronic Illness Therapy spørreskjemaer). Statistisk signifikant forbedring av HAQ-DI- skår ble observert hos pasienter behandlet med </w:t>
      </w:r>
      <w:r w:rsidR="00C945E8" w:rsidRPr="00A942F6">
        <w:rPr>
          <w:lang w:val="nb-NO"/>
        </w:rPr>
        <w:t>tocilizumab</w:t>
      </w:r>
      <w:r w:rsidRPr="00A942F6">
        <w:rPr>
          <w:lang w:val="nb-NO"/>
        </w:rPr>
        <w:t xml:space="preserve"> i forhold til pasienter behandlet med DMARDs. I løpet av den åpne perioden av studie II, har forbedringen i fysisk funksjon blitt vedlikeholdt i opptil 2 år. Ved uke 52 var hovedendringen i HAQ-DI -0,58 i tocilizumab 8 mg/kg pluss metotreksatgruppen sammenlignet med -0,39 i placebo + metotreksatgruppen. –Gjennomsnittlig endring i HAQ-DI ble opprettholdt til uke 104 i tocilizumab 8 mg/kg pluss metotreksat gruppen (-</w:t>
      </w:r>
      <w:r w:rsidR="00FC420A">
        <w:rPr>
          <w:lang w:val="nb-NO"/>
        </w:rPr>
        <w:t> </w:t>
      </w:r>
      <w:r w:rsidRPr="00A942F6">
        <w:rPr>
          <w:lang w:val="nb-NO"/>
        </w:rPr>
        <w:t>0,61).</w:t>
      </w:r>
    </w:p>
    <w:p w14:paraId="1307E620" w14:textId="77777777" w:rsidR="000A09E6" w:rsidRPr="00A942F6" w:rsidRDefault="000A09E6" w:rsidP="00641834">
      <w:pPr>
        <w:rPr>
          <w:lang w:val="nb-NO"/>
        </w:rPr>
      </w:pPr>
    </w:p>
    <w:p w14:paraId="3114181E" w14:textId="77777777" w:rsidR="004A07DC" w:rsidRPr="00A942F6" w:rsidRDefault="004A07DC" w:rsidP="00641834">
      <w:pPr>
        <w:pStyle w:val="Style1Iitaic"/>
        <w:rPr>
          <w:lang w:val="nb-NO"/>
        </w:rPr>
      </w:pPr>
      <w:r w:rsidRPr="00A942F6">
        <w:rPr>
          <w:lang w:val="nb-NO"/>
        </w:rPr>
        <w:t>Hemoglobinnivå</w:t>
      </w:r>
    </w:p>
    <w:p w14:paraId="6AEDFD1B" w14:textId="77777777" w:rsidR="004A07DC" w:rsidRPr="00A942F6" w:rsidRDefault="004A07DC" w:rsidP="00641834">
      <w:pPr>
        <w:rPr>
          <w:lang w:val="nb-NO"/>
        </w:rPr>
      </w:pPr>
      <w:r w:rsidRPr="00A942F6">
        <w:rPr>
          <w:lang w:val="nb-NO"/>
        </w:rPr>
        <w:t>Statistisk signifikant forbedring av hemoglobinnivå ble observert ved behandling med tocilizumab sammenlignet med DMARDs (p &lt; 0,0001) ved uke 24. Gjennomsnittlig hemoglobinnivå økte i løpet av de to første ukene og forble innenfor normalverdiene til uke 24.</w:t>
      </w:r>
    </w:p>
    <w:p w14:paraId="4713D637" w14:textId="77777777" w:rsidR="000A09E6" w:rsidRPr="00A942F6" w:rsidRDefault="000A09E6" w:rsidP="00641834">
      <w:pPr>
        <w:rPr>
          <w:lang w:val="nb-NO"/>
        </w:rPr>
      </w:pPr>
    </w:p>
    <w:p w14:paraId="5F0DDAEA" w14:textId="77777777" w:rsidR="004A07DC" w:rsidRPr="00A942F6" w:rsidRDefault="004A07DC" w:rsidP="00641834">
      <w:pPr>
        <w:pStyle w:val="Style1Iitaic"/>
        <w:rPr>
          <w:lang w:val="nb-NO"/>
        </w:rPr>
      </w:pPr>
      <w:r w:rsidRPr="00A942F6">
        <w:rPr>
          <w:lang w:val="nb-NO"/>
        </w:rPr>
        <w:t>Tocilizumab versus adalimumab som monoterapi</w:t>
      </w:r>
    </w:p>
    <w:p w14:paraId="3194222B" w14:textId="77777777" w:rsidR="004A07DC" w:rsidRPr="00A942F6" w:rsidRDefault="004A07DC" w:rsidP="00641834">
      <w:pPr>
        <w:rPr>
          <w:lang w:val="nb-NO"/>
        </w:rPr>
      </w:pPr>
      <w:r w:rsidRPr="00A942F6">
        <w:rPr>
          <w:lang w:val="nb-NO"/>
        </w:rPr>
        <w:t>Studie VI (WA19924), en 24-ukers dobbeltblind studie som sammenlignet tocilizumab som monoterapi med adalimumab som monoterapi, vurderte 326 RA-pasienter som ikke tolererte MTX eller hvor fortsatt behandling med MTX ble vurdert som uegnet (inkludert utilstrekkelig respons på MTX). Pasienter i tocilizumabgruppen fikk intravenøs (i.v.) i tocilizumabinfusjon (8 mg/kg) hver 4. uke (q4u) og subkutan (s.c.) placeboinjeksjon hver 2. uke (q2u). Pasienter i adalimumabgruppen fikk en s.c. adalimumabinjeksjon (40 mg) q2u og en i.v. placeboinfusjon q4u. Det ble sett en statistisk signifikant forbedret behandlingseffekt til fordel for tocilizumab, sammenlignet med adalimumab, i sykdomskontroll fra baseline til uke 24 for det primære endepunktet endring i DAS28 og for alle sekundære endepunkter (tabell 6).</w:t>
      </w:r>
    </w:p>
    <w:p w14:paraId="1AEF9953" w14:textId="77777777" w:rsidR="000A09E6" w:rsidRPr="00A942F6" w:rsidRDefault="000A09E6" w:rsidP="00641834">
      <w:pPr>
        <w:rPr>
          <w:lang w:val="nb-NO"/>
        </w:rPr>
      </w:pPr>
    </w:p>
    <w:p w14:paraId="74D9C67D" w14:textId="77777777" w:rsidR="004A07DC" w:rsidRPr="00A942F6" w:rsidRDefault="004A07DC" w:rsidP="00641834">
      <w:pPr>
        <w:pStyle w:val="Style1Iitaic"/>
        <w:rPr>
          <w:lang w:val="nb-NO"/>
        </w:rPr>
      </w:pPr>
      <w:r w:rsidRPr="00A942F6">
        <w:rPr>
          <w:lang w:val="nb-NO"/>
        </w:rPr>
        <w:t>Tabell 6. Effektresultatet for studie VI (WA19924)</w:t>
      </w:r>
    </w:p>
    <w:p w14:paraId="61A0923C" w14:textId="77777777" w:rsidR="004A07DC" w:rsidRPr="00A942F6" w:rsidRDefault="004A07DC" w:rsidP="00641834">
      <w:pPr>
        <w:rPr>
          <w:lang w:val="nb-NO"/>
        </w:rPr>
      </w:pPr>
    </w:p>
    <w:tbl>
      <w:tblPr>
        <w:tblW w:w="0" w:type="auto"/>
        <w:tblLayout w:type="fixed"/>
        <w:tblLook w:val="01E0" w:firstRow="1" w:lastRow="1" w:firstColumn="1" w:lastColumn="1" w:noHBand="0" w:noVBand="0"/>
      </w:tblPr>
      <w:tblGrid>
        <w:gridCol w:w="3397"/>
        <w:gridCol w:w="993"/>
        <w:gridCol w:w="2369"/>
        <w:gridCol w:w="1179"/>
      </w:tblGrid>
      <w:tr w:rsidR="00BB4785" w:rsidRPr="00A942F6" w14:paraId="779E8429" w14:textId="77777777" w:rsidTr="003175D5">
        <w:trPr>
          <w:cantSplit/>
          <w:trHeight w:val="20"/>
          <w:tblHeader/>
        </w:trPr>
        <w:tc>
          <w:tcPr>
            <w:tcW w:w="4390" w:type="dxa"/>
            <w:gridSpan w:val="2"/>
            <w:tcBorders>
              <w:top w:val="single" w:sz="8" w:space="0" w:color="000000"/>
              <w:left w:val="single" w:sz="4" w:space="0" w:color="000000"/>
              <w:bottom w:val="single" w:sz="8" w:space="0" w:color="000000"/>
            </w:tcBorders>
          </w:tcPr>
          <w:p w14:paraId="6816E621" w14:textId="77777777" w:rsidR="00274A63" w:rsidRPr="00A942F6" w:rsidRDefault="00BB4785" w:rsidP="00641834">
            <w:pPr>
              <w:pStyle w:val="TableParagraph"/>
              <w:jc w:val="right"/>
              <w:rPr>
                <w:b/>
                <w:sz w:val="20"/>
                <w:szCs w:val="20"/>
                <w:lang w:val="nb-NO"/>
              </w:rPr>
            </w:pPr>
            <w:r w:rsidRPr="00A942F6">
              <w:rPr>
                <w:b/>
                <w:sz w:val="20"/>
                <w:szCs w:val="20"/>
                <w:lang w:val="nb-NO"/>
              </w:rPr>
              <w:t>ADA + Placebo (IV)</w:t>
            </w:r>
          </w:p>
          <w:p w14:paraId="51877420" w14:textId="77777777" w:rsidR="00BB4785" w:rsidRPr="00A942F6" w:rsidRDefault="00BB4785" w:rsidP="00641834">
            <w:pPr>
              <w:pStyle w:val="TableParagraph"/>
              <w:jc w:val="right"/>
              <w:rPr>
                <w:b/>
                <w:sz w:val="20"/>
                <w:szCs w:val="20"/>
                <w:lang w:val="nb-NO"/>
              </w:rPr>
            </w:pPr>
            <w:r w:rsidRPr="00A942F6">
              <w:rPr>
                <w:b/>
                <w:sz w:val="20"/>
                <w:szCs w:val="20"/>
                <w:lang w:val="nb-NO"/>
              </w:rPr>
              <w:t>N = 162</w:t>
            </w:r>
          </w:p>
        </w:tc>
        <w:tc>
          <w:tcPr>
            <w:tcW w:w="2369" w:type="dxa"/>
            <w:tcBorders>
              <w:top w:val="single" w:sz="8" w:space="0" w:color="000000"/>
              <w:bottom w:val="single" w:sz="8" w:space="0" w:color="000000"/>
            </w:tcBorders>
          </w:tcPr>
          <w:p w14:paraId="547EDE4B" w14:textId="77777777" w:rsidR="00274A63" w:rsidRPr="00BD4D94" w:rsidRDefault="00BB4785" w:rsidP="00641834">
            <w:pPr>
              <w:pStyle w:val="TableParagraph"/>
              <w:jc w:val="right"/>
              <w:rPr>
                <w:b/>
                <w:sz w:val="20"/>
                <w:szCs w:val="20"/>
                <w:lang w:val="en-GB"/>
              </w:rPr>
            </w:pPr>
            <w:r w:rsidRPr="00BD4D94">
              <w:rPr>
                <w:b/>
                <w:sz w:val="20"/>
                <w:szCs w:val="20"/>
                <w:lang w:val="en-GB"/>
              </w:rPr>
              <w:t>TCZ + Placebo (s.c.)</w:t>
            </w:r>
          </w:p>
          <w:p w14:paraId="2222C7F4" w14:textId="77777777" w:rsidR="00BB4785" w:rsidRPr="00BD4D94" w:rsidRDefault="00BB4785" w:rsidP="00641834">
            <w:pPr>
              <w:pStyle w:val="TableParagraph"/>
              <w:jc w:val="right"/>
              <w:rPr>
                <w:b/>
                <w:sz w:val="20"/>
                <w:szCs w:val="20"/>
                <w:lang w:val="en-GB"/>
              </w:rPr>
            </w:pPr>
            <w:r w:rsidRPr="00BD4D94">
              <w:rPr>
                <w:b/>
                <w:sz w:val="20"/>
                <w:szCs w:val="20"/>
                <w:lang w:val="en-GB"/>
              </w:rPr>
              <w:t>N = 163</w:t>
            </w:r>
          </w:p>
        </w:tc>
        <w:tc>
          <w:tcPr>
            <w:tcW w:w="1179" w:type="dxa"/>
            <w:tcBorders>
              <w:top w:val="single" w:sz="8" w:space="0" w:color="000000"/>
              <w:bottom w:val="single" w:sz="8" w:space="0" w:color="000000"/>
              <w:right w:val="single" w:sz="8" w:space="0" w:color="000000"/>
            </w:tcBorders>
          </w:tcPr>
          <w:p w14:paraId="2B5D93EA" w14:textId="77777777" w:rsidR="00BB4785" w:rsidRPr="00BD4D94" w:rsidRDefault="00BB4785" w:rsidP="00641834">
            <w:pPr>
              <w:pStyle w:val="TableParagraph"/>
              <w:rPr>
                <w:i/>
                <w:sz w:val="20"/>
                <w:szCs w:val="20"/>
                <w:lang w:val="en-GB"/>
              </w:rPr>
            </w:pPr>
          </w:p>
          <w:p w14:paraId="40003B4B" w14:textId="77777777" w:rsidR="00BB4785" w:rsidRPr="00BD4D94" w:rsidRDefault="00BB4785" w:rsidP="00641834">
            <w:pPr>
              <w:pStyle w:val="TableParagraph"/>
              <w:rPr>
                <w:i/>
                <w:sz w:val="20"/>
                <w:szCs w:val="20"/>
                <w:lang w:val="en-GB"/>
              </w:rPr>
            </w:pPr>
          </w:p>
          <w:p w14:paraId="63EF8A6E" w14:textId="77777777" w:rsidR="00BB4785" w:rsidRPr="00A942F6" w:rsidRDefault="00BB4785" w:rsidP="00641834">
            <w:pPr>
              <w:pStyle w:val="TableParagraph"/>
              <w:rPr>
                <w:b/>
                <w:sz w:val="20"/>
                <w:szCs w:val="20"/>
                <w:lang w:val="nb-NO"/>
              </w:rPr>
            </w:pPr>
            <w:r w:rsidRPr="00A942F6">
              <w:rPr>
                <w:sz w:val="20"/>
                <w:szCs w:val="20"/>
                <w:lang w:val="nb-NO"/>
              </w:rPr>
              <w:t>p-verdi</w:t>
            </w:r>
            <w:r w:rsidRPr="00A942F6">
              <w:rPr>
                <w:b/>
                <w:sz w:val="20"/>
                <w:szCs w:val="20"/>
                <w:vertAlign w:val="superscript"/>
                <w:lang w:val="nb-NO"/>
              </w:rPr>
              <w:t>(a)</w:t>
            </w:r>
          </w:p>
        </w:tc>
      </w:tr>
      <w:tr w:rsidR="00BB4785" w:rsidRPr="00B477E5" w14:paraId="360835DE" w14:textId="77777777" w:rsidTr="003175D5">
        <w:trPr>
          <w:cantSplit/>
          <w:trHeight w:val="20"/>
        </w:trPr>
        <w:tc>
          <w:tcPr>
            <w:tcW w:w="7938" w:type="dxa"/>
            <w:gridSpan w:val="4"/>
            <w:tcBorders>
              <w:top w:val="single" w:sz="8" w:space="0" w:color="000000"/>
              <w:left w:val="single" w:sz="4" w:space="0" w:color="000000"/>
              <w:bottom w:val="single" w:sz="4" w:space="0" w:color="000000"/>
              <w:right w:val="single" w:sz="8" w:space="0" w:color="000000"/>
            </w:tcBorders>
          </w:tcPr>
          <w:p w14:paraId="17410FCF" w14:textId="77777777" w:rsidR="00BB4785" w:rsidRPr="00A942F6" w:rsidRDefault="00BB4785" w:rsidP="00641834">
            <w:pPr>
              <w:pStyle w:val="TableParagraph"/>
              <w:rPr>
                <w:b/>
                <w:sz w:val="20"/>
                <w:szCs w:val="20"/>
                <w:lang w:val="nb-NO"/>
              </w:rPr>
            </w:pPr>
            <w:r w:rsidRPr="00A942F6">
              <w:rPr>
                <w:b/>
                <w:sz w:val="20"/>
                <w:szCs w:val="20"/>
                <w:lang w:val="nb-NO"/>
              </w:rPr>
              <w:t>Primært endepunkt – gjennomsnittlig forandring fra utgangsnivået til uke 24</w:t>
            </w:r>
          </w:p>
        </w:tc>
      </w:tr>
      <w:tr w:rsidR="00BB4785" w:rsidRPr="00A942F6" w14:paraId="642F6554" w14:textId="77777777" w:rsidTr="00D07125">
        <w:trPr>
          <w:cantSplit/>
          <w:trHeight w:val="20"/>
        </w:trPr>
        <w:tc>
          <w:tcPr>
            <w:tcW w:w="3397" w:type="dxa"/>
            <w:tcBorders>
              <w:top w:val="single" w:sz="4" w:space="0" w:color="000000"/>
              <w:left w:val="single" w:sz="4" w:space="0" w:color="000000"/>
            </w:tcBorders>
          </w:tcPr>
          <w:p w14:paraId="74074BEE" w14:textId="77777777" w:rsidR="00BB4785" w:rsidRPr="00A942F6" w:rsidRDefault="00BB4785" w:rsidP="00641834">
            <w:pPr>
              <w:pStyle w:val="TableParagraph"/>
              <w:jc w:val="right"/>
              <w:rPr>
                <w:sz w:val="20"/>
                <w:szCs w:val="20"/>
                <w:lang w:val="nb-NO"/>
              </w:rPr>
            </w:pPr>
            <w:r w:rsidRPr="00A942F6">
              <w:rPr>
                <w:sz w:val="20"/>
                <w:szCs w:val="20"/>
                <w:lang w:val="nb-NO"/>
              </w:rPr>
              <w:t>DAS28 (justert gjennomsnitt)</w:t>
            </w:r>
          </w:p>
        </w:tc>
        <w:tc>
          <w:tcPr>
            <w:tcW w:w="993" w:type="dxa"/>
            <w:tcBorders>
              <w:top w:val="single" w:sz="4" w:space="0" w:color="000000"/>
            </w:tcBorders>
          </w:tcPr>
          <w:p w14:paraId="56F8D1D6" w14:textId="77777777" w:rsidR="00BB4785" w:rsidRPr="00A942F6" w:rsidRDefault="00BB4785" w:rsidP="00641834">
            <w:pPr>
              <w:pStyle w:val="TableParagraph"/>
              <w:jc w:val="center"/>
              <w:rPr>
                <w:sz w:val="20"/>
                <w:szCs w:val="20"/>
                <w:lang w:val="nb-NO"/>
              </w:rPr>
            </w:pPr>
            <w:r w:rsidRPr="00A942F6">
              <w:rPr>
                <w:sz w:val="20"/>
                <w:szCs w:val="20"/>
                <w:lang w:val="nb-NO"/>
              </w:rPr>
              <w:t>-1,8</w:t>
            </w:r>
          </w:p>
        </w:tc>
        <w:tc>
          <w:tcPr>
            <w:tcW w:w="2369" w:type="dxa"/>
            <w:tcBorders>
              <w:top w:val="single" w:sz="4" w:space="0" w:color="000000"/>
            </w:tcBorders>
          </w:tcPr>
          <w:p w14:paraId="2296D9A2" w14:textId="77777777" w:rsidR="00BB4785" w:rsidRPr="00A942F6" w:rsidRDefault="00BB4785" w:rsidP="00641834">
            <w:pPr>
              <w:pStyle w:val="TableParagraph"/>
              <w:jc w:val="center"/>
              <w:rPr>
                <w:sz w:val="20"/>
                <w:szCs w:val="20"/>
                <w:lang w:val="nb-NO"/>
              </w:rPr>
            </w:pPr>
            <w:r w:rsidRPr="00A942F6">
              <w:rPr>
                <w:sz w:val="20"/>
                <w:szCs w:val="20"/>
                <w:lang w:val="nb-NO"/>
              </w:rPr>
              <w:t>-3,3</w:t>
            </w:r>
          </w:p>
        </w:tc>
        <w:tc>
          <w:tcPr>
            <w:tcW w:w="1179" w:type="dxa"/>
            <w:tcBorders>
              <w:top w:val="single" w:sz="4" w:space="0" w:color="000000"/>
              <w:right w:val="single" w:sz="8" w:space="0" w:color="000000"/>
            </w:tcBorders>
          </w:tcPr>
          <w:p w14:paraId="1027DBFE" w14:textId="77777777" w:rsidR="00BB4785" w:rsidRPr="00A942F6" w:rsidRDefault="00BB4785" w:rsidP="00641834">
            <w:pPr>
              <w:pStyle w:val="TableParagraph"/>
              <w:rPr>
                <w:sz w:val="20"/>
                <w:szCs w:val="20"/>
                <w:lang w:val="nb-NO"/>
              </w:rPr>
            </w:pPr>
          </w:p>
        </w:tc>
      </w:tr>
      <w:tr w:rsidR="00BB4785" w:rsidRPr="00A942F6" w14:paraId="1912C0F6" w14:textId="77777777" w:rsidTr="00D07125">
        <w:trPr>
          <w:cantSplit/>
          <w:trHeight w:val="20"/>
        </w:trPr>
        <w:tc>
          <w:tcPr>
            <w:tcW w:w="3397" w:type="dxa"/>
            <w:tcBorders>
              <w:left w:val="single" w:sz="4" w:space="0" w:color="000000"/>
              <w:bottom w:val="single" w:sz="4" w:space="0" w:color="000000"/>
            </w:tcBorders>
          </w:tcPr>
          <w:p w14:paraId="094F415A" w14:textId="77777777" w:rsidR="00BB4785" w:rsidRPr="00A942F6" w:rsidRDefault="00BB4785" w:rsidP="00641834">
            <w:pPr>
              <w:pStyle w:val="TableParagraph"/>
              <w:jc w:val="right"/>
              <w:rPr>
                <w:sz w:val="20"/>
                <w:szCs w:val="20"/>
                <w:lang w:val="nb-NO"/>
              </w:rPr>
            </w:pPr>
            <w:r w:rsidRPr="00A942F6">
              <w:rPr>
                <w:sz w:val="20"/>
                <w:szCs w:val="20"/>
                <w:lang w:val="nb-NO"/>
              </w:rPr>
              <w:t>Forskjell i justert gjennomsnitt (95 % KI)</w:t>
            </w:r>
          </w:p>
        </w:tc>
        <w:tc>
          <w:tcPr>
            <w:tcW w:w="3362" w:type="dxa"/>
            <w:gridSpan w:val="2"/>
            <w:tcBorders>
              <w:bottom w:val="single" w:sz="4" w:space="0" w:color="000000"/>
            </w:tcBorders>
          </w:tcPr>
          <w:p w14:paraId="408ADA82" w14:textId="77777777" w:rsidR="00BB4785" w:rsidRPr="00A942F6" w:rsidRDefault="00BB4785" w:rsidP="00641834">
            <w:pPr>
              <w:pStyle w:val="TableParagraph"/>
              <w:rPr>
                <w:sz w:val="20"/>
                <w:szCs w:val="20"/>
                <w:lang w:val="nb-NO"/>
              </w:rPr>
            </w:pPr>
            <w:r w:rsidRPr="00A942F6">
              <w:rPr>
                <w:sz w:val="20"/>
                <w:szCs w:val="20"/>
                <w:lang w:val="nb-NO"/>
              </w:rPr>
              <w:t>-1,5 (-1,8, -1,1)</w:t>
            </w:r>
          </w:p>
        </w:tc>
        <w:tc>
          <w:tcPr>
            <w:tcW w:w="1179" w:type="dxa"/>
            <w:tcBorders>
              <w:bottom w:val="single" w:sz="4" w:space="0" w:color="000000"/>
              <w:right w:val="single" w:sz="8" w:space="0" w:color="000000"/>
            </w:tcBorders>
          </w:tcPr>
          <w:p w14:paraId="29ED8BA3" w14:textId="77777777" w:rsidR="00BB4785" w:rsidRPr="00A942F6" w:rsidRDefault="00BB4785" w:rsidP="00641834">
            <w:pPr>
              <w:pStyle w:val="TableParagraph"/>
              <w:rPr>
                <w:sz w:val="20"/>
                <w:szCs w:val="20"/>
                <w:lang w:val="nb-NO"/>
              </w:rPr>
            </w:pPr>
            <w:r w:rsidRPr="00A942F6">
              <w:rPr>
                <w:sz w:val="20"/>
                <w:szCs w:val="20"/>
                <w:lang w:val="nb-NO"/>
              </w:rPr>
              <w:t>&lt; 0,0001</w:t>
            </w:r>
          </w:p>
        </w:tc>
      </w:tr>
      <w:tr w:rsidR="00BB4785" w:rsidRPr="00B477E5" w14:paraId="2188434E" w14:textId="77777777" w:rsidTr="003175D5">
        <w:trPr>
          <w:cantSplit/>
          <w:trHeight w:val="20"/>
        </w:trPr>
        <w:tc>
          <w:tcPr>
            <w:tcW w:w="7938" w:type="dxa"/>
            <w:gridSpan w:val="4"/>
            <w:tcBorders>
              <w:top w:val="single" w:sz="4" w:space="0" w:color="000000"/>
              <w:left w:val="single" w:sz="4" w:space="0" w:color="000000"/>
              <w:bottom w:val="single" w:sz="4" w:space="0" w:color="000000"/>
              <w:right w:val="single" w:sz="8" w:space="0" w:color="000000"/>
            </w:tcBorders>
          </w:tcPr>
          <w:p w14:paraId="7F81618C" w14:textId="77777777" w:rsidR="00BB4785" w:rsidRPr="00A942F6" w:rsidRDefault="00BB4785" w:rsidP="008A72DA">
            <w:pPr>
              <w:pStyle w:val="TableParagraph"/>
              <w:keepNext/>
              <w:rPr>
                <w:b/>
                <w:sz w:val="20"/>
                <w:szCs w:val="20"/>
                <w:lang w:val="nb-NO"/>
              </w:rPr>
            </w:pPr>
            <w:r w:rsidRPr="00A942F6">
              <w:rPr>
                <w:b/>
                <w:sz w:val="20"/>
                <w:szCs w:val="20"/>
                <w:lang w:val="nb-NO"/>
              </w:rPr>
              <w:lastRenderedPageBreak/>
              <w:t xml:space="preserve">Sekundære endepunkter – prosentandel respondere ved uke 24 </w:t>
            </w:r>
            <w:r w:rsidRPr="00A942F6">
              <w:rPr>
                <w:b/>
                <w:sz w:val="20"/>
                <w:szCs w:val="20"/>
                <w:vertAlign w:val="superscript"/>
                <w:lang w:val="nb-NO"/>
              </w:rPr>
              <w:t>(b)</w:t>
            </w:r>
          </w:p>
        </w:tc>
      </w:tr>
      <w:tr w:rsidR="00BB4785" w:rsidRPr="00A942F6" w14:paraId="0F128707" w14:textId="77777777" w:rsidTr="00D07125">
        <w:trPr>
          <w:cantSplit/>
          <w:trHeight w:val="20"/>
        </w:trPr>
        <w:tc>
          <w:tcPr>
            <w:tcW w:w="3397" w:type="dxa"/>
            <w:tcBorders>
              <w:top w:val="single" w:sz="4" w:space="0" w:color="000000"/>
              <w:left w:val="single" w:sz="4" w:space="0" w:color="000000"/>
            </w:tcBorders>
          </w:tcPr>
          <w:p w14:paraId="038ABC2A" w14:textId="77777777" w:rsidR="00BB4785" w:rsidRPr="00A942F6" w:rsidRDefault="00BB4785" w:rsidP="008A72DA">
            <w:pPr>
              <w:pStyle w:val="TableParagraph"/>
              <w:keepNext/>
              <w:jc w:val="right"/>
              <w:rPr>
                <w:sz w:val="20"/>
                <w:szCs w:val="20"/>
                <w:lang w:val="nb-NO"/>
              </w:rPr>
            </w:pPr>
            <w:r w:rsidRPr="00A942F6">
              <w:rPr>
                <w:sz w:val="20"/>
                <w:szCs w:val="20"/>
                <w:lang w:val="nb-NO"/>
              </w:rPr>
              <w:t>DAS28 &lt; 2,6, n (%)</w:t>
            </w:r>
          </w:p>
        </w:tc>
        <w:tc>
          <w:tcPr>
            <w:tcW w:w="993" w:type="dxa"/>
            <w:tcBorders>
              <w:top w:val="single" w:sz="4" w:space="0" w:color="000000"/>
            </w:tcBorders>
          </w:tcPr>
          <w:p w14:paraId="7C614CE7" w14:textId="77777777" w:rsidR="00BB4785" w:rsidRPr="00A942F6" w:rsidRDefault="00BB4785" w:rsidP="008A72DA">
            <w:pPr>
              <w:pStyle w:val="TableParagraph"/>
              <w:keepNext/>
              <w:jc w:val="center"/>
              <w:rPr>
                <w:sz w:val="20"/>
                <w:szCs w:val="20"/>
                <w:lang w:val="nb-NO"/>
              </w:rPr>
            </w:pPr>
            <w:r w:rsidRPr="00A942F6">
              <w:rPr>
                <w:sz w:val="20"/>
                <w:szCs w:val="20"/>
                <w:lang w:val="nb-NO"/>
              </w:rPr>
              <w:t>17 (10,5)</w:t>
            </w:r>
          </w:p>
        </w:tc>
        <w:tc>
          <w:tcPr>
            <w:tcW w:w="2369" w:type="dxa"/>
            <w:tcBorders>
              <w:top w:val="single" w:sz="4" w:space="0" w:color="000000"/>
            </w:tcBorders>
          </w:tcPr>
          <w:p w14:paraId="3BD03C38" w14:textId="77777777" w:rsidR="00BB4785" w:rsidRPr="00A942F6" w:rsidRDefault="00BB4785" w:rsidP="008A72DA">
            <w:pPr>
              <w:pStyle w:val="TableParagraph"/>
              <w:keepNext/>
              <w:jc w:val="center"/>
              <w:rPr>
                <w:sz w:val="20"/>
                <w:szCs w:val="20"/>
                <w:lang w:val="nb-NO"/>
              </w:rPr>
            </w:pPr>
            <w:r w:rsidRPr="00A942F6">
              <w:rPr>
                <w:sz w:val="20"/>
                <w:szCs w:val="20"/>
                <w:lang w:val="nb-NO"/>
              </w:rPr>
              <w:t>65 (39,9)</w:t>
            </w:r>
          </w:p>
        </w:tc>
        <w:tc>
          <w:tcPr>
            <w:tcW w:w="1179" w:type="dxa"/>
            <w:tcBorders>
              <w:top w:val="single" w:sz="4" w:space="0" w:color="000000"/>
              <w:right w:val="single" w:sz="8" w:space="0" w:color="000000"/>
            </w:tcBorders>
          </w:tcPr>
          <w:p w14:paraId="3EA30563" w14:textId="77777777" w:rsidR="00BB4785" w:rsidRPr="00A942F6" w:rsidRDefault="00BB4785" w:rsidP="008A72DA">
            <w:pPr>
              <w:pStyle w:val="TableParagraph"/>
              <w:keepNext/>
              <w:rPr>
                <w:sz w:val="20"/>
                <w:szCs w:val="20"/>
                <w:lang w:val="nb-NO"/>
              </w:rPr>
            </w:pPr>
            <w:r w:rsidRPr="00A942F6">
              <w:rPr>
                <w:sz w:val="20"/>
                <w:szCs w:val="20"/>
                <w:lang w:val="nb-NO"/>
              </w:rPr>
              <w:t>&lt; 0,0001</w:t>
            </w:r>
          </w:p>
        </w:tc>
      </w:tr>
      <w:tr w:rsidR="00BB4785" w:rsidRPr="00A942F6" w14:paraId="3B402D1A" w14:textId="77777777" w:rsidTr="00D07125">
        <w:trPr>
          <w:cantSplit/>
          <w:trHeight w:val="20"/>
        </w:trPr>
        <w:tc>
          <w:tcPr>
            <w:tcW w:w="3397" w:type="dxa"/>
            <w:tcBorders>
              <w:left w:val="single" w:sz="4" w:space="0" w:color="000000"/>
            </w:tcBorders>
          </w:tcPr>
          <w:p w14:paraId="54D2C5C6" w14:textId="77777777" w:rsidR="00BB4785" w:rsidRPr="00A942F6" w:rsidRDefault="00BB4785" w:rsidP="00641834">
            <w:pPr>
              <w:pStyle w:val="TableParagraph"/>
              <w:jc w:val="right"/>
              <w:rPr>
                <w:sz w:val="20"/>
                <w:szCs w:val="20"/>
                <w:lang w:val="nb-NO"/>
              </w:rPr>
            </w:pPr>
            <w:r w:rsidRPr="00A942F6">
              <w:rPr>
                <w:sz w:val="20"/>
                <w:szCs w:val="20"/>
                <w:lang w:val="nb-NO"/>
              </w:rPr>
              <w:t>DAS28 ≤ 3,2, n (%)</w:t>
            </w:r>
          </w:p>
        </w:tc>
        <w:tc>
          <w:tcPr>
            <w:tcW w:w="993" w:type="dxa"/>
          </w:tcPr>
          <w:p w14:paraId="34FA198B" w14:textId="77777777" w:rsidR="00BB4785" w:rsidRPr="00A942F6" w:rsidRDefault="00BB4785" w:rsidP="00641834">
            <w:pPr>
              <w:pStyle w:val="TableParagraph"/>
              <w:jc w:val="center"/>
              <w:rPr>
                <w:sz w:val="20"/>
                <w:szCs w:val="20"/>
                <w:lang w:val="nb-NO"/>
              </w:rPr>
            </w:pPr>
            <w:r w:rsidRPr="00A942F6">
              <w:rPr>
                <w:sz w:val="20"/>
                <w:szCs w:val="20"/>
                <w:lang w:val="nb-NO"/>
              </w:rPr>
              <w:t>32 (19,8)</w:t>
            </w:r>
          </w:p>
        </w:tc>
        <w:tc>
          <w:tcPr>
            <w:tcW w:w="2369" w:type="dxa"/>
          </w:tcPr>
          <w:p w14:paraId="79B2B073" w14:textId="77777777" w:rsidR="00BB4785" w:rsidRPr="00A942F6" w:rsidRDefault="00BB4785" w:rsidP="00641834">
            <w:pPr>
              <w:pStyle w:val="TableParagraph"/>
              <w:jc w:val="center"/>
              <w:rPr>
                <w:sz w:val="20"/>
                <w:szCs w:val="20"/>
                <w:lang w:val="nb-NO"/>
              </w:rPr>
            </w:pPr>
            <w:r w:rsidRPr="00A942F6">
              <w:rPr>
                <w:sz w:val="20"/>
                <w:szCs w:val="20"/>
                <w:lang w:val="nb-NO"/>
              </w:rPr>
              <w:t>84 (51,5)</w:t>
            </w:r>
          </w:p>
        </w:tc>
        <w:tc>
          <w:tcPr>
            <w:tcW w:w="1179" w:type="dxa"/>
            <w:tcBorders>
              <w:right w:val="single" w:sz="8" w:space="0" w:color="000000"/>
            </w:tcBorders>
          </w:tcPr>
          <w:p w14:paraId="57282C81" w14:textId="77777777" w:rsidR="00BB4785" w:rsidRPr="00A942F6" w:rsidRDefault="00BB4785" w:rsidP="00641834">
            <w:pPr>
              <w:pStyle w:val="TableParagraph"/>
              <w:rPr>
                <w:sz w:val="20"/>
                <w:szCs w:val="20"/>
                <w:lang w:val="nb-NO"/>
              </w:rPr>
            </w:pPr>
            <w:r w:rsidRPr="00A942F6">
              <w:rPr>
                <w:sz w:val="20"/>
                <w:szCs w:val="20"/>
                <w:lang w:val="nb-NO"/>
              </w:rPr>
              <w:t>&lt; 0,0001</w:t>
            </w:r>
          </w:p>
        </w:tc>
      </w:tr>
      <w:tr w:rsidR="00BB4785" w:rsidRPr="00A942F6" w14:paraId="1E400AA7" w14:textId="77777777" w:rsidTr="00D07125">
        <w:trPr>
          <w:cantSplit/>
          <w:trHeight w:val="20"/>
        </w:trPr>
        <w:tc>
          <w:tcPr>
            <w:tcW w:w="3397" w:type="dxa"/>
            <w:tcBorders>
              <w:left w:val="single" w:sz="4" w:space="0" w:color="000000"/>
            </w:tcBorders>
          </w:tcPr>
          <w:p w14:paraId="280F08ED" w14:textId="77777777" w:rsidR="00BB4785" w:rsidRPr="00A942F6" w:rsidRDefault="00BB4785" w:rsidP="00641834">
            <w:pPr>
              <w:pStyle w:val="TableParagraph"/>
              <w:jc w:val="right"/>
              <w:rPr>
                <w:sz w:val="20"/>
                <w:szCs w:val="20"/>
                <w:lang w:val="nb-NO"/>
              </w:rPr>
            </w:pPr>
            <w:r w:rsidRPr="00A942F6">
              <w:rPr>
                <w:sz w:val="20"/>
                <w:szCs w:val="20"/>
                <w:lang w:val="nb-NO"/>
              </w:rPr>
              <w:t>ACR20 respons, n (%)</w:t>
            </w:r>
          </w:p>
        </w:tc>
        <w:tc>
          <w:tcPr>
            <w:tcW w:w="993" w:type="dxa"/>
          </w:tcPr>
          <w:p w14:paraId="63D634B4" w14:textId="77777777" w:rsidR="00BB4785" w:rsidRPr="00A942F6" w:rsidRDefault="00BB4785" w:rsidP="00641834">
            <w:pPr>
              <w:pStyle w:val="TableParagraph"/>
              <w:jc w:val="center"/>
              <w:rPr>
                <w:sz w:val="20"/>
                <w:szCs w:val="20"/>
                <w:lang w:val="nb-NO"/>
              </w:rPr>
            </w:pPr>
            <w:r w:rsidRPr="00A942F6">
              <w:rPr>
                <w:sz w:val="20"/>
                <w:szCs w:val="20"/>
                <w:lang w:val="nb-NO"/>
              </w:rPr>
              <w:t>80 (49,4)</w:t>
            </w:r>
          </w:p>
        </w:tc>
        <w:tc>
          <w:tcPr>
            <w:tcW w:w="2369" w:type="dxa"/>
          </w:tcPr>
          <w:p w14:paraId="2BB0B79B" w14:textId="77777777" w:rsidR="00BB4785" w:rsidRPr="00A942F6" w:rsidRDefault="00BB4785" w:rsidP="00641834">
            <w:pPr>
              <w:pStyle w:val="TableParagraph"/>
              <w:jc w:val="center"/>
              <w:rPr>
                <w:sz w:val="20"/>
                <w:szCs w:val="20"/>
                <w:lang w:val="nb-NO"/>
              </w:rPr>
            </w:pPr>
            <w:r w:rsidRPr="00A942F6">
              <w:rPr>
                <w:sz w:val="20"/>
                <w:szCs w:val="20"/>
                <w:lang w:val="nb-NO"/>
              </w:rPr>
              <w:t>106 (65,0)</w:t>
            </w:r>
          </w:p>
        </w:tc>
        <w:tc>
          <w:tcPr>
            <w:tcW w:w="1179" w:type="dxa"/>
            <w:tcBorders>
              <w:right w:val="single" w:sz="8" w:space="0" w:color="000000"/>
            </w:tcBorders>
          </w:tcPr>
          <w:p w14:paraId="35808376" w14:textId="77777777" w:rsidR="00BB4785" w:rsidRPr="00A942F6" w:rsidRDefault="00BB4785" w:rsidP="00641834">
            <w:pPr>
              <w:pStyle w:val="TableParagraph"/>
              <w:rPr>
                <w:sz w:val="20"/>
                <w:szCs w:val="20"/>
                <w:lang w:val="nb-NO"/>
              </w:rPr>
            </w:pPr>
            <w:r w:rsidRPr="00A942F6">
              <w:rPr>
                <w:sz w:val="20"/>
                <w:szCs w:val="20"/>
                <w:lang w:val="nb-NO"/>
              </w:rPr>
              <w:t>0,0038</w:t>
            </w:r>
          </w:p>
        </w:tc>
      </w:tr>
      <w:tr w:rsidR="00BB4785" w:rsidRPr="00A942F6" w14:paraId="7FC8CADC" w14:textId="77777777" w:rsidTr="00D07125">
        <w:trPr>
          <w:cantSplit/>
          <w:trHeight w:val="20"/>
        </w:trPr>
        <w:tc>
          <w:tcPr>
            <w:tcW w:w="3397" w:type="dxa"/>
            <w:tcBorders>
              <w:left w:val="single" w:sz="4" w:space="0" w:color="000000"/>
            </w:tcBorders>
          </w:tcPr>
          <w:p w14:paraId="19E578C5" w14:textId="77777777" w:rsidR="00BB4785" w:rsidRPr="00A942F6" w:rsidRDefault="00BB4785" w:rsidP="00641834">
            <w:pPr>
              <w:pStyle w:val="TableParagraph"/>
              <w:jc w:val="right"/>
              <w:rPr>
                <w:sz w:val="20"/>
                <w:szCs w:val="20"/>
                <w:lang w:val="nb-NO"/>
              </w:rPr>
            </w:pPr>
            <w:r w:rsidRPr="00A942F6">
              <w:rPr>
                <w:sz w:val="20"/>
                <w:szCs w:val="20"/>
                <w:lang w:val="nb-NO"/>
              </w:rPr>
              <w:t>ACR50 respons, n (%)</w:t>
            </w:r>
          </w:p>
        </w:tc>
        <w:tc>
          <w:tcPr>
            <w:tcW w:w="993" w:type="dxa"/>
          </w:tcPr>
          <w:p w14:paraId="1356D7B7" w14:textId="77777777" w:rsidR="00BB4785" w:rsidRPr="00A942F6" w:rsidRDefault="00BB4785" w:rsidP="00641834">
            <w:pPr>
              <w:pStyle w:val="TableParagraph"/>
              <w:jc w:val="center"/>
              <w:rPr>
                <w:sz w:val="20"/>
                <w:szCs w:val="20"/>
                <w:lang w:val="nb-NO"/>
              </w:rPr>
            </w:pPr>
            <w:r w:rsidRPr="00A942F6">
              <w:rPr>
                <w:sz w:val="20"/>
                <w:szCs w:val="20"/>
                <w:lang w:val="nb-NO"/>
              </w:rPr>
              <w:t>45 (27,8)</w:t>
            </w:r>
          </w:p>
        </w:tc>
        <w:tc>
          <w:tcPr>
            <w:tcW w:w="2369" w:type="dxa"/>
          </w:tcPr>
          <w:p w14:paraId="059E3929" w14:textId="77777777" w:rsidR="00BB4785" w:rsidRPr="00A942F6" w:rsidRDefault="00BB4785" w:rsidP="00641834">
            <w:pPr>
              <w:pStyle w:val="TableParagraph"/>
              <w:jc w:val="center"/>
              <w:rPr>
                <w:sz w:val="20"/>
                <w:szCs w:val="20"/>
                <w:lang w:val="nb-NO"/>
              </w:rPr>
            </w:pPr>
            <w:r w:rsidRPr="00A942F6">
              <w:rPr>
                <w:sz w:val="20"/>
                <w:szCs w:val="20"/>
                <w:lang w:val="nb-NO"/>
              </w:rPr>
              <w:t>77 (47,2)</w:t>
            </w:r>
          </w:p>
        </w:tc>
        <w:tc>
          <w:tcPr>
            <w:tcW w:w="1179" w:type="dxa"/>
            <w:tcBorders>
              <w:right w:val="single" w:sz="8" w:space="0" w:color="000000"/>
            </w:tcBorders>
          </w:tcPr>
          <w:p w14:paraId="22039DC8" w14:textId="77777777" w:rsidR="00BB4785" w:rsidRPr="00A942F6" w:rsidRDefault="00BB4785" w:rsidP="00641834">
            <w:pPr>
              <w:pStyle w:val="TableParagraph"/>
              <w:rPr>
                <w:sz w:val="20"/>
                <w:szCs w:val="20"/>
                <w:lang w:val="nb-NO"/>
              </w:rPr>
            </w:pPr>
            <w:r w:rsidRPr="00A942F6">
              <w:rPr>
                <w:sz w:val="20"/>
                <w:szCs w:val="20"/>
                <w:lang w:val="nb-NO"/>
              </w:rPr>
              <w:t>0,0002</w:t>
            </w:r>
          </w:p>
        </w:tc>
      </w:tr>
      <w:tr w:rsidR="00BB4785" w:rsidRPr="00A942F6" w14:paraId="52246859" w14:textId="77777777" w:rsidTr="00D07125">
        <w:trPr>
          <w:cantSplit/>
          <w:trHeight w:val="20"/>
        </w:trPr>
        <w:tc>
          <w:tcPr>
            <w:tcW w:w="3397" w:type="dxa"/>
            <w:tcBorders>
              <w:left w:val="single" w:sz="4" w:space="0" w:color="000000"/>
              <w:bottom w:val="single" w:sz="4" w:space="0" w:color="000000"/>
            </w:tcBorders>
          </w:tcPr>
          <w:p w14:paraId="551B4585" w14:textId="77777777" w:rsidR="00BB4785" w:rsidRPr="00A942F6" w:rsidRDefault="00BB4785" w:rsidP="00641834">
            <w:pPr>
              <w:pStyle w:val="TableParagraph"/>
              <w:jc w:val="right"/>
              <w:rPr>
                <w:sz w:val="20"/>
                <w:szCs w:val="20"/>
                <w:lang w:val="nb-NO"/>
              </w:rPr>
            </w:pPr>
            <w:r w:rsidRPr="00A942F6">
              <w:rPr>
                <w:sz w:val="20"/>
                <w:szCs w:val="20"/>
                <w:lang w:val="nb-NO"/>
              </w:rPr>
              <w:t>ACR70 respons, n (%)</w:t>
            </w:r>
          </w:p>
        </w:tc>
        <w:tc>
          <w:tcPr>
            <w:tcW w:w="993" w:type="dxa"/>
            <w:tcBorders>
              <w:bottom w:val="single" w:sz="4" w:space="0" w:color="000000"/>
            </w:tcBorders>
          </w:tcPr>
          <w:p w14:paraId="1246D2DD" w14:textId="77777777" w:rsidR="00BB4785" w:rsidRPr="00A942F6" w:rsidRDefault="00BB4785" w:rsidP="00641834">
            <w:pPr>
              <w:pStyle w:val="TableParagraph"/>
              <w:jc w:val="center"/>
              <w:rPr>
                <w:sz w:val="20"/>
                <w:szCs w:val="20"/>
                <w:lang w:val="nb-NO"/>
              </w:rPr>
            </w:pPr>
            <w:r w:rsidRPr="00A942F6">
              <w:rPr>
                <w:sz w:val="20"/>
                <w:szCs w:val="20"/>
                <w:lang w:val="nb-NO"/>
              </w:rPr>
              <w:t>29 (17,9)</w:t>
            </w:r>
          </w:p>
        </w:tc>
        <w:tc>
          <w:tcPr>
            <w:tcW w:w="2369" w:type="dxa"/>
            <w:tcBorders>
              <w:bottom w:val="single" w:sz="4" w:space="0" w:color="000000"/>
            </w:tcBorders>
          </w:tcPr>
          <w:p w14:paraId="42143011" w14:textId="77777777" w:rsidR="00BB4785" w:rsidRPr="00A942F6" w:rsidRDefault="00BB4785" w:rsidP="00641834">
            <w:pPr>
              <w:pStyle w:val="TableParagraph"/>
              <w:jc w:val="center"/>
              <w:rPr>
                <w:sz w:val="20"/>
                <w:szCs w:val="20"/>
                <w:lang w:val="nb-NO"/>
              </w:rPr>
            </w:pPr>
            <w:r w:rsidRPr="00A942F6">
              <w:rPr>
                <w:sz w:val="20"/>
                <w:szCs w:val="20"/>
                <w:lang w:val="nb-NO"/>
              </w:rPr>
              <w:t>53 (32,5)</w:t>
            </w:r>
          </w:p>
        </w:tc>
        <w:tc>
          <w:tcPr>
            <w:tcW w:w="1179" w:type="dxa"/>
            <w:tcBorders>
              <w:bottom w:val="single" w:sz="4" w:space="0" w:color="000000"/>
              <w:right w:val="single" w:sz="8" w:space="0" w:color="000000"/>
            </w:tcBorders>
          </w:tcPr>
          <w:p w14:paraId="1B84D678" w14:textId="77777777" w:rsidR="00BB4785" w:rsidRPr="00A942F6" w:rsidRDefault="00BB4785" w:rsidP="00641834">
            <w:pPr>
              <w:pStyle w:val="TableParagraph"/>
              <w:rPr>
                <w:sz w:val="20"/>
                <w:szCs w:val="20"/>
                <w:lang w:val="nb-NO"/>
              </w:rPr>
            </w:pPr>
            <w:r w:rsidRPr="00A942F6">
              <w:rPr>
                <w:sz w:val="20"/>
                <w:szCs w:val="20"/>
                <w:lang w:val="nb-NO"/>
              </w:rPr>
              <w:t>0,0023</w:t>
            </w:r>
          </w:p>
        </w:tc>
      </w:tr>
    </w:tbl>
    <w:p w14:paraId="59C4055B" w14:textId="77777777" w:rsidR="008877F8" w:rsidRPr="00A942F6" w:rsidRDefault="008877F8" w:rsidP="00641834">
      <w:pPr>
        <w:pStyle w:val="tabenoteab"/>
        <w:rPr>
          <w:i/>
          <w:iCs/>
          <w:lang w:val="nb-NO"/>
        </w:rPr>
      </w:pPr>
      <w:r w:rsidRPr="00A942F6">
        <w:rPr>
          <w:i/>
          <w:iCs/>
          <w:lang w:val="nb-NO"/>
        </w:rPr>
        <w:t>p-verdi er justert for lokalisering og varighet av RA for alle endepunkter og ytterligere utgangsnivået -verdi for alle kontinuerlige endepunkter.</w:t>
      </w:r>
    </w:p>
    <w:p w14:paraId="500E6AE5" w14:textId="77777777" w:rsidR="000A09E6" w:rsidRPr="00A942F6" w:rsidRDefault="008877F8" w:rsidP="00641834">
      <w:pPr>
        <w:pStyle w:val="tabenoteab"/>
        <w:rPr>
          <w:i/>
          <w:iCs/>
          <w:lang w:val="nb-NO"/>
        </w:rPr>
      </w:pPr>
      <w:r w:rsidRPr="00A942F6">
        <w:rPr>
          <w:i/>
          <w:iCs/>
          <w:lang w:val="nb-NO"/>
        </w:rPr>
        <w:t xml:space="preserve">Innsetting av verdier (imputasjon) for manglende data om ikke-respondere. </w:t>
      </w:r>
    </w:p>
    <w:p w14:paraId="5427B02D" w14:textId="77777777" w:rsidR="008877F8" w:rsidRPr="00A942F6" w:rsidRDefault="008877F8" w:rsidP="00641834">
      <w:pPr>
        <w:pStyle w:val="tabenoteab"/>
        <w:numPr>
          <w:ilvl w:val="0"/>
          <w:numId w:val="0"/>
        </w:numPr>
        <w:rPr>
          <w:i/>
          <w:iCs/>
          <w:lang w:val="nb-NO"/>
        </w:rPr>
      </w:pPr>
      <w:r w:rsidRPr="00A942F6">
        <w:rPr>
          <w:i/>
          <w:iCs/>
          <w:lang w:val="nb-NO"/>
        </w:rPr>
        <w:t>Korrigert for multiplisitet med Bonferroni-Holm-metoden</w:t>
      </w:r>
    </w:p>
    <w:p w14:paraId="119E9826" w14:textId="77777777" w:rsidR="008877F8" w:rsidRPr="00A942F6" w:rsidRDefault="008877F8" w:rsidP="00641834">
      <w:pPr>
        <w:rPr>
          <w:lang w:val="nb-NO"/>
        </w:rPr>
      </w:pPr>
    </w:p>
    <w:p w14:paraId="0C3FAF91" w14:textId="77777777" w:rsidR="008877F8" w:rsidRPr="00A942F6" w:rsidRDefault="008877F8" w:rsidP="00641834">
      <w:pPr>
        <w:rPr>
          <w:lang w:val="nb-NO"/>
        </w:rPr>
      </w:pPr>
      <w:r w:rsidRPr="00A942F6">
        <w:rPr>
          <w:lang w:val="nb-NO"/>
        </w:rPr>
        <w:t>Den samlede kliniske bivirkningsprofilen var den samme for tocilizumab og adalimumab. Andelen av pasienter med alvorlige bivirkninger var den samme i begge behandlingsgruppene (tocilizumab</w:t>
      </w:r>
      <w:r w:rsidR="002C204D" w:rsidRPr="00A942F6">
        <w:rPr>
          <w:lang w:val="nb-NO"/>
        </w:rPr>
        <w:t xml:space="preserve"> </w:t>
      </w:r>
      <w:r w:rsidRPr="00A942F6">
        <w:rPr>
          <w:lang w:val="nb-NO"/>
        </w:rPr>
        <w:t>11,7 % vs. adalimumab 9,9 %). Type bivirkninger i tocilizumab-armen var i overensstemmelse med den kjente sikkerhetsprofilen til tocilizumab og bivirkningene ble rapportert med lignende frekvens sammenlignet med tabell 1. Høyere frekvens av infeksjoner og infestasjoner ble rapportert i tocilizumab-armen (48 % vs. 42 %), men det var ingen forskjell i insidens av alvorlige infeksjoner (3,1%). Begge studiebehandlingene ga det samme forandringsmønsteret i laboratorieparametre for sikkerhet (reduksjoner i nøytrofile og antall blodplater, økninger i ALAT, ASAT og lipider), størrelsesordenen og hyppigheten av markerte unormale funn var imidlertid større med tocilizumab sammenlignet med adalimumab. Fire (2,5 %) pasienter i tocilizumabgruppen og to (1,2 %) pasienter i adalimumabgruppen opplevde CTC grad 3 eller 4-reduksjoner av antall nøytrofile. Elleve (6,8 %) pasienter i tocilizumabgruppen og fem (3,1 %) pasienter i adalimumabgruppen opplevde ALAT- forandringer av CTC grad 2 eller høyere. Gjennomsnittlig LDL-økning fra utgangsnivået var</w:t>
      </w:r>
      <w:r w:rsidR="000A09E6" w:rsidRPr="00A942F6">
        <w:rPr>
          <w:lang w:val="nb-NO"/>
        </w:rPr>
        <w:t xml:space="preserve"> </w:t>
      </w:r>
      <w:r w:rsidRPr="00A942F6">
        <w:rPr>
          <w:lang w:val="nb-NO"/>
        </w:rPr>
        <w:t>0,64</w:t>
      </w:r>
      <w:r w:rsidR="000A09E6" w:rsidRPr="00A942F6">
        <w:rPr>
          <w:lang w:val="nb-NO"/>
        </w:rPr>
        <w:t> </w:t>
      </w:r>
      <w:r w:rsidRPr="00A942F6">
        <w:rPr>
          <w:lang w:val="nb-NO"/>
        </w:rPr>
        <w:t>mmol/l (25 mg/dl) hos pasienter i tocilizumabgruppen og 0,19 mmol/l (7 mg/dl) i adalimumabgruppen. Sikkerhetsprofilen som ble observert i tocilizumabgruppen var i overensstemmelse med en kjente sikkerhetsprofilen for tocilizumab, og det ble ikke observert noen nye eller uventede bivirkninger (se tabell 1).</w:t>
      </w:r>
    </w:p>
    <w:p w14:paraId="023F0547" w14:textId="77777777" w:rsidR="008877F8" w:rsidRPr="00A942F6" w:rsidRDefault="008877F8" w:rsidP="00641834">
      <w:pPr>
        <w:rPr>
          <w:lang w:val="nb-NO"/>
        </w:rPr>
      </w:pPr>
    </w:p>
    <w:p w14:paraId="46BA1FBA" w14:textId="77777777" w:rsidR="008877F8" w:rsidRPr="00A942F6" w:rsidRDefault="008877F8" w:rsidP="00641834">
      <w:pPr>
        <w:pStyle w:val="Style1Iitaic"/>
        <w:rPr>
          <w:b/>
          <w:bCs/>
          <w:lang w:val="nb-NO"/>
        </w:rPr>
      </w:pPr>
      <w:r w:rsidRPr="00A942F6">
        <w:rPr>
          <w:b/>
          <w:bCs/>
          <w:lang w:val="nb-NO"/>
        </w:rPr>
        <w:t>Metotreksat-naive, tidlig RA</w:t>
      </w:r>
    </w:p>
    <w:p w14:paraId="6D5FFF7B" w14:textId="77777777" w:rsidR="008877F8" w:rsidRPr="00A942F6" w:rsidRDefault="008877F8" w:rsidP="00641834">
      <w:pPr>
        <w:rPr>
          <w:lang w:val="nb-NO"/>
        </w:rPr>
      </w:pPr>
      <w:r w:rsidRPr="00A942F6">
        <w:rPr>
          <w:lang w:val="nb-NO"/>
        </w:rPr>
        <w:t>Studie VII, en toårig studie med planlagt primæranalyse ved uke 52, undersøkte 1162 metotreksat- naive voksne pasienter med moderat til alvorlig aktiv tidlig RA (gjennomsnittlig sykdomsvarighet</w:t>
      </w:r>
      <w:r w:rsidR="000A09E6" w:rsidRPr="00A942F6">
        <w:rPr>
          <w:lang w:val="nb-NO"/>
        </w:rPr>
        <w:t xml:space="preserve"> </w:t>
      </w:r>
      <w:r w:rsidRPr="00A942F6">
        <w:rPr>
          <w:rFonts w:cs="Times New Roman"/>
          <w:lang w:val="nb-NO"/>
        </w:rPr>
        <w:t>≤</w:t>
      </w:r>
      <w:r w:rsidR="000A09E6" w:rsidRPr="00A942F6">
        <w:rPr>
          <w:lang w:val="nb-NO"/>
        </w:rPr>
        <w:t> </w:t>
      </w:r>
      <w:r w:rsidRPr="00A942F6">
        <w:rPr>
          <w:lang w:val="nb-NO"/>
        </w:rPr>
        <w:t>6</w:t>
      </w:r>
      <w:r w:rsidR="000A09E6" w:rsidRPr="00A942F6">
        <w:rPr>
          <w:lang w:val="nb-NO"/>
        </w:rPr>
        <w:t> </w:t>
      </w:r>
      <w:r w:rsidRPr="00A942F6">
        <w:rPr>
          <w:lang w:val="nb-NO"/>
        </w:rPr>
        <w:t>måneder). Omtrent 20 % av pasientene hadde tidligere fått behandling med andre DMARDs enn metotreksat. Denne studien undersøkte effekten av i.v. tocilizumab 4 eller 8 mg/kg hver</w:t>
      </w:r>
      <w:r w:rsidR="000A09E6" w:rsidRPr="00A942F6">
        <w:rPr>
          <w:lang w:val="nb-NO"/>
        </w:rPr>
        <w:t xml:space="preserve"> </w:t>
      </w:r>
      <w:r w:rsidRPr="00A942F6">
        <w:rPr>
          <w:lang w:val="nb-NO"/>
        </w:rPr>
        <w:t>4.</w:t>
      </w:r>
      <w:r w:rsidR="000A09E6" w:rsidRPr="00A942F6">
        <w:rPr>
          <w:lang w:val="nb-NO"/>
        </w:rPr>
        <w:t> </w:t>
      </w:r>
      <w:r w:rsidRPr="00A942F6">
        <w:rPr>
          <w:lang w:val="nb-NO"/>
        </w:rPr>
        <w:t>uke/metotreksat som kombinasjonsbehandling, i.v. tocilizumab 8 mg/kg som monoterapi og metotreksat som monoterapi med hensyn til å redusere tegn, symptomer og grad av progresjon av leddestruksjon over 104 uker. Det primære endepunktet var andelen pasienter som fikk DAS28 remisjon (DAS28 &lt; 2,6) ved uke 24. En signifikant høyere andel av pasientene som fikk tocilizumab 8</w:t>
      </w:r>
      <w:r w:rsidR="000A09E6" w:rsidRPr="00A942F6">
        <w:rPr>
          <w:lang w:val="nb-NO"/>
        </w:rPr>
        <w:t> </w:t>
      </w:r>
      <w:r w:rsidRPr="00A942F6">
        <w:rPr>
          <w:lang w:val="nb-NO"/>
        </w:rPr>
        <w:t>mg/kg + metotreksat og tocilizumab som monoterapi møtte det primære endepunktet sammenlignet med metotreksat alene. Tocilizumab 8 mg/kg + metotreksat-gruppen viste også statistisk signifikante resultater på tvers av de viktigste sekundære endepunktene. Sammenlignet med metotreksat alene, ble det observert numerisk større respons i alle sekundære endepunkter, inkludert radiografiske endepunkter i tocilizumab 8 mg/kg monoterapi-gruppen. I denne studien ble ACR/EULAR remisjon (Boolean og Index) også studert som pre-spesifiserte eksplorative endepunkter, med høyere respons observert i tocilizumab-gruppene. Resultatene fra studie VII er vist i tabell 7.</w:t>
      </w:r>
    </w:p>
    <w:p w14:paraId="16D90B85" w14:textId="77777777" w:rsidR="008877F8" w:rsidRPr="00A942F6" w:rsidRDefault="008877F8" w:rsidP="00641834">
      <w:pPr>
        <w:rPr>
          <w:lang w:val="nb-NO"/>
        </w:rPr>
      </w:pPr>
    </w:p>
    <w:p w14:paraId="1F9BAE48" w14:textId="77777777" w:rsidR="008877F8" w:rsidRPr="00A942F6" w:rsidRDefault="008877F8" w:rsidP="00641834">
      <w:pPr>
        <w:pStyle w:val="Style1Iitaic"/>
        <w:rPr>
          <w:lang w:val="nb-NO"/>
        </w:rPr>
      </w:pPr>
      <w:r w:rsidRPr="00A942F6">
        <w:rPr>
          <w:lang w:val="nb-NO"/>
        </w:rPr>
        <w:t>Tabell 7.</w:t>
      </w:r>
      <w:r w:rsidR="000A09E6" w:rsidRPr="00A942F6">
        <w:rPr>
          <w:lang w:val="nb-NO"/>
        </w:rPr>
        <w:t xml:space="preserve"> </w:t>
      </w:r>
      <w:r w:rsidRPr="00A942F6">
        <w:rPr>
          <w:lang w:val="nb-NO"/>
        </w:rPr>
        <w:t>Effektresultat for studie VII (WA19926) på metotreksat-naive, tidlig RA-pasienter</w:t>
      </w:r>
    </w:p>
    <w:p w14:paraId="3279C624" w14:textId="77777777" w:rsidR="00A67618" w:rsidRPr="00A942F6" w:rsidRDefault="00A67618" w:rsidP="00641834">
      <w:pPr>
        <w:tabs>
          <w:tab w:val="left" w:pos="1134"/>
        </w:tabs>
        <w:ind w:left="1134" w:hanging="1134"/>
        <w:rPr>
          <w:rFonts w:cs="Times New Roman"/>
          <w:lang w:val="nb-NO"/>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38"/>
        <w:gridCol w:w="51"/>
        <w:gridCol w:w="1844"/>
        <w:gridCol w:w="1512"/>
        <w:gridCol w:w="1371"/>
        <w:gridCol w:w="1386"/>
        <w:gridCol w:w="1059"/>
      </w:tblGrid>
      <w:tr w:rsidR="00A67618" w:rsidRPr="00A942F6" w14:paraId="5ECB9EDF" w14:textId="77777777" w:rsidTr="00AD3A93">
        <w:trPr>
          <w:cantSplit/>
          <w:tblHeader/>
        </w:trPr>
        <w:tc>
          <w:tcPr>
            <w:tcW w:w="3733" w:type="dxa"/>
            <w:gridSpan w:val="3"/>
          </w:tcPr>
          <w:p w14:paraId="04B31F95" w14:textId="77777777" w:rsidR="00A67618" w:rsidRPr="00A942F6" w:rsidRDefault="00A67618" w:rsidP="00641834">
            <w:pPr>
              <w:pStyle w:val="TableParagraph"/>
              <w:rPr>
                <w:b/>
                <w:sz w:val="20"/>
                <w:szCs w:val="20"/>
                <w:lang w:val="nb-NO"/>
              </w:rPr>
            </w:pPr>
          </w:p>
        </w:tc>
        <w:tc>
          <w:tcPr>
            <w:tcW w:w="1512" w:type="dxa"/>
          </w:tcPr>
          <w:p w14:paraId="59BF0E61" w14:textId="77777777" w:rsidR="00563636" w:rsidRDefault="00A67618" w:rsidP="00641834">
            <w:pPr>
              <w:pStyle w:val="TableParagraph"/>
              <w:jc w:val="center"/>
              <w:rPr>
                <w:b/>
                <w:sz w:val="20"/>
                <w:szCs w:val="20"/>
                <w:lang w:val="nb-NO"/>
              </w:rPr>
            </w:pPr>
            <w:r w:rsidRPr="00A942F6">
              <w:rPr>
                <w:b/>
                <w:sz w:val="20"/>
                <w:szCs w:val="20"/>
                <w:lang w:val="nb-NO"/>
              </w:rPr>
              <w:t>TCZ</w:t>
            </w:r>
          </w:p>
          <w:p w14:paraId="66CF5C10" w14:textId="75A1C2E7" w:rsidR="00A67618" w:rsidRPr="00A942F6" w:rsidRDefault="00A67618" w:rsidP="00641834">
            <w:pPr>
              <w:pStyle w:val="TableParagraph"/>
              <w:jc w:val="center"/>
              <w:rPr>
                <w:b/>
                <w:sz w:val="20"/>
                <w:szCs w:val="20"/>
                <w:lang w:val="nb-NO"/>
              </w:rPr>
            </w:pPr>
            <w:r w:rsidRPr="00A942F6">
              <w:rPr>
                <w:b/>
                <w:sz w:val="20"/>
                <w:szCs w:val="20"/>
                <w:lang w:val="nb-NO"/>
              </w:rPr>
              <w:t xml:space="preserve"> 8 mg/kg + MTX</w:t>
            </w:r>
          </w:p>
          <w:p w14:paraId="3C0BAFD9" w14:textId="77777777" w:rsidR="00A67618" w:rsidRPr="00A942F6" w:rsidRDefault="00A67618" w:rsidP="00641834">
            <w:pPr>
              <w:pStyle w:val="TableParagraph"/>
              <w:jc w:val="center"/>
              <w:rPr>
                <w:b/>
                <w:sz w:val="20"/>
                <w:szCs w:val="20"/>
                <w:lang w:val="nb-NO"/>
              </w:rPr>
            </w:pPr>
            <w:r w:rsidRPr="00A942F6">
              <w:rPr>
                <w:b/>
                <w:sz w:val="20"/>
                <w:szCs w:val="20"/>
                <w:lang w:val="nb-NO"/>
              </w:rPr>
              <w:t>N=290</w:t>
            </w:r>
          </w:p>
        </w:tc>
        <w:tc>
          <w:tcPr>
            <w:tcW w:w="1371" w:type="dxa"/>
          </w:tcPr>
          <w:p w14:paraId="47E5E3D6" w14:textId="77777777" w:rsidR="00563636" w:rsidRDefault="00A67618" w:rsidP="00641834">
            <w:pPr>
              <w:pStyle w:val="TableParagraph"/>
              <w:jc w:val="center"/>
              <w:rPr>
                <w:b/>
                <w:sz w:val="20"/>
                <w:szCs w:val="20"/>
                <w:lang w:val="da-DK"/>
              </w:rPr>
            </w:pPr>
            <w:r w:rsidRPr="00365386">
              <w:rPr>
                <w:b/>
                <w:sz w:val="20"/>
                <w:szCs w:val="20"/>
                <w:lang w:val="da-DK"/>
              </w:rPr>
              <w:t xml:space="preserve">TCZ </w:t>
            </w:r>
          </w:p>
          <w:p w14:paraId="2765F019" w14:textId="6556A431" w:rsidR="00A67618" w:rsidRPr="00365386" w:rsidRDefault="00A67618" w:rsidP="00641834">
            <w:pPr>
              <w:pStyle w:val="TableParagraph"/>
              <w:jc w:val="center"/>
              <w:rPr>
                <w:b/>
                <w:sz w:val="20"/>
                <w:szCs w:val="20"/>
                <w:lang w:val="da-DK"/>
              </w:rPr>
            </w:pPr>
            <w:r w:rsidRPr="00365386">
              <w:rPr>
                <w:b/>
                <w:sz w:val="20"/>
                <w:szCs w:val="20"/>
                <w:lang w:val="da-DK"/>
              </w:rPr>
              <w:t>8 mg/kg + placebo</w:t>
            </w:r>
          </w:p>
          <w:p w14:paraId="0CB8C7E0" w14:textId="77777777" w:rsidR="00A67618" w:rsidRPr="00365386" w:rsidRDefault="00A67618" w:rsidP="00641834">
            <w:pPr>
              <w:pStyle w:val="TableParagraph"/>
              <w:jc w:val="center"/>
              <w:rPr>
                <w:b/>
                <w:sz w:val="20"/>
                <w:szCs w:val="20"/>
                <w:lang w:val="da-DK"/>
              </w:rPr>
            </w:pPr>
            <w:r w:rsidRPr="00365386">
              <w:rPr>
                <w:b/>
                <w:sz w:val="20"/>
                <w:szCs w:val="20"/>
                <w:lang w:val="da-DK"/>
              </w:rPr>
              <w:t>N=292</w:t>
            </w:r>
          </w:p>
        </w:tc>
        <w:tc>
          <w:tcPr>
            <w:tcW w:w="1386" w:type="dxa"/>
          </w:tcPr>
          <w:p w14:paraId="0CE015D4" w14:textId="77777777" w:rsidR="00563636" w:rsidRDefault="00A67618" w:rsidP="00641834">
            <w:pPr>
              <w:pStyle w:val="TableParagraph"/>
              <w:jc w:val="center"/>
              <w:rPr>
                <w:b/>
                <w:sz w:val="20"/>
                <w:szCs w:val="20"/>
                <w:lang w:val="da-DK"/>
              </w:rPr>
            </w:pPr>
            <w:r w:rsidRPr="00365386">
              <w:rPr>
                <w:b/>
                <w:sz w:val="20"/>
                <w:szCs w:val="20"/>
                <w:lang w:val="da-DK"/>
              </w:rPr>
              <w:t xml:space="preserve">TCZ </w:t>
            </w:r>
          </w:p>
          <w:p w14:paraId="27D89938" w14:textId="37C7F3C8" w:rsidR="00A67618" w:rsidRPr="00365386" w:rsidRDefault="00A67618" w:rsidP="00641834">
            <w:pPr>
              <w:pStyle w:val="TableParagraph"/>
              <w:jc w:val="center"/>
              <w:rPr>
                <w:b/>
                <w:sz w:val="20"/>
                <w:szCs w:val="20"/>
                <w:lang w:val="da-DK"/>
              </w:rPr>
            </w:pPr>
            <w:r w:rsidRPr="00365386">
              <w:rPr>
                <w:b/>
                <w:sz w:val="20"/>
                <w:szCs w:val="20"/>
                <w:lang w:val="da-DK"/>
              </w:rPr>
              <w:t>4 mg/kg + MTX</w:t>
            </w:r>
          </w:p>
          <w:p w14:paraId="3B7ABFB4" w14:textId="77777777" w:rsidR="00A67618" w:rsidRPr="00365386" w:rsidRDefault="00A67618" w:rsidP="00641834">
            <w:pPr>
              <w:pStyle w:val="TableParagraph"/>
              <w:jc w:val="center"/>
              <w:rPr>
                <w:b/>
                <w:sz w:val="20"/>
                <w:szCs w:val="20"/>
                <w:lang w:val="da-DK"/>
              </w:rPr>
            </w:pPr>
            <w:r w:rsidRPr="00365386">
              <w:rPr>
                <w:b/>
                <w:sz w:val="20"/>
                <w:szCs w:val="20"/>
                <w:lang w:val="da-DK"/>
              </w:rPr>
              <w:t>N=288</w:t>
            </w:r>
          </w:p>
        </w:tc>
        <w:tc>
          <w:tcPr>
            <w:tcW w:w="1059" w:type="dxa"/>
          </w:tcPr>
          <w:p w14:paraId="4CE582DE" w14:textId="77777777" w:rsidR="00563636" w:rsidRPr="00CD583D" w:rsidRDefault="00563636" w:rsidP="00641834">
            <w:pPr>
              <w:pStyle w:val="TableParagraph"/>
              <w:jc w:val="center"/>
              <w:rPr>
                <w:b/>
                <w:sz w:val="20"/>
                <w:szCs w:val="20"/>
                <w:lang w:val="da-DK"/>
              </w:rPr>
            </w:pPr>
          </w:p>
          <w:p w14:paraId="6F19255E" w14:textId="7CFE8FF4" w:rsidR="00A67618" w:rsidRPr="00A942F6" w:rsidRDefault="00A67618" w:rsidP="00641834">
            <w:pPr>
              <w:pStyle w:val="TableParagraph"/>
              <w:jc w:val="center"/>
              <w:rPr>
                <w:b/>
                <w:sz w:val="20"/>
                <w:szCs w:val="20"/>
                <w:lang w:val="nb-NO"/>
              </w:rPr>
            </w:pPr>
            <w:r w:rsidRPr="00A942F6">
              <w:rPr>
                <w:b/>
                <w:sz w:val="20"/>
                <w:szCs w:val="20"/>
                <w:lang w:val="nb-NO"/>
              </w:rPr>
              <w:t>Placebo + MTX</w:t>
            </w:r>
          </w:p>
          <w:p w14:paraId="32BB8434" w14:textId="77777777" w:rsidR="00A67618" w:rsidRPr="00A942F6" w:rsidRDefault="00A67618" w:rsidP="00641834">
            <w:pPr>
              <w:pStyle w:val="TableParagraph"/>
              <w:jc w:val="center"/>
              <w:rPr>
                <w:b/>
                <w:sz w:val="20"/>
                <w:szCs w:val="20"/>
                <w:lang w:val="nb-NO"/>
              </w:rPr>
            </w:pPr>
            <w:r w:rsidRPr="00A942F6">
              <w:rPr>
                <w:b/>
                <w:sz w:val="20"/>
                <w:szCs w:val="20"/>
                <w:lang w:val="nb-NO"/>
              </w:rPr>
              <w:t>N=287</w:t>
            </w:r>
          </w:p>
        </w:tc>
      </w:tr>
      <w:tr w:rsidR="00A67618" w:rsidRPr="00A942F6" w14:paraId="008471BD" w14:textId="77777777" w:rsidTr="00A67618">
        <w:trPr>
          <w:cantSplit/>
        </w:trPr>
        <w:tc>
          <w:tcPr>
            <w:tcW w:w="9061" w:type="dxa"/>
            <w:gridSpan w:val="7"/>
          </w:tcPr>
          <w:p w14:paraId="449AC500" w14:textId="77777777" w:rsidR="00A67618" w:rsidRPr="00A942F6" w:rsidRDefault="00A67618" w:rsidP="00641834">
            <w:pPr>
              <w:pStyle w:val="TableParagraph"/>
              <w:rPr>
                <w:sz w:val="20"/>
                <w:szCs w:val="20"/>
                <w:lang w:val="nb-NO"/>
              </w:rPr>
            </w:pPr>
            <w:r w:rsidRPr="00A942F6">
              <w:rPr>
                <w:b/>
                <w:sz w:val="20"/>
                <w:szCs w:val="20"/>
                <w:lang w:val="nb-NO"/>
              </w:rPr>
              <w:t>Primært Endepunkt</w:t>
            </w:r>
          </w:p>
        </w:tc>
      </w:tr>
      <w:tr w:rsidR="00A67618" w:rsidRPr="00A942F6" w14:paraId="5FECC4E1" w14:textId="77777777" w:rsidTr="00AD3A93">
        <w:trPr>
          <w:cantSplit/>
        </w:trPr>
        <w:tc>
          <w:tcPr>
            <w:tcW w:w="3733" w:type="dxa"/>
            <w:gridSpan w:val="3"/>
            <w:tcBorders>
              <w:bottom w:val="single" w:sz="4" w:space="0" w:color="auto"/>
            </w:tcBorders>
          </w:tcPr>
          <w:p w14:paraId="740BFFE0" w14:textId="77777777" w:rsidR="00A67618" w:rsidRPr="00A942F6" w:rsidRDefault="00A67618" w:rsidP="00641834">
            <w:pPr>
              <w:pStyle w:val="TableParagraph"/>
              <w:rPr>
                <w:sz w:val="20"/>
                <w:szCs w:val="20"/>
                <w:lang w:val="nb-NO"/>
              </w:rPr>
            </w:pPr>
            <w:r w:rsidRPr="00A942F6">
              <w:rPr>
                <w:sz w:val="20"/>
                <w:szCs w:val="20"/>
                <w:lang w:val="nb-NO"/>
              </w:rPr>
              <w:t>DAS28 Remisjon</w:t>
            </w:r>
          </w:p>
        </w:tc>
        <w:tc>
          <w:tcPr>
            <w:tcW w:w="1512" w:type="dxa"/>
          </w:tcPr>
          <w:p w14:paraId="0B6438A1" w14:textId="77777777" w:rsidR="00A67618" w:rsidRPr="00A942F6" w:rsidRDefault="00A67618" w:rsidP="00641834">
            <w:pPr>
              <w:pStyle w:val="TableParagraph"/>
              <w:rPr>
                <w:sz w:val="20"/>
                <w:szCs w:val="20"/>
                <w:lang w:val="nb-NO"/>
              </w:rPr>
            </w:pPr>
          </w:p>
        </w:tc>
        <w:tc>
          <w:tcPr>
            <w:tcW w:w="1371" w:type="dxa"/>
          </w:tcPr>
          <w:p w14:paraId="1EDD2812" w14:textId="77777777" w:rsidR="00A67618" w:rsidRPr="00A942F6" w:rsidRDefault="00A67618" w:rsidP="00641834">
            <w:pPr>
              <w:pStyle w:val="TableParagraph"/>
              <w:rPr>
                <w:sz w:val="20"/>
                <w:szCs w:val="20"/>
                <w:lang w:val="nb-NO"/>
              </w:rPr>
            </w:pPr>
          </w:p>
        </w:tc>
        <w:tc>
          <w:tcPr>
            <w:tcW w:w="1386" w:type="dxa"/>
          </w:tcPr>
          <w:p w14:paraId="2556FB21" w14:textId="77777777" w:rsidR="00A67618" w:rsidRPr="00A942F6" w:rsidRDefault="00A67618" w:rsidP="00641834">
            <w:pPr>
              <w:pStyle w:val="TableParagraph"/>
              <w:rPr>
                <w:sz w:val="20"/>
                <w:szCs w:val="20"/>
                <w:lang w:val="nb-NO"/>
              </w:rPr>
            </w:pPr>
          </w:p>
        </w:tc>
        <w:tc>
          <w:tcPr>
            <w:tcW w:w="1059" w:type="dxa"/>
          </w:tcPr>
          <w:p w14:paraId="14ECEA7F" w14:textId="77777777" w:rsidR="00A67618" w:rsidRPr="00A942F6" w:rsidRDefault="00A67618" w:rsidP="00641834">
            <w:pPr>
              <w:pStyle w:val="TableParagraph"/>
              <w:rPr>
                <w:sz w:val="20"/>
                <w:szCs w:val="20"/>
                <w:lang w:val="nb-NO"/>
              </w:rPr>
            </w:pPr>
          </w:p>
        </w:tc>
      </w:tr>
      <w:tr w:rsidR="00A67618" w:rsidRPr="00A942F6" w14:paraId="2B5293B3" w14:textId="77777777" w:rsidTr="00AD3A93">
        <w:trPr>
          <w:cantSplit/>
        </w:trPr>
        <w:tc>
          <w:tcPr>
            <w:tcW w:w="1838" w:type="dxa"/>
            <w:tcBorders>
              <w:right w:val="nil"/>
            </w:tcBorders>
          </w:tcPr>
          <w:p w14:paraId="1949D52A" w14:textId="77777777" w:rsidR="00A67618" w:rsidRPr="00A942F6" w:rsidRDefault="00A67618" w:rsidP="00641834">
            <w:pPr>
              <w:pStyle w:val="TableParagraph"/>
              <w:ind w:left="284"/>
              <w:rPr>
                <w:sz w:val="20"/>
                <w:szCs w:val="20"/>
                <w:lang w:val="nb-NO"/>
              </w:rPr>
            </w:pPr>
            <w:r w:rsidRPr="00A942F6">
              <w:rPr>
                <w:sz w:val="20"/>
                <w:szCs w:val="20"/>
                <w:lang w:val="nb-NO"/>
              </w:rPr>
              <w:t>Uke 24</w:t>
            </w:r>
          </w:p>
        </w:tc>
        <w:tc>
          <w:tcPr>
            <w:tcW w:w="1895" w:type="dxa"/>
            <w:gridSpan w:val="2"/>
            <w:tcBorders>
              <w:left w:val="nil"/>
            </w:tcBorders>
          </w:tcPr>
          <w:p w14:paraId="4083758A" w14:textId="77777777" w:rsidR="00A67618" w:rsidRPr="00A942F6" w:rsidRDefault="00A67618" w:rsidP="00641834">
            <w:pPr>
              <w:pStyle w:val="TableParagraph"/>
              <w:rPr>
                <w:sz w:val="20"/>
                <w:szCs w:val="20"/>
                <w:lang w:val="nb-NO"/>
              </w:rPr>
            </w:pPr>
            <w:r w:rsidRPr="00A942F6">
              <w:rPr>
                <w:sz w:val="20"/>
                <w:szCs w:val="20"/>
                <w:lang w:val="nb-NO"/>
              </w:rPr>
              <w:t>n (%)</w:t>
            </w:r>
          </w:p>
        </w:tc>
        <w:tc>
          <w:tcPr>
            <w:tcW w:w="1512" w:type="dxa"/>
          </w:tcPr>
          <w:p w14:paraId="0E40FB57" w14:textId="77777777" w:rsidR="00A67618" w:rsidRPr="00A942F6" w:rsidRDefault="00A67618" w:rsidP="00641834">
            <w:pPr>
              <w:pStyle w:val="TableParagraph"/>
              <w:jc w:val="center"/>
              <w:rPr>
                <w:sz w:val="20"/>
                <w:szCs w:val="20"/>
                <w:lang w:val="nb-NO"/>
              </w:rPr>
            </w:pPr>
            <w:r w:rsidRPr="00A942F6">
              <w:rPr>
                <w:sz w:val="20"/>
                <w:szCs w:val="20"/>
                <w:lang w:val="nb-NO"/>
              </w:rPr>
              <w:t>130 (44,8)***</w:t>
            </w:r>
          </w:p>
        </w:tc>
        <w:tc>
          <w:tcPr>
            <w:tcW w:w="1371" w:type="dxa"/>
          </w:tcPr>
          <w:p w14:paraId="6DF6E1AA" w14:textId="77777777" w:rsidR="00A67618" w:rsidRPr="00A942F6" w:rsidRDefault="00A67618" w:rsidP="00641834">
            <w:pPr>
              <w:pStyle w:val="TableParagraph"/>
              <w:jc w:val="center"/>
              <w:rPr>
                <w:sz w:val="20"/>
                <w:szCs w:val="20"/>
                <w:lang w:val="nb-NO"/>
              </w:rPr>
            </w:pPr>
            <w:r w:rsidRPr="00A942F6">
              <w:rPr>
                <w:sz w:val="20"/>
                <w:szCs w:val="20"/>
                <w:lang w:val="nb-NO"/>
              </w:rPr>
              <w:t>113 (38,7)***</w:t>
            </w:r>
          </w:p>
        </w:tc>
        <w:tc>
          <w:tcPr>
            <w:tcW w:w="1386" w:type="dxa"/>
          </w:tcPr>
          <w:p w14:paraId="333C2547" w14:textId="77777777" w:rsidR="00A67618" w:rsidRPr="00A942F6" w:rsidRDefault="00A67618" w:rsidP="00641834">
            <w:pPr>
              <w:pStyle w:val="TableParagraph"/>
              <w:jc w:val="center"/>
              <w:rPr>
                <w:sz w:val="20"/>
                <w:szCs w:val="20"/>
                <w:lang w:val="nb-NO"/>
              </w:rPr>
            </w:pPr>
            <w:r w:rsidRPr="00A942F6">
              <w:rPr>
                <w:sz w:val="20"/>
                <w:szCs w:val="20"/>
                <w:lang w:val="nb-NO"/>
              </w:rPr>
              <w:t>92 (31,9)</w:t>
            </w:r>
          </w:p>
        </w:tc>
        <w:tc>
          <w:tcPr>
            <w:tcW w:w="1059" w:type="dxa"/>
          </w:tcPr>
          <w:p w14:paraId="256EEBA3" w14:textId="77777777" w:rsidR="00A67618" w:rsidRPr="00A942F6" w:rsidRDefault="00A67618" w:rsidP="00641834">
            <w:pPr>
              <w:pStyle w:val="TableParagraph"/>
              <w:jc w:val="center"/>
              <w:rPr>
                <w:sz w:val="20"/>
                <w:szCs w:val="20"/>
                <w:lang w:val="nb-NO"/>
              </w:rPr>
            </w:pPr>
            <w:r w:rsidRPr="00A942F6">
              <w:rPr>
                <w:sz w:val="20"/>
                <w:szCs w:val="20"/>
                <w:lang w:val="nb-NO"/>
              </w:rPr>
              <w:t>43 (15,0)</w:t>
            </w:r>
          </w:p>
        </w:tc>
      </w:tr>
      <w:tr w:rsidR="00A67618" w:rsidRPr="00A942F6" w14:paraId="7F5FECA6" w14:textId="77777777" w:rsidTr="00A67618">
        <w:trPr>
          <w:cantSplit/>
        </w:trPr>
        <w:tc>
          <w:tcPr>
            <w:tcW w:w="9061" w:type="dxa"/>
            <w:gridSpan w:val="7"/>
          </w:tcPr>
          <w:p w14:paraId="19F8F872" w14:textId="77777777" w:rsidR="00A67618" w:rsidRPr="00A942F6" w:rsidRDefault="00A67618" w:rsidP="00641834">
            <w:pPr>
              <w:pStyle w:val="TableParagraph"/>
              <w:keepNext/>
              <w:widowControl/>
              <w:autoSpaceDE/>
              <w:autoSpaceDN/>
              <w:rPr>
                <w:b/>
                <w:sz w:val="20"/>
                <w:szCs w:val="20"/>
                <w:lang w:val="nb-NO"/>
              </w:rPr>
            </w:pPr>
            <w:r w:rsidRPr="00A942F6">
              <w:rPr>
                <w:b/>
                <w:sz w:val="20"/>
                <w:szCs w:val="20"/>
                <w:lang w:val="nb-NO"/>
              </w:rPr>
              <w:lastRenderedPageBreak/>
              <w:t>Sentrale Sekundære Endepunkter</w:t>
            </w:r>
          </w:p>
        </w:tc>
      </w:tr>
      <w:tr w:rsidR="00A67618" w:rsidRPr="00A942F6" w14:paraId="0D6FBA59" w14:textId="77777777" w:rsidTr="00AD3A93">
        <w:trPr>
          <w:cantSplit/>
        </w:trPr>
        <w:tc>
          <w:tcPr>
            <w:tcW w:w="3733" w:type="dxa"/>
            <w:gridSpan w:val="3"/>
            <w:tcBorders>
              <w:bottom w:val="single" w:sz="4" w:space="0" w:color="auto"/>
            </w:tcBorders>
          </w:tcPr>
          <w:p w14:paraId="1E06A833" w14:textId="77777777" w:rsidR="00A67618" w:rsidRPr="00A942F6" w:rsidRDefault="00A67618" w:rsidP="00641834">
            <w:pPr>
              <w:pStyle w:val="TableParagraph"/>
              <w:keepNext/>
              <w:widowControl/>
              <w:autoSpaceDE/>
              <w:autoSpaceDN/>
              <w:rPr>
                <w:sz w:val="20"/>
                <w:szCs w:val="20"/>
                <w:lang w:val="nb-NO"/>
              </w:rPr>
            </w:pPr>
            <w:r w:rsidRPr="00A942F6">
              <w:rPr>
                <w:sz w:val="20"/>
                <w:szCs w:val="20"/>
                <w:lang w:val="nb-NO"/>
              </w:rPr>
              <w:t>DAS 28 remisjon</w:t>
            </w:r>
          </w:p>
        </w:tc>
        <w:tc>
          <w:tcPr>
            <w:tcW w:w="1512" w:type="dxa"/>
          </w:tcPr>
          <w:p w14:paraId="006F64CD" w14:textId="77777777" w:rsidR="00A67618" w:rsidRPr="00A942F6" w:rsidRDefault="00A67618" w:rsidP="00641834">
            <w:pPr>
              <w:pStyle w:val="TableParagraph"/>
              <w:keepNext/>
              <w:widowControl/>
              <w:autoSpaceDE/>
              <w:autoSpaceDN/>
              <w:jc w:val="center"/>
              <w:rPr>
                <w:sz w:val="20"/>
                <w:szCs w:val="20"/>
                <w:lang w:val="nb-NO"/>
              </w:rPr>
            </w:pPr>
          </w:p>
        </w:tc>
        <w:tc>
          <w:tcPr>
            <w:tcW w:w="1371" w:type="dxa"/>
          </w:tcPr>
          <w:p w14:paraId="4C7ACFC2" w14:textId="77777777" w:rsidR="00A67618" w:rsidRPr="00A942F6" w:rsidRDefault="00A67618" w:rsidP="00641834">
            <w:pPr>
              <w:pStyle w:val="TableParagraph"/>
              <w:keepNext/>
              <w:widowControl/>
              <w:autoSpaceDE/>
              <w:autoSpaceDN/>
              <w:jc w:val="center"/>
              <w:rPr>
                <w:sz w:val="20"/>
                <w:szCs w:val="20"/>
                <w:lang w:val="nb-NO"/>
              </w:rPr>
            </w:pPr>
          </w:p>
        </w:tc>
        <w:tc>
          <w:tcPr>
            <w:tcW w:w="1386" w:type="dxa"/>
          </w:tcPr>
          <w:p w14:paraId="1E8123AA" w14:textId="77777777" w:rsidR="00A67618" w:rsidRPr="00A942F6" w:rsidRDefault="00A67618" w:rsidP="00641834">
            <w:pPr>
              <w:pStyle w:val="TableParagraph"/>
              <w:keepNext/>
              <w:widowControl/>
              <w:autoSpaceDE/>
              <w:autoSpaceDN/>
              <w:jc w:val="center"/>
              <w:rPr>
                <w:sz w:val="20"/>
                <w:szCs w:val="20"/>
                <w:lang w:val="nb-NO"/>
              </w:rPr>
            </w:pPr>
          </w:p>
        </w:tc>
        <w:tc>
          <w:tcPr>
            <w:tcW w:w="1059" w:type="dxa"/>
          </w:tcPr>
          <w:p w14:paraId="5B41FC0F" w14:textId="77777777" w:rsidR="00A67618" w:rsidRPr="00A942F6" w:rsidRDefault="00A67618" w:rsidP="00641834">
            <w:pPr>
              <w:pStyle w:val="TableParagraph"/>
              <w:keepNext/>
              <w:widowControl/>
              <w:autoSpaceDE/>
              <w:autoSpaceDN/>
              <w:jc w:val="center"/>
              <w:rPr>
                <w:sz w:val="20"/>
                <w:szCs w:val="20"/>
                <w:lang w:val="nb-NO"/>
              </w:rPr>
            </w:pPr>
          </w:p>
        </w:tc>
      </w:tr>
      <w:tr w:rsidR="00A67618" w:rsidRPr="00A942F6" w14:paraId="4B4F61DE" w14:textId="77777777" w:rsidTr="00AD3A93">
        <w:trPr>
          <w:cantSplit/>
        </w:trPr>
        <w:tc>
          <w:tcPr>
            <w:tcW w:w="1838" w:type="dxa"/>
            <w:tcBorders>
              <w:right w:val="nil"/>
            </w:tcBorders>
          </w:tcPr>
          <w:p w14:paraId="124C9538" w14:textId="77777777" w:rsidR="00A67618" w:rsidRPr="00A942F6" w:rsidRDefault="00A67618" w:rsidP="00641834">
            <w:pPr>
              <w:pStyle w:val="TableParagraph"/>
              <w:ind w:left="284"/>
              <w:rPr>
                <w:sz w:val="20"/>
                <w:szCs w:val="20"/>
                <w:lang w:val="nb-NO"/>
              </w:rPr>
            </w:pPr>
            <w:r w:rsidRPr="00A942F6">
              <w:rPr>
                <w:sz w:val="20"/>
                <w:szCs w:val="20"/>
                <w:lang w:val="nb-NO"/>
              </w:rPr>
              <w:t>Uke 52</w:t>
            </w:r>
          </w:p>
        </w:tc>
        <w:tc>
          <w:tcPr>
            <w:tcW w:w="1895" w:type="dxa"/>
            <w:gridSpan w:val="2"/>
            <w:tcBorders>
              <w:left w:val="nil"/>
            </w:tcBorders>
          </w:tcPr>
          <w:p w14:paraId="1F053141" w14:textId="77777777" w:rsidR="00A67618" w:rsidRPr="00A942F6" w:rsidRDefault="00A67618" w:rsidP="00641834">
            <w:pPr>
              <w:pStyle w:val="TableParagraph"/>
              <w:rPr>
                <w:sz w:val="20"/>
                <w:szCs w:val="20"/>
                <w:lang w:val="nb-NO"/>
              </w:rPr>
            </w:pPr>
            <w:r w:rsidRPr="00A942F6">
              <w:rPr>
                <w:sz w:val="20"/>
                <w:szCs w:val="20"/>
                <w:lang w:val="nb-NO"/>
              </w:rPr>
              <w:t>n (%)</w:t>
            </w:r>
          </w:p>
        </w:tc>
        <w:tc>
          <w:tcPr>
            <w:tcW w:w="1512" w:type="dxa"/>
          </w:tcPr>
          <w:p w14:paraId="253F4F06" w14:textId="77777777" w:rsidR="00A67618" w:rsidRPr="00A942F6" w:rsidRDefault="00A67618" w:rsidP="00641834">
            <w:pPr>
              <w:pStyle w:val="TableParagraph"/>
              <w:jc w:val="center"/>
              <w:rPr>
                <w:sz w:val="20"/>
                <w:szCs w:val="20"/>
                <w:lang w:val="nb-NO"/>
              </w:rPr>
            </w:pPr>
            <w:r w:rsidRPr="00A942F6">
              <w:rPr>
                <w:sz w:val="20"/>
                <w:szCs w:val="20"/>
                <w:lang w:val="nb-NO"/>
              </w:rPr>
              <w:t>142 (49,0)***</w:t>
            </w:r>
          </w:p>
        </w:tc>
        <w:tc>
          <w:tcPr>
            <w:tcW w:w="1371" w:type="dxa"/>
          </w:tcPr>
          <w:p w14:paraId="08C76CCE" w14:textId="77777777" w:rsidR="00A67618" w:rsidRPr="00A942F6" w:rsidRDefault="00A67618" w:rsidP="00641834">
            <w:pPr>
              <w:pStyle w:val="TableParagraph"/>
              <w:jc w:val="center"/>
              <w:rPr>
                <w:sz w:val="20"/>
                <w:szCs w:val="20"/>
                <w:lang w:val="nb-NO"/>
              </w:rPr>
            </w:pPr>
            <w:r w:rsidRPr="00A942F6">
              <w:rPr>
                <w:sz w:val="20"/>
                <w:szCs w:val="20"/>
                <w:lang w:val="nb-NO"/>
              </w:rPr>
              <w:t>115 (39,4)</w:t>
            </w:r>
          </w:p>
        </w:tc>
        <w:tc>
          <w:tcPr>
            <w:tcW w:w="1386" w:type="dxa"/>
          </w:tcPr>
          <w:p w14:paraId="65A5C338" w14:textId="77777777" w:rsidR="00A67618" w:rsidRPr="00A942F6" w:rsidRDefault="00A67618" w:rsidP="00641834">
            <w:pPr>
              <w:pStyle w:val="TableParagraph"/>
              <w:jc w:val="center"/>
              <w:rPr>
                <w:sz w:val="20"/>
                <w:szCs w:val="20"/>
                <w:lang w:val="nb-NO"/>
              </w:rPr>
            </w:pPr>
            <w:r w:rsidRPr="00A942F6">
              <w:rPr>
                <w:sz w:val="20"/>
                <w:szCs w:val="20"/>
                <w:lang w:val="nb-NO"/>
              </w:rPr>
              <w:t>98 (34,0)</w:t>
            </w:r>
          </w:p>
        </w:tc>
        <w:tc>
          <w:tcPr>
            <w:tcW w:w="1059" w:type="dxa"/>
          </w:tcPr>
          <w:p w14:paraId="233F37E0" w14:textId="77777777" w:rsidR="00A67618" w:rsidRPr="00A942F6" w:rsidRDefault="00A67618" w:rsidP="00641834">
            <w:pPr>
              <w:pStyle w:val="TableParagraph"/>
              <w:jc w:val="center"/>
              <w:rPr>
                <w:sz w:val="20"/>
                <w:szCs w:val="20"/>
                <w:lang w:val="nb-NO"/>
              </w:rPr>
            </w:pPr>
            <w:r w:rsidRPr="00A942F6">
              <w:rPr>
                <w:sz w:val="20"/>
                <w:szCs w:val="20"/>
                <w:lang w:val="nb-NO"/>
              </w:rPr>
              <w:t>56 (19,5)</w:t>
            </w:r>
          </w:p>
        </w:tc>
      </w:tr>
      <w:tr w:rsidR="00C038A7" w:rsidRPr="00A942F6" w14:paraId="7789FBDB" w14:textId="77777777" w:rsidTr="00AD3A93">
        <w:trPr>
          <w:cantSplit/>
        </w:trPr>
        <w:tc>
          <w:tcPr>
            <w:tcW w:w="1838" w:type="dxa"/>
            <w:tcBorders>
              <w:right w:val="nil"/>
            </w:tcBorders>
          </w:tcPr>
          <w:p w14:paraId="3F6A6527" w14:textId="77777777" w:rsidR="00C038A7" w:rsidRPr="00A942F6" w:rsidRDefault="00C038A7" w:rsidP="00641834">
            <w:pPr>
              <w:pStyle w:val="TableParagraph"/>
              <w:rPr>
                <w:sz w:val="20"/>
                <w:szCs w:val="20"/>
                <w:lang w:val="nb-NO"/>
              </w:rPr>
            </w:pPr>
            <w:r w:rsidRPr="00A942F6">
              <w:rPr>
                <w:sz w:val="20"/>
                <w:szCs w:val="20"/>
                <w:lang w:val="nb-NO"/>
              </w:rPr>
              <w:t>ACR</w:t>
            </w:r>
          </w:p>
        </w:tc>
        <w:tc>
          <w:tcPr>
            <w:tcW w:w="1895" w:type="dxa"/>
            <w:gridSpan w:val="2"/>
            <w:tcBorders>
              <w:left w:val="nil"/>
            </w:tcBorders>
          </w:tcPr>
          <w:p w14:paraId="6FB76B65" w14:textId="77777777" w:rsidR="00C038A7" w:rsidRPr="00A942F6" w:rsidRDefault="00C038A7" w:rsidP="00641834">
            <w:pPr>
              <w:pStyle w:val="TableParagraph"/>
              <w:rPr>
                <w:sz w:val="20"/>
                <w:szCs w:val="20"/>
                <w:lang w:val="nb-NO"/>
              </w:rPr>
            </w:pPr>
          </w:p>
        </w:tc>
        <w:tc>
          <w:tcPr>
            <w:tcW w:w="1512" w:type="dxa"/>
          </w:tcPr>
          <w:p w14:paraId="6AA006E9" w14:textId="77777777" w:rsidR="00C038A7" w:rsidRPr="00A942F6" w:rsidRDefault="00C038A7" w:rsidP="00641834">
            <w:pPr>
              <w:pStyle w:val="TableParagraph"/>
              <w:jc w:val="center"/>
              <w:rPr>
                <w:sz w:val="20"/>
                <w:szCs w:val="20"/>
                <w:lang w:val="nb-NO"/>
              </w:rPr>
            </w:pPr>
          </w:p>
        </w:tc>
        <w:tc>
          <w:tcPr>
            <w:tcW w:w="1371" w:type="dxa"/>
          </w:tcPr>
          <w:p w14:paraId="1836175A" w14:textId="77777777" w:rsidR="00C038A7" w:rsidRPr="00A942F6" w:rsidRDefault="00C038A7" w:rsidP="00641834">
            <w:pPr>
              <w:pStyle w:val="TableParagraph"/>
              <w:jc w:val="center"/>
              <w:rPr>
                <w:sz w:val="20"/>
                <w:szCs w:val="20"/>
                <w:lang w:val="nb-NO"/>
              </w:rPr>
            </w:pPr>
          </w:p>
        </w:tc>
        <w:tc>
          <w:tcPr>
            <w:tcW w:w="1386" w:type="dxa"/>
          </w:tcPr>
          <w:p w14:paraId="6E2A9117" w14:textId="77777777" w:rsidR="00C038A7" w:rsidRPr="00A942F6" w:rsidRDefault="00C038A7" w:rsidP="00641834">
            <w:pPr>
              <w:pStyle w:val="TableParagraph"/>
              <w:jc w:val="center"/>
              <w:rPr>
                <w:sz w:val="20"/>
                <w:szCs w:val="20"/>
                <w:lang w:val="nb-NO"/>
              </w:rPr>
            </w:pPr>
          </w:p>
        </w:tc>
        <w:tc>
          <w:tcPr>
            <w:tcW w:w="1059" w:type="dxa"/>
          </w:tcPr>
          <w:p w14:paraId="720CFE70" w14:textId="77777777" w:rsidR="00C038A7" w:rsidRPr="00A942F6" w:rsidRDefault="00C038A7" w:rsidP="00641834">
            <w:pPr>
              <w:pStyle w:val="TableParagraph"/>
              <w:jc w:val="center"/>
              <w:rPr>
                <w:sz w:val="20"/>
                <w:szCs w:val="20"/>
                <w:lang w:val="nb-NO"/>
              </w:rPr>
            </w:pPr>
          </w:p>
        </w:tc>
      </w:tr>
      <w:tr w:rsidR="00A67618" w:rsidRPr="00A942F6" w14:paraId="02C932B5" w14:textId="77777777" w:rsidTr="00AD3A93">
        <w:trPr>
          <w:cantSplit/>
        </w:trPr>
        <w:tc>
          <w:tcPr>
            <w:tcW w:w="1838" w:type="dxa"/>
            <w:tcBorders>
              <w:right w:val="nil"/>
            </w:tcBorders>
          </w:tcPr>
          <w:p w14:paraId="038FF36D" w14:textId="77777777" w:rsidR="00A67618" w:rsidRPr="00A942F6" w:rsidRDefault="00A67618" w:rsidP="00641834">
            <w:pPr>
              <w:pStyle w:val="TableParagraph"/>
              <w:ind w:left="284"/>
              <w:rPr>
                <w:sz w:val="20"/>
                <w:szCs w:val="20"/>
                <w:lang w:val="nb-NO"/>
              </w:rPr>
            </w:pPr>
            <w:r w:rsidRPr="00A942F6">
              <w:rPr>
                <w:sz w:val="20"/>
                <w:szCs w:val="20"/>
                <w:lang w:val="nb-NO"/>
              </w:rPr>
              <w:t>Uke 24 (%)</w:t>
            </w:r>
          </w:p>
        </w:tc>
        <w:tc>
          <w:tcPr>
            <w:tcW w:w="1895" w:type="dxa"/>
            <w:gridSpan w:val="2"/>
            <w:tcBorders>
              <w:left w:val="nil"/>
            </w:tcBorders>
          </w:tcPr>
          <w:p w14:paraId="447A619B" w14:textId="77777777" w:rsidR="00A67618" w:rsidRPr="00A942F6" w:rsidRDefault="00A67618" w:rsidP="00641834">
            <w:pPr>
              <w:pStyle w:val="TableParagraph"/>
              <w:rPr>
                <w:sz w:val="20"/>
                <w:szCs w:val="20"/>
                <w:lang w:val="nb-NO"/>
              </w:rPr>
            </w:pPr>
            <w:r w:rsidRPr="00A942F6">
              <w:rPr>
                <w:sz w:val="20"/>
                <w:szCs w:val="20"/>
                <w:lang w:val="nb-NO"/>
              </w:rPr>
              <w:t>ACR20, n</w:t>
            </w:r>
          </w:p>
        </w:tc>
        <w:tc>
          <w:tcPr>
            <w:tcW w:w="1512" w:type="dxa"/>
          </w:tcPr>
          <w:p w14:paraId="25FF5C50" w14:textId="77777777" w:rsidR="00A67618" w:rsidRPr="00A942F6" w:rsidRDefault="00A67618" w:rsidP="00641834">
            <w:pPr>
              <w:pStyle w:val="TableParagraph"/>
              <w:jc w:val="center"/>
              <w:rPr>
                <w:sz w:val="20"/>
                <w:szCs w:val="20"/>
                <w:lang w:val="nb-NO"/>
              </w:rPr>
            </w:pPr>
            <w:r w:rsidRPr="00A942F6">
              <w:rPr>
                <w:sz w:val="20"/>
                <w:szCs w:val="20"/>
                <w:lang w:val="nb-NO"/>
              </w:rPr>
              <w:t>216 (74,5)*</w:t>
            </w:r>
          </w:p>
        </w:tc>
        <w:tc>
          <w:tcPr>
            <w:tcW w:w="1371" w:type="dxa"/>
          </w:tcPr>
          <w:p w14:paraId="50853D35" w14:textId="77777777" w:rsidR="00A67618" w:rsidRPr="00A942F6" w:rsidRDefault="00A67618" w:rsidP="00641834">
            <w:pPr>
              <w:pStyle w:val="TableParagraph"/>
              <w:jc w:val="center"/>
              <w:rPr>
                <w:sz w:val="20"/>
                <w:szCs w:val="20"/>
                <w:lang w:val="nb-NO"/>
              </w:rPr>
            </w:pPr>
            <w:r w:rsidRPr="00A942F6">
              <w:rPr>
                <w:sz w:val="20"/>
                <w:szCs w:val="20"/>
                <w:lang w:val="nb-NO"/>
              </w:rPr>
              <w:t>205 (70,2)</w:t>
            </w:r>
          </w:p>
        </w:tc>
        <w:tc>
          <w:tcPr>
            <w:tcW w:w="1386" w:type="dxa"/>
          </w:tcPr>
          <w:p w14:paraId="2289F36C" w14:textId="77777777" w:rsidR="00A67618" w:rsidRPr="00A942F6" w:rsidRDefault="00A67618" w:rsidP="00641834">
            <w:pPr>
              <w:pStyle w:val="TableParagraph"/>
              <w:jc w:val="center"/>
              <w:rPr>
                <w:sz w:val="20"/>
                <w:szCs w:val="20"/>
                <w:lang w:val="nb-NO"/>
              </w:rPr>
            </w:pPr>
            <w:r w:rsidRPr="00A942F6">
              <w:rPr>
                <w:sz w:val="20"/>
                <w:szCs w:val="20"/>
                <w:lang w:val="nb-NO"/>
              </w:rPr>
              <w:t>212 (73,6)</w:t>
            </w:r>
          </w:p>
        </w:tc>
        <w:tc>
          <w:tcPr>
            <w:tcW w:w="1059" w:type="dxa"/>
          </w:tcPr>
          <w:p w14:paraId="214C2F8F" w14:textId="77777777" w:rsidR="00A67618" w:rsidRPr="00A942F6" w:rsidRDefault="00A67618" w:rsidP="00641834">
            <w:pPr>
              <w:pStyle w:val="TableParagraph"/>
              <w:jc w:val="center"/>
              <w:rPr>
                <w:sz w:val="20"/>
                <w:szCs w:val="20"/>
                <w:lang w:val="nb-NO"/>
              </w:rPr>
            </w:pPr>
            <w:r w:rsidRPr="00A942F6">
              <w:rPr>
                <w:sz w:val="20"/>
                <w:szCs w:val="20"/>
                <w:lang w:val="nb-NO"/>
              </w:rPr>
              <w:t>187 (65,2)</w:t>
            </w:r>
          </w:p>
        </w:tc>
      </w:tr>
      <w:tr w:rsidR="00C038A7" w:rsidRPr="00A942F6" w14:paraId="1239B1C5" w14:textId="77777777" w:rsidTr="00AD3A93">
        <w:trPr>
          <w:cantSplit/>
        </w:trPr>
        <w:tc>
          <w:tcPr>
            <w:tcW w:w="1838" w:type="dxa"/>
            <w:tcBorders>
              <w:right w:val="nil"/>
            </w:tcBorders>
          </w:tcPr>
          <w:p w14:paraId="7BAAEE3E" w14:textId="77777777" w:rsidR="00C038A7" w:rsidRPr="00A942F6" w:rsidRDefault="00C038A7" w:rsidP="00641834">
            <w:pPr>
              <w:pStyle w:val="TableParagraph"/>
              <w:jc w:val="right"/>
              <w:rPr>
                <w:sz w:val="20"/>
                <w:szCs w:val="20"/>
                <w:lang w:val="nb-NO"/>
              </w:rPr>
            </w:pPr>
          </w:p>
        </w:tc>
        <w:tc>
          <w:tcPr>
            <w:tcW w:w="1895" w:type="dxa"/>
            <w:gridSpan w:val="2"/>
            <w:tcBorders>
              <w:left w:val="nil"/>
            </w:tcBorders>
          </w:tcPr>
          <w:p w14:paraId="6782ABF9" w14:textId="77777777" w:rsidR="00C038A7" w:rsidRPr="00A942F6" w:rsidRDefault="00C038A7" w:rsidP="00641834">
            <w:pPr>
              <w:pStyle w:val="TableParagraph"/>
              <w:rPr>
                <w:sz w:val="20"/>
                <w:szCs w:val="20"/>
                <w:lang w:val="nb-NO"/>
              </w:rPr>
            </w:pPr>
            <w:r w:rsidRPr="00A942F6">
              <w:rPr>
                <w:sz w:val="20"/>
                <w:szCs w:val="20"/>
                <w:lang w:val="nb-NO"/>
              </w:rPr>
              <w:t>ACR50, n (%)</w:t>
            </w:r>
          </w:p>
        </w:tc>
        <w:tc>
          <w:tcPr>
            <w:tcW w:w="1512" w:type="dxa"/>
          </w:tcPr>
          <w:p w14:paraId="1B0C4C25" w14:textId="77777777" w:rsidR="00C038A7" w:rsidRPr="00A942F6" w:rsidRDefault="00C038A7" w:rsidP="00641834">
            <w:pPr>
              <w:pStyle w:val="TableParagraph"/>
              <w:jc w:val="center"/>
              <w:rPr>
                <w:sz w:val="20"/>
                <w:szCs w:val="20"/>
                <w:lang w:val="nb-NO"/>
              </w:rPr>
            </w:pPr>
            <w:r w:rsidRPr="00A942F6">
              <w:rPr>
                <w:sz w:val="20"/>
                <w:szCs w:val="20"/>
                <w:lang w:val="nb-NO"/>
              </w:rPr>
              <w:t>165 (56,9)**</w:t>
            </w:r>
          </w:p>
        </w:tc>
        <w:tc>
          <w:tcPr>
            <w:tcW w:w="1371" w:type="dxa"/>
          </w:tcPr>
          <w:p w14:paraId="41D1F55E" w14:textId="77777777" w:rsidR="00C038A7" w:rsidRPr="00A942F6" w:rsidRDefault="00C038A7" w:rsidP="00641834">
            <w:pPr>
              <w:pStyle w:val="TableParagraph"/>
              <w:jc w:val="center"/>
              <w:rPr>
                <w:sz w:val="20"/>
                <w:szCs w:val="20"/>
                <w:lang w:val="nb-NO"/>
              </w:rPr>
            </w:pPr>
            <w:r w:rsidRPr="00A942F6">
              <w:rPr>
                <w:sz w:val="20"/>
                <w:szCs w:val="20"/>
                <w:lang w:val="nb-NO"/>
              </w:rPr>
              <w:t>139 (47,6)</w:t>
            </w:r>
          </w:p>
        </w:tc>
        <w:tc>
          <w:tcPr>
            <w:tcW w:w="1386" w:type="dxa"/>
          </w:tcPr>
          <w:p w14:paraId="2EBEED64" w14:textId="77777777" w:rsidR="00C038A7" w:rsidRPr="00A942F6" w:rsidRDefault="00C038A7" w:rsidP="00641834">
            <w:pPr>
              <w:pStyle w:val="TableParagraph"/>
              <w:jc w:val="center"/>
              <w:rPr>
                <w:sz w:val="20"/>
                <w:szCs w:val="20"/>
                <w:lang w:val="nb-NO"/>
              </w:rPr>
            </w:pPr>
            <w:r w:rsidRPr="00A942F6">
              <w:rPr>
                <w:sz w:val="20"/>
                <w:szCs w:val="20"/>
                <w:lang w:val="nb-NO"/>
              </w:rPr>
              <w:t>138 (47,9)</w:t>
            </w:r>
          </w:p>
        </w:tc>
        <w:tc>
          <w:tcPr>
            <w:tcW w:w="1059" w:type="dxa"/>
          </w:tcPr>
          <w:p w14:paraId="6DA5F1CA" w14:textId="77777777" w:rsidR="00C038A7" w:rsidRPr="00A942F6" w:rsidRDefault="00C038A7" w:rsidP="00641834">
            <w:pPr>
              <w:pStyle w:val="TableParagraph"/>
              <w:jc w:val="center"/>
              <w:rPr>
                <w:sz w:val="20"/>
                <w:szCs w:val="20"/>
                <w:lang w:val="nb-NO"/>
              </w:rPr>
            </w:pPr>
            <w:r w:rsidRPr="00A942F6">
              <w:rPr>
                <w:sz w:val="20"/>
                <w:szCs w:val="20"/>
                <w:lang w:val="nb-NO"/>
              </w:rPr>
              <w:t>124 (43,2)</w:t>
            </w:r>
          </w:p>
        </w:tc>
      </w:tr>
      <w:tr w:rsidR="00C038A7" w:rsidRPr="00A942F6" w14:paraId="0FEDA18D" w14:textId="77777777" w:rsidTr="00AD3A93">
        <w:trPr>
          <w:cantSplit/>
        </w:trPr>
        <w:tc>
          <w:tcPr>
            <w:tcW w:w="1838" w:type="dxa"/>
            <w:tcBorders>
              <w:right w:val="nil"/>
            </w:tcBorders>
          </w:tcPr>
          <w:p w14:paraId="4A658EE2" w14:textId="77777777" w:rsidR="00C038A7" w:rsidRPr="00A942F6" w:rsidRDefault="00C038A7" w:rsidP="00641834">
            <w:pPr>
              <w:pStyle w:val="TableParagraph"/>
              <w:jc w:val="right"/>
              <w:rPr>
                <w:sz w:val="20"/>
                <w:szCs w:val="20"/>
                <w:lang w:val="nb-NO"/>
              </w:rPr>
            </w:pPr>
          </w:p>
        </w:tc>
        <w:tc>
          <w:tcPr>
            <w:tcW w:w="1895" w:type="dxa"/>
            <w:gridSpan w:val="2"/>
            <w:tcBorders>
              <w:left w:val="nil"/>
            </w:tcBorders>
          </w:tcPr>
          <w:p w14:paraId="35275669" w14:textId="77777777" w:rsidR="00C038A7" w:rsidRPr="00A942F6" w:rsidRDefault="00C038A7" w:rsidP="00641834">
            <w:pPr>
              <w:pStyle w:val="TableParagraph"/>
              <w:rPr>
                <w:sz w:val="20"/>
                <w:szCs w:val="20"/>
                <w:lang w:val="nb-NO"/>
              </w:rPr>
            </w:pPr>
            <w:r w:rsidRPr="00A942F6">
              <w:rPr>
                <w:sz w:val="20"/>
                <w:szCs w:val="20"/>
                <w:lang w:val="nb-NO"/>
              </w:rPr>
              <w:t>ACR70, n (%)</w:t>
            </w:r>
          </w:p>
        </w:tc>
        <w:tc>
          <w:tcPr>
            <w:tcW w:w="1512" w:type="dxa"/>
          </w:tcPr>
          <w:p w14:paraId="412AB99C" w14:textId="77777777" w:rsidR="00C038A7" w:rsidRPr="00A942F6" w:rsidRDefault="00C038A7" w:rsidP="00641834">
            <w:pPr>
              <w:pStyle w:val="TableParagraph"/>
              <w:jc w:val="center"/>
              <w:rPr>
                <w:sz w:val="20"/>
                <w:szCs w:val="20"/>
                <w:lang w:val="nb-NO"/>
              </w:rPr>
            </w:pPr>
            <w:r w:rsidRPr="00A942F6">
              <w:rPr>
                <w:sz w:val="20"/>
                <w:szCs w:val="20"/>
                <w:lang w:val="nb-NO"/>
              </w:rPr>
              <w:t>112 (38,6)**</w:t>
            </w:r>
          </w:p>
        </w:tc>
        <w:tc>
          <w:tcPr>
            <w:tcW w:w="1371" w:type="dxa"/>
          </w:tcPr>
          <w:p w14:paraId="1F1F69BE" w14:textId="77777777" w:rsidR="00C038A7" w:rsidRPr="00A942F6" w:rsidRDefault="00C038A7" w:rsidP="00641834">
            <w:pPr>
              <w:pStyle w:val="TableParagraph"/>
              <w:jc w:val="center"/>
              <w:rPr>
                <w:sz w:val="20"/>
                <w:szCs w:val="20"/>
                <w:lang w:val="nb-NO"/>
              </w:rPr>
            </w:pPr>
            <w:r w:rsidRPr="00A942F6">
              <w:rPr>
                <w:sz w:val="20"/>
                <w:szCs w:val="20"/>
                <w:lang w:val="nb-NO"/>
              </w:rPr>
              <w:t>88 (30,1)</w:t>
            </w:r>
          </w:p>
        </w:tc>
        <w:tc>
          <w:tcPr>
            <w:tcW w:w="1386" w:type="dxa"/>
          </w:tcPr>
          <w:p w14:paraId="13287039" w14:textId="77777777" w:rsidR="00C038A7" w:rsidRPr="00A942F6" w:rsidRDefault="00C038A7" w:rsidP="00641834">
            <w:pPr>
              <w:pStyle w:val="TableParagraph"/>
              <w:jc w:val="center"/>
              <w:rPr>
                <w:sz w:val="20"/>
                <w:szCs w:val="20"/>
                <w:lang w:val="nb-NO"/>
              </w:rPr>
            </w:pPr>
            <w:r w:rsidRPr="00A942F6">
              <w:rPr>
                <w:sz w:val="20"/>
                <w:szCs w:val="20"/>
                <w:lang w:val="nb-NO"/>
              </w:rPr>
              <w:t>100 (34,7)</w:t>
            </w:r>
          </w:p>
        </w:tc>
        <w:tc>
          <w:tcPr>
            <w:tcW w:w="1059" w:type="dxa"/>
          </w:tcPr>
          <w:p w14:paraId="1165F827" w14:textId="77777777" w:rsidR="00C038A7" w:rsidRPr="00A942F6" w:rsidRDefault="00C038A7" w:rsidP="00641834">
            <w:pPr>
              <w:pStyle w:val="TableParagraph"/>
              <w:jc w:val="center"/>
              <w:rPr>
                <w:sz w:val="20"/>
                <w:szCs w:val="20"/>
                <w:lang w:val="nb-NO"/>
              </w:rPr>
            </w:pPr>
            <w:r w:rsidRPr="00A942F6">
              <w:rPr>
                <w:sz w:val="20"/>
                <w:szCs w:val="20"/>
                <w:lang w:val="nb-NO"/>
              </w:rPr>
              <w:t>73 (25,4)</w:t>
            </w:r>
          </w:p>
        </w:tc>
      </w:tr>
      <w:tr w:rsidR="00A67618" w:rsidRPr="00A942F6" w14:paraId="07B79B19" w14:textId="77777777" w:rsidTr="00AD3A93">
        <w:trPr>
          <w:cantSplit/>
        </w:trPr>
        <w:tc>
          <w:tcPr>
            <w:tcW w:w="1838" w:type="dxa"/>
            <w:tcBorders>
              <w:right w:val="nil"/>
            </w:tcBorders>
          </w:tcPr>
          <w:p w14:paraId="2A5B463C" w14:textId="77777777" w:rsidR="00A67618" w:rsidRPr="00A942F6" w:rsidRDefault="00A67618" w:rsidP="00641834">
            <w:pPr>
              <w:pStyle w:val="TableParagraph"/>
              <w:ind w:left="284"/>
              <w:rPr>
                <w:sz w:val="20"/>
                <w:szCs w:val="20"/>
                <w:lang w:val="nb-NO"/>
              </w:rPr>
            </w:pPr>
            <w:r w:rsidRPr="00A942F6">
              <w:rPr>
                <w:sz w:val="20"/>
                <w:szCs w:val="20"/>
                <w:lang w:val="nb-NO"/>
              </w:rPr>
              <w:t>Uke 52 (%)</w:t>
            </w:r>
          </w:p>
        </w:tc>
        <w:tc>
          <w:tcPr>
            <w:tcW w:w="1895" w:type="dxa"/>
            <w:gridSpan w:val="2"/>
            <w:tcBorders>
              <w:left w:val="nil"/>
            </w:tcBorders>
          </w:tcPr>
          <w:p w14:paraId="0AA2457D" w14:textId="77777777" w:rsidR="00A67618" w:rsidRPr="00A942F6" w:rsidRDefault="00A67618" w:rsidP="00641834">
            <w:pPr>
              <w:pStyle w:val="TableParagraph"/>
              <w:rPr>
                <w:sz w:val="20"/>
                <w:szCs w:val="20"/>
                <w:lang w:val="nb-NO"/>
              </w:rPr>
            </w:pPr>
            <w:r w:rsidRPr="00A942F6">
              <w:rPr>
                <w:sz w:val="20"/>
                <w:szCs w:val="20"/>
                <w:lang w:val="nb-NO"/>
              </w:rPr>
              <w:t>ACR20, n</w:t>
            </w:r>
          </w:p>
        </w:tc>
        <w:tc>
          <w:tcPr>
            <w:tcW w:w="1512" w:type="dxa"/>
          </w:tcPr>
          <w:p w14:paraId="0E509026" w14:textId="77777777" w:rsidR="00A67618" w:rsidRPr="00A942F6" w:rsidRDefault="00A67618" w:rsidP="00641834">
            <w:pPr>
              <w:pStyle w:val="TableParagraph"/>
              <w:jc w:val="center"/>
              <w:rPr>
                <w:sz w:val="20"/>
                <w:szCs w:val="20"/>
                <w:lang w:val="nb-NO"/>
              </w:rPr>
            </w:pPr>
            <w:r w:rsidRPr="00A942F6">
              <w:rPr>
                <w:sz w:val="20"/>
                <w:szCs w:val="20"/>
                <w:lang w:val="nb-NO"/>
              </w:rPr>
              <w:t>195 (67,2)*</w:t>
            </w:r>
          </w:p>
        </w:tc>
        <w:tc>
          <w:tcPr>
            <w:tcW w:w="1371" w:type="dxa"/>
          </w:tcPr>
          <w:p w14:paraId="43B6BD13" w14:textId="77777777" w:rsidR="00A67618" w:rsidRPr="00A942F6" w:rsidRDefault="00A67618" w:rsidP="00641834">
            <w:pPr>
              <w:pStyle w:val="TableParagraph"/>
              <w:jc w:val="center"/>
              <w:rPr>
                <w:sz w:val="20"/>
                <w:szCs w:val="20"/>
                <w:lang w:val="nb-NO"/>
              </w:rPr>
            </w:pPr>
            <w:r w:rsidRPr="00A942F6">
              <w:rPr>
                <w:sz w:val="20"/>
                <w:szCs w:val="20"/>
                <w:lang w:val="nb-NO"/>
              </w:rPr>
              <w:t>184 (63,0)</w:t>
            </w:r>
          </w:p>
        </w:tc>
        <w:tc>
          <w:tcPr>
            <w:tcW w:w="1386" w:type="dxa"/>
          </w:tcPr>
          <w:p w14:paraId="54804F61" w14:textId="77777777" w:rsidR="00A67618" w:rsidRPr="00A942F6" w:rsidRDefault="00A67618" w:rsidP="00641834">
            <w:pPr>
              <w:pStyle w:val="TableParagraph"/>
              <w:jc w:val="center"/>
              <w:rPr>
                <w:sz w:val="20"/>
                <w:szCs w:val="20"/>
                <w:lang w:val="nb-NO"/>
              </w:rPr>
            </w:pPr>
            <w:r w:rsidRPr="00A942F6">
              <w:rPr>
                <w:sz w:val="20"/>
                <w:szCs w:val="20"/>
                <w:lang w:val="nb-NO"/>
              </w:rPr>
              <w:t>181 (62,8)</w:t>
            </w:r>
          </w:p>
        </w:tc>
        <w:tc>
          <w:tcPr>
            <w:tcW w:w="1059" w:type="dxa"/>
          </w:tcPr>
          <w:p w14:paraId="59720F08" w14:textId="77777777" w:rsidR="00A67618" w:rsidRPr="00A942F6" w:rsidRDefault="00A67618" w:rsidP="00641834">
            <w:pPr>
              <w:pStyle w:val="TableParagraph"/>
              <w:jc w:val="center"/>
              <w:rPr>
                <w:sz w:val="20"/>
                <w:szCs w:val="20"/>
                <w:lang w:val="nb-NO"/>
              </w:rPr>
            </w:pPr>
            <w:r w:rsidRPr="00A942F6">
              <w:rPr>
                <w:sz w:val="20"/>
                <w:szCs w:val="20"/>
                <w:lang w:val="nb-NO"/>
              </w:rPr>
              <w:t>164 (57,1)</w:t>
            </w:r>
          </w:p>
        </w:tc>
      </w:tr>
      <w:tr w:rsidR="00C038A7" w:rsidRPr="00A942F6" w14:paraId="184605E1" w14:textId="77777777" w:rsidTr="00AD3A93">
        <w:trPr>
          <w:cantSplit/>
        </w:trPr>
        <w:tc>
          <w:tcPr>
            <w:tcW w:w="1838" w:type="dxa"/>
            <w:tcBorders>
              <w:right w:val="nil"/>
            </w:tcBorders>
          </w:tcPr>
          <w:p w14:paraId="29C5C4DB" w14:textId="77777777" w:rsidR="00C038A7" w:rsidRPr="00A942F6" w:rsidRDefault="00C038A7" w:rsidP="00641834">
            <w:pPr>
              <w:pStyle w:val="TableParagraph"/>
              <w:jc w:val="right"/>
              <w:rPr>
                <w:sz w:val="20"/>
                <w:szCs w:val="20"/>
                <w:lang w:val="nb-NO"/>
              </w:rPr>
            </w:pPr>
          </w:p>
        </w:tc>
        <w:tc>
          <w:tcPr>
            <w:tcW w:w="1895" w:type="dxa"/>
            <w:gridSpan w:val="2"/>
            <w:tcBorders>
              <w:left w:val="nil"/>
            </w:tcBorders>
          </w:tcPr>
          <w:p w14:paraId="231DD6EF" w14:textId="77777777" w:rsidR="00C038A7" w:rsidRPr="00A942F6" w:rsidRDefault="00C038A7" w:rsidP="00641834">
            <w:pPr>
              <w:pStyle w:val="TableParagraph"/>
              <w:rPr>
                <w:sz w:val="20"/>
                <w:szCs w:val="20"/>
                <w:lang w:val="nb-NO"/>
              </w:rPr>
            </w:pPr>
            <w:r w:rsidRPr="00A942F6">
              <w:rPr>
                <w:sz w:val="20"/>
                <w:szCs w:val="20"/>
                <w:lang w:val="nb-NO"/>
              </w:rPr>
              <w:t>ACR50, n (%)</w:t>
            </w:r>
          </w:p>
        </w:tc>
        <w:tc>
          <w:tcPr>
            <w:tcW w:w="1512" w:type="dxa"/>
          </w:tcPr>
          <w:p w14:paraId="4ACB4C57" w14:textId="77777777" w:rsidR="00C038A7" w:rsidRPr="00A942F6" w:rsidRDefault="00C038A7" w:rsidP="00641834">
            <w:pPr>
              <w:pStyle w:val="TableParagraph"/>
              <w:jc w:val="center"/>
              <w:rPr>
                <w:sz w:val="20"/>
                <w:szCs w:val="20"/>
                <w:lang w:val="nb-NO"/>
              </w:rPr>
            </w:pPr>
            <w:r w:rsidRPr="00A942F6">
              <w:rPr>
                <w:sz w:val="20"/>
                <w:szCs w:val="20"/>
                <w:lang w:val="nb-NO"/>
              </w:rPr>
              <w:t>162 (55,9)**</w:t>
            </w:r>
          </w:p>
        </w:tc>
        <w:tc>
          <w:tcPr>
            <w:tcW w:w="1371" w:type="dxa"/>
          </w:tcPr>
          <w:p w14:paraId="743C8450" w14:textId="77777777" w:rsidR="00C038A7" w:rsidRPr="00A942F6" w:rsidRDefault="00C038A7" w:rsidP="00641834">
            <w:pPr>
              <w:pStyle w:val="TableParagraph"/>
              <w:jc w:val="center"/>
              <w:rPr>
                <w:sz w:val="20"/>
                <w:szCs w:val="20"/>
                <w:lang w:val="nb-NO"/>
              </w:rPr>
            </w:pPr>
            <w:r w:rsidRPr="00A942F6">
              <w:rPr>
                <w:sz w:val="20"/>
                <w:szCs w:val="20"/>
                <w:lang w:val="nb-NO"/>
              </w:rPr>
              <w:t>144 (49,3)</w:t>
            </w:r>
          </w:p>
        </w:tc>
        <w:tc>
          <w:tcPr>
            <w:tcW w:w="1386" w:type="dxa"/>
          </w:tcPr>
          <w:p w14:paraId="50ACE1AE" w14:textId="77777777" w:rsidR="00C038A7" w:rsidRPr="00A942F6" w:rsidRDefault="00C038A7" w:rsidP="00641834">
            <w:pPr>
              <w:pStyle w:val="TableParagraph"/>
              <w:jc w:val="center"/>
              <w:rPr>
                <w:sz w:val="20"/>
                <w:szCs w:val="20"/>
                <w:lang w:val="nb-NO"/>
              </w:rPr>
            </w:pPr>
            <w:r w:rsidRPr="00A942F6">
              <w:rPr>
                <w:sz w:val="20"/>
                <w:szCs w:val="20"/>
                <w:lang w:val="nb-NO"/>
              </w:rPr>
              <w:t>151 (52,4)</w:t>
            </w:r>
          </w:p>
        </w:tc>
        <w:tc>
          <w:tcPr>
            <w:tcW w:w="1059" w:type="dxa"/>
          </w:tcPr>
          <w:p w14:paraId="135AAA5A" w14:textId="77777777" w:rsidR="00C038A7" w:rsidRPr="00A942F6" w:rsidRDefault="00C038A7" w:rsidP="00641834">
            <w:pPr>
              <w:pStyle w:val="TableParagraph"/>
              <w:jc w:val="center"/>
              <w:rPr>
                <w:sz w:val="20"/>
                <w:szCs w:val="20"/>
                <w:lang w:val="nb-NO"/>
              </w:rPr>
            </w:pPr>
            <w:r w:rsidRPr="00A942F6">
              <w:rPr>
                <w:sz w:val="20"/>
                <w:szCs w:val="20"/>
                <w:lang w:val="nb-NO"/>
              </w:rPr>
              <w:t>117 (40,8)</w:t>
            </w:r>
          </w:p>
        </w:tc>
      </w:tr>
      <w:tr w:rsidR="00C038A7" w:rsidRPr="00A942F6" w14:paraId="2FF5BE17" w14:textId="77777777" w:rsidTr="00AD3A93">
        <w:trPr>
          <w:cantSplit/>
        </w:trPr>
        <w:tc>
          <w:tcPr>
            <w:tcW w:w="1838" w:type="dxa"/>
            <w:tcBorders>
              <w:right w:val="nil"/>
            </w:tcBorders>
          </w:tcPr>
          <w:p w14:paraId="515C51A5" w14:textId="77777777" w:rsidR="00C038A7" w:rsidRPr="00A942F6" w:rsidRDefault="00C038A7" w:rsidP="00641834">
            <w:pPr>
              <w:pStyle w:val="TableParagraph"/>
              <w:jc w:val="right"/>
              <w:rPr>
                <w:sz w:val="20"/>
                <w:szCs w:val="20"/>
                <w:lang w:val="nb-NO"/>
              </w:rPr>
            </w:pPr>
          </w:p>
        </w:tc>
        <w:tc>
          <w:tcPr>
            <w:tcW w:w="1895" w:type="dxa"/>
            <w:gridSpan w:val="2"/>
            <w:tcBorders>
              <w:left w:val="nil"/>
            </w:tcBorders>
          </w:tcPr>
          <w:p w14:paraId="5DB4F6AA" w14:textId="77777777" w:rsidR="00C038A7" w:rsidRPr="00A942F6" w:rsidRDefault="00C038A7" w:rsidP="00641834">
            <w:pPr>
              <w:pStyle w:val="TableParagraph"/>
              <w:rPr>
                <w:sz w:val="20"/>
                <w:szCs w:val="20"/>
                <w:lang w:val="nb-NO"/>
              </w:rPr>
            </w:pPr>
            <w:r w:rsidRPr="00A942F6">
              <w:rPr>
                <w:sz w:val="20"/>
                <w:szCs w:val="20"/>
                <w:lang w:val="nb-NO"/>
              </w:rPr>
              <w:t>ACR70, n (%)</w:t>
            </w:r>
          </w:p>
        </w:tc>
        <w:tc>
          <w:tcPr>
            <w:tcW w:w="1512" w:type="dxa"/>
          </w:tcPr>
          <w:p w14:paraId="0267BBCB" w14:textId="77777777" w:rsidR="00C038A7" w:rsidRPr="00A942F6" w:rsidRDefault="00C038A7" w:rsidP="00641834">
            <w:pPr>
              <w:pStyle w:val="TableParagraph"/>
              <w:jc w:val="center"/>
              <w:rPr>
                <w:sz w:val="20"/>
                <w:szCs w:val="20"/>
                <w:lang w:val="nb-NO"/>
              </w:rPr>
            </w:pPr>
            <w:r w:rsidRPr="00A942F6">
              <w:rPr>
                <w:sz w:val="20"/>
                <w:szCs w:val="20"/>
                <w:lang w:val="nb-NO"/>
              </w:rPr>
              <w:t>125 (43,1)**</w:t>
            </w:r>
          </w:p>
        </w:tc>
        <w:tc>
          <w:tcPr>
            <w:tcW w:w="1371" w:type="dxa"/>
          </w:tcPr>
          <w:p w14:paraId="609BFAAA" w14:textId="77777777" w:rsidR="00C038A7" w:rsidRPr="00A942F6" w:rsidRDefault="00C038A7" w:rsidP="00641834">
            <w:pPr>
              <w:pStyle w:val="TableParagraph"/>
              <w:jc w:val="center"/>
              <w:rPr>
                <w:sz w:val="20"/>
                <w:szCs w:val="20"/>
                <w:lang w:val="nb-NO"/>
              </w:rPr>
            </w:pPr>
            <w:r w:rsidRPr="00A942F6">
              <w:rPr>
                <w:sz w:val="20"/>
                <w:szCs w:val="20"/>
                <w:lang w:val="nb-NO"/>
              </w:rPr>
              <w:t>105 (36,0)</w:t>
            </w:r>
          </w:p>
        </w:tc>
        <w:tc>
          <w:tcPr>
            <w:tcW w:w="1386" w:type="dxa"/>
          </w:tcPr>
          <w:p w14:paraId="5AEC3422" w14:textId="77777777" w:rsidR="00C038A7" w:rsidRPr="00A942F6" w:rsidRDefault="00C038A7" w:rsidP="00641834">
            <w:pPr>
              <w:pStyle w:val="TableParagraph"/>
              <w:jc w:val="center"/>
              <w:rPr>
                <w:sz w:val="20"/>
                <w:szCs w:val="20"/>
                <w:lang w:val="nb-NO"/>
              </w:rPr>
            </w:pPr>
            <w:r w:rsidRPr="00A942F6">
              <w:rPr>
                <w:sz w:val="20"/>
                <w:szCs w:val="20"/>
                <w:lang w:val="nb-NO"/>
              </w:rPr>
              <w:t>107 (37,2)</w:t>
            </w:r>
          </w:p>
        </w:tc>
        <w:tc>
          <w:tcPr>
            <w:tcW w:w="1059" w:type="dxa"/>
          </w:tcPr>
          <w:p w14:paraId="3298EE2B" w14:textId="77777777" w:rsidR="00C038A7" w:rsidRPr="00A942F6" w:rsidRDefault="00C038A7" w:rsidP="00641834">
            <w:pPr>
              <w:pStyle w:val="TableParagraph"/>
              <w:jc w:val="center"/>
              <w:rPr>
                <w:sz w:val="20"/>
                <w:szCs w:val="20"/>
                <w:lang w:val="nb-NO"/>
              </w:rPr>
            </w:pPr>
            <w:r w:rsidRPr="00A942F6">
              <w:rPr>
                <w:sz w:val="20"/>
                <w:szCs w:val="20"/>
                <w:lang w:val="nb-NO"/>
              </w:rPr>
              <w:t>83 (28,9)</w:t>
            </w:r>
          </w:p>
        </w:tc>
      </w:tr>
      <w:tr w:rsidR="00A67618" w:rsidRPr="00B477E5" w14:paraId="0EE38427" w14:textId="77777777" w:rsidTr="00AD3A93">
        <w:trPr>
          <w:cantSplit/>
        </w:trPr>
        <w:tc>
          <w:tcPr>
            <w:tcW w:w="3733" w:type="dxa"/>
            <w:gridSpan w:val="3"/>
          </w:tcPr>
          <w:p w14:paraId="018A435D" w14:textId="77777777" w:rsidR="00A67618" w:rsidRPr="00A942F6" w:rsidRDefault="00A67618" w:rsidP="00641834">
            <w:pPr>
              <w:pStyle w:val="TableParagraph"/>
              <w:rPr>
                <w:sz w:val="20"/>
                <w:szCs w:val="20"/>
                <w:lang w:val="nb-NO"/>
              </w:rPr>
            </w:pPr>
            <w:r w:rsidRPr="00A942F6">
              <w:rPr>
                <w:sz w:val="20"/>
                <w:szCs w:val="20"/>
                <w:lang w:val="nb-NO"/>
              </w:rPr>
              <w:t>HAQ-DI (justert gjennomsnitt fra «baseline»)</w:t>
            </w:r>
          </w:p>
        </w:tc>
        <w:tc>
          <w:tcPr>
            <w:tcW w:w="1512" w:type="dxa"/>
          </w:tcPr>
          <w:p w14:paraId="3046F372" w14:textId="77777777" w:rsidR="00A67618" w:rsidRPr="00A942F6" w:rsidRDefault="00A67618" w:rsidP="00641834">
            <w:pPr>
              <w:keepNext/>
              <w:suppressAutoHyphens/>
              <w:jc w:val="center"/>
              <w:rPr>
                <w:sz w:val="20"/>
                <w:szCs w:val="20"/>
                <w:lang w:val="nb-NO"/>
              </w:rPr>
            </w:pPr>
          </w:p>
        </w:tc>
        <w:tc>
          <w:tcPr>
            <w:tcW w:w="1371" w:type="dxa"/>
          </w:tcPr>
          <w:p w14:paraId="2CF619C8" w14:textId="77777777" w:rsidR="00A67618" w:rsidRPr="00A942F6" w:rsidRDefault="00A67618" w:rsidP="00641834">
            <w:pPr>
              <w:keepNext/>
              <w:suppressAutoHyphens/>
              <w:jc w:val="center"/>
              <w:rPr>
                <w:sz w:val="20"/>
                <w:szCs w:val="20"/>
                <w:lang w:val="nb-NO"/>
              </w:rPr>
            </w:pPr>
          </w:p>
        </w:tc>
        <w:tc>
          <w:tcPr>
            <w:tcW w:w="1386" w:type="dxa"/>
          </w:tcPr>
          <w:p w14:paraId="7847E9ED" w14:textId="77777777" w:rsidR="00A67618" w:rsidRPr="00A942F6" w:rsidRDefault="00A67618" w:rsidP="00641834">
            <w:pPr>
              <w:keepNext/>
              <w:suppressAutoHyphens/>
              <w:jc w:val="center"/>
              <w:rPr>
                <w:sz w:val="20"/>
                <w:szCs w:val="20"/>
                <w:lang w:val="nb-NO"/>
              </w:rPr>
            </w:pPr>
          </w:p>
        </w:tc>
        <w:tc>
          <w:tcPr>
            <w:tcW w:w="1059" w:type="dxa"/>
          </w:tcPr>
          <w:p w14:paraId="79E6309A" w14:textId="77777777" w:rsidR="00A67618" w:rsidRPr="00A942F6" w:rsidRDefault="00A67618" w:rsidP="00641834">
            <w:pPr>
              <w:keepNext/>
              <w:suppressAutoHyphens/>
              <w:jc w:val="center"/>
              <w:rPr>
                <w:sz w:val="20"/>
                <w:szCs w:val="20"/>
                <w:lang w:val="nb-NO"/>
              </w:rPr>
            </w:pPr>
          </w:p>
        </w:tc>
      </w:tr>
      <w:tr w:rsidR="00A67618" w:rsidRPr="00A942F6" w14:paraId="338E1E7A" w14:textId="77777777" w:rsidTr="00AD3A93">
        <w:trPr>
          <w:cantSplit/>
        </w:trPr>
        <w:tc>
          <w:tcPr>
            <w:tcW w:w="3733" w:type="dxa"/>
            <w:gridSpan w:val="3"/>
          </w:tcPr>
          <w:p w14:paraId="4951778D" w14:textId="77777777" w:rsidR="00A67618" w:rsidRPr="00A942F6" w:rsidRDefault="00A67618" w:rsidP="00641834">
            <w:pPr>
              <w:pStyle w:val="TableParagraph"/>
              <w:ind w:left="284"/>
              <w:rPr>
                <w:sz w:val="20"/>
                <w:szCs w:val="20"/>
                <w:lang w:val="nb-NO"/>
              </w:rPr>
            </w:pPr>
            <w:r w:rsidRPr="00A942F6">
              <w:rPr>
                <w:sz w:val="20"/>
                <w:szCs w:val="20"/>
                <w:lang w:val="nb-NO"/>
              </w:rPr>
              <w:t>Uke 52</w:t>
            </w:r>
          </w:p>
        </w:tc>
        <w:tc>
          <w:tcPr>
            <w:tcW w:w="1512" w:type="dxa"/>
          </w:tcPr>
          <w:p w14:paraId="55643C94" w14:textId="77777777" w:rsidR="00A67618" w:rsidRPr="00A942F6" w:rsidRDefault="00A67618" w:rsidP="00641834">
            <w:pPr>
              <w:pStyle w:val="TableParagraph"/>
              <w:jc w:val="center"/>
              <w:rPr>
                <w:sz w:val="20"/>
                <w:szCs w:val="20"/>
                <w:lang w:val="nb-NO"/>
              </w:rPr>
            </w:pPr>
            <w:r w:rsidRPr="00A942F6">
              <w:rPr>
                <w:sz w:val="20"/>
                <w:szCs w:val="20"/>
                <w:lang w:val="nb-NO"/>
              </w:rPr>
              <w:t>-0,81*</w:t>
            </w:r>
          </w:p>
        </w:tc>
        <w:tc>
          <w:tcPr>
            <w:tcW w:w="1371" w:type="dxa"/>
          </w:tcPr>
          <w:p w14:paraId="0174EA3D" w14:textId="77777777" w:rsidR="00A67618" w:rsidRPr="00A942F6" w:rsidRDefault="00A67618" w:rsidP="00641834">
            <w:pPr>
              <w:pStyle w:val="TableParagraph"/>
              <w:jc w:val="center"/>
              <w:rPr>
                <w:sz w:val="20"/>
                <w:szCs w:val="20"/>
                <w:lang w:val="nb-NO"/>
              </w:rPr>
            </w:pPr>
            <w:r w:rsidRPr="00A942F6">
              <w:rPr>
                <w:sz w:val="20"/>
                <w:szCs w:val="20"/>
                <w:lang w:val="nb-NO"/>
              </w:rPr>
              <w:t>-0,67</w:t>
            </w:r>
          </w:p>
        </w:tc>
        <w:tc>
          <w:tcPr>
            <w:tcW w:w="1386" w:type="dxa"/>
          </w:tcPr>
          <w:p w14:paraId="7D4ACBEC" w14:textId="77777777" w:rsidR="00A67618" w:rsidRPr="00A942F6" w:rsidRDefault="00A67618" w:rsidP="00641834">
            <w:pPr>
              <w:pStyle w:val="TableParagraph"/>
              <w:jc w:val="center"/>
              <w:rPr>
                <w:sz w:val="20"/>
                <w:szCs w:val="20"/>
                <w:lang w:val="nb-NO"/>
              </w:rPr>
            </w:pPr>
            <w:r w:rsidRPr="00A942F6">
              <w:rPr>
                <w:sz w:val="20"/>
                <w:szCs w:val="20"/>
                <w:lang w:val="nb-NO"/>
              </w:rPr>
              <w:t>-0,75</w:t>
            </w:r>
          </w:p>
        </w:tc>
        <w:tc>
          <w:tcPr>
            <w:tcW w:w="1059" w:type="dxa"/>
          </w:tcPr>
          <w:p w14:paraId="397E0B8E" w14:textId="77777777" w:rsidR="00A67618" w:rsidRPr="00A942F6" w:rsidRDefault="00A67618" w:rsidP="00641834">
            <w:pPr>
              <w:pStyle w:val="TableParagraph"/>
              <w:jc w:val="center"/>
              <w:rPr>
                <w:sz w:val="20"/>
                <w:szCs w:val="20"/>
                <w:lang w:val="nb-NO"/>
              </w:rPr>
            </w:pPr>
            <w:r w:rsidRPr="00A942F6">
              <w:rPr>
                <w:sz w:val="20"/>
                <w:szCs w:val="20"/>
                <w:lang w:val="nb-NO"/>
              </w:rPr>
              <w:t>-0,64</w:t>
            </w:r>
          </w:p>
        </w:tc>
      </w:tr>
      <w:tr w:rsidR="00A67618" w:rsidRPr="00B477E5" w14:paraId="5D88BA4C" w14:textId="77777777" w:rsidTr="00A67618">
        <w:trPr>
          <w:cantSplit/>
        </w:trPr>
        <w:tc>
          <w:tcPr>
            <w:tcW w:w="9061" w:type="dxa"/>
            <w:gridSpan w:val="7"/>
          </w:tcPr>
          <w:p w14:paraId="6E340AA1" w14:textId="77777777" w:rsidR="00A67618" w:rsidRPr="00A942F6" w:rsidRDefault="00A67618" w:rsidP="00641834">
            <w:pPr>
              <w:pStyle w:val="TableParagraph"/>
              <w:rPr>
                <w:b/>
                <w:sz w:val="20"/>
                <w:szCs w:val="20"/>
                <w:lang w:val="nb-NO"/>
              </w:rPr>
            </w:pPr>
            <w:r w:rsidRPr="00A942F6">
              <w:rPr>
                <w:b/>
                <w:sz w:val="20"/>
                <w:szCs w:val="20"/>
                <w:lang w:val="nb-NO"/>
              </w:rPr>
              <w:t>Radiografiske Endpunkter (gjennomsnitt fra «baseline»)</w:t>
            </w:r>
          </w:p>
        </w:tc>
      </w:tr>
      <w:tr w:rsidR="00C038A7" w:rsidRPr="00A942F6" w14:paraId="0FF5DDB3" w14:textId="77777777" w:rsidTr="00AD3A93">
        <w:trPr>
          <w:cantSplit/>
        </w:trPr>
        <w:tc>
          <w:tcPr>
            <w:tcW w:w="1889" w:type="dxa"/>
            <w:gridSpan w:val="2"/>
            <w:tcBorders>
              <w:right w:val="nil"/>
            </w:tcBorders>
          </w:tcPr>
          <w:p w14:paraId="615FE088" w14:textId="77777777" w:rsidR="00C038A7" w:rsidRPr="00A942F6" w:rsidRDefault="00C038A7" w:rsidP="00641834">
            <w:pPr>
              <w:pStyle w:val="TableParagraph"/>
              <w:ind w:left="284"/>
              <w:rPr>
                <w:sz w:val="20"/>
                <w:szCs w:val="20"/>
                <w:lang w:val="nb-NO"/>
              </w:rPr>
            </w:pPr>
            <w:r w:rsidRPr="00A942F6">
              <w:rPr>
                <w:sz w:val="20"/>
                <w:szCs w:val="20"/>
                <w:lang w:val="nb-NO"/>
              </w:rPr>
              <w:t>Uke 52</w:t>
            </w:r>
          </w:p>
        </w:tc>
        <w:tc>
          <w:tcPr>
            <w:tcW w:w="1844" w:type="dxa"/>
            <w:tcBorders>
              <w:left w:val="nil"/>
            </w:tcBorders>
          </w:tcPr>
          <w:p w14:paraId="3635A2F7" w14:textId="77777777" w:rsidR="00C038A7" w:rsidRPr="00A942F6" w:rsidRDefault="00C038A7" w:rsidP="00641834">
            <w:pPr>
              <w:pStyle w:val="TableParagraph"/>
              <w:ind w:left="284"/>
              <w:rPr>
                <w:sz w:val="20"/>
                <w:szCs w:val="20"/>
                <w:lang w:val="nb-NO"/>
              </w:rPr>
            </w:pPr>
            <w:r w:rsidRPr="00A942F6">
              <w:rPr>
                <w:sz w:val="20"/>
                <w:szCs w:val="20"/>
                <w:lang w:val="nb-NO"/>
              </w:rPr>
              <w:t>mTSS</w:t>
            </w:r>
          </w:p>
        </w:tc>
        <w:tc>
          <w:tcPr>
            <w:tcW w:w="1512" w:type="dxa"/>
          </w:tcPr>
          <w:p w14:paraId="42B9A43D" w14:textId="77777777" w:rsidR="00C038A7" w:rsidRPr="00A942F6" w:rsidRDefault="00C038A7" w:rsidP="00641834">
            <w:pPr>
              <w:pStyle w:val="TableParagraph"/>
              <w:jc w:val="center"/>
              <w:rPr>
                <w:sz w:val="20"/>
                <w:szCs w:val="20"/>
                <w:lang w:val="nb-NO"/>
              </w:rPr>
            </w:pPr>
            <w:r w:rsidRPr="00A942F6">
              <w:rPr>
                <w:sz w:val="20"/>
                <w:szCs w:val="20"/>
                <w:lang w:val="nb-NO"/>
              </w:rPr>
              <w:t>0,08***</w:t>
            </w:r>
          </w:p>
        </w:tc>
        <w:tc>
          <w:tcPr>
            <w:tcW w:w="1371" w:type="dxa"/>
          </w:tcPr>
          <w:p w14:paraId="66DE8F13" w14:textId="77777777" w:rsidR="00C038A7" w:rsidRPr="00A942F6" w:rsidRDefault="00C038A7" w:rsidP="00641834">
            <w:pPr>
              <w:pStyle w:val="TableParagraph"/>
              <w:jc w:val="center"/>
              <w:rPr>
                <w:sz w:val="20"/>
                <w:szCs w:val="20"/>
                <w:lang w:val="nb-NO"/>
              </w:rPr>
            </w:pPr>
            <w:r w:rsidRPr="00A942F6">
              <w:rPr>
                <w:sz w:val="20"/>
                <w:szCs w:val="20"/>
                <w:lang w:val="nb-NO"/>
              </w:rPr>
              <w:t>0,26</w:t>
            </w:r>
          </w:p>
        </w:tc>
        <w:tc>
          <w:tcPr>
            <w:tcW w:w="1386" w:type="dxa"/>
          </w:tcPr>
          <w:p w14:paraId="0323C0B8" w14:textId="77777777" w:rsidR="00C038A7" w:rsidRPr="00A942F6" w:rsidRDefault="00C038A7" w:rsidP="00641834">
            <w:pPr>
              <w:pStyle w:val="TableParagraph"/>
              <w:jc w:val="center"/>
              <w:rPr>
                <w:sz w:val="20"/>
                <w:szCs w:val="20"/>
                <w:lang w:val="nb-NO"/>
              </w:rPr>
            </w:pPr>
            <w:r w:rsidRPr="00A942F6">
              <w:rPr>
                <w:sz w:val="20"/>
                <w:szCs w:val="20"/>
                <w:lang w:val="nb-NO"/>
              </w:rPr>
              <w:t>0,42</w:t>
            </w:r>
          </w:p>
        </w:tc>
        <w:tc>
          <w:tcPr>
            <w:tcW w:w="1059" w:type="dxa"/>
          </w:tcPr>
          <w:p w14:paraId="0DA50D24" w14:textId="77777777" w:rsidR="00C038A7" w:rsidRPr="00A942F6" w:rsidRDefault="00C038A7" w:rsidP="00641834">
            <w:pPr>
              <w:pStyle w:val="TableParagraph"/>
              <w:jc w:val="center"/>
              <w:rPr>
                <w:sz w:val="20"/>
                <w:szCs w:val="20"/>
                <w:lang w:val="nb-NO"/>
              </w:rPr>
            </w:pPr>
            <w:r w:rsidRPr="00A942F6">
              <w:rPr>
                <w:sz w:val="20"/>
                <w:szCs w:val="20"/>
                <w:lang w:val="nb-NO"/>
              </w:rPr>
              <w:t>1,14</w:t>
            </w:r>
          </w:p>
        </w:tc>
      </w:tr>
      <w:tr w:rsidR="00C038A7" w:rsidRPr="00A942F6" w14:paraId="2395ECE3" w14:textId="77777777" w:rsidTr="00AD3A93">
        <w:trPr>
          <w:cantSplit/>
        </w:trPr>
        <w:tc>
          <w:tcPr>
            <w:tcW w:w="1889" w:type="dxa"/>
            <w:gridSpan w:val="2"/>
            <w:tcBorders>
              <w:right w:val="nil"/>
            </w:tcBorders>
          </w:tcPr>
          <w:p w14:paraId="6646C84F" w14:textId="77777777" w:rsidR="00C038A7" w:rsidRPr="00A942F6" w:rsidRDefault="00C038A7" w:rsidP="00641834">
            <w:pPr>
              <w:pStyle w:val="TableParagraph"/>
              <w:jc w:val="right"/>
              <w:rPr>
                <w:sz w:val="20"/>
                <w:szCs w:val="20"/>
                <w:lang w:val="nb-NO"/>
              </w:rPr>
            </w:pPr>
          </w:p>
        </w:tc>
        <w:tc>
          <w:tcPr>
            <w:tcW w:w="1844" w:type="dxa"/>
            <w:tcBorders>
              <w:left w:val="nil"/>
            </w:tcBorders>
          </w:tcPr>
          <w:p w14:paraId="447F65F3" w14:textId="77777777" w:rsidR="00C038A7" w:rsidRPr="00A942F6" w:rsidRDefault="00C038A7" w:rsidP="00641834">
            <w:pPr>
              <w:pStyle w:val="TableParagraph"/>
              <w:rPr>
                <w:sz w:val="20"/>
                <w:szCs w:val="20"/>
                <w:lang w:val="nb-NO"/>
              </w:rPr>
            </w:pPr>
            <w:r w:rsidRPr="00A942F6">
              <w:rPr>
                <w:sz w:val="20"/>
                <w:szCs w:val="20"/>
                <w:lang w:val="nb-NO"/>
              </w:rPr>
              <w:t>Erosjonscore</w:t>
            </w:r>
          </w:p>
        </w:tc>
        <w:tc>
          <w:tcPr>
            <w:tcW w:w="1512" w:type="dxa"/>
          </w:tcPr>
          <w:p w14:paraId="667700A7" w14:textId="77777777" w:rsidR="00C038A7" w:rsidRPr="00A942F6" w:rsidRDefault="00C038A7" w:rsidP="00641834">
            <w:pPr>
              <w:pStyle w:val="TableParagraph"/>
              <w:jc w:val="center"/>
              <w:rPr>
                <w:sz w:val="20"/>
                <w:szCs w:val="20"/>
                <w:lang w:val="nb-NO"/>
              </w:rPr>
            </w:pPr>
            <w:r w:rsidRPr="00A942F6">
              <w:rPr>
                <w:sz w:val="20"/>
                <w:szCs w:val="20"/>
                <w:lang w:val="nb-NO"/>
              </w:rPr>
              <w:t>0,05**</w:t>
            </w:r>
          </w:p>
        </w:tc>
        <w:tc>
          <w:tcPr>
            <w:tcW w:w="1371" w:type="dxa"/>
          </w:tcPr>
          <w:p w14:paraId="7E60FDA7" w14:textId="77777777" w:rsidR="00C038A7" w:rsidRPr="00A942F6" w:rsidRDefault="00C038A7" w:rsidP="00641834">
            <w:pPr>
              <w:pStyle w:val="TableParagraph"/>
              <w:jc w:val="center"/>
              <w:rPr>
                <w:sz w:val="20"/>
                <w:szCs w:val="20"/>
                <w:lang w:val="nb-NO"/>
              </w:rPr>
            </w:pPr>
            <w:r w:rsidRPr="00A942F6">
              <w:rPr>
                <w:sz w:val="20"/>
                <w:szCs w:val="20"/>
                <w:lang w:val="nb-NO"/>
              </w:rPr>
              <w:t>0,15</w:t>
            </w:r>
          </w:p>
        </w:tc>
        <w:tc>
          <w:tcPr>
            <w:tcW w:w="1386" w:type="dxa"/>
          </w:tcPr>
          <w:p w14:paraId="69EFDA97" w14:textId="77777777" w:rsidR="00C038A7" w:rsidRPr="00A942F6" w:rsidRDefault="00C038A7" w:rsidP="00641834">
            <w:pPr>
              <w:pStyle w:val="TableParagraph"/>
              <w:jc w:val="center"/>
              <w:rPr>
                <w:sz w:val="20"/>
                <w:szCs w:val="20"/>
                <w:lang w:val="nb-NO"/>
              </w:rPr>
            </w:pPr>
            <w:r w:rsidRPr="00A942F6">
              <w:rPr>
                <w:sz w:val="20"/>
                <w:szCs w:val="20"/>
                <w:lang w:val="nb-NO"/>
              </w:rPr>
              <w:t>0,25</w:t>
            </w:r>
          </w:p>
        </w:tc>
        <w:tc>
          <w:tcPr>
            <w:tcW w:w="1059" w:type="dxa"/>
          </w:tcPr>
          <w:p w14:paraId="31A1B47D" w14:textId="77777777" w:rsidR="00C038A7" w:rsidRPr="00A942F6" w:rsidRDefault="00C038A7" w:rsidP="00641834">
            <w:pPr>
              <w:pStyle w:val="TableParagraph"/>
              <w:jc w:val="center"/>
              <w:rPr>
                <w:sz w:val="20"/>
                <w:szCs w:val="20"/>
                <w:lang w:val="nb-NO"/>
              </w:rPr>
            </w:pPr>
            <w:r w:rsidRPr="00A942F6">
              <w:rPr>
                <w:sz w:val="20"/>
                <w:szCs w:val="20"/>
                <w:lang w:val="nb-NO"/>
              </w:rPr>
              <w:t>0,63</w:t>
            </w:r>
          </w:p>
        </w:tc>
      </w:tr>
      <w:tr w:rsidR="00C038A7" w:rsidRPr="00A942F6" w14:paraId="0F8007B5" w14:textId="77777777" w:rsidTr="00AD3A93">
        <w:trPr>
          <w:cantSplit/>
        </w:trPr>
        <w:tc>
          <w:tcPr>
            <w:tcW w:w="1889" w:type="dxa"/>
            <w:gridSpan w:val="2"/>
            <w:tcBorders>
              <w:right w:val="nil"/>
            </w:tcBorders>
          </w:tcPr>
          <w:p w14:paraId="49AD9343" w14:textId="77777777" w:rsidR="00C038A7" w:rsidRPr="00A942F6" w:rsidRDefault="00C038A7" w:rsidP="00641834">
            <w:pPr>
              <w:pStyle w:val="TableParagraph"/>
              <w:jc w:val="right"/>
              <w:rPr>
                <w:sz w:val="20"/>
                <w:szCs w:val="20"/>
                <w:lang w:val="nb-NO"/>
              </w:rPr>
            </w:pPr>
          </w:p>
        </w:tc>
        <w:tc>
          <w:tcPr>
            <w:tcW w:w="1844" w:type="dxa"/>
            <w:tcBorders>
              <w:left w:val="nil"/>
            </w:tcBorders>
          </w:tcPr>
          <w:p w14:paraId="22F7402B" w14:textId="77777777" w:rsidR="00C038A7" w:rsidRPr="00A942F6" w:rsidRDefault="00C038A7" w:rsidP="00641834">
            <w:pPr>
              <w:pStyle w:val="TableParagraph"/>
              <w:rPr>
                <w:sz w:val="20"/>
                <w:szCs w:val="20"/>
                <w:lang w:val="nb-NO"/>
              </w:rPr>
            </w:pPr>
            <w:r w:rsidRPr="00A942F6">
              <w:rPr>
                <w:sz w:val="20"/>
                <w:szCs w:val="20"/>
                <w:lang w:val="nb-NO"/>
              </w:rPr>
              <w:t>JSN</w:t>
            </w:r>
          </w:p>
        </w:tc>
        <w:tc>
          <w:tcPr>
            <w:tcW w:w="1512" w:type="dxa"/>
          </w:tcPr>
          <w:p w14:paraId="02656866" w14:textId="77777777" w:rsidR="00C038A7" w:rsidRPr="00A942F6" w:rsidRDefault="00C038A7" w:rsidP="00641834">
            <w:pPr>
              <w:pStyle w:val="TableParagraph"/>
              <w:jc w:val="center"/>
              <w:rPr>
                <w:sz w:val="20"/>
                <w:szCs w:val="20"/>
                <w:lang w:val="nb-NO"/>
              </w:rPr>
            </w:pPr>
            <w:r w:rsidRPr="00A942F6">
              <w:rPr>
                <w:sz w:val="20"/>
                <w:szCs w:val="20"/>
                <w:lang w:val="nb-NO"/>
              </w:rPr>
              <w:t>0,03</w:t>
            </w:r>
          </w:p>
        </w:tc>
        <w:tc>
          <w:tcPr>
            <w:tcW w:w="1371" w:type="dxa"/>
          </w:tcPr>
          <w:p w14:paraId="0762BC11" w14:textId="77777777" w:rsidR="00C038A7" w:rsidRPr="00A942F6" w:rsidRDefault="00C038A7" w:rsidP="00641834">
            <w:pPr>
              <w:pStyle w:val="TableParagraph"/>
              <w:jc w:val="center"/>
              <w:rPr>
                <w:sz w:val="20"/>
                <w:szCs w:val="20"/>
                <w:lang w:val="nb-NO"/>
              </w:rPr>
            </w:pPr>
            <w:r w:rsidRPr="00A942F6">
              <w:rPr>
                <w:sz w:val="20"/>
                <w:szCs w:val="20"/>
                <w:lang w:val="nb-NO"/>
              </w:rPr>
              <w:t>0,11</w:t>
            </w:r>
          </w:p>
        </w:tc>
        <w:tc>
          <w:tcPr>
            <w:tcW w:w="1386" w:type="dxa"/>
          </w:tcPr>
          <w:p w14:paraId="71D595B1" w14:textId="77777777" w:rsidR="00C038A7" w:rsidRPr="00A942F6" w:rsidRDefault="00C038A7" w:rsidP="00641834">
            <w:pPr>
              <w:pStyle w:val="TableParagraph"/>
              <w:jc w:val="center"/>
              <w:rPr>
                <w:sz w:val="20"/>
                <w:szCs w:val="20"/>
                <w:lang w:val="nb-NO"/>
              </w:rPr>
            </w:pPr>
            <w:r w:rsidRPr="00A942F6">
              <w:rPr>
                <w:sz w:val="20"/>
                <w:szCs w:val="20"/>
                <w:lang w:val="nb-NO"/>
              </w:rPr>
              <w:t>0,17</w:t>
            </w:r>
          </w:p>
        </w:tc>
        <w:tc>
          <w:tcPr>
            <w:tcW w:w="1059" w:type="dxa"/>
          </w:tcPr>
          <w:p w14:paraId="29DC9D01" w14:textId="77777777" w:rsidR="00C038A7" w:rsidRPr="00A942F6" w:rsidRDefault="00C038A7" w:rsidP="00641834">
            <w:pPr>
              <w:pStyle w:val="TableParagraph"/>
              <w:jc w:val="center"/>
              <w:rPr>
                <w:sz w:val="20"/>
                <w:szCs w:val="20"/>
                <w:lang w:val="nb-NO"/>
              </w:rPr>
            </w:pPr>
            <w:r w:rsidRPr="00A942F6">
              <w:rPr>
                <w:sz w:val="20"/>
                <w:szCs w:val="20"/>
                <w:lang w:val="nb-NO"/>
              </w:rPr>
              <w:t>0,51</w:t>
            </w:r>
          </w:p>
        </w:tc>
      </w:tr>
      <w:tr w:rsidR="00A67618" w:rsidRPr="00A942F6" w14:paraId="51360B1B" w14:textId="77777777" w:rsidTr="00AD3A93">
        <w:trPr>
          <w:cantSplit/>
        </w:trPr>
        <w:tc>
          <w:tcPr>
            <w:tcW w:w="3733" w:type="dxa"/>
            <w:gridSpan w:val="3"/>
          </w:tcPr>
          <w:p w14:paraId="3DB46426" w14:textId="77777777" w:rsidR="00A67618" w:rsidRPr="00A942F6" w:rsidRDefault="00A67618" w:rsidP="00641834">
            <w:pPr>
              <w:pStyle w:val="TableParagraph"/>
              <w:jc w:val="right"/>
              <w:rPr>
                <w:sz w:val="20"/>
                <w:szCs w:val="20"/>
                <w:lang w:val="nb-NO"/>
              </w:rPr>
            </w:pPr>
            <w:r w:rsidRPr="00A942F6">
              <w:rPr>
                <w:sz w:val="20"/>
                <w:szCs w:val="20"/>
                <w:lang w:val="nb-NO"/>
              </w:rPr>
              <w:t>Radiografisk ikke-progresjon n (%) (endring fra</w:t>
            </w:r>
            <w:r w:rsidR="00AD3A93" w:rsidRPr="00A942F6">
              <w:rPr>
                <w:sz w:val="20"/>
                <w:szCs w:val="20"/>
                <w:lang w:val="nb-NO"/>
              </w:rPr>
              <w:t xml:space="preserve"> </w:t>
            </w:r>
            <w:r w:rsidRPr="00A942F6">
              <w:rPr>
                <w:sz w:val="20"/>
                <w:szCs w:val="20"/>
                <w:lang w:val="nb-NO"/>
              </w:rPr>
              <w:t>baseline i mTSS av ≤0)</w:t>
            </w:r>
          </w:p>
        </w:tc>
        <w:tc>
          <w:tcPr>
            <w:tcW w:w="1512" w:type="dxa"/>
          </w:tcPr>
          <w:p w14:paraId="4C72E4E3" w14:textId="77777777" w:rsidR="00A67618" w:rsidRPr="00A942F6" w:rsidRDefault="00A67618" w:rsidP="00641834">
            <w:pPr>
              <w:pStyle w:val="TableParagraph"/>
              <w:jc w:val="center"/>
              <w:rPr>
                <w:b/>
                <w:sz w:val="20"/>
                <w:szCs w:val="20"/>
                <w:lang w:val="nb-NO"/>
              </w:rPr>
            </w:pPr>
            <w:r w:rsidRPr="00A942F6">
              <w:rPr>
                <w:sz w:val="20"/>
                <w:szCs w:val="20"/>
                <w:lang w:val="nb-NO"/>
              </w:rPr>
              <w:t>226 (83)</w:t>
            </w:r>
            <w:r w:rsidRPr="00A942F6">
              <w:rPr>
                <w:b/>
                <w:sz w:val="20"/>
                <w:szCs w:val="20"/>
                <w:vertAlign w:val="superscript"/>
                <w:lang w:val="nb-NO"/>
              </w:rPr>
              <w:t>‡</w:t>
            </w:r>
          </w:p>
        </w:tc>
        <w:tc>
          <w:tcPr>
            <w:tcW w:w="1371" w:type="dxa"/>
          </w:tcPr>
          <w:p w14:paraId="6EC3C58F" w14:textId="77777777" w:rsidR="00A67618" w:rsidRPr="00A942F6" w:rsidRDefault="00A67618" w:rsidP="00641834">
            <w:pPr>
              <w:pStyle w:val="TableParagraph"/>
              <w:jc w:val="center"/>
              <w:rPr>
                <w:b/>
                <w:sz w:val="20"/>
                <w:szCs w:val="20"/>
                <w:lang w:val="nb-NO"/>
              </w:rPr>
            </w:pPr>
            <w:r w:rsidRPr="00A942F6">
              <w:rPr>
                <w:sz w:val="20"/>
                <w:szCs w:val="20"/>
                <w:lang w:val="nb-NO"/>
              </w:rPr>
              <w:t>226 (83)</w:t>
            </w:r>
            <w:r w:rsidRPr="00A942F6">
              <w:rPr>
                <w:b/>
                <w:sz w:val="20"/>
                <w:szCs w:val="20"/>
                <w:vertAlign w:val="superscript"/>
                <w:lang w:val="nb-NO"/>
              </w:rPr>
              <w:t>‡</w:t>
            </w:r>
          </w:p>
        </w:tc>
        <w:tc>
          <w:tcPr>
            <w:tcW w:w="1386" w:type="dxa"/>
          </w:tcPr>
          <w:p w14:paraId="677EEAC5" w14:textId="77777777" w:rsidR="00A67618" w:rsidRPr="00A942F6" w:rsidRDefault="00A67618" w:rsidP="00641834">
            <w:pPr>
              <w:pStyle w:val="TableParagraph"/>
              <w:jc w:val="center"/>
              <w:rPr>
                <w:sz w:val="20"/>
                <w:szCs w:val="20"/>
                <w:lang w:val="nb-NO"/>
              </w:rPr>
            </w:pPr>
            <w:r w:rsidRPr="00A942F6">
              <w:rPr>
                <w:sz w:val="20"/>
                <w:szCs w:val="20"/>
                <w:lang w:val="nb-NO"/>
              </w:rPr>
              <w:t>211 (79)</w:t>
            </w:r>
          </w:p>
        </w:tc>
        <w:tc>
          <w:tcPr>
            <w:tcW w:w="1059" w:type="dxa"/>
          </w:tcPr>
          <w:p w14:paraId="0B017018" w14:textId="77777777" w:rsidR="00A67618" w:rsidRPr="00A942F6" w:rsidRDefault="00A67618" w:rsidP="00641834">
            <w:pPr>
              <w:pStyle w:val="TableParagraph"/>
              <w:jc w:val="center"/>
              <w:rPr>
                <w:sz w:val="20"/>
                <w:szCs w:val="20"/>
                <w:lang w:val="nb-NO"/>
              </w:rPr>
            </w:pPr>
            <w:r w:rsidRPr="00A942F6">
              <w:rPr>
                <w:sz w:val="20"/>
                <w:szCs w:val="20"/>
                <w:lang w:val="nb-NO"/>
              </w:rPr>
              <w:t>194 (73)</w:t>
            </w:r>
          </w:p>
        </w:tc>
      </w:tr>
      <w:tr w:rsidR="00A67618" w:rsidRPr="00A942F6" w14:paraId="5072CA5F" w14:textId="77777777" w:rsidTr="00A67618">
        <w:trPr>
          <w:cantSplit/>
        </w:trPr>
        <w:tc>
          <w:tcPr>
            <w:tcW w:w="9061" w:type="dxa"/>
            <w:gridSpan w:val="7"/>
          </w:tcPr>
          <w:p w14:paraId="2154E21A" w14:textId="77777777" w:rsidR="00A67618" w:rsidRPr="00A942F6" w:rsidRDefault="00A67618" w:rsidP="0036729A">
            <w:pPr>
              <w:pStyle w:val="TableParagraph"/>
              <w:keepNext/>
              <w:rPr>
                <w:b/>
                <w:sz w:val="20"/>
                <w:szCs w:val="20"/>
                <w:lang w:val="nb-NO"/>
              </w:rPr>
            </w:pPr>
            <w:r w:rsidRPr="00A942F6">
              <w:rPr>
                <w:b/>
                <w:sz w:val="20"/>
                <w:szCs w:val="20"/>
                <w:lang w:val="nb-NO"/>
              </w:rPr>
              <w:t>Eksplorative Endepunkter</w:t>
            </w:r>
          </w:p>
        </w:tc>
      </w:tr>
      <w:tr w:rsidR="00A67618" w:rsidRPr="00A942F6" w14:paraId="396131A4" w14:textId="77777777" w:rsidTr="00AD3A93">
        <w:trPr>
          <w:cantSplit/>
        </w:trPr>
        <w:tc>
          <w:tcPr>
            <w:tcW w:w="3733" w:type="dxa"/>
            <w:gridSpan w:val="3"/>
          </w:tcPr>
          <w:p w14:paraId="5ECA90ED" w14:textId="77777777" w:rsidR="00A67618" w:rsidRPr="00A942F6" w:rsidRDefault="00A67618" w:rsidP="0036729A">
            <w:pPr>
              <w:pStyle w:val="TableParagraph"/>
              <w:keepNext/>
              <w:jc w:val="right"/>
              <w:rPr>
                <w:sz w:val="20"/>
                <w:szCs w:val="20"/>
                <w:lang w:val="nb-NO"/>
              </w:rPr>
            </w:pPr>
            <w:r w:rsidRPr="00A942F6">
              <w:rPr>
                <w:sz w:val="20"/>
                <w:szCs w:val="20"/>
                <w:lang w:val="nb-NO"/>
              </w:rPr>
              <w:t>Uke 24: ACR/EULAR Boolean Remisjon, n (%)</w:t>
            </w:r>
          </w:p>
        </w:tc>
        <w:tc>
          <w:tcPr>
            <w:tcW w:w="1512" w:type="dxa"/>
          </w:tcPr>
          <w:p w14:paraId="1C26BBF3" w14:textId="77777777" w:rsidR="00A67618" w:rsidRPr="00A942F6" w:rsidRDefault="00A67618" w:rsidP="0036729A">
            <w:pPr>
              <w:pStyle w:val="TableParagraph"/>
              <w:keepNext/>
              <w:jc w:val="center"/>
              <w:rPr>
                <w:b/>
                <w:sz w:val="20"/>
                <w:szCs w:val="20"/>
                <w:lang w:val="nb-NO"/>
              </w:rPr>
            </w:pPr>
            <w:r w:rsidRPr="00A942F6">
              <w:rPr>
                <w:sz w:val="20"/>
                <w:szCs w:val="20"/>
                <w:lang w:val="nb-NO"/>
              </w:rPr>
              <w:t xml:space="preserve">47 (18,4) </w:t>
            </w:r>
            <w:r w:rsidRPr="00A942F6">
              <w:rPr>
                <w:b/>
                <w:sz w:val="20"/>
                <w:szCs w:val="20"/>
                <w:vertAlign w:val="superscript"/>
                <w:lang w:val="nb-NO"/>
              </w:rPr>
              <w:t>‡</w:t>
            </w:r>
          </w:p>
        </w:tc>
        <w:tc>
          <w:tcPr>
            <w:tcW w:w="1371" w:type="dxa"/>
          </w:tcPr>
          <w:p w14:paraId="150529AE" w14:textId="77777777" w:rsidR="00A67618" w:rsidRPr="00A942F6" w:rsidRDefault="00A67618" w:rsidP="0036729A">
            <w:pPr>
              <w:pStyle w:val="TableParagraph"/>
              <w:keepNext/>
              <w:jc w:val="center"/>
              <w:rPr>
                <w:sz w:val="20"/>
                <w:szCs w:val="20"/>
                <w:lang w:val="nb-NO"/>
              </w:rPr>
            </w:pPr>
            <w:r w:rsidRPr="00A942F6">
              <w:rPr>
                <w:sz w:val="20"/>
                <w:szCs w:val="20"/>
                <w:lang w:val="nb-NO"/>
              </w:rPr>
              <w:t>38 (14,2)</w:t>
            </w:r>
          </w:p>
        </w:tc>
        <w:tc>
          <w:tcPr>
            <w:tcW w:w="1386" w:type="dxa"/>
          </w:tcPr>
          <w:p w14:paraId="021CA7DF" w14:textId="77777777" w:rsidR="00A67618" w:rsidRPr="00A942F6" w:rsidRDefault="00A67618" w:rsidP="0036729A">
            <w:pPr>
              <w:pStyle w:val="TableParagraph"/>
              <w:keepNext/>
              <w:jc w:val="center"/>
              <w:rPr>
                <w:b/>
                <w:sz w:val="20"/>
                <w:szCs w:val="20"/>
                <w:lang w:val="nb-NO"/>
              </w:rPr>
            </w:pPr>
            <w:r w:rsidRPr="00A942F6">
              <w:rPr>
                <w:sz w:val="20"/>
                <w:szCs w:val="20"/>
                <w:lang w:val="nb-NO"/>
              </w:rPr>
              <w:t xml:space="preserve">43 (16,7) </w:t>
            </w:r>
            <w:r w:rsidRPr="00A942F6">
              <w:rPr>
                <w:b/>
                <w:sz w:val="20"/>
                <w:szCs w:val="20"/>
                <w:vertAlign w:val="superscript"/>
                <w:lang w:val="nb-NO"/>
              </w:rPr>
              <w:t>‡</w:t>
            </w:r>
          </w:p>
        </w:tc>
        <w:tc>
          <w:tcPr>
            <w:tcW w:w="1059" w:type="dxa"/>
          </w:tcPr>
          <w:p w14:paraId="2060B735" w14:textId="77777777" w:rsidR="00A67618" w:rsidRPr="00A942F6" w:rsidRDefault="00A67618" w:rsidP="0036729A">
            <w:pPr>
              <w:pStyle w:val="TableParagraph"/>
              <w:keepNext/>
              <w:jc w:val="center"/>
              <w:rPr>
                <w:sz w:val="20"/>
                <w:szCs w:val="20"/>
                <w:lang w:val="nb-NO"/>
              </w:rPr>
            </w:pPr>
            <w:r w:rsidRPr="00A942F6">
              <w:rPr>
                <w:sz w:val="20"/>
                <w:szCs w:val="20"/>
                <w:lang w:val="nb-NO"/>
              </w:rPr>
              <w:t>25 (10,0)</w:t>
            </w:r>
          </w:p>
        </w:tc>
      </w:tr>
      <w:tr w:rsidR="00A67618" w:rsidRPr="00A942F6" w14:paraId="6B3FB2B3" w14:textId="77777777" w:rsidTr="00AD3A93">
        <w:trPr>
          <w:cantSplit/>
        </w:trPr>
        <w:tc>
          <w:tcPr>
            <w:tcW w:w="3733" w:type="dxa"/>
            <w:gridSpan w:val="3"/>
          </w:tcPr>
          <w:p w14:paraId="60BA32B3" w14:textId="77777777" w:rsidR="00A67618" w:rsidRPr="00A942F6" w:rsidRDefault="00A67618" w:rsidP="00641834">
            <w:pPr>
              <w:pStyle w:val="TableParagraph"/>
              <w:jc w:val="right"/>
              <w:rPr>
                <w:sz w:val="20"/>
                <w:szCs w:val="20"/>
                <w:lang w:val="nb-NO"/>
              </w:rPr>
            </w:pPr>
            <w:r w:rsidRPr="00A942F6">
              <w:rPr>
                <w:sz w:val="20"/>
                <w:szCs w:val="20"/>
                <w:lang w:val="nb-NO"/>
              </w:rPr>
              <w:t>ACR/EULAR Index Remisjon, n (%)</w:t>
            </w:r>
          </w:p>
        </w:tc>
        <w:tc>
          <w:tcPr>
            <w:tcW w:w="1512" w:type="dxa"/>
          </w:tcPr>
          <w:p w14:paraId="6237D9DD" w14:textId="77777777" w:rsidR="00A67618" w:rsidRPr="00A942F6" w:rsidRDefault="00A67618" w:rsidP="00641834">
            <w:pPr>
              <w:pStyle w:val="TableParagraph"/>
              <w:jc w:val="center"/>
              <w:rPr>
                <w:b/>
                <w:sz w:val="20"/>
                <w:szCs w:val="20"/>
                <w:lang w:val="nb-NO"/>
              </w:rPr>
            </w:pPr>
            <w:r w:rsidRPr="00A942F6">
              <w:rPr>
                <w:sz w:val="20"/>
                <w:szCs w:val="20"/>
                <w:lang w:val="nb-NO"/>
              </w:rPr>
              <w:t xml:space="preserve">73 (28,5) </w:t>
            </w:r>
            <w:r w:rsidRPr="00A942F6">
              <w:rPr>
                <w:b/>
                <w:sz w:val="20"/>
                <w:szCs w:val="20"/>
                <w:vertAlign w:val="superscript"/>
                <w:lang w:val="nb-NO"/>
              </w:rPr>
              <w:t>‡</w:t>
            </w:r>
          </w:p>
        </w:tc>
        <w:tc>
          <w:tcPr>
            <w:tcW w:w="1371" w:type="dxa"/>
          </w:tcPr>
          <w:p w14:paraId="13ADCF26" w14:textId="77777777" w:rsidR="00A67618" w:rsidRPr="00A942F6" w:rsidRDefault="00A67618" w:rsidP="00641834">
            <w:pPr>
              <w:pStyle w:val="TableParagraph"/>
              <w:jc w:val="center"/>
              <w:rPr>
                <w:sz w:val="20"/>
                <w:szCs w:val="20"/>
                <w:lang w:val="nb-NO"/>
              </w:rPr>
            </w:pPr>
            <w:r w:rsidRPr="00A942F6">
              <w:rPr>
                <w:sz w:val="20"/>
                <w:szCs w:val="20"/>
                <w:lang w:val="nb-NO"/>
              </w:rPr>
              <w:t>60 (22,6)</w:t>
            </w:r>
          </w:p>
        </w:tc>
        <w:tc>
          <w:tcPr>
            <w:tcW w:w="1386" w:type="dxa"/>
          </w:tcPr>
          <w:p w14:paraId="0DF0B2CF" w14:textId="77777777" w:rsidR="00A67618" w:rsidRPr="00A942F6" w:rsidRDefault="00A67618" w:rsidP="00641834">
            <w:pPr>
              <w:pStyle w:val="TableParagraph"/>
              <w:jc w:val="center"/>
              <w:rPr>
                <w:sz w:val="20"/>
                <w:szCs w:val="20"/>
                <w:lang w:val="nb-NO"/>
              </w:rPr>
            </w:pPr>
            <w:r w:rsidRPr="00A942F6">
              <w:rPr>
                <w:sz w:val="20"/>
                <w:szCs w:val="20"/>
                <w:lang w:val="nb-NO"/>
              </w:rPr>
              <w:t>58 (22,6)</w:t>
            </w:r>
          </w:p>
        </w:tc>
        <w:tc>
          <w:tcPr>
            <w:tcW w:w="1059" w:type="dxa"/>
          </w:tcPr>
          <w:p w14:paraId="6608660B" w14:textId="77777777" w:rsidR="00A67618" w:rsidRPr="00A942F6" w:rsidRDefault="00A67618" w:rsidP="00641834">
            <w:pPr>
              <w:pStyle w:val="TableParagraph"/>
              <w:jc w:val="center"/>
              <w:rPr>
                <w:sz w:val="20"/>
                <w:szCs w:val="20"/>
                <w:lang w:val="nb-NO"/>
              </w:rPr>
            </w:pPr>
            <w:r w:rsidRPr="00A942F6">
              <w:rPr>
                <w:sz w:val="20"/>
                <w:szCs w:val="20"/>
                <w:lang w:val="nb-NO"/>
              </w:rPr>
              <w:t>41 (16,4)</w:t>
            </w:r>
          </w:p>
        </w:tc>
      </w:tr>
      <w:tr w:rsidR="00A67618" w:rsidRPr="00A942F6" w14:paraId="1996BCE1" w14:textId="77777777" w:rsidTr="00AD3A93">
        <w:trPr>
          <w:cantSplit/>
        </w:trPr>
        <w:tc>
          <w:tcPr>
            <w:tcW w:w="3733" w:type="dxa"/>
            <w:gridSpan w:val="3"/>
          </w:tcPr>
          <w:p w14:paraId="05B75CCA" w14:textId="77777777" w:rsidR="00A67618" w:rsidRPr="00A942F6" w:rsidRDefault="00A67618" w:rsidP="00641834">
            <w:pPr>
              <w:pStyle w:val="TableParagraph"/>
              <w:jc w:val="right"/>
              <w:rPr>
                <w:sz w:val="20"/>
                <w:szCs w:val="20"/>
                <w:lang w:val="nb-NO"/>
              </w:rPr>
            </w:pPr>
            <w:r w:rsidRPr="00A942F6">
              <w:rPr>
                <w:sz w:val="20"/>
                <w:szCs w:val="20"/>
                <w:lang w:val="nb-NO"/>
              </w:rPr>
              <w:t>Uke 52: ACR/EULAR Boolean Remisjon, n (%)</w:t>
            </w:r>
          </w:p>
        </w:tc>
        <w:tc>
          <w:tcPr>
            <w:tcW w:w="1512" w:type="dxa"/>
          </w:tcPr>
          <w:p w14:paraId="666F6A40" w14:textId="77777777" w:rsidR="00A67618" w:rsidRPr="00A942F6" w:rsidRDefault="00A67618" w:rsidP="00641834">
            <w:pPr>
              <w:pStyle w:val="TableParagraph"/>
              <w:jc w:val="center"/>
              <w:rPr>
                <w:b/>
                <w:sz w:val="20"/>
                <w:szCs w:val="20"/>
                <w:lang w:val="nb-NO"/>
              </w:rPr>
            </w:pPr>
            <w:r w:rsidRPr="00A942F6">
              <w:rPr>
                <w:sz w:val="20"/>
                <w:szCs w:val="20"/>
                <w:lang w:val="nb-NO"/>
              </w:rPr>
              <w:t xml:space="preserve">59 (25,7) </w:t>
            </w:r>
            <w:r w:rsidRPr="00A942F6">
              <w:rPr>
                <w:b/>
                <w:sz w:val="20"/>
                <w:szCs w:val="20"/>
                <w:vertAlign w:val="superscript"/>
                <w:lang w:val="nb-NO"/>
              </w:rPr>
              <w:t>‡</w:t>
            </w:r>
          </w:p>
        </w:tc>
        <w:tc>
          <w:tcPr>
            <w:tcW w:w="1371" w:type="dxa"/>
          </w:tcPr>
          <w:p w14:paraId="5B4C1448" w14:textId="77777777" w:rsidR="00A67618" w:rsidRPr="00A942F6" w:rsidRDefault="00A67618" w:rsidP="00641834">
            <w:pPr>
              <w:pStyle w:val="TableParagraph"/>
              <w:jc w:val="center"/>
              <w:rPr>
                <w:sz w:val="20"/>
                <w:szCs w:val="20"/>
                <w:lang w:val="nb-NO"/>
              </w:rPr>
            </w:pPr>
            <w:r w:rsidRPr="00A942F6">
              <w:rPr>
                <w:sz w:val="20"/>
                <w:szCs w:val="20"/>
                <w:lang w:val="nb-NO"/>
              </w:rPr>
              <w:t>43 (18,7)</w:t>
            </w:r>
          </w:p>
        </w:tc>
        <w:tc>
          <w:tcPr>
            <w:tcW w:w="1386" w:type="dxa"/>
          </w:tcPr>
          <w:p w14:paraId="10B2F1BD" w14:textId="77777777" w:rsidR="00A67618" w:rsidRPr="00A942F6" w:rsidRDefault="00A67618" w:rsidP="00641834">
            <w:pPr>
              <w:pStyle w:val="TableParagraph"/>
              <w:jc w:val="center"/>
              <w:rPr>
                <w:sz w:val="20"/>
                <w:szCs w:val="20"/>
                <w:lang w:val="nb-NO"/>
              </w:rPr>
            </w:pPr>
            <w:r w:rsidRPr="00A942F6">
              <w:rPr>
                <w:sz w:val="20"/>
                <w:szCs w:val="20"/>
                <w:lang w:val="nb-NO"/>
              </w:rPr>
              <w:t>48 (21,1)</w:t>
            </w:r>
          </w:p>
        </w:tc>
        <w:tc>
          <w:tcPr>
            <w:tcW w:w="1059" w:type="dxa"/>
          </w:tcPr>
          <w:p w14:paraId="3BF0A27F" w14:textId="77777777" w:rsidR="00A67618" w:rsidRPr="00A942F6" w:rsidRDefault="00A67618" w:rsidP="00641834">
            <w:pPr>
              <w:pStyle w:val="TableParagraph"/>
              <w:jc w:val="center"/>
              <w:rPr>
                <w:sz w:val="20"/>
                <w:szCs w:val="20"/>
                <w:lang w:val="nb-NO"/>
              </w:rPr>
            </w:pPr>
            <w:r w:rsidRPr="00A942F6">
              <w:rPr>
                <w:sz w:val="20"/>
                <w:szCs w:val="20"/>
                <w:lang w:val="nb-NO"/>
              </w:rPr>
              <w:t>34 (15,5)</w:t>
            </w:r>
          </w:p>
        </w:tc>
      </w:tr>
      <w:tr w:rsidR="00A67618" w:rsidRPr="00A942F6" w14:paraId="4D93FDCF" w14:textId="77777777" w:rsidTr="00AD3A93">
        <w:trPr>
          <w:cantSplit/>
        </w:trPr>
        <w:tc>
          <w:tcPr>
            <w:tcW w:w="3733" w:type="dxa"/>
            <w:gridSpan w:val="3"/>
          </w:tcPr>
          <w:p w14:paraId="46D8B5F1" w14:textId="77777777" w:rsidR="00A67618" w:rsidRPr="00A942F6" w:rsidRDefault="00A67618" w:rsidP="00641834">
            <w:pPr>
              <w:pStyle w:val="TableParagraph"/>
              <w:jc w:val="right"/>
              <w:rPr>
                <w:sz w:val="20"/>
                <w:szCs w:val="20"/>
                <w:lang w:val="nb-NO"/>
              </w:rPr>
            </w:pPr>
            <w:r w:rsidRPr="00A942F6">
              <w:rPr>
                <w:sz w:val="20"/>
                <w:szCs w:val="20"/>
                <w:lang w:val="nb-NO"/>
              </w:rPr>
              <w:t>ACR/EULAR Index Remisjon, n (%)</w:t>
            </w:r>
          </w:p>
        </w:tc>
        <w:tc>
          <w:tcPr>
            <w:tcW w:w="1512" w:type="dxa"/>
          </w:tcPr>
          <w:p w14:paraId="02C8ACDB" w14:textId="77777777" w:rsidR="00A67618" w:rsidRPr="00A942F6" w:rsidRDefault="00A67618" w:rsidP="00641834">
            <w:pPr>
              <w:pStyle w:val="TableParagraph"/>
              <w:jc w:val="center"/>
              <w:rPr>
                <w:b/>
                <w:sz w:val="20"/>
                <w:szCs w:val="20"/>
                <w:lang w:val="nb-NO"/>
              </w:rPr>
            </w:pPr>
            <w:r w:rsidRPr="00A942F6">
              <w:rPr>
                <w:sz w:val="20"/>
                <w:szCs w:val="20"/>
                <w:lang w:val="nb-NO"/>
              </w:rPr>
              <w:t xml:space="preserve">83 (36,1) </w:t>
            </w:r>
            <w:r w:rsidRPr="00A942F6">
              <w:rPr>
                <w:b/>
                <w:sz w:val="20"/>
                <w:szCs w:val="20"/>
                <w:vertAlign w:val="superscript"/>
                <w:lang w:val="nb-NO"/>
              </w:rPr>
              <w:t>‡</w:t>
            </w:r>
          </w:p>
        </w:tc>
        <w:tc>
          <w:tcPr>
            <w:tcW w:w="1371" w:type="dxa"/>
          </w:tcPr>
          <w:p w14:paraId="679BF9EA" w14:textId="77777777" w:rsidR="00A67618" w:rsidRPr="00A942F6" w:rsidRDefault="00A67618" w:rsidP="00641834">
            <w:pPr>
              <w:pStyle w:val="TableParagraph"/>
              <w:jc w:val="center"/>
              <w:rPr>
                <w:sz w:val="20"/>
                <w:szCs w:val="20"/>
                <w:lang w:val="nb-NO"/>
              </w:rPr>
            </w:pPr>
            <w:r w:rsidRPr="00A942F6">
              <w:rPr>
                <w:sz w:val="20"/>
                <w:szCs w:val="20"/>
                <w:lang w:val="nb-NO"/>
              </w:rPr>
              <w:t>69 (30,0)</w:t>
            </w:r>
          </w:p>
        </w:tc>
        <w:tc>
          <w:tcPr>
            <w:tcW w:w="1386" w:type="dxa"/>
          </w:tcPr>
          <w:p w14:paraId="65CF743A" w14:textId="77777777" w:rsidR="00A67618" w:rsidRPr="00A942F6" w:rsidRDefault="00A67618" w:rsidP="00641834">
            <w:pPr>
              <w:pStyle w:val="TableParagraph"/>
              <w:jc w:val="center"/>
              <w:rPr>
                <w:sz w:val="20"/>
                <w:szCs w:val="20"/>
                <w:lang w:val="nb-NO"/>
              </w:rPr>
            </w:pPr>
            <w:r w:rsidRPr="00A942F6">
              <w:rPr>
                <w:sz w:val="20"/>
                <w:szCs w:val="20"/>
                <w:lang w:val="nb-NO"/>
              </w:rPr>
              <w:t>66 (29,3)</w:t>
            </w:r>
          </w:p>
        </w:tc>
        <w:tc>
          <w:tcPr>
            <w:tcW w:w="1059" w:type="dxa"/>
          </w:tcPr>
          <w:p w14:paraId="62AACD54" w14:textId="77777777" w:rsidR="00A67618" w:rsidRPr="00A942F6" w:rsidRDefault="00A67618" w:rsidP="00641834">
            <w:pPr>
              <w:pStyle w:val="TableParagraph"/>
              <w:jc w:val="center"/>
              <w:rPr>
                <w:sz w:val="20"/>
                <w:szCs w:val="20"/>
                <w:lang w:val="nb-NO"/>
              </w:rPr>
            </w:pPr>
            <w:r w:rsidRPr="00A942F6">
              <w:rPr>
                <w:sz w:val="20"/>
                <w:szCs w:val="20"/>
                <w:lang w:val="nb-NO"/>
              </w:rPr>
              <w:t>49 (22,4)</w:t>
            </w:r>
          </w:p>
        </w:tc>
      </w:tr>
    </w:tbl>
    <w:p w14:paraId="417CD66D" w14:textId="77777777" w:rsidR="008877F8" w:rsidRPr="00A942F6" w:rsidRDefault="008877F8" w:rsidP="00641834">
      <w:pPr>
        <w:tabs>
          <w:tab w:val="left" w:pos="1134"/>
        </w:tabs>
        <w:ind w:left="1134" w:hanging="1134"/>
        <w:rPr>
          <w:rFonts w:cs="Times New Roman"/>
          <w:sz w:val="18"/>
          <w:szCs w:val="18"/>
          <w:lang w:val="nb-NO"/>
        </w:rPr>
      </w:pPr>
      <w:r w:rsidRPr="00A942F6">
        <w:rPr>
          <w:rFonts w:cs="Times New Roman"/>
          <w:sz w:val="18"/>
          <w:szCs w:val="18"/>
          <w:lang w:val="nb-NO"/>
        </w:rPr>
        <w:t>mTSS</w:t>
      </w:r>
      <w:r w:rsidRPr="00A942F6">
        <w:rPr>
          <w:rFonts w:cs="Times New Roman"/>
          <w:sz w:val="18"/>
          <w:szCs w:val="18"/>
          <w:lang w:val="nb-NO"/>
        </w:rPr>
        <w:tab/>
        <w:t>- modifisert total Sharpscore</w:t>
      </w:r>
    </w:p>
    <w:p w14:paraId="6D3AE079" w14:textId="77777777" w:rsidR="008877F8" w:rsidRPr="00A942F6" w:rsidRDefault="008877F8" w:rsidP="00641834">
      <w:pPr>
        <w:tabs>
          <w:tab w:val="left" w:pos="1134"/>
        </w:tabs>
        <w:ind w:left="1134" w:hanging="1134"/>
        <w:rPr>
          <w:rFonts w:cs="Times New Roman"/>
          <w:sz w:val="18"/>
          <w:szCs w:val="18"/>
          <w:lang w:val="nb-NO"/>
        </w:rPr>
      </w:pPr>
      <w:r w:rsidRPr="00A942F6">
        <w:rPr>
          <w:rFonts w:cs="Times New Roman"/>
          <w:sz w:val="18"/>
          <w:szCs w:val="18"/>
          <w:lang w:val="nb-NO"/>
        </w:rPr>
        <w:t>JSN</w:t>
      </w:r>
      <w:r w:rsidRPr="00A942F6">
        <w:rPr>
          <w:rFonts w:cs="Times New Roman"/>
          <w:sz w:val="18"/>
          <w:szCs w:val="18"/>
          <w:lang w:val="nb-NO"/>
        </w:rPr>
        <w:tab/>
        <w:t>- leddavsmalning</w:t>
      </w:r>
    </w:p>
    <w:p w14:paraId="06C269BD" w14:textId="77777777" w:rsidR="008877F8" w:rsidRPr="00A942F6" w:rsidRDefault="008877F8" w:rsidP="00641834">
      <w:pPr>
        <w:rPr>
          <w:rFonts w:cs="Times New Roman"/>
          <w:sz w:val="18"/>
          <w:szCs w:val="18"/>
          <w:lang w:val="nb-NO"/>
        </w:rPr>
      </w:pPr>
      <w:r w:rsidRPr="00A942F6">
        <w:rPr>
          <w:rFonts w:cs="Times New Roman"/>
          <w:sz w:val="18"/>
          <w:szCs w:val="18"/>
          <w:lang w:val="nb-NO"/>
        </w:rPr>
        <w:t>Alle effektsammenlikninger vs Placebo + MTX. ***p≤0,0001; **p&lt;0,001; *p&lt;0,05;</w:t>
      </w:r>
    </w:p>
    <w:p w14:paraId="6B5F1ACD" w14:textId="77777777" w:rsidR="008877F8" w:rsidRPr="00A942F6" w:rsidRDefault="008877F8" w:rsidP="00641834">
      <w:pPr>
        <w:rPr>
          <w:rFonts w:cs="Times New Roman"/>
          <w:sz w:val="18"/>
          <w:szCs w:val="18"/>
          <w:lang w:val="nb-NO"/>
        </w:rPr>
      </w:pPr>
      <w:r w:rsidRPr="00A942F6">
        <w:rPr>
          <w:rFonts w:cs="Times New Roman"/>
          <w:sz w:val="18"/>
          <w:szCs w:val="18"/>
          <w:lang w:val="nb-NO"/>
        </w:rPr>
        <w:t>‡</w:t>
      </w:r>
      <w:r w:rsidR="00152DC5" w:rsidRPr="00A942F6">
        <w:rPr>
          <w:rFonts w:cs="Times New Roman"/>
          <w:sz w:val="18"/>
          <w:szCs w:val="18"/>
          <w:lang w:val="nb-NO"/>
        </w:rPr>
        <w:t xml:space="preserve"> </w:t>
      </w:r>
      <w:r w:rsidRPr="00A942F6">
        <w:rPr>
          <w:rFonts w:cs="Times New Roman"/>
          <w:sz w:val="18"/>
          <w:szCs w:val="18"/>
          <w:lang w:val="nb-NO"/>
        </w:rPr>
        <w:t>p-verdi &lt; 0,05 vs. Placebo + MTX, men endepunktet var eksplorativt (ikke inkludert i hierarkiet av statistisk testing og har derfor ikke blitt kontrollert for multippel testing)</w:t>
      </w:r>
    </w:p>
    <w:p w14:paraId="3A940B95" w14:textId="77777777" w:rsidR="008877F8" w:rsidRPr="00A942F6" w:rsidRDefault="008877F8" w:rsidP="00641834">
      <w:pPr>
        <w:rPr>
          <w:lang w:val="nb-NO"/>
        </w:rPr>
      </w:pPr>
    </w:p>
    <w:p w14:paraId="5C8D1630" w14:textId="77777777" w:rsidR="008877F8" w:rsidRPr="00A942F6" w:rsidRDefault="008877F8" w:rsidP="00641834">
      <w:pPr>
        <w:pStyle w:val="Style1Iitaic"/>
        <w:rPr>
          <w:lang w:val="nb-NO"/>
        </w:rPr>
      </w:pPr>
      <w:r w:rsidRPr="00A942F6">
        <w:rPr>
          <w:lang w:val="nb-NO"/>
        </w:rPr>
        <w:t>Covid-19</w:t>
      </w:r>
    </w:p>
    <w:p w14:paraId="2B991F15" w14:textId="77777777" w:rsidR="008877F8" w:rsidRPr="00A942F6" w:rsidRDefault="008877F8" w:rsidP="00641834">
      <w:pPr>
        <w:rPr>
          <w:lang w:val="nb-NO"/>
        </w:rPr>
      </w:pPr>
      <w:r w:rsidRPr="00A942F6">
        <w:rPr>
          <w:lang w:val="nb-NO"/>
        </w:rPr>
        <w:t>Klinisk effekt</w:t>
      </w:r>
    </w:p>
    <w:p w14:paraId="2C4A34D5" w14:textId="77777777" w:rsidR="008877F8" w:rsidRPr="00A942F6" w:rsidRDefault="008877F8" w:rsidP="00641834">
      <w:pPr>
        <w:rPr>
          <w:lang w:val="nb-NO"/>
        </w:rPr>
      </w:pPr>
    </w:p>
    <w:p w14:paraId="35D99ECE" w14:textId="77777777" w:rsidR="008877F8" w:rsidRPr="00A942F6" w:rsidRDefault="008877F8" w:rsidP="00641834">
      <w:pPr>
        <w:pStyle w:val="bold"/>
        <w:rPr>
          <w:lang w:val="nb-NO"/>
        </w:rPr>
      </w:pPr>
      <w:r w:rsidRPr="00A942F6">
        <w:rPr>
          <w:lang w:val="nb-NO"/>
        </w:rPr>
        <w:t>RECOVERY (Randomisert evaluering av covid-19 terapi) en collaborative group studie hos hospitaliserte voksne med diagnose covid-19</w:t>
      </w:r>
    </w:p>
    <w:p w14:paraId="78AE0CFD" w14:textId="77777777" w:rsidR="008877F8" w:rsidRPr="00A942F6" w:rsidRDefault="008877F8" w:rsidP="00641834">
      <w:pPr>
        <w:rPr>
          <w:lang w:val="nb-NO"/>
        </w:rPr>
      </w:pPr>
      <w:r w:rsidRPr="00A942F6">
        <w:rPr>
          <w:lang w:val="nb-NO"/>
        </w:rPr>
        <w:t xml:space="preserve">RECOVERY var en stor, randomisert, kontrollert, åpen, multisenter-plattformstudie utført i Storbritannia for å evaluere effekten og sikkerheten til potensiell behandling av voksne pasienter innlagt på sykehus med alvorlig covid-19. Alle kvalifiserte pasienter mottok standardbehandling og gjennomgikk en initiell (hoved) randomisering. Kvalifiserte pasienter til studien hadde klinisk mistenkt eller laboratorieprøvebekreftet SARS-CoV-2-infeksjon og ingen medisinske kontraindikasjoner overfor noen av behandlingene. Pasienter med klinisk bevis på progressiv covid-19 (definert som oksygenmetning &lt; 92 % i romluft eller som får oksygenbehandling og CRP </w:t>
      </w:r>
      <w:r w:rsidRPr="00A942F6">
        <w:rPr>
          <w:rFonts w:cs="Times New Roman"/>
          <w:lang w:val="nb-NO"/>
        </w:rPr>
        <w:t>≥</w:t>
      </w:r>
      <w:r w:rsidRPr="00A942F6">
        <w:rPr>
          <w:lang w:val="nb-NO"/>
        </w:rPr>
        <w:t xml:space="preserve"> 75 mg/l) kvalifiserte seg for en andre randomisering til å få enten intravenøs tocilizumab eller standardbehandling alene.</w:t>
      </w:r>
    </w:p>
    <w:p w14:paraId="4835430A" w14:textId="77777777" w:rsidR="00D34B1D" w:rsidRPr="00A942F6" w:rsidRDefault="00D34B1D" w:rsidP="00641834">
      <w:pPr>
        <w:rPr>
          <w:lang w:val="nb-NO"/>
        </w:rPr>
      </w:pPr>
    </w:p>
    <w:p w14:paraId="3E59BDA9" w14:textId="34134F98" w:rsidR="008877F8" w:rsidRPr="00A942F6" w:rsidRDefault="008877F8" w:rsidP="00641834">
      <w:pPr>
        <w:rPr>
          <w:lang w:val="nb-NO"/>
        </w:rPr>
      </w:pPr>
      <w:r w:rsidRPr="00A942F6">
        <w:rPr>
          <w:lang w:val="nb-NO"/>
        </w:rPr>
        <w:t>Effektanalyser ble utført i intensjon-til-behandling («intent-to-treat», ITT)-populasjonen som omfattet 4116 pasienter hvor 2022 pasienter ble randomisert til tocilizumab + standardbehandling og 2094</w:t>
      </w:r>
      <w:r w:rsidR="00FC1DF2">
        <w:rPr>
          <w:lang w:val="nb-NO"/>
        </w:rPr>
        <w:t> </w:t>
      </w:r>
      <w:r w:rsidRPr="00A942F6">
        <w:rPr>
          <w:lang w:val="nb-NO"/>
        </w:rPr>
        <w:t xml:space="preserve">pasienter til standardbehandling alene. Demografi og sykdomskarakteristikk ved baseline for ITT- populasjonen var godt balansert på tvers av behandlingsarmene. Gjennomsnittsalderen på </w:t>
      </w:r>
      <w:r w:rsidRPr="00A942F6">
        <w:rPr>
          <w:lang w:val="nb-NO"/>
        </w:rPr>
        <w:lastRenderedPageBreak/>
        <w:t>deltakerne var 63,6 år (standardavvik [SD] 13,6 år). Flertallet av pasientene var menn (67 %) og av kaukasisk opphav (76 %). Median (variasjon) CRP-nivå var 143 mg/l (75-982).</w:t>
      </w:r>
    </w:p>
    <w:p w14:paraId="13CDCCDF" w14:textId="77777777" w:rsidR="008877F8" w:rsidRPr="00A942F6" w:rsidRDefault="008877F8" w:rsidP="00641834">
      <w:pPr>
        <w:rPr>
          <w:lang w:val="nb-NO"/>
        </w:rPr>
      </w:pPr>
    </w:p>
    <w:p w14:paraId="59393DA2" w14:textId="77777777" w:rsidR="008877F8" w:rsidRPr="00A942F6" w:rsidRDefault="008877F8" w:rsidP="00641834">
      <w:pPr>
        <w:rPr>
          <w:lang w:val="nb-NO"/>
        </w:rPr>
      </w:pPr>
      <w:r w:rsidRPr="00A942F6">
        <w:rPr>
          <w:lang w:val="nb-NO"/>
        </w:rPr>
        <w:t>Ved baseline var 0,2 % (n = 9) av pasientene ikke på supplerende oksygen, 45 % av pasientene trengte lavstrømsoksygen, 41 % av pasientene trengte ikke-invasiv ventilasjon eller høystrømsoksygen og</w:t>
      </w:r>
      <w:r w:rsidR="002C204D" w:rsidRPr="00A942F6">
        <w:rPr>
          <w:lang w:val="nb-NO"/>
        </w:rPr>
        <w:t xml:space="preserve"> </w:t>
      </w:r>
      <w:r w:rsidRPr="00A942F6">
        <w:rPr>
          <w:lang w:val="nb-NO"/>
        </w:rPr>
        <w:t>14 % av pasientene trengte invasiv mekanisk ventilasjon; 82 % ble rapportert å ha fått systemiske kortikosteroider (definert som pasienter som initierte behandling med systemiske kortikosteroider enten før eller på tidspunktet for randomisering). De vanligste komorbiditetene var diabetes (28,4 %), hjertesykdom (22,6 %) og kronisk lungesykdom (23,3 %).</w:t>
      </w:r>
    </w:p>
    <w:p w14:paraId="03FE59A8" w14:textId="77777777" w:rsidR="008877F8" w:rsidRPr="00A942F6" w:rsidRDefault="008877F8" w:rsidP="00641834">
      <w:pPr>
        <w:rPr>
          <w:lang w:val="nb-NO"/>
        </w:rPr>
      </w:pPr>
    </w:p>
    <w:p w14:paraId="4FC2216D" w14:textId="77777777" w:rsidR="008877F8" w:rsidRPr="00A942F6" w:rsidRDefault="008877F8" w:rsidP="00641834">
      <w:pPr>
        <w:rPr>
          <w:lang w:val="nb-NO"/>
        </w:rPr>
      </w:pPr>
      <w:r w:rsidRPr="00A942F6">
        <w:rPr>
          <w:lang w:val="nb-NO"/>
        </w:rPr>
        <w:t>Det primære endepunktet var tid til død til og med dag 28. Hazardratioen som sammenlignet tocilizumab + standardbehandling med standardbehandling alene var 0,85 (95 % KI: 0,76 til 0,94), et statistisk signifikant resultat (p = 0,0028). Sannsynligheten for å dø innen dag 28 ble estimert til å være 30,7 % og 34,9 % i henhodsvis tocilizumab og standardbehandlingsarmen. Risikodifferansen var estimert til å være -4,1 % (95 % KI: -7,0 % til -1,3 %), i samsvar med primæranalysen. Hazardratioen blant den forhåndsbestemte undergruppen av pasienter som fikk systemiske kortikosteroider ved baseline var 0,79 (95 % KI: 0,70 til 0,89), og for den forhåndsbestemte undergruppen som ikke fikk systemiske kortikosteroider ved baseline var 1,16 (95 % KI: 0,91 til 1,48).</w:t>
      </w:r>
    </w:p>
    <w:p w14:paraId="6589308E" w14:textId="77777777" w:rsidR="00D34B1D" w:rsidRPr="00A942F6" w:rsidRDefault="00D34B1D" w:rsidP="00641834">
      <w:pPr>
        <w:rPr>
          <w:lang w:val="nb-NO"/>
        </w:rPr>
      </w:pPr>
    </w:p>
    <w:p w14:paraId="5B18AF3F" w14:textId="40FA447D" w:rsidR="008877F8" w:rsidRPr="00A942F6" w:rsidRDefault="008877F8" w:rsidP="00641834">
      <w:pPr>
        <w:rPr>
          <w:lang w:val="nb-NO"/>
        </w:rPr>
      </w:pPr>
      <w:r w:rsidRPr="00A942F6">
        <w:rPr>
          <w:lang w:val="nb-NO"/>
        </w:rPr>
        <w:t>Mediantiden til sykehusutskrivelse var 19 dager i tocilizumab + standardbehandlingsarmen og &gt;</w:t>
      </w:r>
      <w:r w:rsidR="00FC1DF2">
        <w:rPr>
          <w:lang w:val="nb-NO"/>
        </w:rPr>
        <w:t> </w:t>
      </w:r>
      <w:r w:rsidRPr="00A942F6">
        <w:rPr>
          <w:lang w:val="nb-NO"/>
        </w:rPr>
        <w:t>28</w:t>
      </w:r>
      <w:r w:rsidR="00D34B1D" w:rsidRPr="00A942F6">
        <w:rPr>
          <w:lang w:val="nb-NO"/>
        </w:rPr>
        <w:t> </w:t>
      </w:r>
      <w:r w:rsidRPr="00A942F6">
        <w:rPr>
          <w:lang w:val="nb-NO"/>
        </w:rPr>
        <w:t>dager i standardbehandlingsarmen (hazard ratio [95 % KI] = 1,22 [1,12 til 1,33]).</w:t>
      </w:r>
    </w:p>
    <w:p w14:paraId="5D07E0CC" w14:textId="77777777" w:rsidR="008877F8" w:rsidRPr="00A942F6" w:rsidRDefault="008877F8" w:rsidP="00641834">
      <w:pPr>
        <w:rPr>
          <w:lang w:val="nb-NO"/>
        </w:rPr>
      </w:pPr>
    </w:p>
    <w:p w14:paraId="1247D4F1" w14:textId="77777777" w:rsidR="008877F8" w:rsidRPr="00A942F6" w:rsidRDefault="008877F8" w:rsidP="00641834">
      <w:pPr>
        <w:rPr>
          <w:lang w:val="nb-NO"/>
        </w:rPr>
      </w:pPr>
      <w:r w:rsidRPr="00A942F6">
        <w:rPr>
          <w:lang w:val="nb-NO"/>
        </w:rPr>
        <w:t>Blant pasienter som ikke trengte invasiv mekanisk ventilasjon ved baseline var andelen av pasienter som trengte mekanisk ventilasjon eller døde innen dag 28 35 % (619/1754) i tocilizumab + standardbehandlingsarmen og 42 % (754/1800) i standardbehandlingarmen (risikoratio [95 % KI] = 0,84 [0,77 til 0,92], p &lt; 0,0001).</w:t>
      </w:r>
    </w:p>
    <w:p w14:paraId="68C0EB6E" w14:textId="77777777" w:rsidR="008877F8" w:rsidRPr="00A942F6" w:rsidRDefault="008877F8" w:rsidP="00641834">
      <w:pPr>
        <w:rPr>
          <w:lang w:val="nb-NO"/>
        </w:rPr>
      </w:pPr>
    </w:p>
    <w:p w14:paraId="4C14B88C" w14:textId="77777777" w:rsidR="00D34B1D" w:rsidRPr="00A942F6" w:rsidRDefault="00D34B1D" w:rsidP="00641834">
      <w:pPr>
        <w:pStyle w:val="Style1underline"/>
        <w:rPr>
          <w:lang w:val="nb-NO"/>
        </w:rPr>
      </w:pPr>
      <w:r w:rsidRPr="00A942F6">
        <w:rPr>
          <w:lang w:val="nb-NO"/>
        </w:rPr>
        <w:t>Pediatrisk populasjon</w:t>
      </w:r>
    </w:p>
    <w:p w14:paraId="51F8A7AD" w14:textId="77777777" w:rsidR="00D34B1D" w:rsidRPr="00A942F6" w:rsidRDefault="00D34B1D" w:rsidP="00641834">
      <w:pPr>
        <w:pStyle w:val="Style1Iitaic"/>
        <w:rPr>
          <w:lang w:val="nb-NO"/>
        </w:rPr>
      </w:pPr>
      <w:r w:rsidRPr="00A942F6">
        <w:rPr>
          <w:lang w:val="nb-NO"/>
        </w:rPr>
        <w:t>sJIA-pasienter</w:t>
      </w:r>
    </w:p>
    <w:p w14:paraId="4B45895D" w14:textId="77777777" w:rsidR="008877F8" w:rsidRPr="00A942F6" w:rsidRDefault="008877F8" w:rsidP="00641834">
      <w:pPr>
        <w:rPr>
          <w:lang w:val="nb-NO"/>
        </w:rPr>
      </w:pPr>
      <w:r w:rsidRPr="00A942F6">
        <w:rPr>
          <w:lang w:val="nb-NO"/>
        </w:rPr>
        <w:t>Klinisk effekt</w:t>
      </w:r>
    </w:p>
    <w:p w14:paraId="45B395BE" w14:textId="77777777" w:rsidR="008877F8" w:rsidRPr="00A942F6" w:rsidRDefault="008877F8" w:rsidP="00641834">
      <w:pPr>
        <w:rPr>
          <w:lang w:val="nb-NO"/>
        </w:rPr>
      </w:pPr>
      <w:r w:rsidRPr="00A942F6">
        <w:rPr>
          <w:lang w:val="nb-NO"/>
        </w:rPr>
        <w:t>Effekten av tocilizumab ved behandling av aktiv sJIA ble vurdert i en 12-ukers, randomisert, dobbelblind, placebokontrollert studie med to parallelle grupper. Pasientene inkludert i studien hadde en total sykdomsvarighet på minst 6 måneder og en aktiv sykdom uten å oppleve akutt oppblussing som trengte kortikosteroid-doser høyere enn 0,5 mg/kg prednison ekvivalent. Effekten av behandlingen av makrofag-aktiveringssyndrom har ikke blitt underseøk.</w:t>
      </w:r>
    </w:p>
    <w:p w14:paraId="15847584" w14:textId="77777777" w:rsidR="008877F8" w:rsidRPr="00A942F6" w:rsidRDefault="008877F8" w:rsidP="00641834">
      <w:pPr>
        <w:rPr>
          <w:lang w:val="nb-NO"/>
        </w:rPr>
      </w:pPr>
    </w:p>
    <w:p w14:paraId="159CF41D" w14:textId="77777777" w:rsidR="008877F8" w:rsidRPr="00A942F6" w:rsidRDefault="008877F8" w:rsidP="00641834">
      <w:pPr>
        <w:rPr>
          <w:lang w:val="nb-NO"/>
        </w:rPr>
      </w:pPr>
      <w:r w:rsidRPr="00A942F6">
        <w:rPr>
          <w:lang w:val="nb-NO"/>
        </w:rPr>
        <w:t xml:space="preserve">Pasientene (behandlet med eller uten metotreksat) ble randomisert (tocilizumab:placebo = 2:1) til </w:t>
      </w:r>
      <w:r w:rsidRPr="00A942F6">
        <w:rPr>
          <w:rFonts w:cs="Times New Roman"/>
          <w:lang w:val="nb-NO"/>
        </w:rPr>
        <w:t>é</w:t>
      </w:r>
      <w:r w:rsidRPr="00A942F6">
        <w:rPr>
          <w:lang w:val="nb-NO"/>
        </w:rPr>
        <w:t xml:space="preserve">n av to behandlingsgrupper. 75 pasienter fikk tocilizumab-infusjon annenhver uke, enten 8 mg/kg til pasienter </w:t>
      </w:r>
      <w:r w:rsidRPr="00A942F6">
        <w:rPr>
          <w:rFonts w:cs="Times New Roman"/>
          <w:lang w:val="nb-NO"/>
        </w:rPr>
        <w:t>≥</w:t>
      </w:r>
      <w:r w:rsidRPr="00A942F6">
        <w:rPr>
          <w:lang w:val="nb-NO"/>
        </w:rPr>
        <w:t xml:space="preserve"> 30 kg eller 12 mg/kg til pasienter &lt; 30 kg, og 37 pasienter fikk placeboinfusjon annenhver uke. Nedtrapping av kortikosteroid var tillatt fra uke seks for pasienter som hadde en JIA ACR70- respons. Etter 12 uker eller på tidspunktet for ekskludering på grunn av sykdomsforverring, fikk pasientene i den åpne fasen doser i samsvar med vekten.</w:t>
      </w:r>
    </w:p>
    <w:p w14:paraId="414DC7FD" w14:textId="77777777" w:rsidR="00D34B1D" w:rsidRPr="00A942F6" w:rsidRDefault="00D34B1D" w:rsidP="00641834">
      <w:pPr>
        <w:rPr>
          <w:lang w:val="nb-NO"/>
        </w:rPr>
      </w:pPr>
    </w:p>
    <w:p w14:paraId="5FFE0B60" w14:textId="77777777" w:rsidR="008877F8" w:rsidRPr="00A942F6" w:rsidRDefault="008877F8" w:rsidP="00641834">
      <w:pPr>
        <w:pStyle w:val="Style1Iitaic"/>
        <w:rPr>
          <w:lang w:val="nb-NO"/>
        </w:rPr>
      </w:pPr>
      <w:r w:rsidRPr="00A942F6">
        <w:rPr>
          <w:lang w:val="nb-NO"/>
        </w:rPr>
        <w:t>Klinisk respons</w:t>
      </w:r>
    </w:p>
    <w:p w14:paraId="3007533E" w14:textId="77777777" w:rsidR="008877F8" w:rsidRPr="00A942F6" w:rsidRDefault="008877F8" w:rsidP="00641834">
      <w:pPr>
        <w:rPr>
          <w:lang w:val="nb-NO"/>
        </w:rPr>
      </w:pPr>
      <w:r w:rsidRPr="00A942F6">
        <w:rPr>
          <w:lang w:val="nb-NO"/>
        </w:rPr>
        <w:t xml:space="preserve">Det primære endepunktet var andelen av pasienter med minst 30 % forbedring av JIA ACR-skår (JIA ACR30-respons) ved uke 12, og fravær av feber (ingen temperatur </w:t>
      </w:r>
      <w:r w:rsidRPr="00A942F6">
        <w:rPr>
          <w:rFonts w:cs="Times New Roman"/>
          <w:lang w:val="nb-NO"/>
        </w:rPr>
        <w:t>≥</w:t>
      </w:r>
      <w:r w:rsidRPr="00A942F6">
        <w:rPr>
          <w:lang w:val="nb-NO"/>
        </w:rPr>
        <w:t xml:space="preserve"> 37,5 </w:t>
      </w:r>
      <w:r w:rsidRPr="00A942F6">
        <w:rPr>
          <w:rFonts w:cs="Times New Roman"/>
          <w:lang w:val="nb-NO"/>
        </w:rPr>
        <w:t>°</w:t>
      </w:r>
      <w:r w:rsidRPr="00A942F6">
        <w:rPr>
          <w:lang w:val="nb-NO"/>
        </w:rPr>
        <w:t>C registrert de 7 foregående dagene). 85 % (64/75) av de tocilizumab-behandlede pasientene og 24,3 % (9/37) av de placebobehandlede pasientene nådde dette endepunktet. Disse andelene var signifikant forskjellige (p&lt;0,0001).</w:t>
      </w:r>
    </w:p>
    <w:p w14:paraId="2411448C" w14:textId="77777777" w:rsidR="00D34B1D" w:rsidRPr="00A942F6" w:rsidRDefault="00D34B1D" w:rsidP="00641834">
      <w:pPr>
        <w:rPr>
          <w:lang w:val="nb-NO"/>
        </w:rPr>
      </w:pPr>
    </w:p>
    <w:p w14:paraId="457F6C3A" w14:textId="77777777" w:rsidR="008877F8" w:rsidRPr="00A942F6" w:rsidRDefault="008877F8" w:rsidP="00641834">
      <w:pPr>
        <w:rPr>
          <w:lang w:val="nb-NO"/>
        </w:rPr>
      </w:pPr>
      <w:r w:rsidRPr="00A942F6">
        <w:rPr>
          <w:lang w:val="nb-NO"/>
        </w:rPr>
        <w:t>Prosentandelen av pasienter med JIA ACR 30-, 50-, 70- og 90-responser, er vist i Tabell 8.</w:t>
      </w:r>
    </w:p>
    <w:p w14:paraId="4467BDD8" w14:textId="77777777" w:rsidR="008877F8" w:rsidRPr="00A942F6" w:rsidRDefault="008877F8" w:rsidP="00641834">
      <w:pPr>
        <w:rPr>
          <w:lang w:val="nb-NO"/>
        </w:rPr>
      </w:pPr>
    </w:p>
    <w:p w14:paraId="5AEAD9F7" w14:textId="77777777" w:rsidR="008877F8" w:rsidRPr="00A942F6" w:rsidRDefault="008877F8" w:rsidP="00641834">
      <w:pPr>
        <w:pStyle w:val="Style1Iitaic"/>
        <w:rPr>
          <w:lang w:val="nb-NO"/>
        </w:rPr>
      </w:pPr>
      <w:r w:rsidRPr="00A942F6">
        <w:rPr>
          <w:lang w:val="nb-NO"/>
        </w:rPr>
        <w:lastRenderedPageBreak/>
        <w:t>Tabell 8. Rater for JIA ACR-respons ved uke 12 (% av pasientene)</w:t>
      </w:r>
    </w:p>
    <w:p w14:paraId="7EB8B20B" w14:textId="77777777" w:rsidR="008877F8" w:rsidRPr="00A942F6" w:rsidRDefault="008877F8" w:rsidP="00641834">
      <w:pPr>
        <w:pStyle w:val="H2"/>
        <w:rPr>
          <w:lang w:val="nb-NO"/>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3022"/>
        <w:gridCol w:w="3023"/>
      </w:tblGrid>
      <w:tr w:rsidR="008877F8" w:rsidRPr="00A942F6" w14:paraId="63DCAECA" w14:textId="77777777" w:rsidTr="00DB0F71">
        <w:trPr>
          <w:cantSplit/>
          <w:trHeight w:val="87"/>
          <w:tblHeader/>
        </w:trPr>
        <w:tc>
          <w:tcPr>
            <w:tcW w:w="3022" w:type="dxa"/>
          </w:tcPr>
          <w:p w14:paraId="0E933D9F" w14:textId="77777777" w:rsidR="008877F8" w:rsidRPr="00A942F6" w:rsidRDefault="008877F8" w:rsidP="00641834">
            <w:pPr>
              <w:pStyle w:val="TableParagraph"/>
              <w:keepNext/>
              <w:rPr>
                <w:b/>
                <w:sz w:val="20"/>
                <w:szCs w:val="20"/>
                <w:lang w:val="nb-NO"/>
              </w:rPr>
            </w:pPr>
            <w:r w:rsidRPr="00A942F6">
              <w:rPr>
                <w:b/>
                <w:sz w:val="20"/>
                <w:szCs w:val="20"/>
                <w:lang w:val="nb-NO"/>
              </w:rPr>
              <w:t>Responsrate</w:t>
            </w:r>
          </w:p>
        </w:tc>
        <w:tc>
          <w:tcPr>
            <w:tcW w:w="3022" w:type="dxa"/>
          </w:tcPr>
          <w:p w14:paraId="41AFA659" w14:textId="77777777" w:rsidR="001C7A06" w:rsidRPr="00A942F6" w:rsidRDefault="008877F8" w:rsidP="00641834">
            <w:pPr>
              <w:pStyle w:val="TableParagraph"/>
              <w:keepNext/>
              <w:jc w:val="center"/>
              <w:rPr>
                <w:b/>
                <w:sz w:val="20"/>
                <w:szCs w:val="20"/>
                <w:lang w:val="nb-NO"/>
              </w:rPr>
            </w:pPr>
            <w:r w:rsidRPr="00A942F6">
              <w:rPr>
                <w:b/>
                <w:sz w:val="20"/>
                <w:szCs w:val="20"/>
                <w:lang w:val="nb-NO"/>
              </w:rPr>
              <w:t>Tocilizumab</w:t>
            </w:r>
          </w:p>
          <w:p w14:paraId="0A8D76E8" w14:textId="77777777" w:rsidR="008877F8" w:rsidRPr="00A942F6" w:rsidRDefault="008877F8" w:rsidP="00641834">
            <w:pPr>
              <w:pStyle w:val="TableParagraph"/>
              <w:keepNext/>
              <w:jc w:val="center"/>
              <w:rPr>
                <w:b/>
                <w:sz w:val="20"/>
                <w:szCs w:val="20"/>
                <w:lang w:val="nb-NO"/>
              </w:rPr>
            </w:pPr>
            <w:r w:rsidRPr="00A942F6">
              <w:rPr>
                <w:b/>
                <w:sz w:val="20"/>
                <w:szCs w:val="20"/>
                <w:lang w:val="nb-NO"/>
              </w:rPr>
              <w:t>N = 75</w:t>
            </w:r>
          </w:p>
        </w:tc>
        <w:tc>
          <w:tcPr>
            <w:tcW w:w="3023" w:type="dxa"/>
          </w:tcPr>
          <w:p w14:paraId="70175C33" w14:textId="77777777" w:rsidR="001C7A06" w:rsidRPr="00A942F6" w:rsidRDefault="008877F8" w:rsidP="00641834">
            <w:pPr>
              <w:pStyle w:val="TableParagraph"/>
              <w:keepNext/>
              <w:jc w:val="center"/>
              <w:rPr>
                <w:b/>
                <w:sz w:val="20"/>
                <w:szCs w:val="20"/>
                <w:lang w:val="nb-NO"/>
              </w:rPr>
            </w:pPr>
            <w:r w:rsidRPr="00A942F6">
              <w:rPr>
                <w:b/>
                <w:sz w:val="20"/>
                <w:szCs w:val="20"/>
                <w:lang w:val="nb-NO"/>
              </w:rPr>
              <w:t>Placebo</w:t>
            </w:r>
          </w:p>
          <w:p w14:paraId="4B38FA07" w14:textId="77777777" w:rsidR="008877F8" w:rsidRPr="00A942F6" w:rsidRDefault="008877F8" w:rsidP="00641834">
            <w:pPr>
              <w:pStyle w:val="TableParagraph"/>
              <w:keepNext/>
              <w:jc w:val="center"/>
              <w:rPr>
                <w:b/>
                <w:sz w:val="20"/>
                <w:szCs w:val="20"/>
                <w:lang w:val="nb-NO"/>
              </w:rPr>
            </w:pPr>
            <w:r w:rsidRPr="00A942F6">
              <w:rPr>
                <w:b/>
                <w:sz w:val="20"/>
                <w:szCs w:val="20"/>
                <w:lang w:val="nb-NO"/>
              </w:rPr>
              <w:t>N = 37</w:t>
            </w:r>
          </w:p>
        </w:tc>
      </w:tr>
      <w:tr w:rsidR="008877F8" w:rsidRPr="00A942F6" w14:paraId="128A957A" w14:textId="77777777" w:rsidTr="00DB0F71">
        <w:trPr>
          <w:cantSplit/>
          <w:trHeight w:val="251"/>
        </w:trPr>
        <w:tc>
          <w:tcPr>
            <w:tcW w:w="3022" w:type="dxa"/>
          </w:tcPr>
          <w:p w14:paraId="242A69D4" w14:textId="77777777" w:rsidR="008877F8" w:rsidRPr="00A942F6" w:rsidRDefault="008877F8" w:rsidP="00641834">
            <w:pPr>
              <w:pStyle w:val="TableParagraph"/>
              <w:keepNext/>
              <w:rPr>
                <w:sz w:val="20"/>
                <w:szCs w:val="20"/>
                <w:lang w:val="nb-NO"/>
              </w:rPr>
            </w:pPr>
            <w:r w:rsidRPr="00A942F6">
              <w:rPr>
                <w:sz w:val="20"/>
                <w:szCs w:val="20"/>
                <w:lang w:val="nb-NO"/>
              </w:rPr>
              <w:t>JIA ACR 30</w:t>
            </w:r>
          </w:p>
        </w:tc>
        <w:tc>
          <w:tcPr>
            <w:tcW w:w="3022" w:type="dxa"/>
          </w:tcPr>
          <w:p w14:paraId="0A2AB9D1" w14:textId="77777777" w:rsidR="008877F8" w:rsidRPr="00A942F6" w:rsidRDefault="008877F8" w:rsidP="00641834">
            <w:pPr>
              <w:pStyle w:val="TableParagraph"/>
              <w:keepNext/>
              <w:jc w:val="center"/>
              <w:rPr>
                <w:sz w:val="20"/>
                <w:szCs w:val="20"/>
                <w:lang w:val="nb-NO"/>
              </w:rPr>
            </w:pPr>
            <w:r w:rsidRPr="00A942F6">
              <w:rPr>
                <w:sz w:val="20"/>
                <w:szCs w:val="20"/>
                <w:lang w:val="nb-NO"/>
              </w:rPr>
              <w:t>90,7 %</w:t>
            </w:r>
            <w:r w:rsidRPr="00A942F6">
              <w:rPr>
                <w:sz w:val="20"/>
                <w:szCs w:val="20"/>
                <w:vertAlign w:val="superscript"/>
                <w:lang w:val="nb-NO"/>
              </w:rPr>
              <w:t>1</w:t>
            </w:r>
          </w:p>
        </w:tc>
        <w:tc>
          <w:tcPr>
            <w:tcW w:w="3023" w:type="dxa"/>
          </w:tcPr>
          <w:p w14:paraId="24274B90" w14:textId="77777777" w:rsidR="008877F8" w:rsidRPr="00A942F6" w:rsidRDefault="008877F8" w:rsidP="00641834">
            <w:pPr>
              <w:pStyle w:val="TableParagraph"/>
              <w:keepNext/>
              <w:jc w:val="center"/>
              <w:rPr>
                <w:sz w:val="20"/>
                <w:szCs w:val="20"/>
                <w:lang w:val="nb-NO"/>
              </w:rPr>
            </w:pPr>
            <w:r w:rsidRPr="00A942F6">
              <w:rPr>
                <w:sz w:val="20"/>
                <w:szCs w:val="20"/>
                <w:lang w:val="nb-NO"/>
              </w:rPr>
              <w:t>24,3 %</w:t>
            </w:r>
          </w:p>
        </w:tc>
      </w:tr>
      <w:tr w:rsidR="008877F8" w:rsidRPr="00A942F6" w14:paraId="410C83EF" w14:textId="77777777" w:rsidTr="00DB0F71">
        <w:trPr>
          <w:cantSplit/>
          <w:trHeight w:val="253"/>
        </w:trPr>
        <w:tc>
          <w:tcPr>
            <w:tcW w:w="3022" w:type="dxa"/>
          </w:tcPr>
          <w:p w14:paraId="69952BB4" w14:textId="77777777" w:rsidR="008877F8" w:rsidRPr="00A942F6" w:rsidRDefault="008877F8" w:rsidP="00641834">
            <w:pPr>
              <w:pStyle w:val="TableParagraph"/>
              <w:keepNext/>
              <w:rPr>
                <w:sz w:val="20"/>
                <w:szCs w:val="20"/>
                <w:lang w:val="nb-NO"/>
              </w:rPr>
            </w:pPr>
            <w:r w:rsidRPr="00A942F6">
              <w:rPr>
                <w:sz w:val="20"/>
                <w:szCs w:val="20"/>
                <w:lang w:val="nb-NO"/>
              </w:rPr>
              <w:t>JIA ACR 50</w:t>
            </w:r>
          </w:p>
        </w:tc>
        <w:tc>
          <w:tcPr>
            <w:tcW w:w="3022" w:type="dxa"/>
          </w:tcPr>
          <w:p w14:paraId="1ABA960C" w14:textId="77777777" w:rsidR="008877F8" w:rsidRPr="00A942F6" w:rsidRDefault="008877F8" w:rsidP="00641834">
            <w:pPr>
              <w:pStyle w:val="TableParagraph"/>
              <w:keepNext/>
              <w:jc w:val="center"/>
              <w:rPr>
                <w:sz w:val="20"/>
                <w:szCs w:val="20"/>
                <w:lang w:val="nb-NO"/>
              </w:rPr>
            </w:pPr>
            <w:r w:rsidRPr="00A942F6">
              <w:rPr>
                <w:sz w:val="20"/>
                <w:szCs w:val="20"/>
                <w:lang w:val="nb-NO"/>
              </w:rPr>
              <w:t>85,3 %</w:t>
            </w:r>
            <w:r w:rsidRPr="00A942F6">
              <w:rPr>
                <w:sz w:val="20"/>
                <w:szCs w:val="20"/>
                <w:vertAlign w:val="superscript"/>
                <w:lang w:val="nb-NO"/>
              </w:rPr>
              <w:t>1</w:t>
            </w:r>
          </w:p>
        </w:tc>
        <w:tc>
          <w:tcPr>
            <w:tcW w:w="3023" w:type="dxa"/>
          </w:tcPr>
          <w:p w14:paraId="031B154B" w14:textId="77777777" w:rsidR="008877F8" w:rsidRPr="00A942F6" w:rsidRDefault="008877F8" w:rsidP="00641834">
            <w:pPr>
              <w:pStyle w:val="TableParagraph"/>
              <w:keepNext/>
              <w:jc w:val="center"/>
              <w:rPr>
                <w:sz w:val="20"/>
                <w:szCs w:val="20"/>
                <w:lang w:val="nb-NO"/>
              </w:rPr>
            </w:pPr>
            <w:r w:rsidRPr="00A942F6">
              <w:rPr>
                <w:sz w:val="20"/>
                <w:szCs w:val="20"/>
                <w:lang w:val="nb-NO"/>
              </w:rPr>
              <w:t>10,8 %</w:t>
            </w:r>
          </w:p>
        </w:tc>
      </w:tr>
      <w:tr w:rsidR="008877F8" w:rsidRPr="00A942F6" w14:paraId="30AEE646" w14:textId="77777777" w:rsidTr="00DB0F71">
        <w:trPr>
          <w:cantSplit/>
          <w:trHeight w:val="253"/>
        </w:trPr>
        <w:tc>
          <w:tcPr>
            <w:tcW w:w="3022" w:type="dxa"/>
          </w:tcPr>
          <w:p w14:paraId="182E4FAE" w14:textId="77777777" w:rsidR="008877F8" w:rsidRPr="00A942F6" w:rsidRDefault="008877F8" w:rsidP="00641834">
            <w:pPr>
              <w:pStyle w:val="TableParagraph"/>
              <w:keepNext/>
              <w:rPr>
                <w:sz w:val="20"/>
                <w:szCs w:val="20"/>
                <w:lang w:val="nb-NO"/>
              </w:rPr>
            </w:pPr>
            <w:r w:rsidRPr="00A942F6">
              <w:rPr>
                <w:sz w:val="20"/>
                <w:szCs w:val="20"/>
                <w:lang w:val="nb-NO"/>
              </w:rPr>
              <w:t>JIA ACR 70</w:t>
            </w:r>
          </w:p>
        </w:tc>
        <w:tc>
          <w:tcPr>
            <w:tcW w:w="3022" w:type="dxa"/>
          </w:tcPr>
          <w:p w14:paraId="43B38740" w14:textId="77777777" w:rsidR="008877F8" w:rsidRPr="00A942F6" w:rsidRDefault="008877F8" w:rsidP="00641834">
            <w:pPr>
              <w:pStyle w:val="TableParagraph"/>
              <w:keepNext/>
              <w:jc w:val="center"/>
              <w:rPr>
                <w:sz w:val="20"/>
                <w:szCs w:val="20"/>
                <w:lang w:val="nb-NO"/>
              </w:rPr>
            </w:pPr>
            <w:r w:rsidRPr="00A942F6">
              <w:rPr>
                <w:sz w:val="20"/>
                <w:szCs w:val="20"/>
                <w:lang w:val="nb-NO"/>
              </w:rPr>
              <w:t>70,7 %</w:t>
            </w:r>
            <w:r w:rsidRPr="00A942F6">
              <w:rPr>
                <w:sz w:val="20"/>
                <w:szCs w:val="20"/>
                <w:vertAlign w:val="superscript"/>
                <w:lang w:val="nb-NO"/>
              </w:rPr>
              <w:t>1</w:t>
            </w:r>
          </w:p>
        </w:tc>
        <w:tc>
          <w:tcPr>
            <w:tcW w:w="3023" w:type="dxa"/>
          </w:tcPr>
          <w:p w14:paraId="59586F33" w14:textId="77777777" w:rsidR="008877F8" w:rsidRPr="00A942F6" w:rsidRDefault="008877F8" w:rsidP="00641834">
            <w:pPr>
              <w:pStyle w:val="TableParagraph"/>
              <w:keepNext/>
              <w:jc w:val="center"/>
              <w:rPr>
                <w:sz w:val="20"/>
                <w:szCs w:val="20"/>
                <w:lang w:val="nb-NO"/>
              </w:rPr>
            </w:pPr>
            <w:r w:rsidRPr="00A942F6">
              <w:rPr>
                <w:sz w:val="20"/>
                <w:szCs w:val="20"/>
                <w:lang w:val="nb-NO"/>
              </w:rPr>
              <w:t>8,1 %</w:t>
            </w:r>
          </w:p>
        </w:tc>
      </w:tr>
      <w:tr w:rsidR="008877F8" w:rsidRPr="00A942F6" w14:paraId="1954C664" w14:textId="77777777" w:rsidTr="00DB0F71">
        <w:trPr>
          <w:cantSplit/>
          <w:trHeight w:val="251"/>
        </w:trPr>
        <w:tc>
          <w:tcPr>
            <w:tcW w:w="3022" w:type="dxa"/>
          </w:tcPr>
          <w:p w14:paraId="40C4D0BD" w14:textId="77777777" w:rsidR="008877F8" w:rsidRPr="00A942F6" w:rsidRDefault="008877F8" w:rsidP="00641834">
            <w:pPr>
              <w:pStyle w:val="TableParagraph"/>
              <w:keepNext/>
              <w:rPr>
                <w:sz w:val="20"/>
                <w:szCs w:val="20"/>
                <w:lang w:val="nb-NO"/>
              </w:rPr>
            </w:pPr>
            <w:r w:rsidRPr="00A942F6">
              <w:rPr>
                <w:sz w:val="20"/>
                <w:szCs w:val="20"/>
                <w:lang w:val="nb-NO"/>
              </w:rPr>
              <w:t>JIA ACR 90</w:t>
            </w:r>
          </w:p>
        </w:tc>
        <w:tc>
          <w:tcPr>
            <w:tcW w:w="3022" w:type="dxa"/>
          </w:tcPr>
          <w:p w14:paraId="5988BD2C" w14:textId="77777777" w:rsidR="008877F8" w:rsidRPr="00A942F6" w:rsidRDefault="008877F8" w:rsidP="00641834">
            <w:pPr>
              <w:pStyle w:val="TableParagraph"/>
              <w:keepNext/>
              <w:jc w:val="center"/>
              <w:rPr>
                <w:sz w:val="20"/>
                <w:szCs w:val="20"/>
                <w:lang w:val="nb-NO"/>
              </w:rPr>
            </w:pPr>
            <w:r w:rsidRPr="00A942F6">
              <w:rPr>
                <w:sz w:val="20"/>
                <w:szCs w:val="20"/>
                <w:lang w:val="nb-NO"/>
              </w:rPr>
              <w:t>37,3 %</w:t>
            </w:r>
            <w:r w:rsidRPr="00A942F6">
              <w:rPr>
                <w:sz w:val="20"/>
                <w:szCs w:val="20"/>
                <w:vertAlign w:val="superscript"/>
                <w:lang w:val="nb-NO"/>
              </w:rPr>
              <w:t>1</w:t>
            </w:r>
          </w:p>
        </w:tc>
        <w:tc>
          <w:tcPr>
            <w:tcW w:w="3023" w:type="dxa"/>
          </w:tcPr>
          <w:p w14:paraId="6DCE2B01" w14:textId="77777777" w:rsidR="008877F8" w:rsidRPr="00A942F6" w:rsidRDefault="008877F8" w:rsidP="00641834">
            <w:pPr>
              <w:pStyle w:val="TableParagraph"/>
              <w:keepNext/>
              <w:jc w:val="center"/>
              <w:rPr>
                <w:sz w:val="20"/>
                <w:szCs w:val="20"/>
                <w:lang w:val="nb-NO"/>
              </w:rPr>
            </w:pPr>
            <w:r w:rsidRPr="00A942F6">
              <w:rPr>
                <w:sz w:val="20"/>
                <w:szCs w:val="20"/>
                <w:lang w:val="nb-NO"/>
              </w:rPr>
              <w:t>5,4 %</w:t>
            </w:r>
          </w:p>
        </w:tc>
      </w:tr>
    </w:tbl>
    <w:p w14:paraId="644BBC13" w14:textId="77777777" w:rsidR="008877F8" w:rsidRPr="00A942F6" w:rsidRDefault="008877F8" w:rsidP="00641834">
      <w:pPr>
        <w:pStyle w:val="tablenote"/>
        <w:numPr>
          <w:ilvl w:val="0"/>
          <w:numId w:val="5"/>
        </w:numPr>
        <w:ind w:left="284" w:hanging="284"/>
        <w:rPr>
          <w:i/>
          <w:iCs/>
          <w:lang w:val="nb-NO"/>
        </w:rPr>
      </w:pPr>
      <w:r w:rsidRPr="00A942F6">
        <w:rPr>
          <w:i/>
          <w:iCs/>
          <w:lang w:val="nb-NO"/>
        </w:rPr>
        <w:t>p&lt;0,0001, tocilizumab vs. placebo</w:t>
      </w:r>
    </w:p>
    <w:p w14:paraId="487B0543" w14:textId="77777777" w:rsidR="008877F8" w:rsidRPr="00A942F6" w:rsidRDefault="008877F8" w:rsidP="00641834">
      <w:pPr>
        <w:rPr>
          <w:lang w:val="nb-NO"/>
        </w:rPr>
      </w:pPr>
    </w:p>
    <w:p w14:paraId="3285A572" w14:textId="77777777" w:rsidR="008877F8" w:rsidRPr="00A942F6" w:rsidRDefault="008877F8" w:rsidP="00641834">
      <w:pPr>
        <w:pStyle w:val="Style1Iitaic"/>
        <w:rPr>
          <w:lang w:val="nb-NO"/>
        </w:rPr>
      </w:pPr>
      <w:r w:rsidRPr="00A942F6">
        <w:rPr>
          <w:lang w:val="nb-NO"/>
        </w:rPr>
        <w:t>Systemiske effekter</w:t>
      </w:r>
    </w:p>
    <w:p w14:paraId="4C28D28A" w14:textId="77777777" w:rsidR="008877F8" w:rsidRPr="00A942F6" w:rsidRDefault="008877F8" w:rsidP="00641834">
      <w:pPr>
        <w:rPr>
          <w:lang w:val="nb-NO"/>
        </w:rPr>
      </w:pPr>
      <w:r w:rsidRPr="00A942F6">
        <w:rPr>
          <w:lang w:val="nb-NO"/>
        </w:rPr>
        <w:t xml:space="preserve">Blant de tocilizumab-behandlede pasientene var de 85 % som hadde feber på grunn av sJIA ved studiestart, feberfrie (ingen temperatur </w:t>
      </w:r>
      <w:r w:rsidRPr="00A942F6">
        <w:rPr>
          <w:rFonts w:cs="Times New Roman"/>
          <w:lang w:val="nb-NO"/>
        </w:rPr>
        <w:t>≥</w:t>
      </w:r>
      <w:r w:rsidRPr="00A942F6">
        <w:rPr>
          <w:lang w:val="nb-NO"/>
        </w:rPr>
        <w:t xml:space="preserve"> 37,5 </w:t>
      </w:r>
      <w:r w:rsidRPr="00A942F6">
        <w:rPr>
          <w:rFonts w:cs="Times New Roman"/>
          <w:lang w:val="nb-NO"/>
        </w:rPr>
        <w:t>°</w:t>
      </w:r>
      <w:r w:rsidRPr="00A942F6">
        <w:rPr>
          <w:lang w:val="nb-NO"/>
        </w:rPr>
        <w:t>C registrert de 14 foregående dager) ved uke 12, mot bare 21 % av pasientene på placebo (p&lt;0,0001).</w:t>
      </w:r>
    </w:p>
    <w:p w14:paraId="5521E6F3" w14:textId="77777777" w:rsidR="008877F8" w:rsidRPr="00A942F6" w:rsidRDefault="008877F8" w:rsidP="00641834">
      <w:pPr>
        <w:rPr>
          <w:lang w:val="nb-NO"/>
        </w:rPr>
      </w:pPr>
    </w:p>
    <w:p w14:paraId="10A5EAEC" w14:textId="77777777" w:rsidR="008877F8" w:rsidRPr="00A942F6" w:rsidRDefault="008877F8" w:rsidP="00641834">
      <w:pPr>
        <w:rPr>
          <w:lang w:val="nb-NO"/>
        </w:rPr>
      </w:pPr>
      <w:r w:rsidRPr="00A942F6">
        <w:rPr>
          <w:lang w:val="nb-NO"/>
        </w:rPr>
        <w:t>Den justerte gjennomsnittlige smerteendring ifølge VAS etter 12 ukers behandling med tocilizumab, var en reduksjon på 41 punkter på en skala fra 0 - 100, sammenlignet med en reduksjon på 1 for pasienter på placebo (p&lt;0,0001).</w:t>
      </w:r>
    </w:p>
    <w:p w14:paraId="48320FC3" w14:textId="77777777" w:rsidR="008877F8" w:rsidRPr="00A942F6" w:rsidRDefault="008877F8" w:rsidP="00641834">
      <w:pPr>
        <w:rPr>
          <w:lang w:val="nb-NO"/>
        </w:rPr>
      </w:pPr>
    </w:p>
    <w:p w14:paraId="4393963D" w14:textId="77777777" w:rsidR="008877F8" w:rsidRPr="00A942F6" w:rsidRDefault="008877F8" w:rsidP="00641834">
      <w:pPr>
        <w:pStyle w:val="Style1Iitaic"/>
        <w:rPr>
          <w:lang w:val="nb-NO"/>
        </w:rPr>
      </w:pPr>
      <w:r w:rsidRPr="00A942F6">
        <w:rPr>
          <w:lang w:val="nb-NO"/>
        </w:rPr>
        <w:t>Nedtrapping av kortikosteroid</w:t>
      </w:r>
    </w:p>
    <w:p w14:paraId="0FF7794E" w14:textId="77777777" w:rsidR="008877F8" w:rsidRPr="00A942F6" w:rsidRDefault="008877F8" w:rsidP="00641834">
      <w:pPr>
        <w:rPr>
          <w:lang w:val="nb-NO"/>
        </w:rPr>
      </w:pPr>
      <w:r w:rsidRPr="00A942F6">
        <w:rPr>
          <w:lang w:val="nb-NO"/>
        </w:rPr>
        <w:t>Pasienter som hadde en JIA ACR70-respons, fikk redusere dosen av kortikosteroid. Sytten (24 %) av de tocilizumab-behandlede pasienten, mot en (3 %) av pasientene på placebo, kunne redusere dosen av kortikosteroid med minst 20 % uten at de opplevde påfølgende JIA ACR30-forverring eller systemiske symptomer ved uke 12 (p = 0,028). Nedtrappingen av kortikosteroider fortsatte, og 44 pasienter hadde seponert orale kortikosteroider ved uke 44, med opprettholdte JIA ACR-responser.</w:t>
      </w:r>
    </w:p>
    <w:p w14:paraId="23F56254" w14:textId="77777777" w:rsidR="00D34B1D" w:rsidRPr="00A942F6" w:rsidRDefault="00D34B1D" w:rsidP="00641834">
      <w:pPr>
        <w:rPr>
          <w:lang w:val="nb-NO"/>
        </w:rPr>
      </w:pPr>
    </w:p>
    <w:p w14:paraId="17CA04D0" w14:textId="77777777" w:rsidR="008877F8" w:rsidRPr="00A942F6" w:rsidRDefault="008877F8" w:rsidP="00641834">
      <w:pPr>
        <w:pStyle w:val="Style1Iitaic"/>
        <w:rPr>
          <w:lang w:val="nb-NO"/>
        </w:rPr>
      </w:pPr>
      <w:r w:rsidRPr="00A942F6">
        <w:rPr>
          <w:lang w:val="nb-NO"/>
        </w:rPr>
        <w:t>Helserelaterte effekter og livskvalitet</w:t>
      </w:r>
    </w:p>
    <w:p w14:paraId="3C27604D" w14:textId="77777777" w:rsidR="008877F8" w:rsidRPr="00A942F6" w:rsidRDefault="008877F8" w:rsidP="00641834">
      <w:pPr>
        <w:rPr>
          <w:lang w:val="nb-NO"/>
        </w:rPr>
      </w:pPr>
      <w:r w:rsidRPr="00A942F6">
        <w:rPr>
          <w:lang w:val="nb-NO"/>
        </w:rPr>
        <w:t>Ved uke 12 var andelen av tocilizumab-behandlede pasienter som viste minimal forbedring av klinisk betydning ifølge The Childhood Health Assessment Questionnaire</w:t>
      </w:r>
      <w:r w:rsidRPr="00A942F6">
        <w:rPr>
          <w:rFonts w:cs="Times New Roman"/>
          <w:lang w:val="nb-NO"/>
        </w:rPr>
        <w:t xml:space="preserve"> –</w:t>
      </w:r>
      <w:r w:rsidRPr="00A942F6">
        <w:rPr>
          <w:lang w:val="nb-NO"/>
        </w:rPr>
        <w:t xml:space="preserve"> Disability Index (definert som en reduksjon av individuell totalskår på </w:t>
      </w:r>
      <w:r w:rsidRPr="00A942F6">
        <w:rPr>
          <w:rFonts w:cs="Times New Roman"/>
          <w:lang w:val="nb-NO"/>
        </w:rPr>
        <w:t>≥</w:t>
      </w:r>
      <w:r w:rsidRPr="00A942F6">
        <w:rPr>
          <w:lang w:val="nb-NO"/>
        </w:rPr>
        <w:t xml:space="preserve"> 0,13), signifikant høyere enn hos placebobehandlede pasienter, 77 % mot 19 % (p&lt;0.0001).</w:t>
      </w:r>
    </w:p>
    <w:p w14:paraId="4DA6416A" w14:textId="77777777" w:rsidR="008877F8" w:rsidRPr="00A942F6" w:rsidRDefault="008877F8" w:rsidP="00641834">
      <w:pPr>
        <w:rPr>
          <w:lang w:val="nb-NO"/>
        </w:rPr>
      </w:pPr>
    </w:p>
    <w:p w14:paraId="7E28585F" w14:textId="77777777" w:rsidR="008877F8" w:rsidRPr="00A942F6" w:rsidRDefault="008877F8" w:rsidP="00641834">
      <w:pPr>
        <w:pStyle w:val="Style1Iitaic"/>
        <w:rPr>
          <w:lang w:val="nb-NO"/>
        </w:rPr>
      </w:pPr>
      <w:r w:rsidRPr="00A942F6">
        <w:rPr>
          <w:lang w:val="nb-NO"/>
        </w:rPr>
        <w:t>Laboratorieparametre</w:t>
      </w:r>
    </w:p>
    <w:p w14:paraId="6CD31EAF" w14:textId="77777777" w:rsidR="008877F8" w:rsidRPr="00A942F6" w:rsidRDefault="008877F8" w:rsidP="00641834">
      <w:pPr>
        <w:rPr>
          <w:lang w:val="nb-NO"/>
        </w:rPr>
      </w:pPr>
      <w:r w:rsidRPr="00A942F6">
        <w:rPr>
          <w:lang w:val="nb-NO"/>
        </w:rPr>
        <w:t>Femti av syttifem (67 %) tocilizumab-behandlede pasienter hadde hemoglobin &lt; LLN i utgangspunktet. Førti (80 %) av disse pasientene hadde en økning av hemoglobin til normalområdet ved uke 12, sammenlignet med kun 2 av 29 (7 %) av de placebobehandlede med hemoglobin &lt; LLN i utgangspunktet (p&lt;0,0001).</w:t>
      </w:r>
    </w:p>
    <w:p w14:paraId="7A4D083F" w14:textId="77777777" w:rsidR="008877F8" w:rsidRPr="00A942F6" w:rsidRDefault="008877F8" w:rsidP="00641834">
      <w:pPr>
        <w:rPr>
          <w:lang w:val="nb-NO"/>
        </w:rPr>
      </w:pPr>
    </w:p>
    <w:p w14:paraId="78424FA5" w14:textId="77777777" w:rsidR="008877F8" w:rsidRPr="00A942F6" w:rsidRDefault="008877F8" w:rsidP="00641834">
      <w:pPr>
        <w:pStyle w:val="Style1Iitaic"/>
        <w:rPr>
          <w:lang w:val="nb-NO"/>
        </w:rPr>
      </w:pPr>
      <w:r w:rsidRPr="00A942F6">
        <w:rPr>
          <w:lang w:val="nb-NO"/>
        </w:rPr>
        <w:t>pJIA-pasienter</w:t>
      </w:r>
    </w:p>
    <w:p w14:paraId="22F66966" w14:textId="77777777" w:rsidR="008877F8" w:rsidRPr="00A942F6" w:rsidRDefault="008877F8" w:rsidP="00641834">
      <w:pPr>
        <w:rPr>
          <w:lang w:val="nb-NO"/>
        </w:rPr>
      </w:pPr>
      <w:r w:rsidRPr="00A942F6">
        <w:rPr>
          <w:lang w:val="nb-NO"/>
        </w:rPr>
        <w:t>Klinisk effekt</w:t>
      </w:r>
    </w:p>
    <w:p w14:paraId="62363CA7" w14:textId="77777777" w:rsidR="008877F8" w:rsidRPr="00A942F6" w:rsidRDefault="008877F8" w:rsidP="00641834">
      <w:pPr>
        <w:rPr>
          <w:lang w:val="nb-NO"/>
        </w:rPr>
      </w:pPr>
      <w:r w:rsidRPr="00A942F6">
        <w:rPr>
          <w:lang w:val="nb-NO"/>
        </w:rPr>
        <w:t xml:space="preserve">Effekten av tocilizumab ble vurdert i en tredelt studie, WA19977, som inkluderte en åpen forlengelse hos barn med aktiv pJIA. Del I besto av en innledningsperiode på16 uker med aktiv tocilizumab- behandling (n = 188), etterfulgt av del II, en 24 ukers randomisert dobbeltblind placebokontrollert seponeringsperiode (n = 163), etterfulgt av del III, en 64 ukers åpen periode. Egnede pasienter </w:t>
      </w:r>
      <w:r w:rsidRPr="00A942F6">
        <w:rPr>
          <w:rFonts w:cs="Times New Roman"/>
          <w:lang w:val="nb-NO"/>
        </w:rPr>
        <w:t>≥</w:t>
      </w:r>
      <w:r w:rsidRPr="00A942F6">
        <w:rPr>
          <w:lang w:val="nb-NO"/>
        </w:rPr>
        <w:t xml:space="preserve"> 30 kg i del I fikk tocilizumab 8 mg / kg i.v. hver fjerde uke, totalt 4 doser. Pasienter &lt; 30 kg ble randomisert 1:1 til å få enten tocilizumab 8 mg / kg eller 10 mg / kg i.v. hver fjerde uke, totalt 4 doser. Pasienter som fullførte del I av studien og oppnådde minst JIA ACR30 respons ved uke 16 sammenlignet med utgangsnivået var egnet til å bli med i den blindede seponeringsperioden (del II) av studien. I del II ble pasientene randomisert til tocilizumab (samme dose mottatt i del I) eller placebo i forholdet 1:1 stratifisert for samtidig bruk av metotreksat og samtidig bruk av kortikosteroider. Pasientene fortsatte i del II av studien til uke 40 eller inntil pasienten oppnådde oppblusskriteriet JIA ACR30 (i forhold til uke 16) og kvalifiserte for bytte til tocilizumab-behandling (samme dose mottatt i del I).</w:t>
      </w:r>
    </w:p>
    <w:p w14:paraId="55C1C143" w14:textId="77777777" w:rsidR="008877F8" w:rsidRPr="00A942F6" w:rsidRDefault="008877F8" w:rsidP="00641834">
      <w:pPr>
        <w:rPr>
          <w:lang w:val="nb-NO"/>
        </w:rPr>
      </w:pPr>
    </w:p>
    <w:p w14:paraId="05200514" w14:textId="77777777" w:rsidR="008877F8" w:rsidRPr="00A942F6" w:rsidRDefault="008877F8" w:rsidP="00641834">
      <w:pPr>
        <w:pStyle w:val="Style1Iitaic"/>
        <w:rPr>
          <w:lang w:val="nb-NO"/>
        </w:rPr>
      </w:pPr>
      <w:r w:rsidRPr="00A942F6">
        <w:rPr>
          <w:lang w:val="nb-NO"/>
        </w:rPr>
        <w:t>Klinisk respons</w:t>
      </w:r>
    </w:p>
    <w:p w14:paraId="386F8CA9" w14:textId="77777777" w:rsidR="008877F8" w:rsidRPr="00A942F6" w:rsidRDefault="008877F8" w:rsidP="00641834">
      <w:pPr>
        <w:rPr>
          <w:lang w:val="nb-NO"/>
        </w:rPr>
      </w:pPr>
      <w:r w:rsidRPr="00A942F6">
        <w:rPr>
          <w:lang w:val="nb-NO"/>
        </w:rPr>
        <w:t>Det primære endepunktet var andelen pasienter med en JIA ACR30 oppbluss i uke 40 i forhold til uke</w:t>
      </w:r>
    </w:p>
    <w:p w14:paraId="2A73F24F" w14:textId="77777777" w:rsidR="008877F8" w:rsidRPr="00A942F6" w:rsidRDefault="008877F8" w:rsidP="00641834">
      <w:pPr>
        <w:rPr>
          <w:lang w:val="nb-NO"/>
        </w:rPr>
      </w:pPr>
      <w:r w:rsidRPr="00A942F6">
        <w:rPr>
          <w:lang w:val="nb-NO"/>
        </w:rPr>
        <w:lastRenderedPageBreak/>
        <w:t>16. Førtiåtte prosent (48,1 %, 39/81) av pasientene som ble behandlet med placebo fikk oppbluss sammenlignet med 25,6 % (21/82) av tocilizumab-behandlede pasienter. Disse andelene var statistisk signifikant forskjellig (p = 0,0024).</w:t>
      </w:r>
    </w:p>
    <w:p w14:paraId="3D237C0B" w14:textId="77777777" w:rsidR="008877F8" w:rsidRPr="00A942F6" w:rsidRDefault="008877F8" w:rsidP="00641834">
      <w:pPr>
        <w:rPr>
          <w:lang w:val="nb-NO"/>
        </w:rPr>
      </w:pPr>
    </w:p>
    <w:p w14:paraId="155A8671" w14:textId="77777777" w:rsidR="008877F8" w:rsidRPr="00A942F6" w:rsidRDefault="008877F8" w:rsidP="00641834">
      <w:pPr>
        <w:rPr>
          <w:lang w:val="nb-NO"/>
        </w:rPr>
      </w:pPr>
      <w:r w:rsidRPr="00A942F6">
        <w:rPr>
          <w:lang w:val="nb-NO"/>
        </w:rPr>
        <w:t>Ved avslutningen av del I, var JIA ACR 30/50/70/90 responser henholdsvis 89,4 %, 83,0 %, 62,2 % og 26,1 %.</w:t>
      </w:r>
    </w:p>
    <w:p w14:paraId="4CE46BBA" w14:textId="77777777" w:rsidR="00D34B1D" w:rsidRPr="00A942F6" w:rsidRDefault="00D34B1D" w:rsidP="00641834">
      <w:pPr>
        <w:rPr>
          <w:lang w:val="nb-NO"/>
        </w:rPr>
      </w:pPr>
    </w:p>
    <w:p w14:paraId="72058DC4" w14:textId="43914BD5" w:rsidR="008877F8" w:rsidRPr="00A942F6" w:rsidRDefault="008877F8" w:rsidP="00641834">
      <w:pPr>
        <w:rPr>
          <w:lang w:val="nb-NO"/>
        </w:rPr>
      </w:pPr>
      <w:r w:rsidRPr="00A942F6">
        <w:rPr>
          <w:lang w:val="nb-NO"/>
        </w:rPr>
        <w:t>Under seponeringsfasen (del II), er prosentandelen av pasienter som oppnådde JIA ACR 30, 50, og 70</w:t>
      </w:r>
      <w:r w:rsidR="002C204D" w:rsidRPr="00A942F6">
        <w:rPr>
          <w:lang w:val="nb-NO"/>
        </w:rPr>
        <w:t> </w:t>
      </w:r>
      <w:r w:rsidRPr="00A942F6">
        <w:rPr>
          <w:lang w:val="nb-NO"/>
        </w:rPr>
        <w:t xml:space="preserve">responser ved uke 40 i forhold til utgangsnivået vist i tabell 9. I denne statistiske analysen ble pasienter som fikk oppbluss (og byttet til </w:t>
      </w:r>
      <w:r w:rsidR="00C945E8" w:rsidRPr="00A942F6">
        <w:rPr>
          <w:lang w:val="nb-NO"/>
        </w:rPr>
        <w:t>tocilizumab</w:t>
      </w:r>
      <w:r w:rsidRPr="00A942F6">
        <w:rPr>
          <w:lang w:val="nb-NO"/>
        </w:rPr>
        <w:t xml:space="preserve">) under Part II eller som sluttet behandling, klassifisert som “ikke-respondere”. En tilleggsobservasjon av JIA ACR responser, i henhold til observert data ved uke 40, uavhengig av oppbluss-status, viste at 95,1 % av pasientene som fikk kontinuerlig </w:t>
      </w:r>
      <w:r w:rsidR="00C945E8" w:rsidRPr="00A942F6">
        <w:rPr>
          <w:lang w:val="nb-NO"/>
        </w:rPr>
        <w:t>tocilizumab</w:t>
      </w:r>
      <w:r w:rsidRPr="00A942F6">
        <w:rPr>
          <w:lang w:val="nb-NO"/>
        </w:rPr>
        <w:t>-behandling, oppnådde JIA ACR30 eller høyere.</w:t>
      </w:r>
    </w:p>
    <w:p w14:paraId="5A1C982E" w14:textId="77777777" w:rsidR="008877F8" w:rsidRPr="00A942F6" w:rsidRDefault="008877F8" w:rsidP="00641834">
      <w:pPr>
        <w:rPr>
          <w:lang w:val="nb-NO"/>
        </w:rPr>
      </w:pPr>
    </w:p>
    <w:p w14:paraId="1606FFD8" w14:textId="77777777" w:rsidR="008877F8" w:rsidRPr="00A942F6" w:rsidRDefault="008877F8" w:rsidP="00641834">
      <w:pPr>
        <w:pStyle w:val="Style1Iitaic"/>
        <w:rPr>
          <w:lang w:val="nb-NO"/>
        </w:rPr>
      </w:pPr>
      <w:r w:rsidRPr="00A942F6">
        <w:rPr>
          <w:lang w:val="nb-NO"/>
        </w:rPr>
        <w:t>Tabell 9. JIA ACR responsrate ved uke 40 i forhold til utgangsnivået (prosent av pasientene)</w:t>
      </w:r>
    </w:p>
    <w:p w14:paraId="2591C0DC" w14:textId="77777777" w:rsidR="008877F8" w:rsidRPr="00A942F6" w:rsidRDefault="008877F8" w:rsidP="00641834">
      <w:pPr>
        <w:rPr>
          <w:lang w:val="nb-NO"/>
        </w:rPr>
      </w:pPr>
    </w:p>
    <w:tbl>
      <w:tblPr>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077"/>
        <w:gridCol w:w="2861"/>
      </w:tblGrid>
      <w:tr w:rsidR="008877F8" w:rsidRPr="00A942F6" w14:paraId="05B56C2F" w14:textId="77777777" w:rsidTr="003175D5">
        <w:trPr>
          <w:cantSplit/>
          <w:tblHeader/>
        </w:trPr>
        <w:tc>
          <w:tcPr>
            <w:tcW w:w="3118" w:type="dxa"/>
          </w:tcPr>
          <w:p w14:paraId="63A08505" w14:textId="77777777" w:rsidR="008877F8" w:rsidRPr="00A942F6" w:rsidRDefault="008877F8" w:rsidP="00641834">
            <w:pPr>
              <w:pStyle w:val="TableParagraph"/>
              <w:rPr>
                <w:b/>
                <w:sz w:val="20"/>
                <w:szCs w:val="20"/>
                <w:lang w:val="nb-NO"/>
              </w:rPr>
            </w:pPr>
            <w:r w:rsidRPr="00A942F6">
              <w:rPr>
                <w:b/>
                <w:sz w:val="20"/>
                <w:szCs w:val="20"/>
                <w:lang w:val="nb-NO"/>
              </w:rPr>
              <w:t>Responsrate</w:t>
            </w:r>
          </w:p>
        </w:tc>
        <w:tc>
          <w:tcPr>
            <w:tcW w:w="3077" w:type="dxa"/>
          </w:tcPr>
          <w:p w14:paraId="201C0D80" w14:textId="77777777" w:rsidR="008877F8" w:rsidRPr="00A942F6" w:rsidRDefault="008877F8" w:rsidP="00641834">
            <w:pPr>
              <w:pStyle w:val="TableParagraph"/>
              <w:jc w:val="center"/>
              <w:rPr>
                <w:b/>
                <w:bCs/>
                <w:sz w:val="20"/>
                <w:szCs w:val="20"/>
                <w:lang w:val="nb-NO"/>
              </w:rPr>
            </w:pPr>
            <w:r w:rsidRPr="00A942F6">
              <w:rPr>
                <w:b/>
                <w:bCs/>
                <w:sz w:val="20"/>
                <w:szCs w:val="20"/>
                <w:lang w:val="nb-NO"/>
              </w:rPr>
              <w:t>Tocilizumab</w:t>
            </w:r>
          </w:p>
          <w:p w14:paraId="6F3EA490" w14:textId="77777777" w:rsidR="008877F8" w:rsidRPr="00A942F6" w:rsidRDefault="008877F8" w:rsidP="00641834">
            <w:pPr>
              <w:pStyle w:val="TableParagraph"/>
              <w:jc w:val="center"/>
              <w:rPr>
                <w:b/>
                <w:bCs/>
                <w:sz w:val="20"/>
                <w:szCs w:val="20"/>
                <w:lang w:val="nb-NO"/>
              </w:rPr>
            </w:pPr>
            <w:r w:rsidRPr="00A942F6">
              <w:rPr>
                <w:b/>
                <w:bCs/>
                <w:sz w:val="20"/>
                <w:szCs w:val="20"/>
                <w:lang w:val="nb-NO"/>
              </w:rPr>
              <w:t>N=82</w:t>
            </w:r>
          </w:p>
        </w:tc>
        <w:tc>
          <w:tcPr>
            <w:tcW w:w="2861" w:type="dxa"/>
          </w:tcPr>
          <w:p w14:paraId="513C29F0" w14:textId="77777777" w:rsidR="008877F8" w:rsidRPr="00A942F6" w:rsidRDefault="008877F8" w:rsidP="00641834">
            <w:pPr>
              <w:pStyle w:val="TableParagraph"/>
              <w:jc w:val="center"/>
              <w:rPr>
                <w:b/>
                <w:bCs/>
                <w:sz w:val="20"/>
                <w:szCs w:val="20"/>
                <w:lang w:val="nb-NO"/>
              </w:rPr>
            </w:pPr>
            <w:r w:rsidRPr="00A942F6">
              <w:rPr>
                <w:b/>
                <w:bCs/>
                <w:sz w:val="20"/>
                <w:szCs w:val="20"/>
                <w:lang w:val="nb-NO"/>
              </w:rPr>
              <w:t>Placebo</w:t>
            </w:r>
          </w:p>
          <w:p w14:paraId="0C21BF52" w14:textId="77777777" w:rsidR="008877F8" w:rsidRPr="00A942F6" w:rsidRDefault="008877F8" w:rsidP="00641834">
            <w:pPr>
              <w:pStyle w:val="TableParagraph"/>
              <w:jc w:val="center"/>
              <w:rPr>
                <w:b/>
                <w:bCs/>
                <w:sz w:val="20"/>
                <w:szCs w:val="20"/>
                <w:lang w:val="nb-NO"/>
              </w:rPr>
            </w:pPr>
            <w:r w:rsidRPr="00A942F6">
              <w:rPr>
                <w:b/>
                <w:bCs/>
                <w:sz w:val="20"/>
                <w:szCs w:val="20"/>
                <w:lang w:val="nb-NO"/>
              </w:rPr>
              <w:t>N=81</w:t>
            </w:r>
          </w:p>
        </w:tc>
      </w:tr>
      <w:tr w:rsidR="008877F8" w:rsidRPr="00A942F6" w14:paraId="6B8905E2" w14:textId="77777777" w:rsidTr="003175D5">
        <w:trPr>
          <w:cantSplit/>
        </w:trPr>
        <w:tc>
          <w:tcPr>
            <w:tcW w:w="3118" w:type="dxa"/>
          </w:tcPr>
          <w:p w14:paraId="1C03EDD1" w14:textId="77777777" w:rsidR="008877F8" w:rsidRPr="00A942F6" w:rsidRDefault="008877F8" w:rsidP="00641834">
            <w:pPr>
              <w:pStyle w:val="TableParagraph"/>
              <w:rPr>
                <w:sz w:val="20"/>
                <w:szCs w:val="20"/>
                <w:lang w:val="nb-NO"/>
              </w:rPr>
            </w:pPr>
            <w:r w:rsidRPr="00A942F6">
              <w:rPr>
                <w:sz w:val="20"/>
                <w:szCs w:val="20"/>
                <w:lang w:val="nb-NO"/>
              </w:rPr>
              <w:t>ACR 30</w:t>
            </w:r>
          </w:p>
        </w:tc>
        <w:tc>
          <w:tcPr>
            <w:tcW w:w="3077" w:type="dxa"/>
          </w:tcPr>
          <w:p w14:paraId="5DC71AE1" w14:textId="77777777" w:rsidR="008877F8" w:rsidRPr="00A942F6" w:rsidRDefault="008877F8" w:rsidP="00641834">
            <w:pPr>
              <w:pStyle w:val="TableParagraph"/>
              <w:jc w:val="center"/>
              <w:rPr>
                <w:sz w:val="20"/>
                <w:szCs w:val="20"/>
                <w:lang w:val="nb-NO"/>
              </w:rPr>
            </w:pPr>
            <w:r w:rsidRPr="00A942F6">
              <w:rPr>
                <w:sz w:val="20"/>
                <w:szCs w:val="20"/>
                <w:lang w:val="nb-NO"/>
              </w:rPr>
              <w:t>74,4%*</w:t>
            </w:r>
          </w:p>
        </w:tc>
        <w:tc>
          <w:tcPr>
            <w:tcW w:w="2861" w:type="dxa"/>
          </w:tcPr>
          <w:p w14:paraId="3A5F0D2B" w14:textId="77777777" w:rsidR="008877F8" w:rsidRPr="00A942F6" w:rsidRDefault="008877F8" w:rsidP="00641834">
            <w:pPr>
              <w:pStyle w:val="TableParagraph"/>
              <w:jc w:val="center"/>
              <w:rPr>
                <w:sz w:val="20"/>
                <w:szCs w:val="20"/>
                <w:lang w:val="nb-NO"/>
              </w:rPr>
            </w:pPr>
            <w:r w:rsidRPr="00A942F6">
              <w:rPr>
                <w:sz w:val="20"/>
                <w:szCs w:val="20"/>
                <w:lang w:val="nb-NO"/>
              </w:rPr>
              <w:t>54,3%*</w:t>
            </w:r>
          </w:p>
        </w:tc>
      </w:tr>
      <w:tr w:rsidR="008877F8" w:rsidRPr="00A942F6" w14:paraId="51F2E9F0" w14:textId="77777777" w:rsidTr="003175D5">
        <w:trPr>
          <w:cantSplit/>
        </w:trPr>
        <w:tc>
          <w:tcPr>
            <w:tcW w:w="3118" w:type="dxa"/>
          </w:tcPr>
          <w:p w14:paraId="02B39216" w14:textId="77777777" w:rsidR="008877F8" w:rsidRPr="00A942F6" w:rsidRDefault="008877F8" w:rsidP="00641834">
            <w:pPr>
              <w:pStyle w:val="TableParagraph"/>
              <w:rPr>
                <w:sz w:val="20"/>
                <w:szCs w:val="20"/>
                <w:lang w:val="nb-NO"/>
              </w:rPr>
            </w:pPr>
            <w:r w:rsidRPr="00A942F6">
              <w:rPr>
                <w:sz w:val="20"/>
                <w:szCs w:val="20"/>
                <w:lang w:val="nb-NO"/>
              </w:rPr>
              <w:t>ACR 50</w:t>
            </w:r>
          </w:p>
        </w:tc>
        <w:tc>
          <w:tcPr>
            <w:tcW w:w="3077" w:type="dxa"/>
          </w:tcPr>
          <w:p w14:paraId="3DF80785" w14:textId="77777777" w:rsidR="008877F8" w:rsidRPr="00A942F6" w:rsidRDefault="008877F8" w:rsidP="00641834">
            <w:pPr>
              <w:pStyle w:val="TableParagraph"/>
              <w:jc w:val="center"/>
              <w:rPr>
                <w:sz w:val="20"/>
                <w:szCs w:val="20"/>
                <w:lang w:val="nb-NO"/>
              </w:rPr>
            </w:pPr>
            <w:r w:rsidRPr="00A942F6">
              <w:rPr>
                <w:sz w:val="20"/>
                <w:szCs w:val="20"/>
                <w:lang w:val="nb-NO"/>
              </w:rPr>
              <w:t>73,2%*</w:t>
            </w:r>
          </w:p>
        </w:tc>
        <w:tc>
          <w:tcPr>
            <w:tcW w:w="2861" w:type="dxa"/>
          </w:tcPr>
          <w:p w14:paraId="6F4555A1" w14:textId="77777777" w:rsidR="008877F8" w:rsidRPr="00A942F6" w:rsidRDefault="008877F8" w:rsidP="00641834">
            <w:pPr>
              <w:pStyle w:val="TableParagraph"/>
              <w:jc w:val="center"/>
              <w:rPr>
                <w:sz w:val="20"/>
                <w:szCs w:val="20"/>
                <w:lang w:val="nb-NO"/>
              </w:rPr>
            </w:pPr>
            <w:r w:rsidRPr="00A942F6">
              <w:rPr>
                <w:sz w:val="20"/>
                <w:szCs w:val="20"/>
                <w:lang w:val="nb-NO"/>
              </w:rPr>
              <w:t>51,9%*</w:t>
            </w:r>
          </w:p>
        </w:tc>
      </w:tr>
      <w:tr w:rsidR="008877F8" w:rsidRPr="00A942F6" w14:paraId="457A9761" w14:textId="77777777" w:rsidTr="003175D5">
        <w:trPr>
          <w:cantSplit/>
        </w:trPr>
        <w:tc>
          <w:tcPr>
            <w:tcW w:w="3118" w:type="dxa"/>
          </w:tcPr>
          <w:p w14:paraId="6F057E1E" w14:textId="77777777" w:rsidR="008877F8" w:rsidRPr="00A942F6" w:rsidRDefault="008877F8" w:rsidP="00641834">
            <w:pPr>
              <w:pStyle w:val="TableParagraph"/>
              <w:rPr>
                <w:sz w:val="20"/>
                <w:szCs w:val="20"/>
                <w:lang w:val="nb-NO"/>
              </w:rPr>
            </w:pPr>
            <w:r w:rsidRPr="00A942F6">
              <w:rPr>
                <w:sz w:val="20"/>
                <w:szCs w:val="20"/>
                <w:lang w:val="nb-NO"/>
              </w:rPr>
              <w:t>ACR 70</w:t>
            </w:r>
          </w:p>
        </w:tc>
        <w:tc>
          <w:tcPr>
            <w:tcW w:w="3077" w:type="dxa"/>
          </w:tcPr>
          <w:p w14:paraId="40C42E3F" w14:textId="77777777" w:rsidR="008877F8" w:rsidRPr="00A942F6" w:rsidRDefault="008877F8" w:rsidP="00641834">
            <w:pPr>
              <w:pStyle w:val="TableParagraph"/>
              <w:jc w:val="center"/>
              <w:rPr>
                <w:sz w:val="20"/>
                <w:szCs w:val="20"/>
                <w:lang w:val="nb-NO"/>
              </w:rPr>
            </w:pPr>
            <w:r w:rsidRPr="00A942F6">
              <w:rPr>
                <w:sz w:val="20"/>
                <w:szCs w:val="20"/>
                <w:lang w:val="nb-NO"/>
              </w:rPr>
              <w:t>64,6%*</w:t>
            </w:r>
          </w:p>
        </w:tc>
        <w:tc>
          <w:tcPr>
            <w:tcW w:w="2861" w:type="dxa"/>
          </w:tcPr>
          <w:p w14:paraId="412F0FB6" w14:textId="77777777" w:rsidR="008877F8" w:rsidRPr="00A942F6" w:rsidRDefault="008877F8" w:rsidP="00641834">
            <w:pPr>
              <w:pStyle w:val="TableParagraph"/>
              <w:jc w:val="center"/>
              <w:rPr>
                <w:sz w:val="20"/>
                <w:szCs w:val="20"/>
                <w:lang w:val="nb-NO"/>
              </w:rPr>
            </w:pPr>
            <w:r w:rsidRPr="00A942F6">
              <w:rPr>
                <w:sz w:val="20"/>
                <w:szCs w:val="20"/>
                <w:lang w:val="nb-NO"/>
              </w:rPr>
              <w:t>42,0%*</w:t>
            </w:r>
          </w:p>
        </w:tc>
      </w:tr>
    </w:tbl>
    <w:p w14:paraId="0B0E2B0D" w14:textId="77777777" w:rsidR="008877F8" w:rsidRPr="00A942F6" w:rsidRDefault="008877F8" w:rsidP="00641834">
      <w:pPr>
        <w:pStyle w:val="tablenotestar"/>
        <w:rPr>
          <w:i/>
          <w:iCs/>
          <w:lang w:val="nb-NO"/>
        </w:rPr>
      </w:pPr>
      <w:r w:rsidRPr="00A942F6">
        <w:rPr>
          <w:i/>
          <w:iCs/>
          <w:lang w:val="nb-NO"/>
        </w:rPr>
        <w:t>p&lt;0,01, tocilizumab vs. placebo</w:t>
      </w:r>
    </w:p>
    <w:p w14:paraId="399637C9" w14:textId="77777777" w:rsidR="008877F8" w:rsidRPr="00A942F6" w:rsidRDefault="008877F8" w:rsidP="00641834">
      <w:pPr>
        <w:rPr>
          <w:lang w:val="nb-NO"/>
        </w:rPr>
      </w:pPr>
    </w:p>
    <w:p w14:paraId="52E6FE59" w14:textId="77777777" w:rsidR="008877F8" w:rsidRPr="00A942F6" w:rsidRDefault="008877F8" w:rsidP="00641834">
      <w:pPr>
        <w:rPr>
          <w:lang w:val="nb-NO"/>
        </w:rPr>
      </w:pPr>
      <w:r w:rsidRPr="00A942F6">
        <w:rPr>
          <w:lang w:val="nb-NO"/>
        </w:rPr>
        <w:t>Antallet aktive ledd ble betydelig redusert i forhold til basislinje hos pasienter som fikk tocilizumab sammenlignet med placebo (justert gjennomsnittlig endring av -14,3 vs -11,4, p = 0,0435). Legens totale vurdering av sykdomsaktivitet, målt på en 0-100 mm skala, viste en større reduksjon i sykdomsaktivitet for tocilizumab sammenlignet med placebo (justert gjennomsnittlig endring av -45,2</w:t>
      </w:r>
      <w:r w:rsidR="00F36EEE" w:rsidRPr="00A942F6">
        <w:rPr>
          <w:lang w:val="nb-NO"/>
        </w:rPr>
        <w:t> </w:t>
      </w:r>
      <w:r w:rsidRPr="00A942F6">
        <w:rPr>
          <w:lang w:val="nb-NO"/>
        </w:rPr>
        <w:t>mm vs -35,2 mm, p = 0,0031).</w:t>
      </w:r>
    </w:p>
    <w:p w14:paraId="02B87E7E" w14:textId="77777777" w:rsidR="00D34B1D" w:rsidRPr="00A942F6" w:rsidRDefault="00D34B1D" w:rsidP="00641834">
      <w:pPr>
        <w:rPr>
          <w:lang w:val="nb-NO"/>
        </w:rPr>
      </w:pPr>
    </w:p>
    <w:p w14:paraId="7AD9594C" w14:textId="77777777" w:rsidR="008877F8" w:rsidRPr="00A942F6" w:rsidRDefault="008877F8" w:rsidP="00641834">
      <w:pPr>
        <w:rPr>
          <w:lang w:val="nb-NO"/>
        </w:rPr>
      </w:pPr>
      <w:r w:rsidRPr="00A942F6">
        <w:rPr>
          <w:lang w:val="nb-NO"/>
        </w:rPr>
        <w:t>Den justerte gjennomsnittlige endringen i smerte VAS etter 40 uker med tocilizumab-behandling var 32,4 mm på en 0-100 mm skala i forhold til en reduksjon på 22,3 mm for placebo-pasienter (svært statistisk signifikant, p = 0,0076). I disse analysene av kontinuerlige endepunkter ved uke 40, ble siste observasjon videreført for pasienter som ble overført til åpen tocilizumab eller for de som trakk seg fra studien.</w:t>
      </w:r>
    </w:p>
    <w:p w14:paraId="7F43BB48" w14:textId="77777777" w:rsidR="008877F8" w:rsidRPr="00A942F6" w:rsidRDefault="008877F8" w:rsidP="00641834">
      <w:pPr>
        <w:rPr>
          <w:lang w:val="nb-NO"/>
        </w:rPr>
      </w:pPr>
    </w:p>
    <w:p w14:paraId="6474C80B" w14:textId="77777777" w:rsidR="008877F8" w:rsidRPr="00A942F6" w:rsidRDefault="008877F8" w:rsidP="00641834">
      <w:pPr>
        <w:rPr>
          <w:lang w:val="nb-NO"/>
        </w:rPr>
      </w:pPr>
      <w:r w:rsidRPr="00A942F6">
        <w:rPr>
          <w:lang w:val="nb-NO"/>
        </w:rPr>
        <w:t>ACR responsraten var nummerisk lavere for pasienter som tidligere hadde fått behandling med biologisk legemiddel, som vist i tabell 10 under.</w:t>
      </w:r>
    </w:p>
    <w:p w14:paraId="6F2B36D1" w14:textId="77777777" w:rsidR="008877F8" w:rsidRPr="00A942F6" w:rsidRDefault="008877F8" w:rsidP="00641834">
      <w:pPr>
        <w:rPr>
          <w:lang w:val="nb-NO"/>
        </w:rPr>
      </w:pPr>
    </w:p>
    <w:p w14:paraId="67E2F48C" w14:textId="77777777" w:rsidR="008877F8" w:rsidRPr="00A942F6" w:rsidRDefault="008877F8" w:rsidP="00641834">
      <w:pPr>
        <w:pStyle w:val="Style1Iitaic"/>
        <w:rPr>
          <w:lang w:val="nb-NO"/>
        </w:rPr>
      </w:pPr>
      <w:r w:rsidRPr="00A942F6">
        <w:rPr>
          <w:lang w:val="nb-NO"/>
        </w:rPr>
        <w:t>Tabell 10. Antall og andel av pasienter med en JIA ACR30 oppbluss og forholdet av pasienter med JIA ACR30/50/70/90 responser ved uke 40, ved tidligere bruk av biologisk legemiddel (ITT populasjon – studie del II)</w:t>
      </w:r>
    </w:p>
    <w:p w14:paraId="08CC8C2F" w14:textId="77777777" w:rsidR="008877F8" w:rsidRPr="00A942F6" w:rsidRDefault="008877F8" w:rsidP="00641834">
      <w:pPr>
        <w:rPr>
          <w:lang w:val="nb-NO"/>
        </w:rPr>
      </w:pPr>
    </w:p>
    <w:tbl>
      <w:tblPr>
        <w:tblW w:w="8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6"/>
        <w:gridCol w:w="1416"/>
        <w:gridCol w:w="1418"/>
        <w:gridCol w:w="1418"/>
        <w:gridCol w:w="1569"/>
      </w:tblGrid>
      <w:tr w:rsidR="008877F8" w:rsidRPr="00A942F6" w14:paraId="070D99C7" w14:textId="77777777" w:rsidTr="003175D5">
        <w:trPr>
          <w:cantSplit/>
          <w:trHeight w:val="20"/>
          <w:tblHeader/>
        </w:trPr>
        <w:tc>
          <w:tcPr>
            <w:tcW w:w="3106" w:type="dxa"/>
          </w:tcPr>
          <w:p w14:paraId="2A2A9B13" w14:textId="77777777" w:rsidR="008877F8" w:rsidRPr="00A942F6" w:rsidRDefault="008877F8" w:rsidP="00641834">
            <w:pPr>
              <w:pStyle w:val="TableParagraph"/>
              <w:rPr>
                <w:sz w:val="20"/>
                <w:lang w:val="nb-NO"/>
              </w:rPr>
            </w:pPr>
          </w:p>
        </w:tc>
        <w:tc>
          <w:tcPr>
            <w:tcW w:w="2834" w:type="dxa"/>
            <w:gridSpan w:val="2"/>
          </w:tcPr>
          <w:p w14:paraId="3F8C03FD" w14:textId="77777777" w:rsidR="008877F8" w:rsidRPr="00A942F6" w:rsidRDefault="008877F8" w:rsidP="00641834">
            <w:pPr>
              <w:pStyle w:val="TableParagraph"/>
              <w:jc w:val="center"/>
              <w:rPr>
                <w:b/>
                <w:sz w:val="20"/>
                <w:lang w:val="nb-NO"/>
              </w:rPr>
            </w:pPr>
            <w:r w:rsidRPr="00A942F6">
              <w:rPr>
                <w:b/>
                <w:sz w:val="20"/>
                <w:lang w:val="nb-NO"/>
              </w:rPr>
              <w:t>Placebo</w:t>
            </w:r>
          </w:p>
        </w:tc>
        <w:tc>
          <w:tcPr>
            <w:tcW w:w="2987" w:type="dxa"/>
            <w:gridSpan w:val="2"/>
          </w:tcPr>
          <w:p w14:paraId="7981E3D0" w14:textId="77777777" w:rsidR="008877F8" w:rsidRPr="00A942F6" w:rsidRDefault="008877F8" w:rsidP="00641834">
            <w:pPr>
              <w:pStyle w:val="TableParagraph"/>
              <w:jc w:val="center"/>
              <w:rPr>
                <w:b/>
                <w:sz w:val="20"/>
                <w:lang w:val="nb-NO"/>
              </w:rPr>
            </w:pPr>
            <w:r w:rsidRPr="00A942F6">
              <w:rPr>
                <w:b/>
                <w:sz w:val="20"/>
                <w:lang w:val="nb-NO"/>
              </w:rPr>
              <w:t>TCZ</w:t>
            </w:r>
          </w:p>
        </w:tc>
      </w:tr>
      <w:tr w:rsidR="008877F8" w:rsidRPr="00A942F6" w14:paraId="46E75DC2" w14:textId="77777777" w:rsidTr="003175D5">
        <w:trPr>
          <w:cantSplit/>
          <w:trHeight w:val="20"/>
          <w:tblHeader/>
        </w:trPr>
        <w:tc>
          <w:tcPr>
            <w:tcW w:w="3106" w:type="dxa"/>
          </w:tcPr>
          <w:p w14:paraId="2FD11A78" w14:textId="77777777" w:rsidR="008877F8" w:rsidRPr="00A942F6" w:rsidRDefault="008877F8" w:rsidP="00641834">
            <w:pPr>
              <w:pStyle w:val="TableParagraph"/>
              <w:rPr>
                <w:b/>
                <w:sz w:val="20"/>
                <w:lang w:val="nb-NO"/>
              </w:rPr>
            </w:pPr>
            <w:r w:rsidRPr="00A942F6">
              <w:rPr>
                <w:b/>
                <w:sz w:val="20"/>
                <w:lang w:val="nb-NO"/>
              </w:rPr>
              <w:t>Bruk av biologisk legemiddel</w:t>
            </w:r>
          </w:p>
        </w:tc>
        <w:tc>
          <w:tcPr>
            <w:tcW w:w="1416" w:type="dxa"/>
          </w:tcPr>
          <w:p w14:paraId="03F149C2" w14:textId="77777777" w:rsidR="008877F8" w:rsidRPr="00A942F6" w:rsidRDefault="008877F8" w:rsidP="00641834">
            <w:pPr>
              <w:pStyle w:val="TableParagraph"/>
              <w:rPr>
                <w:b/>
                <w:sz w:val="20"/>
                <w:lang w:val="nb-NO"/>
              </w:rPr>
            </w:pPr>
            <w:r w:rsidRPr="00A942F6">
              <w:rPr>
                <w:b/>
                <w:sz w:val="20"/>
                <w:lang w:val="nb-NO"/>
              </w:rPr>
              <w:t xml:space="preserve">Ja (N </w:t>
            </w:r>
            <w:r w:rsidRPr="00A942F6">
              <w:rPr>
                <w:sz w:val="20"/>
                <w:lang w:val="nb-NO"/>
              </w:rPr>
              <w:t xml:space="preserve">= </w:t>
            </w:r>
            <w:r w:rsidRPr="00A942F6">
              <w:rPr>
                <w:b/>
                <w:sz w:val="20"/>
                <w:lang w:val="nb-NO"/>
              </w:rPr>
              <w:t>23)</w:t>
            </w:r>
          </w:p>
        </w:tc>
        <w:tc>
          <w:tcPr>
            <w:tcW w:w="1418" w:type="dxa"/>
          </w:tcPr>
          <w:p w14:paraId="5AA75AFC" w14:textId="77777777" w:rsidR="008877F8" w:rsidRPr="00A942F6" w:rsidRDefault="008877F8" w:rsidP="00641834">
            <w:pPr>
              <w:pStyle w:val="TableParagraph"/>
              <w:jc w:val="center"/>
              <w:rPr>
                <w:b/>
                <w:sz w:val="20"/>
                <w:lang w:val="nb-NO"/>
              </w:rPr>
            </w:pPr>
            <w:r w:rsidRPr="00A942F6">
              <w:rPr>
                <w:b/>
                <w:sz w:val="20"/>
                <w:lang w:val="nb-NO"/>
              </w:rPr>
              <w:t xml:space="preserve">Nei (N </w:t>
            </w:r>
            <w:r w:rsidRPr="00A942F6">
              <w:rPr>
                <w:sz w:val="20"/>
                <w:lang w:val="nb-NO"/>
              </w:rPr>
              <w:t xml:space="preserve">= </w:t>
            </w:r>
            <w:r w:rsidRPr="00A942F6">
              <w:rPr>
                <w:b/>
                <w:sz w:val="20"/>
                <w:lang w:val="nb-NO"/>
              </w:rPr>
              <w:t>58)</w:t>
            </w:r>
          </w:p>
        </w:tc>
        <w:tc>
          <w:tcPr>
            <w:tcW w:w="1418" w:type="dxa"/>
          </w:tcPr>
          <w:p w14:paraId="615A68A3" w14:textId="77777777" w:rsidR="008877F8" w:rsidRPr="00A942F6" w:rsidRDefault="008877F8" w:rsidP="00641834">
            <w:pPr>
              <w:pStyle w:val="TableParagraph"/>
              <w:jc w:val="right"/>
              <w:rPr>
                <w:b/>
                <w:sz w:val="20"/>
                <w:lang w:val="nb-NO"/>
              </w:rPr>
            </w:pPr>
            <w:r w:rsidRPr="00A942F6">
              <w:rPr>
                <w:b/>
                <w:sz w:val="20"/>
                <w:lang w:val="nb-NO"/>
              </w:rPr>
              <w:t xml:space="preserve">Ja (N </w:t>
            </w:r>
            <w:r w:rsidRPr="00A942F6">
              <w:rPr>
                <w:sz w:val="20"/>
                <w:lang w:val="nb-NO"/>
              </w:rPr>
              <w:t xml:space="preserve">= </w:t>
            </w:r>
            <w:r w:rsidRPr="00A942F6">
              <w:rPr>
                <w:b/>
                <w:sz w:val="20"/>
                <w:lang w:val="nb-NO"/>
              </w:rPr>
              <w:t>27)</w:t>
            </w:r>
          </w:p>
        </w:tc>
        <w:tc>
          <w:tcPr>
            <w:tcW w:w="1569" w:type="dxa"/>
          </w:tcPr>
          <w:p w14:paraId="646D0F0D" w14:textId="77777777" w:rsidR="008877F8" w:rsidRPr="00A942F6" w:rsidRDefault="008877F8" w:rsidP="00641834">
            <w:pPr>
              <w:pStyle w:val="TableParagraph"/>
              <w:jc w:val="center"/>
              <w:rPr>
                <w:b/>
                <w:sz w:val="20"/>
                <w:lang w:val="nb-NO"/>
              </w:rPr>
            </w:pPr>
            <w:r w:rsidRPr="00A942F6">
              <w:rPr>
                <w:b/>
                <w:sz w:val="20"/>
                <w:lang w:val="nb-NO"/>
              </w:rPr>
              <w:t xml:space="preserve">Nei (N </w:t>
            </w:r>
            <w:r w:rsidRPr="00A942F6">
              <w:rPr>
                <w:sz w:val="20"/>
                <w:lang w:val="nb-NO"/>
              </w:rPr>
              <w:t xml:space="preserve">= </w:t>
            </w:r>
            <w:r w:rsidRPr="00A942F6">
              <w:rPr>
                <w:b/>
                <w:sz w:val="20"/>
                <w:lang w:val="nb-NO"/>
              </w:rPr>
              <w:t>55)</w:t>
            </w:r>
          </w:p>
        </w:tc>
      </w:tr>
      <w:tr w:rsidR="008877F8" w:rsidRPr="00A942F6" w14:paraId="0387BB8F" w14:textId="77777777" w:rsidTr="003175D5">
        <w:trPr>
          <w:cantSplit/>
          <w:trHeight w:val="20"/>
        </w:trPr>
        <w:tc>
          <w:tcPr>
            <w:tcW w:w="3106" w:type="dxa"/>
          </w:tcPr>
          <w:p w14:paraId="3504B4DE" w14:textId="77777777" w:rsidR="008877F8" w:rsidRPr="00A942F6" w:rsidRDefault="008877F8" w:rsidP="00641834">
            <w:pPr>
              <w:pStyle w:val="TableParagraph"/>
              <w:rPr>
                <w:sz w:val="20"/>
                <w:lang w:val="nb-NO"/>
              </w:rPr>
            </w:pPr>
            <w:r w:rsidRPr="00A942F6">
              <w:rPr>
                <w:sz w:val="20"/>
                <w:lang w:val="nb-NO"/>
              </w:rPr>
              <w:t>JIA ACR30 oppblussing</w:t>
            </w:r>
          </w:p>
        </w:tc>
        <w:tc>
          <w:tcPr>
            <w:tcW w:w="1416" w:type="dxa"/>
          </w:tcPr>
          <w:p w14:paraId="109B76E0" w14:textId="77777777" w:rsidR="008877F8" w:rsidRPr="00A942F6" w:rsidRDefault="008877F8" w:rsidP="00641834">
            <w:pPr>
              <w:pStyle w:val="TableParagraph"/>
              <w:rPr>
                <w:sz w:val="20"/>
                <w:lang w:val="nb-NO"/>
              </w:rPr>
            </w:pPr>
            <w:r w:rsidRPr="00A942F6">
              <w:rPr>
                <w:sz w:val="20"/>
                <w:lang w:val="nb-NO"/>
              </w:rPr>
              <w:t>18 (78,3)</w:t>
            </w:r>
          </w:p>
        </w:tc>
        <w:tc>
          <w:tcPr>
            <w:tcW w:w="1418" w:type="dxa"/>
          </w:tcPr>
          <w:p w14:paraId="372C3B21" w14:textId="77777777" w:rsidR="008877F8" w:rsidRPr="00A942F6" w:rsidRDefault="008877F8" w:rsidP="00641834">
            <w:pPr>
              <w:pStyle w:val="TableParagraph"/>
              <w:jc w:val="center"/>
              <w:rPr>
                <w:sz w:val="20"/>
                <w:lang w:val="nb-NO"/>
              </w:rPr>
            </w:pPr>
            <w:r w:rsidRPr="00A942F6">
              <w:rPr>
                <w:sz w:val="20"/>
                <w:lang w:val="nb-NO"/>
              </w:rPr>
              <w:t>21 (36,2)</w:t>
            </w:r>
          </w:p>
        </w:tc>
        <w:tc>
          <w:tcPr>
            <w:tcW w:w="1418" w:type="dxa"/>
          </w:tcPr>
          <w:p w14:paraId="36E52CF7" w14:textId="77777777" w:rsidR="008877F8" w:rsidRPr="00A942F6" w:rsidRDefault="008877F8" w:rsidP="00641834">
            <w:pPr>
              <w:pStyle w:val="TableParagraph"/>
              <w:jc w:val="right"/>
              <w:rPr>
                <w:sz w:val="20"/>
                <w:lang w:val="nb-NO"/>
              </w:rPr>
            </w:pPr>
            <w:r w:rsidRPr="00A942F6">
              <w:rPr>
                <w:sz w:val="20"/>
                <w:lang w:val="nb-NO"/>
              </w:rPr>
              <w:t>12 (44,4)</w:t>
            </w:r>
          </w:p>
        </w:tc>
        <w:tc>
          <w:tcPr>
            <w:tcW w:w="1569" w:type="dxa"/>
          </w:tcPr>
          <w:p w14:paraId="10FAE09E" w14:textId="77777777" w:rsidR="008877F8" w:rsidRPr="00A942F6" w:rsidRDefault="008877F8" w:rsidP="00641834">
            <w:pPr>
              <w:pStyle w:val="TableParagraph"/>
              <w:jc w:val="center"/>
              <w:rPr>
                <w:sz w:val="20"/>
                <w:lang w:val="nb-NO"/>
              </w:rPr>
            </w:pPr>
            <w:r w:rsidRPr="00A942F6">
              <w:rPr>
                <w:sz w:val="20"/>
                <w:lang w:val="nb-NO"/>
              </w:rPr>
              <w:t>9 (16,4)</w:t>
            </w:r>
          </w:p>
        </w:tc>
      </w:tr>
      <w:tr w:rsidR="008877F8" w:rsidRPr="00A942F6" w14:paraId="62699327" w14:textId="77777777" w:rsidTr="003175D5">
        <w:trPr>
          <w:cantSplit/>
          <w:trHeight w:val="20"/>
        </w:trPr>
        <w:tc>
          <w:tcPr>
            <w:tcW w:w="3106" w:type="dxa"/>
          </w:tcPr>
          <w:p w14:paraId="09330C3C" w14:textId="77777777" w:rsidR="008877F8" w:rsidRPr="00A942F6" w:rsidRDefault="008877F8" w:rsidP="00641834">
            <w:pPr>
              <w:pStyle w:val="TableParagraph"/>
              <w:rPr>
                <w:sz w:val="20"/>
                <w:lang w:val="nb-NO"/>
              </w:rPr>
            </w:pPr>
            <w:r w:rsidRPr="00A942F6">
              <w:rPr>
                <w:sz w:val="20"/>
                <w:lang w:val="nb-NO"/>
              </w:rPr>
              <w:t>JIA ACR30 respons</w:t>
            </w:r>
          </w:p>
        </w:tc>
        <w:tc>
          <w:tcPr>
            <w:tcW w:w="1416" w:type="dxa"/>
          </w:tcPr>
          <w:p w14:paraId="0668FE84" w14:textId="77777777" w:rsidR="008877F8" w:rsidRPr="00A942F6" w:rsidRDefault="008877F8" w:rsidP="00641834">
            <w:pPr>
              <w:pStyle w:val="TableParagraph"/>
              <w:rPr>
                <w:sz w:val="20"/>
                <w:lang w:val="nb-NO"/>
              </w:rPr>
            </w:pPr>
            <w:r w:rsidRPr="00A942F6">
              <w:rPr>
                <w:sz w:val="20"/>
                <w:lang w:val="nb-NO"/>
              </w:rPr>
              <w:t>6 (26,1)</w:t>
            </w:r>
          </w:p>
        </w:tc>
        <w:tc>
          <w:tcPr>
            <w:tcW w:w="1418" w:type="dxa"/>
          </w:tcPr>
          <w:p w14:paraId="04F8C195" w14:textId="77777777" w:rsidR="008877F8" w:rsidRPr="00A942F6" w:rsidRDefault="008877F8" w:rsidP="00641834">
            <w:pPr>
              <w:pStyle w:val="TableParagraph"/>
              <w:jc w:val="center"/>
              <w:rPr>
                <w:sz w:val="20"/>
                <w:lang w:val="nb-NO"/>
              </w:rPr>
            </w:pPr>
            <w:r w:rsidRPr="00A942F6">
              <w:rPr>
                <w:sz w:val="20"/>
                <w:lang w:val="nb-NO"/>
              </w:rPr>
              <w:t>38 (65,5)</w:t>
            </w:r>
          </w:p>
        </w:tc>
        <w:tc>
          <w:tcPr>
            <w:tcW w:w="1418" w:type="dxa"/>
          </w:tcPr>
          <w:p w14:paraId="56272A60" w14:textId="77777777" w:rsidR="008877F8" w:rsidRPr="00A942F6" w:rsidRDefault="008877F8" w:rsidP="00641834">
            <w:pPr>
              <w:pStyle w:val="TableParagraph"/>
              <w:jc w:val="right"/>
              <w:rPr>
                <w:sz w:val="20"/>
                <w:lang w:val="nb-NO"/>
              </w:rPr>
            </w:pPr>
            <w:r w:rsidRPr="00A942F6">
              <w:rPr>
                <w:sz w:val="20"/>
                <w:lang w:val="nb-NO"/>
              </w:rPr>
              <w:t>15 (55,6)</w:t>
            </w:r>
          </w:p>
        </w:tc>
        <w:tc>
          <w:tcPr>
            <w:tcW w:w="1569" w:type="dxa"/>
          </w:tcPr>
          <w:p w14:paraId="37917606" w14:textId="77777777" w:rsidR="008877F8" w:rsidRPr="00A942F6" w:rsidRDefault="008877F8" w:rsidP="00641834">
            <w:pPr>
              <w:pStyle w:val="TableParagraph"/>
              <w:jc w:val="center"/>
              <w:rPr>
                <w:sz w:val="20"/>
                <w:lang w:val="nb-NO"/>
              </w:rPr>
            </w:pPr>
            <w:r w:rsidRPr="00A942F6">
              <w:rPr>
                <w:sz w:val="20"/>
                <w:lang w:val="nb-NO"/>
              </w:rPr>
              <w:t>46 (83,6)</w:t>
            </w:r>
          </w:p>
        </w:tc>
      </w:tr>
      <w:tr w:rsidR="008877F8" w:rsidRPr="00A942F6" w14:paraId="765FB069" w14:textId="77777777" w:rsidTr="003175D5">
        <w:trPr>
          <w:cantSplit/>
          <w:trHeight w:val="20"/>
        </w:trPr>
        <w:tc>
          <w:tcPr>
            <w:tcW w:w="3106" w:type="dxa"/>
          </w:tcPr>
          <w:p w14:paraId="073F2A3F" w14:textId="77777777" w:rsidR="008877F8" w:rsidRPr="00A942F6" w:rsidRDefault="008877F8" w:rsidP="00641834">
            <w:pPr>
              <w:pStyle w:val="TableParagraph"/>
              <w:rPr>
                <w:sz w:val="20"/>
                <w:lang w:val="nb-NO"/>
              </w:rPr>
            </w:pPr>
            <w:r w:rsidRPr="00A942F6">
              <w:rPr>
                <w:sz w:val="20"/>
                <w:lang w:val="nb-NO"/>
              </w:rPr>
              <w:t>JIA ACR50 respons</w:t>
            </w:r>
          </w:p>
        </w:tc>
        <w:tc>
          <w:tcPr>
            <w:tcW w:w="1416" w:type="dxa"/>
          </w:tcPr>
          <w:p w14:paraId="1D4455A8" w14:textId="77777777" w:rsidR="008877F8" w:rsidRPr="00A942F6" w:rsidRDefault="008877F8" w:rsidP="00641834">
            <w:pPr>
              <w:pStyle w:val="TableParagraph"/>
              <w:rPr>
                <w:sz w:val="20"/>
                <w:lang w:val="nb-NO"/>
              </w:rPr>
            </w:pPr>
            <w:r w:rsidRPr="00A942F6">
              <w:rPr>
                <w:sz w:val="20"/>
                <w:lang w:val="nb-NO"/>
              </w:rPr>
              <w:t>5 (21,7)</w:t>
            </w:r>
          </w:p>
        </w:tc>
        <w:tc>
          <w:tcPr>
            <w:tcW w:w="1418" w:type="dxa"/>
          </w:tcPr>
          <w:p w14:paraId="6196CC4C" w14:textId="77777777" w:rsidR="008877F8" w:rsidRPr="00A942F6" w:rsidRDefault="008877F8" w:rsidP="00641834">
            <w:pPr>
              <w:pStyle w:val="TableParagraph"/>
              <w:jc w:val="center"/>
              <w:rPr>
                <w:sz w:val="20"/>
                <w:lang w:val="nb-NO"/>
              </w:rPr>
            </w:pPr>
            <w:r w:rsidRPr="00A942F6">
              <w:rPr>
                <w:sz w:val="20"/>
                <w:lang w:val="nb-NO"/>
              </w:rPr>
              <w:t>37 (63,8)</w:t>
            </w:r>
          </w:p>
        </w:tc>
        <w:tc>
          <w:tcPr>
            <w:tcW w:w="1418" w:type="dxa"/>
          </w:tcPr>
          <w:p w14:paraId="71285746" w14:textId="77777777" w:rsidR="008877F8" w:rsidRPr="00A942F6" w:rsidRDefault="008877F8" w:rsidP="00641834">
            <w:pPr>
              <w:pStyle w:val="TableParagraph"/>
              <w:jc w:val="right"/>
              <w:rPr>
                <w:sz w:val="20"/>
                <w:lang w:val="nb-NO"/>
              </w:rPr>
            </w:pPr>
            <w:r w:rsidRPr="00A942F6">
              <w:rPr>
                <w:sz w:val="20"/>
                <w:lang w:val="nb-NO"/>
              </w:rPr>
              <w:t>14 (51,9)</w:t>
            </w:r>
          </w:p>
        </w:tc>
        <w:tc>
          <w:tcPr>
            <w:tcW w:w="1569" w:type="dxa"/>
          </w:tcPr>
          <w:p w14:paraId="33A90633" w14:textId="77777777" w:rsidR="008877F8" w:rsidRPr="00A942F6" w:rsidRDefault="008877F8" w:rsidP="00641834">
            <w:pPr>
              <w:pStyle w:val="TableParagraph"/>
              <w:jc w:val="center"/>
              <w:rPr>
                <w:sz w:val="20"/>
                <w:lang w:val="nb-NO"/>
              </w:rPr>
            </w:pPr>
            <w:r w:rsidRPr="00A942F6">
              <w:rPr>
                <w:sz w:val="20"/>
                <w:lang w:val="nb-NO"/>
              </w:rPr>
              <w:t>46 (83,6)</w:t>
            </w:r>
          </w:p>
        </w:tc>
      </w:tr>
      <w:tr w:rsidR="008877F8" w:rsidRPr="00A942F6" w14:paraId="626DC5C4" w14:textId="77777777" w:rsidTr="003175D5">
        <w:trPr>
          <w:cantSplit/>
          <w:trHeight w:val="20"/>
        </w:trPr>
        <w:tc>
          <w:tcPr>
            <w:tcW w:w="3106" w:type="dxa"/>
          </w:tcPr>
          <w:p w14:paraId="4FFF9CD6" w14:textId="77777777" w:rsidR="008877F8" w:rsidRPr="00A942F6" w:rsidRDefault="008877F8" w:rsidP="00641834">
            <w:pPr>
              <w:pStyle w:val="TableParagraph"/>
              <w:rPr>
                <w:sz w:val="20"/>
                <w:lang w:val="nb-NO"/>
              </w:rPr>
            </w:pPr>
            <w:r w:rsidRPr="00A942F6">
              <w:rPr>
                <w:sz w:val="20"/>
                <w:lang w:val="nb-NO"/>
              </w:rPr>
              <w:t>JIA ACR70 respons</w:t>
            </w:r>
          </w:p>
        </w:tc>
        <w:tc>
          <w:tcPr>
            <w:tcW w:w="1416" w:type="dxa"/>
          </w:tcPr>
          <w:p w14:paraId="1C309EC7" w14:textId="77777777" w:rsidR="008877F8" w:rsidRPr="00A942F6" w:rsidRDefault="008877F8" w:rsidP="00641834">
            <w:pPr>
              <w:pStyle w:val="TableParagraph"/>
              <w:rPr>
                <w:sz w:val="20"/>
                <w:lang w:val="nb-NO"/>
              </w:rPr>
            </w:pPr>
            <w:r w:rsidRPr="00A942F6">
              <w:rPr>
                <w:sz w:val="20"/>
                <w:lang w:val="nb-NO"/>
              </w:rPr>
              <w:t>2 (8,7)</w:t>
            </w:r>
          </w:p>
        </w:tc>
        <w:tc>
          <w:tcPr>
            <w:tcW w:w="1418" w:type="dxa"/>
          </w:tcPr>
          <w:p w14:paraId="1047F464" w14:textId="77777777" w:rsidR="008877F8" w:rsidRPr="00A942F6" w:rsidRDefault="008877F8" w:rsidP="00641834">
            <w:pPr>
              <w:pStyle w:val="TableParagraph"/>
              <w:jc w:val="center"/>
              <w:rPr>
                <w:sz w:val="20"/>
                <w:lang w:val="nb-NO"/>
              </w:rPr>
            </w:pPr>
            <w:r w:rsidRPr="00A942F6">
              <w:rPr>
                <w:sz w:val="20"/>
                <w:lang w:val="nb-NO"/>
              </w:rPr>
              <w:t>32 (55,2)</w:t>
            </w:r>
          </w:p>
        </w:tc>
        <w:tc>
          <w:tcPr>
            <w:tcW w:w="1418" w:type="dxa"/>
          </w:tcPr>
          <w:p w14:paraId="3377475E" w14:textId="77777777" w:rsidR="008877F8" w:rsidRPr="00A942F6" w:rsidRDefault="008877F8" w:rsidP="00641834">
            <w:pPr>
              <w:pStyle w:val="TableParagraph"/>
              <w:jc w:val="right"/>
              <w:rPr>
                <w:sz w:val="20"/>
                <w:lang w:val="nb-NO"/>
              </w:rPr>
            </w:pPr>
            <w:r w:rsidRPr="00A942F6">
              <w:rPr>
                <w:sz w:val="20"/>
                <w:lang w:val="nb-NO"/>
              </w:rPr>
              <w:t>13 (48,1)</w:t>
            </w:r>
          </w:p>
        </w:tc>
        <w:tc>
          <w:tcPr>
            <w:tcW w:w="1569" w:type="dxa"/>
          </w:tcPr>
          <w:p w14:paraId="01F9ACFB" w14:textId="77777777" w:rsidR="008877F8" w:rsidRPr="00A942F6" w:rsidRDefault="008877F8" w:rsidP="00641834">
            <w:pPr>
              <w:pStyle w:val="TableParagraph"/>
              <w:jc w:val="center"/>
              <w:rPr>
                <w:sz w:val="20"/>
                <w:lang w:val="nb-NO"/>
              </w:rPr>
            </w:pPr>
            <w:r w:rsidRPr="00A942F6">
              <w:rPr>
                <w:sz w:val="20"/>
                <w:lang w:val="nb-NO"/>
              </w:rPr>
              <w:t>40 (72,7)</w:t>
            </w:r>
          </w:p>
        </w:tc>
      </w:tr>
      <w:tr w:rsidR="008877F8" w:rsidRPr="00A942F6" w14:paraId="36154C90" w14:textId="77777777" w:rsidTr="003175D5">
        <w:trPr>
          <w:cantSplit/>
          <w:trHeight w:val="20"/>
        </w:trPr>
        <w:tc>
          <w:tcPr>
            <w:tcW w:w="3106" w:type="dxa"/>
          </w:tcPr>
          <w:p w14:paraId="2848CCF8" w14:textId="77777777" w:rsidR="008877F8" w:rsidRPr="00A942F6" w:rsidRDefault="008877F8" w:rsidP="00641834">
            <w:pPr>
              <w:pStyle w:val="TableParagraph"/>
              <w:rPr>
                <w:sz w:val="20"/>
                <w:lang w:val="nb-NO"/>
              </w:rPr>
            </w:pPr>
            <w:r w:rsidRPr="00A942F6">
              <w:rPr>
                <w:sz w:val="20"/>
                <w:lang w:val="nb-NO"/>
              </w:rPr>
              <w:t>JIA ACR90 respons</w:t>
            </w:r>
          </w:p>
        </w:tc>
        <w:tc>
          <w:tcPr>
            <w:tcW w:w="1416" w:type="dxa"/>
          </w:tcPr>
          <w:p w14:paraId="0BEC0BA1" w14:textId="77777777" w:rsidR="008877F8" w:rsidRPr="00A942F6" w:rsidRDefault="008877F8" w:rsidP="00641834">
            <w:pPr>
              <w:pStyle w:val="TableParagraph"/>
              <w:rPr>
                <w:sz w:val="20"/>
                <w:lang w:val="nb-NO"/>
              </w:rPr>
            </w:pPr>
            <w:r w:rsidRPr="00A942F6">
              <w:rPr>
                <w:sz w:val="20"/>
                <w:lang w:val="nb-NO"/>
              </w:rPr>
              <w:t>2 (8,7)</w:t>
            </w:r>
          </w:p>
        </w:tc>
        <w:tc>
          <w:tcPr>
            <w:tcW w:w="1418" w:type="dxa"/>
          </w:tcPr>
          <w:p w14:paraId="7986E88A" w14:textId="77777777" w:rsidR="008877F8" w:rsidRPr="00A942F6" w:rsidRDefault="008877F8" w:rsidP="00641834">
            <w:pPr>
              <w:pStyle w:val="TableParagraph"/>
              <w:jc w:val="center"/>
              <w:rPr>
                <w:sz w:val="20"/>
                <w:lang w:val="nb-NO"/>
              </w:rPr>
            </w:pPr>
            <w:r w:rsidRPr="00A942F6">
              <w:rPr>
                <w:sz w:val="20"/>
                <w:lang w:val="nb-NO"/>
              </w:rPr>
              <w:t>17 (29,3)</w:t>
            </w:r>
          </w:p>
        </w:tc>
        <w:tc>
          <w:tcPr>
            <w:tcW w:w="1418" w:type="dxa"/>
          </w:tcPr>
          <w:p w14:paraId="4793FA28" w14:textId="77777777" w:rsidR="008877F8" w:rsidRPr="00A942F6" w:rsidRDefault="008877F8" w:rsidP="00641834">
            <w:pPr>
              <w:pStyle w:val="TableParagraph"/>
              <w:jc w:val="right"/>
              <w:rPr>
                <w:sz w:val="20"/>
                <w:lang w:val="nb-NO"/>
              </w:rPr>
            </w:pPr>
            <w:r w:rsidRPr="00A942F6">
              <w:rPr>
                <w:sz w:val="20"/>
                <w:lang w:val="nb-NO"/>
              </w:rPr>
              <w:t>5 (18,5)</w:t>
            </w:r>
          </w:p>
        </w:tc>
        <w:tc>
          <w:tcPr>
            <w:tcW w:w="1569" w:type="dxa"/>
          </w:tcPr>
          <w:p w14:paraId="12F0AC79" w14:textId="77777777" w:rsidR="008877F8" w:rsidRPr="00A942F6" w:rsidRDefault="008877F8" w:rsidP="00641834">
            <w:pPr>
              <w:pStyle w:val="TableParagraph"/>
              <w:jc w:val="center"/>
              <w:rPr>
                <w:sz w:val="20"/>
                <w:lang w:val="nb-NO"/>
              </w:rPr>
            </w:pPr>
            <w:r w:rsidRPr="00A942F6">
              <w:rPr>
                <w:sz w:val="20"/>
                <w:lang w:val="nb-NO"/>
              </w:rPr>
              <w:t>32 (58,2)</w:t>
            </w:r>
          </w:p>
        </w:tc>
      </w:tr>
    </w:tbl>
    <w:p w14:paraId="6A270966" w14:textId="77777777" w:rsidR="00D34B1D" w:rsidRPr="00A942F6" w:rsidRDefault="00D34B1D" w:rsidP="00641834">
      <w:pPr>
        <w:rPr>
          <w:lang w:val="nb-NO"/>
        </w:rPr>
      </w:pPr>
    </w:p>
    <w:p w14:paraId="76A08D21" w14:textId="77777777" w:rsidR="008877F8" w:rsidRPr="00A942F6" w:rsidRDefault="008877F8" w:rsidP="00641834">
      <w:pPr>
        <w:rPr>
          <w:lang w:val="nb-NO"/>
        </w:rPr>
      </w:pPr>
      <w:r w:rsidRPr="00A942F6">
        <w:rPr>
          <w:lang w:val="nb-NO"/>
        </w:rPr>
        <w:t>Pasienter randomisert til tocilizumab hadde færre ACR30 oppbluss og høyere total ACR respons enn pasienter som fikk placebo uavhengig av om de tidligere hadde brukt biologisk.</w:t>
      </w:r>
    </w:p>
    <w:p w14:paraId="08532D98" w14:textId="77777777" w:rsidR="00D34B1D" w:rsidRPr="00A942F6" w:rsidRDefault="00D34B1D" w:rsidP="00641834">
      <w:pPr>
        <w:rPr>
          <w:lang w:val="nb-NO"/>
        </w:rPr>
      </w:pPr>
    </w:p>
    <w:p w14:paraId="7A08C468" w14:textId="77777777" w:rsidR="008877F8" w:rsidRPr="00A942F6" w:rsidRDefault="008877F8" w:rsidP="00641834">
      <w:pPr>
        <w:pStyle w:val="Style1underline"/>
        <w:rPr>
          <w:lang w:val="nb-NO"/>
        </w:rPr>
      </w:pPr>
      <w:r w:rsidRPr="00A942F6">
        <w:rPr>
          <w:lang w:val="nb-NO"/>
        </w:rPr>
        <w:t>CRS</w:t>
      </w:r>
    </w:p>
    <w:p w14:paraId="3D63BFB8" w14:textId="082BBAAC" w:rsidR="008877F8" w:rsidRPr="00A942F6" w:rsidRDefault="008877F8" w:rsidP="00641834">
      <w:pPr>
        <w:rPr>
          <w:lang w:val="nb-NO"/>
        </w:rPr>
      </w:pPr>
      <w:r w:rsidRPr="00A942F6">
        <w:rPr>
          <w:lang w:val="nb-NO"/>
        </w:rPr>
        <w:t xml:space="preserve">Effekten av </w:t>
      </w:r>
      <w:r w:rsidR="00C945E8" w:rsidRPr="00A942F6">
        <w:rPr>
          <w:lang w:val="nb-NO"/>
        </w:rPr>
        <w:t>tocilizumab</w:t>
      </w:r>
      <w:r w:rsidRPr="00A942F6">
        <w:rPr>
          <w:lang w:val="nb-NO"/>
        </w:rPr>
        <w:t xml:space="preserve"> for CRS-behandling ble vurdert i en retrospektiv analyse av data fra kliniske studier i CAR T-celleterapi (tisagenlecleucel og axicabtagene ciloleucel) for hematologiske maligniteter. Evaluerbare pasienter hadde blitt behandlet med tocilizumab 8 mg/kg (12 mg/kg for pasienter &lt;30 kg) med eller uten ytterligere høydose kortikosteroider for alvorlig eller livstruende </w:t>
      </w:r>
      <w:r w:rsidRPr="00A942F6">
        <w:rPr>
          <w:lang w:val="nb-NO"/>
        </w:rPr>
        <w:lastRenderedPageBreak/>
        <w:t>CRS; kun den første episoden av CRS ble inkludert i analysen. Effektpopulasjonen i tisagenlecleucel- kohorten inkluderte 28 menn og 23 kvinner (totalt 51 pasienter) med median alder 17 år (variasjonsbredde, 3-68 år). Median tid fra CRS start til første tocilizumab dose var 3 dager (variasjonsbredde, 0-18 dager). Opphør av CRS ble definert som feberfrihet og seponering av vasopressorer i minst 24 timer. Pasienter ble vurdert som respondere hvis CRS opphørte innen 14</w:t>
      </w:r>
      <w:r w:rsidR="00F36EEE" w:rsidRPr="00A942F6">
        <w:rPr>
          <w:lang w:val="nb-NO"/>
        </w:rPr>
        <w:t> </w:t>
      </w:r>
      <w:r w:rsidRPr="00A942F6">
        <w:rPr>
          <w:lang w:val="nb-NO"/>
        </w:rPr>
        <w:t xml:space="preserve">dager etter den første tocilizumab-dosen, dersom ikke mer enn 2 doser med </w:t>
      </w:r>
      <w:r w:rsidR="00C945E8" w:rsidRPr="00A942F6">
        <w:rPr>
          <w:lang w:val="nb-NO"/>
        </w:rPr>
        <w:t>tocilizumab</w:t>
      </w:r>
      <w:r w:rsidRPr="00A942F6">
        <w:rPr>
          <w:lang w:val="nb-NO"/>
        </w:rPr>
        <w:t xml:space="preserve"> var nødvendig, og ingen andre legemidler enn </w:t>
      </w:r>
      <w:r w:rsidR="00C945E8" w:rsidRPr="00A942F6">
        <w:rPr>
          <w:lang w:val="nb-NO"/>
        </w:rPr>
        <w:t>tocilizumab</w:t>
      </w:r>
      <w:r w:rsidRPr="00A942F6">
        <w:rPr>
          <w:lang w:val="nb-NO"/>
        </w:rPr>
        <w:t xml:space="preserve"> og kortikosteroider ble brukt til behandling. Det var 39 pasienter (76,5%, 95% KI: 62,5% -87,2%) som fikk respons. I en uavhengig kohort av 15</w:t>
      </w:r>
      <w:r w:rsidR="00FC1DF2">
        <w:rPr>
          <w:lang w:val="nb-NO"/>
        </w:rPr>
        <w:t> </w:t>
      </w:r>
      <w:r w:rsidRPr="00A942F6">
        <w:rPr>
          <w:lang w:val="nb-NO"/>
        </w:rPr>
        <w:t>pasienter (variasjonsbredde, 9-75 år) med axicabtagene ciloleucel-indusert CRS, responderte 53% av pasientene.</w:t>
      </w:r>
    </w:p>
    <w:p w14:paraId="36BECC16" w14:textId="77777777" w:rsidR="00D34B1D" w:rsidRPr="00A942F6" w:rsidRDefault="00D34B1D" w:rsidP="00641834">
      <w:pPr>
        <w:rPr>
          <w:lang w:val="nb-NO"/>
        </w:rPr>
      </w:pPr>
    </w:p>
    <w:p w14:paraId="50A84474" w14:textId="10A5199A" w:rsidR="008877F8" w:rsidRPr="00A942F6" w:rsidRDefault="008877F8" w:rsidP="00641834">
      <w:pPr>
        <w:rPr>
          <w:lang w:val="nb-NO"/>
        </w:rPr>
      </w:pPr>
      <w:r w:rsidRPr="00A942F6">
        <w:rPr>
          <w:lang w:val="nb-NO"/>
        </w:rPr>
        <w:t xml:space="preserve">Det europeiske legemiddelkontoret (the European Medicines Agency) har gitt unntak fra forpliktelsen til å presentere resultater fra studier med </w:t>
      </w:r>
      <w:r w:rsidR="00C945E8" w:rsidRPr="00A942F6">
        <w:rPr>
          <w:lang w:val="nb-NO"/>
        </w:rPr>
        <w:t>tocilizumab</w:t>
      </w:r>
      <w:r w:rsidRPr="00A942F6">
        <w:rPr>
          <w:lang w:val="nb-NO"/>
        </w:rPr>
        <w:t xml:space="preserve"> i alle undergrupper av den pediatriske populasjonen ved behandling av cytokinfrigjøringssyndrom forbundet med kimær antigenreseptor (CAR) T-celleterapi.</w:t>
      </w:r>
    </w:p>
    <w:p w14:paraId="6256F586" w14:textId="77777777" w:rsidR="008877F8" w:rsidRPr="00A942F6" w:rsidRDefault="008877F8" w:rsidP="00641834">
      <w:pPr>
        <w:rPr>
          <w:lang w:val="nb-NO"/>
        </w:rPr>
      </w:pPr>
    </w:p>
    <w:p w14:paraId="3D15F849" w14:textId="77777777" w:rsidR="008877F8" w:rsidRPr="00A942F6" w:rsidRDefault="008877F8" w:rsidP="00641834">
      <w:pPr>
        <w:pStyle w:val="Style1underline"/>
        <w:rPr>
          <w:lang w:val="nb-NO"/>
        </w:rPr>
      </w:pPr>
      <w:r w:rsidRPr="00A942F6">
        <w:rPr>
          <w:lang w:val="nb-NO"/>
        </w:rPr>
        <w:t>Covid-19</w:t>
      </w:r>
    </w:p>
    <w:p w14:paraId="0EE2E3DC" w14:textId="28D3D681" w:rsidR="008877F8" w:rsidRPr="00A942F6" w:rsidRDefault="008877F8" w:rsidP="00641834">
      <w:pPr>
        <w:rPr>
          <w:lang w:val="nb-NO"/>
        </w:rPr>
      </w:pPr>
      <w:r w:rsidRPr="00A942F6">
        <w:rPr>
          <w:lang w:val="nb-NO"/>
        </w:rPr>
        <w:t xml:space="preserve">Det europeiske legemiddelkontoret (the European Medicines Agency) har utsatt forpliktelsen til å presentere resultater fra studier med </w:t>
      </w:r>
      <w:r w:rsidR="00C945E8" w:rsidRPr="00A942F6">
        <w:rPr>
          <w:lang w:val="nb-NO"/>
        </w:rPr>
        <w:t>tocilizumab</w:t>
      </w:r>
      <w:r w:rsidRPr="00A942F6">
        <w:rPr>
          <w:lang w:val="nb-NO"/>
        </w:rPr>
        <w:t xml:space="preserve"> i en eller flere undergrupper av den pediatriske populasjonen ved behandlingen av covid-19.</w:t>
      </w:r>
    </w:p>
    <w:p w14:paraId="314C3282" w14:textId="77777777" w:rsidR="008877F8" w:rsidRPr="00A942F6" w:rsidRDefault="008877F8" w:rsidP="00641834">
      <w:pPr>
        <w:rPr>
          <w:lang w:val="nb-NO"/>
        </w:rPr>
      </w:pPr>
    </w:p>
    <w:p w14:paraId="533A78EC" w14:textId="77777777" w:rsidR="008877F8" w:rsidRPr="00A942F6" w:rsidRDefault="008877F8" w:rsidP="00641834">
      <w:pPr>
        <w:pStyle w:val="H2"/>
        <w:rPr>
          <w:lang w:val="nb-NO"/>
        </w:rPr>
      </w:pPr>
      <w:r w:rsidRPr="00A942F6">
        <w:rPr>
          <w:lang w:val="nb-NO"/>
        </w:rPr>
        <w:t>5.2</w:t>
      </w:r>
      <w:r w:rsidRPr="00A942F6">
        <w:rPr>
          <w:lang w:val="nb-NO"/>
        </w:rPr>
        <w:tab/>
        <w:t>Farmakokinetiske egenskaper</w:t>
      </w:r>
    </w:p>
    <w:p w14:paraId="053DCB75" w14:textId="77777777" w:rsidR="00426296" w:rsidRPr="00A942F6" w:rsidRDefault="00426296" w:rsidP="00641834">
      <w:pPr>
        <w:pStyle w:val="H2"/>
        <w:rPr>
          <w:lang w:val="nb-NO"/>
        </w:rPr>
      </w:pPr>
    </w:p>
    <w:p w14:paraId="2EB2F330" w14:textId="77777777" w:rsidR="008877F8" w:rsidRPr="00A942F6" w:rsidRDefault="008877F8" w:rsidP="00641834">
      <w:pPr>
        <w:pStyle w:val="Style1underline"/>
        <w:rPr>
          <w:lang w:val="nb-NO"/>
        </w:rPr>
      </w:pPr>
      <w:r w:rsidRPr="00A942F6">
        <w:rPr>
          <w:lang w:val="nb-NO"/>
        </w:rPr>
        <w:t>Intravenøs bruk</w:t>
      </w:r>
    </w:p>
    <w:p w14:paraId="22284E4F" w14:textId="77777777" w:rsidR="00D34B1D" w:rsidRPr="00A942F6" w:rsidRDefault="00D34B1D" w:rsidP="0036729A">
      <w:pPr>
        <w:keepNext/>
        <w:rPr>
          <w:lang w:val="nb-NO"/>
        </w:rPr>
      </w:pPr>
    </w:p>
    <w:p w14:paraId="7F50E651" w14:textId="77777777" w:rsidR="008877F8" w:rsidRPr="00A942F6" w:rsidRDefault="008877F8" w:rsidP="00641834">
      <w:pPr>
        <w:pStyle w:val="Style1underline"/>
        <w:rPr>
          <w:lang w:val="nb-NO"/>
        </w:rPr>
      </w:pPr>
      <w:r w:rsidRPr="00A942F6">
        <w:rPr>
          <w:lang w:val="nb-NO"/>
        </w:rPr>
        <w:t>RA-pasienter</w:t>
      </w:r>
    </w:p>
    <w:p w14:paraId="5DA0A56A" w14:textId="77777777" w:rsidR="008877F8" w:rsidRPr="00A942F6" w:rsidRDefault="008877F8" w:rsidP="00641834">
      <w:pPr>
        <w:rPr>
          <w:lang w:val="nb-NO"/>
        </w:rPr>
      </w:pPr>
      <w:r w:rsidRPr="00A942F6">
        <w:rPr>
          <w:lang w:val="nb-NO"/>
        </w:rPr>
        <w:t>Den farmakokinetiske profilen for tocilizumab ble etablert ved hjelp av populasjonsfarmakokinetiske analyser av en database med 3552 RA-pasienter som fikk behandling med 4 eller 8 mg/kg tocilizumab infusjon i løpet av én time hver 4. uke i 24 uker, eller 162 mg tocilizumab gitt subkutant enten 1 gang ukentlig eller 1 gang annenhver uke i 24 uker.</w:t>
      </w:r>
    </w:p>
    <w:p w14:paraId="76F6B43D" w14:textId="77777777" w:rsidR="008877F8" w:rsidRPr="00A942F6" w:rsidRDefault="008877F8" w:rsidP="00641834">
      <w:pPr>
        <w:rPr>
          <w:lang w:val="nb-NO"/>
        </w:rPr>
      </w:pPr>
    </w:p>
    <w:p w14:paraId="716D751A" w14:textId="60613849" w:rsidR="008877F8" w:rsidRPr="00A942F6" w:rsidRDefault="008877F8" w:rsidP="00641834">
      <w:pPr>
        <w:rPr>
          <w:lang w:val="nb-NO"/>
        </w:rPr>
      </w:pPr>
      <w:r w:rsidRPr="00A942F6">
        <w:rPr>
          <w:lang w:val="nb-NO"/>
        </w:rPr>
        <w:t>De følgende parameterne (beregnet gjennomsnitt ± SD) ble estimert for en tocilizumab-dose på 8</w:t>
      </w:r>
      <w:r w:rsidR="002C204D" w:rsidRPr="00A942F6">
        <w:rPr>
          <w:lang w:val="nb-NO"/>
        </w:rPr>
        <w:t> </w:t>
      </w:r>
      <w:r w:rsidRPr="00A942F6">
        <w:rPr>
          <w:lang w:val="nb-NO"/>
        </w:rPr>
        <w:t>mg/kg gitt hver 4. uke: Steady-state areal under kurven (AUC) = 38</w:t>
      </w:r>
      <w:r w:rsidR="005A0DAF" w:rsidRPr="00A942F6">
        <w:rPr>
          <w:lang w:val="nb-NO"/>
        </w:rPr>
        <w:t> </w:t>
      </w:r>
      <w:r w:rsidRPr="00A942F6">
        <w:rPr>
          <w:lang w:val="nb-NO"/>
        </w:rPr>
        <w:t>000 ± 13</w:t>
      </w:r>
      <w:r w:rsidR="005A0DAF" w:rsidRPr="00A942F6">
        <w:rPr>
          <w:lang w:val="nb-NO"/>
        </w:rPr>
        <w:t> </w:t>
      </w:r>
      <w:r w:rsidRPr="00A942F6">
        <w:rPr>
          <w:lang w:val="nb-NO"/>
        </w:rPr>
        <w:t>000</w:t>
      </w:r>
      <w:r w:rsidR="002C204D" w:rsidRPr="00A942F6">
        <w:rPr>
          <w:lang w:val="nb-NO"/>
        </w:rPr>
        <w:t> </w:t>
      </w:r>
      <w:r w:rsidRPr="00A942F6">
        <w:rPr>
          <w:lang w:val="nb-NO"/>
        </w:rPr>
        <w:t>time•mikrogram/ml, bunnkonsentrasjon (C</w:t>
      </w:r>
      <w:r w:rsidR="00F36EEE" w:rsidRPr="00A942F6">
        <w:rPr>
          <w:rFonts w:cs="Times New Roman"/>
          <w:vertAlign w:val="subscript"/>
          <w:lang w:val="nb-NO"/>
        </w:rPr>
        <w:t>min</w:t>
      </w:r>
      <w:r w:rsidRPr="00A942F6">
        <w:rPr>
          <w:lang w:val="nb-NO"/>
        </w:rPr>
        <w:t>)</w:t>
      </w:r>
      <w:r w:rsidR="00C02048" w:rsidRPr="00A942F6">
        <w:rPr>
          <w:lang w:val="nb-NO"/>
        </w:rPr>
        <w:t xml:space="preserve"> </w:t>
      </w:r>
      <w:r w:rsidRPr="00A942F6">
        <w:rPr>
          <w:lang w:val="nb-NO"/>
        </w:rPr>
        <w:t>=</w:t>
      </w:r>
      <w:r w:rsidR="00157EC5" w:rsidRPr="00A942F6">
        <w:rPr>
          <w:lang w:val="nb-NO"/>
        </w:rPr>
        <w:t xml:space="preserve"> </w:t>
      </w:r>
      <w:r w:rsidRPr="00A942F6">
        <w:rPr>
          <w:lang w:val="nb-NO"/>
        </w:rPr>
        <w:t>15,9 ± 13,1 mikrogram/ml og</w:t>
      </w:r>
      <w:r w:rsidR="00F36EEE" w:rsidRPr="00A942F6">
        <w:rPr>
          <w:lang w:val="nb-NO"/>
        </w:rPr>
        <w:t xml:space="preserve"> </w:t>
      </w:r>
      <w:r w:rsidRPr="00A942F6">
        <w:rPr>
          <w:lang w:val="nb-NO"/>
        </w:rPr>
        <w:t>maksimumskonsentrasjon (C</w:t>
      </w:r>
      <w:r w:rsidR="00F36EEE" w:rsidRPr="00A942F6">
        <w:rPr>
          <w:rFonts w:cs="Times New Roman"/>
          <w:vertAlign w:val="subscript"/>
          <w:lang w:val="nb-NO"/>
        </w:rPr>
        <w:t xml:space="preserve">max </w:t>
      </w:r>
      <w:r w:rsidRPr="00A942F6">
        <w:rPr>
          <w:lang w:val="nb-NO"/>
        </w:rPr>
        <w:t>)</w:t>
      </w:r>
      <w:r w:rsidR="00FE6881" w:rsidRPr="00A942F6">
        <w:rPr>
          <w:lang w:val="nb-NO"/>
        </w:rPr>
        <w:t xml:space="preserve"> </w:t>
      </w:r>
      <w:r w:rsidRPr="00A942F6">
        <w:rPr>
          <w:lang w:val="nb-NO"/>
        </w:rPr>
        <w:t>=182</w:t>
      </w:r>
      <w:r w:rsidR="00F36EEE" w:rsidRPr="00A942F6">
        <w:rPr>
          <w:lang w:val="nb-NO"/>
        </w:rPr>
        <w:t> </w:t>
      </w:r>
      <w:r w:rsidRPr="00A942F6">
        <w:rPr>
          <w:lang w:val="nb-NO"/>
        </w:rPr>
        <w:t>±</w:t>
      </w:r>
      <w:r w:rsidR="002C204D" w:rsidRPr="00A942F6">
        <w:rPr>
          <w:lang w:val="nb-NO"/>
        </w:rPr>
        <w:t> </w:t>
      </w:r>
      <w:r w:rsidRPr="00A942F6">
        <w:rPr>
          <w:lang w:val="nb-NO"/>
        </w:rPr>
        <w:t>50,4 mikrogram/ml, og akkumulasjonsratio for AUC og C</w:t>
      </w:r>
      <w:r w:rsidR="00F36EEE" w:rsidRPr="00A942F6">
        <w:rPr>
          <w:rFonts w:cs="Times New Roman"/>
          <w:vertAlign w:val="subscript"/>
          <w:lang w:val="nb-NO"/>
        </w:rPr>
        <w:t xml:space="preserve">max </w:t>
      </w:r>
      <w:r w:rsidRPr="00A942F6">
        <w:rPr>
          <w:lang w:val="nb-NO"/>
        </w:rPr>
        <w:t>var lave, henholdsvis 1,32 og 1,09. Akkumulasjonsratio var høyere for C</w:t>
      </w:r>
      <w:r w:rsidR="00F36EEE" w:rsidRPr="00A942F6">
        <w:rPr>
          <w:rFonts w:cs="Times New Roman"/>
          <w:vertAlign w:val="subscript"/>
          <w:lang w:val="nb-NO"/>
        </w:rPr>
        <w:t>min</w:t>
      </w:r>
      <w:r w:rsidRPr="00A942F6">
        <w:rPr>
          <w:lang w:val="nb-NO"/>
        </w:rPr>
        <w:t xml:space="preserve"> (2,49). Dette var forventet, basert på en ikke-lineær clearance ved lavere konsentrasjoner. Steady-state ble oppnådd etter første administrasjon for C</w:t>
      </w:r>
      <w:r w:rsidR="00F36EEE" w:rsidRPr="00A942F6">
        <w:rPr>
          <w:rFonts w:cs="Times New Roman"/>
          <w:vertAlign w:val="subscript"/>
          <w:lang w:val="nb-NO"/>
        </w:rPr>
        <w:t xml:space="preserve">max </w:t>
      </w:r>
      <w:r w:rsidRPr="00A942F6">
        <w:rPr>
          <w:lang w:val="nb-NO"/>
        </w:rPr>
        <w:t>og etter henholdsvis 8 og 20 uker for AUC og C</w:t>
      </w:r>
      <w:r w:rsidRPr="00A942F6">
        <w:rPr>
          <w:vertAlign w:val="subscript"/>
          <w:lang w:val="nb-NO"/>
        </w:rPr>
        <w:t>min</w:t>
      </w:r>
      <w:r w:rsidRPr="00A942F6">
        <w:rPr>
          <w:lang w:val="nb-NO"/>
        </w:rPr>
        <w:t>. Tocilizumab AUC,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økte med økt kroppsvekt. Ved kroppsvekt </w:t>
      </w:r>
      <w:r w:rsidRPr="00A942F6">
        <w:rPr>
          <w:rFonts w:cs="Times New Roman"/>
          <w:lang w:val="nb-NO"/>
        </w:rPr>
        <w:t>≥</w:t>
      </w:r>
      <w:r w:rsidRPr="00A942F6">
        <w:rPr>
          <w:lang w:val="nb-NO"/>
        </w:rPr>
        <w:t xml:space="preserve"> 100 kg, var antatt gjennomsnittlig (</w:t>
      </w:r>
      <w:r w:rsidRPr="00A942F6">
        <w:rPr>
          <w:rFonts w:cs="Times New Roman"/>
          <w:lang w:val="nb-NO"/>
        </w:rPr>
        <w:t>±</w:t>
      </w:r>
      <w:r w:rsidRPr="00A942F6">
        <w:rPr>
          <w:lang w:val="nb-NO"/>
        </w:rPr>
        <w:t xml:space="preserve"> SD) steady- state AUC,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for tocilizumab henholdsvis 50</w:t>
      </w:r>
      <w:r w:rsidR="005A0DAF" w:rsidRPr="00A942F6">
        <w:rPr>
          <w:lang w:val="nb-NO"/>
        </w:rPr>
        <w:t> </w:t>
      </w:r>
      <w:r w:rsidRPr="00A942F6">
        <w:rPr>
          <w:lang w:val="nb-NO"/>
        </w:rPr>
        <w:t>000 ± 16</w:t>
      </w:r>
      <w:r w:rsidR="005A0DAF" w:rsidRPr="00A942F6">
        <w:rPr>
          <w:lang w:val="nb-NO"/>
        </w:rPr>
        <w:t> </w:t>
      </w:r>
      <w:r w:rsidRPr="00A942F6">
        <w:rPr>
          <w:lang w:val="nb-NO"/>
        </w:rPr>
        <w:t>800 mikrogram•time/ml, 24,4</w:t>
      </w:r>
      <w:r w:rsidR="00FC1DF2">
        <w:rPr>
          <w:lang w:val="nb-NO"/>
        </w:rPr>
        <w:t> </w:t>
      </w:r>
      <w:r w:rsidRPr="00A942F6">
        <w:rPr>
          <w:lang w:val="nb-NO"/>
        </w:rPr>
        <w:t>±</w:t>
      </w:r>
      <w:r w:rsidR="00FC1DF2">
        <w:rPr>
          <w:lang w:val="nb-NO"/>
        </w:rPr>
        <w:t> </w:t>
      </w:r>
      <w:r w:rsidRPr="00A942F6">
        <w:rPr>
          <w:lang w:val="nb-NO"/>
        </w:rPr>
        <w:t>17,5</w:t>
      </w:r>
      <w:r w:rsidR="00C02048" w:rsidRPr="00A942F6">
        <w:rPr>
          <w:lang w:val="nb-NO"/>
        </w:rPr>
        <w:t> </w:t>
      </w:r>
      <w:r w:rsidRPr="00A942F6">
        <w:rPr>
          <w:lang w:val="nb-NO"/>
        </w:rPr>
        <w:t>mikrogram/ml, og 226 ± 50,3 mikrogram/ml, som er høyere enn gjennomsnittlig eksponeringsverdier for pasientpopulasjonen (dvs. uavhengig kroppsvekt) som beskrevet ovenfor. Doseresponskurven for tocilizumab flater ut ved høyere eksponering, som resulterer i mindre nytte- gevinst for hver økning i tocilizumab-konsentrasjon. Dette fordi klinisk meningsfulle økninger i effekt ikke var demonstrert for pasienter behandlet med &gt; 800 mg med tocilizumab. Tocilizumab-doser over 800 mg per infusjon er derfor ikke anbefalt (se pkt. 4.2).</w:t>
      </w:r>
    </w:p>
    <w:p w14:paraId="0F326AD9" w14:textId="77777777" w:rsidR="00D34B1D" w:rsidRPr="00A942F6" w:rsidRDefault="00D34B1D" w:rsidP="00641834">
      <w:pPr>
        <w:rPr>
          <w:lang w:val="nb-NO"/>
        </w:rPr>
      </w:pPr>
    </w:p>
    <w:p w14:paraId="1C39B8D0" w14:textId="77777777" w:rsidR="008877F8" w:rsidRPr="00A942F6" w:rsidRDefault="008877F8" w:rsidP="00641834">
      <w:pPr>
        <w:pStyle w:val="Style1underline"/>
        <w:rPr>
          <w:lang w:val="nb-NO"/>
        </w:rPr>
      </w:pPr>
      <w:r w:rsidRPr="00A942F6">
        <w:rPr>
          <w:lang w:val="nb-NO"/>
        </w:rPr>
        <w:t>Covid-19-pasienter</w:t>
      </w:r>
    </w:p>
    <w:p w14:paraId="6D73BCF5" w14:textId="5EFC29B0" w:rsidR="008877F8" w:rsidRPr="00A942F6" w:rsidRDefault="008877F8" w:rsidP="00641834">
      <w:pPr>
        <w:rPr>
          <w:lang w:val="nb-NO"/>
        </w:rPr>
      </w:pPr>
      <w:r w:rsidRPr="00A942F6">
        <w:rPr>
          <w:lang w:val="nb-NO"/>
        </w:rPr>
        <w:t>Den farmakokinetiske profilen for tocilizumab var karakterisert ved hjelp av populasjonsfarmakokinetiske analyser av en database med 380 voksne covid-19-pasienter i studie WA42380 (COVACTA) og studie CA42481 (MARIPOSA) som ble behandlet med en enkelt infusjon av 8 mg/kg tocilizumab eller to infusjoner separarert med minst 8 timer. De følgende parameterne (beregnet gjennomsnitt ± SD) ble estimert for en dose på 8 mg/kg tocilizumab: areal under kurven over 28 dager (AUC</w:t>
      </w:r>
      <w:r w:rsidR="00157EC5" w:rsidRPr="00A942F6">
        <w:rPr>
          <w:vertAlign w:val="subscript"/>
          <w:lang w:val="nb-NO"/>
        </w:rPr>
        <w:t>0-28</w:t>
      </w:r>
      <w:r w:rsidRPr="00A942F6">
        <w:rPr>
          <w:lang w:val="nb-NO"/>
        </w:rPr>
        <w:t>) = 18</w:t>
      </w:r>
      <w:r w:rsidR="005A0DAF" w:rsidRPr="00A942F6">
        <w:rPr>
          <w:lang w:val="nb-NO"/>
        </w:rPr>
        <w:t> </w:t>
      </w:r>
      <w:r w:rsidRPr="00A942F6">
        <w:rPr>
          <w:lang w:val="nb-NO"/>
        </w:rPr>
        <w:t>312 (5184) time•mikrogram/ml, konsentrasjon på dag 28 (C</w:t>
      </w:r>
      <w:r w:rsidR="00157EC5" w:rsidRPr="00A942F6">
        <w:rPr>
          <w:vertAlign w:val="subscript"/>
          <w:lang w:val="nb-NO"/>
        </w:rPr>
        <w:t>dag28</w:t>
      </w:r>
      <w:r w:rsidRPr="00A942F6">
        <w:rPr>
          <w:lang w:val="nb-NO"/>
        </w:rPr>
        <w:t>) =</w:t>
      </w:r>
      <w:r w:rsidR="00D34B1D" w:rsidRPr="00A942F6">
        <w:rPr>
          <w:lang w:val="nb-NO"/>
        </w:rPr>
        <w:t xml:space="preserve"> </w:t>
      </w:r>
      <w:r w:rsidRPr="00A942F6">
        <w:rPr>
          <w:lang w:val="nb-NO"/>
        </w:rPr>
        <w:t>0,934</w:t>
      </w:r>
      <w:r w:rsidR="00FC1DF2">
        <w:rPr>
          <w:lang w:val="nb-NO"/>
        </w:rPr>
        <w:t> </w:t>
      </w:r>
      <w:r w:rsidRPr="00A942F6">
        <w:rPr>
          <w:lang w:val="nb-NO"/>
        </w:rPr>
        <w:t>(1,93) mikrogram/ml og maksimumskonsentrasjon (C</w:t>
      </w:r>
      <w:r w:rsidRPr="00A942F6">
        <w:rPr>
          <w:vertAlign w:val="subscript"/>
          <w:lang w:val="nb-NO"/>
        </w:rPr>
        <w:t>max</w:t>
      </w:r>
      <w:r w:rsidRPr="00A942F6">
        <w:rPr>
          <w:lang w:val="nb-NO"/>
        </w:rPr>
        <w:t>) = 154 (34,9) mikrogram/ml. AUC</w:t>
      </w:r>
      <w:r w:rsidR="00157EC5" w:rsidRPr="00A942F6">
        <w:rPr>
          <w:vertAlign w:val="subscript"/>
          <w:lang w:val="nb-NO"/>
        </w:rPr>
        <w:t>0-28</w:t>
      </w:r>
      <w:r w:rsidRPr="00A942F6">
        <w:rPr>
          <w:lang w:val="nb-NO"/>
        </w:rPr>
        <w:t>, C</w:t>
      </w:r>
      <w:r w:rsidR="00157EC5" w:rsidRPr="00A942F6">
        <w:rPr>
          <w:vertAlign w:val="subscript"/>
          <w:lang w:val="nb-NO"/>
        </w:rPr>
        <w:t>dag28</w:t>
      </w:r>
      <w:r w:rsidRPr="00A942F6">
        <w:rPr>
          <w:lang w:val="nb-NO"/>
        </w:rPr>
        <w:t xml:space="preserve"> og C</w:t>
      </w:r>
      <w:r w:rsidR="00F36EEE" w:rsidRPr="00A942F6">
        <w:rPr>
          <w:rFonts w:cs="Times New Roman"/>
          <w:vertAlign w:val="subscript"/>
          <w:lang w:val="nb-NO"/>
        </w:rPr>
        <w:t xml:space="preserve">max </w:t>
      </w:r>
      <w:r w:rsidRPr="00A942F6">
        <w:rPr>
          <w:lang w:val="nb-NO"/>
        </w:rPr>
        <w:t xml:space="preserve">etter to doser av 8 mg/kg tocilizumab separert med 8 timer ble også estimert (beregnet </w:t>
      </w:r>
      <w:r w:rsidRPr="00A942F6">
        <w:rPr>
          <w:lang w:val="nb-NO"/>
        </w:rPr>
        <w:lastRenderedPageBreak/>
        <w:t>gjennomsnitt ± SD): henholdsvis 42</w:t>
      </w:r>
      <w:r w:rsidR="005A0DAF" w:rsidRPr="00A942F6">
        <w:rPr>
          <w:lang w:val="nb-NO"/>
        </w:rPr>
        <w:t> </w:t>
      </w:r>
      <w:r w:rsidRPr="00A942F6">
        <w:rPr>
          <w:lang w:val="nb-NO"/>
        </w:rPr>
        <w:t>240 (11</w:t>
      </w:r>
      <w:r w:rsidR="005A0DAF" w:rsidRPr="00A942F6">
        <w:rPr>
          <w:lang w:val="nb-NO"/>
        </w:rPr>
        <w:t> </w:t>
      </w:r>
      <w:r w:rsidRPr="00A942F6">
        <w:rPr>
          <w:lang w:val="nb-NO"/>
        </w:rPr>
        <w:t>520) time•mikrogram/ml, 8,94 (8,5) mikrogram/ml og</w:t>
      </w:r>
      <w:r w:rsidR="00D34B1D" w:rsidRPr="00A942F6">
        <w:rPr>
          <w:lang w:val="nb-NO"/>
        </w:rPr>
        <w:t xml:space="preserve"> </w:t>
      </w:r>
      <w:r w:rsidRPr="00A942F6">
        <w:rPr>
          <w:lang w:val="nb-NO"/>
        </w:rPr>
        <w:t>296 (64,7) mikrogram/ml.</w:t>
      </w:r>
    </w:p>
    <w:p w14:paraId="0C24E217" w14:textId="77777777" w:rsidR="008877F8" w:rsidRPr="00A942F6" w:rsidRDefault="008877F8" w:rsidP="00641834">
      <w:pPr>
        <w:rPr>
          <w:lang w:val="nb-NO"/>
        </w:rPr>
      </w:pPr>
    </w:p>
    <w:p w14:paraId="7E025329" w14:textId="77777777" w:rsidR="008877F8" w:rsidRPr="00A942F6" w:rsidRDefault="008877F8" w:rsidP="00641834">
      <w:pPr>
        <w:pStyle w:val="Style1underline"/>
        <w:rPr>
          <w:lang w:val="nb-NO"/>
        </w:rPr>
      </w:pPr>
      <w:r w:rsidRPr="00A942F6">
        <w:rPr>
          <w:lang w:val="nb-NO"/>
        </w:rPr>
        <w:t>Distribusjon</w:t>
      </w:r>
    </w:p>
    <w:p w14:paraId="3A3D3EAF" w14:textId="77777777" w:rsidR="008877F8" w:rsidRPr="00A942F6" w:rsidRDefault="008877F8" w:rsidP="00641834">
      <w:pPr>
        <w:rPr>
          <w:lang w:val="nb-NO"/>
        </w:rPr>
      </w:pPr>
      <w:r w:rsidRPr="00A942F6">
        <w:rPr>
          <w:lang w:val="nb-NO"/>
        </w:rPr>
        <w:t>Hos RA-pasienter var sentralt distribusjonsvolum 3,72 l, perifert distribusjonsvolum var 3,35 l, som gir distribusjonsvolum 7,07 l ved steady-state.</w:t>
      </w:r>
    </w:p>
    <w:p w14:paraId="5A9AA3E7" w14:textId="77777777" w:rsidR="008877F8" w:rsidRPr="00A942F6" w:rsidRDefault="008877F8" w:rsidP="00641834">
      <w:pPr>
        <w:rPr>
          <w:lang w:val="nb-NO"/>
        </w:rPr>
      </w:pPr>
    </w:p>
    <w:p w14:paraId="798EB712" w14:textId="77777777" w:rsidR="008877F8" w:rsidRPr="00A942F6" w:rsidRDefault="008877F8" w:rsidP="00641834">
      <w:pPr>
        <w:rPr>
          <w:lang w:val="nb-NO"/>
        </w:rPr>
      </w:pPr>
      <w:r w:rsidRPr="00A942F6">
        <w:rPr>
          <w:lang w:val="nb-NO"/>
        </w:rPr>
        <w:t>Hos covid-19-pasienter var sentralt distribusjonsvolum 4,52 l, perifert distribusjonsvolum 4,23 l, som gir et distribusjonsvolum på 8,75 l.</w:t>
      </w:r>
    </w:p>
    <w:p w14:paraId="73122BCA" w14:textId="77777777" w:rsidR="008877F8" w:rsidRPr="00A942F6" w:rsidRDefault="008877F8" w:rsidP="00641834">
      <w:pPr>
        <w:rPr>
          <w:lang w:val="nb-NO"/>
        </w:rPr>
      </w:pPr>
    </w:p>
    <w:p w14:paraId="1B26E723" w14:textId="77777777" w:rsidR="008877F8" w:rsidRPr="00A942F6" w:rsidRDefault="008877F8" w:rsidP="00641834">
      <w:pPr>
        <w:pStyle w:val="Style1underline"/>
        <w:rPr>
          <w:lang w:val="nb-NO"/>
        </w:rPr>
      </w:pPr>
      <w:r w:rsidRPr="00A942F6">
        <w:rPr>
          <w:lang w:val="nb-NO"/>
        </w:rPr>
        <w:t>Eliminasjon</w:t>
      </w:r>
    </w:p>
    <w:p w14:paraId="3E7DDBD8" w14:textId="10B55840" w:rsidR="008877F8" w:rsidRPr="00A942F6" w:rsidRDefault="008877F8" w:rsidP="00641834">
      <w:pPr>
        <w:rPr>
          <w:lang w:val="nb-NO"/>
        </w:rPr>
      </w:pPr>
      <w:r w:rsidRPr="00A942F6">
        <w:rPr>
          <w:lang w:val="nb-NO"/>
        </w:rPr>
        <w:t>Etter intravenøs administrasjon gjennomgår tocilizumab bifasisk eliminasjon fra sirkulasjonen, én følger en lineær clearance og én følger en konsentrasjonsavhengig ikke-lineær clearance. Hos RA- pasienter var lineær clearance 9,5 ml/time. Hos voksne covid-19-pasienter var lineær clearance 17,6</w:t>
      </w:r>
      <w:r w:rsidR="00C02048" w:rsidRPr="00A942F6">
        <w:rPr>
          <w:lang w:val="nb-NO"/>
        </w:rPr>
        <w:t> </w:t>
      </w:r>
      <w:r w:rsidRPr="00A942F6">
        <w:rPr>
          <w:lang w:val="nb-NO"/>
        </w:rPr>
        <w:t>ml/time hos pasienter med baseline ordinal skalakategori 3 (OS 3, pasienter som trenger supplerende oksygen), 22,5 ml/time hos pasienter med baseline OS 4 (pasienter som trenger høystrømsoksygen eller ikke-invasiv ventilasjon), 29 ml/time hos pasienter med baseline OS 5</w:t>
      </w:r>
      <w:r w:rsidR="00C02048" w:rsidRPr="00A942F6">
        <w:rPr>
          <w:lang w:val="nb-NO"/>
        </w:rPr>
        <w:t> </w:t>
      </w:r>
      <w:r w:rsidRPr="00A942F6">
        <w:rPr>
          <w:lang w:val="nb-NO"/>
        </w:rPr>
        <w:t>(pasienter som trenger mekanisk ventilasjon) og 35,4 ml/time hos pasienter med baseline OS 6</w:t>
      </w:r>
      <w:r w:rsidR="00C02048" w:rsidRPr="00A942F6">
        <w:rPr>
          <w:lang w:val="nb-NO"/>
        </w:rPr>
        <w:t> </w:t>
      </w:r>
      <w:r w:rsidRPr="00A942F6">
        <w:rPr>
          <w:lang w:val="nb-NO"/>
        </w:rPr>
        <w:t>(pasienter som trenger ekstrakorporal membranoksygenering (ECMO) eller mekanisk ventilasjon og ekstra organstøtte).</w:t>
      </w:r>
    </w:p>
    <w:p w14:paraId="7D67B4CC" w14:textId="77777777" w:rsidR="008877F8" w:rsidRPr="00A942F6" w:rsidRDefault="008877F8" w:rsidP="00641834">
      <w:pPr>
        <w:rPr>
          <w:lang w:val="nb-NO"/>
        </w:rPr>
      </w:pPr>
      <w:r w:rsidRPr="00A942F6">
        <w:rPr>
          <w:lang w:val="nb-NO"/>
        </w:rPr>
        <w:t>Konsentrasjonsavhengig, ikke-lineær clearance spiller en viktig rolle ved lave konsentrasjoner av tocilizumab. Når den ikke-lineære eliminasjonsveien er mettet ved høyere konsentrasjoner av tocilizumab, avgjøres clearance hovedsaklig av lineær clearance.</w:t>
      </w:r>
    </w:p>
    <w:p w14:paraId="0E8FF351" w14:textId="77777777" w:rsidR="008877F8" w:rsidRPr="00A942F6" w:rsidRDefault="008877F8" w:rsidP="00641834">
      <w:pPr>
        <w:rPr>
          <w:lang w:val="nb-NO"/>
        </w:rPr>
      </w:pPr>
    </w:p>
    <w:p w14:paraId="437631FB" w14:textId="77777777" w:rsidR="008877F8" w:rsidRPr="00A942F6" w:rsidRDefault="008877F8" w:rsidP="00641834">
      <w:pPr>
        <w:rPr>
          <w:lang w:val="nb-NO"/>
        </w:rPr>
      </w:pPr>
      <w:r w:rsidRPr="00A942F6">
        <w:rPr>
          <w:lang w:val="nb-NO"/>
        </w:rPr>
        <w:t>Hos RA-pasienter var halveringstiden (t</w:t>
      </w:r>
      <w:r w:rsidR="002D2136" w:rsidRPr="00A942F6">
        <w:rPr>
          <w:vertAlign w:val="subscript"/>
          <w:lang w:val="nb-NO"/>
        </w:rPr>
        <w:t>1/2</w:t>
      </w:r>
      <w:r w:rsidRPr="00A942F6">
        <w:rPr>
          <w:lang w:val="nb-NO"/>
        </w:rPr>
        <w:t>) for tocilizumab var konsentrasjonsavhengig. Ved steady- state etter dosering 8 mg/kg hver 4. uke avtok effektiv t</w:t>
      </w:r>
      <w:r w:rsidR="002D2136" w:rsidRPr="00A942F6">
        <w:rPr>
          <w:vertAlign w:val="subscript"/>
          <w:lang w:val="nb-NO"/>
        </w:rPr>
        <w:t>1/2</w:t>
      </w:r>
      <w:r w:rsidRPr="00A942F6">
        <w:rPr>
          <w:lang w:val="nb-NO"/>
        </w:rPr>
        <w:t xml:space="preserve"> med avtagende konsentrasjon innenfor et doseringsintervall fra 18 til 6 dager.</w:t>
      </w:r>
    </w:p>
    <w:p w14:paraId="286855EF" w14:textId="77777777" w:rsidR="008877F8" w:rsidRPr="00A942F6" w:rsidRDefault="008877F8" w:rsidP="00641834">
      <w:pPr>
        <w:rPr>
          <w:lang w:val="nb-NO"/>
        </w:rPr>
      </w:pPr>
    </w:p>
    <w:p w14:paraId="45B56CF1" w14:textId="77777777" w:rsidR="008877F8" w:rsidRPr="00A942F6" w:rsidRDefault="008877F8" w:rsidP="00641834">
      <w:pPr>
        <w:rPr>
          <w:lang w:val="nb-NO"/>
        </w:rPr>
      </w:pPr>
      <w:r w:rsidRPr="00A942F6">
        <w:rPr>
          <w:lang w:val="nb-NO"/>
        </w:rPr>
        <w:t>Hos covid-19-pasienter var serumkonsentrasjonen under kvantifiseringsgrensen etter 35 dager i gjennomsnitt etter én infusjon av 8 mg/kg intravenøs tocilizumab.</w:t>
      </w:r>
    </w:p>
    <w:p w14:paraId="5C213F74" w14:textId="77777777" w:rsidR="008877F8" w:rsidRPr="00A942F6" w:rsidRDefault="008877F8" w:rsidP="00641834">
      <w:pPr>
        <w:rPr>
          <w:lang w:val="nb-NO"/>
        </w:rPr>
      </w:pPr>
    </w:p>
    <w:p w14:paraId="028C202F" w14:textId="77777777" w:rsidR="008877F8" w:rsidRPr="00A942F6" w:rsidRDefault="008877F8" w:rsidP="00641834">
      <w:pPr>
        <w:pStyle w:val="Style1underline"/>
        <w:rPr>
          <w:lang w:val="nb-NO"/>
        </w:rPr>
      </w:pPr>
      <w:r w:rsidRPr="00A942F6">
        <w:rPr>
          <w:lang w:val="nb-NO"/>
        </w:rPr>
        <w:t>Linearitet</w:t>
      </w:r>
    </w:p>
    <w:p w14:paraId="54BB52C9" w14:textId="77777777" w:rsidR="008877F8" w:rsidRPr="00A942F6" w:rsidRDefault="008877F8" w:rsidP="00641834">
      <w:pPr>
        <w:rPr>
          <w:lang w:val="nb-NO"/>
        </w:rPr>
      </w:pPr>
      <w:r w:rsidRPr="00A942F6">
        <w:rPr>
          <w:lang w:val="nb-NO"/>
        </w:rPr>
        <w:t>De farmakokinetiske parametrene for tocilizumab endret seg ikke over tid. En mer enn doseproporsjonal økning i AUC og C</w:t>
      </w:r>
      <w:r w:rsidR="00F36EEE" w:rsidRPr="00A942F6">
        <w:rPr>
          <w:rFonts w:cs="Times New Roman"/>
          <w:vertAlign w:val="subscript"/>
          <w:lang w:val="nb-NO"/>
        </w:rPr>
        <w:t xml:space="preserve">min </w:t>
      </w:r>
      <w:r w:rsidRPr="00A942F6">
        <w:rPr>
          <w:lang w:val="nb-NO"/>
        </w:rPr>
        <w:t>ble observert for doser på 4 og 8 mg/kg hver 4. uke. C</w:t>
      </w:r>
      <w:r w:rsidR="00F36EEE" w:rsidRPr="00A942F6">
        <w:rPr>
          <w:rFonts w:cs="Times New Roman"/>
          <w:vertAlign w:val="subscript"/>
          <w:lang w:val="nb-NO"/>
        </w:rPr>
        <w:t xml:space="preserve">max </w:t>
      </w:r>
      <w:r w:rsidRPr="00A942F6">
        <w:rPr>
          <w:lang w:val="nb-NO"/>
        </w:rPr>
        <w:t>økte doseproporsjonalt. Ved steady-state var beregnet AUC og C</w:t>
      </w:r>
      <w:r w:rsidR="00F36EEE" w:rsidRPr="00A942F6">
        <w:rPr>
          <w:rFonts w:cs="Times New Roman"/>
          <w:vertAlign w:val="subscript"/>
          <w:lang w:val="nb-NO"/>
        </w:rPr>
        <w:t xml:space="preserve">min </w:t>
      </w:r>
      <w:r w:rsidRPr="00A942F6">
        <w:rPr>
          <w:lang w:val="nb-NO"/>
        </w:rPr>
        <w:t>henholdsvis 3,2 og 30 ganger høyere ved 8 mg/kg sammenlignet med 4 mg/kg.</w:t>
      </w:r>
    </w:p>
    <w:p w14:paraId="3163CD34" w14:textId="77777777" w:rsidR="008877F8" w:rsidRPr="00A942F6" w:rsidRDefault="008877F8" w:rsidP="00641834">
      <w:pPr>
        <w:rPr>
          <w:lang w:val="nb-NO"/>
        </w:rPr>
      </w:pPr>
    </w:p>
    <w:p w14:paraId="5CC408C0" w14:textId="77777777" w:rsidR="008877F8" w:rsidRPr="00A942F6" w:rsidRDefault="008877F8" w:rsidP="00641834">
      <w:pPr>
        <w:pStyle w:val="Style1underline"/>
        <w:rPr>
          <w:lang w:val="nb-NO"/>
        </w:rPr>
      </w:pPr>
      <w:r w:rsidRPr="00A942F6">
        <w:rPr>
          <w:lang w:val="nb-NO"/>
        </w:rPr>
        <w:t>Spesielle populasjoner</w:t>
      </w:r>
    </w:p>
    <w:p w14:paraId="679084D1" w14:textId="77777777" w:rsidR="008877F8" w:rsidRPr="00A942F6" w:rsidRDefault="008877F8" w:rsidP="00641834">
      <w:pPr>
        <w:rPr>
          <w:lang w:val="nb-NO"/>
        </w:rPr>
      </w:pPr>
      <w:r w:rsidRPr="00A942F6">
        <w:rPr>
          <w:lang w:val="nb-NO"/>
        </w:rPr>
        <w:t xml:space="preserve">Nedsatt nyrefunksjon: Det er ikke utført formelle studier vedrørende effekten av nedsatt nyrefunksjon på farmakokinetikken for tocilizumab. De fleste pasientene i den populasjonsfarmakokinetiske analysen hadde normal eller lett nedsatt nyrefunksjon. Lett nedsatt nyrefunksjon (kreatininclearance basert på Cockcroft-Gault &lt; 80 ml/min og </w:t>
      </w:r>
      <w:r w:rsidR="00F36EEE" w:rsidRPr="00A942F6">
        <w:rPr>
          <w:rFonts w:cs="Times New Roman"/>
          <w:lang w:val="nb-NO"/>
        </w:rPr>
        <w:t>≥</w:t>
      </w:r>
      <w:r w:rsidRPr="00A942F6">
        <w:rPr>
          <w:lang w:val="nb-NO"/>
        </w:rPr>
        <w:t xml:space="preserve"> 50 ml/min) hadde ingen innvirkning på farmakokinetikken til tocilizumab.</w:t>
      </w:r>
    </w:p>
    <w:p w14:paraId="2E442250" w14:textId="77777777" w:rsidR="008877F8" w:rsidRPr="00A942F6" w:rsidRDefault="008877F8" w:rsidP="00641834">
      <w:pPr>
        <w:rPr>
          <w:lang w:val="nb-NO"/>
        </w:rPr>
      </w:pPr>
    </w:p>
    <w:p w14:paraId="06E52F7B" w14:textId="77777777" w:rsidR="008877F8" w:rsidRPr="00A942F6" w:rsidRDefault="008877F8" w:rsidP="00641834">
      <w:pPr>
        <w:rPr>
          <w:lang w:val="nb-NO"/>
        </w:rPr>
      </w:pPr>
      <w:r w:rsidRPr="00A942F6">
        <w:rPr>
          <w:i/>
          <w:iCs/>
          <w:lang w:val="nb-NO"/>
        </w:rPr>
        <w:t>Nedsatt leverfunksjon:</w:t>
      </w:r>
      <w:r w:rsidRPr="00A942F6">
        <w:rPr>
          <w:lang w:val="nb-NO"/>
        </w:rPr>
        <w:t xml:space="preserve"> Det er ikke utført formelle studier vedrørende effekten av nedsatt leverfunksjon på farmakokinetikken til tocilizumab.</w:t>
      </w:r>
    </w:p>
    <w:p w14:paraId="215B420D" w14:textId="77777777" w:rsidR="001D2021" w:rsidRPr="00A942F6" w:rsidRDefault="001D2021" w:rsidP="00641834">
      <w:pPr>
        <w:rPr>
          <w:lang w:val="nb-NO"/>
        </w:rPr>
      </w:pPr>
    </w:p>
    <w:p w14:paraId="4501A153" w14:textId="77777777" w:rsidR="008877F8" w:rsidRPr="00A942F6" w:rsidRDefault="008877F8" w:rsidP="00641834">
      <w:pPr>
        <w:rPr>
          <w:lang w:val="nb-NO"/>
        </w:rPr>
      </w:pPr>
      <w:r w:rsidRPr="00A942F6">
        <w:rPr>
          <w:i/>
          <w:iCs/>
          <w:lang w:val="nb-NO"/>
        </w:rPr>
        <w:t>Alder, kjønn og etnisitet:</w:t>
      </w:r>
      <w:r w:rsidRPr="00A942F6">
        <w:rPr>
          <w:lang w:val="nb-NO"/>
        </w:rPr>
        <w:t xml:space="preserve"> Populasjonsfarmakokinetiske analyser hos voksne RA- og covid-19- pasienter viste at alder, kjønn og etnisk opprinnelse ikke påvirket farmakokinetikken til tocilizumab.</w:t>
      </w:r>
    </w:p>
    <w:p w14:paraId="6A96B442" w14:textId="77777777" w:rsidR="001D2021" w:rsidRPr="00A942F6" w:rsidRDefault="001D2021" w:rsidP="00641834">
      <w:pPr>
        <w:rPr>
          <w:lang w:val="nb-NO"/>
        </w:rPr>
      </w:pPr>
    </w:p>
    <w:p w14:paraId="328E3047" w14:textId="77777777" w:rsidR="008877F8" w:rsidRPr="00A942F6" w:rsidRDefault="008877F8" w:rsidP="00641834">
      <w:pPr>
        <w:rPr>
          <w:lang w:val="nb-NO"/>
        </w:rPr>
      </w:pPr>
      <w:r w:rsidRPr="00A942F6">
        <w:rPr>
          <w:lang w:val="nb-NO"/>
        </w:rPr>
        <w:t>Resultater fra den populasjonsfarmakokinetiske analysen for covid-19-pasienter bekreftet at kroppsvekt og alvorlighetsgrad for sykdom begge er kovariater som har en betydelig innvirkning på den lineære clearancen av tocilizumab.</w:t>
      </w:r>
    </w:p>
    <w:p w14:paraId="13DEE7A4" w14:textId="77777777" w:rsidR="008877F8" w:rsidRPr="00A942F6" w:rsidRDefault="008877F8" w:rsidP="00641834">
      <w:pPr>
        <w:rPr>
          <w:lang w:val="nb-NO"/>
        </w:rPr>
      </w:pPr>
    </w:p>
    <w:p w14:paraId="69693BDE" w14:textId="77777777" w:rsidR="008877F8" w:rsidRPr="00A942F6" w:rsidRDefault="008877F8" w:rsidP="00641834">
      <w:pPr>
        <w:rPr>
          <w:i/>
          <w:iCs/>
          <w:lang w:val="nb-NO"/>
        </w:rPr>
      </w:pPr>
      <w:r w:rsidRPr="00A942F6">
        <w:rPr>
          <w:i/>
          <w:iCs/>
          <w:lang w:val="nb-NO"/>
        </w:rPr>
        <w:t>sJIA-pasienter:</w:t>
      </w:r>
    </w:p>
    <w:p w14:paraId="052AA3D2" w14:textId="77777777" w:rsidR="008877F8" w:rsidRPr="00A942F6" w:rsidRDefault="008877F8" w:rsidP="00641834">
      <w:pPr>
        <w:rPr>
          <w:lang w:val="nb-NO"/>
        </w:rPr>
      </w:pPr>
      <w:r w:rsidRPr="00A942F6">
        <w:rPr>
          <w:lang w:val="nb-NO"/>
        </w:rPr>
        <w:t xml:space="preserve">Farmakokinetikken til tocilizumab ble bestemt ved hjelp av en farmakokinetisk populasjonsanalyse av en database med 140 sJIA-pasienter behandlet med 8 mg/kg i.v. annenhver uke (pasienter med </w:t>
      </w:r>
      <w:r w:rsidRPr="00A942F6">
        <w:rPr>
          <w:lang w:val="nb-NO"/>
        </w:rPr>
        <w:lastRenderedPageBreak/>
        <w:t xml:space="preserve">kroppsvekt </w:t>
      </w:r>
      <w:r w:rsidRPr="00A942F6">
        <w:rPr>
          <w:rFonts w:cs="Times New Roman"/>
          <w:lang w:val="nb-NO"/>
        </w:rPr>
        <w:t>≥</w:t>
      </w:r>
      <w:r w:rsidRPr="00A942F6">
        <w:rPr>
          <w:lang w:val="nb-NO"/>
        </w:rPr>
        <w:t xml:space="preserve"> 30 kg), 12 mg/kg i.v. annenhver uke (pasienter med kroppsvekt &lt; 30 kg), 162 mg s.c. hver uke (pasienter med kroppsvekt </w:t>
      </w:r>
      <w:r w:rsidRPr="00A942F6">
        <w:rPr>
          <w:rFonts w:cs="Times New Roman"/>
          <w:lang w:val="nb-NO"/>
        </w:rPr>
        <w:t>≥</w:t>
      </w:r>
      <w:r w:rsidRPr="00A942F6">
        <w:rPr>
          <w:lang w:val="nb-NO"/>
        </w:rPr>
        <w:t xml:space="preserve"> 30 kg), 162 mg s.c. hver 10. dag eller annenhver uke (pasienter med kroppsvekt under 30 kg).</w:t>
      </w:r>
    </w:p>
    <w:p w14:paraId="4FDB5F8B" w14:textId="77777777" w:rsidR="008877F8" w:rsidRPr="00A942F6" w:rsidRDefault="008877F8" w:rsidP="00641834">
      <w:pPr>
        <w:rPr>
          <w:lang w:val="nb-NO"/>
        </w:rPr>
      </w:pPr>
    </w:p>
    <w:p w14:paraId="2DED3070" w14:textId="77777777" w:rsidR="008877F8" w:rsidRPr="00A942F6" w:rsidRDefault="008877F8" w:rsidP="00641834">
      <w:pPr>
        <w:pStyle w:val="Style1Iitaic"/>
        <w:rPr>
          <w:lang w:val="nb-NO"/>
        </w:rPr>
      </w:pPr>
      <w:r w:rsidRPr="00A942F6">
        <w:rPr>
          <w:lang w:val="nb-NO"/>
        </w:rPr>
        <w:t>Tabell 11. Forventet gjennomsnitt ± SD farmakokinetiske parametre ved steady-state etter intravenøs dosering ved sJIA</w:t>
      </w:r>
    </w:p>
    <w:p w14:paraId="7F680376" w14:textId="77777777" w:rsidR="008877F8" w:rsidRPr="00A942F6" w:rsidRDefault="008877F8" w:rsidP="00641834">
      <w:pPr>
        <w:keepNext/>
        <w:rPr>
          <w:lang w:val="nb-NO"/>
        </w:rPr>
      </w:pP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978"/>
        <w:gridCol w:w="2976"/>
      </w:tblGrid>
      <w:tr w:rsidR="008877F8" w:rsidRPr="00B477E5" w14:paraId="7A1D10A2" w14:textId="77777777" w:rsidTr="003175D5">
        <w:trPr>
          <w:cantSplit/>
          <w:trHeight w:val="20"/>
          <w:tblHeader/>
        </w:trPr>
        <w:tc>
          <w:tcPr>
            <w:tcW w:w="2834" w:type="dxa"/>
          </w:tcPr>
          <w:p w14:paraId="5459D0B5" w14:textId="0AD840B9" w:rsidR="008877F8" w:rsidRPr="00A942F6" w:rsidRDefault="005A0DAF" w:rsidP="00641834">
            <w:pPr>
              <w:pStyle w:val="TableParagraph"/>
              <w:rPr>
                <w:b/>
                <w:sz w:val="20"/>
                <w:szCs w:val="20"/>
                <w:lang w:val="nb-NO"/>
              </w:rPr>
            </w:pPr>
            <w:r w:rsidRPr="00A942F6">
              <w:rPr>
                <w:b/>
                <w:sz w:val="20"/>
                <w:szCs w:val="20"/>
                <w:lang w:val="nb-NO"/>
              </w:rPr>
              <w:t>Tocilizumab</w:t>
            </w:r>
            <w:r w:rsidR="008877F8" w:rsidRPr="00A942F6">
              <w:rPr>
                <w:b/>
                <w:sz w:val="20"/>
                <w:szCs w:val="20"/>
                <w:lang w:val="nb-NO"/>
              </w:rPr>
              <w:t xml:space="preserve"> farmakokinetisk parameter</w:t>
            </w:r>
          </w:p>
        </w:tc>
        <w:tc>
          <w:tcPr>
            <w:tcW w:w="2978" w:type="dxa"/>
          </w:tcPr>
          <w:p w14:paraId="14A89FED" w14:textId="77777777" w:rsidR="008877F8" w:rsidRPr="00A942F6" w:rsidRDefault="008877F8" w:rsidP="00641834">
            <w:pPr>
              <w:pStyle w:val="TableParagraph"/>
              <w:jc w:val="center"/>
              <w:rPr>
                <w:b/>
                <w:sz w:val="20"/>
                <w:szCs w:val="20"/>
                <w:lang w:val="nb-NO"/>
              </w:rPr>
            </w:pPr>
            <w:r w:rsidRPr="00A942F6">
              <w:rPr>
                <w:b/>
                <w:sz w:val="20"/>
                <w:szCs w:val="20"/>
                <w:lang w:val="nb-NO"/>
              </w:rPr>
              <w:t>8 mg/kg annenhver uke,</w:t>
            </w:r>
            <w:r w:rsidR="00FE6881" w:rsidRPr="00A942F6">
              <w:rPr>
                <w:b/>
                <w:sz w:val="20"/>
                <w:szCs w:val="20"/>
                <w:lang w:val="nb-NO"/>
              </w:rPr>
              <w:t xml:space="preserve"> </w:t>
            </w:r>
            <w:r w:rsidRPr="00A942F6">
              <w:rPr>
                <w:b/>
                <w:sz w:val="20"/>
                <w:szCs w:val="20"/>
                <w:lang w:val="nb-NO"/>
              </w:rPr>
              <w:t xml:space="preserve">≥ </w:t>
            </w:r>
            <w:r w:rsidR="00FE6881" w:rsidRPr="00A942F6">
              <w:rPr>
                <w:b/>
                <w:sz w:val="20"/>
                <w:szCs w:val="20"/>
                <w:lang w:val="nb-NO"/>
              </w:rPr>
              <w:t>30 </w:t>
            </w:r>
            <w:r w:rsidRPr="00A942F6">
              <w:rPr>
                <w:b/>
                <w:sz w:val="20"/>
                <w:szCs w:val="20"/>
                <w:lang w:val="nb-NO"/>
              </w:rPr>
              <w:t>kg</w:t>
            </w:r>
          </w:p>
        </w:tc>
        <w:tc>
          <w:tcPr>
            <w:tcW w:w="2976" w:type="dxa"/>
          </w:tcPr>
          <w:p w14:paraId="240BF75A" w14:textId="77777777" w:rsidR="008877F8" w:rsidRPr="00A942F6" w:rsidRDefault="008877F8" w:rsidP="00641834">
            <w:pPr>
              <w:pStyle w:val="TableParagraph"/>
              <w:jc w:val="center"/>
              <w:rPr>
                <w:b/>
                <w:sz w:val="20"/>
                <w:szCs w:val="20"/>
                <w:lang w:val="nb-NO"/>
              </w:rPr>
            </w:pPr>
            <w:r w:rsidRPr="00A942F6">
              <w:rPr>
                <w:b/>
                <w:sz w:val="20"/>
                <w:szCs w:val="20"/>
                <w:lang w:val="nb-NO"/>
              </w:rPr>
              <w:t>12 mg/kg annenhver uke,</w:t>
            </w:r>
            <w:r w:rsidR="00FE6881" w:rsidRPr="00A942F6">
              <w:rPr>
                <w:b/>
                <w:sz w:val="20"/>
                <w:szCs w:val="20"/>
                <w:lang w:val="nb-NO"/>
              </w:rPr>
              <w:t xml:space="preserve"> </w:t>
            </w:r>
            <w:r w:rsidRPr="00A942F6">
              <w:rPr>
                <w:b/>
                <w:sz w:val="20"/>
                <w:szCs w:val="20"/>
                <w:lang w:val="nb-NO"/>
              </w:rPr>
              <w:t xml:space="preserve">under </w:t>
            </w:r>
            <w:r w:rsidR="00FE6881" w:rsidRPr="00A942F6">
              <w:rPr>
                <w:b/>
                <w:sz w:val="20"/>
                <w:szCs w:val="20"/>
                <w:lang w:val="nb-NO"/>
              </w:rPr>
              <w:t>30 </w:t>
            </w:r>
            <w:r w:rsidRPr="00A942F6">
              <w:rPr>
                <w:b/>
                <w:sz w:val="20"/>
                <w:szCs w:val="20"/>
                <w:lang w:val="nb-NO"/>
              </w:rPr>
              <w:t>kg</w:t>
            </w:r>
          </w:p>
        </w:tc>
      </w:tr>
      <w:tr w:rsidR="008877F8" w:rsidRPr="00A942F6" w14:paraId="5EC079E6" w14:textId="77777777" w:rsidTr="003175D5">
        <w:trPr>
          <w:cantSplit/>
          <w:trHeight w:val="20"/>
        </w:trPr>
        <w:tc>
          <w:tcPr>
            <w:tcW w:w="2834" w:type="dxa"/>
          </w:tcPr>
          <w:p w14:paraId="481407FE" w14:textId="77777777" w:rsidR="008877F8" w:rsidRPr="00A942F6" w:rsidRDefault="008877F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maks</w:t>
            </w:r>
            <w:r w:rsidRPr="00A942F6">
              <w:rPr>
                <w:sz w:val="20"/>
                <w:szCs w:val="20"/>
                <w:lang w:val="nb-NO"/>
              </w:rPr>
              <w:t xml:space="preserve"> </w:t>
            </w:r>
            <w:r w:rsidRPr="00A942F6">
              <w:rPr>
                <w:position w:val="2"/>
                <w:sz w:val="20"/>
                <w:szCs w:val="20"/>
                <w:lang w:val="nb-NO"/>
              </w:rPr>
              <w:t>(mikrog/ml)</w:t>
            </w:r>
          </w:p>
        </w:tc>
        <w:tc>
          <w:tcPr>
            <w:tcW w:w="2978" w:type="dxa"/>
          </w:tcPr>
          <w:p w14:paraId="43837FE7" w14:textId="77777777" w:rsidR="008877F8" w:rsidRPr="00A942F6" w:rsidRDefault="008877F8" w:rsidP="00641834">
            <w:pPr>
              <w:pStyle w:val="TableParagraph"/>
              <w:jc w:val="center"/>
              <w:rPr>
                <w:sz w:val="20"/>
                <w:szCs w:val="20"/>
                <w:lang w:val="nb-NO"/>
              </w:rPr>
            </w:pPr>
            <w:r w:rsidRPr="00A942F6">
              <w:rPr>
                <w:sz w:val="20"/>
                <w:szCs w:val="20"/>
                <w:lang w:val="nb-NO"/>
              </w:rPr>
              <w:t>256 ± 60,8</w:t>
            </w:r>
          </w:p>
        </w:tc>
        <w:tc>
          <w:tcPr>
            <w:tcW w:w="2976" w:type="dxa"/>
          </w:tcPr>
          <w:p w14:paraId="26CE9896" w14:textId="77777777" w:rsidR="008877F8" w:rsidRPr="00A942F6" w:rsidRDefault="008877F8" w:rsidP="00641834">
            <w:pPr>
              <w:pStyle w:val="TableParagraph"/>
              <w:jc w:val="center"/>
              <w:rPr>
                <w:sz w:val="20"/>
                <w:szCs w:val="20"/>
                <w:lang w:val="nb-NO"/>
              </w:rPr>
            </w:pPr>
            <w:r w:rsidRPr="00A942F6">
              <w:rPr>
                <w:sz w:val="20"/>
                <w:szCs w:val="20"/>
                <w:lang w:val="nb-NO"/>
              </w:rPr>
              <w:t xml:space="preserve">274 </w:t>
            </w:r>
            <w:r w:rsidRPr="00A942F6">
              <w:rPr>
                <w:rFonts w:ascii="Symbol" w:hAnsi="Symbol"/>
                <w:sz w:val="20"/>
                <w:szCs w:val="20"/>
                <w:lang w:val="nb-NO"/>
              </w:rPr>
              <w:t></w:t>
            </w:r>
            <w:r w:rsidRPr="00A942F6">
              <w:rPr>
                <w:sz w:val="20"/>
                <w:szCs w:val="20"/>
                <w:lang w:val="nb-NO"/>
              </w:rPr>
              <w:t xml:space="preserve"> 63,8</w:t>
            </w:r>
          </w:p>
        </w:tc>
      </w:tr>
      <w:tr w:rsidR="008877F8" w:rsidRPr="00A942F6" w14:paraId="428E1E52" w14:textId="77777777" w:rsidTr="003175D5">
        <w:trPr>
          <w:cantSplit/>
          <w:trHeight w:val="20"/>
        </w:trPr>
        <w:tc>
          <w:tcPr>
            <w:tcW w:w="2834" w:type="dxa"/>
          </w:tcPr>
          <w:p w14:paraId="19114A5E" w14:textId="77777777" w:rsidR="008877F8" w:rsidRPr="00A942F6" w:rsidRDefault="008877F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978" w:type="dxa"/>
          </w:tcPr>
          <w:p w14:paraId="475EBB82" w14:textId="77777777" w:rsidR="008877F8" w:rsidRPr="00A942F6" w:rsidRDefault="008877F8" w:rsidP="00641834">
            <w:pPr>
              <w:pStyle w:val="TableParagraph"/>
              <w:jc w:val="center"/>
              <w:rPr>
                <w:sz w:val="20"/>
                <w:szCs w:val="20"/>
                <w:lang w:val="nb-NO"/>
              </w:rPr>
            </w:pPr>
            <w:r w:rsidRPr="00A942F6">
              <w:rPr>
                <w:sz w:val="20"/>
                <w:szCs w:val="20"/>
                <w:lang w:val="nb-NO"/>
              </w:rPr>
              <w:t>69,7 ± 29,1</w:t>
            </w:r>
          </w:p>
        </w:tc>
        <w:tc>
          <w:tcPr>
            <w:tcW w:w="2976" w:type="dxa"/>
          </w:tcPr>
          <w:p w14:paraId="184C4F62" w14:textId="77777777" w:rsidR="008877F8" w:rsidRPr="00A942F6" w:rsidRDefault="008877F8" w:rsidP="00641834">
            <w:pPr>
              <w:pStyle w:val="TableParagraph"/>
              <w:jc w:val="center"/>
              <w:rPr>
                <w:sz w:val="20"/>
                <w:szCs w:val="20"/>
                <w:lang w:val="nb-NO"/>
              </w:rPr>
            </w:pPr>
            <w:r w:rsidRPr="00A942F6">
              <w:rPr>
                <w:sz w:val="20"/>
                <w:szCs w:val="20"/>
                <w:lang w:val="nb-NO"/>
              </w:rPr>
              <w:t xml:space="preserve">68,4 </w:t>
            </w:r>
            <w:r w:rsidRPr="00A942F6">
              <w:rPr>
                <w:rFonts w:ascii="Symbol" w:hAnsi="Symbol"/>
                <w:sz w:val="20"/>
                <w:szCs w:val="20"/>
                <w:lang w:val="nb-NO"/>
              </w:rPr>
              <w:t></w:t>
            </w:r>
            <w:r w:rsidRPr="00A942F6">
              <w:rPr>
                <w:sz w:val="20"/>
                <w:szCs w:val="20"/>
                <w:lang w:val="nb-NO"/>
              </w:rPr>
              <w:t xml:space="preserve"> 30,0</w:t>
            </w:r>
          </w:p>
        </w:tc>
      </w:tr>
      <w:tr w:rsidR="008877F8" w:rsidRPr="00A942F6" w14:paraId="26D2EB9E" w14:textId="77777777" w:rsidTr="003175D5">
        <w:trPr>
          <w:cantSplit/>
          <w:trHeight w:val="20"/>
        </w:trPr>
        <w:tc>
          <w:tcPr>
            <w:tcW w:w="2834" w:type="dxa"/>
          </w:tcPr>
          <w:p w14:paraId="612E00B6" w14:textId="77777777" w:rsidR="008877F8" w:rsidRPr="00A942F6" w:rsidRDefault="008877F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978" w:type="dxa"/>
          </w:tcPr>
          <w:p w14:paraId="3CDE268D" w14:textId="77777777" w:rsidR="008877F8" w:rsidRPr="00A942F6" w:rsidRDefault="008877F8" w:rsidP="00641834">
            <w:pPr>
              <w:pStyle w:val="TableParagraph"/>
              <w:jc w:val="center"/>
              <w:rPr>
                <w:sz w:val="20"/>
                <w:szCs w:val="20"/>
                <w:lang w:val="nb-NO"/>
              </w:rPr>
            </w:pPr>
            <w:r w:rsidRPr="00A942F6">
              <w:rPr>
                <w:sz w:val="20"/>
                <w:szCs w:val="20"/>
                <w:lang w:val="nb-NO"/>
              </w:rPr>
              <w:t>119 ± 36,0</w:t>
            </w:r>
          </w:p>
        </w:tc>
        <w:tc>
          <w:tcPr>
            <w:tcW w:w="2976" w:type="dxa"/>
          </w:tcPr>
          <w:p w14:paraId="3179C04C" w14:textId="77777777" w:rsidR="008877F8" w:rsidRPr="00A942F6" w:rsidRDefault="008877F8" w:rsidP="00641834">
            <w:pPr>
              <w:pStyle w:val="TableParagraph"/>
              <w:jc w:val="center"/>
              <w:rPr>
                <w:sz w:val="20"/>
                <w:szCs w:val="20"/>
                <w:lang w:val="nb-NO"/>
              </w:rPr>
            </w:pPr>
            <w:r w:rsidRPr="00A942F6">
              <w:rPr>
                <w:sz w:val="20"/>
                <w:szCs w:val="20"/>
                <w:lang w:val="nb-NO"/>
              </w:rPr>
              <w:t xml:space="preserve">123 </w:t>
            </w:r>
            <w:r w:rsidRPr="00A942F6">
              <w:rPr>
                <w:rFonts w:ascii="Symbol" w:hAnsi="Symbol"/>
                <w:sz w:val="20"/>
                <w:szCs w:val="20"/>
                <w:lang w:val="nb-NO"/>
              </w:rPr>
              <w:t></w:t>
            </w:r>
            <w:r w:rsidRPr="00A942F6">
              <w:rPr>
                <w:sz w:val="20"/>
                <w:szCs w:val="20"/>
                <w:lang w:val="nb-NO"/>
              </w:rPr>
              <w:t xml:space="preserve"> 36,0</w:t>
            </w:r>
          </w:p>
        </w:tc>
      </w:tr>
      <w:tr w:rsidR="008877F8" w:rsidRPr="00A942F6" w14:paraId="3CE644C4" w14:textId="77777777" w:rsidTr="003175D5">
        <w:trPr>
          <w:cantSplit/>
          <w:trHeight w:val="20"/>
        </w:trPr>
        <w:tc>
          <w:tcPr>
            <w:tcW w:w="2834" w:type="dxa"/>
          </w:tcPr>
          <w:p w14:paraId="04A5D53C" w14:textId="77777777" w:rsidR="008877F8" w:rsidRPr="00A942F6" w:rsidRDefault="008877F8" w:rsidP="00641834">
            <w:pPr>
              <w:pStyle w:val="TableParagraph"/>
              <w:rPr>
                <w:sz w:val="20"/>
                <w:szCs w:val="20"/>
                <w:lang w:val="nb-NO"/>
              </w:rPr>
            </w:pPr>
          </w:p>
        </w:tc>
        <w:tc>
          <w:tcPr>
            <w:tcW w:w="2978" w:type="dxa"/>
          </w:tcPr>
          <w:p w14:paraId="68F20130" w14:textId="77777777" w:rsidR="008877F8" w:rsidRPr="00A942F6" w:rsidRDefault="008877F8" w:rsidP="00641834">
            <w:pPr>
              <w:pStyle w:val="TableParagraph"/>
              <w:rPr>
                <w:sz w:val="20"/>
                <w:szCs w:val="20"/>
                <w:lang w:val="nb-NO"/>
              </w:rPr>
            </w:pPr>
          </w:p>
        </w:tc>
        <w:tc>
          <w:tcPr>
            <w:tcW w:w="2976" w:type="dxa"/>
          </w:tcPr>
          <w:p w14:paraId="27247697" w14:textId="77777777" w:rsidR="008877F8" w:rsidRPr="00A942F6" w:rsidRDefault="008877F8" w:rsidP="00641834">
            <w:pPr>
              <w:pStyle w:val="TableParagraph"/>
              <w:rPr>
                <w:sz w:val="20"/>
                <w:szCs w:val="20"/>
                <w:lang w:val="nb-NO"/>
              </w:rPr>
            </w:pPr>
          </w:p>
        </w:tc>
      </w:tr>
      <w:tr w:rsidR="008877F8" w:rsidRPr="00A942F6" w14:paraId="42328DDE" w14:textId="77777777" w:rsidTr="003175D5">
        <w:trPr>
          <w:cantSplit/>
          <w:trHeight w:val="20"/>
        </w:trPr>
        <w:tc>
          <w:tcPr>
            <w:tcW w:w="2834" w:type="dxa"/>
          </w:tcPr>
          <w:p w14:paraId="68E8D8BC" w14:textId="77777777" w:rsidR="008877F8" w:rsidRPr="00A942F6" w:rsidRDefault="008877F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maks</w:t>
            </w:r>
          </w:p>
        </w:tc>
        <w:tc>
          <w:tcPr>
            <w:tcW w:w="2978" w:type="dxa"/>
          </w:tcPr>
          <w:p w14:paraId="47CF93B7" w14:textId="77777777" w:rsidR="008877F8" w:rsidRPr="00A942F6" w:rsidRDefault="008877F8" w:rsidP="00641834">
            <w:pPr>
              <w:pStyle w:val="TableParagraph"/>
              <w:jc w:val="center"/>
              <w:rPr>
                <w:sz w:val="20"/>
                <w:szCs w:val="20"/>
                <w:lang w:val="nb-NO"/>
              </w:rPr>
            </w:pPr>
            <w:r w:rsidRPr="00A942F6">
              <w:rPr>
                <w:sz w:val="20"/>
                <w:szCs w:val="20"/>
                <w:lang w:val="nb-NO"/>
              </w:rPr>
              <w:t>1,42</w:t>
            </w:r>
          </w:p>
        </w:tc>
        <w:tc>
          <w:tcPr>
            <w:tcW w:w="2976" w:type="dxa"/>
          </w:tcPr>
          <w:p w14:paraId="0162B125" w14:textId="77777777" w:rsidR="008877F8" w:rsidRPr="00A942F6" w:rsidRDefault="008877F8" w:rsidP="00641834">
            <w:pPr>
              <w:pStyle w:val="TableParagraph"/>
              <w:jc w:val="center"/>
              <w:rPr>
                <w:sz w:val="20"/>
                <w:szCs w:val="20"/>
                <w:lang w:val="nb-NO"/>
              </w:rPr>
            </w:pPr>
            <w:r w:rsidRPr="00A942F6">
              <w:rPr>
                <w:sz w:val="20"/>
                <w:szCs w:val="20"/>
                <w:lang w:val="nb-NO"/>
              </w:rPr>
              <w:t>1,37</w:t>
            </w:r>
          </w:p>
        </w:tc>
      </w:tr>
      <w:tr w:rsidR="008877F8" w:rsidRPr="00A942F6" w14:paraId="112F3F6C" w14:textId="77777777" w:rsidTr="003175D5">
        <w:trPr>
          <w:cantSplit/>
          <w:trHeight w:val="20"/>
        </w:trPr>
        <w:tc>
          <w:tcPr>
            <w:tcW w:w="2834" w:type="dxa"/>
          </w:tcPr>
          <w:p w14:paraId="287944AF" w14:textId="77777777" w:rsidR="008877F8" w:rsidRPr="00A942F6" w:rsidRDefault="008877F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978" w:type="dxa"/>
          </w:tcPr>
          <w:p w14:paraId="4F4CB402" w14:textId="77777777" w:rsidR="008877F8" w:rsidRPr="00A942F6" w:rsidRDefault="008877F8" w:rsidP="00641834">
            <w:pPr>
              <w:pStyle w:val="TableParagraph"/>
              <w:jc w:val="center"/>
              <w:rPr>
                <w:sz w:val="20"/>
                <w:szCs w:val="20"/>
                <w:lang w:val="nb-NO"/>
              </w:rPr>
            </w:pPr>
            <w:r w:rsidRPr="00A942F6">
              <w:rPr>
                <w:sz w:val="20"/>
                <w:szCs w:val="20"/>
                <w:lang w:val="nb-NO"/>
              </w:rPr>
              <w:t>3,20</w:t>
            </w:r>
          </w:p>
        </w:tc>
        <w:tc>
          <w:tcPr>
            <w:tcW w:w="2976" w:type="dxa"/>
          </w:tcPr>
          <w:p w14:paraId="4CA280AD" w14:textId="77777777" w:rsidR="008877F8" w:rsidRPr="00A942F6" w:rsidRDefault="008877F8" w:rsidP="00641834">
            <w:pPr>
              <w:pStyle w:val="TableParagraph"/>
              <w:jc w:val="center"/>
              <w:rPr>
                <w:sz w:val="20"/>
                <w:szCs w:val="20"/>
                <w:lang w:val="nb-NO"/>
              </w:rPr>
            </w:pPr>
            <w:r w:rsidRPr="00A942F6">
              <w:rPr>
                <w:sz w:val="20"/>
                <w:szCs w:val="20"/>
                <w:lang w:val="nb-NO"/>
              </w:rPr>
              <w:t>3,41</w:t>
            </w:r>
          </w:p>
        </w:tc>
      </w:tr>
      <w:tr w:rsidR="008877F8" w:rsidRPr="00A942F6" w14:paraId="586C3997" w14:textId="77777777" w:rsidTr="003175D5">
        <w:trPr>
          <w:cantSplit/>
          <w:trHeight w:val="20"/>
        </w:trPr>
        <w:tc>
          <w:tcPr>
            <w:tcW w:w="2834" w:type="dxa"/>
          </w:tcPr>
          <w:p w14:paraId="5CA0CC27" w14:textId="77777777" w:rsidR="008877F8" w:rsidRPr="00A942F6" w:rsidRDefault="008877F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position w:val="2"/>
                <w:sz w:val="20"/>
                <w:szCs w:val="20"/>
                <w:lang w:val="nb-NO"/>
              </w:rPr>
              <w:t>*</w:t>
            </w:r>
          </w:p>
        </w:tc>
        <w:tc>
          <w:tcPr>
            <w:tcW w:w="2978" w:type="dxa"/>
          </w:tcPr>
          <w:p w14:paraId="1FC4DDAB" w14:textId="77777777" w:rsidR="008877F8" w:rsidRPr="00A942F6" w:rsidRDefault="008877F8" w:rsidP="00641834">
            <w:pPr>
              <w:pStyle w:val="TableParagraph"/>
              <w:jc w:val="center"/>
              <w:rPr>
                <w:sz w:val="20"/>
                <w:szCs w:val="20"/>
                <w:lang w:val="nb-NO"/>
              </w:rPr>
            </w:pPr>
            <w:r w:rsidRPr="00A942F6">
              <w:rPr>
                <w:sz w:val="20"/>
                <w:szCs w:val="20"/>
                <w:lang w:val="nb-NO"/>
              </w:rPr>
              <w:t>2,01</w:t>
            </w:r>
          </w:p>
        </w:tc>
        <w:tc>
          <w:tcPr>
            <w:tcW w:w="2976" w:type="dxa"/>
          </w:tcPr>
          <w:p w14:paraId="5E78B95E" w14:textId="77777777" w:rsidR="008877F8" w:rsidRPr="00A942F6" w:rsidRDefault="008877F8" w:rsidP="00641834">
            <w:pPr>
              <w:pStyle w:val="TableParagraph"/>
              <w:jc w:val="center"/>
              <w:rPr>
                <w:sz w:val="20"/>
                <w:szCs w:val="20"/>
                <w:lang w:val="nb-NO"/>
              </w:rPr>
            </w:pPr>
            <w:r w:rsidRPr="00A942F6">
              <w:rPr>
                <w:sz w:val="20"/>
                <w:szCs w:val="20"/>
                <w:lang w:val="nb-NO"/>
              </w:rPr>
              <w:t>1,95</w:t>
            </w:r>
          </w:p>
        </w:tc>
      </w:tr>
    </w:tbl>
    <w:p w14:paraId="4AEA4C04" w14:textId="77777777" w:rsidR="008877F8" w:rsidRPr="00A942F6" w:rsidRDefault="008877F8" w:rsidP="00641834">
      <w:pPr>
        <w:pStyle w:val="tablenotestar"/>
        <w:rPr>
          <w:lang w:val="nb-NO"/>
        </w:rPr>
      </w:pPr>
      <w:r w:rsidRPr="00A942F6">
        <w:rPr>
          <w:lang w:val="nb-NO"/>
        </w:rPr>
        <w:t>τ = 2 uker for intravenøse regimer</w:t>
      </w:r>
    </w:p>
    <w:p w14:paraId="19732074" w14:textId="77777777" w:rsidR="008877F8" w:rsidRPr="00A942F6" w:rsidRDefault="008877F8" w:rsidP="00641834">
      <w:pPr>
        <w:rPr>
          <w:lang w:val="nb-NO"/>
        </w:rPr>
      </w:pPr>
    </w:p>
    <w:p w14:paraId="70B0C44D" w14:textId="77777777" w:rsidR="008877F8" w:rsidRPr="00A942F6" w:rsidRDefault="008877F8" w:rsidP="00641834">
      <w:pPr>
        <w:rPr>
          <w:lang w:val="nb-NO"/>
        </w:rPr>
      </w:pPr>
      <w:r w:rsidRPr="00A942F6">
        <w:rPr>
          <w:lang w:val="nb-NO"/>
        </w:rPr>
        <w:t>Etter intravenøs dosering ble omtrent 90 % av steady-state nådd innen uke 8 både for regimet med 12</w:t>
      </w:r>
      <w:r w:rsidR="00C02048" w:rsidRPr="00A942F6">
        <w:rPr>
          <w:lang w:val="nb-NO"/>
        </w:rPr>
        <w:t> </w:t>
      </w:r>
      <w:r w:rsidRPr="00A942F6">
        <w:rPr>
          <w:lang w:val="nb-NO"/>
        </w:rPr>
        <w:t xml:space="preserve">mg/kg (kroppsvekt &lt; 30 kg) og for regimet med 8 mg/kg (kroppsvekt </w:t>
      </w:r>
      <w:r w:rsidRPr="00A942F6">
        <w:rPr>
          <w:rFonts w:cs="Times New Roman"/>
          <w:lang w:val="nb-NO"/>
        </w:rPr>
        <w:t>≥</w:t>
      </w:r>
      <w:r w:rsidRPr="00A942F6">
        <w:rPr>
          <w:lang w:val="nb-NO"/>
        </w:rPr>
        <w:t xml:space="preserve"> 30 kg) annenhver uke.</w:t>
      </w:r>
    </w:p>
    <w:p w14:paraId="4867A6B9" w14:textId="77777777" w:rsidR="001D2021" w:rsidRPr="00A942F6" w:rsidRDefault="001D2021" w:rsidP="00641834">
      <w:pPr>
        <w:rPr>
          <w:lang w:val="nb-NO"/>
        </w:rPr>
      </w:pPr>
    </w:p>
    <w:p w14:paraId="4B73DEA6" w14:textId="77777777" w:rsidR="008877F8" w:rsidRPr="00A942F6" w:rsidRDefault="008877F8" w:rsidP="00641834">
      <w:pPr>
        <w:rPr>
          <w:lang w:val="nb-NO"/>
        </w:rPr>
      </w:pPr>
      <w:r w:rsidRPr="00A942F6">
        <w:rPr>
          <w:lang w:val="nb-NO"/>
        </w:rPr>
        <w:t>Hos pasienter med sJIA, var sentralt distribusjonsvolum 1,87 l og perifert distribusjonsvolum 2,14 l, som resulterte i et distribusjonsvolum ved steady state på 4,01 l. Den lineære clearance, estimert som et parameter i populasjonen i den farmakokinetiske analysen, var 5,7 ml/time.</w:t>
      </w:r>
    </w:p>
    <w:p w14:paraId="37315F2C" w14:textId="77777777" w:rsidR="008877F8" w:rsidRPr="00A942F6" w:rsidRDefault="008877F8" w:rsidP="00641834">
      <w:pPr>
        <w:rPr>
          <w:lang w:val="nb-NO"/>
        </w:rPr>
      </w:pPr>
    </w:p>
    <w:p w14:paraId="7C1CDECB" w14:textId="77777777" w:rsidR="008877F8" w:rsidRPr="00A942F6" w:rsidRDefault="008877F8" w:rsidP="00641834">
      <w:pPr>
        <w:rPr>
          <w:lang w:val="nb-NO"/>
        </w:rPr>
      </w:pPr>
      <w:r w:rsidRPr="00A942F6">
        <w:rPr>
          <w:lang w:val="nb-NO"/>
        </w:rPr>
        <w:t xml:space="preserve">Hos sJIA-pasienter er halveringstiden til tocilizumab opptil 16 dager for de to kroppsvektkategoriene (8 mg/kg for kroppsvekt </w:t>
      </w:r>
      <w:r w:rsidRPr="00A942F6">
        <w:rPr>
          <w:rFonts w:cs="Times New Roman"/>
          <w:lang w:val="nb-NO"/>
        </w:rPr>
        <w:t>≥</w:t>
      </w:r>
      <w:r w:rsidRPr="00A942F6">
        <w:rPr>
          <w:lang w:val="nb-NO"/>
        </w:rPr>
        <w:t xml:space="preserve"> 30 kg eller 12 mg/kg for kroppsvekt &lt; 30 kg) ved uke 12.</w:t>
      </w:r>
    </w:p>
    <w:p w14:paraId="7A9BFA58" w14:textId="77777777" w:rsidR="008877F8" w:rsidRPr="00A942F6" w:rsidRDefault="008877F8" w:rsidP="00641834">
      <w:pPr>
        <w:rPr>
          <w:lang w:val="nb-NO"/>
        </w:rPr>
      </w:pPr>
    </w:p>
    <w:p w14:paraId="4CDFF1B0" w14:textId="77777777" w:rsidR="008877F8" w:rsidRPr="00A942F6" w:rsidRDefault="008877F8" w:rsidP="00641834">
      <w:pPr>
        <w:pStyle w:val="Style1Iitaic"/>
        <w:rPr>
          <w:lang w:val="nb-NO"/>
        </w:rPr>
      </w:pPr>
      <w:r w:rsidRPr="00A942F6">
        <w:rPr>
          <w:lang w:val="nb-NO"/>
        </w:rPr>
        <w:t>pJIA-pasienter:</w:t>
      </w:r>
    </w:p>
    <w:p w14:paraId="4647C02F" w14:textId="77777777" w:rsidR="008877F8" w:rsidRPr="00A942F6" w:rsidRDefault="008877F8" w:rsidP="00641834">
      <w:pPr>
        <w:rPr>
          <w:lang w:val="nb-NO"/>
        </w:rPr>
      </w:pPr>
      <w:r w:rsidRPr="00A942F6">
        <w:rPr>
          <w:lang w:val="nb-NO"/>
        </w:rPr>
        <w:t xml:space="preserve">Farmakokinetikken til tocilizumab hos pJIA-pasienter ble beskrevet ved en farmakokinetisk populasjonsanalyse som inkluderte 237 pasienter som fikk behandling med 8 mg/kg i.v. hver 4. uke (pasienter som veide </w:t>
      </w:r>
      <w:r w:rsidRPr="00A942F6">
        <w:rPr>
          <w:rFonts w:cs="Times New Roman"/>
          <w:lang w:val="nb-NO"/>
        </w:rPr>
        <w:t>≥</w:t>
      </w:r>
      <w:r w:rsidRPr="00A942F6">
        <w:rPr>
          <w:lang w:val="nb-NO"/>
        </w:rPr>
        <w:t xml:space="preserve"> 30 kg), 10 mg/kg i.v. hver 4. uke (pasienter som veide under 30 kg), 162 mg</w:t>
      </w:r>
      <w:r w:rsidR="001D2021" w:rsidRPr="00A942F6">
        <w:rPr>
          <w:lang w:val="nb-NO"/>
        </w:rPr>
        <w:t xml:space="preserve"> </w:t>
      </w:r>
      <w:r w:rsidRPr="00A942F6">
        <w:rPr>
          <w:lang w:val="nb-NO"/>
        </w:rPr>
        <w:t xml:space="preserve">s.c. annenhver uke (pasienter som veide </w:t>
      </w:r>
      <w:r w:rsidRPr="00A942F6">
        <w:rPr>
          <w:rFonts w:cs="Times New Roman"/>
          <w:lang w:val="nb-NO"/>
        </w:rPr>
        <w:t>≥</w:t>
      </w:r>
      <w:r w:rsidRPr="00A942F6">
        <w:rPr>
          <w:lang w:val="nb-NO"/>
        </w:rPr>
        <w:t xml:space="preserve"> 30 kg) eller 162 mg s.c. hver 3. uke (pasienter som veide under 30 kg).</w:t>
      </w:r>
    </w:p>
    <w:p w14:paraId="49A49D58" w14:textId="77777777" w:rsidR="001D2021" w:rsidRPr="00A942F6" w:rsidRDefault="001D2021" w:rsidP="00641834">
      <w:pPr>
        <w:rPr>
          <w:lang w:val="nb-NO"/>
        </w:rPr>
      </w:pPr>
    </w:p>
    <w:p w14:paraId="4B3523BE" w14:textId="77777777" w:rsidR="008877F8" w:rsidRPr="00A942F6" w:rsidRDefault="008877F8" w:rsidP="00641834">
      <w:pPr>
        <w:pStyle w:val="Style1Iitaic"/>
        <w:rPr>
          <w:lang w:val="nb-NO"/>
        </w:rPr>
      </w:pPr>
      <w:r w:rsidRPr="00A942F6">
        <w:rPr>
          <w:lang w:val="nb-NO"/>
        </w:rPr>
        <w:t>Tabell 12. Forventet gjennomsnitt ± SD farmakokinetiske parametre ved steady-state etter intravenøs dosering ved sJIA</w:t>
      </w:r>
    </w:p>
    <w:p w14:paraId="50A903A5" w14:textId="77777777" w:rsidR="008877F8" w:rsidRPr="00A942F6" w:rsidRDefault="008877F8" w:rsidP="00641834">
      <w:pPr>
        <w:rPr>
          <w:lang w:val="nb-NO"/>
        </w:rPr>
      </w:pP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978"/>
        <w:gridCol w:w="2976"/>
      </w:tblGrid>
      <w:tr w:rsidR="008877F8" w:rsidRPr="00B477E5" w14:paraId="394D333D" w14:textId="77777777" w:rsidTr="003175D5">
        <w:trPr>
          <w:cantSplit/>
          <w:trHeight w:val="20"/>
          <w:tblHeader/>
        </w:trPr>
        <w:tc>
          <w:tcPr>
            <w:tcW w:w="2834" w:type="dxa"/>
          </w:tcPr>
          <w:p w14:paraId="7EFD9FB0" w14:textId="2537AF62" w:rsidR="008877F8" w:rsidRPr="00A942F6" w:rsidRDefault="005A0DAF" w:rsidP="00641834">
            <w:pPr>
              <w:pStyle w:val="TableParagraph"/>
              <w:rPr>
                <w:b/>
                <w:sz w:val="20"/>
                <w:lang w:val="nb-NO"/>
              </w:rPr>
            </w:pPr>
            <w:r w:rsidRPr="00A942F6">
              <w:rPr>
                <w:b/>
                <w:sz w:val="20"/>
                <w:szCs w:val="20"/>
                <w:lang w:val="nb-NO"/>
              </w:rPr>
              <w:t>Tocilizumab</w:t>
            </w:r>
            <w:r w:rsidR="008877F8" w:rsidRPr="00A942F6">
              <w:rPr>
                <w:b/>
                <w:sz w:val="20"/>
                <w:lang w:val="nb-NO"/>
              </w:rPr>
              <w:t xml:space="preserve"> farmakokinetisk parameter</w:t>
            </w:r>
          </w:p>
        </w:tc>
        <w:tc>
          <w:tcPr>
            <w:tcW w:w="2978" w:type="dxa"/>
          </w:tcPr>
          <w:p w14:paraId="62E41F77" w14:textId="77777777" w:rsidR="008877F8" w:rsidRPr="00A942F6" w:rsidRDefault="008877F8" w:rsidP="00641834">
            <w:pPr>
              <w:pStyle w:val="TableParagraph"/>
              <w:jc w:val="center"/>
              <w:rPr>
                <w:b/>
                <w:sz w:val="20"/>
                <w:lang w:val="nb-NO"/>
              </w:rPr>
            </w:pPr>
            <w:r w:rsidRPr="00A942F6">
              <w:rPr>
                <w:b/>
                <w:sz w:val="20"/>
                <w:lang w:val="nb-NO"/>
              </w:rPr>
              <w:t>8 mg/kg hver 4. uke,</w:t>
            </w:r>
            <w:r w:rsidR="001C7A06" w:rsidRPr="00A942F6">
              <w:rPr>
                <w:b/>
                <w:sz w:val="20"/>
                <w:lang w:val="nb-NO"/>
              </w:rPr>
              <w:t xml:space="preserve"> </w:t>
            </w:r>
            <w:r w:rsidRPr="00A942F6">
              <w:rPr>
                <w:b/>
                <w:sz w:val="20"/>
                <w:lang w:val="nb-NO"/>
              </w:rPr>
              <w:t xml:space="preserve">≥ </w:t>
            </w:r>
            <w:r w:rsidR="00FE6881" w:rsidRPr="00A942F6">
              <w:rPr>
                <w:b/>
                <w:sz w:val="20"/>
                <w:lang w:val="nb-NO"/>
              </w:rPr>
              <w:t>30 </w:t>
            </w:r>
            <w:r w:rsidRPr="00A942F6">
              <w:rPr>
                <w:b/>
                <w:sz w:val="20"/>
                <w:lang w:val="nb-NO"/>
              </w:rPr>
              <w:t>kg</w:t>
            </w:r>
          </w:p>
        </w:tc>
        <w:tc>
          <w:tcPr>
            <w:tcW w:w="2976" w:type="dxa"/>
          </w:tcPr>
          <w:p w14:paraId="6498143C" w14:textId="77777777" w:rsidR="008877F8" w:rsidRPr="00A942F6" w:rsidRDefault="008877F8" w:rsidP="00641834">
            <w:pPr>
              <w:pStyle w:val="TableParagraph"/>
              <w:jc w:val="center"/>
              <w:rPr>
                <w:b/>
                <w:sz w:val="20"/>
                <w:lang w:val="nb-NO"/>
              </w:rPr>
            </w:pPr>
            <w:r w:rsidRPr="00A942F6">
              <w:rPr>
                <w:b/>
                <w:sz w:val="20"/>
                <w:lang w:val="nb-NO"/>
              </w:rPr>
              <w:t>10 mg/kg hver 4. uke,</w:t>
            </w:r>
            <w:r w:rsidR="00FE6881" w:rsidRPr="00A942F6">
              <w:rPr>
                <w:b/>
                <w:sz w:val="20"/>
                <w:lang w:val="nb-NO"/>
              </w:rPr>
              <w:t xml:space="preserve"> </w:t>
            </w:r>
            <w:r w:rsidRPr="00A942F6">
              <w:rPr>
                <w:b/>
                <w:sz w:val="20"/>
                <w:lang w:val="nb-NO"/>
              </w:rPr>
              <w:t xml:space="preserve">under </w:t>
            </w:r>
            <w:r w:rsidR="00FE6881" w:rsidRPr="00A942F6">
              <w:rPr>
                <w:b/>
                <w:sz w:val="20"/>
                <w:lang w:val="nb-NO"/>
              </w:rPr>
              <w:t>30 </w:t>
            </w:r>
            <w:r w:rsidRPr="00A942F6">
              <w:rPr>
                <w:b/>
                <w:sz w:val="20"/>
                <w:lang w:val="nb-NO"/>
              </w:rPr>
              <w:t>kg</w:t>
            </w:r>
          </w:p>
        </w:tc>
      </w:tr>
      <w:tr w:rsidR="008877F8" w:rsidRPr="00A942F6" w14:paraId="242F7502" w14:textId="77777777" w:rsidTr="003175D5">
        <w:trPr>
          <w:cantSplit/>
          <w:trHeight w:val="20"/>
        </w:trPr>
        <w:tc>
          <w:tcPr>
            <w:tcW w:w="2834" w:type="dxa"/>
          </w:tcPr>
          <w:p w14:paraId="61B38526" w14:textId="77777777" w:rsidR="008877F8" w:rsidRPr="00A942F6" w:rsidRDefault="008877F8" w:rsidP="00641834">
            <w:pPr>
              <w:pStyle w:val="TableParagraph"/>
              <w:rPr>
                <w:sz w:val="20"/>
                <w:lang w:val="nb-NO"/>
              </w:rPr>
            </w:pPr>
            <w:r w:rsidRPr="00A942F6">
              <w:rPr>
                <w:position w:val="2"/>
                <w:sz w:val="20"/>
                <w:lang w:val="nb-NO"/>
              </w:rPr>
              <w:t>C</w:t>
            </w:r>
            <w:r w:rsidRPr="00A942F6">
              <w:rPr>
                <w:sz w:val="13"/>
                <w:lang w:val="nb-NO"/>
              </w:rPr>
              <w:t xml:space="preserve">maks </w:t>
            </w:r>
            <w:r w:rsidRPr="00A942F6">
              <w:rPr>
                <w:position w:val="2"/>
                <w:sz w:val="20"/>
                <w:lang w:val="nb-NO"/>
              </w:rPr>
              <w:t>(mikrog/ml)</w:t>
            </w:r>
          </w:p>
        </w:tc>
        <w:tc>
          <w:tcPr>
            <w:tcW w:w="2978" w:type="dxa"/>
          </w:tcPr>
          <w:p w14:paraId="3F07E26A" w14:textId="77777777" w:rsidR="008877F8" w:rsidRPr="00A942F6" w:rsidRDefault="008877F8" w:rsidP="00641834">
            <w:pPr>
              <w:pStyle w:val="TableParagraph"/>
              <w:jc w:val="center"/>
              <w:rPr>
                <w:sz w:val="20"/>
                <w:lang w:val="nb-NO"/>
              </w:rPr>
            </w:pPr>
            <w:r w:rsidRPr="00A942F6">
              <w:rPr>
                <w:sz w:val="20"/>
                <w:u w:val="single"/>
                <w:lang w:val="nb-NO"/>
              </w:rPr>
              <w:t>183 ± 42,3</w:t>
            </w:r>
          </w:p>
        </w:tc>
        <w:tc>
          <w:tcPr>
            <w:tcW w:w="2976" w:type="dxa"/>
          </w:tcPr>
          <w:p w14:paraId="2C85CDA8" w14:textId="77777777" w:rsidR="008877F8" w:rsidRPr="00A942F6" w:rsidRDefault="008877F8" w:rsidP="00641834">
            <w:pPr>
              <w:pStyle w:val="TableParagraph"/>
              <w:jc w:val="center"/>
              <w:rPr>
                <w:sz w:val="20"/>
                <w:lang w:val="nb-NO"/>
              </w:rPr>
            </w:pPr>
            <w:r w:rsidRPr="00A942F6">
              <w:rPr>
                <w:sz w:val="20"/>
                <w:u w:val="single"/>
                <w:lang w:val="nb-NO"/>
              </w:rPr>
              <w:t xml:space="preserve">168 </w:t>
            </w:r>
            <w:r w:rsidRPr="00A942F6">
              <w:rPr>
                <w:rFonts w:ascii="Symbol" w:hAnsi="Symbol"/>
                <w:sz w:val="20"/>
                <w:u w:val="single"/>
                <w:lang w:val="nb-NO"/>
              </w:rPr>
              <w:t></w:t>
            </w:r>
            <w:r w:rsidRPr="00A942F6">
              <w:rPr>
                <w:sz w:val="20"/>
                <w:u w:val="single"/>
                <w:lang w:val="nb-NO"/>
              </w:rPr>
              <w:t xml:space="preserve"> 24,8</w:t>
            </w:r>
          </w:p>
        </w:tc>
      </w:tr>
      <w:tr w:rsidR="008877F8" w:rsidRPr="00A942F6" w14:paraId="59D47040" w14:textId="77777777" w:rsidTr="003175D5">
        <w:trPr>
          <w:cantSplit/>
          <w:trHeight w:val="20"/>
        </w:trPr>
        <w:tc>
          <w:tcPr>
            <w:tcW w:w="2834" w:type="dxa"/>
          </w:tcPr>
          <w:p w14:paraId="4BA8926F" w14:textId="77777777" w:rsidR="008877F8" w:rsidRPr="00A942F6" w:rsidRDefault="008877F8" w:rsidP="00641834">
            <w:pPr>
              <w:pStyle w:val="TableParagraph"/>
              <w:rPr>
                <w:sz w:val="20"/>
                <w:lang w:val="nb-NO"/>
              </w:rPr>
            </w:pPr>
            <w:r w:rsidRPr="00A942F6">
              <w:rPr>
                <w:position w:val="2"/>
                <w:sz w:val="20"/>
                <w:lang w:val="nb-NO"/>
              </w:rPr>
              <w:t>C</w:t>
            </w:r>
            <w:r w:rsidRPr="00A942F6">
              <w:rPr>
                <w:sz w:val="13"/>
                <w:lang w:val="nb-NO"/>
              </w:rPr>
              <w:t xml:space="preserve">min </w:t>
            </w:r>
            <w:r w:rsidRPr="00A942F6">
              <w:rPr>
                <w:position w:val="2"/>
                <w:sz w:val="20"/>
                <w:lang w:val="nb-NO"/>
              </w:rPr>
              <w:t>(mikrog/ml)</w:t>
            </w:r>
          </w:p>
        </w:tc>
        <w:tc>
          <w:tcPr>
            <w:tcW w:w="2978" w:type="dxa"/>
          </w:tcPr>
          <w:p w14:paraId="1D069BD2" w14:textId="77777777" w:rsidR="008877F8" w:rsidRPr="00A942F6" w:rsidRDefault="008877F8" w:rsidP="00641834">
            <w:pPr>
              <w:pStyle w:val="TableParagraph"/>
              <w:jc w:val="center"/>
              <w:rPr>
                <w:sz w:val="20"/>
                <w:lang w:val="nb-NO"/>
              </w:rPr>
            </w:pPr>
            <w:r w:rsidRPr="00A942F6">
              <w:rPr>
                <w:sz w:val="20"/>
                <w:u w:val="single"/>
                <w:lang w:val="nb-NO"/>
              </w:rPr>
              <w:t>6,55 ± 7,93</w:t>
            </w:r>
          </w:p>
        </w:tc>
        <w:tc>
          <w:tcPr>
            <w:tcW w:w="2976" w:type="dxa"/>
          </w:tcPr>
          <w:p w14:paraId="2194858F" w14:textId="77777777" w:rsidR="008877F8" w:rsidRPr="00A942F6" w:rsidRDefault="008877F8" w:rsidP="00641834">
            <w:pPr>
              <w:pStyle w:val="TableParagraph"/>
              <w:jc w:val="center"/>
              <w:rPr>
                <w:sz w:val="20"/>
                <w:lang w:val="nb-NO"/>
              </w:rPr>
            </w:pPr>
            <w:r w:rsidRPr="00A942F6">
              <w:rPr>
                <w:sz w:val="20"/>
                <w:u w:val="single"/>
                <w:lang w:val="nb-NO"/>
              </w:rPr>
              <w:t xml:space="preserve">1,47 </w:t>
            </w:r>
            <w:r w:rsidRPr="00A942F6">
              <w:rPr>
                <w:rFonts w:ascii="Symbol" w:hAnsi="Symbol"/>
                <w:sz w:val="20"/>
                <w:u w:val="single"/>
                <w:lang w:val="nb-NO"/>
              </w:rPr>
              <w:t></w:t>
            </w:r>
            <w:r w:rsidRPr="00A942F6">
              <w:rPr>
                <w:sz w:val="20"/>
                <w:u w:val="single"/>
                <w:lang w:val="nb-NO"/>
              </w:rPr>
              <w:t xml:space="preserve"> 2,44</w:t>
            </w:r>
          </w:p>
        </w:tc>
      </w:tr>
      <w:tr w:rsidR="008877F8" w:rsidRPr="00A942F6" w14:paraId="6CB72EFC" w14:textId="77777777" w:rsidTr="003175D5">
        <w:trPr>
          <w:cantSplit/>
          <w:trHeight w:val="20"/>
        </w:trPr>
        <w:tc>
          <w:tcPr>
            <w:tcW w:w="2834" w:type="dxa"/>
          </w:tcPr>
          <w:p w14:paraId="45E33505" w14:textId="77777777" w:rsidR="008877F8" w:rsidRPr="00A942F6" w:rsidRDefault="008877F8" w:rsidP="00641834">
            <w:pPr>
              <w:pStyle w:val="TableParagraph"/>
              <w:rPr>
                <w:sz w:val="20"/>
                <w:lang w:val="nb-NO"/>
              </w:rPr>
            </w:pPr>
            <w:r w:rsidRPr="00A942F6">
              <w:rPr>
                <w:position w:val="2"/>
                <w:sz w:val="20"/>
                <w:lang w:val="nb-NO"/>
              </w:rPr>
              <w:t>C</w:t>
            </w:r>
            <w:r w:rsidRPr="00A942F6">
              <w:rPr>
                <w:sz w:val="13"/>
                <w:lang w:val="nb-NO"/>
              </w:rPr>
              <w:t xml:space="preserve">gjennomsnitt </w:t>
            </w:r>
            <w:r w:rsidRPr="00A942F6">
              <w:rPr>
                <w:position w:val="2"/>
                <w:sz w:val="20"/>
                <w:lang w:val="nb-NO"/>
              </w:rPr>
              <w:t>(mikrog/ml)</w:t>
            </w:r>
          </w:p>
        </w:tc>
        <w:tc>
          <w:tcPr>
            <w:tcW w:w="2978" w:type="dxa"/>
          </w:tcPr>
          <w:p w14:paraId="3875DEA1" w14:textId="77777777" w:rsidR="008877F8" w:rsidRPr="00A942F6" w:rsidRDefault="008877F8" w:rsidP="00641834">
            <w:pPr>
              <w:pStyle w:val="TableParagraph"/>
              <w:jc w:val="center"/>
              <w:rPr>
                <w:sz w:val="20"/>
                <w:lang w:val="nb-NO"/>
              </w:rPr>
            </w:pPr>
            <w:r w:rsidRPr="00A942F6">
              <w:rPr>
                <w:sz w:val="20"/>
                <w:u w:val="single"/>
                <w:lang w:val="nb-NO"/>
              </w:rPr>
              <w:t>42,2 ± 13,4</w:t>
            </w:r>
          </w:p>
        </w:tc>
        <w:tc>
          <w:tcPr>
            <w:tcW w:w="2976" w:type="dxa"/>
          </w:tcPr>
          <w:p w14:paraId="1CEA89DA" w14:textId="77777777" w:rsidR="008877F8" w:rsidRPr="00A942F6" w:rsidRDefault="008877F8" w:rsidP="00641834">
            <w:pPr>
              <w:pStyle w:val="TableParagraph"/>
              <w:jc w:val="center"/>
              <w:rPr>
                <w:sz w:val="20"/>
                <w:lang w:val="nb-NO"/>
              </w:rPr>
            </w:pPr>
            <w:r w:rsidRPr="00A942F6">
              <w:rPr>
                <w:sz w:val="20"/>
                <w:u w:val="single"/>
                <w:lang w:val="nb-NO"/>
              </w:rPr>
              <w:t xml:space="preserve">31,6 </w:t>
            </w:r>
            <w:r w:rsidRPr="00A942F6">
              <w:rPr>
                <w:rFonts w:ascii="Symbol" w:hAnsi="Symbol"/>
                <w:sz w:val="20"/>
                <w:u w:val="single"/>
                <w:lang w:val="nb-NO"/>
              </w:rPr>
              <w:t></w:t>
            </w:r>
            <w:r w:rsidRPr="00A942F6">
              <w:rPr>
                <w:sz w:val="20"/>
                <w:u w:val="single"/>
                <w:lang w:val="nb-NO"/>
              </w:rPr>
              <w:t xml:space="preserve"> 7,84</w:t>
            </w:r>
          </w:p>
        </w:tc>
      </w:tr>
      <w:tr w:rsidR="008877F8" w:rsidRPr="00A942F6" w14:paraId="53D814BA" w14:textId="77777777" w:rsidTr="003175D5">
        <w:trPr>
          <w:cantSplit/>
          <w:trHeight w:val="20"/>
        </w:trPr>
        <w:tc>
          <w:tcPr>
            <w:tcW w:w="2834" w:type="dxa"/>
          </w:tcPr>
          <w:p w14:paraId="4A925BA1" w14:textId="77777777" w:rsidR="008877F8" w:rsidRPr="00A942F6" w:rsidRDefault="008877F8" w:rsidP="00641834">
            <w:pPr>
              <w:pStyle w:val="TableParagraph"/>
              <w:rPr>
                <w:sz w:val="20"/>
                <w:lang w:val="nb-NO"/>
              </w:rPr>
            </w:pPr>
          </w:p>
        </w:tc>
        <w:tc>
          <w:tcPr>
            <w:tcW w:w="2978" w:type="dxa"/>
          </w:tcPr>
          <w:p w14:paraId="6BD2007C" w14:textId="77777777" w:rsidR="008877F8" w:rsidRPr="00A942F6" w:rsidRDefault="008877F8" w:rsidP="00641834">
            <w:pPr>
              <w:pStyle w:val="TableParagraph"/>
              <w:rPr>
                <w:sz w:val="20"/>
                <w:lang w:val="nb-NO"/>
              </w:rPr>
            </w:pPr>
          </w:p>
        </w:tc>
        <w:tc>
          <w:tcPr>
            <w:tcW w:w="2976" w:type="dxa"/>
          </w:tcPr>
          <w:p w14:paraId="72697C72" w14:textId="77777777" w:rsidR="008877F8" w:rsidRPr="00A942F6" w:rsidRDefault="008877F8" w:rsidP="00641834">
            <w:pPr>
              <w:pStyle w:val="TableParagraph"/>
              <w:rPr>
                <w:sz w:val="20"/>
                <w:lang w:val="nb-NO"/>
              </w:rPr>
            </w:pPr>
          </w:p>
        </w:tc>
      </w:tr>
      <w:tr w:rsidR="008877F8" w:rsidRPr="00A942F6" w14:paraId="6B49EF6C" w14:textId="77777777" w:rsidTr="003175D5">
        <w:trPr>
          <w:cantSplit/>
          <w:trHeight w:val="20"/>
        </w:trPr>
        <w:tc>
          <w:tcPr>
            <w:tcW w:w="2834" w:type="dxa"/>
          </w:tcPr>
          <w:p w14:paraId="23A01264" w14:textId="77777777" w:rsidR="008877F8" w:rsidRPr="00A942F6" w:rsidRDefault="008877F8" w:rsidP="00641834">
            <w:pPr>
              <w:pStyle w:val="TableParagraph"/>
              <w:rPr>
                <w:sz w:val="13"/>
                <w:lang w:val="nb-NO"/>
              </w:rPr>
            </w:pPr>
            <w:r w:rsidRPr="00A942F6">
              <w:rPr>
                <w:position w:val="2"/>
                <w:sz w:val="20"/>
                <w:lang w:val="nb-NO"/>
              </w:rPr>
              <w:t>Akkumulering C</w:t>
            </w:r>
            <w:r w:rsidRPr="00A942F6">
              <w:rPr>
                <w:sz w:val="13"/>
                <w:lang w:val="nb-NO"/>
              </w:rPr>
              <w:t>maks</w:t>
            </w:r>
          </w:p>
        </w:tc>
        <w:tc>
          <w:tcPr>
            <w:tcW w:w="2978" w:type="dxa"/>
          </w:tcPr>
          <w:p w14:paraId="4EEE529B" w14:textId="77777777" w:rsidR="008877F8" w:rsidRPr="00A942F6" w:rsidRDefault="008877F8" w:rsidP="00641834">
            <w:pPr>
              <w:pStyle w:val="TableParagraph"/>
              <w:jc w:val="center"/>
              <w:rPr>
                <w:sz w:val="20"/>
                <w:lang w:val="nb-NO"/>
              </w:rPr>
            </w:pPr>
            <w:r w:rsidRPr="00A942F6">
              <w:rPr>
                <w:sz w:val="20"/>
                <w:u w:val="single"/>
                <w:lang w:val="nb-NO"/>
              </w:rPr>
              <w:t>1,04</w:t>
            </w:r>
          </w:p>
        </w:tc>
        <w:tc>
          <w:tcPr>
            <w:tcW w:w="2976" w:type="dxa"/>
          </w:tcPr>
          <w:p w14:paraId="27E3DAB4" w14:textId="77777777" w:rsidR="008877F8" w:rsidRPr="00A942F6" w:rsidRDefault="008877F8" w:rsidP="00641834">
            <w:pPr>
              <w:pStyle w:val="TableParagraph"/>
              <w:jc w:val="center"/>
              <w:rPr>
                <w:sz w:val="20"/>
                <w:lang w:val="nb-NO"/>
              </w:rPr>
            </w:pPr>
            <w:r w:rsidRPr="00A942F6">
              <w:rPr>
                <w:sz w:val="20"/>
                <w:u w:val="single"/>
                <w:lang w:val="nb-NO"/>
              </w:rPr>
              <w:t>1,01</w:t>
            </w:r>
          </w:p>
        </w:tc>
      </w:tr>
      <w:tr w:rsidR="008877F8" w:rsidRPr="00A942F6" w14:paraId="322EEA88" w14:textId="77777777" w:rsidTr="003175D5">
        <w:trPr>
          <w:cantSplit/>
          <w:trHeight w:val="20"/>
        </w:trPr>
        <w:tc>
          <w:tcPr>
            <w:tcW w:w="2834" w:type="dxa"/>
          </w:tcPr>
          <w:p w14:paraId="0E72FFBE" w14:textId="77777777" w:rsidR="008877F8" w:rsidRPr="00A942F6" w:rsidRDefault="008877F8" w:rsidP="00641834">
            <w:pPr>
              <w:pStyle w:val="TableParagraph"/>
              <w:rPr>
                <w:sz w:val="13"/>
                <w:lang w:val="nb-NO"/>
              </w:rPr>
            </w:pPr>
            <w:r w:rsidRPr="00A942F6">
              <w:rPr>
                <w:position w:val="2"/>
                <w:sz w:val="20"/>
                <w:lang w:val="nb-NO"/>
              </w:rPr>
              <w:t>Akkumulering C</w:t>
            </w:r>
            <w:r w:rsidRPr="00A942F6">
              <w:rPr>
                <w:sz w:val="13"/>
                <w:lang w:val="nb-NO"/>
              </w:rPr>
              <w:t>min</w:t>
            </w:r>
          </w:p>
        </w:tc>
        <w:tc>
          <w:tcPr>
            <w:tcW w:w="2978" w:type="dxa"/>
          </w:tcPr>
          <w:p w14:paraId="6CC9D916" w14:textId="77777777" w:rsidR="008877F8" w:rsidRPr="00A942F6" w:rsidRDefault="008877F8" w:rsidP="00641834">
            <w:pPr>
              <w:pStyle w:val="TableParagraph"/>
              <w:jc w:val="center"/>
              <w:rPr>
                <w:sz w:val="20"/>
                <w:lang w:val="nb-NO"/>
              </w:rPr>
            </w:pPr>
            <w:r w:rsidRPr="00A942F6">
              <w:rPr>
                <w:sz w:val="20"/>
                <w:u w:val="single"/>
                <w:lang w:val="nb-NO"/>
              </w:rPr>
              <w:t>2,22</w:t>
            </w:r>
          </w:p>
        </w:tc>
        <w:tc>
          <w:tcPr>
            <w:tcW w:w="2976" w:type="dxa"/>
          </w:tcPr>
          <w:p w14:paraId="169A229F" w14:textId="77777777" w:rsidR="008877F8" w:rsidRPr="00A942F6" w:rsidRDefault="008877F8" w:rsidP="00641834">
            <w:pPr>
              <w:pStyle w:val="TableParagraph"/>
              <w:jc w:val="center"/>
              <w:rPr>
                <w:sz w:val="20"/>
                <w:lang w:val="nb-NO"/>
              </w:rPr>
            </w:pPr>
            <w:r w:rsidRPr="00A942F6">
              <w:rPr>
                <w:sz w:val="20"/>
                <w:u w:val="single"/>
                <w:lang w:val="nb-NO"/>
              </w:rPr>
              <w:t>1,43</w:t>
            </w:r>
          </w:p>
        </w:tc>
      </w:tr>
      <w:tr w:rsidR="008877F8" w:rsidRPr="00A942F6" w14:paraId="29420E42" w14:textId="77777777" w:rsidTr="003175D5">
        <w:trPr>
          <w:cantSplit/>
          <w:trHeight w:val="20"/>
        </w:trPr>
        <w:tc>
          <w:tcPr>
            <w:tcW w:w="2834" w:type="dxa"/>
          </w:tcPr>
          <w:p w14:paraId="4CE822CC" w14:textId="77777777" w:rsidR="008877F8" w:rsidRPr="00A942F6" w:rsidRDefault="008877F8" w:rsidP="00641834">
            <w:pPr>
              <w:pStyle w:val="TableParagraph"/>
              <w:rPr>
                <w:sz w:val="20"/>
                <w:lang w:val="nb-NO"/>
              </w:rPr>
            </w:pPr>
            <w:r w:rsidRPr="00A942F6">
              <w:rPr>
                <w:position w:val="2"/>
                <w:sz w:val="20"/>
                <w:lang w:val="nb-NO"/>
              </w:rPr>
              <w:t>Akkumulering C</w:t>
            </w:r>
            <w:r w:rsidRPr="00A942F6">
              <w:rPr>
                <w:sz w:val="13"/>
                <w:lang w:val="nb-NO"/>
              </w:rPr>
              <w:t xml:space="preserve">gjennomsnitt </w:t>
            </w:r>
            <w:r w:rsidRPr="00A942F6">
              <w:rPr>
                <w:position w:val="2"/>
                <w:sz w:val="20"/>
                <w:lang w:val="nb-NO"/>
              </w:rPr>
              <w:t>eller AUC</w:t>
            </w:r>
            <w:r w:rsidRPr="00A942F6">
              <w:rPr>
                <w:sz w:val="13"/>
                <w:lang w:val="nb-NO"/>
              </w:rPr>
              <w:t>τ</w:t>
            </w:r>
            <w:r w:rsidRPr="00A942F6">
              <w:rPr>
                <w:position w:val="2"/>
                <w:sz w:val="20"/>
                <w:lang w:val="nb-NO"/>
              </w:rPr>
              <w:t>*</w:t>
            </w:r>
          </w:p>
        </w:tc>
        <w:tc>
          <w:tcPr>
            <w:tcW w:w="2978" w:type="dxa"/>
          </w:tcPr>
          <w:p w14:paraId="008BB937" w14:textId="77777777" w:rsidR="008877F8" w:rsidRPr="00A942F6" w:rsidRDefault="008877F8" w:rsidP="00641834">
            <w:pPr>
              <w:pStyle w:val="TableParagraph"/>
              <w:jc w:val="center"/>
              <w:rPr>
                <w:sz w:val="20"/>
                <w:lang w:val="nb-NO"/>
              </w:rPr>
            </w:pPr>
            <w:r w:rsidRPr="00A942F6">
              <w:rPr>
                <w:sz w:val="20"/>
                <w:u w:val="single"/>
                <w:lang w:val="nb-NO"/>
              </w:rPr>
              <w:t>1,16</w:t>
            </w:r>
          </w:p>
        </w:tc>
        <w:tc>
          <w:tcPr>
            <w:tcW w:w="2976" w:type="dxa"/>
          </w:tcPr>
          <w:p w14:paraId="0B4D22F0" w14:textId="77777777" w:rsidR="008877F8" w:rsidRPr="00A942F6" w:rsidRDefault="008877F8" w:rsidP="00641834">
            <w:pPr>
              <w:pStyle w:val="TableParagraph"/>
              <w:jc w:val="center"/>
              <w:rPr>
                <w:sz w:val="20"/>
                <w:lang w:val="nb-NO"/>
              </w:rPr>
            </w:pPr>
            <w:r w:rsidRPr="00A942F6">
              <w:rPr>
                <w:sz w:val="20"/>
                <w:u w:val="single"/>
                <w:lang w:val="nb-NO"/>
              </w:rPr>
              <w:t>1,05</w:t>
            </w:r>
          </w:p>
        </w:tc>
      </w:tr>
    </w:tbl>
    <w:p w14:paraId="6629BA60" w14:textId="77777777" w:rsidR="008877F8" w:rsidRPr="00A942F6" w:rsidRDefault="008877F8" w:rsidP="00641834">
      <w:pPr>
        <w:pStyle w:val="tablenotestar"/>
        <w:rPr>
          <w:lang w:val="nb-NO"/>
        </w:rPr>
      </w:pPr>
      <w:r w:rsidRPr="00A942F6">
        <w:rPr>
          <w:lang w:val="nb-NO"/>
        </w:rPr>
        <w:t>τ = 4 uker for intravenøse regimer</w:t>
      </w:r>
    </w:p>
    <w:p w14:paraId="69DFE680" w14:textId="77777777" w:rsidR="008877F8" w:rsidRPr="00A942F6" w:rsidRDefault="008877F8" w:rsidP="00641834">
      <w:pPr>
        <w:rPr>
          <w:lang w:val="nb-NO"/>
        </w:rPr>
      </w:pPr>
    </w:p>
    <w:p w14:paraId="4D9ABB21" w14:textId="77777777" w:rsidR="008877F8" w:rsidRPr="00A942F6" w:rsidRDefault="008877F8" w:rsidP="00641834">
      <w:pPr>
        <w:rPr>
          <w:lang w:val="nb-NO"/>
        </w:rPr>
      </w:pPr>
      <w:r w:rsidRPr="00A942F6">
        <w:rPr>
          <w:lang w:val="nb-NO"/>
        </w:rPr>
        <w:t xml:space="preserve">Etter intravenøs dosering ble omtrent 90 % av steady-state nådd innen uke 12 for dosen med 10 mg/kg (kroppsvekt &lt; 30 kg) og innen uke 16 for dosen med 8 mg/kg (kroppsvekt </w:t>
      </w:r>
      <w:r w:rsidRPr="00A942F6">
        <w:rPr>
          <w:rFonts w:cs="Times New Roman"/>
          <w:lang w:val="nb-NO"/>
        </w:rPr>
        <w:t>≥</w:t>
      </w:r>
      <w:r w:rsidRPr="00A942F6">
        <w:rPr>
          <w:lang w:val="nb-NO"/>
        </w:rPr>
        <w:t xml:space="preserve"> 30 kg).</w:t>
      </w:r>
    </w:p>
    <w:p w14:paraId="4409B9C7" w14:textId="77777777" w:rsidR="001D2021" w:rsidRPr="00A942F6" w:rsidRDefault="001D2021" w:rsidP="00641834">
      <w:pPr>
        <w:rPr>
          <w:lang w:val="nb-NO"/>
        </w:rPr>
      </w:pPr>
    </w:p>
    <w:p w14:paraId="4428EA80" w14:textId="77777777" w:rsidR="008877F8" w:rsidRPr="00A942F6" w:rsidRDefault="008877F8" w:rsidP="00641834">
      <w:pPr>
        <w:rPr>
          <w:lang w:val="nb-NO"/>
        </w:rPr>
      </w:pPr>
      <w:r w:rsidRPr="00A942F6">
        <w:rPr>
          <w:lang w:val="nb-NO"/>
        </w:rPr>
        <w:t xml:space="preserve">Halveringstiden av tocilizumab i pJIA-pasienter er opptil 16 dager for de to vektklassene (8 mg / kg for kroppsvekt </w:t>
      </w:r>
      <w:r w:rsidRPr="00A942F6">
        <w:rPr>
          <w:rFonts w:cs="Times New Roman"/>
          <w:lang w:val="nb-NO"/>
        </w:rPr>
        <w:t>≥</w:t>
      </w:r>
      <w:r w:rsidRPr="00A942F6">
        <w:rPr>
          <w:lang w:val="nb-NO"/>
        </w:rPr>
        <w:t xml:space="preserve"> 30 kg eller 10 mg / kg for kroppsvekt &lt; 30 kg) ved steady state.</w:t>
      </w:r>
    </w:p>
    <w:p w14:paraId="70B8F6DB" w14:textId="77777777" w:rsidR="008877F8" w:rsidRPr="00A942F6" w:rsidRDefault="008877F8" w:rsidP="00641834">
      <w:pPr>
        <w:rPr>
          <w:lang w:val="nb-NO"/>
        </w:rPr>
      </w:pPr>
    </w:p>
    <w:p w14:paraId="02E31EE8" w14:textId="77777777" w:rsidR="008877F8" w:rsidRPr="00A942F6" w:rsidRDefault="008877F8" w:rsidP="00641834">
      <w:pPr>
        <w:pStyle w:val="H2"/>
        <w:rPr>
          <w:lang w:val="nb-NO"/>
        </w:rPr>
      </w:pPr>
      <w:r w:rsidRPr="00A942F6">
        <w:rPr>
          <w:lang w:val="nb-NO"/>
        </w:rPr>
        <w:lastRenderedPageBreak/>
        <w:t>5.3</w:t>
      </w:r>
      <w:r w:rsidRPr="00A942F6">
        <w:rPr>
          <w:lang w:val="nb-NO"/>
        </w:rPr>
        <w:tab/>
        <w:t>Prekliniske sikkerhetsdata</w:t>
      </w:r>
    </w:p>
    <w:p w14:paraId="5E255AC2" w14:textId="77777777" w:rsidR="00426296" w:rsidRPr="00A942F6" w:rsidRDefault="00426296" w:rsidP="00641834">
      <w:pPr>
        <w:pStyle w:val="H2"/>
        <w:rPr>
          <w:lang w:val="nb-NO"/>
        </w:rPr>
      </w:pPr>
    </w:p>
    <w:p w14:paraId="5A17B253" w14:textId="77777777" w:rsidR="008877F8" w:rsidRPr="00A942F6" w:rsidRDefault="008877F8" w:rsidP="00641834">
      <w:pPr>
        <w:rPr>
          <w:lang w:val="nb-NO"/>
        </w:rPr>
      </w:pPr>
      <w:r w:rsidRPr="00A942F6">
        <w:rPr>
          <w:lang w:val="nb-NO"/>
        </w:rPr>
        <w:t>Prekliniske data indikerer ingen spesiell fare for mennesker basert på konvensjonelle studier av sikkerhetsfarmakologi, toksisitetstester ved gjentatt dosering og gentoksisitet.</w:t>
      </w:r>
    </w:p>
    <w:p w14:paraId="5A20EF92" w14:textId="77777777" w:rsidR="008877F8" w:rsidRPr="00A942F6" w:rsidRDefault="008877F8" w:rsidP="00641834">
      <w:pPr>
        <w:rPr>
          <w:lang w:val="nb-NO"/>
        </w:rPr>
      </w:pPr>
    </w:p>
    <w:p w14:paraId="3C939093" w14:textId="77777777" w:rsidR="008877F8" w:rsidRPr="00A942F6" w:rsidRDefault="008877F8" w:rsidP="00641834">
      <w:pPr>
        <w:rPr>
          <w:lang w:val="nb-NO"/>
        </w:rPr>
      </w:pPr>
      <w:r w:rsidRPr="00A942F6">
        <w:rPr>
          <w:lang w:val="nb-NO"/>
        </w:rPr>
        <w:t>Karsinogenitets-studier er ikke utført på grunn av at IgG1-monoklonale antistoffer ikke er ansett å ha vesentlig karsinogent potensial.</w:t>
      </w:r>
    </w:p>
    <w:p w14:paraId="041E3DC2" w14:textId="77777777" w:rsidR="001D2021" w:rsidRPr="00A942F6" w:rsidRDefault="001D2021" w:rsidP="00641834">
      <w:pPr>
        <w:rPr>
          <w:lang w:val="nb-NO"/>
        </w:rPr>
      </w:pPr>
    </w:p>
    <w:p w14:paraId="1733F39A" w14:textId="77777777" w:rsidR="008877F8" w:rsidRPr="00A942F6" w:rsidRDefault="008877F8" w:rsidP="00641834">
      <w:pPr>
        <w:rPr>
          <w:lang w:val="nb-NO"/>
        </w:rPr>
      </w:pPr>
      <w:r w:rsidRPr="00A942F6">
        <w:rPr>
          <w:lang w:val="nb-NO"/>
        </w:rPr>
        <w:t>Tilgjengelige prekliniske data påviste effekt av IL-6 på malign progresjon og apoptoseresistens ved ulike krefttyper. Disse dataene antyder ingen relevant risiko for initiering eller progresjon av kreft ved behandling med tocilizumab. Det ble heller ikke observert vekst av maligne tumorer i en 6-måneders kronisk toksisitetsstudie hos cynomolgusape eller hos mus med IL-6 mangel.</w:t>
      </w:r>
    </w:p>
    <w:p w14:paraId="3F15104B" w14:textId="77777777" w:rsidR="001D2021" w:rsidRPr="00A942F6" w:rsidRDefault="001D2021" w:rsidP="00641834">
      <w:pPr>
        <w:rPr>
          <w:lang w:val="nb-NO"/>
        </w:rPr>
      </w:pPr>
    </w:p>
    <w:p w14:paraId="261EF3AD" w14:textId="77777777" w:rsidR="008877F8" w:rsidRPr="00A942F6" w:rsidRDefault="008877F8" w:rsidP="00641834">
      <w:pPr>
        <w:rPr>
          <w:lang w:val="nb-NO"/>
        </w:rPr>
      </w:pPr>
      <w:r w:rsidRPr="00A942F6">
        <w:rPr>
          <w:lang w:val="nb-NO"/>
        </w:rPr>
        <w:t>Tilgjengelige prekliniske data indikerer ikke noen påvirkning av fertilitet ved behandling med tocilizumab. Effekter på aktive endokrine organer og reproduksjonsorganer ble ikke observert i en kronisk toksisitetsstudie hos cynomolgusape, og reproduksjonsevnen ble ikke påvirket hos mus med IL-6-mangel. Tocilizumab administrert til cynomolgusaper tidlig i drektighetsforløpet viste ingen direkte eller indirekte skadelig effekt på drektigheten eller fosterutviklingen. Imidlertid ble en liten økning i abort/fosterdød observert ved høy systemisk eksponering (&gt; 100 x høyere enn eksponering hos mennesker) hos gruppen som fikk 50 mg/kg/dag i forhold til gruppene som fikk placebo eller andre lave doser. Selv om IL-6 ikke ser ut til å være et kritisk cytokin for fostervekst eller immunologisk kontroll av mor/foster-kontakt, kan man ikke utelukke at nevnte funn har en sammenheng med tocilizumab.</w:t>
      </w:r>
    </w:p>
    <w:p w14:paraId="0C76F2F1" w14:textId="77777777" w:rsidR="008877F8" w:rsidRPr="00A942F6" w:rsidRDefault="008877F8" w:rsidP="00641834">
      <w:pPr>
        <w:rPr>
          <w:lang w:val="nb-NO"/>
        </w:rPr>
      </w:pPr>
    </w:p>
    <w:p w14:paraId="4A52B8C7" w14:textId="77777777" w:rsidR="008877F8" w:rsidRPr="00A942F6" w:rsidRDefault="008877F8" w:rsidP="00641834">
      <w:pPr>
        <w:rPr>
          <w:lang w:val="nb-NO"/>
        </w:rPr>
      </w:pPr>
      <w:r w:rsidRPr="00A942F6">
        <w:rPr>
          <w:lang w:val="nb-NO"/>
        </w:rPr>
        <w:t>Behandling med en murinanalog ga ikke toksisitet hos juvenile mus. Mer spesifikt forekom ikke svekket skjelettvekst, immunfunksjon eller kjønnsmodning.</w:t>
      </w:r>
    </w:p>
    <w:p w14:paraId="62879118" w14:textId="77777777" w:rsidR="008877F8" w:rsidRPr="00A942F6" w:rsidRDefault="008877F8" w:rsidP="00641834">
      <w:pPr>
        <w:rPr>
          <w:lang w:val="nb-NO"/>
        </w:rPr>
      </w:pPr>
    </w:p>
    <w:p w14:paraId="05D627A7" w14:textId="77777777" w:rsidR="008877F8" w:rsidRPr="00A942F6" w:rsidRDefault="008877F8" w:rsidP="00641834">
      <w:pPr>
        <w:rPr>
          <w:lang w:val="nb-NO"/>
        </w:rPr>
      </w:pPr>
    </w:p>
    <w:p w14:paraId="03BBF4A8" w14:textId="77777777" w:rsidR="008877F8" w:rsidRPr="00A942F6" w:rsidRDefault="008877F8" w:rsidP="00641834">
      <w:pPr>
        <w:pStyle w:val="H1"/>
        <w:rPr>
          <w:lang w:val="nb-NO"/>
        </w:rPr>
      </w:pPr>
      <w:r w:rsidRPr="00A942F6">
        <w:rPr>
          <w:lang w:val="nb-NO"/>
        </w:rPr>
        <w:t>6.</w:t>
      </w:r>
      <w:r w:rsidRPr="00A942F6">
        <w:rPr>
          <w:lang w:val="nb-NO"/>
        </w:rPr>
        <w:tab/>
        <w:t>FARMASØYTISKE OPPLYSNINGER</w:t>
      </w:r>
    </w:p>
    <w:p w14:paraId="5CA59357" w14:textId="77777777" w:rsidR="008877F8" w:rsidRPr="00A942F6" w:rsidRDefault="008877F8" w:rsidP="00641834">
      <w:pPr>
        <w:rPr>
          <w:lang w:val="nb-NO"/>
        </w:rPr>
      </w:pPr>
    </w:p>
    <w:p w14:paraId="5712674A" w14:textId="77777777" w:rsidR="008877F8" w:rsidRPr="00A942F6" w:rsidRDefault="008877F8" w:rsidP="00641834">
      <w:pPr>
        <w:pStyle w:val="H2"/>
        <w:rPr>
          <w:lang w:val="nb-NO"/>
        </w:rPr>
      </w:pPr>
      <w:r w:rsidRPr="00A942F6">
        <w:rPr>
          <w:lang w:val="nb-NO"/>
        </w:rPr>
        <w:t>6.1</w:t>
      </w:r>
      <w:r w:rsidRPr="00A942F6">
        <w:rPr>
          <w:lang w:val="nb-NO"/>
        </w:rPr>
        <w:tab/>
        <w:t>Hjelpestoffer</w:t>
      </w:r>
    </w:p>
    <w:p w14:paraId="7811774B" w14:textId="77777777" w:rsidR="00426296" w:rsidRPr="00A942F6" w:rsidRDefault="00426296" w:rsidP="00641834">
      <w:pPr>
        <w:pStyle w:val="H2"/>
        <w:rPr>
          <w:lang w:val="nb-NO"/>
        </w:rPr>
      </w:pPr>
    </w:p>
    <w:p w14:paraId="7D6C5E0A" w14:textId="77777777" w:rsidR="005A0DAF" w:rsidRDefault="005A0DAF" w:rsidP="005A0DAF">
      <w:pPr>
        <w:rPr>
          <w:rFonts w:eastAsia="맑은 고딕"/>
          <w:lang w:val="nb-NO" w:eastAsia="ko-KR"/>
        </w:rPr>
      </w:pPr>
      <w:r w:rsidRPr="00A942F6">
        <w:rPr>
          <w:lang w:val="nb-NO"/>
        </w:rPr>
        <w:t>L</w:t>
      </w:r>
      <w:r w:rsidR="00DA195B">
        <w:rPr>
          <w:lang w:val="nb-NO"/>
        </w:rPr>
        <w:noBreakHyphen/>
      </w:r>
      <w:r w:rsidRPr="00A942F6">
        <w:rPr>
          <w:lang w:val="nb-NO"/>
        </w:rPr>
        <w:t>histidin</w:t>
      </w:r>
    </w:p>
    <w:p w14:paraId="7C9C09A3" w14:textId="664E7997" w:rsidR="00CE3CFB" w:rsidRPr="00BD4D94" w:rsidRDefault="001B685D" w:rsidP="005A0DAF">
      <w:pPr>
        <w:rPr>
          <w:rFonts w:eastAsia="맑은 고딕"/>
          <w:lang w:eastAsia="ko-KR"/>
        </w:rPr>
      </w:pPr>
      <w:r w:rsidRPr="001B685D">
        <w:rPr>
          <w:rFonts w:eastAsia="맑은 고딕"/>
          <w:lang w:eastAsia="ko-KR"/>
        </w:rPr>
        <w:t>L-histidin monohydroklorid monohydrat</w:t>
      </w:r>
    </w:p>
    <w:p w14:paraId="41609893" w14:textId="77777777" w:rsidR="005A0DAF" w:rsidRPr="00BD4D94" w:rsidRDefault="005A0DAF" w:rsidP="005A0DAF">
      <w:pPr>
        <w:rPr>
          <w:lang w:val="en-GB"/>
        </w:rPr>
      </w:pPr>
      <w:r w:rsidRPr="00BD4D94">
        <w:rPr>
          <w:lang w:val="en-GB"/>
        </w:rPr>
        <w:t>L</w:t>
      </w:r>
      <w:r w:rsidR="00DA195B" w:rsidRPr="00BD4D94">
        <w:rPr>
          <w:lang w:val="en-GB"/>
        </w:rPr>
        <w:noBreakHyphen/>
      </w:r>
      <w:r w:rsidRPr="00BD4D94">
        <w:rPr>
          <w:lang w:val="en-GB"/>
        </w:rPr>
        <w:t>treonin</w:t>
      </w:r>
    </w:p>
    <w:p w14:paraId="31CA0B75" w14:textId="77777777" w:rsidR="005A0DAF" w:rsidRPr="00BD4D94" w:rsidRDefault="00DA195B" w:rsidP="005A0DAF">
      <w:pPr>
        <w:rPr>
          <w:lang w:val="en-GB"/>
        </w:rPr>
      </w:pPr>
      <w:r w:rsidRPr="00BD4D94">
        <w:rPr>
          <w:lang w:val="en-GB"/>
        </w:rPr>
        <w:t>L</w:t>
      </w:r>
      <w:r w:rsidRPr="00BD4D94">
        <w:rPr>
          <w:lang w:val="en-GB"/>
        </w:rPr>
        <w:noBreakHyphen/>
      </w:r>
      <w:r w:rsidR="005A0DAF" w:rsidRPr="00BD4D94">
        <w:rPr>
          <w:lang w:val="en-GB"/>
        </w:rPr>
        <w:t>metionin</w:t>
      </w:r>
    </w:p>
    <w:p w14:paraId="2F2648FE" w14:textId="77777777" w:rsidR="008877F8" w:rsidRPr="00BD4D94" w:rsidRDefault="008877F8" w:rsidP="005A0DAF">
      <w:pPr>
        <w:rPr>
          <w:lang w:val="en-GB"/>
        </w:rPr>
      </w:pPr>
      <w:r w:rsidRPr="00BD4D94">
        <w:rPr>
          <w:lang w:val="en-GB"/>
        </w:rPr>
        <w:t>Polysorbat 80</w:t>
      </w:r>
    </w:p>
    <w:p w14:paraId="69A0106B" w14:textId="77777777" w:rsidR="008877F8" w:rsidRPr="00A942F6" w:rsidRDefault="008877F8" w:rsidP="00641834">
      <w:pPr>
        <w:rPr>
          <w:lang w:val="nb-NO"/>
        </w:rPr>
      </w:pPr>
      <w:r w:rsidRPr="00A942F6">
        <w:rPr>
          <w:lang w:val="nb-NO"/>
        </w:rPr>
        <w:t>Vann til injeksjonsvæsker</w:t>
      </w:r>
    </w:p>
    <w:p w14:paraId="3CA2C49E" w14:textId="77777777" w:rsidR="008877F8" w:rsidRPr="00A942F6" w:rsidRDefault="008877F8" w:rsidP="00641834">
      <w:pPr>
        <w:rPr>
          <w:lang w:val="nb-NO"/>
        </w:rPr>
      </w:pPr>
    </w:p>
    <w:p w14:paraId="4B5DC2E1" w14:textId="77777777" w:rsidR="008877F8" w:rsidRPr="00A942F6" w:rsidRDefault="008877F8" w:rsidP="00641834">
      <w:pPr>
        <w:pStyle w:val="H2"/>
        <w:rPr>
          <w:lang w:val="nb-NO"/>
        </w:rPr>
      </w:pPr>
      <w:r w:rsidRPr="00A942F6">
        <w:rPr>
          <w:lang w:val="nb-NO"/>
        </w:rPr>
        <w:t>6.2</w:t>
      </w:r>
      <w:r w:rsidRPr="00A942F6">
        <w:rPr>
          <w:lang w:val="nb-NO"/>
        </w:rPr>
        <w:tab/>
        <w:t>Uforlikeligheter</w:t>
      </w:r>
    </w:p>
    <w:p w14:paraId="670A17A4" w14:textId="77777777" w:rsidR="00426296" w:rsidRPr="00A942F6" w:rsidRDefault="00426296" w:rsidP="00641834">
      <w:pPr>
        <w:pStyle w:val="H2"/>
        <w:rPr>
          <w:lang w:val="nb-NO"/>
        </w:rPr>
      </w:pPr>
    </w:p>
    <w:p w14:paraId="0939C99F" w14:textId="77777777" w:rsidR="008877F8" w:rsidRPr="00A942F6" w:rsidRDefault="008877F8" w:rsidP="00641834">
      <w:pPr>
        <w:rPr>
          <w:lang w:val="nb-NO"/>
        </w:rPr>
      </w:pPr>
      <w:r w:rsidRPr="00A942F6">
        <w:rPr>
          <w:lang w:val="nb-NO"/>
        </w:rPr>
        <w:t>Dette legemidlet skal ikke blandes med andre legemidler enn de som er angitt i pkt. 6.6.</w:t>
      </w:r>
    </w:p>
    <w:p w14:paraId="08F8807A" w14:textId="77777777" w:rsidR="008877F8" w:rsidRPr="00A942F6" w:rsidRDefault="008877F8" w:rsidP="00641834">
      <w:pPr>
        <w:rPr>
          <w:lang w:val="nb-NO"/>
        </w:rPr>
      </w:pPr>
    </w:p>
    <w:p w14:paraId="40658623" w14:textId="77777777" w:rsidR="008877F8" w:rsidRPr="00A942F6" w:rsidRDefault="008877F8" w:rsidP="00641834">
      <w:pPr>
        <w:pStyle w:val="H2"/>
        <w:rPr>
          <w:lang w:val="nb-NO"/>
        </w:rPr>
      </w:pPr>
      <w:r w:rsidRPr="00A942F6">
        <w:rPr>
          <w:lang w:val="nb-NO"/>
        </w:rPr>
        <w:t>6.3</w:t>
      </w:r>
      <w:r w:rsidRPr="00A942F6">
        <w:rPr>
          <w:lang w:val="nb-NO"/>
        </w:rPr>
        <w:tab/>
        <w:t>Holdbarhet</w:t>
      </w:r>
    </w:p>
    <w:p w14:paraId="11D7C0F0" w14:textId="77777777" w:rsidR="00426296" w:rsidRPr="00A942F6" w:rsidRDefault="00426296" w:rsidP="00641834">
      <w:pPr>
        <w:pStyle w:val="H2"/>
        <w:rPr>
          <w:lang w:val="nb-NO"/>
        </w:rPr>
      </w:pPr>
    </w:p>
    <w:p w14:paraId="1D1170F6" w14:textId="6B9B81E6" w:rsidR="008877F8" w:rsidRPr="00A942F6" w:rsidRDefault="008877F8" w:rsidP="00641834">
      <w:pPr>
        <w:rPr>
          <w:lang w:val="nb-NO"/>
        </w:rPr>
      </w:pPr>
      <w:r w:rsidRPr="00A942F6">
        <w:rPr>
          <w:i/>
          <w:iCs/>
          <w:lang w:val="nb-NO"/>
        </w:rPr>
        <w:t>Uåpnet hetteglass</w:t>
      </w:r>
      <w:r w:rsidRPr="00A942F6">
        <w:rPr>
          <w:lang w:val="nb-NO"/>
        </w:rPr>
        <w:t xml:space="preserve">: </w:t>
      </w:r>
      <w:r w:rsidR="009E743D">
        <w:rPr>
          <w:rFonts w:eastAsia="맑은 고딕" w:hint="eastAsia"/>
          <w:lang w:val="nb-NO" w:eastAsia="ko-KR"/>
        </w:rPr>
        <w:t>36</w:t>
      </w:r>
      <w:r w:rsidR="009E743D" w:rsidRPr="00A942F6">
        <w:rPr>
          <w:lang w:val="nb-NO"/>
        </w:rPr>
        <w:t> </w:t>
      </w:r>
      <w:r w:rsidRPr="00A942F6">
        <w:rPr>
          <w:lang w:val="nb-NO"/>
        </w:rPr>
        <w:t>måneder</w:t>
      </w:r>
    </w:p>
    <w:p w14:paraId="41274291" w14:textId="77777777" w:rsidR="001D2021" w:rsidRPr="00A942F6" w:rsidRDefault="001D2021" w:rsidP="00641834">
      <w:pPr>
        <w:rPr>
          <w:lang w:val="nb-NO"/>
        </w:rPr>
      </w:pPr>
    </w:p>
    <w:p w14:paraId="1A318D2B" w14:textId="59834F3E" w:rsidR="008877F8" w:rsidRPr="00A942F6" w:rsidRDefault="008877F8" w:rsidP="00641834">
      <w:pPr>
        <w:rPr>
          <w:lang w:val="nb-NO"/>
        </w:rPr>
      </w:pPr>
      <w:r w:rsidRPr="00A942F6">
        <w:rPr>
          <w:i/>
          <w:iCs/>
          <w:lang w:val="nb-NO"/>
        </w:rPr>
        <w:t>Fortynnet infusjonsoppløsning</w:t>
      </w:r>
      <w:r w:rsidRPr="00A942F6">
        <w:rPr>
          <w:lang w:val="nb-NO"/>
        </w:rPr>
        <w:t>: Ferdig tilberedt infusjonsoppløsning er fysikalsk og kjemisk stabil i natriumklorid 9 mg/ml (0,9 %)</w:t>
      </w:r>
      <w:r w:rsidR="005A0DAF" w:rsidRPr="00A942F6">
        <w:rPr>
          <w:lang w:val="nb-NO"/>
        </w:rPr>
        <w:t xml:space="preserve"> eller 4,5 mg/ml (0,45 %)</w:t>
      </w:r>
      <w:r w:rsidRPr="00A942F6">
        <w:rPr>
          <w:lang w:val="nb-NO"/>
        </w:rPr>
        <w:t xml:space="preserve"> injeksjonsoppløsning. Den kan oppbevares i </w:t>
      </w:r>
      <w:r w:rsidR="005A0DAF" w:rsidRPr="00A942F6">
        <w:rPr>
          <w:lang w:val="nb-NO"/>
        </w:rPr>
        <w:t>48 </w:t>
      </w:r>
      <w:r w:rsidRPr="00A942F6">
        <w:rPr>
          <w:lang w:val="nb-NO"/>
        </w:rPr>
        <w:t xml:space="preserve">timer ved 30 ºC og i inntil </w:t>
      </w:r>
      <w:r w:rsidR="005A0DAF" w:rsidRPr="00A942F6">
        <w:rPr>
          <w:lang w:val="nb-NO"/>
        </w:rPr>
        <w:t>1 måned</w:t>
      </w:r>
      <w:r w:rsidRPr="00A942F6">
        <w:rPr>
          <w:lang w:val="nb-NO"/>
        </w:rPr>
        <w:t xml:space="preserve"> i kjøleskap ved 2 ºC – 8 ºC.</w:t>
      </w:r>
    </w:p>
    <w:p w14:paraId="7A0171F3" w14:textId="77777777" w:rsidR="008877F8" w:rsidRPr="00A942F6" w:rsidRDefault="008877F8" w:rsidP="00641834">
      <w:pPr>
        <w:rPr>
          <w:lang w:val="nb-NO"/>
        </w:rPr>
      </w:pPr>
    </w:p>
    <w:p w14:paraId="247D747C" w14:textId="77777777" w:rsidR="008877F8" w:rsidRPr="00A942F6" w:rsidRDefault="008877F8" w:rsidP="00641834">
      <w:pPr>
        <w:rPr>
          <w:lang w:val="nb-NO"/>
        </w:rPr>
      </w:pPr>
      <w:r w:rsidRPr="00A942F6">
        <w:rPr>
          <w:lang w:val="nb-NO"/>
        </w:rPr>
        <w:t>Fra et mikrobiologisk synspunkt bør ferdig tilberedt infusjonsløsning brukes umiddelbart. Om oppløsningen ikke benyttes umiddelbart, er oppbevaringstid og oppbevaringsbetingelser før bruk brukerens eget ansvar. Oppbevaringstiden bør normalt ikke være lenger enn 24 timer ved 2 ºC – 8 ºC, hvis ikke fortynningen er foretatt under kontrollerte og validerte aseptiske forhold.</w:t>
      </w:r>
    </w:p>
    <w:p w14:paraId="7BEA809A" w14:textId="77777777" w:rsidR="008877F8" w:rsidRPr="00A942F6" w:rsidRDefault="008877F8" w:rsidP="00641834">
      <w:pPr>
        <w:rPr>
          <w:lang w:val="nb-NO"/>
        </w:rPr>
      </w:pPr>
    </w:p>
    <w:p w14:paraId="6E547FB1" w14:textId="77777777" w:rsidR="008877F8" w:rsidRPr="00A942F6" w:rsidRDefault="008877F8" w:rsidP="00641834">
      <w:pPr>
        <w:pStyle w:val="H2"/>
        <w:rPr>
          <w:lang w:val="nb-NO"/>
        </w:rPr>
      </w:pPr>
      <w:r w:rsidRPr="00A942F6">
        <w:rPr>
          <w:lang w:val="nb-NO"/>
        </w:rPr>
        <w:lastRenderedPageBreak/>
        <w:t>6.4</w:t>
      </w:r>
      <w:r w:rsidRPr="00A942F6">
        <w:rPr>
          <w:lang w:val="nb-NO"/>
        </w:rPr>
        <w:tab/>
        <w:t>Oppbevaringsbetingelser</w:t>
      </w:r>
    </w:p>
    <w:p w14:paraId="3AB38AEF" w14:textId="77777777" w:rsidR="00426296" w:rsidRPr="00A942F6" w:rsidRDefault="00426296" w:rsidP="00641834">
      <w:pPr>
        <w:pStyle w:val="H2"/>
        <w:rPr>
          <w:lang w:val="nb-NO"/>
        </w:rPr>
      </w:pPr>
    </w:p>
    <w:p w14:paraId="14E5C061" w14:textId="77777777" w:rsidR="008877F8" w:rsidRPr="00A942F6" w:rsidRDefault="008877F8" w:rsidP="00641834">
      <w:pPr>
        <w:rPr>
          <w:lang w:val="nb-NO"/>
        </w:rPr>
      </w:pPr>
      <w:r w:rsidRPr="00A942F6">
        <w:rPr>
          <w:lang w:val="nb-NO"/>
        </w:rPr>
        <w:t>Oppbevares i kjøleskap (2 ºC – 8 ºC). Skal ikke fryses.</w:t>
      </w:r>
    </w:p>
    <w:p w14:paraId="4D11FCA3" w14:textId="77777777" w:rsidR="008877F8" w:rsidRPr="00A942F6" w:rsidRDefault="008877F8" w:rsidP="00641834">
      <w:pPr>
        <w:rPr>
          <w:lang w:val="nb-NO"/>
        </w:rPr>
      </w:pPr>
    </w:p>
    <w:p w14:paraId="4615EA48" w14:textId="77777777" w:rsidR="008877F8" w:rsidRPr="00A942F6" w:rsidRDefault="008877F8" w:rsidP="00641834">
      <w:pPr>
        <w:rPr>
          <w:lang w:val="nb-NO"/>
        </w:rPr>
      </w:pPr>
      <w:r w:rsidRPr="00A942F6">
        <w:rPr>
          <w:lang w:val="nb-NO"/>
        </w:rPr>
        <w:t>Oppbevar hetteglass(ene) i ytteremballasjen for å beskytte mot lys.</w:t>
      </w:r>
    </w:p>
    <w:p w14:paraId="51C9A9AA" w14:textId="77777777" w:rsidR="008877F8" w:rsidRPr="00A942F6" w:rsidRDefault="008877F8" w:rsidP="00641834">
      <w:pPr>
        <w:rPr>
          <w:lang w:val="nb-NO"/>
        </w:rPr>
      </w:pPr>
    </w:p>
    <w:p w14:paraId="407ED2F9" w14:textId="77777777" w:rsidR="008877F8" w:rsidRPr="00A942F6" w:rsidRDefault="008877F8" w:rsidP="00641834">
      <w:pPr>
        <w:rPr>
          <w:lang w:val="nb-NO"/>
        </w:rPr>
      </w:pPr>
      <w:r w:rsidRPr="00A942F6">
        <w:rPr>
          <w:lang w:val="nb-NO"/>
        </w:rPr>
        <w:t>For oppbevaringsbetingelser etter fortynning av legemidlet, se pkt. 6.3.</w:t>
      </w:r>
    </w:p>
    <w:p w14:paraId="5C7069BB" w14:textId="77777777" w:rsidR="008877F8" w:rsidRPr="00A942F6" w:rsidRDefault="008877F8" w:rsidP="00641834">
      <w:pPr>
        <w:rPr>
          <w:lang w:val="nb-NO"/>
        </w:rPr>
      </w:pPr>
    </w:p>
    <w:p w14:paraId="5F950B84" w14:textId="77777777" w:rsidR="008877F8" w:rsidRPr="00A942F6" w:rsidRDefault="008877F8" w:rsidP="00641834">
      <w:pPr>
        <w:pStyle w:val="H2"/>
        <w:rPr>
          <w:lang w:val="nb-NO"/>
        </w:rPr>
      </w:pPr>
      <w:r w:rsidRPr="00A942F6">
        <w:rPr>
          <w:lang w:val="nb-NO"/>
        </w:rPr>
        <w:t>6.5</w:t>
      </w:r>
      <w:r w:rsidRPr="00A942F6">
        <w:rPr>
          <w:lang w:val="nb-NO"/>
        </w:rPr>
        <w:tab/>
        <w:t>Emballasje (type og innhold)</w:t>
      </w:r>
    </w:p>
    <w:p w14:paraId="73E7A5F6" w14:textId="77777777" w:rsidR="00426296" w:rsidRPr="00A942F6" w:rsidRDefault="00426296" w:rsidP="00641834">
      <w:pPr>
        <w:pStyle w:val="H2"/>
        <w:rPr>
          <w:lang w:val="nb-NO"/>
        </w:rPr>
      </w:pPr>
    </w:p>
    <w:p w14:paraId="18D6B47F" w14:textId="1D83D6EA" w:rsidR="008877F8" w:rsidRPr="00A942F6" w:rsidRDefault="00923E68" w:rsidP="00641834">
      <w:pPr>
        <w:rPr>
          <w:lang w:val="nb-NO"/>
        </w:rPr>
      </w:pPr>
      <w:r w:rsidRPr="00A942F6">
        <w:rPr>
          <w:lang w:val="nb-NO"/>
        </w:rPr>
        <w:t>Avtozma</w:t>
      </w:r>
      <w:r w:rsidR="008877F8" w:rsidRPr="00A942F6">
        <w:rPr>
          <w:lang w:val="nb-NO"/>
        </w:rPr>
        <w:t xml:space="preserve"> leveres i hetteglass (type I) med propp (butylengummi), og inneholder 4 ml, 10 ml eller 20</w:t>
      </w:r>
      <w:r w:rsidR="001D2021" w:rsidRPr="00A942F6">
        <w:rPr>
          <w:lang w:val="nb-NO"/>
        </w:rPr>
        <w:t> </w:t>
      </w:r>
      <w:r w:rsidR="008877F8" w:rsidRPr="00A942F6">
        <w:rPr>
          <w:lang w:val="nb-NO"/>
        </w:rPr>
        <w:t>ml konsentrat. Pakninger på 1 og 4 hetteglass.</w:t>
      </w:r>
    </w:p>
    <w:p w14:paraId="7FD735CA" w14:textId="77777777" w:rsidR="008877F8" w:rsidRPr="00A942F6" w:rsidRDefault="008877F8" w:rsidP="00641834">
      <w:pPr>
        <w:rPr>
          <w:lang w:val="nb-NO"/>
        </w:rPr>
      </w:pPr>
    </w:p>
    <w:p w14:paraId="7E37756C" w14:textId="77777777" w:rsidR="008877F8" w:rsidRPr="00A942F6" w:rsidRDefault="008877F8" w:rsidP="00641834">
      <w:pPr>
        <w:rPr>
          <w:lang w:val="nb-NO"/>
        </w:rPr>
      </w:pPr>
      <w:r w:rsidRPr="00A942F6">
        <w:rPr>
          <w:lang w:val="nb-NO"/>
        </w:rPr>
        <w:t>Ikke alle pakningsstørrelser vil nødvendigvis bli markedsført.</w:t>
      </w:r>
    </w:p>
    <w:p w14:paraId="30A0B7EE" w14:textId="77777777" w:rsidR="008877F8" w:rsidRPr="00A942F6" w:rsidRDefault="008877F8" w:rsidP="00641834">
      <w:pPr>
        <w:rPr>
          <w:lang w:val="nb-NO"/>
        </w:rPr>
      </w:pPr>
    </w:p>
    <w:p w14:paraId="20BCFD81" w14:textId="77777777" w:rsidR="008877F8" w:rsidRPr="00A942F6" w:rsidRDefault="008877F8" w:rsidP="00641834">
      <w:pPr>
        <w:pStyle w:val="H2"/>
        <w:rPr>
          <w:lang w:val="nb-NO"/>
        </w:rPr>
      </w:pPr>
      <w:r w:rsidRPr="00A942F6">
        <w:rPr>
          <w:lang w:val="nb-NO"/>
        </w:rPr>
        <w:t>6.6</w:t>
      </w:r>
      <w:r w:rsidRPr="00A942F6">
        <w:rPr>
          <w:lang w:val="nb-NO"/>
        </w:rPr>
        <w:tab/>
        <w:t>Spesielle forholdsregler for destruksjon og annen håndtering</w:t>
      </w:r>
    </w:p>
    <w:p w14:paraId="0D5601C0" w14:textId="77777777" w:rsidR="00426296" w:rsidRPr="00A942F6" w:rsidRDefault="00426296" w:rsidP="00641834">
      <w:pPr>
        <w:pStyle w:val="H2"/>
        <w:rPr>
          <w:lang w:val="nb-NO"/>
        </w:rPr>
      </w:pPr>
    </w:p>
    <w:p w14:paraId="378DEBF5" w14:textId="77777777" w:rsidR="008877F8" w:rsidRPr="00A942F6" w:rsidRDefault="008877F8" w:rsidP="00641834">
      <w:pPr>
        <w:pStyle w:val="Style1underline"/>
        <w:rPr>
          <w:lang w:val="nb-NO"/>
        </w:rPr>
      </w:pPr>
      <w:r w:rsidRPr="00A942F6">
        <w:rPr>
          <w:lang w:val="nb-NO"/>
        </w:rPr>
        <w:t>Instruksjon for tilberedning før bruk</w:t>
      </w:r>
    </w:p>
    <w:p w14:paraId="5AA1DB3D" w14:textId="61833756" w:rsidR="008877F8" w:rsidRPr="00A942F6" w:rsidRDefault="008877F8" w:rsidP="00641834">
      <w:pPr>
        <w:rPr>
          <w:lang w:val="nb-NO"/>
        </w:rPr>
      </w:pPr>
      <w:r w:rsidRPr="00A942F6">
        <w:rPr>
          <w:lang w:val="nb-NO"/>
        </w:rPr>
        <w:t>Parenterale legemidler bør inspiseres visuelt for partikler og misfarging før bruk. Kun oppløsninger som er klare til</w:t>
      </w:r>
      <w:r w:rsidR="005A0DAF" w:rsidRPr="00A942F6">
        <w:rPr>
          <w:lang w:val="nb-NO"/>
        </w:rPr>
        <w:t xml:space="preserve"> </w:t>
      </w:r>
      <w:r w:rsidR="00F97D1D">
        <w:rPr>
          <w:lang w:val="nb-NO"/>
        </w:rPr>
        <w:t>svakt</w:t>
      </w:r>
      <w:r w:rsidRPr="00A942F6">
        <w:rPr>
          <w:lang w:val="nb-NO"/>
        </w:rPr>
        <w:t xml:space="preserve"> opaliserende, fargeløse til lys gul og fri for synlige partikler skal fortynnes. Bruk steril kanyle og sprøyte for å tilberede </w:t>
      </w:r>
      <w:r w:rsidR="00923E68" w:rsidRPr="00A942F6">
        <w:rPr>
          <w:lang w:val="nb-NO"/>
        </w:rPr>
        <w:t>Avtozma</w:t>
      </w:r>
      <w:r w:rsidRPr="00A942F6">
        <w:rPr>
          <w:lang w:val="nb-NO"/>
        </w:rPr>
        <w:t>.</w:t>
      </w:r>
      <w:r w:rsidR="005A0DAF" w:rsidRPr="00A942F6">
        <w:rPr>
          <w:lang w:val="nb-NO"/>
        </w:rPr>
        <w:t xml:space="preserve"> For infusjonsposer laget av polyvinylklorid (PVC) bør det brukes infusjonsposer som er di(2</w:t>
      </w:r>
      <w:r w:rsidR="00A2146B">
        <w:rPr>
          <w:lang w:val="nb-NO"/>
        </w:rPr>
        <w:noBreakHyphen/>
      </w:r>
      <w:r w:rsidR="005A0DAF" w:rsidRPr="00A942F6">
        <w:rPr>
          <w:lang w:val="nb-NO"/>
        </w:rPr>
        <w:t>etylheksyl)ftalatfrie (DEHP</w:t>
      </w:r>
      <w:r w:rsidR="00A2146B">
        <w:rPr>
          <w:lang w:val="nb-NO"/>
        </w:rPr>
        <w:noBreakHyphen/>
      </w:r>
      <w:r w:rsidR="005A0DAF" w:rsidRPr="00A942F6">
        <w:rPr>
          <w:lang w:val="nb-NO"/>
        </w:rPr>
        <w:t>frie)</w:t>
      </w:r>
    </w:p>
    <w:p w14:paraId="0E6486B5" w14:textId="77777777" w:rsidR="001D2021" w:rsidRPr="00A942F6" w:rsidRDefault="001D2021" w:rsidP="00641834">
      <w:pPr>
        <w:rPr>
          <w:lang w:val="nb-NO"/>
        </w:rPr>
      </w:pPr>
    </w:p>
    <w:p w14:paraId="41909589" w14:textId="77777777" w:rsidR="008877F8" w:rsidRPr="00A942F6" w:rsidRDefault="008877F8" w:rsidP="00641834">
      <w:pPr>
        <w:pStyle w:val="Style1underline"/>
        <w:rPr>
          <w:lang w:val="nb-NO"/>
        </w:rPr>
      </w:pPr>
      <w:r w:rsidRPr="00A942F6">
        <w:rPr>
          <w:lang w:val="nb-NO"/>
        </w:rPr>
        <w:t>RA-, CRS-pasienter (</w:t>
      </w:r>
      <w:r w:rsidRPr="00A942F6">
        <w:rPr>
          <w:rFonts w:cs="Times New Roman"/>
          <w:lang w:val="nb-NO"/>
        </w:rPr>
        <w:t>≥</w:t>
      </w:r>
      <w:r w:rsidRPr="00A942F6">
        <w:rPr>
          <w:lang w:val="nb-NO"/>
        </w:rPr>
        <w:t xml:space="preserve"> 30 kg) og covid-19</w:t>
      </w:r>
    </w:p>
    <w:p w14:paraId="62C5830E" w14:textId="33DE3733" w:rsidR="008877F8" w:rsidRPr="00A942F6" w:rsidRDefault="008877F8" w:rsidP="00641834">
      <w:pPr>
        <w:rPr>
          <w:lang w:val="nb-NO"/>
        </w:rPr>
      </w:pPr>
      <w:r w:rsidRPr="00A942F6">
        <w:rPr>
          <w:lang w:val="nb-NO"/>
        </w:rPr>
        <w:t>Trekk opp steril, pyrogenfri natriumklorid injeksjonsvæske 9 mg/ml (0,9 %)</w:t>
      </w:r>
      <w:r w:rsidR="005A0DAF" w:rsidRPr="00A942F6">
        <w:rPr>
          <w:lang w:val="nb-NO"/>
        </w:rPr>
        <w:t xml:space="preserve"> eller 4,5 mg/ml (0,45 %)</w:t>
      </w:r>
      <w:r w:rsidRPr="00A942F6">
        <w:rPr>
          <w:lang w:val="nb-NO"/>
        </w:rPr>
        <w:t xml:space="preserve"> aseptisk fra en 100 ml infusjonspose, tilsvarende det volumet av </w:t>
      </w:r>
      <w:r w:rsidR="00923E68" w:rsidRPr="00A942F6">
        <w:rPr>
          <w:lang w:val="nb-NO"/>
        </w:rPr>
        <w:t>Avtozma</w:t>
      </w:r>
      <w:r w:rsidRPr="00A942F6">
        <w:rPr>
          <w:lang w:val="nb-NO"/>
        </w:rPr>
        <w:t xml:space="preserve"> konsentrat som pasienten skal ha. Trekk opp den forskrevne mengde </w:t>
      </w:r>
      <w:r w:rsidR="00923E68" w:rsidRPr="00A942F6">
        <w:rPr>
          <w:lang w:val="nb-NO"/>
        </w:rPr>
        <w:t>Avtozma</w:t>
      </w:r>
      <w:r w:rsidRPr="00A942F6">
        <w:rPr>
          <w:lang w:val="nb-NO"/>
        </w:rPr>
        <w:t>-konsentrat (0,4 ml/kg) fra hetteglasset og overfør til infusjonsposen, som da får et sluttvolum på 100 ml. Bland oppløsningen ved sakte å vende posen for å unngå skumdannelse.</w:t>
      </w:r>
    </w:p>
    <w:p w14:paraId="4E41AB91" w14:textId="77777777" w:rsidR="001D2021" w:rsidRPr="00A942F6" w:rsidRDefault="001D2021" w:rsidP="00641834">
      <w:pPr>
        <w:rPr>
          <w:lang w:val="nb-NO"/>
        </w:rPr>
      </w:pPr>
    </w:p>
    <w:p w14:paraId="485FC0B4" w14:textId="77777777" w:rsidR="008877F8" w:rsidRPr="00A942F6" w:rsidRDefault="008877F8" w:rsidP="00641834">
      <w:pPr>
        <w:pStyle w:val="Style1underline"/>
        <w:rPr>
          <w:lang w:val="nb-NO"/>
        </w:rPr>
      </w:pPr>
      <w:r w:rsidRPr="00A942F6">
        <w:rPr>
          <w:lang w:val="nb-NO"/>
        </w:rPr>
        <w:t>Bruk i den pediatriske populasjonen</w:t>
      </w:r>
    </w:p>
    <w:p w14:paraId="1C7089DE" w14:textId="77777777" w:rsidR="008877F8" w:rsidRPr="00A942F6" w:rsidRDefault="008877F8" w:rsidP="00641834">
      <w:pPr>
        <w:rPr>
          <w:lang w:val="nb-NO"/>
        </w:rPr>
      </w:pPr>
    </w:p>
    <w:p w14:paraId="2465C046" w14:textId="77777777" w:rsidR="008877F8" w:rsidRPr="00A942F6" w:rsidRDefault="008877F8" w:rsidP="00641834">
      <w:pPr>
        <w:pStyle w:val="Style1underline"/>
        <w:rPr>
          <w:lang w:val="nb-NO"/>
        </w:rPr>
      </w:pPr>
      <w:r w:rsidRPr="00A942F6">
        <w:rPr>
          <w:lang w:val="nb-NO"/>
        </w:rPr>
        <w:t xml:space="preserve">sJIA-, pJIA-, og CRS-pasienter </w:t>
      </w:r>
      <w:r w:rsidRPr="00A942F6">
        <w:rPr>
          <w:rFonts w:cs="Times New Roman"/>
          <w:lang w:val="nb-NO"/>
        </w:rPr>
        <w:t>≥</w:t>
      </w:r>
      <w:r w:rsidRPr="00A942F6">
        <w:rPr>
          <w:lang w:val="nb-NO"/>
        </w:rPr>
        <w:t xml:space="preserve"> 30 kg</w:t>
      </w:r>
    </w:p>
    <w:p w14:paraId="6E8E00DD" w14:textId="4E6310AA" w:rsidR="008877F8" w:rsidRPr="00A942F6" w:rsidRDefault="008877F8" w:rsidP="00641834">
      <w:pPr>
        <w:rPr>
          <w:lang w:val="nb-NO"/>
        </w:rPr>
      </w:pPr>
      <w:r w:rsidRPr="00A942F6">
        <w:rPr>
          <w:lang w:val="nb-NO"/>
        </w:rPr>
        <w:t>Trekk opp steril, pyrogenfri natriumklorid injeksjonsvæske 9 mg/ml (0,9 %)</w:t>
      </w:r>
      <w:r w:rsidR="005A0DAF" w:rsidRPr="00A942F6">
        <w:rPr>
          <w:lang w:val="nb-NO"/>
        </w:rPr>
        <w:t xml:space="preserve"> eller 4,5 mg/ml (0,45 %)</w:t>
      </w:r>
      <w:r w:rsidRPr="00A942F6">
        <w:rPr>
          <w:lang w:val="nb-NO"/>
        </w:rPr>
        <w:t xml:space="preserve"> aseptisk fra en 100 ml infusjonspose, tilsvarende det volumet av </w:t>
      </w:r>
      <w:r w:rsidR="00923E68" w:rsidRPr="00A942F6">
        <w:rPr>
          <w:lang w:val="nb-NO"/>
        </w:rPr>
        <w:t>Avtozma</w:t>
      </w:r>
      <w:r w:rsidRPr="00A942F6">
        <w:rPr>
          <w:lang w:val="nb-NO"/>
        </w:rPr>
        <w:t xml:space="preserve"> konsentrat som pasienten skal ha. Trekk opp den forskrevne mengde </w:t>
      </w:r>
      <w:r w:rsidR="00923E68" w:rsidRPr="00A942F6">
        <w:rPr>
          <w:lang w:val="nb-NO"/>
        </w:rPr>
        <w:t>Avtozma</w:t>
      </w:r>
      <w:r w:rsidRPr="00A942F6">
        <w:rPr>
          <w:lang w:val="nb-NO"/>
        </w:rPr>
        <w:t xml:space="preserve"> konsentrat (0,4 ml/kg) fra hetteglasset og overfør til infusjonsposen på 100 ml. Dette gir et sluttvolum på 100 ml. Bland oppløsningen ved å vende forsiktig på infusjonsposen for å unngå skum.</w:t>
      </w:r>
    </w:p>
    <w:p w14:paraId="58C40A68" w14:textId="77777777" w:rsidR="001D2021" w:rsidRPr="00A942F6" w:rsidRDefault="001D2021" w:rsidP="00641834">
      <w:pPr>
        <w:rPr>
          <w:lang w:val="nb-NO"/>
        </w:rPr>
      </w:pPr>
    </w:p>
    <w:p w14:paraId="73D015D0" w14:textId="77777777" w:rsidR="008877F8" w:rsidRPr="00A942F6" w:rsidRDefault="008877F8" w:rsidP="00641834">
      <w:pPr>
        <w:pStyle w:val="Style1underline"/>
        <w:rPr>
          <w:lang w:val="nb-NO"/>
        </w:rPr>
      </w:pPr>
      <w:r w:rsidRPr="00A942F6">
        <w:rPr>
          <w:lang w:val="nb-NO"/>
        </w:rPr>
        <w:t>sJIA- og CRS-pasienter &lt; 30 kg</w:t>
      </w:r>
    </w:p>
    <w:p w14:paraId="10E1CB32" w14:textId="46587D7F" w:rsidR="008877F8" w:rsidRPr="00A942F6" w:rsidRDefault="008877F8" w:rsidP="00641834">
      <w:pPr>
        <w:rPr>
          <w:lang w:val="nb-NO"/>
        </w:rPr>
      </w:pPr>
      <w:r w:rsidRPr="00A942F6">
        <w:rPr>
          <w:lang w:val="nb-NO"/>
        </w:rPr>
        <w:t xml:space="preserve">Trekk opp steril, pyrogenfri natriumklorid injeksjonsvæske 9 mg/ml (0,9 %) </w:t>
      </w:r>
      <w:r w:rsidR="0057600E" w:rsidRPr="00A942F6">
        <w:rPr>
          <w:lang w:val="nb-NO"/>
        </w:rPr>
        <w:t xml:space="preserve">eller 4,5 mg/ml (0,45 %) </w:t>
      </w:r>
      <w:r w:rsidRPr="00A942F6">
        <w:rPr>
          <w:lang w:val="nb-NO"/>
        </w:rPr>
        <w:t xml:space="preserve">aseptisk fra en 50 ml infusjonspose, tilsvarende det volumet av </w:t>
      </w:r>
      <w:r w:rsidR="00923E68" w:rsidRPr="00A942F6">
        <w:rPr>
          <w:lang w:val="nb-NO"/>
        </w:rPr>
        <w:t>Avtozma</w:t>
      </w:r>
      <w:r w:rsidRPr="00A942F6">
        <w:rPr>
          <w:lang w:val="nb-NO"/>
        </w:rPr>
        <w:t xml:space="preserve"> konsentrat som pasienten skal ha. Trekk opp den forskrevne mengde </w:t>
      </w:r>
      <w:r w:rsidR="00923E68" w:rsidRPr="00A942F6">
        <w:rPr>
          <w:lang w:val="nb-NO"/>
        </w:rPr>
        <w:t>Avtozma</w:t>
      </w:r>
      <w:r w:rsidRPr="00A942F6">
        <w:rPr>
          <w:lang w:val="nb-NO"/>
        </w:rPr>
        <w:t xml:space="preserve"> konsentrat (0,6 ml/kg) fra hetteglasset og overfør til infusjonsposen, som da får et sluttvolum på 50 ml. Bland oppløsningen ved sakte å vende posen for å unngå skumdannelse.</w:t>
      </w:r>
    </w:p>
    <w:p w14:paraId="413CEFBE" w14:textId="77777777" w:rsidR="001D2021" w:rsidRPr="00A942F6" w:rsidRDefault="001D2021" w:rsidP="00641834">
      <w:pPr>
        <w:rPr>
          <w:lang w:val="nb-NO"/>
        </w:rPr>
      </w:pPr>
    </w:p>
    <w:p w14:paraId="59C616CD" w14:textId="77777777" w:rsidR="008877F8" w:rsidRPr="00A942F6" w:rsidRDefault="008877F8" w:rsidP="00641834">
      <w:pPr>
        <w:pStyle w:val="Style1underline"/>
        <w:rPr>
          <w:lang w:val="nb-NO"/>
        </w:rPr>
      </w:pPr>
      <w:r w:rsidRPr="00A942F6">
        <w:rPr>
          <w:lang w:val="nb-NO"/>
        </w:rPr>
        <w:t>pJIA-pasienter &lt; 30 kg</w:t>
      </w:r>
    </w:p>
    <w:p w14:paraId="1F659AF4" w14:textId="05D9A4D5" w:rsidR="008877F8" w:rsidRPr="00A942F6" w:rsidRDefault="008877F8" w:rsidP="00641834">
      <w:pPr>
        <w:rPr>
          <w:lang w:val="nb-NO"/>
        </w:rPr>
      </w:pPr>
      <w:r w:rsidRPr="00A942F6">
        <w:rPr>
          <w:lang w:val="nb-NO"/>
        </w:rPr>
        <w:t xml:space="preserve">Trekk opp steril, pyrogenfri natriumklorid injeksjonsvæske 9 mg/ml (0,9 %) </w:t>
      </w:r>
      <w:r w:rsidR="00F97D1D">
        <w:rPr>
          <w:lang w:val="nb-NO"/>
        </w:rPr>
        <w:t xml:space="preserve">eller 4,5 mg/ml (0,45 %) </w:t>
      </w:r>
      <w:r w:rsidRPr="00A942F6">
        <w:rPr>
          <w:lang w:val="nb-NO"/>
        </w:rPr>
        <w:t xml:space="preserve">aseptisk fra en 50 ml infusjonspose, tilsvarende det volumet av </w:t>
      </w:r>
      <w:r w:rsidR="00923E68" w:rsidRPr="00A942F6">
        <w:rPr>
          <w:lang w:val="nb-NO"/>
        </w:rPr>
        <w:t>Avtozma</w:t>
      </w:r>
      <w:r w:rsidRPr="00A942F6">
        <w:rPr>
          <w:lang w:val="nb-NO"/>
        </w:rPr>
        <w:t xml:space="preserve"> konsentrat som pasienten skal ha. Trekk opp den forskrevne mengde </w:t>
      </w:r>
      <w:r w:rsidR="00923E68" w:rsidRPr="00A942F6">
        <w:rPr>
          <w:lang w:val="nb-NO"/>
        </w:rPr>
        <w:t>Avtozma</w:t>
      </w:r>
      <w:r w:rsidRPr="00A942F6">
        <w:rPr>
          <w:lang w:val="nb-NO"/>
        </w:rPr>
        <w:t xml:space="preserve"> konsentrat (0,5 ml/kg) fra hetteglasset og overfør til infusjonsposen, som da får et sluttvolum på 50 ml. Bland oppløsningen ved sakte å vende posen for å unngå skumdannelse.</w:t>
      </w:r>
    </w:p>
    <w:p w14:paraId="17F64C5F" w14:textId="77777777" w:rsidR="001D2021" w:rsidRPr="00A942F6" w:rsidRDefault="001D2021" w:rsidP="00641834">
      <w:pPr>
        <w:rPr>
          <w:lang w:val="nb-NO"/>
        </w:rPr>
      </w:pPr>
    </w:p>
    <w:p w14:paraId="5EDCA829" w14:textId="0C27D0F3" w:rsidR="008877F8" w:rsidRPr="00A942F6" w:rsidRDefault="00923E68" w:rsidP="00641834">
      <w:pPr>
        <w:rPr>
          <w:lang w:val="nb-NO"/>
        </w:rPr>
      </w:pPr>
      <w:r w:rsidRPr="00A942F6">
        <w:rPr>
          <w:lang w:val="nb-NO"/>
        </w:rPr>
        <w:t>Avtozma</w:t>
      </w:r>
      <w:r w:rsidR="008877F8" w:rsidRPr="00A942F6">
        <w:rPr>
          <w:lang w:val="nb-NO"/>
        </w:rPr>
        <w:t xml:space="preserve"> er kun til engangsbruk.</w:t>
      </w:r>
    </w:p>
    <w:p w14:paraId="522C09F4" w14:textId="77777777" w:rsidR="008877F8" w:rsidRPr="00A942F6" w:rsidRDefault="008877F8" w:rsidP="00641834">
      <w:pPr>
        <w:rPr>
          <w:lang w:val="nb-NO"/>
        </w:rPr>
      </w:pPr>
      <w:r w:rsidRPr="00A942F6">
        <w:rPr>
          <w:lang w:val="nb-NO"/>
        </w:rPr>
        <w:t>Ikke anvendt legemiddel samt avfall bør destrueres i overensstemmelse med lokale krav.</w:t>
      </w:r>
    </w:p>
    <w:p w14:paraId="7E86C667" w14:textId="77777777" w:rsidR="008877F8" w:rsidRPr="00A942F6" w:rsidRDefault="008877F8" w:rsidP="00641834">
      <w:pPr>
        <w:rPr>
          <w:lang w:val="nb-NO"/>
        </w:rPr>
      </w:pPr>
    </w:p>
    <w:p w14:paraId="13766BC9" w14:textId="77777777" w:rsidR="008877F8" w:rsidRPr="00A942F6" w:rsidRDefault="008877F8" w:rsidP="00641834">
      <w:pPr>
        <w:rPr>
          <w:lang w:val="nb-NO"/>
        </w:rPr>
      </w:pPr>
    </w:p>
    <w:p w14:paraId="4111B5FE" w14:textId="77777777" w:rsidR="008877F8" w:rsidRPr="00A942F6" w:rsidRDefault="008877F8" w:rsidP="00641834">
      <w:pPr>
        <w:pStyle w:val="H1"/>
        <w:rPr>
          <w:lang w:val="nb-NO"/>
        </w:rPr>
      </w:pPr>
      <w:r w:rsidRPr="00A942F6">
        <w:rPr>
          <w:lang w:val="nb-NO"/>
        </w:rPr>
        <w:lastRenderedPageBreak/>
        <w:t>7.</w:t>
      </w:r>
      <w:r w:rsidRPr="00A942F6">
        <w:rPr>
          <w:lang w:val="nb-NO"/>
        </w:rPr>
        <w:tab/>
        <w:t>INNEHAVER AV MARKEDSFØRINGSTILLATELSEN</w:t>
      </w:r>
    </w:p>
    <w:p w14:paraId="5F7F9F0C" w14:textId="77777777" w:rsidR="002516FA" w:rsidRPr="00A942F6" w:rsidRDefault="002516FA" w:rsidP="00641834">
      <w:pPr>
        <w:pStyle w:val="H1"/>
        <w:rPr>
          <w:lang w:val="nb-NO"/>
        </w:rPr>
      </w:pPr>
    </w:p>
    <w:p w14:paraId="3E057E07" w14:textId="77777777" w:rsidR="005A0DAF" w:rsidRPr="00BD4D94" w:rsidRDefault="005A0DAF" w:rsidP="005A0DAF">
      <w:pPr>
        <w:keepNext/>
        <w:rPr>
          <w:lang w:val="nb-NO"/>
        </w:rPr>
      </w:pPr>
      <w:r w:rsidRPr="00BD4D94">
        <w:rPr>
          <w:lang w:val="nb-NO"/>
        </w:rPr>
        <w:t xml:space="preserve">Celltrion Healthcare Hungary Kft. </w:t>
      </w:r>
    </w:p>
    <w:p w14:paraId="73C0B73E" w14:textId="77777777" w:rsidR="005A0DAF" w:rsidRPr="00365386" w:rsidRDefault="005A0DAF" w:rsidP="005A0DAF">
      <w:pPr>
        <w:keepNext/>
      </w:pPr>
      <w:r w:rsidRPr="00365386">
        <w:t>1062 Budapest</w:t>
      </w:r>
    </w:p>
    <w:p w14:paraId="4342CA85" w14:textId="77777777" w:rsidR="005A0DAF" w:rsidRPr="00365386" w:rsidRDefault="005A0DAF" w:rsidP="005A0DAF">
      <w:pPr>
        <w:keepNext/>
      </w:pPr>
      <w:r w:rsidRPr="00365386">
        <w:t>Váci út 1</w:t>
      </w:r>
      <w:r w:rsidR="007D37ED" w:rsidRPr="00365386">
        <w:noBreakHyphen/>
      </w:r>
      <w:r w:rsidRPr="00365386">
        <w:t>3. WestEnd Office Building B torony</w:t>
      </w:r>
    </w:p>
    <w:p w14:paraId="74603A0A" w14:textId="77777777" w:rsidR="005A0DAF" w:rsidRPr="00BD4D94" w:rsidRDefault="005A0DAF" w:rsidP="005A0DAF">
      <w:pPr>
        <w:rPr>
          <w:lang w:val="nb-NO"/>
        </w:rPr>
      </w:pPr>
      <w:r w:rsidRPr="00BD4D94">
        <w:rPr>
          <w:lang w:val="nb-NO"/>
        </w:rPr>
        <w:t>Ungarn</w:t>
      </w:r>
    </w:p>
    <w:p w14:paraId="03D0649C" w14:textId="77777777" w:rsidR="008877F8" w:rsidRPr="00BD4D94" w:rsidRDefault="008877F8" w:rsidP="00641834">
      <w:pPr>
        <w:rPr>
          <w:lang w:val="nb-NO"/>
        </w:rPr>
      </w:pPr>
    </w:p>
    <w:p w14:paraId="6CB075A2" w14:textId="77777777" w:rsidR="002516FA" w:rsidRPr="00BD4D94" w:rsidRDefault="002516FA" w:rsidP="00641834">
      <w:pPr>
        <w:rPr>
          <w:lang w:val="nb-NO"/>
        </w:rPr>
      </w:pPr>
    </w:p>
    <w:p w14:paraId="489DB433" w14:textId="77777777" w:rsidR="008877F8" w:rsidRPr="00CD583D" w:rsidRDefault="008877F8" w:rsidP="00641834">
      <w:pPr>
        <w:pStyle w:val="H1"/>
        <w:rPr>
          <w:lang w:val="nb-NO"/>
        </w:rPr>
      </w:pPr>
      <w:r w:rsidRPr="00CD583D">
        <w:rPr>
          <w:lang w:val="nb-NO"/>
        </w:rPr>
        <w:t>8.</w:t>
      </w:r>
      <w:r w:rsidRPr="00CD583D">
        <w:rPr>
          <w:lang w:val="nb-NO"/>
        </w:rPr>
        <w:tab/>
        <w:t>MARKEDSFØRINGSTILLATELSESNUMMER (NUMRE)</w:t>
      </w:r>
    </w:p>
    <w:p w14:paraId="6516D52D" w14:textId="77777777" w:rsidR="002516FA" w:rsidRPr="00CD583D" w:rsidRDefault="002516FA" w:rsidP="00641834">
      <w:pPr>
        <w:pStyle w:val="H1"/>
        <w:rPr>
          <w:lang w:val="nb-NO"/>
        </w:rPr>
      </w:pPr>
    </w:p>
    <w:p w14:paraId="0FC3AB3D" w14:textId="77777777" w:rsidR="00B66B01" w:rsidRPr="002419C8" w:rsidRDefault="00B66B01" w:rsidP="00B66B01">
      <w:pPr>
        <w:rPr>
          <w:lang w:val="sv-SE"/>
        </w:rPr>
      </w:pPr>
      <w:r w:rsidRPr="002419C8">
        <w:rPr>
          <w:lang w:val="sv-SE"/>
        </w:rPr>
        <w:t>EU/</w:t>
      </w:r>
      <w:r w:rsidRPr="002419C8">
        <w:rPr>
          <w:rFonts w:eastAsia="Times New Roman"/>
          <w:spacing w:val="-1"/>
          <w:lang w:val="sv-SE"/>
        </w:rPr>
        <w:t>1/24/1896/001</w:t>
      </w:r>
    </w:p>
    <w:p w14:paraId="608CF4B0" w14:textId="77777777" w:rsidR="00B66B01" w:rsidRPr="002419C8" w:rsidRDefault="00B66B01" w:rsidP="00B66B01">
      <w:pPr>
        <w:rPr>
          <w:lang w:val="sv-SE"/>
        </w:rPr>
      </w:pPr>
      <w:r w:rsidRPr="002419C8">
        <w:rPr>
          <w:lang w:val="sv-SE"/>
        </w:rPr>
        <w:t>EU/</w:t>
      </w:r>
      <w:r w:rsidRPr="002419C8">
        <w:rPr>
          <w:rFonts w:eastAsia="Times New Roman"/>
          <w:spacing w:val="-1"/>
          <w:lang w:val="sv-SE"/>
        </w:rPr>
        <w:t>1/24/1896/00</w:t>
      </w:r>
      <w:r w:rsidRPr="002419C8">
        <w:rPr>
          <w:rFonts w:eastAsia="맑은 고딕" w:hint="eastAsia"/>
          <w:spacing w:val="-1"/>
          <w:lang w:val="sv-SE" w:eastAsia="ko-KR"/>
        </w:rPr>
        <w:t>2</w:t>
      </w:r>
    </w:p>
    <w:p w14:paraId="1A93E040" w14:textId="77777777" w:rsidR="00B66B01" w:rsidRPr="002419C8" w:rsidRDefault="00B66B01" w:rsidP="00B66B01">
      <w:pPr>
        <w:rPr>
          <w:lang w:val="sv-SE"/>
        </w:rPr>
      </w:pPr>
      <w:r w:rsidRPr="002419C8">
        <w:rPr>
          <w:lang w:val="sv-SE"/>
        </w:rPr>
        <w:t>EU/</w:t>
      </w:r>
      <w:r w:rsidRPr="002419C8">
        <w:rPr>
          <w:rFonts w:eastAsia="Times New Roman"/>
          <w:spacing w:val="-1"/>
          <w:lang w:val="sv-SE"/>
        </w:rPr>
        <w:t>1/24/1896/00</w:t>
      </w:r>
      <w:r w:rsidRPr="002419C8">
        <w:rPr>
          <w:rFonts w:eastAsia="맑은 고딕" w:hint="eastAsia"/>
          <w:spacing w:val="-1"/>
          <w:lang w:val="sv-SE" w:eastAsia="ko-KR"/>
        </w:rPr>
        <w:t>3</w:t>
      </w:r>
    </w:p>
    <w:p w14:paraId="360EC8B3" w14:textId="77777777" w:rsidR="00B66B01" w:rsidRPr="002419C8" w:rsidRDefault="00B66B01" w:rsidP="00B66B01">
      <w:pPr>
        <w:rPr>
          <w:lang w:val="sv-SE"/>
        </w:rPr>
      </w:pPr>
      <w:r w:rsidRPr="002419C8">
        <w:rPr>
          <w:lang w:val="sv-SE"/>
        </w:rPr>
        <w:t>EU/</w:t>
      </w:r>
      <w:r w:rsidRPr="002419C8">
        <w:rPr>
          <w:rFonts w:eastAsia="Times New Roman"/>
          <w:spacing w:val="-1"/>
          <w:lang w:val="sv-SE"/>
        </w:rPr>
        <w:t>1/24/1896/00</w:t>
      </w:r>
      <w:r w:rsidRPr="002419C8">
        <w:rPr>
          <w:rFonts w:eastAsia="맑은 고딕" w:hint="eastAsia"/>
          <w:spacing w:val="-1"/>
          <w:lang w:val="sv-SE" w:eastAsia="ko-KR"/>
        </w:rPr>
        <w:t>4</w:t>
      </w:r>
    </w:p>
    <w:p w14:paraId="70363F82" w14:textId="77777777" w:rsidR="00B66B01" w:rsidRPr="002419C8" w:rsidRDefault="00B66B01" w:rsidP="00B66B01">
      <w:pPr>
        <w:rPr>
          <w:lang w:val="sv-SE"/>
        </w:rPr>
      </w:pPr>
      <w:r w:rsidRPr="002419C8">
        <w:rPr>
          <w:lang w:val="sv-SE"/>
        </w:rPr>
        <w:t>EU/</w:t>
      </w:r>
      <w:r w:rsidRPr="002419C8">
        <w:rPr>
          <w:rFonts w:eastAsia="Times New Roman"/>
          <w:spacing w:val="-1"/>
          <w:lang w:val="sv-SE"/>
        </w:rPr>
        <w:t>1/24/1896/00</w:t>
      </w:r>
      <w:r w:rsidRPr="002419C8">
        <w:rPr>
          <w:rFonts w:eastAsia="맑은 고딕" w:hint="eastAsia"/>
          <w:spacing w:val="-1"/>
          <w:lang w:val="sv-SE" w:eastAsia="ko-KR"/>
        </w:rPr>
        <w:t>5</w:t>
      </w:r>
    </w:p>
    <w:p w14:paraId="622D1530" w14:textId="4139C0C5" w:rsidR="00B66B01" w:rsidRPr="00A942F6" w:rsidRDefault="00B66B01" w:rsidP="00641834">
      <w:pPr>
        <w:rPr>
          <w:lang w:val="nb-NO"/>
        </w:rPr>
      </w:pPr>
      <w:r w:rsidRPr="00CD583D">
        <w:rPr>
          <w:lang w:val="nb-NO"/>
        </w:rPr>
        <w:t>EU/</w:t>
      </w:r>
      <w:r w:rsidRPr="00CD583D">
        <w:rPr>
          <w:rFonts w:eastAsia="Times New Roman"/>
          <w:spacing w:val="-1"/>
          <w:lang w:val="nb-NO"/>
        </w:rPr>
        <w:t>1/24/1896/006</w:t>
      </w:r>
    </w:p>
    <w:p w14:paraId="56E4DEA6" w14:textId="77777777" w:rsidR="008877F8" w:rsidRPr="00A942F6" w:rsidRDefault="008877F8" w:rsidP="00641834">
      <w:pPr>
        <w:rPr>
          <w:lang w:val="nb-NO"/>
        </w:rPr>
      </w:pPr>
    </w:p>
    <w:p w14:paraId="253E7520" w14:textId="77777777" w:rsidR="008877F8" w:rsidRPr="00A942F6" w:rsidRDefault="008877F8" w:rsidP="00641834">
      <w:pPr>
        <w:rPr>
          <w:lang w:val="nb-NO"/>
        </w:rPr>
      </w:pPr>
    </w:p>
    <w:p w14:paraId="682018E6" w14:textId="77777777" w:rsidR="008877F8" w:rsidRPr="00A942F6" w:rsidRDefault="008877F8" w:rsidP="00641834">
      <w:pPr>
        <w:pStyle w:val="H1"/>
        <w:rPr>
          <w:lang w:val="nb-NO"/>
        </w:rPr>
      </w:pPr>
      <w:r w:rsidRPr="00A942F6">
        <w:rPr>
          <w:lang w:val="nb-NO"/>
        </w:rPr>
        <w:t>9.</w:t>
      </w:r>
      <w:r w:rsidRPr="00A942F6">
        <w:rPr>
          <w:lang w:val="nb-NO"/>
        </w:rPr>
        <w:tab/>
        <w:t>DATO FOR FØRSTE MARKEDSFØRINGSTILLATELSE / SISTE FORNYELSE</w:t>
      </w:r>
    </w:p>
    <w:p w14:paraId="32682C50" w14:textId="77777777" w:rsidR="00426296" w:rsidRPr="00A942F6" w:rsidRDefault="00426296" w:rsidP="00641834">
      <w:pPr>
        <w:rPr>
          <w:lang w:val="nb-NO"/>
        </w:rPr>
      </w:pPr>
    </w:p>
    <w:p w14:paraId="6FFB3F39" w14:textId="7E460BFC" w:rsidR="008877F8" w:rsidRPr="00A942F6" w:rsidRDefault="008877F8" w:rsidP="005A0DAF">
      <w:pPr>
        <w:rPr>
          <w:lang w:val="nb-NO"/>
        </w:rPr>
      </w:pPr>
      <w:r w:rsidRPr="00A942F6">
        <w:rPr>
          <w:lang w:val="nb-NO"/>
        </w:rPr>
        <w:t>Dato for første markedsfør</w:t>
      </w:r>
      <w:r w:rsidR="001D2021" w:rsidRPr="00A942F6">
        <w:rPr>
          <w:lang w:val="nb-NO"/>
        </w:rPr>
        <w:t xml:space="preserve">ingstillatelse: </w:t>
      </w:r>
      <w:r w:rsidR="004C38D0">
        <w:rPr>
          <w:rFonts w:eastAsia="맑은 고딕" w:hint="eastAsia"/>
          <w:lang w:val="nb-NO" w:eastAsia="ko-KR"/>
        </w:rPr>
        <w:t xml:space="preserve">14 </w:t>
      </w:r>
      <w:r w:rsidR="004E4CE8" w:rsidRPr="00BD4D94">
        <w:rPr>
          <w:rFonts w:eastAsia="SimSun"/>
          <w:lang w:val="nb-NO"/>
        </w:rPr>
        <w:t>februar</w:t>
      </w:r>
      <w:r w:rsidR="004E4CE8" w:rsidRPr="00BD4D94">
        <w:rPr>
          <w:rFonts w:eastAsia="맑은 고딕"/>
          <w:lang w:val="nb-NO" w:eastAsia="ko-KR"/>
        </w:rPr>
        <w:t xml:space="preserve"> 2025</w:t>
      </w:r>
    </w:p>
    <w:p w14:paraId="14B55111" w14:textId="77777777" w:rsidR="008877F8" w:rsidRPr="00A942F6" w:rsidRDefault="008877F8" w:rsidP="00641834">
      <w:pPr>
        <w:rPr>
          <w:lang w:val="nb-NO"/>
        </w:rPr>
      </w:pPr>
    </w:p>
    <w:p w14:paraId="0AF3A743" w14:textId="77777777" w:rsidR="008877F8" w:rsidRPr="00A942F6" w:rsidRDefault="008877F8" w:rsidP="00641834">
      <w:pPr>
        <w:rPr>
          <w:lang w:val="nb-NO"/>
        </w:rPr>
      </w:pPr>
    </w:p>
    <w:p w14:paraId="40645DA7" w14:textId="77777777" w:rsidR="008877F8" w:rsidRPr="00A942F6" w:rsidRDefault="008877F8" w:rsidP="00641834">
      <w:pPr>
        <w:pStyle w:val="H1"/>
        <w:rPr>
          <w:lang w:val="nb-NO"/>
        </w:rPr>
      </w:pPr>
      <w:r w:rsidRPr="00A942F6">
        <w:rPr>
          <w:lang w:val="nb-NO"/>
        </w:rPr>
        <w:t>10.</w:t>
      </w:r>
      <w:r w:rsidRPr="00A942F6">
        <w:rPr>
          <w:lang w:val="nb-NO"/>
        </w:rPr>
        <w:tab/>
        <w:t>OPPDATERINGSDATO</w:t>
      </w:r>
    </w:p>
    <w:p w14:paraId="65699EDD" w14:textId="77777777" w:rsidR="00426296" w:rsidRPr="00A942F6" w:rsidRDefault="00426296" w:rsidP="00641834">
      <w:pPr>
        <w:pStyle w:val="H1"/>
        <w:rPr>
          <w:lang w:val="nb-NO"/>
        </w:rPr>
      </w:pPr>
    </w:p>
    <w:p w14:paraId="20008444" w14:textId="4FD549B9" w:rsidR="008877F8" w:rsidRPr="00A942F6" w:rsidRDefault="008877F8" w:rsidP="00641834">
      <w:pPr>
        <w:rPr>
          <w:lang w:val="nb-NO"/>
        </w:rPr>
      </w:pPr>
      <w:r w:rsidRPr="00A942F6">
        <w:rPr>
          <w:lang w:val="nb-NO"/>
        </w:rPr>
        <w:t xml:space="preserve">Detaljert informasjon om dette legemidlet er tilgjengelig på nettstedet til Det europeiske legemiddelkontoret (the European Medicines Agency): </w:t>
      </w:r>
      <w:hyperlink r:id="rId14" w:history="1">
        <w:r w:rsidR="00815D31">
          <w:rPr>
            <w:rStyle w:val="a6"/>
            <w:color w:val="0000FF"/>
            <w:lang w:val="nb-NO"/>
          </w:rPr>
          <w:t>https:</w:t>
        </w:r>
        <w:r w:rsidRPr="00A942F6">
          <w:rPr>
            <w:rStyle w:val="a6"/>
            <w:color w:val="0000FF"/>
            <w:lang w:val="nb-NO"/>
          </w:rPr>
          <w:t>//www.ema.europa.eu</w:t>
        </w:r>
      </w:hyperlink>
      <w:r w:rsidRPr="00A942F6">
        <w:rPr>
          <w:lang w:val="nb-NO"/>
        </w:rPr>
        <w:t>.</w:t>
      </w:r>
    </w:p>
    <w:p w14:paraId="4EDEE178" w14:textId="6F724929" w:rsidR="00130B24" w:rsidRPr="00A942F6" w:rsidRDefault="00130B24" w:rsidP="00641834">
      <w:pPr>
        <w:rPr>
          <w:lang w:val="nb-NO"/>
        </w:rPr>
      </w:pPr>
      <w:r w:rsidRPr="00A942F6">
        <w:rPr>
          <w:lang w:val="nb-NO"/>
        </w:rPr>
        <w:br w:type="page"/>
      </w:r>
      <w:r w:rsidR="00D94A8B">
        <w:rPr>
          <w:noProof/>
          <w:lang w:eastAsia="ko-KR"/>
        </w:rPr>
        <w:lastRenderedPageBreak/>
        <w:drawing>
          <wp:inline distT="0" distB="0" distL="0" distR="0" wp14:anchorId="67782B5A" wp14:editId="187C310C">
            <wp:extent cx="207010" cy="170815"/>
            <wp:effectExtent l="0" t="0" r="0" b="0"/>
            <wp:docPr id="2" name="Bilde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70815"/>
                    </a:xfrm>
                    <a:prstGeom prst="rect">
                      <a:avLst/>
                    </a:prstGeom>
                    <a:noFill/>
                    <a:ln>
                      <a:noFill/>
                    </a:ln>
                  </pic:spPr>
                </pic:pic>
              </a:graphicData>
            </a:graphic>
          </wp:inline>
        </w:drawing>
      </w:r>
      <w:r w:rsidR="002B69E7" w:rsidRPr="00A942F6">
        <w:rPr>
          <w:lang w:val="nb-NO"/>
        </w:rPr>
        <w:t>Dette legemidlet er underlagt særlig overvåking for å oppdage ny sikkerhetsinformasjon så raskt som mulig. Helsepersonell oppfordres til å melde enhver mistenkt bivirkning. Se pkt. 4.8 for informasjon om bivirkningsrapportering.</w:t>
      </w:r>
    </w:p>
    <w:p w14:paraId="577C9E58" w14:textId="77777777" w:rsidR="002B69E7" w:rsidRPr="00A942F6" w:rsidRDefault="002B69E7" w:rsidP="00641834">
      <w:pPr>
        <w:pStyle w:val="H1"/>
        <w:rPr>
          <w:b w:val="0"/>
          <w:bCs/>
          <w:lang w:val="nb-NO"/>
        </w:rPr>
      </w:pPr>
    </w:p>
    <w:p w14:paraId="62D3896E" w14:textId="77777777" w:rsidR="002B69E7" w:rsidRPr="00A942F6" w:rsidRDefault="002B69E7" w:rsidP="00641834">
      <w:pPr>
        <w:pStyle w:val="H1"/>
        <w:rPr>
          <w:b w:val="0"/>
          <w:bCs/>
          <w:lang w:val="nb-NO"/>
        </w:rPr>
      </w:pPr>
    </w:p>
    <w:p w14:paraId="684C3DA4" w14:textId="77777777" w:rsidR="008877F8" w:rsidRPr="00A942F6" w:rsidRDefault="008877F8" w:rsidP="00641834">
      <w:pPr>
        <w:pStyle w:val="H1"/>
        <w:rPr>
          <w:lang w:val="nb-NO"/>
        </w:rPr>
      </w:pPr>
      <w:r w:rsidRPr="00A942F6">
        <w:rPr>
          <w:lang w:val="nb-NO"/>
        </w:rPr>
        <w:t>1.</w:t>
      </w:r>
      <w:r w:rsidRPr="00A942F6">
        <w:rPr>
          <w:lang w:val="nb-NO"/>
        </w:rPr>
        <w:tab/>
        <w:t>LEGEMIDLETS NAVN</w:t>
      </w:r>
    </w:p>
    <w:p w14:paraId="4FE5A002" w14:textId="77777777" w:rsidR="00426296" w:rsidRPr="00A942F6" w:rsidRDefault="00426296" w:rsidP="00641834">
      <w:pPr>
        <w:pStyle w:val="H1"/>
        <w:rPr>
          <w:lang w:val="nb-NO"/>
        </w:rPr>
      </w:pPr>
    </w:p>
    <w:p w14:paraId="373847FD" w14:textId="0703B27A" w:rsidR="008877F8" w:rsidRPr="00A942F6" w:rsidRDefault="00923E68" w:rsidP="00641834">
      <w:pPr>
        <w:rPr>
          <w:lang w:val="nb-NO"/>
        </w:rPr>
      </w:pPr>
      <w:r w:rsidRPr="00A942F6">
        <w:rPr>
          <w:lang w:val="nb-NO"/>
        </w:rPr>
        <w:t>Avtozma</w:t>
      </w:r>
      <w:r w:rsidR="008877F8" w:rsidRPr="00A942F6">
        <w:rPr>
          <w:lang w:val="nb-NO"/>
        </w:rPr>
        <w:t xml:space="preserve"> 162 mg injeksjonsvæske, oppløsning i ferdigfylt sprøyte.</w:t>
      </w:r>
    </w:p>
    <w:p w14:paraId="052E97E5" w14:textId="77777777" w:rsidR="008877F8" w:rsidRPr="00A942F6" w:rsidRDefault="008877F8" w:rsidP="00641834">
      <w:pPr>
        <w:rPr>
          <w:lang w:val="nb-NO"/>
        </w:rPr>
      </w:pPr>
    </w:p>
    <w:p w14:paraId="6785DDA4" w14:textId="77777777" w:rsidR="008877F8" w:rsidRPr="00A942F6" w:rsidRDefault="008877F8" w:rsidP="00641834">
      <w:pPr>
        <w:rPr>
          <w:lang w:val="nb-NO"/>
        </w:rPr>
      </w:pPr>
    </w:p>
    <w:p w14:paraId="1594D84A" w14:textId="77777777" w:rsidR="008877F8" w:rsidRPr="00A942F6" w:rsidRDefault="008877F8" w:rsidP="00641834">
      <w:pPr>
        <w:pStyle w:val="H1"/>
        <w:rPr>
          <w:lang w:val="nb-NO"/>
        </w:rPr>
      </w:pPr>
      <w:r w:rsidRPr="00A942F6">
        <w:rPr>
          <w:lang w:val="nb-NO"/>
        </w:rPr>
        <w:t>2.</w:t>
      </w:r>
      <w:r w:rsidRPr="00A942F6">
        <w:rPr>
          <w:lang w:val="nb-NO"/>
        </w:rPr>
        <w:tab/>
        <w:t>KVALITATIV OG KVANTITATIV SAMMENSETNING</w:t>
      </w:r>
    </w:p>
    <w:p w14:paraId="0A3A3E17" w14:textId="77777777" w:rsidR="00426296" w:rsidRPr="00A942F6" w:rsidRDefault="00426296" w:rsidP="00641834">
      <w:pPr>
        <w:rPr>
          <w:lang w:val="nb-NO"/>
        </w:rPr>
      </w:pPr>
    </w:p>
    <w:p w14:paraId="776CBC76" w14:textId="77777777" w:rsidR="008877F8" w:rsidRPr="00A942F6" w:rsidRDefault="008877F8" w:rsidP="00641834">
      <w:pPr>
        <w:rPr>
          <w:lang w:val="nb-NO"/>
        </w:rPr>
      </w:pPr>
      <w:r w:rsidRPr="00A942F6">
        <w:rPr>
          <w:lang w:val="nb-NO"/>
        </w:rPr>
        <w:t>Hver ferdigfylte sprøyte inneholder 162 mg tocilizumab i 0,9 ml.</w:t>
      </w:r>
    </w:p>
    <w:p w14:paraId="2186FF58" w14:textId="77777777" w:rsidR="008877F8" w:rsidRPr="00A942F6" w:rsidRDefault="008877F8" w:rsidP="00641834">
      <w:pPr>
        <w:rPr>
          <w:lang w:val="nb-NO"/>
        </w:rPr>
      </w:pPr>
    </w:p>
    <w:p w14:paraId="52FE8BD7" w14:textId="77777777" w:rsidR="008877F8" w:rsidRDefault="008877F8" w:rsidP="00641834">
      <w:pPr>
        <w:rPr>
          <w:lang w:val="nb-NO"/>
        </w:rPr>
      </w:pPr>
      <w:r w:rsidRPr="00A942F6">
        <w:rPr>
          <w:lang w:val="nb-NO"/>
        </w:rPr>
        <w:t>Tocilizumab er et rekombinant humanisert, anti-humant monoklonalt antistoff i immunoglobulin G1 (IgG1) sub-klassen mot løselige og membranbundne interleukin 6 reseptorer.</w:t>
      </w:r>
    </w:p>
    <w:p w14:paraId="70D8251E" w14:textId="77777777" w:rsidR="00B66B01" w:rsidRDefault="00B66B01" w:rsidP="00641834">
      <w:pPr>
        <w:rPr>
          <w:lang w:val="nb-NO"/>
        </w:rPr>
      </w:pPr>
    </w:p>
    <w:p w14:paraId="1876290F" w14:textId="5A4BF955" w:rsidR="00B66B01" w:rsidRPr="009B40A5" w:rsidRDefault="00B66B01" w:rsidP="00641834">
      <w:pPr>
        <w:rPr>
          <w:u w:val="single"/>
          <w:lang w:val="nb-NO"/>
        </w:rPr>
      </w:pPr>
      <w:r w:rsidRPr="009B40A5">
        <w:rPr>
          <w:u w:val="single"/>
          <w:lang w:val="nb-NO"/>
        </w:rPr>
        <w:t>Hjelpestoffer med kjent effekt:</w:t>
      </w:r>
    </w:p>
    <w:p w14:paraId="7C07C65B" w14:textId="4DC16EA7" w:rsidR="00B66B01" w:rsidRPr="009B40A5" w:rsidRDefault="00B66B01" w:rsidP="00641834">
      <w:pPr>
        <w:rPr>
          <w:i/>
          <w:iCs/>
          <w:lang w:val="nb-NO"/>
        </w:rPr>
      </w:pPr>
      <w:r w:rsidRPr="009B40A5">
        <w:rPr>
          <w:i/>
          <w:iCs/>
          <w:lang w:val="nb-NO"/>
        </w:rPr>
        <w:t>Polysorbat</w:t>
      </w:r>
    </w:p>
    <w:p w14:paraId="61B87061" w14:textId="0B87A006" w:rsidR="00B66B01" w:rsidRPr="00A942F6" w:rsidRDefault="00B66B01" w:rsidP="00641834">
      <w:pPr>
        <w:rPr>
          <w:lang w:val="nb-NO"/>
        </w:rPr>
      </w:pPr>
      <w:r>
        <w:rPr>
          <w:lang w:val="nb-NO"/>
        </w:rPr>
        <w:t>Hver f</w:t>
      </w:r>
      <w:r w:rsidR="00E17B0A">
        <w:rPr>
          <w:lang w:val="nb-NO"/>
        </w:rPr>
        <w:t>erdig</w:t>
      </w:r>
      <w:r>
        <w:rPr>
          <w:lang w:val="nb-NO"/>
        </w:rPr>
        <w:t>fylte sprøyte med 162 mg inneholder 0,2 mg polysorbat</w:t>
      </w:r>
      <w:r w:rsidR="009A4C7C">
        <w:rPr>
          <w:rFonts w:eastAsia="맑은 고딕" w:hint="eastAsia"/>
          <w:lang w:val="nb-NO" w:eastAsia="ko-KR"/>
        </w:rPr>
        <w:t xml:space="preserve"> 80</w:t>
      </w:r>
      <w:r>
        <w:rPr>
          <w:lang w:val="nb-NO"/>
        </w:rPr>
        <w:t>.</w:t>
      </w:r>
    </w:p>
    <w:p w14:paraId="0A478BC7" w14:textId="77777777" w:rsidR="001D2021" w:rsidRPr="00A942F6" w:rsidRDefault="001D2021" w:rsidP="00641834">
      <w:pPr>
        <w:rPr>
          <w:lang w:val="nb-NO"/>
        </w:rPr>
      </w:pPr>
    </w:p>
    <w:p w14:paraId="75CA0E82" w14:textId="77777777" w:rsidR="008877F8" w:rsidRPr="00A942F6" w:rsidRDefault="008877F8" w:rsidP="00641834">
      <w:pPr>
        <w:rPr>
          <w:lang w:val="nb-NO"/>
        </w:rPr>
      </w:pPr>
      <w:r w:rsidRPr="00A942F6">
        <w:rPr>
          <w:lang w:val="nb-NO"/>
        </w:rPr>
        <w:t>For fullstendig liste over hjelpestoffer, se pkt. 6.1.</w:t>
      </w:r>
    </w:p>
    <w:p w14:paraId="639B7A6D" w14:textId="77777777" w:rsidR="008877F8" w:rsidRPr="00A942F6" w:rsidRDefault="008877F8" w:rsidP="00641834">
      <w:pPr>
        <w:rPr>
          <w:lang w:val="nb-NO"/>
        </w:rPr>
      </w:pPr>
    </w:p>
    <w:p w14:paraId="5EB48256" w14:textId="77777777" w:rsidR="008877F8" w:rsidRPr="00A942F6" w:rsidRDefault="008877F8" w:rsidP="00641834">
      <w:pPr>
        <w:rPr>
          <w:lang w:val="nb-NO"/>
        </w:rPr>
      </w:pPr>
    </w:p>
    <w:p w14:paraId="4DF8F5CF" w14:textId="77777777" w:rsidR="008877F8" w:rsidRPr="00A942F6" w:rsidRDefault="008877F8" w:rsidP="00641834">
      <w:pPr>
        <w:pStyle w:val="H1"/>
        <w:rPr>
          <w:lang w:val="nb-NO"/>
        </w:rPr>
      </w:pPr>
      <w:r w:rsidRPr="00A942F6">
        <w:rPr>
          <w:lang w:val="nb-NO"/>
        </w:rPr>
        <w:t>3.</w:t>
      </w:r>
      <w:r w:rsidRPr="00A942F6">
        <w:rPr>
          <w:lang w:val="nb-NO"/>
        </w:rPr>
        <w:tab/>
        <w:t>LEGEMIDDELFORM</w:t>
      </w:r>
    </w:p>
    <w:p w14:paraId="62FAD47F" w14:textId="77777777" w:rsidR="00426296" w:rsidRPr="00A942F6" w:rsidRDefault="00426296" w:rsidP="00641834">
      <w:pPr>
        <w:rPr>
          <w:lang w:val="nb-NO"/>
        </w:rPr>
      </w:pPr>
    </w:p>
    <w:p w14:paraId="4BB70538" w14:textId="77777777" w:rsidR="001D2021" w:rsidRPr="00A942F6" w:rsidRDefault="008877F8" w:rsidP="00641834">
      <w:pPr>
        <w:rPr>
          <w:lang w:val="nb-NO"/>
        </w:rPr>
      </w:pPr>
      <w:r w:rsidRPr="00A942F6">
        <w:rPr>
          <w:lang w:val="nb-NO"/>
        </w:rPr>
        <w:t>Injeksjonsvæske, oppløsning i ferdigfylt spr</w:t>
      </w:r>
      <w:r w:rsidR="001D2021" w:rsidRPr="00A942F6">
        <w:rPr>
          <w:lang w:val="nb-NO"/>
        </w:rPr>
        <w:t>øyte.</w:t>
      </w:r>
    </w:p>
    <w:p w14:paraId="47502390" w14:textId="77777777" w:rsidR="001D2021" w:rsidRPr="00A942F6" w:rsidRDefault="001D2021" w:rsidP="00641834">
      <w:pPr>
        <w:rPr>
          <w:lang w:val="nb-NO"/>
        </w:rPr>
      </w:pPr>
    </w:p>
    <w:p w14:paraId="68712C91" w14:textId="33E2B83B" w:rsidR="008877F8" w:rsidRPr="00A942F6" w:rsidRDefault="002B69E7" w:rsidP="00641834">
      <w:pPr>
        <w:rPr>
          <w:lang w:val="nb-NO"/>
        </w:rPr>
      </w:pPr>
      <w:r w:rsidRPr="00A942F6">
        <w:rPr>
          <w:lang w:val="nb-NO"/>
        </w:rPr>
        <w:t xml:space="preserve">Klar til lett opaliserende, fargeløs til gul </w:t>
      </w:r>
      <w:r w:rsidR="00DA173C" w:rsidRPr="00A942F6">
        <w:rPr>
          <w:lang w:val="nb-NO"/>
        </w:rPr>
        <w:t>opp</w:t>
      </w:r>
      <w:r w:rsidRPr="00A942F6">
        <w:rPr>
          <w:lang w:val="nb-NO"/>
        </w:rPr>
        <w:t>løsning med pH på 5,7–6,3 og en osmolalitet på 280–340 mmol/kg</w:t>
      </w:r>
      <w:r w:rsidR="008877F8" w:rsidRPr="00A942F6">
        <w:rPr>
          <w:lang w:val="nb-NO"/>
        </w:rPr>
        <w:t>.</w:t>
      </w:r>
    </w:p>
    <w:p w14:paraId="58C7AE09" w14:textId="77777777" w:rsidR="008877F8" w:rsidRPr="00A942F6" w:rsidRDefault="008877F8" w:rsidP="00641834">
      <w:pPr>
        <w:rPr>
          <w:lang w:val="nb-NO"/>
        </w:rPr>
      </w:pPr>
    </w:p>
    <w:p w14:paraId="7F6C76AB" w14:textId="77777777" w:rsidR="00426296" w:rsidRPr="00A942F6" w:rsidRDefault="00426296" w:rsidP="00641834">
      <w:pPr>
        <w:rPr>
          <w:lang w:val="nb-NO"/>
        </w:rPr>
      </w:pPr>
    </w:p>
    <w:p w14:paraId="7F11716F" w14:textId="77777777" w:rsidR="008877F8" w:rsidRPr="00A942F6" w:rsidRDefault="008877F8" w:rsidP="00641834">
      <w:pPr>
        <w:pStyle w:val="H1"/>
        <w:rPr>
          <w:lang w:val="nb-NO"/>
        </w:rPr>
      </w:pPr>
      <w:r w:rsidRPr="00A942F6">
        <w:rPr>
          <w:lang w:val="nb-NO"/>
        </w:rPr>
        <w:t>4.</w:t>
      </w:r>
      <w:r w:rsidRPr="00A942F6">
        <w:rPr>
          <w:lang w:val="nb-NO"/>
        </w:rPr>
        <w:tab/>
        <w:t>KLINISKE OPPLYSNINGER</w:t>
      </w:r>
    </w:p>
    <w:p w14:paraId="5B399E24" w14:textId="77777777" w:rsidR="008877F8" w:rsidRPr="00A942F6" w:rsidRDefault="008877F8" w:rsidP="00641834">
      <w:pPr>
        <w:rPr>
          <w:lang w:val="nb-NO"/>
        </w:rPr>
      </w:pPr>
    </w:p>
    <w:p w14:paraId="4C74BDCB" w14:textId="77777777" w:rsidR="008877F8" w:rsidRPr="00A942F6" w:rsidRDefault="008877F8" w:rsidP="00641834">
      <w:pPr>
        <w:pStyle w:val="H2"/>
        <w:rPr>
          <w:lang w:val="nb-NO"/>
        </w:rPr>
      </w:pPr>
      <w:r w:rsidRPr="00A942F6">
        <w:rPr>
          <w:lang w:val="nb-NO"/>
        </w:rPr>
        <w:t>4.1</w:t>
      </w:r>
      <w:r w:rsidRPr="00A942F6">
        <w:rPr>
          <w:lang w:val="nb-NO"/>
        </w:rPr>
        <w:tab/>
        <w:t>Indikasjoner</w:t>
      </w:r>
    </w:p>
    <w:p w14:paraId="35A1F21C" w14:textId="77777777" w:rsidR="00426296" w:rsidRDefault="00426296" w:rsidP="00641834">
      <w:pPr>
        <w:pStyle w:val="H2"/>
        <w:rPr>
          <w:rFonts w:eastAsia="맑은 고딕"/>
          <w:lang w:val="nb-NO" w:eastAsia="ko-KR"/>
        </w:rPr>
      </w:pPr>
    </w:p>
    <w:p w14:paraId="0BEE432A" w14:textId="7305D907" w:rsidR="009A4C7C" w:rsidRPr="00BD4D94" w:rsidRDefault="009A4C7C" w:rsidP="00641834">
      <w:pPr>
        <w:pStyle w:val="H2"/>
        <w:rPr>
          <w:rFonts w:eastAsia="맑은 고딕"/>
          <w:b w:val="0"/>
          <w:bCs/>
          <w:u w:val="single"/>
          <w:lang w:val="nb-NO" w:eastAsia="ko-KR"/>
        </w:rPr>
      </w:pPr>
      <w:r w:rsidRPr="00BD4D94">
        <w:rPr>
          <w:rFonts w:eastAsia="맑은 고딕"/>
          <w:b w:val="0"/>
          <w:bCs/>
          <w:u w:val="single"/>
          <w:lang w:val="nb-NO" w:eastAsia="ko-KR"/>
        </w:rPr>
        <w:t>Revmatoid artritt (RA)</w:t>
      </w:r>
    </w:p>
    <w:p w14:paraId="20D1DC17" w14:textId="1BC274F8" w:rsidR="008877F8" w:rsidRPr="00A942F6" w:rsidRDefault="00923E68" w:rsidP="00641834">
      <w:pPr>
        <w:rPr>
          <w:lang w:val="nb-NO"/>
        </w:rPr>
      </w:pPr>
      <w:r w:rsidRPr="00A942F6">
        <w:rPr>
          <w:lang w:val="nb-NO"/>
        </w:rPr>
        <w:t>Avtozma</w:t>
      </w:r>
      <w:r w:rsidR="008877F8" w:rsidRPr="00A942F6">
        <w:rPr>
          <w:lang w:val="nb-NO"/>
        </w:rPr>
        <w:t>, i kombinasjon med metotreksat, er indisert til</w:t>
      </w:r>
    </w:p>
    <w:p w14:paraId="2DF50F83" w14:textId="77777777" w:rsidR="008877F8" w:rsidRPr="00A942F6" w:rsidRDefault="008877F8" w:rsidP="00641834">
      <w:pPr>
        <w:pStyle w:val="BulletInd1cm1cm"/>
        <w:rPr>
          <w:lang w:val="nb-NO"/>
        </w:rPr>
      </w:pPr>
      <w:r w:rsidRPr="00A942F6">
        <w:rPr>
          <w:lang w:val="nb-NO"/>
        </w:rPr>
        <w:t>behandling av alvorlig, aktiv og progressiv revmatoid artritt (RA) hos voksne som ikke tidligere er behandlet med metotreksat.</w:t>
      </w:r>
    </w:p>
    <w:p w14:paraId="2D60CE10" w14:textId="77777777" w:rsidR="008877F8" w:rsidRPr="00A942F6" w:rsidRDefault="008877F8" w:rsidP="00641834">
      <w:pPr>
        <w:pStyle w:val="BulletInd1cm1cm"/>
        <w:rPr>
          <w:lang w:val="nb-NO"/>
        </w:rPr>
      </w:pPr>
      <w:r w:rsidRPr="00A942F6">
        <w:rPr>
          <w:lang w:val="nb-NO"/>
        </w:rPr>
        <w:t>behandling av moderat til alvorlig, aktiv RA hos voksne pasienter som enten ikke har respondert tilfredsstillende på eller som har vist intoleranse for tidligere terapi med ett eller flere sykdomsmodifiserende antirevmatiske legemidler (DMARD) eller tumornekrosefaktor (TNF)-antagonister.</w:t>
      </w:r>
    </w:p>
    <w:p w14:paraId="75CDFB80" w14:textId="77777777" w:rsidR="001D2021" w:rsidRPr="00A942F6" w:rsidRDefault="001D2021" w:rsidP="00641834">
      <w:pPr>
        <w:rPr>
          <w:lang w:val="nb-NO"/>
        </w:rPr>
      </w:pPr>
    </w:p>
    <w:p w14:paraId="7A364679" w14:textId="0E0E1727" w:rsidR="008877F8" w:rsidRPr="00A942F6" w:rsidRDefault="008877F8" w:rsidP="00641834">
      <w:pPr>
        <w:rPr>
          <w:lang w:val="nb-NO"/>
        </w:rPr>
      </w:pPr>
      <w:r w:rsidRPr="00A942F6">
        <w:rPr>
          <w:lang w:val="nb-NO"/>
        </w:rPr>
        <w:t xml:space="preserve">Hos disse pasientene kan </w:t>
      </w:r>
      <w:r w:rsidR="00923E68" w:rsidRPr="00A942F6">
        <w:rPr>
          <w:lang w:val="nb-NO"/>
        </w:rPr>
        <w:t>Avtozma</w:t>
      </w:r>
      <w:r w:rsidRPr="00A942F6">
        <w:rPr>
          <w:lang w:val="nb-NO"/>
        </w:rPr>
        <w:t xml:space="preserve"> gis som monoterapi ved intoleranse overfor metotreksat eller hvor fortsatt behandling med metotreksat ikke anses som egnet.</w:t>
      </w:r>
    </w:p>
    <w:p w14:paraId="0F3A7C3B" w14:textId="77777777" w:rsidR="001D2021" w:rsidRPr="00A942F6" w:rsidRDefault="001D2021" w:rsidP="00641834">
      <w:pPr>
        <w:rPr>
          <w:lang w:val="nb-NO"/>
        </w:rPr>
      </w:pPr>
    </w:p>
    <w:p w14:paraId="51BCA90B" w14:textId="4D9AEA77" w:rsidR="008877F8" w:rsidRPr="00A942F6" w:rsidRDefault="008877F8" w:rsidP="00641834">
      <w:pPr>
        <w:rPr>
          <w:lang w:val="nb-NO"/>
        </w:rPr>
      </w:pPr>
      <w:r w:rsidRPr="00A942F6">
        <w:rPr>
          <w:lang w:val="nb-NO"/>
        </w:rPr>
        <w:t xml:space="preserve">Målt med røntgen, har </w:t>
      </w:r>
      <w:r w:rsidR="00923E68" w:rsidRPr="00A942F6">
        <w:rPr>
          <w:lang w:val="nb-NO"/>
        </w:rPr>
        <w:t>Avtozma</w:t>
      </w:r>
      <w:r w:rsidRPr="00A942F6">
        <w:rPr>
          <w:lang w:val="nb-NO"/>
        </w:rPr>
        <w:t xml:space="preserve"> vist å redusere raten av leddskadeprogresjon og å forbedre fysisk funksjon når det er gitt i kombinasjon med metotreksat.</w:t>
      </w:r>
    </w:p>
    <w:p w14:paraId="4DADDB05" w14:textId="77777777" w:rsidR="008877F8" w:rsidRDefault="008877F8" w:rsidP="00641834">
      <w:pPr>
        <w:rPr>
          <w:rFonts w:eastAsia="맑은 고딕"/>
          <w:lang w:val="nb-NO" w:eastAsia="ko-KR"/>
        </w:rPr>
      </w:pPr>
    </w:p>
    <w:p w14:paraId="126BEF8B" w14:textId="6F6A5B96" w:rsidR="009A4C7C" w:rsidRPr="00BD4D94" w:rsidRDefault="009A4C7C" w:rsidP="00641834">
      <w:pPr>
        <w:rPr>
          <w:rFonts w:eastAsia="맑은 고딕"/>
          <w:u w:val="single"/>
          <w:lang w:val="nb-NO" w:eastAsia="ko-KR"/>
        </w:rPr>
      </w:pPr>
      <w:r w:rsidRPr="00BD4D94">
        <w:rPr>
          <w:rFonts w:eastAsia="맑은 고딕"/>
          <w:u w:val="single"/>
          <w:lang w:val="nb-NO" w:eastAsia="ko-KR"/>
        </w:rPr>
        <w:t>Systemisk juvenil idiopatisk artritt (sJIA)</w:t>
      </w:r>
    </w:p>
    <w:p w14:paraId="21B8285C" w14:textId="66DD8DD9" w:rsidR="008877F8" w:rsidRPr="00A942F6" w:rsidRDefault="00923E68" w:rsidP="00641834">
      <w:pPr>
        <w:rPr>
          <w:lang w:val="nb-NO"/>
        </w:rPr>
      </w:pPr>
      <w:r w:rsidRPr="00A942F6">
        <w:rPr>
          <w:lang w:val="nb-NO"/>
        </w:rPr>
        <w:t>Avtozma</w:t>
      </w:r>
      <w:r w:rsidR="008877F8" w:rsidRPr="00A942F6">
        <w:rPr>
          <w:lang w:val="nb-NO"/>
        </w:rPr>
        <w:t xml:space="preserve"> er indisert til behandling av aktiv systemisk juvenil idiopatisk artritt (sJIA) hos pasienter i alderen 1 år og eldre, som ikke har respondert adekvat på tidligere behandling med NSAIDs og systemiske kortikosteroider. </w:t>
      </w:r>
      <w:r w:rsidRPr="00A942F6">
        <w:rPr>
          <w:lang w:val="nb-NO"/>
        </w:rPr>
        <w:t>Avtozma</w:t>
      </w:r>
      <w:r w:rsidR="008877F8" w:rsidRPr="00A942F6">
        <w:rPr>
          <w:lang w:val="nb-NO"/>
        </w:rPr>
        <w:t xml:space="preserve"> kan brukes som monoterapi (ved intoleranse overfor metotreksat eller når behandling med metotreksat ikke er egnet) eller i kombinasjon med metotreksat.</w:t>
      </w:r>
    </w:p>
    <w:p w14:paraId="30F10739" w14:textId="77777777" w:rsidR="001D2021" w:rsidRPr="00A942F6" w:rsidRDefault="001D2021" w:rsidP="00641834">
      <w:pPr>
        <w:rPr>
          <w:lang w:val="nb-NO"/>
        </w:rPr>
      </w:pPr>
    </w:p>
    <w:p w14:paraId="46ABC520" w14:textId="178C3D65" w:rsidR="009A4C7C" w:rsidRPr="00BD4D94" w:rsidRDefault="009A4C7C" w:rsidP="00641834">
      <w:pPr>
        <w:rPr>
          <w:rFonts w:eastAsia="맑은 고딕"/>
          <w:u w:val="single"/>
          <w:lang w:val="nb-NO" w:eastAsia="ko-KR"/>
        </w:rPr>
      </w:pPr>
      <w:r w:rsidRPr="00BD4D94">
        <w:rPr>
          <w:rFonts w:eastAsia="맑은 고딕"/>
          <w:u w:val="single"/>
          <w:lang w:val="nb-NO" w:eastAsia="ko-KR"/>
        </w:rPr>
        <w:lastRenderedPageBreak/>
        <w:t>Polyartikulær juvenil idiopatisk artritt (pJIA)</w:t>
      </w:r>
    </w:p>
    <w:p w14:paraId="29AED938" w14:textId="45EA4026" w:rsidR="008877F8" w:rsidRPr="00A942F6" w:rsidRDefault="00923E68" w:rsidP="00641834">
      <w:pPr>
        <w:rPr>
          <w:lang w:val="nb-NO"/>
        </w:rPr>
      </w:pPr>
      <w:r w:rsidRPr="00A942F6">
        <w:rPr>
          <w:lang w:val="nb-NO"/>
        </w:rPr>
        <w:t>Avtozma</w:t>
      </w:r>
      <w:r w:rsidR="008877F8" w:rsidRPr="00A942F6">
        <w:rPr>
          <w:lang w:val="nb-NO"/>
        </w:rPr>
        <w:t xml:space="preserve"> i kombinasjon med metotreksat er indisert til behandling av polyartikulær juvenil idiopatisk artritt (pJIA; revmatoid faktor positiv eller negativ og utvidet oligoartritt) hos pasienter i alderen 2 år og eldre, som ikke har respondert adekvat på tidligere behandling med metotreksat.</w:t>
      </w:r>
    </w:p>
    <w:p w14:paraId="33D00612" w14:textId="3FC1E639" w:rsidR="008877F8" w:rsidRPr="00A942F6" w:rsidRDefault="00923E68" w:rsidP="00641834">
      <w:pPr>
        <w:rPr>
          <w:lang w:val="nb-NO"/>
        </w:rPr>
      </w:pPr>
      <w:r w:rsidRPr="00A942F6">
        <w:rPr>
          <w:lang w:val="nb-NO"/>
        </w:rPr>
        <w:t>Avtozma</w:t>
      </w:r>
      <w:r w:rsidR="008877F8" w:rsidRPr="00A942F6">
        <w:rPr>
          <w:lang w:val="nb-NO"/>
        </w:rPr>
        <w:t xml:space="preserve"> kan brukes som monoterapi ved intoleranse overfor metotreksat eller når fortsatt behandling med metotreksat ikke er egnet.</w:t>
      </w:r>
    </w:p>
    <w:p w14:paraId="4E85BA61" w14:textId="77777777" w:rsidR="001D2021" w:rsidRDefault="001D2021" w:rsidP="00641834">
      <w:pPr>
        <w:rPr>
          <w:rFonts w:eastAsia="맑은 고딕"/>
          <w:lang w:val="nb-NO" w:eastAsia="ko-KR"/>
        </w:rPr>
      </w:pPr>
    </w:p>
    <w:p w14:paraId="40120600" w14:textId="5CE6B458" w:rsidR="009A4C7C" w:rsidRPr="00BD4D94" w:rsidRDefault="009A4C7C" w:rsidP="00641834">
      <w:pPr>
        <w:rPr>
          <w:rFonts w:eastAsia="맑은 고딕"/>
          <w:u w:val="single"/>
          <w:lang w:val="nb-NO" w:eastAsia="ko-KR"/>
        </w:rPr>
      </w:pPr>
      <w:r w:rsidRPr="00BD4D94">
        <w:rPr>
          <w:rFonts w:eastAsia="맑은 고딕"/>
          <w:u w:val="single"/>
          <w:lang w:val="nb-NO" w:eastAsia="ko-KR"/>
        </w:rPr>
        <w:t>Kjempecellearteritt (GCA)</w:t>
      </w:r>
    </w:p>
    <w:p w14:paraId="7B4BECE8" w14:textId="0CA9FBFE" w:rsidR="008877F8" w:rsidRPr="00A942F6" w:rsidRDefault="00923E68" w:rsidP="00641834">
      <w:pPr>
        <w:rPr>
          <w:lang w:val="nb-NO"/>
        </w:rPr>
      </w:pPr>
      <w:r w:rsidRPr="00A942F6">
        <w:rPr>
          <w:lang w:val="nb-NO"/>
        </w:rPr>
        <w:t>Avtozma</w:t>
      </w:r>
      <w:r w:rsidR="008877F8" w:rsidRPr="00A942F6">
        <w:rPr>
          <w:lang w:val="nb-NO"/>
        </w:rPr>
        <w:t xml:space="preserve"> er indisert til behandling av kjempecelle arteritt (GCA) hos voksne pasienter.</w:t>
      </w:r>
    </w:p>
    <w:p w14:paraId="2ACC8009" w14:textId="77777777" w:rsidR="008877F8" w:rsidRPr="00A942F6" w:rsidRDefault="008877F8" w:rsidP="00641834">
      <w:pPr>
        <w:rPr>
          <w:lang w:val="nb-NO"/>
        </w:rPr>
      </w:pPr>
    </w:p>
    <w:p w14:paraId="0258A793" w14:textId="77777777" w:rsidR="008877F8" w:rsidRPr="00A942F6" w:rsidRDefault="008877F8" w:rsidP="00641834">
      <w:pPr>
        <w:pStyle w:val="H2"/>
        <w:rPr>
          <w:lang w:val="nb-NO"/>
        </w:rPr>
      </w:pPr>
      <w:r w:rsidRPr="00A942F6">
        <w:rPr>
          <w:lang w:val="nb-NO"/>
        </w:rPr>
        <w:t>4.2</w:t>
      </w:r>
      <w:r w:rsidRPr="00A942F6">
        <w:rPr>
          <w:lang w:val="nb-NO"/>
        </w:rPr>
        <w:tab/>
        <w:t>Dosering og administrasjonsmåte</w:t>
      </w:r>
    </w:p>
    <w:p w14:paraId="1E215EC3" w14:textId="77777777" w:rsidR="00426296" w:rsidRPr="00A942F6" w:rsidRDefault="00426296" w:rsidP="00641834">
      <w:pPr>
        <w:rPr>
          <w:lang w:val="nb-NO"/>
        </w:rPr>
      </w:pPr>
    </w:p>
    <w:p w14:paraId="013D26B4" w14:textId="77777777" w:rsidR="00DA173C" w:rsidRPr="00A942F6" w:rsidRDefault="008877F8" w:rsidP="00641834">
      <w:pPr>
        <w:rPr>
          <w:lang w:val="nb-NO"/>
        </w:rPr>
      </w:pPr>
      <w:r w:rsidRPr="00A942F6">
        <w:rPr>
          <w:lang w:val="nb-NO"/>
        </w:rPr>
        <w:t>Subkutan formulering av tocilizumab administreres med en ferdigfylt sprøyte til engangsbruk, montert i en sikkerhetsanordning. Behandlingen skal initieres av lege med erfaring i diagnostikk og behandling av RA, sJIA, pJIA og/eller GCA.</w:t>
      </w:r>
    </w:p>
    <w:p w14:paraId="220272ED" w14:textId="77777777" w:rsidR="00DA173C" w:rsidRPr="00A942F6" w:rsidRDefault="00DA173C" w:rsidP="00641834">
      <w:pPr>
        <w:rPr>
          <w:lang w:val="nb-NO"/>
        </w:rPr>
      </w:pPr>
    </w:p>
    <w:p w14:paraId="52FFB607" w14:textId="38717705" w:rsidR="008877F8" w:rsidRPr="00A942F6" w:rsidRDefault="008877F8" w:rsidP="00641834">
      <w:pPr>
        <w:rPr>
          <w:lang w:val="nb-NO"/>
        </w:rPr>
      </w:pPr>
      <w:r w:rsidRPr="00A942F6">
        <w:rPr>
          <w:lang w:val="nb-NO"/>
        </w:rPr>
        <w:t xml:space="preserve">Den første injeksjonen bør utføres under tilsyn fra kvalifisert helsepersonell. En pasient eller foreldre/foresatte kan administrere </w:t>
      </w:r>
      <w:r w:rsidR="00923E68" w:rsidRPr="00A942F6">
        <w:rPr>
          <w:lang w:val="nb-NO"/>
        </w:rPr>
        <w:t>Avtozma</w:t>
      </w:r>
      <w:r w:rsidRPr="00A942F6">
        <w:rPr>
          <w:lang w:val="nb-NO"/>
        </w:rPr>
        <w:t xml:space="preserve"> selv kun dersom legen mener det er hensiktsmessig og pasienten eller foreldre/foresatte godtar nødvendig medisinsk oppfølging og har fått opplæring i riktig injeksjonsteknikk.</w:t>
      </w:r>
    </w:p>
    <w:p w14:paraId="36F71E45" w14:textId="77777777" w:rsidR="008877F8" w:rsidRPr="00A942F6" w:rsidRDefault="008877F8" w:rsidP="00641834">
      <w:pPr>
        <w:rPr>
          <w:lang w:val="nb-NO"/>
        </w:rPr>
      </w:pPr>
    </w:p>
    <w:p w14:paraId="415118A1" w14:textId="77777777" w:rsidR="008877F8" w:rsidRPr="00A942F6" w:rsidRDefault="008877F8" w:rsidP="00641834">
      <w:pPr>
        <w:rPr>
          <w:lang w:val="nb-NO"/>
        </w:rPr>
      </w:pPr>
      <w:r w:rsidRPr="00A942F6">
        <w:rPr>
          <w:lang w:val="nb-NO"/>
        </w:rPr>
        <w:t>Pasienter som går over fra intravenøs tocilizumab-behandling til subkutan administrering bør administrere første subkutane dose til samme tid som neste planlagte intravenøse dose, under tilsyn fra kvalifisert helsepersonell.</w:t>
      </w:r>
    </w:p>
    <w:p w14:paraId="5F2AB0FA" w14:textId="77777777" w:rsidR="008877F8" w:rsidRPr="00A942F6" w:rsidRDefault="008877F8" w:rsidP="00641834">
      <w:pPr>
        <w:rPr>
          <w:lang w:val="nb-NO"/>
        </w:rPr>
      </w:pPr>
    </w:p>
    <w:p w14:paraId="03D45485" w14:textId="73EFD1F5" w:rsidR="008877F8" w:rsidRPr="00A942F6" w:rsidRDefault="008877F8" w:rsidP="00641834">
      <w:pPr>
        <w:rPr>
          <w:lang w:val="nb-NO"/>
        </w:rPr>
      </w:pPr>
      <w:r w:rsidRPr="00A942F6">
        <w:rPr>
          <w:lang w:val="nb-NO"/>
        </w:rPr>
        <w:t xml:space="preserve">Alle pasienter som behandles med </w:t>
      </w:r>
      <w:r w:rsidR="00923E68" w:rsidRPr="00A942F6">
        <w:rPr>
          <w:lang w:val="nb-NO"/>
        </w:rPr>
        <w:t>Avtozma</w:t>
      </w:r>
      <w:r w:rsidRPr="00A942F6">
        <w:rPr>
          <w:lang w:val="nb-NO"/>
        </w:rPr>
        <w:t xml:space="preserve"> skal få utdelt pasientkortet.</w:t>
      </w:r>
    </w:p>
    <w:p w14:paraId="03BB22CD" w14:textId="77777777" w:rsidR="008877F8" w:rsidRPr="00A942F6" w:rsidRDefault="008877F8" w:rsidP="00641834">
      <w:pPr>
        <w:rPr>
          <w:lang w:val="nb-NO"/>
        </w:rPr>
      </w:pPr>
    </w:p>
    <w:p w14:paraId="3D32B397" w14:textId="77777777" w:rsidR="008877F8" w:rsidRPr="00A942F6" w:rsidRDefault="008877F8" w:rsidP="00641834">
      <w:pPr>
        <w:rPr>
          <w:lang w:val="nb-NO"/>
        </w:rPr>
      </w:pPr>
      <w:r w:rsidRPr="00A942F6">
        <w:rPr>
          <w:lang w:val="nb-NO"/>
        </w:rPr>
        <w:t>Pasientens eller foreldrenes/foresattes egnethet for subkutan bruk hjemme bør sjekkes, og pasienter eller foreldre/foresatte bør instrueres til å informere helsepersonell før administrering av neste dose dersom de opplever symptomer på en allergisk reaksjon. Pasienter bør oppsøke lege umiddelbart hvis de utvikler symptomer på alvorlige allergiske reaksjoner (se pkt. 4.4).</w:t>
      </w:r>
    </w:p>
    <w:p w14:paraId="5D208CA2" w14:textId="77777777" w:rsidR="008877F8" w:rsidRPr="00A942F6" w:rsidRDefault="008877F8" w:rsidP="00641834">
      <w:pPr>
        <w:rPr>
          <w:lang w:val="nb-NO"/>
        </w:rPr>
      </w:pPr>
    </w:p>
    <w:p w14:paraId="44C00874" w14:textId="77777777" w:rsidR="008877F8" w:rsidRPr="00A942F6" w:rsidRDefault="008877F8" w:rsidP="00641834">
      <w:pPr>
        <w:pStyle w:val="Style1underline"/>
        <w:rPr>
          <w:lang w:val="nb-NO"/>
        </w:rPr>
      </w:pPr>
      <w:r w:rsidRPr="00A942F6">
        <w:rPr>
          <w:lang w:val="nb-NO"/>
        </w:rPr>
        <w:t>Dosering</w:t>
      </w:r>
    </w:p>
    <w:p w14:paraId="16112FAC" w14:textId="77777777" w:rsidR="001D2021" w:rsidRPr="00A942F6" w:rsidRDefault="001D2021" w:rsidP="00641834">
      <w:pPr>
        <w:rPr>
          <w:lang w:val="nb-NO"/>
        </w:rPr>
      </w:pPr>
    </w:p>
    <w:p w14:paraId="2C5E91AF" w14:textId="77777777" w:rsidR="008877F8" w:rsidRPr="00A942F6" w:rsidRDefault="008877F8" w:rsidP="00641834">
      <w:pPr>
        <w:pStyle w:val="Style1underline"/>
        <w:rPr>
          <w:lang w:val="nb-NO"/>
        </w:rPr>
      </w:pPr>
      <w:r w:rsidRPr="00A942F6">
        <w:rPr>
          <w:lang w:val="nb-NO"/>
        </w:rPr>
        <w:t>RA</w:t>
      </w:r>
    </w:p>
    <w:p w14:paraId="4307A2E4" w14:textId="77777777" w:rsidR="008877F8" w:rsidRPr="00A942F6" w:rsidRDefault="008877F8" w:rsidP="00641834">
      <w:pPr>
        <w:rPr>
          <w:lang w:val="nb-NO"/>
        </w:rPr>
      </w:pPr>
      <w:r w:rsidRPr="00A942F6">
        <w:rPr>
          <w:lang w:val="nb-NO"/>
        </w:rPr>
        <w:t>Anbefalt dosering er 162 mg subkutant én gang hver uke.</w:t>
      </w:r>
    </w:p>
    <w:p w14:paraId="1700E723" w14:textId="77777777" w:rsidR="008877F8" w:rsidRPr="00A942F6" w:rsidRDefault="008877F8" w:rsidP="00641834">
      <w:pPr>
        <w:rPr>
          <w:lang w:val="nb-NO"/>
        </w:rPr>
      </w:pPr>
    </w:p>
    <w:p w14:paraId="18AFE92F" w14:textId="5C93A8DD" w:rsidR="008877F8" w:rsidRPr="00A942F6" w:rsidRDefault="008877F8" w:rsidP="00641834">
      <w:pPr>
        <w:rPr>
          <w:lang w:val="nb-NO"/>
        </w:rPr>
      </w:pPr>
      <w:r w:rsidRPr="00A942F6">
        <w:rPr>
          <w:lang w:val="nb-NO"/>
        </w:rPr>
        <w:t xml:space="preserve">Begrenset informasjon er tilgjengelig angående bytte fra </w:t>
      </w:r>
      <w:r w:rsidR="00923E68" w:rsidRPr="00A942F6">
        <w:rPr>
          <w:lang w:val="nb-NO"/>
        </w:rPr>
        <w:t>Avtozma</w:t>
      </w:r>
      <w:r w:rsidRPr="00A942F6">
        <w:rPr>
          <w:lang w:val="nb-NO"/>
        </w:rPr>
        <w:t xml:space="preserve"> intravenøs formulering til </w:t>
      </w:r>
      <w:r w:rsidR="00923E68" w:rsidRPr="00A942F6">
        <w:rPr>
          <w:lang w:val="nb-NO"/>
        </w:rPr>
        <w:t>Avtozma</w:t>
      </w:r>
      <w:r w:rsidRPr="00A942F6">
        <w:rPr>
          <w:lang w:val="nb-NO"/>
        </w:rPr>
        <w:t xml:space="preserve"> subkutan fast dose-formulering. Doseringsintervallet «én gang hver uke» bør følges.</w:t>
      </w:r>
    </w:p>
    <w:p w14:paraId="2F915DC8" w14:textId="77777777" w:rsidR="000B63D8" w:rsidRPr="00A942F6" w:rsidRDefault="000B63D8" w:rsidP="00641834">
      <w:pPr>
        <w:rPr>
          <w:lang w:val="nb-NO"/>
        </w:rPr>
      </w:pPr>
    </w:p>
    <w:p w14:paraId="76C793D9" w14:textId="77777777" w:rsidR="008877F8" w:rsidRPr="00A942F6" w:rsidRDefault="008877F8" w:rsidP="00641834">
      <w:pPr>
        <w:rPr>
          <w:lang w:val="nb-NO"/>
        </w:rPr>
      </w:pPr>
      <w:r w:rsidRPr="00A942F6">
        <w:rPr>
          <w:lang w:val="nb-NO"/>
        </w:rPr>
        <w:t>Pasienter som går over fra intravenøs til subkutan formulering skal administrere sin første subkutane dose, i stedet for neste planlagte intravenøs dose, under oppsyn av kvalifisert helsepersonell.</w:t>
      </w:r>
    </w:p>
    <w:p w14:paraId="617FF600" w14:textId="77777777" w:rsidR="000B63D8" w:rsidRPr="00A942F6" w:rsidRDefault="000B63D8" w:rsidP="00641834">
      <w:pPr>
        <w:rPr>
          <w:lang w:val="nb-NO"/>
        </w:rPr>
      </w:pPr>
    </w:p>
    <w:p w14:paraId="050D35BF" w14:textId="77777777" w:rsidR="008877F8" w:rsidRPr="00A942F6" w:rsidRDefault="008877F8" w:rsidP="00641834">
      <w:pPr>
        <w:pStyle w:val="Style1underline"/>
        <w:rPr>
          <w:lang w:val="nb-NO"/>
        </w:rPr>
      </w:pPr>
      <w:r w:rsidRPr="00A942F6">
        <w:rPr>
          <w:lang w:val="nb-NO"/>
        </w:rPr>
        <w:t>GCA</w:t>
      </w:r>
    </w:p>
    <w:p w14:paraId="66D38865" w14:textId="27C21B53" w:rsidR="008877F8" w:rsidRPr="00A942F6" w:rsidRDefault="008877F8" w:rsidP="00641834">
      <w:pPr>
        <w:rPr>
          <w:lang w:val="nb-NO"/>
        </w:rPr>
      </w:pPr>
      <w:r w:rsidRPr="00A942F6">
        <w:rPr>
          <w:lang w:val="nb-NO"/>
        </w:rPr>
        <w:t xml:space="preserve">Anbefalt dose er 162 mg subkutant én gang hver uke, i kombinasjon med gradvis nedtrapping av glukokortikoider. </w:t>
      </w:r>
      <w:r w:rsidR="00923E68" w:rsidRPr="00A942F6">
        <w:rPr>
          <w:lang w:val="nb-NO"/>
        </w:rPr>
        <w:t>Avtozma</w:t>
      </w:r>
      <w:r w:rsidRPr="00A942F6">
        <w:rPr>
          <w:lang w:val="nb-NO"/>
        </w:rPr>
        <w:t xml:space="preserve"> kan brukes alene etter seponering av glukokortikoider.</w:t>
      </w:r>
    </w:p>
    <w:p w14:paraId="00EB8520" w14:textId="5C9F0E5A" w:rsidR="008877F8" w:rsidRPr="00A942F6" w:rsidRDefault="008877F8" w:rsidP="00641834">
      <w:pPr>
        <w:rPr>
          <w:lang w:val="nb-NO"/>
        </w:rPr>
      </w:pPr>
      <w:r w:rsidRPr="00A942F6">
        <w:rPr>
          <w:lang w:val="nb-NO"/>
        </w:rPr>
        <w:t xml:space="preserve">Monoterapi med </w:t>
      </w:r>
      <w:r w:rsidR="00923E68" w:rsidRPr="00A942F6">
        <w:rPr>
          <w:lang w:val="nb-NO"/>
        </w:rPr>
        <w:t>Avtozma</w:t>
      </w:r>
      <w:r w:rsidRPr="00A942F6">
        <w:rPr>
          <w:lang w:val="nb-NO"/>
        </w:rPr>
        <w:t xml:space="preserve"> skal ikke brukes til behandling av akutt tilbakefall.</w:t>
      </w:r>
    </w:p>
    <w:p w14:paraId="665ED7E4" w14:textId="77777777" w:rsidR="008877F8" w:rsidRPr="00A942F6" w:rsidRDefault="008877F8" w:rsidP="00641834">
      <w:pPr>
        <w:rPr>
          <w:lang w:val="nb-NO"/>
        </w:rPr>
      </w:pPr>
    </w:p>
    <w:p w14:paraId="5F8D39AB" w14:textId="77777777" w:rsidR="008877F8" w:rsidRPr="00A942F6" w:rsidRDefault="008877F8" w:rsidP="00641834">
      <w:pPr>
        <w:rPr>
          <w:lang w:val="nb-NO"/>
        </w:rPr>
      </w:pPr>
      <w:r w:rsidRPr="00A942F6">
        <w:rPr>
          <w:lang w:val="nb-NO"/>
        </w:rPr>
        <w:t>Basert på at GCA er en kronisk sykdom, bør behandling utover 52 uker bestemmes med hensyn på sykdomsaktivitet, legens skjønn og pasientens valg.</w:t>
      </w:r>
    </w:p>
    <w:p w14:paraId="47EA3361" w14:textId="77777777" w:rsidR="008877F8" w:rsidRPr="00A942F6" w:rsidRDefault="008877F8" w:rsidP="00641834">
      <w:pPr>
        <w:rPr>
          <w:lang w:val="nb-NO"/>
        </w:rPr>
      </w:pPr>
    </w:p>
    <w:p w14:paraId="7EC1FD68" w14:textId="77777777" w:rsidR="008877F8" w:rsidRPr="00A942F6" w:rsidRDefault="008877F8" w:rsidP="00641834">
      <w:pPr>
        <w:pStyle w:val="Style1underline"/>
        <w:rPr>
          <w:lang w:val="nb-NO"/>
        </w:rPr>
      </w:pPr>
      <w:r w:rsidRPr="00A942F6">
        <w:rPr>
          <w:lang w:val="nb-NO"/>
        </w:rPr>
        <w:lastRenderedPageBreak/>
        <w:t>RA og GCA</w:t>
      </w:r>
    </w:p>
    <w:p w14:paraId="73237192" w14:textId="77777777" w:rsidR="008877F8" w:rsidRPr="00A942F6" w:rsidRDefault="008877F8" w:rsidP="0036729A">
      <w:pPr>
        <w:keepNext/>
        <w:rPr>
          <w:lang w:val="nb-NO"/>
        </w:rPr>
      </w:pPr>
    </w:p>
    <w:p w14:paraId="31C8D25F" w14:textId="77777777" w:rsidR="008877F8" w:rsidRPr="00A942F6" w:rsidRDefault="008877F8" w:rsidP="00641834">
      <w:pPr>
        <w:pStyle w:val="Style1underline"/>
        <w:rPr>
          <w:lang w:val="nb-NO"/>
        </w:rPr>
      </w:pPr>
      <w:r w:rsidRPr="00A942F6">
        <w:rPr>
          <w:lang w:val="nb-NO"/>
        </w:rPr>
        <w:t>Dosejustering på grunn av unormale laboratorieprøver (se pkt. 4.4.).</w:t>
      </w:r>
    </w:p>
    <w:p w14:paraId="003B4262" w14:textId="77777777" w:rsidR="008877F8" w:rsidRPr="00A942F6" w:rsidRDefault="008877F8" w:rsidP="0036729A">
      <w:pPr>
        <w:keepNext/>
        <w:rPr>
          <w:lang w:val="nb-NO"/>
        </w:rPr>
      </w:pPr>
    </w:p>
    <w:p w14:paraId="7C6E6218" w14:textId="77777777" w:rsidR="008877F8" w:rsidRPr="00A942F6" w:rsidRDefault="008877F8" w:rsidP="0036729A">
      <w:pPr>
        <w:pStyle w:val="Bullet1cm"/>
        <w:keepNext/>
        <w:rPr>
          <w:lang w:val="nb-NO"/>
        </w:rPr>
      </w:pPr>
      <w:r w:rsidRPr="00A942F6">
        <w:rPr>
          <w:lang w:val="nb-NO"/>
        </w:rPr>
        <w:t>Unormale leverenzymverdier</w:t>
      </w:r>
    </w:p>
    <w:p w14:paraId="31B63146" w14:textId="77777777" w:rsidR="008877F8" w:rsidRPr="00A942F6" w:rsidRDefault="008877F8" w:rsidP="0036729A">
      <w:pPr>
        <w:keepNext/>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6300"/>
      </w:tblGrid>
      <w:tr w:rsidR="008877F8" w:rsidRPr="00A942F6" w14:paraId="098F8AA6" w14:textId="77777777" w:rsidTr="003175D5">
        <w:trPr>
          <w:cantSplit/>
          <w:trHeight w:val="20"/>
          <w:tblHeader/>
        </w:trPr>
        <w:tc>
          <w:tcPr>
            <w:tcW w:w="2755" w:type="dxa"/>
          </w:tcPr>
          <w:p w14:paraId="358D2AB7" w14:textId="77777777" w:rsidR="008877F8" w:rsidRPr="00A942F6" w:rsidRDefault="008877F8" w:rsidP="0036729A">
            <w:pPr>
              <w:pStyle w:val="TableParagraph"/>
              <w:keepNext/>
              <w:jc w:val="center"/>
              <w:rPr>
                <w:sz w:val="20"/>
                <w:szCs w:val="20"/>
                <w:lang w:val="nb-NO"/>
              </w:rPr>
            </w:pPr>
            <w:r w:rsidRPr="00A942F6">
              <w:rPr>
                <w:sz w:val="20"/>
                <w:szCs w:val="20"/>
                <w:lang w:val="nb-NO"/>
              </w:rPr>
              <w:t>Laboratorieverdi</w:t>
            </w:r>
          </w:p>
        </w:tc>
        <w:tc>
          <w:tcPr>
            <w:tcW w:w="6300" w:type="dxa"/>
          </w:tcPr>
          <w:p w14:paraId="03AC719F" w14:textId="77777777" w:rsidR="008877F8" w:rsidRPr="00A942F6" w:rsidRDefault="008877F8" w:rsidP="0036729A">
            <w:pPr>
              <w:pStyle w:val="TableParagraph"/>
              <w:keepNext/>
              <w:jc w:val="center"/>
              <w:rPr>
                <w:sz w:val="20"/>
                <w:szCs w:val="20"/>
                <w:lang w:val="nb-NO"/>
              </w:rPr>
            </w:pPr>
            <w:r w:rsidRPr="00A942F6">
              <w:rPr>
                <w:sz w:val="20"/>
                <w:szCs w:val="20"/>
                <w:lang w:val="nb-NO"/>
              </w:rPr>
              <w:t>Tiltak</w:t>
            </w:r>
          </w:p>
        </w:tc>
      </w:tr>
      <w:tr w:rsidR="008877F8" w:rsidRPr="00B477E5" w14:paraId="4D1FB341" w14:textId="77777777" w:rsidTr="003175D5">
        <w:trPr>
          <w:cantSplit/>
          <w:trHeight w:val="20"/>
        </w:trPr>
        <w:tc>
          <w:tcPr>
            <w:tcW w:w="2755" w:type="dxa"/>
          </w:tcPr>
          <w:p w14:paraId="62C6CA62" w14:textId="77777777" w:rsidR="008877F8" w:rsidRPr="00A942F6" w:rsidRDefault="008877F8" w:rsidP="00641834">
            <w:pPr>
              <w:pStyle w:val="TableParagraph"/>
              <w:rPr>
                <w:sz w:val="20"/>
                <w:szCs w:val="20"/>
                <w:lang w:val="nb-NO"/>
              </w:rPr>
            </w:pPr>
            <w:r w:rsidRPr="00A942F6">
              <w:rPr>
                <w:sz w:val="20"/>
                <w:szCs w:val="20"/>
                <w:lang w:val="nb-NO"/>
              </w:rPr>
              <w:t>&gt; 1 til 3 x øvre normalverdi (ULN)</w:t>
            </w:r>
          </w:p>
        </w:tc>
        <w:tc>
          <w:tcPr>
            <w:tcW w:w="6300" w:type="dxa"/>
          </w:tcPr>
          <w:p w14:paraId="7F4F07C3" w14:textId="77777777" w:rsidR="008877F8" w:rsidRPr="00A942F6" w:rsidRDefault="008877F8" w:rsidP="00641834">
            <w:pPr>
              <w:pStyle w:val="TableParagraph"/>
              <w:rPr>
                <w:sz w:val="20"/>
                <w:szCs w:val="20"/>
                <w:lang w:val="nb-NO"/>
              </w:rPr>
            </w:pPr>
            <w:r w:rsidRPr="00A942F6">
              <w:rPr>
                <w:sz w:val="20"/>
                <w:szCs w:val="20"/>
                <w:lang w:val="nb-NO"/>
              </w:rPr>
              <w:t>Juster dosen av samtidig DMARDs (RA) eller immunmodulerende midler (GCA) hvis nødvendig.</w:t>
            </w:r>
          </w:p>
          <w:p w14:paraId="15E9AED7" w14:textId="77777777" w:rsidR="00C02048" w:rsidRPr="00A942F6" w:rsidRDefault="00C02048" w:rsidP="00641834">
            <w:pPr>
              <w:pStyle w:val="TableParagraph"/>
              <w:rPr>
                <w:sz w:val="20"/>
                <w:szCs w:val="20"/>
                <w:lang w:val="nb-NO"/>
              </w:rPr>
            </w:pPr>
          </w:p>
          <w:p w14:paraId="40E53044" w14:textId="74A5F5D4" w:rsidR="008877F8" w:rsidRPr="00A942F6" w:rsidRDefault="008877F8" w:rsidP="00641834">
            <w:pPr>
              <w:pStyle w:val="TableParagraph"/>
              <w:rPr>
                <w:sz w:val="20"/>
                <w:szCs w:val="20"/>
                <w:lang w:val="nb-NO"/>
              </w:rPr>
            </w:pPr>
            <w:r w:rsidRPr="00A942F6">
              <w:rPr>
                <w:sz w:val="20"/>
                <w:szCs w:val="20"/>
                <w:lang w:val="nb-NO"/>
              </w:rPr>
              <w:t xml:space="preserve">Ved vedvarende forhøyede verdier innenfor dette området, reduser frekvensen av </w:t>
            </w:r>
            <w:r w:rsidR="00923E68" w:rsidRPr="00A942F6">
              <w:rPr>
                <w:sz w:val="20"/>
                <w:szCs w:val="20"/>
                <w:lang w:val="nb-NO"/>
              </w:rPr>
              <w:t>Avtozma</w:t>
            </w:r>
            <w:r w:rsidRPr="00A942F6">
              <w:rPr>
                <w:sz w:val="20"/>
                <w:szCs w:val="20"/>
                <w:lang w:val="nb-NO"/>
              </w:rPr>
              <w:t xml:space="preserve">-behandling til injeksjoner annenhver uke eller avbryt </w:t>
            </w:r>
            <w:r w:rsidR="00923E68" w:rsidRPr="00A942F6">
              <w:rPr>
                <w:sz w:val="20"/>
                <w:szCs w:val="20"/>
                <w:lang w:val="nb-NO"/>
              </w:rPr>
              <w:t>Avtozma</w:t>
            </w:r>
            <w:r w:rsidRPr="00A942F6">
              <w:rPr>
                <w:sz w:val="20"/>
                <w:szCs w:val="20"/>
                <w:lang w:val="nb-NO"/>
              </w:rPr>
              <w:t xml:space="preserve"> til alaninaminotransferase (ALAT) eller aspartataminotransferase (ASAT) er normalisert.</w:t>
            </w:r>
          </w:p>
          <w:p w14:paraId="33798974" w14:textId="77777777" w:rsidR="00C02048" w:rsidRPr="00A942F6" w:rsidRDefault="00C02048" w:rsidP="00641834">
            <w:pPr>
              <w:pStyle w:val="TableParagraph"/>
              <w:rPr>
                <w:sz w:val="20"/>
                <w:szCs w:val="20"/>
                <w:lang w:val="nb-NO"/>
              </w:rPr>
            </w:pPr>
          </w:p>
          <w:p w14:paraId="589AFE6E" w14:textId="77777777" w:rsidR="008877F8" w:rsidRPr="00A942F6" w:rsidRDefault="008877F8" w:rsidP="00641834">
            <w:pPr>
              <w:pStyle w:val="TableParagraph"/>
              <w:rPr>
                <w:sz w:val="20"/>
                <w:szCs w:val="20"/>
                <w:lang w:val="nb-NO"/>
              </w:rPr>
            </w:pPr>
            <w:r w:rsidRPr="00A942F6">
              <w:rPr>
                <w:sz w:val="20"/>
                <w:szCs w:val="20"/>
                <w:lang w:val="nb-NO"/>
              </w:rPr>
              <w:t>Start opp igjen med injisering ukentlig eller annenhver uke, dersom klinisk hensiktsmessig.</w:t>
            </w:r>
          </w:p>
        </w:tc>
      </w:tr>
      <w:tr w:rsidR="008877F8" w:rsidRPr="00B477E5" w14:paraId="71678B81" w14:textId="77777777" w:rsidTr="003175D5">
        <w:trPr>
          <w:cantSplit/>
          <w:trHeight w:val="20"/>
        </w:trPr>
        <w:tc>
          <w:tcPr>
            <w:tcW w:w="2755" w:type="dxa"/>
          </w:tcPr>
          <w:p w14:paraId="542C90AA" w14:textId="77777777" w:rsidR="008877F8" w:rsidRPr="00A942F6" w:rsidRDefault="008877F8" w:rsidP="008A72DA">
            <w:pPr>
              <w:pStyle w:val="TableParagraph"/>
              <w:keepNext/>
              <w:rPr>
                <w:sz w:val="20"/>
                <w:szCs w:val="20"/>
                <w:lang w:val="nb-NO"/>
              </w:rPr>
            </w:pPr>
            <w:r w:rsidRPr="00A942F6">
              <w:rPr>
                <w:sz w:val="20"/>
                <w:szCs w:val="20"/>
                <w:lang w:val="nb-NO"/>
              </w:rPr>
              <w:t>&gt; 3 til 5 x ULN</w:t>
            </w:r>
          </w:p>
        </w:tc>
        <w:tc>
          <w:tcPr>
            <w:tcW w:w="6300" w:type="dxa"/>
          </w:tcPr>
          <w:p w14:paraId="4CB6B19C" w14:textId="1DD4ABC5" w:rsidR="008877F8" w:rsidRPr="00A942F6" w:rsidRDefault="008877F8" w:rsidP="008A72DA">
            <w:pPr>
              <w:pStyle w:val="TableParagraph"/>
              <w:keepNext/>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til &lt; 3 x ULN og følg anbefalinger over for &gt; 1 til 3 x ULN.</w:t>
            </w:r>
          </w:p>
          <w:p w14:paraId="17C87E13" w14:textId="77777777" w:rsidR="00C02048" w:rsidRPr="00A942F6" w:rsidRDefault="00C02048" w:rsidP="008A72DA">
            <w:pPr>
              <w:pStyle w:val="TableParagraph"/>
              <w:keepNext/>
              <w:rPr>
                <w:sz w:val="20"/>
                <w:szCs w:val="20"/>
                <w:lang w:val="nb-NO"/>
              </w:rPr>
            </w:pPr>
          </w:p>
          <w:p w14:paraId="01994E90" w14:textId="02CE71D2" w:rsidR="008877F8" w:rsidRPr="00A942F6" w:rsidRDefault="008877F8" w:rsidP="008A72DA">
            <w:pPr>
              <w:pStyle w:val="TableParagraph"/>
              <w:keepNext/>
              <w:rPr>
                <w:sz w:val="20"/>
                <w:szCs w:val="20"/>
                <w:lang w:val="nb-NO"/>
              </w:rPr>
            </w:pPr>
            <w:r w:rsidRPr="00A942F6">
              <w:rPr>
                <w:sz w:val="20"/>
                <w:szCs w:val="20"/>
                <w:lang w:val="nb-NO"/>
              </w:rPr>
              <w:t xml:space="preserve">Ved vedvarende forhøyede verdier &gt; 3 x ULN (bekreftet ved gjentatt testing, se pkt. 4.4), seponer </w:t>
            </w:r>
            <w:r w:rsidR="00923E68" w:rsidRPr="00A942F6">
              <w:rPr>
                <w:sz w:val="20"/>
                <w:szCs w:val="20"/>
                <w:lang w:val="nb-NO"/>
              </w:rPr>
              <w:t>Avtozma</w:t>
            </w:r>
            <w:r w:rsidRPr="00A942F6">
              <w:rPr>
                <w:sz w:val="20"/>
                <w:szCs w:val="20"/>
                <w:lang w:val="nb-NO"/>
              </w:rPr>
              <w:t>.</w:t>
            </w:r>
          </w:p>
        </w:tc>
      </w:tr>
      <w:tr w:rsidR="008877F8" w:rsidRPr="00A942F6" w14:paraId="62F55B27" w14:textId="77777777" w:rsidTr="003175D5">
        <w:trPr>
          <w:cantSplit/>
          <w:trHeight w:val="20"/>
        </w:trPr>
        <w:tc>
          <w:tcPr>
            <w:tcW w:w="2755" w:type="dxa"/>
          </w:tcPr>
          <w:p w14:paraId="2C5FBF9D" w14:textId="77777777" w:rsidR="008877F8" w:rsidRPr="00A942F6" w:rsidRDefault="008877F8" w:rsidP="00641834">
            <w:pPr>
              <w:pStyle w:val="TableParagraph"/>
              <w:rPr>
                <w:sz w:val="20"/>
                <w:szCs w:val="20"/>
                <w:lang w:val="nb-NO"/>
              </w:rPr>
            </w:pPr>
            <w:r w:rsidRPr="00A942F6">
              <w:rPr>
                <w:sz w:val="20"/>
                <w:szCs w:val="20"/>
                <w:lang w:val="nb-NO"/>
              </w:rPr>
              <w:t>&gt; 5 x ULN</w:t>
            </w:r>
          </w:p>
        </w:tc>
        <w:tc>
          <w:tcPr>
            <w:tcW w:w="6300" w:type="dxa"/>
          </w:tcPr>
          <w:p w14:paraId="7046B0B1" w14:textId="44F1432E" w:rsidR="008877F8" w:rsidRPr="00A942F6" w:rsidRDefault="008877F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tc>
      </w:tr>
    </w:tbl>
    <w:p w14:paraId="79B6D3E3" w14:textId="77777777" w:rsidR="008877F8" w:rsidRPr="00A942F6" w:rsidRDefault="008877F8" w:rsidP="00641834">
      <w:pPr>
        <w:rPr>
          <w:lang w:val="nb-NO"/>
        </w:rPr>
      </w:pPr>
    </w:p>
    <w:p w14:paraId="75EB9ACE" w14:textId="77777777" w:rsidR="008877F8" w:rsidRPr="00A942F6" w:rsidRDefault="008877F8" w:rsidP="00641834">
      <w:pPr>
        <w:pStyle w:val="Bullet1cm"/>
        <w:rPr>
          <w:lang w:val="nb-NO"/>
        </w:rPr>
      </w:pPr>
      <w:r w:rsidRPr="00A942F6">
        <w:rPr>
          <w:lang w:val="nb-NO"/>
        </w:rPr>
        <w:t>Lavt absolutt nøytrofiltall (ANC)</w:t>
      </w:r>
    </w:p>
    <w:p w14:paraId="6A9ECE0A" w14:textId="77777777" w:rsidR="008877F8" w:rsidRPr="00A942F6" w:rsidRDefault="008877F8" w:rsidP="00641834">
      <w:pPr>
        <w:rPr>
          <w:lang w:val="nb-NO"/>
        </w:rPr>
      </w:pPr>
    </w:p>
    <w:p w14:paraId="6953438D" w14:textId="76AB16E6" w:rsidR="008877F8" w:rsidRPr="00A942F6" w:rsidRDefault="008877F8" w:rsidP="00641834">
      <w:pPr>
        <w:rPr>
          <w:lang w:val="nb-NO"/>
        </w:rPr>
      </w:pPr>
      <w:r w:rsidRPr="00A942F6">
        <w:rPr>
          <w:lang w:val="nb-NO"/>
        </w:rPr>
        <w:t xml:space="preserve">For pasienter som ikke tidligere er behandlet med </w:t>
      </w:r>
      <w:r w:rsidR="00DA173C" w:rsidRPr="00A942F6">
        <w:rPr>
          <w:lang w:val="nb-NO"/>
        </w:rPr>
        <w:t>tocilizumab</w:t>
      </w:r>
      <w:r w:rsidRPr="00A942F6">
        <w:rPr>
          <w:lang w:val="nb-NO"/>
        </w:rPr>
        <w:t xml:space="preserve"> er initiering ikke anbefalt for pasienter med et absolutt nøytrofiltall (ANC) under 2 x 10</w:t>
      </w:r>
      <w:r w:rsidRPr="00A942F6">
        <w:rPr>
          <w:vertAlign w:val="superscript"/>
          <w:lang w:val="nb-NO"/>
        </w:rPr>
        <w:t>9</w:t>
      </w:r>
      <w:r w:rsidRPr="00A942F6">
        <w:rPr>
          <w:lang w:val="nb-NO"/>
        </w:rPr>
        <w:t>/l.</w:t>
      </w:r>
    </w:p>
    <w:p w14:paraId="3A5363F8" w14:textId="77777777" w:rsidR="008877F8" w:rsidRPr="00A942F6" w:rsidRDefault="008877F8"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0"/>
        <w:gridCol w:w="6295"/>
      </w:tblGrid>
      <w:tr w:rsidR="008877F8" w:rsidRPr="00A942F6" w14:paraId="3E87CEF3" w14:textId="77777777" w:rsidTr="003175D5">
        <w:trPr>
          <w:cantSplit/>
          <w:trHeight w:val="20"/>
          <w:tblHeader/>
        </w:trPr>
        <w:tc>
          <w:tcPr>
            <w:tcW w:w="2760" w:type="dxa"/>
          </w:tcPr>
          <w:p w14:paraId="2C2F0294" w14:textId="77777777" w:rsidR="008877F8" w:rsidRPr="00A942F6" w:rsidRDefault="008877F8" w:rsidP="00641834">
            <w:pPr>
              <w:pStyle w:val="TableParagraph"/>
              <w:jc w:val="center"/>
              <w:rPr>
                <w:sz w:val="20"/>
                <w:szCs w:val="20"/>
                <w:lang w:val="nb-NO"/>
              </w:rPr>
            </w:pPr>
            <w:r w:rsidRPr="00A942F6">
              <w:rPr>
                <w:sz w:val="20"/>
                <w:szCs w:val="20"/>
                <w:lang w:val="nb-NO"/>
              </w:rPr>
              <w:t>Laboratorieverdi</w:t>
            </w:r>
          </w:p>
          <w:p w14:paraId="2282A74F" w14:textId="77777777" w:rsidR="008877F8" w:rsidRPr="00A942F6" w:rsidRDefault="008877F8" w:rsidP="00641834">
            <w:pPr>
              <w:pStyle w:val="TableParagraph"/>
              <w:jc w:val="center"/>
              <w:rPr>
                <w:sz w:val="20"/>
                <w:szCs w:val="20"/>
                <w:lang w:val="nb-NO"/>
              </w:rPr>
            </w:pPr>
            <w:r w:rsidRPr="00A942F6">
              <w:rPr>
                <w:sz w:val="20"/>
                <w:szCs w:val="20"/>
                <w:lang w:val="nb-NO"/>
              </w:rPr>
              <w:t>(celler x 10</w:t>
            </w:r>
            <w:r w:rsidRPr="00A942F6">
              <w:rPr>
                <w:sz w:val="20"/>
                <w:szCs w:val="20"/>
                <w:vertAlign w:val="superscript"/>
                <w:lang w:val="nb-NO"/>
              </w:rPr>
              <w:t>9</w:t>
            </w:r>
            <w:r w:rsidRPr="00A942F6">
              <w:rPr>
                <w:sz w:val="20"/>
                <w:szCs w:val="20"/>
                <w:lang w:val="nb-NO"/>
              </w:rPr>
              <w:t>/liter)</w:t>
            </w:r>
          </w:p>
        </w:tc>
        <w:tc>
          <w:tcPr>
            <w:tcW w:w="6295" w:type="dxa"/>
          </w:tcPr>
          <w:p w14:paraId="09593661" w14:textId="77777777" w:rsidR="008877F8" w:rsidRPr="00A942F6" w:rsidRDefault="008877F8" w:rsidP="00641834">
            <w:pPr>
              <w:pStyle w:val="TableParagraph"/>
              <w:jc w:val="center"/>
              <w:rPr>
                <w:sz w:val="20"/>
                <w:szCs w:val="20"/>
                <w:lang w:val="nb-NO"/>
              </w:rPr>
            </w:pPr>
            <w:r w:rsidRPr="00A942F6">
              <w:rPr>
                <w:sz w:val="20"/>
                <w:szCs w:val="20"/>
                <w:lang w:val="nb-NO"/>
              </w:rPr>
              <w:t>Tiltak</w:t>
            </w:r>
          </w:p>
        </w:tc>
      </w:tr>
      <w:tr w:rsidR="008877F8" w:rsidRPr="00A942F6" w14:paraId="04BB4958" w14:textId="77777777" w:rsidTr="003175D5">
        <w:trPr>
          <w:cantSplit/>
          <w:trHeight w:val="20"/>
        </w:trPr>
        <w:tc>
          <w:tcPr>
            <w:tcW w:w="2760" w:type="dxa"/>
          </w:tcPr>
          <w:p w14:paraId="7B1B2474" w14:textId="77777777" w:rsidR="008877F8" w:rsidRPr="00A942F6" w:rsidRDefault="008877F8" w:rsidP="00641834">
            <w:pPr>
              <w:pStyle w:val="TableParagraph"/>
              <w:rPr>
                <w:sz w:val="20"/>
                <w:szCs w:val="20"/>
                <w:lang w:val="nb-NO"/>
              </w:rPr>
            </w:pPr>
            <w:r w:rsidRPr="00A942F6">
              <w:rPr>
                <w:sz w:val="20"/>
                <w:szCs w:val="20"/>
                <w:lang w:val="nb-NO"/>
              </w:rPr>
              <w:t>ANC &gt; 1</w:t>
            </w:r>
          </w:p>
        </w:tc>
        <w:tc>
          <w:tcPr>
            <w:tcW w:w="6295" w:type="dxa"/>
          </w:tcPr>
          <w:p w14:paraId="5B5270B9" w14:textId="77777777" w:rsidR="008877F8" w:rsidRPr="00A942F6" w:rsidRDefault="008877F8" w:rsidP="00641834">
            <w:pPr>
              <w:pStyle w:val="TableParagraph"/>
              <w:rPr>
                <w:sz w:val="20"/>
                <w:szCs w:val="20"/>
                <w:lang w:val="nb-NO"/>
              </w:rPr>
            </w:pPr>
            <w:r w:rsidRPr="00A942F6">
              <w:rPr>
                <w:sz w:val="20"/>
                <w:szCs w:val="20"/>
                <w:lang w:val="nb-NO"/>
              </w:rPr>
              <w:t>Oppretthold doseringen</w:t>
            </w:r>
          </w:p>
        </w:tc>
      </w:tr>
      <w:tr w:rsidR="008877F8" w:rsidRPr="00B477E5" w14:paraId="10A16165" w14:textId="77777777" w:rsidTr="003175D5">
        <w:trPr>
          <w:cantSplit/>
          <w:trHeight w:val="20"/>
        </w:trPr>
        <w:tc>
          <w:tcPr>
            <w:tcW w:w="2760" w:type="dxa"/>
          </w:tcPr>
          <w:p w14:paraId="1FF96A2C" w14:textId="77777777" w:rsidR="008877F8" w:rsidRPr="00A942F6" w:rsidRDefault="008877F8" w:rsidP="00641834">
            <w:pPr>
              <w:pStyle w:val="TableParagraph"/>
              <w:rPr>
                <w:sz w:val="20"/>
                <w:szCs w:val="20"/>
                <w:lang w:val="nb-NO"/>
              </w:rPr>
            </w:pPr>
            <w:r w:rsidRPr="00A942F6">
              <w:rPr>
                <w:sz w:val="20"/>
                <w:szCs w:val="20"/>
                <w:lang w:val="nb-NO"/>
              </w:rPr>
              <w:t>ANC 0,5 til 1</w:t>
            </w:r>
          </w:p>
        </w:tc>
        <w:tc>
          <w:tcPr>
            <w:tcW w:w="6295" w:type="dxa"/>
          </w:tcPr>
          <w:p w14:paraId="3E6ACC1D" w14:textId="1C9A6892" w:rsidR="008877F8" w:rsidRPr="00A942F6" w:rsidRDefault="008877F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22253BDE" w14:textId="77777777" w:rsidR="00152DC5" w:rsidRPr="00A942F6" w:rsidRDefault="00152DC5" w:rsidP="00641834">
            <w:pPr>
              <w:pStyle w:val="TableParagraph"/>
              <w:rPr>
                <w:sz w:val="20"/>
                <w:szCs w:val="20"/>
                <w:lang w:val="nb-NO"/>
              </w:rPr>
            </w:pPr>
          </w:p>
          <w:p w14:paraId="09768A7E" w14:textId="6AAA7BFB" w:rsidR="008877F8" w:rsidRPr="00A942F6" w:rsidRDefault="008877F8" w:rsidP="00641834">
            <w:pPr>
              <w:pStyle w:val="TableParagraph"/>
              <w:rPr>
                <w:sz w:val="20"/>
                <w:szCs w:val="20"/>
                <w:lang w:val="nb-NO"/>
              </w:rPr>
            </w:pPr>
            <w:r w:rsidRPr="00A942F6">
              <w:rPr>
                <w:sz w:val="20"/>
                <w:szCs w:val="20"/>
                <w:lang w:val="nb-NO"/>
              </w:rPr>
              <w:t>Når ANC øker &gt; 1 x 10</w:t>
            </w:r>
            <w:r w:rsidRPr="00A942F6">
              <w:rPr>
                <w:sz w:val="20"/>
                <w:szCs w:val="20"/>
                <w:vertAlign w:val="superscript"/>
                <w:lang w:val="nb-NO"/>
              </w:rPr>
              <w:t>9</w:t>
            </w:r>
            <w:r w:rsidRPr="00A942F6">
              <w:rPr>
                <w:sz w:val="20"/>
                <w:szCs w:val="20"/>
                <w:lang w:val="nb-NO"/>
              </w:rPr>
              <w:t xml:space="preserve">/l, gjenoppta </w:t>
            </w:r>
            <w:r w:rsidR="00923E68" w:rsidRPr="00A942F6">
              <w:rPr>
                <w:sz w:val="20"/>
                <w:szCs w:val="20"/>
                <w:lang w:val="nb-NO"/>
              </w:rPr>
              <w:t>Avtozma</w:t>
            </w:r>
            <w:r w:rsidRPr="00A942F6">
              <w:rPr>
                <w:sz w:val="20"/>
                <w:szCs w:val="20"/>
                <w:lang w:val="nb-NO"/>
              </w:rPr>
              <w:t>-behandlingen</w:t>
            </w:r>
          </w:p>
          <w:p w14:paraId="23ABCB42" w14:textId="77777777" w:rsidR="008877F8" w:rsidRPr="00A942F6" w:rsidRDefault="008877F8" w:rsidP="00641834">
            <w:pPr>
              <w:pStyle w:val="TableParagraph"/>
              <w:rPr>
                <w:sz w:val="20"/>
                <w:szCs w:val="20"/>
                <w:lang w:val="nb-NO"/>
              </w:rPr>
            </w:pPr>
            <w:r w:rsidRPr="00A942F6">
              <w:rPr>
                <w:sz w:val="20"/>
                <w:szCs w:val="20"/>
                <w:lang w:val="nb-NO"/>
              </w:rPr>
              <w:t>annenhver uke og øk til injisering hver uke, dersom klinisk hensiktsmessig.</w:t>
            </w:r>
          </w:p>
        </w:tc>
      </w:tr>
      <w:tr w:rsidR="008877F8" w:rsidRPr="00A942F6" w14:paraId="48004978" w14:textId="77777777" w:rsidTr="003175D5">
        <w:trPr>
          <w:cantSplit/>
          <w:trHeight w:val="20"/>
        </w:trPr>
        <w:tc>
          <w:tcPr>
            <w:tcW w:w="2760" w:type="dxa"/>
          </w:tcPr>
          <w:p w14:paraId="1A221EEF" w14:textId="77777777" w:rsidR="008877F8" w:rsidRPr="00A942F6" w:rsidRDefault="008877F8" w:rsidP="00641834">
            <w:pPr>
              <w:pStyle w:val="TableParagraph"/>
              <w:rPr>
                <w:sz w:val="20"/>
                <w:szCs w:val="20"/>
                <w:lang w:val="nb-NO"/>
              </w:rPr>
            </w:pPr>
            <w:r w:rsidRPr="00A942F6">
              <w:rPr>
                <w:sz w:val="20"/>
                <w:szCs w:val="20"/>
                <w:lang w:val="nb-NO"/>
              </w:rPr>
              <w:t>ANC &lt; 0,5</w:t>
            </w:r>
          </w:p>
        </w:tc>
        <w:tc>
          <w:tcPr>
            <w:tcW w:w="6295" w:type="dxa"/>
          </w:tcPr>
          <w:p w14:paraId="2A0975FE" w14:textId="29634F4F" w:rsidR="008877F8" w:rsidRPr="00A942F6" w:rsidRDefault="008877F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tc>
      </w:tr>
    </w:tbl>
    <w:p w14:paraId="4E0F6346" w14:textId="77777777" w:rsidR="008877F8" w:rsidRPr="00A942F6" w:rsidRDefault="008877F8" w:rsidP="00641834">
      <w:pPr>
        <w:rPr>
          <w:lang w:val="nb-NO"/>
        </w:rPr>
      </w:pPr>
    </w:p>
    <w:p w14:paraId="3F6056BC" w14:textId="77777777" w:rsidR="008877F8" w:rsidRPr="00A942F6" w:rsidRDefault="008877F8" w:rsidP="00641834">
      <w:pPr>
        <w:pStyle w:val="Bullet1cm"/>
        <w:rPr>
          <w:lang w:val="nb-NO"/>
        </w:rPr>
      </w:pPr>
      <w:r w:rsidRPr="00A942F6">
        <w:rPr>
          <w:lang w:val="nb-NO"/>
        </w:rPr>
        <w:t>Lavt platetall</w:t>
      </w:r>
    </w:p>
    <w:p w14:paraId="6DEC501F" w14:textId="77777777" w:rsidR="008877F8" w:rsidRPr="00A942F6" w:rsidRDefault="008877F8" w:rsidP="00641834">
      <w:pPr>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0"/>
        <w:gridCol w:w="6295"/>
      </w:tblGrid>
      <w:tr w:rsidR="008877F8" w:rsidRPr="00A942F6" w14:paraId="4C957318" w14:textId="77777777" w:rsidTr="003175D5">
        <w:trPr>
          <w:cantSplit/>
          <w:trHeight w:val="20"/>
          <w:tblHeader/>
        </w:trPr>
        <w:tc>
          <w:tcPr>
            <w:tcW w:w="2760" w:type="dxa"/>
          </w:tcPr>
          <w:p w14:paraId="1DCAAFB2" w14:textId="77777777" w:rsidR="008877F8" w:rsidRPr="00A942F6" w:rsidRDefault="008877F8" w:rsidP="00641834">
            <w:pPr>
              <w:pStyle w:val="TableParagraph"/>
              <w:jc w:val="center"/>
              <w:rPr>
                <w:sz w:val="20"/>
                <w:szCs w:val="20"/>
                <w:lang w:val="nb-NO"/>
              </w:rPr>
            </w:pPr>
            <w:r w:rsidRPr="00A942F6">
              <w:rPr>
                <w:sz w:val="20"/>
                <w:szCs w:val="20"/>
                <w:lang w:val="nb-NO"/>
              </w:rPr>
              <w:t>Laboratorieverdi</w:t>
            </w:r>
          </w:p>
          <w:p w14:paraId="03C31204" w14:textId="77777777" w:rsidR="008877F8" w:rsidRPr="00A942F6" w:rsidRDefault="008877F8" w:rsidP="00641834">
            <w:pPr>
              <w:pStyle w:val="TableParagraph"/>
              <w:jc w:val="center"/>
              <w:rPr>
                <w:sz w:val="20"/>
                <w:szCs w:val="20"/>
                <w:lang w:val="nb-NO"/>
              </w:rPr>
            </w:pPr>
            <w:r w:rsidRPr="00A942F6">
              <w:rPr>
                <w:sz w:val="20"/>
                <w:szCs w:val="20"/>
                <w:lang w:val="nb-NO"/>
              </w:rPr>
              <w:t>(celler x 10</w:t>
            </w:r>
            <w:r w:rsidRPr="00A942F6">
              <w:rPr>
                <w:sz w:val="20"/>
                <w:szCs w:val="20"/>
                <w:vertAlign w:val="superscript"/>
                <w:lang w:val="nb-NO"/>
              </w:rPr>
              <w:t>3</w:t>
            </w:r>
            <w:r w:rsidRPr="00A942F6">
              <w:rPr>
                <w:sz w:val="20"/>
                <w:szCs w:val="20"/>
                <w:lang w:val="nb-NO"/>
              </w:rPr>
              <w:t>/mikroliter)</w:t>
            </w:r>
          </w:p>
        </w:tc>
        <w:tc>
          <w:tcPr>
            <w:tcW w:w="6295" w:type="dxa"/>
          </w:tcPr>
          <w:p w14:paraId="6D96C877" w14:textId="77777777" w:rsidR="008877F8" w:rsidRPr="00A942F6" w:rsidRDefault="008877F8" w:rsidP="00641834">
            <w:pPr>
              <w:pStyle w:val="TableParagraph"/>
              <w:jc w:val="center"/>
              <w:rPr>
                <w:sz w:val="20"/>
                <w:szCs w:val="20"/>
                <w:lang w:val="nb-NO"/>
              </w:rPr>
            </w:pPr>
            <w:r w:rsidRPr="00A942F6">
              <w:rPr>
                <w:sz w:val="20"/>
                <w:szCs w:val="20"/>
                <w:lang w:val="nb-NO"/>
              </w:rPr>
              <w:t>Tiltak</w:t>
            </w:r>
          </w:p>
        </w:tc>
      </w:tr>
      <w:tr w:rsidR="008877F8" w:rsidRPr="00B477E5" w14:paraId="7BD15F0B" w14:textId="77777777" w:rsidTr="003175D5">
        <w:trPr>
          <w:cantSplit/>
          <w:trHeight w:val="20"/>
        </w:trPr>
        <w:tc>
          <w:tcPr>
            <w:tcW w:w="2760" w:type="dxa"/>
          </w:tcPr>
          <w:p w14:paraId="1C6D2EEC" w14:textId="77777777" w:rsidR="008877F8" w:rsidRPr="00A942F6" w:rsidRDefault="008877F8" w:rsidP="00641834">
            <w:pPr>
              <w:pStyle w:val="TableParagraph"/>
              <w:rPr>
                <w:sz w:val="20"/>
                <w:szCs w:val="20"/>
                <w:lang w:val="nb-NO"/>
              </w:rPr>
            </w:pPr>
            <w:r w:rsidRPr="00A942F6">
              <w:rPr>
                <w:sz w:val="20"/>
                <w:szCs w:val="20"/>
                <w:lang w:val="nb-NO"/>
              </w:rPr>
              <w:t>50 til 100</w:t>
            </w:r>
          </w:p>
        </w:tc>
        <w:tc>
          <w:tcPr>
            <w:tcW w:w="6295" w:type="dxa"/>
          </w:tcPr>
          <w:p w14:paraId="23ADC6FD" w14:textId="61E65E97" w:rsidR="008877F8" w:rsidRPr="00A942F6" w:rsidRDefault="008877F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w:t>
            </w:r>
          </w:p>
          <w:p w14:paraId="5CB794AD" w14:textId="77777777" w:rsidR="00152DC5" w:rsidRPr="00A942F6" w:rsidRDefault="00152DC5" w:rsidP="00641834">
            <w:pPr>
              <w:pStyle w:val="TableParagraph"/>
              <w:rPr>
                <w:sz w:val="20"/>
                <w:szCs w:val="20"/>
                <w:lang w:val="nb-NO"/>
              </w:rPr>
            </w:pPr>
          </w:p>
          <w:p w14:paraId="09CF969B" w14:textId="5DC7BF57" w:rsidR="008877F8" w:rsidRPr="00A942F6" w:rsidRDefault="008877F8" w:rsidP="00641834">
            <w:pPr>
              <w:pStyle w:val="TableParagraph"/>
              <w:rPr>
                <w:sz w:val="20"/>
                <w:szCs w:val="20"/>
                <w:lang w:val="nb-NO"/>
              </w:rPr>
            </w:pPr>
            <w:r w:rsidRPr="00A942F6">
              <w:rPr>
                <w:sz w:val="20"/>
                <w:szCs w:val="20"/>
                <w:lang w:val="nb-NO"/>
              </w:rPr>
              <w:t>Når platetallet &gt; 100 x 10</w:t>
            </w:r>
            <w:r w:rsidRPr="00A942F6">
              <w:rPr>
                <w:sz w:val="20"/>
                <w:szCs w:val="20"/>
                <w:vertAlign w:val="superscript"/>
                <w:lang w:val="nb-NO"/>
              </w:rPr>
              <w:t>3</w:t>
            </w:r>
            <w:r w:rsidRPr="00A942F6">
              <w:rPr>
                <w:sz w:val="20"/>
                <w:szCs w:val="20"/>
                <w:lang w:val="nb-NO"/>
              </w:rPr>
              <w:t xml:space="preserve">/mikroliter, gjenoppta </w:t>
            </w:r>
            <w:r w:rsidR="00923E68" w:rsidRPr="00A942F6">
              <w:rPr>
                <w:sz w:val="20"/>
                <w:szCs w:val="20"/>
                <w:lang w:val="nb-NO"/>
              </w:rPr>
              <w:t>Avtozma</w:t>
            </w:r>
            <w:r w:rsidRPr="00A942F6">
              <w:rPr>
                <w:sz w:val="20"/>
                <w:szCs w:val="20"/>
                <w:lang w:val="nb-NO"/>
              </w:rPr>
              <w:t>- behandlingen annenhver uke og øk til injisering hver uke, dersom klinisk hensiktsmessig.</w:t>
            </w:r>
          </w:p>
        </w:tc>
      </w:tr>
      <w:tr w:rsidR="008877F8" w:rsidRPr="00A942F6" w14:paraId="6F771C0E" w14:textId="77777777" w:rsidTr="003175D5">
        <w:trPr>
          <w:cantSplit/>
          <w:trHeight w:val="20"/>
        </w:trPr>
        <w:tc>
          <w:tcPr>
            <w:tcW w:w="2760" w:type="dxa"/>
          </w:tcPr>
          <w:p w14:paraId="2A3825AE" w14:textId="77777777" w:rsidR="008877F8" w:rsidRPr="00A942F6" w:rsidRDefault="008877F8" w:rsidP="00641834">
            <w:pPr>
              <w:pStyle w:val="TableParagraph"/>
              <w:rPr>
                <w:sz w:val="20"/>
                <w:szCs w:val="20"/>
                <w:lang w:val="nb-NO"/>
              </w:rPr>
            </w:pPr>
            <w:r w:rsidRPr="00A942F6">
              <w:rPr>
                <w:sz w:val="20"/>
                <w:szCs w:val="20"/>
                <w:lang w:val="nb-NO"/>
              </w:rPr>
              <w:t>&lt; 50</w:t>
            </w:r>
          </w:p>
        </w:tc>
        <w:tc>
          <w:tcPr>
            <w:tcW w:w="6295" w:type="dxa"/>
          </w:tcPr>
          <w:p w14:paraId="470A4147" w14:textId="53044971" w:rsidR="008877F8" w:rsidRPr="00A942F6" w:rsidRDefault="008877F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tc>
      </w:tr>
    </w:tbl>
    <w:p w14:paraId="477C2811" w14:textId="77777777" w:rsidR="008877F8" w:rsidRPr="00A942F6" w:rsidRDefault="008877F8" w:rsidP="00641834">
      <w:pPr>
        <w:rPr>
          <w:lang w:val="nb-NO"/>
        </w:rPr>
      </w:pPr>
    </w:p>
    <w:p w14:paraId="0119EC12" w14:textId="77777777" w:rsidR="008877F8" w:rsidRPr="00A942F6" w:rsidRDefault="008877F8" w:rsidP="00641834">
      <w:pPr>
        <w:pStyle w:val="Style1underline"/>
        <w:rPr>
          <w:lang w:val="nb-NO"/>
        </w:rPr>
      </w:pPr>
      <w:r w:rsidRPr="00A942F6">
        <w:rPr>
          <w:lang w:val="nb-NO"/>
        </w:rPr>
        <w:t>RA og GCA</w:t>
      </w:r>
    </w:p>
    <w:p w14:paraId="5A82247C" w14:textId="77777777" w:rsidR="008877F8" w:rsidRPr="00A942F6" w:rsidRDefault="008877F8" w:rsidP="00641834">
      <w:pPr>
        <w:rPr>
          <w:lang w:val="nb-NO"/>
        </w:rPr>
      </w:pPr>
    </w:p>
    <w:p w14:paraId="4DBEA0DC" w14:textId="77777777" w:rsidR="008877F8" w:rsidRPr="00A942F6" w:rsidRDefault="008877F8" w:rsidP="00641834">
      <w:pPr>
        <w:pStyle w:val="Style1underline"/>
        <w:rPr>
          <w:lang w:val="nb-NO"/>
        </w:rPr>
      </w:pPr>
      <w:r w:rsidRPr="00A942F6">
        <w:rPr>
          <w:lang w:val="nb-NO"/>
        </w:rPr>
        <w:t>Glemt dose</w:t>
      </w:r>
    </w:p>
    <w:p w14:paraId="252DE7DF" w14:textId="30409202" w:rsidR="008877F8" w:rsidRPr="00A942F6" w:rsidRDefault="008877F8" w:rsidP="00641834">
      <w:pPr>
        <w:rPr>
          <w:lang w:val="nb-NO"/>
        </w:rPr>
      </w:pPr>
      <w:r w:rsidRPr="00A942F6">
        <w:rPr>
          <w:lang w:val="nb-NO"/>
        </w:rPr>
        <w:t xml:space="preserve">Hvis en pasient glemmer en subkutan, ukentlig injeksjon med </w:t>
      </w:r>
      <w:r w:rsidR="00923E68" w:rsidRPr="00A942F6">
        <w:rPr>
          <w:lang w:val="nb-NO"/>
        </w:rPr>
        <w:t>Avtozma</w:t>
      </w:r>
      <w:r w:rsidRPr="00A942F6">
        <w:rPr>
          <w:lang w:val="nb-NO"/>
        </w:rPr>
        <w:t xml:space="preserve"> innen 7 dager etter planlagt dose, bør han/hun instrueres til å ta den glemte dosen på neste planlagte dato. Hvis en pasient glemmer en subkutan, annenhver uke-injeksjon av </w:t>
      </w:r>
      <w:r w:rsidR="00923E68" w:rsidRPr="00A942F6">
        <w:rPr>
          <w:lang w:val="nb-NO"/>
        </w:rPr>
        <w:t>Avtozma</w:t>
      </w:r>
      <w:r w:rsidRPr="00A942F6">
        <w:rPr>
          <w:lang w:val="nb-NO"/>
        </w:rPr>
        <w:t xml:space="preserve"> innen 7 dager etter planlagt dose, bør han/hun instrueres til å ta den glemte dosen øyeblikkelig, og den neste dosen på neste planlagte dato.</w:t>
      </w:r>
    </w:p>
    <w:p w14:paraId="6D252895" w14:textId="77777777" w:rsidR="008877F8" w:rsidRPr="00A942F6" w:rsidRDefault="008877F8" w:rsidP="00641834">
      <w:pPr>
        <w:rPr>
          <w:lang w:val="nb-NO"/>
        </w:rPr>
      </w:pPr>
    </w:p>
    <w:p w14:paraId="4592BC69" w14:textId="77777777" w:rsidR="008877F8" w:rsidRPr="00A942F6" w:rsidRDefault="008877F8" w:rsidP="00641834">
      <w:pPr>
        <w:pStyle w:val="Style1underline"/>
        <w:rPr>
          <w:lang w:val="nb-NO"/>
        </w:rPr>
      </w:pPr>
      <w:r w:rsidRPr="00A942F6">
        <w:rPr>
          <w:lang w:val="nb-NO"/>
        </w:rPr>
        <w:lastRenderedPageBreak/>
        <w:t>Spesielle populasjoner</w:t>
      </w:r>
    </w:p>
    <w:p w14:paraId="2952F1B8" w14:textId="77777777" w:rsidR="008877F8" w:rsidRPr="00A942F6" w:rsidRDefault="008877F8" w:rsidP="0036729A">
      <w:pPr>
        <w:keepNext/>
        <w:rPr>
          <w:lang w:val="nb-NO"/>
        </w:rPr>
      </w:pPr>
    </w:p>
    <w:p w14:paraId="6E0FF70F" w14:textId="77777777" w:rsidR="008877F8" w:rsidRPr="00A942F6" w:rsidRDefault="008877F8" w:rsidP="00641834">
      <w:pPr>
        <w:pStyle w:val="Style1Iitaic"/>
        <w:rPr>
          <w:lang w:val="nb-NO"/>
        </w:rPr>
      </w:pPr>
      <w:r w:rsidRPr="00A942F6">
        <w:rPr>
          <w:lang w:val="nb-NO"/>
        </w:rPr>
        <w:t>Eldre</w:t>
      </w:r>
    </w:p>
    <w:p w14:paraId="7585E4C5" w14:textId="77777777" w:rsidR="008877F8" w:rsidRPr="00A942F6" w:rsidRDefault="008877F8" w:rsidP="00641834">
      <w:pPr>
        <w:rPr>
          <w:lang w:val="nb-NO"/>
        </w:rPr>
      </w:pPr>
      <w:r w:rsidRPr="00A942F6">
        <w:rPr>
          <w:lang w:val="nb-NO"/>
        </w:rPr>
        <w:t>Dosejustering er ikke nødvendig hos eldre pasienter &gt; 65 år .</w:t>
      </w:r>
    </w:p>
    <w:p w14:paraId="2CA6502E" w14:textId="77777777" w:rsidR="008877F8" w:rsidRPr="00A942F6" w:rsidRDefault="008877F8" w:rsidP="00641834">
      <w:pPr>
        <w:rPr>
          <w:lang w:val="nb-NO"/>
        </w:rPr>
      </w:pPr>
    </w:p>
    <w:p w14:paraId="035EBCDF" w14:textId="77777777" w:rsidR="008877F8" w:rsidRPr="00A942F6" w:rsidRDefault="008877F8" w:rsidP="00641834">
      <w:pPr>
        <w:pStyle w:val="Style1Iitaic"/>
        <w:rPr>
          <w:lang w:val="nb-NO"/>
        </w:rPr>
      </w:pPr>
      <w:r w:rsidRPr="00A942F6">
        <w:rPr>
          <w:lang w:val="nb-NO"/>
        </w:rPr>
        <w:t>Nedsatt nyrefunksjon</w:t>
      </w:r>
    </w:p>
    <w:p w14:paraId="6480676A" w14:textId="382E33F0" w:rsidR="008877F8" w:rsidRPr="00A942F6" w:rsidRDefault="008877F8" w:rsidP="00641834">
      <w:pPr>
        <w:rPr>
          <w:lang w:val="nb-NO"/>
        </w:rPr>
      </w:pPr>
      <w:r w:rsidRPr="00A942F6">
        <w:rPr>
          <w:lang w:val="nb-NO"/>
        </w:rPr>
        <w:t xml:space="preserve">Dosejustering er ikke nødvendig hos pasienter med lett eller moderat nedsatt nyrefunksjon. </w:t>
      </w:r>
      <w:r w:rsidR="00923E68" w:rsidRPr="00A942F6">
        <w:rPr>
          <w:lang w:val="nb-NO"/>
        </w:rPr>
        <w:t>Avtozma</w:t>
      </w:r>
      <w:r w:rsidRPr="00A942F6">
        <w:rPr>
          <w:lang w:val="nb-NO"/>
        </w:rPr>
        <w:t xml:space="preserve"> er ikke undersøkt hos pasienter med alvorlig nedsatt nyrefunksjon (se pkt. 5.2). Nyrefunksjonen bør monitoreres nøye hos disse pasientene.</w:t>
      </w:r>
    </w:p>
    <w:p w14:paraId="2D0C3463" w14:textId="77777777" w:rsidR="008877F8" w:rsidRPr="00A942F6" w:rsidRDefault="008877F8" w:rsidP="00641834">
      <w:pPr>
        <w:rPr>
          <w:lang w:val="nb-NO"/>
        </w:rPr>
      </w:pPr>
    </w:p>
    <w:p w14:paraId="48427C80" w14:textId="77777777" w:rsidR="008877F8" w:rsidRPr="00A942F6" w:rsidRDefault="008877F8" w:rsidP="00641834">
      <w:pPr>
        <w:pStyle w:val="Style1Iitaic"/>
        <w:rPr>
          <w:lang w:val="nb-NO"/>
        </w:rPr>
      </w:pPr>
      <w:r w:rsidRPr="00A942F6">
        <w:rPr>
          <w:lang w:val="nb-NO"/>
        </w:rPr>
        <w:t>Nedsatt leverfunksjon</w:t>
      </w:r>
    </w:p>
    <w:p w14:paraId="39AF1FBB" w14:textId="5F8B5687" w:rsidR="008877F8" w:rsidRPr="00A942F6" w:rsidRDefault="00923E68" w:rsidP="00641834">
      <w:pPr>
        <w:rPr>
          <w:lang w:val="nb-NO"/>
        </w:rPr>
      </w:pPr>
      <w:r w:rsidRPr="00A942F6">
        <w:rPr>
          <w:lang w:val="nb-NO"/>
        </w:rPr>
        <w:t>Avtozma</w:t>
      </w:r>
      <w:r w:rsidR="008877F8" w:rsidRPr="00A942F6">
        <w:rPr>
          <w:lang w:val="nb-NO"/>
        </w:rPr>
        <w:t xml:space="preserve"> er ikke studert hos pasienter med nedsatt leverfunksjon. Doseanbefaling kan derfor ikke gis.</w:t>
      </w:r>
    </w:p>
    <w:p w14:paraId="0E610BA0" w14:textId="77777777" w:rsidR="000B63D8" w:rsidRPr="00A942F6" w:rsidRDefault="000B63D8" w:rsidP="00641834">
      <w:pPr>
        <w:rPr>
          <w:lang w:val="nb-NO"/>
        </w:rPr>
      </w:pPr>
    </w:p>
    <w:p w14:paraId="3C079F90" w14:textId="77777777" w:rsidR="008877F8" w:rsidRPr="00A942F6" w:rsidRDefault="008877F8" w:rsidP="00641834">
      <w:pPr>
        <w:pStyle w:val="Style1Iitaic"/>
        <w:rPr>
          <w:lang w:val="nb-NO"/>
        </w:rPr>
      </w:pPr>
      <w:r w:rsidRPr="00A942F6">
        <w:rPr>
          <w:lang w:val="nb-NO"/>
        </w:rPr>
        <w:t>Pediatriske pasienter</w:t>
      </w:r>
    </w:p>
    <w:p w14:paraId="0B813820" w14:textId="7F8358CC" w:rsidR="008877F8" w:rsidRPr="00A942F6" w:rsidRDefault="008877F8" w:rsidP="00641834">
      <w:pPr>
        <w:rPr>
          <w:lang w:val="nb-NO"/>
        </w:rPr>
      </w:pPr>
      <w:r w:rsidRPr="00A942F6">
        <w:rPr>
          <w:lang w:val="nb-NO"/>
        </w:rPr>
        <w:t xml:space="preserve">Sikkerhet og effekt av subkutan formulering av </w:t>
      </w:r>
      <w:r w:rsidR="00923E68" w:rsidRPr="00A942F6">
        <w:rPr>
          <w:lang w:val="nb-NO"/>
        </w:rPr>
        <w:t>Avtozma</w:t>
      </w:r>
      <w:r w:rsidRPr="00A942F6">
        <w:rPr>
          <w:lang w:val="nb-NO"/>
        </w:rPr>
        <w:t xml:space="preserve"> hos barn fra fødselen til under 1 år er ikke fastslått. Det er ingen tilgjengelige data.</w:t>
      </w:r>
    </w:p>
    <w:p w14:paraId="7752CACF" w14:textId="77777777" w:rsidR="000B63D8" w:rsidRPr="00A942F6" w:rsidRDefault="000B63D8" w:rsidP="00641834">
      <w:pPr>
        <w:rPr>
          <w:lang w:val="nb-NO"/>
        </w:rPr>
      </w:pPr>
    </w:p>
    <w:p w14:paraId="3E3B6754" w14:textId="6CF28F8E" w:rsidR="008877F8" w:rsidRPr="00A942F6" w:rsidRDefault="008877F8" w:rsidP="00641834">
      <w:pPr>
        <w:rPr>
          <w:lang w:val="nb-NO"/>
        </w:rPr>
      </w:pPr>
      <w:r w:rsidRPr="00A942F6">
        <w:rPr>
          <w:lang w:val="nb-NO"/>
        </w:rPr>
        <w:t xml:space="preserve">Endring av dosen skal bare skje på bakgrunn av en vedvarende endring av pasientens kroppsvekt over tid. </w:t>
      </w:r>
      <w:r w:rsidR="00923E68" w:rsidRPr="00A942F6">
        <w:rPr>
          <w:lang w:val="nb-NO"/>
        </w:rPr>
        <w:t>Avtozma</w:t>
      </w:r>
      <w:r w:rsidRPr="00A942F6">
        <w:rPr>
          <w:lang w:val="nb-NO"/>
        </w:rPr>
        <w:t xml:space="preserve"> kan brukes alene eller i kombinasjon med metotreksat.</w:t>
      </w:r>
    </w:p>
    <w:p w14:paraId="07F7CC5F" w14:textId="77777777" w:rsidR="000B63D8" w:rsidRPr="00A942F6" w:rsidRDefault="000B63D8" w:rsidP="00641834">
      <w:pPr>
        <w:rPr>
          <w:lang w:val="nb-NO"/>
        </w:rPr>
      </w:pPr>
    </w:p>
    <w:p w14:paraId="48681D98" w14:textId="77777777" w:rsidR="008877F8" w:rsidRPr="00A942F6" w:rsidRDefault="008877F8" w:rsidP="00641834">
      <w:pPr>
        <w:pStyle w:val="Style1Iitaic"/>
        <w:rPr>
          <w:lang w:val="nb-NO"/>
        </w:rPr>
      </w:pPr>
      <w:r w:rsidRPr="00A942F6">
        <w:rPr>
          <w:lang w:val="nb-NO"/>
        </w:rPr>
        <w:t>sJIA-pasienter:</w:t>
      </w:r>
    </w:p>
    <w:p w14:paraId="5D443C30" w14:textId="77777777" w:rsidR="008877F8" w:rsidRPr="00A942F6" w:rsidRDefault="008877F8" w:rsidP="00641834">
      <w:pPr>
        <w:rPr>
          <w:lang w:val="nb-NO"/>
        </w:rPr>
      </w:pPr>
      <w:r w:rsidRPr="00A942F6">
        <w:rPr>
          <w:lang w:val="nb-NO"/>
        </w:rPr>
        <w:t>Anbefalt dosering for pasienter fra 1 år og oppover er 162 mg subkutant én gang per uke hos pasienter som veier 30 kg eller mer, eller 162 mg subkutant én gang annenhver uke hos pasienter som veier mindre enn 30 kg.</w:t>
      </w:r>
    </w:p>
    <w:p w14:paraId="1DC5F3D4" w14:textId="307A27C2" w:rsidR="008877F8" w:rsidRPr="00A942F6" w:rsidRDefault="008877F8" w:rsidP="00641834">
      <w:pPr>
        <w:rPr>
          <w:lang w:val="nb-NO"/>
        </w:rPr>
      </w:pPr>
      <w:r w:rsidRPr="00A942F6">
        <w:rPr>
          <w:lang w:val="nb-NO"/>
        </w:rPr>
        <w:t xml:space="preserve">Pasienter må ha en kroppsvekt på minimum 10 kg når de får </w:t>
      </w:r>
      <w:r w:rsidR="00923E68" w:rsidRPr="00A942F6">
        <w:rPr>
          <w:lang w:val="nb-NO"/>
        </w:rPr>
        <w:t>Avtozma</w:t>
      </w:r>
      <w:r w:rsidRPr="00A942F6">
        <w:rPr>
          <w:lang w:val="nb-NO"/>
        </w:rPr>
        <w:t xml:space="preserve"> subkutant.</w:t>
      </w:r>
    </w:p>
    <w:p w14:paraId="4E27BF31" w14:textId="77777777" w:rsidR="008877F8" w:rsidRPr="00A942F6" w:rsidRDefault="008877F8" w:rsidP="00641834">
      <w:pPr>
        <w:rPr>
          <w:lang w:val="nb-NO"/>
        </w:rPr>
      </w:pPr>
    </w:p>
    <w:p w14:paraId="65DE96F6" w14:textId="77777777" w:rsidR="008877F8" w:rsidRPr="00A942F6" w:rsidRDefault="008877F8" w:rsidP="00641834">
      <w:pPr>
        <w:pStyle w:val="Style1Iitaic"/>
        <w:rPr>
          <w:lang w:val="nb-NO"/>
        </w:rPr>
      </w:pPr>
      <w:r w:rsidRPr="00A942F6">
        <w:rPr>
          <w:lang w:val="nb-NO"/>
        </w:rPr>
        <w:t>pJIA-pasienter:</w:t>
      </w:r>
    </w:p>
    <w:p w14:paraId="2752453E" w14:textId="77777777" w:rsidR="008877F8" w:rsidRPr="00A942F6" w:rsidRDefault="008877F8" w:rsidP="00641834">
      <w:pPr>
        <w:rPr>
          <w:lang w:val="nb-NO"/>
        </w:rPr>
      </w:pPr>
      <w:r w:rsidRPr="00A942F6">
        <w:rPr>
          <w:lang w:val="nb-NO"/>
        </w:rPr>
        <w:t>Anbefalt dose for pasienter fra 2 år og oppover er 162 mg subkutant én gang annenhver uke til pasienter som veier 30 kg eller mer, eller 162 mg subkutant én gang hver tredje uke til pasienter som veier mindre enn 30 kg.</w:t>
      </w:r>
    </w:p>
    <w:p w14:paraId="1A372841" w14:textId="77777777" w:rsidR="008877F8" w:rsidRPr="00A942F6" w:rsidRDefault="008877F8" w:rsidP="00641834">
      <w:pPr>
        <w:rPr>
          <w:lang w:val="nb-NO"/>
        </w:rPr>
      </w:pPr>
    </w:p>
    <w:p w14:paraId="510FF917" w14:textId="77777777" w:rsidR="008877F8" w:rsidRPr="00A942F6" w:rsidRDefault="008877F8" w:rsidP="00641834">
      <w:pPr>
        <w:pStyle w:val="Style1underline"/>
        <w:rPr>
          <w:lang w:val="nb-NO"/>
        </w:rPr>
      </w:pPr>
      <w:r w:rsidRPr="00A942F6">
        <w:rPr>
          <w:lang w:val="nb-NO"/>
        </w:rPr>
        <w:t>Dosejustering på grunn av unormale laboratorieprøver (sJIA og pJIA)</w:t>
      </w:r>
    </w:p>
    <w:p w14:paraId="6CD3B906" w14:textId="77777777" w:rsidR="008877F8" w:rsidRPr="00A942F6" w:rsidRDefault="008877F8" w:rsidP="00641834">
      <w:pPr>
        <w:rPr>
          <w:lang w:val="nb-NO"/>
        </w:rPr>
      </w:pPr>
    </w:p>
    <w:p w14:paraId="116E1AF0" w14:textId="77777777" w:rsidR="008877F8" w:rsidRPr="00A942F6" w:rsidRDefault="008877F8" w:rsidP="00641834">
      <w:pPr>
        <w:rPr>
          <w:lang w:val="nb-NO"/>
        </w:rPr>
      </w:pPr>
      <w:r w:rsidRPr="00A942F6">
        <w:rPr>
          <w:lang w:val="nb-NO"/>
        </w:rPr>
        <w:t>Dersom det er hensiktsmessig, bør dosen av samtidig administrert metotreksat og/eller andre medikamenter justeres eller seponeres, og administrasjonen av tocilizumab bør avbrytes inntil den kliniske situasjonen er vurdert. Da det er mange komorbide tilstander som kan påvirke laboratorieverdiene ved sJIA eller pJIA, bør beslutningen om å seponere tocilizumab på grunn av unormale laboratorieverdier, være basert på en medisinsk vurdering av den aktuelle pasienten.</w:t>
      </w:r>
    </w:p>
    <w:p w14:paraId="480C1120" w14:textId="77777777" w:rsidR="008877F8" w:rsidRPr="00A942F6" w:rsidRDefault="008877F8" w:rsidP="00641834">
      <w:pPr>
        <w:rPr>
          <w:lang w:val="nb-NO"/>
        </w:rPr>
      </w:pPr>
    </w:p>
    <w:p w14:paraId="11F9CB59" w14:textId="77777777" w:rsidR="008877F8" w:rsidRPr="00A942F6" w:rsidRDefault="008877F8" w:rsidP="00641834">
      <w:pPr>
        <w:pStyle w:val="Bullet1cm"/>
        <w:rPr>
          <w:lang w:val="nb-NO"/>
        </w:rPr>
      </w:pPr>
      <w:r w:rsidRPr="00A942F6">
        <w:rPr>
          <w:lang w:val="nb-NO"/>
        </w:rPr>
        <w:t>Unormale leverenzymverdier</w:t>
      </w:r>
    </w:p>
    <w:p w14:paraId="36FADD30" w14:textId="77777777" w:rsidR="008877F8" w:rsidRPr="00A942F6" w:rsidRDefault="008877F8"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5463"/>
      </w:tblGrid>
      <w:tr w:rsidR="008877F8" w:rsidRPr="00A942F6" w14:paraId="0DA716CD" w14:textId="77777777" w:rsidTr="00E1582A">
        <w:trPr>
          <w:cantSplit/>
          <w:trHeight w:val="20"/>
          <w:tblHeader/>
        </w:trPr>
        <w:tc>
          <w:tcPr>
            <w:tcW w:w="2441" w:type="dxa"/>
          </w:tcPr>
          <w:p w14:paraId="51045BB2" w14:textId="77777777" w:rsidR="008877F8" w:rsidRPr="00A942F6" w:rsidRDefault="008877F8" w:rsidP="00641834">
            <w:pPr>
              <w:pStyle w:val="TableParagraph"/>
              <w:jc w:val="center"/>
              <w:rPr>
                <w:b/>
                <w:sz w:val="20"/>
                <w:szCs w:val="20"/>
                <w:lang w:val="nb-NO"/>
              </w:rPr>
            </w:pPr>
            <w:r w:rsidRPr="00A942F6">
              <w:rPr>
                <w:b/>
                <w:sz w:val="20"/>
                <w:szCs w:val="20"/>
                <w:lang w:val="nb-NO"/>
              </w:rPr>
              <w:t>Laboratorie- verdier</w:t>
            </w:r>
          </w:p>
        </w:tc>
        <w:tc>
          <w:tcPr>
            <w:tcW w:w="5463" w:type="dxa"/>
          </w:tcPr>
          <w:p w14:paraId="2F3E8CAA" w14:textId="77777777" w:rsidR="008877F8" w:rsidRPr="00A942F6" w:rsidRDefault="008877F8" w:rsidP="00641834">
            <w:pPr>
              <w:pStyle w:val="TableParagraph"/>
              <w:jc w:val="center"/>
              <w:rPr>
                <w:b/>
                <w:sz w:val="20"/>
                <w:szCs w:val="20"/>
                <w:lang w:val="nb-NO"/>
              </w:rPr>
            </w:pPr>
            <w:r w:rsidRPr="00A942F6">
              <w:rPr>
                <w:b/>
                <w:sz w:val="20"/>
                <w:szCs w:val="20"/>
                <w:lang w:val="nb-NO"/>
              </w:rPr>
              <w:t>Tiltak</w:t>
            </w:r>
          </w:p>
        </w:tc>
      </w:tr>
      <w:tr w:rsidR="008877F8" w:rsidRPr="00B477E5" w14:paraId="5EDCDF9E" w14:textId="77777777" w:rsidTr="00E1582A">
        <w:trPr>
          <w:cantSplit/>
          <w:trHeight w:val="20"/>
        </w:trPr>
        <w:tc>
          <w:tcPr>
            <w:tcW w:w="2441" w:type="dxa"/>
          </w:tcPr>
          <w:p w14:paraId="5E225D0F" w14:textId="77777777" w:rsidR="008877F8" w:rsidRPr="00A942F6" w:rsidRDefault="008877F8" w:rsidP="00641834">
            <w:pPr>
              <w:pStyle w:val="TableParagraph"/>
              <w:rPr>
                <w:sz w:val="20"/>
                <w:szCs w:val="20"/>
                <w:lang w:val="nb-NO"/>
              </w:rPr>
            </w:pPr>
            <w:r w:rsidRPr="00A942F6">
              <w:rPr>
                <w:sz w:val="20"/>
                <w:szCs w:val="20"/>
                <w:lang w:val="nb-NO"/>
              </w:rPr>
              <w:t>&gt; 1 til 3 x ULN</w:t>
            </w:r>
          </w:p>
        </w:tc>
        <w:tc>
          <w:tcPr>
            <w:tcW w:w="5463" w:type="dxa"/>
          </w:tcPr>
          <w:p w14:paraId="6758F731" w14:textId="77777777" w:rsidR="008877F8" w:rsidRPr="00A942F6" w:rsidRDefault="008877F8" w:rsidP="00641834">
            <w:pPr>
              <w:pStyle w:val="TableParagraph"/>
              <w:rPr>
                <w:sz w:val="20"/>
                <w:szCs w:val="20"/>
                <w:lang w:val="nb-NO"/>
              </w:rPr>
            </w:pPr>
            <w:r w:rsidRPr="00A942F6">
              <w:rPr>
                <w:sz w:val="20"/>
                <w:szCs w:val="20"/>
                <w:lang w:val="nb-NO"/>
              </w:rPr>
              <w:t>Juster dosen av samtidig metotreksat hvis nødvendig</w:t>
            </w:r>
          </w:p>
          <w:p w14:paraId="5B0FFE79" w14:textId="77777777" w:rsidR="008877F8" w:rsidRPr="00A942F6" w:rsidRDefault="008877F8" w:rsidP="00641834">
            <w:pPr>
              <w:pStyle w:val="TableParagraph"/>
              <w:rPr>
                <w:sz w:val="20"/>
                <w:szCs w:val="20"/>
                <w:lang w:val="nb-NO"/>
              </w:rPr>
            </w:pPr>
          </w:p>
          <w:p w14:paraId="0FA24279" w14:textId="595409FA" w:rsidR="008877F8" w:rsidRPr="00A942F6" w:rsidRDefault="008877F8" w:rsidP="00641834">
            <w:pPr>
              <w:pStyle w:val="TableParagraph"/>
              <w:rPr>
                <w:sz w:val="20"/>
                <w:szCs w:val="20"/>
                <w:lang w:val="nb-NO"/>
              </w:rPr>
            </w:pPr>
            <w:r w:rsidRPr="00A942F6">
              <w:rPr>
                <w:sz w:val="20"/>
                <w:szCs w:val="20"/>
                <w:lang w:val="nb-NO"/>
              </w:rPr>
              <w:t xml:space="preserve">Ved vedvarende forhøyede verdier innenfor dette området, avbryt behandlingen med </w:t>
            </w:r>
            <w:r w:rsidR="00923E68" w:rsidRPr="00A942F6">
              <w:rPr>
                <w:sz w:val="20"/>
                <w:szCs w:val="20"/>
                <w:lang w:val="nb-NO"/>
              </w:rPr>
              <w:t>Avtozma</w:t>
            </w:r>
            <w:r w:rsidRPr="00A942F6">
              <w:rPr>
                <w:sz w:val="20"/>
                <w:szCs w:val="20"/>
                <w:lang w:val="nb-NO"/>
              </w:rPr>
              <w:t xml:space="preserve"> inntil alaninamino- transferase (ALAT) eller aspartataminotransferase (ASAT) er normalisert.</w:t>
            </w:r>
          </w:p>
        </w:tc>
      </w:tr>
      <w:tr w:rsidR="008877F8" w:rsidRPr="00B477E5" w14:paraId="1AD7F68F" w14:textId="77777777" w:rsidTr="00E1582A">
        <w:trPr>
          <w:cantSplit/>
          <w:trHeight w:val="20"/>
        </w:trPr>
        <w:tc>
          <w:tcPr>
            <w:tcW w:w="2441" w:type="dxa"/>
          </w:tcPr>
          <w:p w14:paraId="5A7B8B0F" w14:textId="77777777" w:rsidR="008877F8" w:rsidRPr="00A942F6" w:rsidRDefault="008877F8" w:rsidP="00641834">
            <w:pPr>
              <w:pStyle w:val="TableParagraph"/>
              <w:rPr>
                <w:sz w:val="20"/>
                <w:szCs w:val="20"/>
                <w:lang w:val="nb-NO"/>
              </w:rPr>
            </w:pPr>
            <w:r w:rsidRPr="00A942F6">
              <w:rPr>
                <w:sz w:val="20"/>
                <w:szCs w:val="20"/>
                <w:lang w:val="nb-NO"/>
              </w:rPr>
              <w:t>&gt; 3 til 5 x ULN</w:t>
            </w:r>
          </w:p>
        </w:tc>
        <w:tc>
          <w:tcPr>
            <w:tcW w:w="5463" w:type="dxa"/>
          </w:tcPr>
          <w:p w14:paraId="5092B669" w14:textId="77777777" w:rsidR="008877F8" w:rsidRPr="00A942F6" w:rsidRDefault="008877F8" w:rsidP="00641834">
            <w:pPr>
              <w:pStyle w:val="TableParagraph"/>
              <w:rPr>
                <w:sz w:val="20"/>
                <w:szCs w:val="20"/>
                <w:lang w:val="nb-NO"/>
              </w:rPr>
            </w:pPr>
            <w:r w:rsidRPr="00A942F6">
              <w:rPr>
                <w:sz w:val="20"/>
                <w:szCs w:val="20"/>
                <w:lang w:val="nb-NO"/>
              </w:rPr>
              <w:t>Juster dosen av samtidig metotreksat hvis nødvendig</w:t>
            </w:r>
          </w:p>
          <w:p w14:paraId="276CAC91" w14:textId="77777777" w:rsidR="008877F8" w:rsidRPr="00A942F6" w:rsidRDefault="008877F8" w:rsidP="00641834">
            <w:pPr>
              <w:pStyle w:val="TableParagraph"/>
              <w:rPr>
                <w:sz w:val="20"/>
                <w:szCs w:val="20"/>
                <w:lang w:val="nb-NO"/>
              </w:rPr>
            </w:pPr>
          </w:p>
          <w:p w14:paraId="0F250906" w14:textId="080FA71F" w:rsidR="008877F8" w:rsidRPr="00A942F6" w:rsidRDefault="008877F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inntil &lt; 3 x ULN, og følg anbefalinger over for &gt; 1 til 3 x ULN</w:t>
            </w:r>
          </w:p>
        </w:tc>
      </w:tr>
      <w:tr w:rsidR="008877F8" w:rsidRPr="00B477E5" w14:paraId="7455D5B1" w14:textId="77777777" w:rsidTr="00E1582A">
        <w:trPr>
          <w:cantSplit/>
          <w:trHeight w:val="20"/>
        </w:trPr>
        <w:tc>
          <w:tcPr>
            <w:tcW w:w="2441" w:type="dxa"/>
          </w:tcPr>
          <w:p w14:paraId="6A1A9B72" w14:textId="77777777" w:rsidR="008877F8" w:rsidRPr="00A942F6" w:rsidRDefault="008877F8" w:rsidP="00641834">
            <w:pPr>
              <w:pStyle w:val="TableParagraph"/>
              <w:rPr>
                <w:sz w:val="20"/>
                <w:szCs w:val="20"/>
                <w:lang w:val="nb-NO"/>
              </w:rPr>
            </w:pPr>
            <w:r w:rsidRPr="00A942F6">
              <w:rPr>
                <w:sz w:val="20"/>
                <w:szCs w:val="20"/>
                <w:lang w:val="nb-NO"/>
              </w:rPr>
              <w:t>&gt; 5 x ULN</w:t>
            </w:r>
          </w:p>
        </w:tc>
        <w:tc>
          <w:tcPr>
            <w:tcW w:w="5463" w:type="dxa"/>
          </w:tcPr>
          <w:p w14:paraId="19CA59E7" w14:textId="5B8B07EF" w:rsidR="008877F8" w:rsidRPr="00A942F6" w:rsidRDefault="008877F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02E7C591" w14:textId="77777777" w:rsidR="00C02048" w:rsidRPr="00A942F6" w:rsidRDefault="00C02048" w:rsidP="00641834">
            <w:pPr>
              <w:pStyle w:val="TableParagraph"/>
              <w:rPr>
                <w:sz w:val="20"/>
                <w:szCs w:val="20"/>
                <w:lang w:val="nb-NO"/>
              </w:rPr>
            </w:pPr>
          </w:p>
          <w:p w14:paraId="10930C91" w14:textId="7FBC3416" w:rsidR="008877F8" w:rsidRPr="00A942F6" w:rsidRDefault="008877F8"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eller pJIA på grunn av unormale laboratorieverdier skal baseres på medisinsk vurdering av hver enkelt pasient</w:t>
            </w:r>
          </w:p>
        </w:tc>
      </w:tr>
    </w:tbl>
    <w:p w14:paraId="1BF3CEEE" w14:textId="77777777" w:rsidR="008877F8" w:rsidRPr="00A942F6" w:rsidRDefault="008877F8" w:rsidP="00641834">
      <w:pPr>
        <w:rPr>
          <w:lang w:val="nb-NO"/>
        </w:rPr>
      </w:pPr>
    </w:p>
    <w:p w14:paraId="73563C07" w14:textId="77777777" w:rsidR="008877F8" w:rsidRPr="00A942F6" w:rsidRDefault="008877F8" w:rsidP="00641834">
      <w:pPr>
        <w:pStyle w:val="Bullet1cm"/>
        <w:rPr>
          <w:lang w:val="nb-NO"/>
        </w:rPr>
      </w:pPr>
      <w:r w:rsidRPr="00A942F6">
        <w:rPr>
          <w:lang w:val="nb-NO"/>
        </w:rPr>
        <w:lastRenderedPageBreak/>
        <w:t>Lavt absolutt nøytrofiltall (ANC)</w:t>
      </w:r>
    </w:p>
    <w:p w14:paraId="4E49C1E4" w14:textId="77777777" w:rsidR="008877F8" w:rsidRPr="00A942F6" w:rsidRDefault="008877F8" w:rsidP="00641834">
      <w:pPr>
        <w:rPr>
          <w:lang w:val="nb-NO"/>
        </w:rPr>
      </w:pPr>
    </w:p>
    <w:tbl>
      <w:tblPr>
        <w:tblW w:w="7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5445"/>
      </w:tblGrid>
      <w:tr w:rsidR="008877F8" w:rsidRPr="00A942F6" w14:paraId="1701F56C" w14:textId="77777777" w:rsidTr="00E1582A">
        <w:trPr>
          <w:cantSplit/>
          <w:trHeight w:val="20"/>
          <w:tblHeader/>
        </w:trPr>
        <w:tc>
          <w:tcPr>
            <w:tcW w:w="2413" w:type="dxa"/>
          </w:tcPr>
          <w:p w14:paraId="7EA030A6" w14:textId="77777777" w:rsidR="008877F8" w:rsidRPr="00A942F6" w:rsidRDefault="008877F8" w:rsidP="00641834">
            <w:pPr>
              <w:pStyle w:val="TableParagraph"/>
              <w:jc w:val="center"/>
              <w:rPr>
                <w:b/>
                <w:sz w:val="20"/>
                <w:szCs w:val="20"/>
                <w:lang w:val="nb-NO"/>
              </w:rPr>
            </w:pPr>
            <w:r w:rsidRPr="00A942F6">
              <w:rPr>
                <w:b/>
                <w:sz w:val="20"/>
                <w:szCs w:val="20"/>
                <w:lang w:val="nb-NO"/>
              </w:rPr>
              <w:t>Laboratorie- verdier (celler x 10</w:t>
            </w:r>
            <w:r w:rsidRPr="00A942F6">
              <w:rPr>
                <w:b/>
                <w:sz w:val="20"/>
                <w:szCs w:val="20"/>
                <w:vertAlign w:val="superscript"/>
                <w:lang w:val="nb-NO"/>
              </w:rPr>
              <w:t>9</w:t>
            </w:r>
            <w:r w:rsidRPr="00A942F6">
              <w:rPr>
                <w:b/>
                <w:sz w:val="20"/>
                <w:szCs w:val="20"/>
                <w:lang w:val="nb-NO"/>
              </w:rPr>
              <w:t>/ liter )</w:t>
            </w:r>
          </w:p>
        </w:tc>
        <w:tc>
          <w:tcPr>
            <w:tcW w:w="5445" w:type="dxa"/>
          </w:tcPr>
          <w:p w14:paraId="627754ED" w14:textId="77777777" w:rsidR="008877F8" w:rsidRPr="00A942F6" w:rsidRDefault="008877F8" w:rsidP="00641834">
            <w:pPr>
              <w:pStyle w:val="TableParagraph"/>
              <w:jc w:val="center"/>
              <w:rPr>
                <w:b/>
                <w:sz w:val="20"/>
                <w:szCs w:val="20"/>
                <w:lang w:val="nb-NO"/>
              </w:rPr>
            </w:pPr>
            <w:r w:rsidRPr="00A942F6">
              <w:rPr>
                <w:b/>
                <w:sz w:val="20"/>
                <w:szCs w:val="20"/>
                <w:lang w:val="nb-NO"/>
              </w:rPr>
              <w:t>Tiltak</w:t>
            </w:r>
          </w:p>
        </w:tc>
      </w:tr>
      <w:tr w:rsidR="008877F8" w:rsidRPr="00A942F6" w14:paraId="140B9A03" w14:textId="77777777" w:rsidTr="00E1582A">
        <w:trPr>
          <w:cantSplit/>
          <w:trHeight w:val="20"/>
        </w:trPr>
        <w:tc>
          <w:tcPr>
            <w:tcW w:w="2413" w:type="dxa"/>
          </w:tcPr>
          <w:p w14:paraId="4130E43C" w14:textId="77777777" w:rsidR="008877F8" w:rsidRPr="00A942F6" w:rsidRDefault="008877F8" w:rsidP="00641834">
            <w:pPr>
              <w:pStyle w:val="TableParagraph"/>
              <w:rPr>
                <w:sz w:val="20"/>
                <w:szCs w:val="20"/>
                <w:lang w:val="nb-NO"/>
              </w:rPr>
            </w:pPr>
            <w:r w:rsidRPr="00A942F6">
              <w:rPr>
                <w:sz w:val="20"/>
                <w:szCs w:val="20"/>
                <w:lang w:val="nb-NO"/>
              </w:rPr>
              <w:t>ANC &gt; 1</w:t>
            </w:r>
          </w:p>
        </w:tc>
        <w:tc>
          <w:tcPr>
            <w:tcW w:w="5445" w:type="dxa"/>
          </w:tcPr>
          <w:p w14:paraId="0BB0ADE3" w14:textId="77777777" w:rsidR="008877F8" w:rsidRPr="00A942F6" w:rsidRDefault="008877F8" w:rsidP="00641834">
            <w:pPr>
              <w:pStyle w:val="TableParagraph"/>
              <w:rPr>
                <w:sz w:val="20"/>
                <w:szCs w:val="20"/>
                <w:lang w:val="nb-NO"/>
              </w:rPr>
            </w:pPr>
            <w:r w:rsidRPr="00A942F6">
              <w:rPr>
                <w:sz w:val="20"/>
                <w:szCs w:val="20"/>
                <w:lang w:val="nb-NO"/>
              </w:rPr>
              <w:t>Oppretthold dose</w:t>
            </w:r>
          </w:p>
        </w:tc>
      </w:tr>
      <w:tr w:rsidR="008877F8" w:rsidRPr="00B477E5" w14:paraId="57A5BFCC" w14:textId="77777777" w:rsidTr="00E1582A">
        <w:trPr>
          <w:cantSplit/>
          <w:trHeight w:val="20"/>
        </w:trPr>
        <w:tc>
          <w:tcPr>
            <w:tcW w:w="2413" w:type="dxa"/>
          </w:tcPr>
          <w:p w14:paraId="1C200F94" w14:textId="77777777" w:rsidR="008877F8" w:rsidRPr="00A942F6" w:rsidRDefault="008877F8" w:rsidP="00641834">
            <w:pPr>
              <w:pStyle w:val="TableParagraph"/>
              <w:rPr>
                <w:sz w:val="20"/>
                <w:szCs w:val="20"/>
                <w:lang w:val="nb-NO"/>
              </w:rPr>
            </w:pPr>
            <w:r w:rsidRPr="00A942F6">
              <w:rPr>
                <w:sz w:val="20"/>
                <w:szCs w:val="20"/>
                <w:lang w:val="nb-NO"/>
              </w:rPr>
              <w:t>ANC 0,5 til 1</w:t>
            </w:r>
          </w:p>
        </w:tc>
        <w:tc>
          <w:tcPr>
            <w:tcW w:w="5445" w:type="dxa"/>
          </w:tcPr>
          <w:p w14:paraId="150253DF" w14:textId="72272F25" w:rsidR="008877F8" w:rsidRPr="00A942F6" w:rsidRDefault="008877F8" w:rsidP="00641834">
            <w:pPr>
              <w:pStyle w:val="TableParagraph"/>
              <w:rPr>
                <w:sz w:val="20"/>
                <w:szCs w:val="20"/>
                <w:lang w:val="nb-NO"/>
              </w:rPr>
            </w:pPr>
            <w:r w:rsidRPr="00A942F6">
              <w:rPr>
                <w:sz w:val="20"/>
                <w:szCs w:val="20"/>
                <w:lang w:val="nb-NO"/>
              </w:rPr>
              <w:t xml:space="preserve">Avbryt behandling med </w:t>
            </w:r>
            <w:r w:rsidR="00923E68" w:rsidRPr="00A942F6">
              <w:rPr>
                <w:sz w:val="20"/>
                <w:szCs w:val="20"/>
                <w:lang w:val="nb-NO"/>
              </w:rPr>
              <w:t>Avtozma</w:t>
            </w:r>
          </w:p>
          <w:p w14:paraId="155840D8" w14:textId="77777777" w:rsidR="00C02048" w:rsidRPr="00A942F6" w:rsidRDefault="00C02048" w:rsidP="00641834">
            <w:pPr>
              <w:pStyle w:val="TableParagraph"/>
              <w:rPr>
                <w:sz w:val="20"/>
                <w:szCs w:val="20"/>
                <w:lang w:val="nb-NO"/>
              </w:rPr>
            </w:pPr>
          </w:p>
          <w:p w14:paraId="75BC6619" w14:textId="644881B8" w:rsidR="008877F8" w:rsidRPr="00A942F6" w:rsidRDefault="008877F8" w:rsidP="00641834">
            <w:pPr>
              <w:pStyle w:val="TableParagraph"/>
              <w:rPr>
                <w:sz w:val="20"/>
                <w:szCs w:val="20"/>
                <w:lang w:val="nb-NO"/>
              </w:rPr>
            </w:pPr>
            <w:r w:rsidRPr="00A942F6">
              <w:rPr>
                <w:sz w:val="20"/>
                <w:szCs w:val="20"/>
                <w:lang w:val="nb-NO"/>
              </w:rPr>
              <w:t xml:space="preserve">Gjenoppta behandling med </w:t>
            </w:r>
            <w:r w:rsidR="00923E68" w:rsidRPr="00A942F6">
              <w:rPr>
                <w:sz w:val="20"/>
                <w:szCs w:val="20"/>
                <w:lang w:val="nb-NO"/>
              </w:rPr>
              <w:t>Avtozma</w:t>
            </w:r>
            <w:r w:rsidRPr="00A942F6">
              <w:rPr>
                <w:sz w:val="20"/>
                <w:szCs w:val="20"/>
                <w:lang w:val="nb-NO"/>
              </w:rPr>
              <w:t xml:space="preserve"> når ANC øker til &gt; 1 x 10</w:t>
            </w:r>
            <w:r w:rsidRPr="00A942F6">
              <w:rPr>
                <w:sz w:val="20"/>
                <w:szCs w:val="20"/>
                <w:vertAlign w:val="superscript"/>
                <w:lang w:val="nb-NO"/>
              </w:rPr>
              <w:t>9</w:t>
            </w:r>
            <w:r w:rsidRPr="00A942F6">
              <w:rPr>
                <w:sz w:val="20"/>
                <w:szCs w:val="20"/>
                <w:lang w:val="nb-NO"/>
              </w:rPr>
              <w:t>/ liter</w:t>
            </w:r>
          </w:p>
        </w:tc>
      </w:tr>
      <w:tr w:rsidR="008877F8" w:rsidRPr="00B477E5" w14:paraId="73F469CB" w14:textId="77777777" w:rsidTr="00E1582A">
        <w:trPr>
          <w:cantSplit/>
          <w:trHeight w:val="20"/>
        </w:trPr>
        <w:tc>
          <w:tcPr>
            <w:tcW w:w="2413" w:type="dxa"/>
          </w:tcPr>
          <w:p w14:paraId="0CBBD28C" w14:textId="77777777" w:rsidR="008877F8" w:rsidRPr="00A942F6" w:rsidRDefault="008877F8" w:rsidP="00641834">
            <w:pPr>
              <w:pStyle w:val="TableParagraph"/>
              <w:rPr>
                <w:sz w:val="20"/>
                <w:szCs w:val="20"/>
                <w:lang w:val="nb-NO"/>
              </w:rPr>
            </w:pPr>
            <w:r w:rsidRPr="00A942F6">
              <w:rPr>
                <w:sz w:val="20"/>
                <w:szCs w:val="20"/>
                <w:lang w:val="nb-NO"/>
              </w:rPr>
              <w:t>ANC &lt; 0,5</w:t>
            </w:r>
          </w:p>
        </w:tc>
        <w:tc>
          <w:tcPr>
            <w:tcW w:w="5445" w:type="dxa"/>
          </w:tcPr>
          <w:p w14:paraId="1C890BBE" w14:textId="4CA5639C" w:rsidR="008877F8" w:rsidRPr="00A942F6" w:rsidRDefault="008877F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50944B6B" w14:textId="77777777" w:rsidR="00C02048" w:rsidRPr="00A942F6" w:rsidRDefault="00C02048" w:rsidP="00641834">
            <w:pPr>
              <w:pStyle w:val="TableParagraph"/>
              <w:rPr>
                <w:sz w:val="20"/>
                <w:szCs w:val="20"/>
                <w:lang w:val="nb-NO"/>
              </w:rPr>
            </w:pPr>
          </w:p>
          <w:p w14:paraId="641E2814" w14:textId="7FEB237F" w:rsidR="008877F8" w:rsidRPr="00A942F6" w:rsidRDefault="008877F8"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eller pJIA på grunn av unormale laboratorieverdier skal baseres på medisinsk vurdering av hver enkelt pasient</w:t>
            </w:r>
          </w:p>
        </w:tc>
      </w:tr>
    </w:tbl>
    <w:p w14:paraId="028B8B7C" w14:textId="77777777" w:rsidR="008877F8" w:rsidRPr="00A942F6" w:rsidRDefault="008877F8" w:rsidP="00641834">
      <w:pPr>
        <w:rPr>
          <w:lang w:val="nb-NO"/>
        </w:rPr>
      </w:pPr>
    </w:p>
    <w:p w14:paraId="3E72B58A" w14:textId="77777777" w:rsidR="008877F8" w:rsidRPr="00A942F6" w:rsidRDefault="008877F8" w:rsidP="00641834">
      <w:pPr>
        <w:pStyle w:val="Bullet1cm"/>
        <w:keepNext/>
        <w:rPr>
          <w:lang w:val="nb-NO"/>
        </w:rPr>
      </w:pPr>
      <w:r w:rsidRPr="00A942F6">
        <w:rPr>
          <w:lang w:val="nb-NO"/>
        </w:rPr>
        <w:t>Lavt platetall</w:t>
      </w:r>
    </w:p>
    <w:p w14:paraId="51AB5064" w14:textId="77777777" w:rsidR="008877F8" w:rsidRPr="00A942F6" w:rsidRDefault="008877F8" w:rsidP="00641834">
      <w:pPr>
        <w:keepNext/>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5264"/>
      </w:tblGrid>
      <w:tr w:rsidR="008877F8" w:rsidRPr="00A942F6" w14:paraId="15B730F9" w14:textId="77777777" w:rsidTr="00E1582A">
        <w:trPr>
          <w:cantSplit/>
          <w:trHeight w:val="20"/>
          <w:tblHeader/>
        </w:trPr>
        <w:tc>
          <w:tcPr>
            <w:tcW w:w="2553" w:type="dxa"/>
          </w:tcPr>
          <w:p w14:paraId="3437F454" w14:textId="77777777" w:rsidR="008877F8" w:rsidRPr="00A942F6" w:rsidRDefault="008877F8" w:rsidP="00641834">
            <w:pPr>
              <w:pStyle w:val="TableParagraph"/>
              <w:jc w:val="center"/>
              <w:rPr>
                <w:b/>
                <w:sz w:val="20"/>
                <w:szCs w:val="20"/>
                <w:lang w:val="nb-NO"/>
              </w:rPr>
            </w:pPr>
            <w:r w:rsidRPr="00A942F6">
              <w:rPr>
                <w:b/>
                <w:sz w:val="20"/>
                <w:szCs w:val="20"/>
                <w:lang w:val="nb-NO"/>
              </w:rPr>
              <w:t>Laboratorie- verdier (celler x</w:t>
            </w:r>
            <w:r w:rsidR="00F4296C" w:rsidRPr="00A942F6">
              <w:rPr>
                <w:b/>
                <w:sz w:val="20"/>
                <w:szCs w:val="20"/>
                <w:lang w:val="nb-NO"/>
              </w:rPr>
              <w:t xml:space="preserve"> </w:t>
            </w:r>
            <w:r w:rsidRPr="00A942F6">
              <w:rPr>
                <w:b/>
                <w:sz w:val="20"/>
                <w:szCs w:val="20"/>
                <w:lang w:val="nb-NO"/>
              </w:rPr>
              <w:t>10</w:t>
            </w:r>
            <w:r w:rsidRPr="00A942F6">
              <w:rPr>
                <w:b/>
                <w:sz w:val="20"/>
                <w:szCs w:val="20"/>
                <w:vertAlign w:val="superscript"/>
                <w:lang w:val="nb-NO"/>
              </w:rPr>
              <w:t>3</w:t>
            </w:r>
            <w:r w:rsidRPr="00A942F6">
              <w:rPr>
                <w:b/>
                <w:sz w:val="20"/>
                <w:szCs w:val="20"/>
                <w:lang w:val="nb-NO"/>
              </w:rPr>
              <w:t>/mikroliter)</w:t>
            </w:r>
          </w:p>
        </w:tc>
        <w:tc>
          <w:tcPr>
            <w:tcW w:w="5264" w:type="dxa"/>
          </w:tcPr>
          <w:p w14:paraId="61A518D9" w14:textId="77777777" w:rsidR="008877F8" w:rsidRPr="00A942F6" w:rsidRDefault="008877F8" w:rsidP="00641834">
            <w:pPr>
              <w:pStyle w:val="TableParagraph"/>
              <w:jc w:val="center"/>
              <w:rPr>
                <w:b/>
                <w:sz w:val="20"/>
                <w:szCs w:val="20"/>
                <w:lang w:val="nb-NO"/>
              </w:rPr>
            </w:pPr>
            <w:r w:rsidRPr="00A942F6">
              <w:rPr>
                <w:b/>
                <w:sz w:val="20"/>
                <w:szCs w:val="20"/>
                <w:lang w:val="nb-NO"/>
              </w:rPr>
              <w:t>Tiltak</w:t>
            </w:r>
          </w:p>
        </w:tc>
      </w:tr>
      <w:tr w:rsidR="008877F8" w:rsidRPr="00B477E5" w14:paraId="6E723586" w14:textId="77777777" w:rsidTr="00E1582A">
        <w:trPr>
          <w:cantSplit/>
          <w:trHeight w:val="20"/>
        </w:trPr>
        <w:tc>
          <w:tcPr>
            <w:tcW w:w="2553" w:type="dxa"/>
          </w:tcPr>
          <w:p w14:paraId="2FDE88C4" w14:textId="77777777" w:rsidR="008877F8" w:rsidRPr="00A942F6" w:rsidRDefault="008877F8" w:rsidP="00641834">
            <w:pPr>
              <w:pStyle w:val="TableParagraph"/>
              <w:rPr>
                <w:sz w:val="20"/>
                <w:szCs w:val="20"/>
                <w:lang w:val="nb-NO"/>
              </w:rPr>
            </w:pPr>
            <w:r w:rsidRPr="00A942F6">
              <w:rPr>
                <w:sz w:val="20"/>
                <w:szCs w:val="20"/>
                <w:lang w:val="nb-NO"/>
              </w:rPr>
              <w:t>50 til 100</w:t>
            </w:r>
          </w:p>
        </w:tc>
        <w:tc>
          <w:tcPr>
            <w:tcW w:w="5264" w:type="dxa"/>
          </w:tcPr>
          <w:p w14:paraId="0731858C" w14:textId="77777777" w:rsidR="00C02048" w:rsidRPr="00A942F6" w:rsidRDefault="008877F8" w:rsidP="00641834">
            <w:pPr>
              <w:pStyle w:val="TableParagraph"/>
              <w:rPr>
                <w:sz w:val="20"/>
                <w:szCs w:val="20"/>
                <w:lang w:val="nb-NO"/>
              </w:rPr>
            </w:pPr>
            <w:r w:rsidRPr="00A942F6">
              <w:rPr>
                <w:sz w:val="20"/>
                <w:szCs w:val="20"/>
                <w:lang w:val="nb-NO"/>
              </w:rPr>
              <w:t>Juster dosen av samt</w:t>
            </w:r>
            <w:r w:rsidR="00C02048" w:rsidRPr="00A942F6">
              <w:rPr>
                <w:sz w:val="20"/>
                <w:szCs w:val="20"/>
                <w:lang w:val="nb-NO"/>
              </w:rPr>
              <w:t>idig metotreksat hvis nødvendig</w:t>
            </w:r>
          </w:p>
          <w:p w14:paraId="11DD0422" w14:textId="77777777" w:rsidR="00C02048" w:rsidRPr="00A942F6" w:rsidRDefault="00C02048" w:rsidP="00641834">
            <w:pPr>
              <w:pStyle w:val="TableParagraph"/>
              <w:rPr>
                <w:sz w:val="20"/>
                <w:szCs w:val="20"/>
                <w:lang w:val="nb-NO"/>
              </w:rPr>
            </w:pPr>
          </w:p>
          <w:p w14:paraId="66F44FA3" w14:textId="7ABDB871" w:rsidR="008877F8" w:rsidRPr="00A942F6" w:rsidRDefault="008877F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459FFE66" w14:textId="77777777" w:rsidR="00C02048" w:rsidRPr="00A942F6" w:rsidRDefault="00C02048" w:rsidP="00641834">
            <w:pPr>
              <w:pStyle w:val="TableParagraph"/>
              <w:rPr>
                <w:sz w:val="20"/>
                <w:szCs w:val="20"/>
                <w:lang w:val="nb-NO"/>
              </w:rPr>
            </w:pPr>
          </w:p>
          <w:p w14:paraId="25EF7542" w14:textId="5B59CA40" w:rsidR="008877F8" w:rsidRPr="00A942F6" w:rsidRDefault="008877F8" w:rsidP="00641834">
            <w:pPr>
              <w:pStyle w:val="TableParagraph"/>
              <w:rPr>
                <w:sz w:val="20"/>
                <w:szCs w:val="20"/>
                <w:lang w:val="nb-NO"/>
              </w:rPr>
            </w:pPr>
            <w:r w:rsidRPr="00A942F6">
              <w:rPr>
                <w:sz w:val="20"/>
                <w:szCs w:val="20"/>
                <w:lang w:val="nb-NO"/>
              </w:rPr>
              <w:t xml:space="preserve">Gjenoppta behandlingen med </w:t>
            </w:r>
            <w:r w:rsidR="00923E68" w:rsidRPr="00A942F6">
              <w:rPr>
                <w:sz w:val="20"/>
                <w:szCs w:val="20"/>
                <w:lang w:val="nb-NO"/>
              </w:rPr>
              <w:t>Avtozma</w:t>
            </w:r>
            <w:r w:rsidRPr="00A942F6">
              <w:rPr>
                <w:sz w:val="20"/>
                <w:szCs w:val="20"/>
                <w:lang w:val="nb-NO"/>
              </w:rPr>
              <w:t xml:space="preserve"> når platetallet er </w:t>
            </w:r>
            <w:r w:rsidR="00FE6881" w:rsidRPr="00A942F6">
              <w:rPr>
                <w:sz w:val="20"/>
                <w:szCs w:val="20"/>
                <w:lang w:val="nb-NO"/>
              </w:rPr>
              <w:t>&gt; </w:t>
            </w:r>
            <w:r w:rsidRPr="00A942F6">
              <w:rPr>
                <w:sz w:val="20"/>
                <w:szCs w:val="20"/>
                <w:lang w:val="nb-NO"/>
              </w:rPr>
              <w:t>100</w:t>
            </w:r>
            <w:r w:rsidR="00FC420A">
              <w:rPr>
                <w:sz w:val="20"/>
                <w:szCs w:val="20"/>
                <w:lang w:val="nb-NO"/>
              </w:rPr>
              <w:t> </w:t>
            </w:r>
            <w:r w:rsidRPr="00A942F6">
              <w:rPr>
                <w:sz w:val="20"/>
                <w:szCs w:val="20"/>
                <w:lang w:val="nb-NO"/>
              </w:rPr>
              <w:t>x 10</w:t>
            </w:r>
            <w:r w:rsidRPr="00A942F6">
              <w:rPr>
                <w:sz w:val="20"/>
                <w:szCs w:val="20"/>
                <w:vertAlign w:val="superscript"/>
                <w:lang w:val="nb-NO"/>
              </w:rPr>
              <w:t>3</w:t>
            </w:r>
            <w:r w:rsidRPr="00A942F6">
              <w:rPr>
                <w:sz w:val="20"/>
                <w:szCs w:val="20"/>
                <w:lang w:val="nb-NO"/>
              </w:rPr>
              <w:t>/mikroliter</w:t>
            </w:r>
          </w:p>
        </w:tc>
      </w:tr>
      <w:tr w:rsidR="008877F8" w:rsidRPr="00B477E5" w14:paraId="3B65903E" w14:textId="77777777" w:rsidTr="00E1582A">
        <w:trPr>
          <w:cantSplit/>
          <w:trHeight w:val="20"/>
        </w:trPr>
        <w:tc>
          <w:tcPr>
            <w:tcW w:w="2553" w:type="dxa"/>
          </w:tcPr>
          <w:p w14:paraId="2E7C39A3" w14:textId="77777777" w:rsidR="008877F8" w:rsidRPr="00A942F6" w:rsidRDefault="008877F8" w:rsidP="00641834">
            <w:pPr>
              <w:pStyle w:val="TableParagraph"/>
              <w:rPr>
                <w:sz w:val="20"/>
                <w:szCs w:val="20"/>
                <w:lang w:val="nb-NO"/>
              </w:rPr>
            </w:pPr>
            <w:r w:rsidRPr="00A942F6">
              <w:rPr>
                <w:sz w:val="20"/>
                <w:szCs w:val="20"/>
                <w:lang w:val="nb-NO"/>
              </w:rPr>
              <w:t>&lt; 50</w:t>
            </w:r>
          </w:p>
        </w:tc>
        <w:tc>
          <w:tcPr>
            <w:tcW w:w="5264" w:type="dxa"/>
          </w:tcPr>
          <w:p w14:paraId="6EBBE1AD" w14:textId="1EB0D530" w:rsidR="008877F8" w:rsidRPr="00A942F6" w:rsidRDefault="008877F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p w14:paraId="38CDA448" w14:textId="77777777" w:rsidR="00C02048" w:rsidRPr="00A942F6" w:rsidRDefault="00C02048" w:rsidP="00641834">
            <w:pPr>
              <w:pStyle w:val="TableParagraph"/>
              <w:rPr>
                <w:sz w:val="20"/>
                <w:szCs w:val="20"/>
                <w:lang w:val="nb-NO"/>
              </w:rPr>
            </w:pPr>
          </w:p>
          <w:p w14:paraId="44243081" w14:textId="00EF6769" w:rsidR="008877F8" w:rsidRPr="00A942F6" w:rsidRDefault="008877F8"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eller pJIA ved unormale laboratorieverdier skal baseres på medisinsk vurdering av hver enkelt pasient.</w:t>
            </w:r>
          </w:p>
        </w:tc>
      </w:tr>
    </w:tbl>
    <w:p w14:paraId="425B6A06" w14:textId="77777777" w:rsidR="000B63D8" w:rsidRPr="00A942F6" w:rsidRDefault="000B63D8" w:rsidP="00641834">
      <w:pPr>
        <w:rPr>
          <w:lang w:val="nb-NO"/>
        </w:rPr>
      </w:pPr>
    </w:p>
    <w:p w14:paraId="47FF374E" w14:textId="77777777" w:rsidR="008877F8" w:rsidRPr="00A942F6" w:rsidRDefault="008877F8" w:rsidP="00641834">
      <w:pPr>
        <w:rPr>
          <w:lang w:val="nb-NO"/>
        </w:rPr>
      </w:pPr>
      <w:r w:rsidRPr="00A942F6">
        <w:rPr>
          <w:lang w:val="nb-NO"/>
        </w:rPr>
        <w:t>Reduksjon av frekvens for tocilizumabdosering på grunn av unormale laboratorieverdier er ikke undersøkt hos sJIA- eller pJIA-pasienter.</w:t>
      </w:r>
    </w:p>
    <w:p w14:paraId="24F97DFC" w14:textId="77777777" w:rsidR="000B63D8" w:rsidRPr="00A942F6" w:rsidRDefault="000B63D8" w:rsidP="00641834">
      <w:pPr>
        <w:rPr>
          <w:lang w:val="nb-NO"/>
        </w:rPr>
      </w:pPr>
    </w:p>
    <w:p w14:paraId="1262ED70" w14:textId="7B5ED9DE" w:rsidR="008877F8" w:rsidRPr="00A942F6" w:rsidRDefault="008877F8" w:rsidP="00641834">
      <w:pPr>
        <w:rPr>
          <w:lang w:val="nb-NO"/>
        </w:rPr>
      </w:pPr>
      <w:r w:rsidRPr="00A942F6">
        <w:rPr>
          <w:lang w:val="nb-NO"/>
        </w:rPr>
        <w:t xml:space="preserve">Sikkerhet og effekt av </w:t>
      </w:r>
      <w:r w:rsidR="00923E68" w:rsidRPr="00A942F6">
        <w:rPr>
          <w:lang w:val="nb-NO"/>
        </w:rPr>
        <w:t>Avtozma</w:t>
      </w:r>
      <w:r w:rsidRPr="00A942F6">
        <w:rPr>
          <w:lang w:val="nb-NO"/>
        </w:rPr>
        <w:t xml:space="preserve"> subkutan formulering hos barn med andre tilstander enn sJIA eller pJIA er ikke fastslått.</w:t>
      </w:r>
    </w:p>
    <w:p w14:paraId="783BA0B3" w14:textId="77777777" w:rsidR="000B63D8" w:rsidRPr="00A942F6" w:rsidRDefault="000B63D8" w:rsidP="00641834">
      <w:pPr>
        <w:rPr>
          <w:lang w:val="nb-NO"/>
        </w:rPr>
      </w:pPr>
    </w:p>
    <w:p w14:paraId="2290EA04" w14:textId="5FA52B3E" w:rsidR="008877F8" w:rsidRPr="00A942F6" w:rsidRDefault="008877F8" w:rsidP="00641834">
      <w:pPr>
        <w:rPr>
          <w:lang w:val="nb-NO"/>
        </w:rPr>
      </w:pPr>
      <w:r w:rsidRPr="00A942F6">
        <w:rPr>
          <w:lang w:val="nb-NO"/>
        </w:rPr>
        <w:t>Tilgjengelige data for den intravenøse formuleringen viser at klinisk forbedring observeres innen 12</w:t>
      </w:r>
      <w:r w:rsidR="00C02048" w:rsidRPr="00A942F6">
        <w:rPr>
          <w:lang w:val="nb-NO"/>
        </w:rPr>
        <w:t> </w:t>
      </w:r>
      <w:r w:rsidRPr="00A942F6">
        <w:rPr>
          <w:lang w:val="nb-NO"/>
        </w:rPr>
        <w:t xml:space="preserve">uker etter oppstart av behandling med </w:t>
      </w:r>
      <w:r w:rsidR="008303A2">
        <w:rPr>
          <w:lang w:val="nb-NO"/>
        </w:rPr>
        <w:t>tocillizumab</w:t>
      </w:r>
      <w:r w:rsidRPr="00A942F6">
        <w:rPr>
          <w:lang w:val="nb-NO"/>
        </w:rPr>
        <w:t>. Fortsatt behandling bør revurderes nøye hos pasienter som ikke viser bedring i løpet av denne tidsrammen.</w:t>
      </w:r>
    </w:p>
    <w:p w14:paraId="2C6E6004" w14:textId="77777777" w:rsidR="008877F8" w:rsidRPr="00A942F6" w:rsidRDefault="008877F8" w:rsidP="00641834">
      <w:pPr>
        <w:rPr>
          <w:lang w:val="nb-NO"/>
        </w:rPr>
      </w:pPr>
    </w:p>
    <w:p w14:paraId="216634A6" w14:textId="77777777" w:rsidR="008877F8" w:rsidRPr="00A942F6" w:rsidRDefault="008877F8" w:rsidP="00641834">
      <w:pPr>
        <w:pStyle w:val="Style1underline"/>
        <w:rPr>
          <w:lang w:val="nb-NO"/>
        </w:rPr>
      </w:pPr>
      <w:r w:rsidRPr="00A942F6">
        <w:rPr>
          <w:lang w:val="nb-NO"/>
        </w:rPr>
        <w:t>Glemt dose</w:t>
      </w:r>
    </w:p>
    <w:p w14:paraId="68FE8ACF" w14:textId="77777777" w:rsidR="000B63D8" w:rsidRPr="00A942F6" w:rsidRDefault="000B63D8" w:rsidP="00641834">
      <w:pPr>
        <w:rPr>
          <w:lang w:val="nb-NO"/>
        </w:rPr>
      </w:pPr>
    </w:p>
    <w:p w14:paraId="0820247C" w14:textId="23967F59" w:rsidR="008877F8" w:rsidRPr="00A942F6" w:rsidRDefault="008877F8" w:rsidP="00641834">
      <w:pPr>
        <w:rPr>
          <w:lang w:val="nb-NO"/>
        </w:rPr>
      </w:pPr>
      <w:r w:rsidRPr="00A942F6">
        <w:rPr>
          <w:lang w:val="nb-NO"/>
        </w:rPr>
        <w:t xml:space="preserve">Hvis en sJIA-pasient glemmer en subkutan ukentlig injeksjon med </w:t>
      </w:r>
      <w:r w:rsidR="00923E68" w:rsidRPr="00A942F6">
        <w:rPr>
          <w:lang w:val="nb-NO"/>
        </w:rPr>
        <w:t>Avtozma</w:t>
      </w:r>
      <w:r w:rsidRPr="00A942F6">
        <w:rPr>
          <w:lang w:val="nb-NO"/>
        </w:rPr>
        <w:t>, men husker det innen 7</w:t>
      </w:r>
      <w:r w:rsidR="00FC420A">
        <w:rPr>
          <w:lang w:val="nb-NO"/>
        </w:rPr>
        <w:t> </w:t>
      </w:r>
      <w:r w:rsidRPr="00A942F6">
        <w:rPr>
          <w:lang w:val="nb-NO"/>
        </w:rPr>
        <w:t>dager etter planlagt dose, skal han/hun instrueres til å ta den glemte dosen på neste planlagte dag.</w:t>
      </w:r>
    </w:p>
    <w:p w14:paraId="54245122" w14:textId="5FA042C3" w:rsidR="008877F8" w:rsidRPr="00A942F6" w:rsidRDefault="008877F8" w:rsidP="00641834">
      <w:pPr>
        <w:rPr>
          <w:lang w:val="nb-NO"/>
        </w:rPr>
      </w:pPr>
      <w:r w:rsidRPr="00A942F6">
        <w:rPr>
          <w:lang w:val="nb-NO"/>
        </w:rPr>
        <w:t xml:space="preserve">Hvis en pasient glemmer en subkutan injeksjon av </w:t>
      </w:r>
      <w:r w:rsidR="00923E68" w:rsidRPr="00A942F6">
        <w:rPr>
          <w:lang w:val="nb-NO"/>
        </w:rPr>
        <w:t>Avtozma</w:t>
      </w:r>
      <w:r w:rsidRPr="00A942F6">
        <w:rPr>
          <w:lang w:val="nb-NO"/>
        </w:rPr>
        <w:t xml:space="preserve"> som tas annenhver uke, men husker det innen 7 dager etter planlagt dose, skal han/hun instrueres til å ta den glemte dosen umiddelbart og den neste dosen på neste planlagte dag.</w:t>
      </w:r>
    </w:p>
    <w:p w14:paraId="10496603" w14:textId="77777777" w:rsidR="008877F8" w:rsidRPr="00A942F6" w:rsidRDefault="008877F8" w:rsidP="00641834">
      <w:pPr>
        <w:rPr>
          <w:lang w:val="nb-NO"/>
        </w:rPr>
      </w:pPr>
    </w:p>
    <w:p w14:paraId="6ADB40B4" w14:textId="5F7E8D34" w:rsidR="008877F8" w:rsidRPr="00A942F6" w:rsidRDefault="008877F8" w:rsidP="00641834">
      <w:pPr>
        <w:rPr>
          <w:lang w:val="nb-NO"/>
        </w:rPr>
      </w:pPr>
      <w:r w:rsidRPr="00A942F6">
        <w:rPr>
          <w:lang w:val="nb-NO"/>
        </w:rPr>
        <w:t xml:space="preserve">Hvis en pJIA-pasient glemmer en subkutan injeksjon med </w:t>
      </w:r>
      <w:r w:rsidR="00923E68" w:rsidRPr="00A942F6">
        <w:rPr>
          <w:lang w:val="nb-NO"/>
        </w:rPr>
        <w:t>Avtozma</w:t>
      </w:r>
      <w:r w:rsidRPr="00A942F6">
        <w:rPr>
          <w:lang w:val="nb-NO"/>
        </w:rPr>
        <w:t xml:space="preserve">, men husker det innen 7 dager etter planlagt dose, bør han/hun ta den glemte dosen så snart de husker det, og ta neste dose på neste planlagte dato. Hvis en pasient glemmer en subkutan injeksjon av </w:t>
      </w:r>
      <w:r w:rsidR="00923E68" w:rsidRPr="00A942F6">
        <w:rPr>
          <w:lang w:val="nb-NO"/>
        </w:rPr>
        <w:t>Avtozma</w:t>
      </w:r>
      <w:r w:rsidRPr="00A942F6">
        <w:rPr>
          <w:lang w:val="nb-NO"/>
        </w:rPr>
        <w:t xml:space="preserve"> i mer enn 7 dager etter planlagt dose eller er usikker på når </w:t>
      </w:r>
      <w:r w:rsidR="00923E68" w:rsidRPr="00A942F6">
        <w:rPr>
          <w:lang w:val="nb-NO"/>
        </w:rPr>
        <w:t>Avtozma</w:t>
      </w:r>
      <w:r w:rsidRPr="00A942F6">
        <w:rPr>
          <w:lang w:val="nb-NO"/>
        </w:rPr>
        <w:t xml:space="preserve"> skal injiseres, skal lege eller apotek kontaktes.</w:t>
      </w:r>
    </w:p>
    <w:p w14:paraId="784E1B65" w14:textId="77777777" w:rsidR="008877F8" w:rsidRPr="00A942F6" w:rsidRDefault="008877F8" w:rsidP="00641834">
      <w:pPr>
        <w:rPr>
          <w:lang w:val="nb-NO"/>
        </w:rPr>
      </w:pPr>
    </w:p>
    <w:p w14:paraId="677DE202" w14:textId="77777777" w:rsidR="000B63D8" w:rsidRPr="00A942F6" w:rsidRDefault="000B63D8" w:rsidP="00641834">
      <w:pPr>
        <w:pStyle w:val="Style1underline"/>
        <w:rPr>
          <w:lang w:val="nb-NO"/>
        </w:rPr>
      </w:pPr>
      <w:r w:rsidRPr="00A942F6">
        <w:rPr>
          <w:lang w:val="nb-NO"/>
        </w:rPr>
        <w:t>Administrasjonsmåte</w:t>
      </w:r>
    </w:p>
    <w:p w14:paraId="63544B5A" w14:textId="14FBF7E2" w:rsidR="008877F8" w:rsidRPr="00A942F6" w:rsidRDefault="00923E68" w:rsidP="00641834">
      <w:pPr>
        <w:rPr>
          <w:lang w:val="nb-NO"/>
        </w:rPr>
      </w:pPr>
      <w:r w:rsidRPr="00A942F6">
        <w:rPr>
          <w:lang w:val="nb-NO"/>
        </w:rPr>
        <w:t>Avtozma</w:t>
      </w:r>
      <w:r w:rsidR="008877F8" w:rsidRPr="00A942F6">
        <w:rPr>
          <w:lang w:val="nb-NO"/>
        </w:rPr>
        <w:t xml:space="preserve"> er til subkutan bruk.</w:t>
      </w:r>
    </w:p>
    <w:p w14:paraId="33DBB9BA" w14:textId="21615379" w:rsidR="008877F8" w:rsidRPr="00A942F6" w:rsidRDefault="008877F8" w:rsidP="00641834">
      <w:pPr>
        <w:rPr>
          <w:lang w:val="nb-NO"/>
        </w:rPr>
      </w:pPr>
      <w:r w:rsidRPr="00A942F6">
        <w:rPr>
          <w:lang w:val="nb-NO"/>
        </w:rPr>
        <w:t xml:space="preserve">Etter tilstrekkelig opplæring i injeksjonsteknikk kan pasientene selv injisere </w:t>
      </w:r>
      <w:r w:rsidR="00923E68" w:rsidRPr="00A942F6">
        <w:rPr>
          <w:lang w:val="nb-NO"/>
        </w:rPr>
        <w:t>Avtozma</w:t>
      </w:r>
      <w:r w:rsidRPr="00A942F6">
        <w:rPr>
          <w:lang w:val="nb-NO"/>
        </w:rPr>
        <w:t xml:space="preserve"> dersom legen mener det er hensiktsmessig. Det totale innholdet (0,9 ml) av den ferdigfylte sprøyten skal administreres som en subkutan injeksjon. Anbefalte injeksjonssteder (mage, lår og overarm) skal </w:t>
      </w:r>
      <w:r w:rsidRPr="00A942F6">
        <w:rPr>
          <w:lang w:val="nb-NO"/>
        </w:rPr>
        <w:lastRenderedPageBreak/>
        <w:t>roteres og injeksjoner bør aldri gis i føflekker, arr, eller områder hvor huden er øm, har blåmerker, er rød, hard, eller ikke er intakt.</w:t>
      </w:r>
    </w:p>
    <w:p w14:paraId="0F70DBFB" w14:textId="77777777" w:rsidR="000B63D8" w:rsidRPr="00A942F6" w:rsidRDefault="000B63D8" w:rsidP="00641834">
      <w:pPr>
        <w:rPr>
          <w:lang w:val="nb-NO"/>
        </w:rPr>
      </w:pPr>
    </w:p>
    <w:p w14:paraId="77B3E3A1" w14:textId="77777777" w:rsidR="008877F8" w:rsidRPr="00A942F6" w:rsidRDefault="008877F8" w:rsidP="00641834">
      <w:pPr>
        <w:keepNext/>
        <w:rPr>
          <w:lang w:val="nb-NO"/>
        </w:rPr>
      </w:pPr>
      <w:r w:rsidRPr="00A942F6">
        <w:rPr>
          <w:lang w:val="nb-NO"/>
        </w:rPr>
        <w:t>Den ferdigfylte sprøyten skal ikke ristes.</w:t>
      </w:r>
    </w:p>
    <w:p w14:paraId="4B308136" w14:textId="77777777" w:rsidR="008877F8" w:rsidRPr="00A942F6" w:rsidRDefault="008877F8" w:rsidP="00641834">
      <w:pPr>
        <w:keepNext/>
        <w:rPr>
          <w:lang w:val="nb-NO"/>
        </w:rPr>
      </w:pPr>
    </w:p>
    <w:p w14:paraId="1ED9D9D9" w14:textId="2DCC0F8A" w:rsidR="008877F8" w:rsidRPr="00A942F6" w:rsidRDefault="008877F8" w:rsidP="00641834">
      <w:pPr>
        <w:rPr>
          <w:lang w:val="nb-NO"/>
        </w:rPr>
      </w:pPr>
      <w:r w:rsidRPr="00A942F6">
        <w:rPr>
          <w:lang w:val="nb-NO"/>
        </w:rPr>
        <w:t xml:space="preserve">Pakningsvedlegget inneholder omfattende instruksjoner for administrering av </w:t>
      </w:r>
      <w:r w:rsidR="00923E68" w:rsidRPr="00A942F6">
        <w:rPr>
          <w:lang w:val="nb-NO"/>
        </w:rPr>
        <w:t>Avtozma</w:t>
      </w:r>
      <w:r w:rsidRPr="00A942F6">
        <w:rPr>
          <w:lang w:val="nb-NO"/>
        </w:rPr>
        <w:t xml:space="preserve"> i ferdigfylt sprøyte, se pkt. 6.6.</w:t>
      </w:r>
    </w:p>
    <w:p w14:paraId="26871C85" w14:textId="77777777" w:rsidR="008877F8" w:rsidRPr="00A942F6" w:rsidRDefault="008877F8" w:rsidP="00641834">
      <w:pPr>
        <w:rPr>
          <w:lang w:val="nb-NO"/>
        </w:rPr>
      </w:pPr>
    </w:p>
    <w:p w14:paraId="285DE71F" w14:textId="77777777" w:rsidR="008877F8" w:rsidRPr="00A942F6" w:rsidRDefault="008877F8" w:rsidP="00641834">
      <w:pPr>
        <w:pStyle w:val="H2"/>
        <w:rPr>
          <w:lang w:val="nb-NO"/>
        </w:rPr>
      </w:pPr>
      <w:r w:rsidRPr="00A942F6">
        <w:rPr>
          <w:lang w:val="nb-NO"/>
        </w:rPr>
        <w:t>4.3</w:t>
      </w:r>
      <w:r w:rsidRPr="00A942F6">
        <w:rPr>
          <w:lang w:val="nb-NO"/>
        </w:rPr>
        <w:tab/>
        <w:t>Kontraindikasjoner</w:t>
      </w:r>
    </w:p>
    <w:p w14:paraId="35784AB5" w14:textId="77777777" w:rsidR="00426296" w:rsidRPr="00A942F6" w:rsidRDefault="00426296" w:rsidP="00641834">
      <w:pPr>
        <w:rPr>
          <w:lang w:val="nb-NO"/>
        </w:rPr>
      </w:pPr>
    </w:p>
    <w:p w14:paraId="62D6CF4E" w14:textId="77777777" w:rsidR="000B63D8" w:rsidRPr="00A942F6" w:rsidRDefault="008877F8" w:rsidP="00641834">
      <w:pPr>
        <w:rPr>
          <w:lang w:val="nb-NO"/>
        </w:rPr>
      </w:pPr>
      <w:r w:rsidRPr="00A942F6">
        <w:rPr>
          <w:lang w:val="nb-NO"/>
        </w:rPr>
        <w:t>Overfølsomhet overfor virkestoffet eller overfor noen av hjelpestoffene listet opp i pkt. 6.1.</w:t>
      </w:r>
    </w:p>
    <w:p w14:paraId="65DBBD19" w14:textId="77777777" w:rsidR="000B63D8" w:rsidRPr="00A942F6" w:rsidRDefault="000B63D8" w:rsidP="00641834">
      <w:pPr>
        <w:rPr>
          <w:lang w:val="nb-NO"/>
        </w:rPr>
      </w:pPr>
    </w:p>
    <w:p w14:paraId="39F25926" w14:textId="77777777" w:rsidR="008877F8" w:rsidRPr="00A942F6" w:rsidRDefault="008877F8" w:rsidP="00641834">
      <w:pPr>
        <w:rPr>
          <w:lang w:val="nb-NO"/>
        </w:rPr>
      </w:pPr>
      <w:r w:rsidRPr="00A942F6">
        <w:rPr>
          <w:lang w:val="nb-NO"/>
        </w:rPr>
        <w:t>Aktive, alvorlige infeksjoner (se pkt. 4.4).</w:t>
      </w:r>
    </w:p>
    <w:p w14:paraId="2152E451" w14:textId="77777777" w:rsidR="00426296" w:rsidRPr="00A942F6" w:rsidRDefault="00426296" w:rsidP="00641834">
      <w:pPr>
        <w:pStyle w:val="H2"/>
        <w:rPr>
          <w:lang w:val="nb-NO"/>
        </w:rPr>
      </w:pPr>
    </w:p>
    <w:p w14:paraId="040DC548" w14:textId="77777777" w:rsidR="008877F8" w:rsidRPr="00A942F6" w:rsidRDefault="008877F8" w:rsidP="00641834">
      <w:pPr>
        <w:pStyle w:val="H2"/>
        <w:rPr>
          <w:lang w:val="nb-NO"/>
        </w:rPr>
      </w:pPr>
      <w:r w:rsidRPr="00A942F6">
        <w:rPr>
          <w:lang w:val="nb-NO"/>
        </w:rPr>
        <w:t>4.4</w:t>
      </w:r>
      <w:r w:rsidRPr="00A942F6">
        <w:rPr>
          <w:lang w:val="nb-NO"/>
        </w:rPr>
        <w:tab/>
        <w:t>Advarsler og forsiktighetsregler</w:t>
      </w:r>
    </w:p>
    <w:p w14:paraId="1F560412" w14:textId="77777777" w:rsidR="00426296" w:rsidRPr="00A942F6" w:rsidRDefault="00426296" w:rsidP="00641834">
      <w:pPr>
        <w:rPr>
          <w:lang w:val="nb-NO"/>
        </w:rPr>
      </w:pPr>
    </w:p>
    <w:p w14:paraId="41E6E0C2" w14:textId="087CFF06" w:rsidR="008877F8" w:rsidRPr="00A942F6" w:rsidRDefault="008877F8" w:rsidP="00641834">
      <w:pPr>
        <w:rPr>
          <w:lang w:val="nb-NO"/>
        </w:rPr>
      </w:pPr>
      <w:r w:rsidRPr="00A942F6">
        <w:rPr>
          <w:lang w:val="nb-NO"/>
        </w:rPr>
        <w:t xml:space="preserve">Subkutan formulering av </w:t>
      </w:r>
      <w:r w:rsidR="00923E68" w:rsidRPr="00A942F6">
        <w:rPr>
          <w:lang w:val="nb-NO"/>
        </w:rPr>
        <w:t>Avtozma</w:t>
      </w:r>
      <w:r w:rsidRPr="00A942F6">
        <w:rPr>
          <w:lang w:val="nb-NO"/>
        </w:rPr>
        <w:t xml:space="preserve"> skal ikke administeres intravenøst.</w:t>
      </w:r>
    </w:p>
    <w:p w14:paraId="5149517C" w14:textId="77777777" w:rsidR="008877F8" w:rsidRPr="00A942F6" w:rsidRDefault="008877F8" w:rsidP="00641834">
      <w:pPr>
        <w:rPr>
          <w:lang w:val="nb-NO"/>
        </w:rPr>
      </w:pPr>
    </w:p>
    <w:p w14:paraId="04C7E82E" w14:textId="3E502D25" w:rsidR="008877F8" w:rsidRPr="00A942F6" w:rsidRDefault="008877F8" w:rsidP="00641834">
      <w:pPr>
        <w:rPr>
          <w:lang w:val="nb-NO"/>
        </w:rPr>
      </w:pPr>
      <w:r w:rsidRPr="00A942F6">
        <w:rPr>
          <w:lang w:val="nb-NO"/>
        </w:rPr>
        <w:t xml:space="preserve">Subkutan formulering av </w:t>
      </w:r>
      <w:r w:rsidR="00923E68" w:rsidRPr="00A942F6">
        <w:rPr>
          <w:lang w:val="nb-NO"/>
        </w:rPr>
        <w:t>Avtozma</w:t>
      </w:r>
      <w:r w:rsidRPr="00A942F6">
        <w:rPr>
          <w:lang w:val="nb-NO"/>
        </w:rPr>
        <w:t xml:space="preserve"> skal ikke gis til barn med sJIA som veier mindre enn 10 kg.</w:t>
      </w:r>
    </w:p>
    <w:p w14:paraId="0422CFEE" w14:textId="77777777" w:rsidR="000B63D8" w:rsidRPr="00A942F6" w:rsidRDefault="000B63D8" w:rsidP="00641834">
      <w:pPr>
        <w:rPr>
          <w:lang w:val="nb-NO"/>
        </w:rPr>
      </w:pPr>
    </w:p>
    <w:p w14:paraId="468F9F2C" w14:textId="77777777" w:rsidR="008877F8" w:rsidRPr="00A942F6" w:rsidRDefault="008877F8" w:rsidP="00641834">
      <w:pPr>
        <w:pStyle w:val="Style1itaicunderline"/>
        <w:rPr>
          <w:lang w:val="nb-NO"/>
        </w:rPr>
      </w:pPr>
      <w:r w:rsidRPr="00A942F6">
        <w:rPr>
          <w:lang w:val="nb-NO"/>
        </w:rPr>
        <w:t>Sporbarhet</w:t>
      </w:r>
    </w:p>
    <w:p w14:paraId="0EDA404A" w14:textId="77777777" w:rsidR="008877F8" w:rsidRPr="00A942F6" w:rsidRDefault="008877F8" w:rsidP="00641834">
      <w:pPr>
        <w:rPr>
          <w:lang w:val="nb-NO"/>
        </w:rPr>
      </w:pPr>
      <w:r w:rsidRPr="00A942F6">
        <w:rPr>
          <w:lang w:val="nb-NO"/>
        </w:rPr>
        <w:t>For å forbedre sporbarheten til biologiske legemidler skal navn og batchnummer til det administrerte legemidlet protokollføres.</w:t>
      </w:r>
    </w:p>
    <w:p w14:paraId="65E12089" w14:textId="77777777" w:rsidR="000B63D8" w:rsidRPr="00A942F6" w:rsidRDefault="000B63D8" w:rsidP="00641834">
      <w:pPr>
        <w:rPr>
          <w:lang w:val="nb-NO"/>
        </w:rPr>
      </w:pPr>
    </w:p>
    <w:p w14:paraId="08AA16D1" w14:textId="77777777" w:rsidR="008877F8" w:rsidRPr="00A942F6" w:rsidRDefault="008877F8" w:rsidP="00641834">
      <w:pPr>
        <w:pStyle w:val="Style1Iitaic"/>
        <w:rPr>
          <w:lang w:val="nb-NO"/>
        </w:rPr>
      </w:pPr>
      <w:r w:rsidRPr="00A942F6">
        <w:rPr>
          <w:lang w:val="nb-NO"/>
        </w:rPr>
        <w:t>Infeksjoner</w:t>
      </w:r>
    </w:p>
    <w:p w14:paraId="003A0AC0" w14:textId="152F467A" w:rsidR="008877F8" w:rsidRPr="00A942F6" w:rsidRDefault="008877F8" w:rsidP="00641834">
      <w:pPr>
        <w:rPr>
          <w:lang w:val="nb-NO"/>
        </w:rPr>
      </w:pPr>
      <w:r w:rsidRPr="00A942F6">
        <w:rPr>
          <w:lang w:val="nb-NO"/>
        </w:rPr>
        <w:t xml:space="preserve">Alvorlige og iblant dødelige infeksjoner har blitt rapportert hos pasienter som får immunsuppressive legemidler, inkludert </w:t>
      </w:r>
      <w:r w:rsidR="002B69E7" w:rsidRPr="00A942F6">
        <w:rPr>
          <w:lang w:val="nb-NO"/>
        </w:rPr>
        <w:t>tocilizumab</w:t>
      </w:r>
      <w:r w:rsidRPr="00A942F6">
        <w:rPr>
          <w:lang w:val="nb-NO"/>
        </w:rPr>
        <w:t xml:space="preserve"> (se pkt. 4.8, bivirkninger). </w:t>
      </w:r>
      <w:r w:rsidR="00923E68" w:rsidRPr="00A942F6">
        <w:rPr>
          <w:lang w:val="nb-NO"/>
        </w:rPr>
        <w:t>Avtozma</w:t>
      </w:r>
      <w:r w:rsidRPr="00A942F6">
        <w:rPr>
          <w:lang w:val="nb-NO"/>
        </w:rPr>
        <w:t xml:space="preserve">-behandling skal ikke initieres hos pasienter med aktive infeksjoner (se pkt. 4.3). Dersom en pasient utvikler en alvorlig infeksjon bør behandling med </w:t>
      </w:r>
      <w:r w:rsidR="002B69E7" w:rsidRPr="00A942F6">
        <w:rPr>
          <w:lang w:val="nb-NO"/>
        </w:rPr>
        <w:t>tocilizumab</w:t>
      </w:r>
      <w:r w:rsidRPr="00A942F6">
        <w:rPr>
          <w:lang w:val="nb-NO"/>
        </w:rPr>
        <w:t xml:space="preserve"> avbrytes inntil infeksjonen er under kontroll (se pkt. 4.8). Helsepersonell bør utvise forsiktighet ved vurdering av bruk av </w:t>
      </w:r>
      <w:r w:rsidR="00923E68" w:rsidRPr="00A942F6">
        <w:rPr>
          <w:lang w:val="nb-NO"/>
        </w:rPr>
        <w:t>Avtozma</w:t>
      </w:r>
      <w:r w:rsidRPr="00A942F6">
        <w:rPr>
          <w:lang w:val="nb-NO"/>
        </w:rPr>
        <w:t xml:space="preserve"> hos pasienter med residiverende eller kroniske infeksjoner i anamnesen, eller underliggende tilstander (f.eks. divertikulitt, diabetes og interstitiell lungesykdom) som kan predisponere for infeksjoner.</w:t>
      </w:r>
    </w:p>
    <w:p w14:paraId="4DBB0B6A" w14:textId="77777777" w:rsidR="008877F8" w:rsidRPr="00A942F6" w:rsidRDefault="008877F8" w:rsidP="00641834">
      <w:pPr>
        <w:rPr>
          <w:lang w:val="nb-NO"/>
        </w:rPr>
      </w:pPr>
    </w:p>
    <w:p w14:paraId="1BB1CD09" w14:textId="51AF62E7" w:rsidR="008877F8" w:rsidRPr="00A942F6" w:rsidRDefault="008877F8" w:rsidP="00641834">
      <w:pPr>
        <w:rPr>
          <w:lang w:val="nb-NO"/>
        </w:rPr>
      </w:pPr>
      <w:r w:rsidRPr="00A942F6">
        <w:rPr>
          <w:lang w:val="nb-NO"/>
        </w:rPr>
        <w:t xml:space="preserve">Overvåkning for snarlig diagnostisering av alvorlig infeksjon anbefales for pasienter som får immunsuppressiva som </w:t>
      </w:r>
      <w:r w:rsidR="00923E68" w:rsidRPr="00A942F6">
        <w:rPr>
          <w:lang w:val="nb-NO"/>
        </w:rPr>
        <w:t>Avtozma</w:t>
      </w:r>
      <w:r w:rsidRPr="00A942F6">
        <w:rPr>
          <w:lang w:val="nb-NO"/>
        </w:rPr>
        <w:t>, da tegn og symptomer på akutt inflammasjon kan reduseres på grunn av suppresjon av akuttfasereaksjonen. Effekten av tocilizumab på C-reaktivt protein (CRP), nøytrofiler og infeksjonssymptomer skal vurderes når en pasient evalueres for mulig infeksjon.</w:t>
      </w:r>
    </w:p>
    <w:p w14:paraId="0F1386DF" w14:textId="77777777" w:rsidR="008877F8" w:rsidRPr="00A942F6" w:rsidRDefault="008877F8" w:rsidP="00641834">
      <w:pPr>
        <w:rPr>
          <w:lang w:val="nb-NO"/>
        </w:rPr>
      </w:pPr>
      <w:r w:rsidRPr="00A942F6">
        <w:rPr>
          <w:lang w:val="nb-NO"/>
        </w:rPr>
        <w:t>Pasienter (som inkluderer yngre barn med sJIA og pJIA som kan være mindre i stand til å kommunisere sine symptomer) og foreldre/foresatte av sJIA- eller pJIA-pasienter skal instrueres til å kontakte lege umiddelbart dersom symptomer på infeksjon oppstår, for å sikre rask undersøkelse og adekvat behandling.</w:t>
      </w:r>
    </w:p>
    <w:p w14:paraId="7B29E01E" w14:textId="77777777" w:rsidR="000B63D8" w:rsidRPr="00A942F6" w:rsidRDefault="000B63D8" w:rsidP="00641834">
      <w:pPr>
        <w:rPr>
          <w:lang w:val="nb-NO"/>
        </w:rPr>
      </w:pPr>
    </w:p>
    <w:p w14:paraId="1087C734" w14:textId="77777777" w:rsidR="008877F8" w:rsidRPr="00A942F6" w:rsidRDefault="008877F8" w:rsidP="00641834">
      <w:pPr>
        <w:pStyle w:val="Style1Iitaic"/>
        <w:rPr>
          <w:lang w:val="nb-NO"/>
        </w:rPr>
      </w:pPr>
      <w:r w:rsidRPr="00A942F6">
        <w:rPr>
          <w:lang w:val="nb-NO"/>
        </w:rPr>
        <w:t>Tuberkulose</w:t>
      </w:r>
    </w:p>
    <w:p w14:paraId="2CE0F72B" w14:textId="43902C1B" w:rsidR="008877F8" w:rsidRPr="00A942F6" w:rsidRDefault="008877F8" w:rsidP="00394415">
      <w:pPr>
        <w:rPr>
          <w:lang w:val="nb-NO"/>
        </w:rPr>
      </w:pPr>
      <w:r w:rsidRPr="00A942F6">
        <w:rPr>
          <w:lang w:val="nb-NO"/>
        </w:rPr>
        <w:t xml:space="preserve">Som anbefalt for annen biologisk behandling, bør alle pasienter screenes for latent tuberkulose (TB)-infeksjon før behandling med </w:t>
      </w:r>
      <w:r w:rsidR="00923E68" w:rsidRPr="00A942F6">
        <w:rPr>
          <w:lang w:val="nb-NO"/>
        </w:rPr>
        <w:t>Avtozma</w:t>
      </w:r>
      <w:r w:rsidRPr="00A942F6">
        <w:rPr>
          <w:lang w:val="nb-NO"/>
        </w:rPr>
        <w:t xml:space="preserve"> startes. Pasienter med latent TB bør behandles med</w:t>
      </w:r>
      <w:r w:rsidR="00394415">
        <w:rPr>
          <w:lang w:val="nb-NO"/>
        </w:rPr>
        <w:t xml:space="preserve"> </w:t>
      </w:r>
      <w:r w:rsidRPr="00A942F6">
        <w:rPr>
          <w:lang w:val="nb-NO"/>
        </w:rPr>
        <w:t xml:space="preserve">standard antimykobakteriell terapi før </w:t>
      </w:r>
      <w:r w:rsidR="00923E68" w:rsidRPr="00A942F6">
        <w:rPr>
          <w:lang w:val="nb-NO"/>
        </w:rPr>
        <w:t>Avtozma</w:t>
      </w:r>
      <w:r w:rsidRPr="00A942F6">
        <w:rPr>
          <w:lang w:val="nb-NO"/>
        </w:rPr>
        <w:t xml:space="preserve"> initieres. Leger gjøres oppmerksom på risikoen for falske negative tuberkulintest og interferon-gamma TB blodprøveresultater, spesielt hos pasienter som er alvorlig syke eller immunsupprimerte.</w:t>
      </w:r>
    </w:p>
    <w:p w14:paraId="4D76F66D" w14:textId="77777777" w:rsidR="000B63D8" w:rsidRPr="00A942F6" w:rsidRDefault="000B63D8" w:rsidP="00641834">
      <w:pPr>
        <w:rPr>
          <w:lang w:val="nb-NO"/>
        </w:rPr>
      </w:pPr>
    </w:p>
    <w:p w14:paraId="67D88A36" w14:textId="0CF8D9EF" w:rsidR="008877F8" w:rsidRPr="00A942F6" w:rsidRDefault="008877F8" w:rsidP="00641834">
      <w:pPr>
        <w:rPr>
          <w:lang w:val="nb-NO"/>
        </w:rPr>
      </w:pPr>
      <w:r w:rsidRPr="00A942F6">
        <w:rPr>
          <w:lang w:val="nb-NO"/>
        </w:rPr>
        <w:t xml:space="preserve">Pasienter, og foreldre/foresatte til sJIA- eller pJIA-pasienter, skal instrueres til å søke lege dersom tegn og symptomer (f.eks. vedvarende hoste, tæring/vekttap, lavgradig feber) som kan tyde på at en tuberkuloseinfeksjon oppstår under eller etter behandling med </w:t>
      </w:r>
      <w:r w:rsidR="00923E68" w:rsidRPr="00A942F6">
        <w:rPr>
          <w:lang w:val="nb-NO"/>
        </w:rPr>
        <w:t>Avtozma</w:t>
      </w:r>
      <w:r w:rsidRPr="00A942F6">
        <w:rPr>
          <w:lang w:val="nb-NO"/>
        </w:rPr>
        <w:t>.</w:t>
      </w:r>
    </w:p>
    <w:p w14:paraId="793B38EB" w14:textId="77777777" w:rsidR="008877F8" w:rsidRPr="00A942F6" w:rsidRDefault="008877F8" w:rsidP="00641834">
      <w:pPr>
        <w:rPr>
          <w:lang w:val="nb-NO"/>
        </w:rPr>
      </w:pPr>
    </w:p>
    <w:p w14:paraId="70038083" w14:textId="77777777" w:rsidR="008877F8" w:rsidRPr="00A942F6" w:rsidRDefault="008877F8" w:rsidP="00641834">
      <w:pPr>
        <w:pStyle w:val="Style1Iitaic"/>
        <w:rPr>
          <w:lang w:val="nb-NO"/>
        </w:rPr>
      </w:pPr>
      <w:r w:rsidRPr="00A942F6">
        <w:rPr>
          <w:lang w:val="nb-NO"/>
        </w:rPr>
        <w:t>Viral reaktivering</w:t>
      </w:r>
    </w:p>
    <w:p w14:paraId="51660638" w14:textId="41CD5C4C" w:rsidR="008877F8" w:rsidRPr="00A942F6" w:rsidRDefault="008877F8" w:rsidP="00641834">
      <w:pPr>
        <w:rPr>
          <w:lang w:val="nb-NO"/>
        </w:rPr>
      </w:pPr>
      <w:r w:rsidRPr="00A942F6">
        <w:rPr>
          <w:lang w:val="nb-NO"/>
        </w:rPr>
        <w:t xml:space="preserve">Viral reaktivering (f.eks. hepatitt B virus) er blitt rapportert ved biologisk terapi for RA. I kliniske studier med </w:t>
      </w:r>
      <w:r w:rsidR="002B69E7" w:rsidRPr="00A942F6">
        <w:rPr>
          <w:lang w:val="nb-NO"/>
        </w:rPr>
        <w:t>tocilizumab</w:t>
      </w:r>
      <w:r w:rsidRPr="00A942F6">
        <w:rPr>
          <w:lang w:val="nb-NO"/>
        </w:rPr>
        <w:t xml:space="preserve"> ble pasienter som testet positivt for hepatitt ekskludert.</w:t>
      </w:r>
    </w:p>
    <w:p w14:paraId="52096A16" w14:textId="77777777" w:rsidR="000B63D8" w:rsidRPr="00A942F6" w:rsidRDefault="000B63D8" w:rsidP="00641834">
      <w:pPr>
        <w:rPr>
          <w:lang w:val="nb-NO"/>
        </w:rPr>
      </w:pPr>
    </w:p>
    <w:p w14:paraId="4E379C5E" w14:textId="77777777" w:rsidR="008877F8" w:rsidRPr="00A942F6" w:rsidRDefault="008877F8" w:rsidP="00641834">
      <w:pPr>
        <w:pStyle w:val="Style1Iitaic"/>
        <w:rPr>
          <w:lang w:val="nb-NO"/>
        </w:rPr>
      </w:pPr>
      <w:r w:rsidRPr="00A942F6">
        <w:rPr>
          <w:lang w:val="nb-NO"/>
        </w:rPr>
        <w:lastRenderedPageBreak/>
        <w:t>Komplikasjoner til divertikulitt</w:t>
      </w:r>
    </w:p>
    <w:p w14:paraId="46769BD6" w14:textId="77710EF4" w:rsidR="008877F8" w:rsidRPr="00A942F6" w:rsidRDefault="008877F8" w:rsidP="00641834">
      <w:pPr>
        <w:rPr>
          <w:lang w:val="nb-NO"/>
        </w:rPr>
      </w:pPr>
      <w:r w:rsidRPr="00A942F6">
        <w:rPr>
          <w:lang w:val="nb-NO"/>
        </w:rPr>
        <w:t xml:space="preserve">Sjeldne tilfeller av divertikulær perforasjon som komplikasjon til divertikulitt har vært rapportert hos pasienter behandlet med </w:t>
      </w:r>
      <w:r w:rsidR="00A928A6" w:rsidRPr="00A942F6">
        <w:rPr>
          <w:lang w:val="nb-NO"/>
        </w:rPr>
        <w:t>tocilizumab</w:t>
      </w:r>
      <w:r w:rsidRPr="00A942F6">
        <w:rPr>
          <w:lang w:val="nb-NO"/>
        </w:rPr>
        <w:t xml:space="preserve">. (se pkt. 4.8). </w:t>
      </w:r>
      <w:r w:rsidR="00923E68" w:rsidRPr="00A942F6">
        <w:rPr>
          <w:lang w:val="nb-NO"/>
        </w:rPr>
        <w:t>Avtozma</w:t>
      </w:r>
      <w:r w:rsidRPr="00A942F6">
        <w:rPr>
          <w:lang w:val="nb-NO"/>
        </w:rPr>
        <w:t xml:space="preserve"> bør brukes med forsiktighet hos pasienter med intestinal ulcerasjon eller divertikulitt i anamnesen. Pasienter med symptomer på komplikasjoner til divertikulitt, f.eks. abdominale smerter, blødning og/eller uforklarlig endring i avføringsmønster med feber, skal undersøkes snarest med tanke på divertikulitt som kan være forbundet med gastrointestinal perforasjon.</w:t>
      </w:r>
    </w:p>
    <w:p w14:paraId="4F454AD7" w14:textId="77777777" w:rsidR="008877F8" w:rsidRPr="00A942F6" w:rsidRDefault="008877F8" w:rsidP="00641834">
      <w:pPr>
        <w:rPr>
          <w:lang w:val="nb-NO"/>
        </w:rPr>
      </w:pPr>
    </w:p>
    <w:p w14:paraId="3054FBBD" w14:textId="77777777" w:rsidR="008877F8" w:rsidRPr="00A942F6" w:rsidRDefault="008877F8" w:rsidP="00641834">
      <w:pPr>
        <w:pStyle w:val="Style1Iitaic"/>
        <w:rPr>
          <w:lang w:val="nb-NO"/>
        </w:rPr>
      </w:pPr>
      <w:r w:rsidRPr="00A942F6">
        <w:rPr>
          <w:lang w:val="nb-NO"/>
        </w:rPr>
        <w:t>Hypersensitivitetsreaksjoner</w:t>
      </w:r>
    </w:p>
    <w:p w14:paraId="474A4F23" w14:textId="5F411109" w:rsidR="008877F8" w:rsidRPr="00A942F6" w:rsidRDefault="008877F8" w:rsidP="00641834">
      <w:pPr>
        <w:rPr>
          <w:lang w:val="nb-NO"/>
        </w:rPr>
      </w:pPr>
      <w:r w:rsidRPr="00A942F6">
        <w:rPr>
          <w:lang w:val="nb-NO"/>
        </w:rPr>
        <w:t xml:space="preserve">Alvorlige hypersensitivitetsreaksjoner har blitt rapportert i forbindelse med infusjon av </w:t>
      </w:r>
      <w:r w:rsidR="00A928A6" w:rsidRPr="00A942F6">
        <w:rPr>
          <w:lang w:val="nb-NO"/>
        </w:rPr>
        <w:t>tocilizumab</w:t>
      </w:r>
      <w:r w:rsidRPr="00A942F6">
        <w:rPr>
          <w:lang w:val="nb-NO"/>
        </w:rPr>
        <w:t xml:space="preserve"> (se pkt. 4.8). Slike reaksjoner kan være mer alvorlig og potensielt dødelige for pasienter som har opplevd hypersensitivitetsreaksjoner under tidligere behandling med </w:t>
      </w:r>
      <w:r w:rsidR="00923E68" w:rsidRPr="00A942F6">
        <w:rPr>
          <w:lang w:val="nb-NO"/>
        </w:rPr>
        <w:t>Avtozma</w:t>
      </w:r>
      <w:r w:rsidRPr="00A942F6">
        <w:rPr>
          <w:lang w:val="nb-NO"/>
        </w:rPr>
        <w:t xml:space="preserve">, selv om de har fått premedisinering med kortikosteroider og antihistaminer. Hvis en anafylaktisk reaksjon eller annen alvorlig hypersensitivitet/alvorlig infusjonsrelatert reaksjon inntreffer, skal behandling med </w:t>
      </w:r>
      <w:r w:rsidR="00923E68" w:rsidRPr="00A942F6">
        <w:rPr>
          <w:lang w:val="nb-NO"/>
        </w:rPr>
        <w:t>Avtozma</w:t>
      </w:r>
      <w:r w:rsidRPr="00A942F6">
        <w:rPr>
          <w:lang w:val="nb-NO"/>
        </w:rPr>
        <w:t xml:space="preserve"> stoppes umiddelbart og </w:t>
      </w:r>
      <w:r w:rsidR="00923E68" w:rsidRPr="00A942F6">
        <w:rPr>
          <w:lang w:val="nb-NO"/>
        </w:rPr>
        <w:t>Avtozma</w:t>
      </w:r>
      <w:r w:rsidRPr="00A942F6">
        <w:rPr>
          <w:lang w:val="nb-NO"/>
        </w:rPr>
        <w:t xml:space="preserve"> skal seponeres permanent.</w:t>
      </w:r>
    </w:p>
    <w:p w14:paraId="08CAC484" w14:textId="77777777" w:rsidR="008877F8" w:rsidRPr="00A942F6" w:rsidRDefault="008877F8" w:rsidP="00641834">
      <w:pPr>
        <w:rPr>
          <w:lang w:val="nb-NO"/>
        </w:rPr>
      </w:pPr>
    </w:p>
    <w:p w14:paraId="65E1A46A" w14:textId="77777777" w:rsidR="008877F8" w:rsidRPr="00A942F6" w:rsidRDefault="008877F8" w:rsidP="00641834">
      <w:pPr>
        <w:pStyle w:val="Style1Iitaic"/>
        <w:rPr>
          <w:lang w:val="nb-NO"/>
        </w:rPr>
      </w:pPr>
      <w:r w:rsidRPr="00A942F6">
        <w:rPr>
          <w:lang w:val="nb-NO"/>
        </w:rPr>
        <w:t>Aktiv leversykdom og nedsatt leverfunksjon</w:t>
      </w:r>
    </w:p>
    <w:p w14:paraId="1C6D53A5" w14:textId="5E377037" w:rsidR="008877F8" w:rsidRPr="00A942F6" w:rsidRDefault="008877F8" w:rsidP="00641834">
      <w:pPr>
        <w:rPr>
          <w:lang w:val="nb-NO"/>
        </w:rPr>
      </w:pPr>
      <w:r w:rsidRPr="00A942F6">
        <w:rPr>
          <w:lang w:val="nb-NO"/>
        </w:rPr>
        <w:t xml:space="preserve">Behandling med </w:t>
      </w:r>
      <w:r w:rsidR="00A928A6" w:rsidRPr="00A942F6">
        <w:rPr>
          <w:lang w:val="nb-NO"/>
        </w:rPr>
        <w:t>tocilizumab</w:t>
      </w:r>
      <w:r w:rsidRPr="00A942F6">
        <w:rPr>
          <w:lang w:val="nb-NO"/>
        </w:rPr>
        <w:t>, spesielt ved samtidig bruk med metotreksat, kan være forbundet med forhøyede hepatiske transaminaser. Det bør derfor utvises forsiktighet når behandling av pasienter med aktiv leversykdom eller nedsatt leverfunksjon vurderes (se pkt. 4.2 og 4.8).</w:t>
      </w:r>
    </w:p>
    <w:p w14:paraId="292EB251" w14:textId="77777777" w:rsidR="008877F8" w:rsidRPr="00A942F6" w:rsidRDefault="008877F8" w:rsidP="00641834">
      <w:pPr>
        <w:rPr>
          <w:lang w:val="nb-NO"/>
        </w:rPr>
      </w:pPr>
    </w:p>
    <w:p w14:paraId="7F7B8AF0" w14:textId="77777777" w:rsidR="008877F8" w:rsidRPr="00A942F6" w:rsidRDefault="008877F8" w:rsidP="00641834">
      <w:pPr>
        <w:pStyle w:val="Style1Iitaic"/>
        <w:rPr>
          <w:lang w:val="nb-NO"/>
        </w:rPr>
      </w:pPr>
      <w:r w:rsidRPr="00A942F6">
        <w:rPr>
          <w:lang w:val="nb-NO"/>
        </w:rPr>
        <w:t>Levertoksisitet</w:t>
      </w:r>
    </w:p>
    <w:p w14:paraId="418E1E43" w14:textId="0F4A9D5B" w:rsidR="008877F8" w:rsidRPr="00A942F6" w:rsidRDefault="008877F8" w:rsidP="00641834">
      <w:pPr>
        <w:rPr>
          <w:lang w:val="nb-NO"/>
        </w:rPr>
      </w:pPr>
      <w:r w:rsidRPr="00A942F6">
        <w:rPr>
          <w:lang w:val="nb-NO"/>
        </w:rPr>
        <w:t xml:space="preserve">I forbindelse med </w:t>
      </w:r>
      <w:r w:rsidR="00A928A6" w:rsidRPr="00A942F6">
        <w:rPr>
          <w:lang w:val="nb-NO"/>
        </w:rPr>
        <w:t>tocilizumab-</w:t>
      </w:r>
      <w:r w:rsidRPr="00A942F6">
        <w:rPr>
          <w:lang w:val="nb-NO"/>
        </w:rPr>
        <w:t xml:space="preserve">behandling er det ofte blitt rapportert forbigående eller intermitterende mild til moderat økning av hepatiske transaminaser (se pkt. 4.8). Økt frekvens av forhøyede verdier ble observert når potensielt hepatotoksiske legemidler (f.eks. metotreksat) ble gitt i kombinasjon med </w:t>
      </w:r>
      <w:r w:rsidR="00A928A6" w:rsidRPr="00A942F6">
        <w:rPr>
          <w:lang w:val="nb-NO"/>
        </w:rPr>
        <w:t>tocilizumab</w:t>
      </w:r>
      <w:r w:rsidRPr="00A942F6">
        <w:rPr>
          <w:lang w:val="nb-NO"/>
        </w:rPr>
        <w:t>. Når det er klinisk indisert bør andre leverfunksjonstester, inkludert bilirubin, vurderes.</w:t>
      </w:r>
    </w:p>
    <w:p w14:paraId="042BBA99" w14:textId="77777777" w:rsidR="000B63D8" w:rsidRPr="00A942F6" w:rsidRDefault="000B63D8" w:rsidP="00641834">
      <w:pPr>
        <w:rPr>
          <w:lang w:val="nb-NO"/>
        </w:rPr>
      </w:pPr>
    </w:p>
    <w:p w14:paraId="1CA23349" w14:textId="15C9E9E5" w:rsidR="008877F8" w:rsidRPr="00A942F6" w:rsidRDefault="008877F8" w:rsidP="00641834">
      <w:pPr>
        <w:rPr>
          <w:lang w:val="nb-NO"/>
        </w:rPr>
      </w:pPr>
      <w:r w:rsidRPr="00A942F6">
        <w:rPr>
          <w:lang w:val="nb-NO"/>
        </w:rPr>
        <w:t xml:space="preserve">Det er observert alvorlige tilfeller av legemiddelinduserte leverskader med </w:t>
      </w:r>
      <w:r w:rsidR="00A928A6" w:rsidRPr="00A942F6">
        <w:rPr>
          <w:lang w:val="nb-NO"/>
        </w:rPr>
        <w:t>tocilizumab</w:t>
      </w:r>
      <w:r w:rsidRPr="00A942F6">
        <w:rPr>
          <w:lang w:val="nb-NO"/>
        </w:rPr>
        <w:t>, inkludert akutt leversvikt, hepatitt og gulsott (se pkt.4.8). Alvorlig leverskade oppstod fra mellom 2 uker til mer enn 5</w:t>
      </w:r>
      <w:r w:rsidR="00FC420A">
        <w:rPr>
          <w:lang w:val="nb-NO"/>
        </w:rPr>
        <w:t> </w:t>
      </w:r>
      <w:r w:rsidRPr="00A942F6">
        <w:rPr>
          <w:lang w:val="nb-NO"/>
        </w:rPr>
        <w:t xml:space="preserve">år etter oppstart av </w:t>
      </w:r>
      <w:r w:rsidR="00A928A6" w:rsidRPr="00A942F6">
        <w:rPr>
          <w:lang w:val="nb-NO"/>
        </w:rPr>
        <w:t>tocilizumab</w:t>
      </w:r>
      <w:r w:rsidRPr="00A942F6">
        <w:rPr>
          <w:lang w:val="nb-NO"/>
        </w:rPr>
        <w:t>. Tilfeller av leversvikt som resulterte i levertransplantasjon er rapportert. Pasientene skal rådes til å søke medisinsk hjelp øyeblikkelig ved tegn og symptomer på leverskade.</w:t>
      </w:r>
    </w:p>
    <w:p w14:paraId="159637BC" w14:textId="77777777" w:rsidR="008877F8" w:rsidRPr="00A942F6" w:rsidRDefault="008877F8" w:rsidP="00641834">
      <w:pPr>
        <w:rPr>
          <w:lang w:val="nb-NO"/>
        </w:rPr>
      </w:pPr>
    </w:p>
    <w:p w14:paraId="3EE4F453" w14:textId="7E1EAFCF" w:rsidR="008877F8" w:rsidRPr="00A942F6" w:rsidRDefault="008877F8" w:rsidP="00641834">
      <w:pPr>
        <w:rPr>
          <w:lang w:val="nb-NO"/>
        </w:rPr>
      </w:pPr>
      <w:r w:rsidRPr="00A942F6">
        <w:rPr>
          <w:lang w:val="nb-NO"/>
        </w:rPr>
        <w:t xml:space="preserve">Det bør utvises forsiktighet ved initiering av </w:t>
      </w:r>
      <w:r w:rsidR="00923E68" w:rsidRPr="00A942F6">
        <w:rPr>
          <w:lang w:val="nb-NO"/>
        </w:rPr>
        <w:t>Avtozma</w:t>
      </w:r>
      <w:r w:rsidRPr="00A942F6">
        <w:rPr>
          <w:lang w:val="nb-NO"/>
        </w:rPr>
        <w:t>-behandling hos pasienter med forhøyet ALAT eller ASAT &gt; 1,5 x øvre normalverdi. Hos pasienter med forhøyet ALAT eller ASAT &gt; 5 x øvre normalverdi anbefales ikke behandling.</w:t>
      </w:r>
    </w:p>
    <w:p w14:paraId="707DE380" w14:textId="77777777" w:rsidR="000B63D8" w:rsidRPr="00A942F6" w:rsidRDefault="000B63D8" w:rsidP="00641834">
      <w:pPr>
        <w:rPr>
          <w:lang w:val="nb-NO"/>
        </w:rPr>
      </w:pPr>
    </w:p>
    <w:p w14:paraId="288D8D0D" w14:textId="3F4DEE2C" w:rsidR="008877F8" w:rsidRPr="00A942F6" w:rsidRDefault="008877F8" w:rsidP="00641834">
      <w:pPr>
        <w:rPr>
          <w:lang w:val="nb-NO"/>
        </w:rPr>
      </w:pPr>
      <w:r w:rsidRPr="00A942F6">
        <w:rPr>
          <w:lang w:val="nb-NO"/>
        </w:rPr>
        <w:t>Hos RA-, GCA-, pJIA- og sJIA-pasienter bør ALAT og ASAT måles hver 4. til 8. uke i de første 6</w:t>
      </w:r>
      <w:r w:rsidR="00FC420A">
        <w:rPr>
          <w:lang w:val="nb-NO"/>
        </w:rPr>
        <w:t> </w:t>
      </w:r>
      <w:r w:rsidRPr="00A942F6">
        <w:rPr>
          <w:lang w:val="nb-NO"/>
        </w:rPr>
        <w:t xml:space="preserve">månedene av behandlingen, og deretter hver 12. uke. Anbefalinger om dosejustering og seponering av </w:t>
      </w:r>
      <w:r w:rsidR="00923E68" w:rsidRPr="00A942F6">
        <w:rPr>
          <w:lang w:val="nb-NO"/>
        </w:rPr>
        <w:t>Avtozma</w:t>
      </w:r>
      <w:r w:rsidRPr="00A942F6">
        <w:rPr>
          <w:lang w:val="nb-NO"/>
        </w:rPr>
        <w:t xml:space="preserve"> basert på transaminaseverdier er gitt i pkt. 4.2. Ved ALAT eller ASAT forhøyelser &gt; 3 – 5</w:t>
      </w:r>
      <w:r w:rsidR="00FC420A">
        <w:rPr>
          <w:lang w:val="nb-NO"/>
        </w:rPr>
        <w:t> </w:t>
      </w:r>
      <w:r w:rsidRPr="00A942F6">
        <w:rPr>
          <w:lang w:val="nb-NO"/>
        </w:rPr>
        <w:t xml:space="preserve">x øvre normalverdi, som bekreftes med gjentatte prøver, bør behandling med </w:t>
      </w:r>
      <w:r w:rsidR="00923E68" w:rsidRPr="00A942F6">
        <w:rPr>
          <w:lang w:val="nb-NO"/>
        </w:rPr>
        <w:t>Avtozma</w:t>
      </w:r>
      <w:r w:rsidRPr="00A942F6">
        <w:rPr>
          <w:lang w:val="nb-NO"/>
        </w:rPr>
        <w:t xml:space="preserve"> avbrytes.</w:t>
      </w:r>
    </w:p>
    <w:p w14:paraId="596906C2" w14:textId="77777777" w:rsidR="008877F8" w:rsidRPr="00A942F6" w:rsidRDefault="008877F8" w:rsidP="00641834">
      <w:pPr>
        <w:rPr>
          <w:lang w:val="nb-NO"/>
        </w:rPr>
      </w:pPr>
    </w:p>
    <w:p w14:paraId="2D3534EB" w14:textId="77777777" w:rsidR="008877F8" w:rsidRPr="00A942F6" w:rsidRDefault="008877F8" w:rsidP="00641834">
      <w:pPr>
        <w:pStyle w:val="Style1Iitaic"/>
        <w:rPr>
          <w:lang w:val="nb-NO"/>
        </w:rPr>
      </w:pPr>
      <w:r w:rsidRPr="00A942F6">
        <w:rPr>
          <w:lang w:val="nb-NO"/>
        </w:rPr>
        <w:t>Hematologiske forandringer</w:t>
      </w:r>
    </w:p>
    <w:p w14:paraId="6D3BD92F" w14:textId="77777777" w:rsidR="008877F8" w:rsidRPr="00A942F6" w:rsidRDefault="008877F8" w:rsidP="00641834">
      <w:pPr>
        <w:rPr>
          <w:lang w:val="nb-NO"/>
        </w:rPr>
      </w:pPr>
      <w:r w:rsidRPr="00A942F6">
        <w:rPr>
          <w:lang w:val="nb-NO"/>
        </w:rPr>
        <w:t>Reduserte verdier for nøytrofile granulocytter og trombocytter har oppstått ved behandling med tocilizumab 8 mg/kg i kombinasjon med metotreksat (se pkt. 4.8). Det kan være økt risiko for nøytropeni hos pasienter som tidligere er behandlet med en TNF-antagonist.</w:t>
      </w:r>
    </w:p>
    <w:p w14:paraId="2C07DAA9" w14:textId="77777777" w:rsidR="000B63D8" w:rsidRPr="00A942F6" w:rsidRDefault="000B63D8" w:rsidP="00641834">
      <w:pPr>
        <w:rPr>
          <w:lang w:val="nb-NO"/>
        </w:rPr>
      </w:pPr>
    </w:p>
    <w:p w14:paraId="445C3F2A" w14:textId="20087C6F" w:rsidR="008877F8" w:rsidRPr="00A942F6" w:rsidRDefault="008877F8" w:rsidP="00641834">
      <w:pPr>
        <w:rPr>
          <w:lang w:val="nb-NO"/>
        </w:rPr>
      </w:pPr>
      <w:r w:rsidRPr="00A942F6">
        <w:rPr>
          <w:lang w:val="nb-NO"/>
        </w:rPr>
        <w:t xml:space="preserve">For pasienter som ikke tidligere er behandlet med </w:t>
      </w:r>
      <w:r w:rsidR="00A928A6" w:rsidRPr="00A942F6">
        <w:rPr>
          <w:lang w:val="nb-NO"/>
        </w:rPr>
        <w:t>tocilizumab</w:t>
      </w:r>
      <w:r w:rsidRPr="00A942F6">
        <w:rPr>
          <w:lang w:val="nb-NO"/>
        </w:rPr>
        <w:t xml:space="preserve"> er initiering ikke anbefalt for pasienter med ANC under 2 x 10</w:t>
      </w:r>
      <w:r w:rsidR="00157EC5" w:rsidRPr="00A942F6">
        <w:rPr>
          <w:vertAlign w:val="superscript"/>
          <w:lang w:val="nb-NO"/>
        </w:rPr>
        <w:t>9</w:t>
      </w:r>
      <w:r w:rsidRPr="00A942F6">
        <w:rPr>
          <w:lang w:val="nb-NO"/>
        </w:rPr>
        <w:t xml:space="preserve">/l. Det bør utvises forsiktighet ved initiering av </w:t>
      </w:r>
      <w:r w:rsidR="00923E68" w:rsidRPr="00A942F6">
        <w:rPr>
          <w:lang w:val="nb-NO"/>
        </w:rPr>
        <w:t>Avtozma</w:t>
      </w:r>
      <w:r w:rsidRPr="00A942F6">
        <w:rPr>
          <w:lang w:val="nb-NO"/>
        </w:rPr>
        <w:t>-behandling hos pasienter med lave verdier for trombocytter (trombocyttall &lt; 100 x 10</w:t>
      </w:r>
      <w:r w:rsidRPr="00A942F6">
        <w:rPr>
          <w:vertAlign w:val="superscript"/>
          <w:lang w:val="nb-NO"/>
        </w:rPr>
        <w:t>3</w:t>
      </w:r>
      <w:r w:rsidRPr="00A942F6">
        <w:rPr>
          <w:lang w:val="nb-NO"/>
        </w:rPr>
        <w:t>/µl). Uavbrutt behandling frarådes hos pasienter som utvikler ANC &lt; 0,5 x 10</w:t>
      </w:r>
      <w:r w:rsidR="00157EC5" w:rsidRPr="00A942F6">
        <w:rPr>
          <w:vertAlign w:val="superscript"/>
          <w:lang w:val="nb-NO"/>
        </w:rPr>
        <w:t>9</w:t>
      </w:r>
      <w:r w:rsidRPr="00A942F6">
        <w:rPr>
          <w:lang w:val="nb-NO"/>
        </w:rPr>
        <w:t>/l eller trombocyttall &lt; 50 x 10</w:t>
      </w:r>
      <w:r w:rsidRPr="00A942F6">
        <w:rPr>
          <w:vertAlign w:val="superscript"/>
          <w:lang w:val="nb-NO"/>
        </w:rPr>
        <w:t>3</w:t>
      </w:r>
      <w:r w:rsidRPr="00A942F6">
        <w:rPr>
          <w:lang w:val="nb-NO"/>
        </w:rPr>
        <w:t>/µl.</w:t>
      </w:r>
    </w:p>
    <w:p w14:paraId="5A8AC0D2" w14:textId="77777777" w:rsidR="00106213" w:rsidRDefault="00106213" w:rsidP="00641834">
      <w:pPr>
        <w:rPr>
          <w:rFonts w:eastAsia="맑은 고딕"/>
          <w:lang w:val="nb-NO" w:eastAsia="ko-KR"/>
        </w:rPr>
      </w:pPr>
    </w:p>
    <w:p w14:paraId="21F009D3" w14:textId="009A7489" w:rsidR="008877F8" w:rsidRPr="00A942F6" w:rsidRDefault="008877F8" w:rsidP="00641834">
      <w:pPr>
        <w:rPr>
          <w:lang w:val="nb-NO"/>
        </w:rPr>
      </w:pPr>
      <w:r w:rsidRPr="00A942F6">
        <w:rPr>
          <w:lang w:val="nb-NO"/>
        </w:rPr>
        <w:t xml:space="preserve">Alvorlig nøytropeni kan være assosiert med økt risiko for alvorlige infeksjoner, selv om det hittil ikke har vært noen klar assosiasjon mellom nedgang i nøytrofiler og forekomst av alvorlige infeksjoner i kliniske studier med </w:t>
      </w:r>
      <w:r w:rsidR="00A928A6" w:rsidRPr="00A942F6">
        <w:rPr>
          <w:lang w:val="nb-NO"/>
        </w:rPr>
        <w:t>tocilizumab</w:t>
      </w:r>
      <w:r w:rsidRPr="00A942F6">
        <w:rPr>
          <w:lang w:val="nb-NO"/>
        </w:rPr>
        <w:t>.</w:t>
      </w:r>
    </w:p>
    <w:p w14:paraId="10B595C8" w14:textId="77777777" w:rsidR="008877F8" w:rsidRPr="00A942F6" w:rsidRDefault="008877F8" w:rsidP="00641834">
      <w:pPr>
        <w:rPr>
          <w:lang w:val="nb-NO"/>
        </w:rPr>
      </w:pPr>
    </w:p>
    <w:p w14:paraId="213FE0FD" w14:textId="77777777" w:rsidR="008877F8" w:rsidRPr="00A942F6" w:rsidRDefault="008877F8" w:rsidP="00641834">
      <w:pPr>
        <w:rPr>
          <w:lang w:val="nb-NO"/>
        </w:rPr>
      </w:pPr>
      <w:r w:rsidRPr="00A942F6">
        <w:rPr>
          <w:lang w:val="nb-NO"/>
        </w:rPr>
        <w:lastRenderedPageBreak/>
        <w:t>Hos RA- og GCA-pasienter bør nøytrofile granulocytter og trombocytter monitoreres 4 til 8 uker etter behandlingsstart og deretter i henhold til standard klinisk praksis. Anbefalinger om dosejustering basert på ANC og trombocyttall er gitt i pkt. 4.2.</w:t>
      </w:r>
    </w:p>
    <w:p w14:paraId="2AA720C1" w14:textId="77777777" w:rsidR="008877F8" w:rsidRPr="00A942F6" w:rsidRDefault="008877F8" w:rsidP="00641834">
      <w:pPr>
        <w:rPr>
          <w:lang w:val="nb-NO"/>
        </w:rPr>
      </w:pPr>
    </w:p>
    <w:p w14:paraId="68A05398" w14:textId="77777777" w:rsidR="008877F8" w:rsidRPr="00A942F6" w:rsidRDefault="008877F8" w:rsidP="00641834">
      <w:pPr>
        <w:rPr>
          <w:lang w:val="nb-NO"/>
        </w:rPr>
      </w:pPr>
      <w:r w:rsidRPr="00A942F6">
        <w:rPr>
          <w:lang w:val="nb-NO"/>
        </w:rPr>
        <w:t>Hos sJIA- og pJIA-pasienter bør nøytrofile granulocytter og trombocytter monitoreres ved tidspunkt for andre administrering, og deretter i henhold til god klinisk praksis (se pkt. 4.2).</w:t>
      </w:r>
    </w:p>
    <w:p w14:paraId="69B3D2FF" w14:textId="77777777" w:rsidR="008877F8" w:rsidRPr="00A942F6" w:rsidRDefault="008877F8" w:rsidP="00641834">
      <w:pPr>
        <w:rPr>
          <w:lang w:val="nb-NO"/>
        </w:rPr>
      </w:pPr>
    </w:p>
    <w:p w14:paraId="32B2663E" w14:textId="77777777" w:rsidR="008877F8" w:rsidRPr="00A942F6" w:rsidRDefault="008877F8" w:rsidP="00641834">
      <w:pPr>
        <w:pStyle w:val="Style1Iitaic"/>
        <w:rPr>
          <w:lang w:val="nb-NO"/>
        </w:rPr>
      </w:pPr>
      <w:r w:rsidRPr="00A942F6">
        <w:rPr>
          <w:lang w:val="nb-NO"/>
        </w:rPr>
        <w:t>Lipidverdier</w:t>
      </w:r>
    </w:p>
    <w:p w14:paraId="010917B1" w14:textId="407566D0" w:rsidR="008877F8" w:rsidRPr="00A942F6" w:rsidRDefault="008877F8" w:rsidP="00641834">
      <w:pPr>
        <w:rPr>
          <w:lang w:val="nb-NO"/>
        </w:rPr>
      </w:pPr>
      <w:r w:rsidRPr="00A942F6">
        <w:rPr>
          <w:lang w:val="nb-NO"/>
        </w:rPr>
        <w:t xml:space="preserve">Økning i lipidverdier inkludert totalkolesterol, LDL-kolesterol, HDL-kolesterol og triglycerider har vært observert hos pasienter behandlet med </w:t>
      </w:r>
      <w:r w:rsidR="00A928A6" w:rsidRPr="00A942F6">
        <w:rPr>
          <w:lang w:val="nb-NO"/>
        </w:rPr>
        <w:t>tocilizumab</w:t>
      </w:r>
      <w:r w:rsidRPr="00A942F6">
        <w:rPr>
          <w:lang w:val="nb-NO"/>
        </w:rPr>
        <w:t xml:space="preserve"> (se pkt. 4.8). Hos flertallet av pasientene var det ikke tegn på økt forekomst av atherogenese, og pasienter med økt total kolesterol responderte på behandling med lipidsenkende legemidler.</w:t>
      </w:r>
    </w:p>
    <w:p w14:paraId="54DE997F" w14:textId="77777777" w:rsidR="000B63D8" w:rsidRPr="00A942F6" w:rsidRDefault="000B63D8" w:rsidP="00641834">
      <w:pPr>
        <w:rPr>
          <w:lang w:val="nb-NO"/>
        </w:rPr>
      </w:pPr>
    </w:p>
    <w:p w14:paraId="7AB37FD1" w14:textId="72F6187F" w:rsidR="008877F8" w:rsidRPr="00A942F6" w:rsidRDefault="008877F8" w:rsidP="00641834">
      <w:pPr>
        <w:rPr>
          <w:lang w:val="nb-NO"/>
        </w:rPr>
      </w:pPr>
      <w:r w:rsidRPr="00A942F6">
        <w:rPr>
          <w:lang w:val="nb-NO"/>
        </w:rPr>
        <w:t xml:space="preserve">Hos alle pasienter bør måling av lipidverdier gjøres 4 til 8 uker etter at behandling med </w:t>
      </w:r>
      <w:r w:rsidR="00923E68" w:rsidRPr="00A942F6">
        <w:rPr>
          <w:lang w:val="nb-NO"/>
        </w:rPr>
        <w:t>Avtozma</w:t>
      </w:r>
      <w:r w:rsidRPr="00A942F6">
        <w:rPr>
          <w:lang w:val="nb-NO"/>
        </w:rPr>
        <w:t xml:space="preserve"> er startet. Pasienter bør behandles for hyperlipidemi i henhold til lokale kliniske retningslinjer.</w:t>
      </w:r>
    </w:p>
    <w:p w14:paraId="533B62B2" w14:textId="77777777" w:rsidR="008877F8" w:rsidRPr="00A942F6" w:rsidRDefault="008877F8" w:rsidP="00641834">
      <w:pPr>
        <w:rPr>
          <w:lang w:val="nb-NO"/>
        </w:rPr>
      </w:pPr>
    </w:p>
    <w:p w14:paraId="2846248D" w14:textId="77777777" w:rsidR="008877F8" w:rsidRPr="00A942F6" w:rsidRDefault="008877F8" w:rsidP="00641834">
      <w:pPr>
        <w:pStyle w:val="Style1Iitaic"/>
        <w:rPr>
          <w:lang w:val="nb-NO"/>
        </w:rPr>
      </w:pPr>
      <w:r w:rsidRPr="00A942F6">
        <w:rPr>
          <w:lang w:val="nb-NO"/>
        </w:rPr>
        <w:t>Nevrologiske sykdommer</w:t>
      </w:r>
    </w:p>
    <w:p w14:paraId="25F4FF8E" w14:textId="6616AAC2" w:rsidR="008877F8" w:rsidRPr="00A942F6" w:rsidRDefault="008877F8" w:rsidP="00641834">
      <w:pPr>
        <w:rPr>
          <w:lang w:val="nb-NO"/>
        </w:rPr>
      </w:pPr>
      <w:r w:rsidRPr="00A942F6">
        <w:rPr>
          <w:lang w:val="nb-NO"/>
        </w:rPr>
        <w:t xml:space="preserve">Behandlende lege bør være oppmerksom på symptomer på nyoppstått demyeliniserende sykdom i sentralnervesystemet. Risiko for slik demyeliniserende sykdom ved bruk av </w:t>
      </w:r>
      <w:r w:rsidR="00923E68" w:rsidRPr="00A942F6">
        <w:rPr>
          <w:lang w:val="nb-NO"/>
        </w:rPr>
        <w:t>Avtozma</w:t>
      </w:r>
      <w:r w:rsidRPr="00A942F6">
        <w:rPr>
          <w:lang w:val="nb-NO"/>
        </w:rPr>
        <w:t xml:space="preserve"> er ukjent på det nåværende tidspunkt.</w:t>
      </w:r>
    </w:p>
    <w:p w14:paraId="42FCA541" w14:textId="77777777" w:rsidR="000B63D8" w:rsidRPr="00A942F6" w:rsidRDefault="000B63D8" w:rsidP="00641834">
      <w:pPr>
        <w:rPr>
          <w:lang w:val="nb-NO"/>
        </w:rPr>
      </w:pPr>
    </w:p>
    <w:p w14:paraId="715C9111" w14:textId="77777777" w:rsidR="008877F8" w:rsidRPr="00A942F6" w:rsidRDefault="008877F8" w:rsidP="00641834">
      <w:pPr>
        <w:pStyle w:val="Style1Iitaic"/>
        <w:rPr>
          <w:lang w:val="nb-NO"/>
        </w:rPr>
      </w:pPr>
      <w:r w:rsidRPr="00A942F6">
        <w:rPr>
          <w:lang w:val="nb-NO"/>
        </w:rPr>
        <w:t>Maligne lidelser</w:t>
      </w:r>
    </w:p>
    <w:p w14:paraId="07362CF2" w14:textId="77777777" w:rsidR="008877F8" w:rsidRPr="00A942F6" w:rsidRDefault="008877F8" w:rsidP="00641834">
      <w:pPr>
        <w:rPr>
          <w:lang w:val="nb-NO"/>
        </w:rPr>
      </w:pPr>
      <w:r w:rsidRPr="00A942F6">
        <w:rPr>
          <w:lang w:val="nb-NO"/>
        </w:rPr>
        <w:t>Pasienter med RA har økt risiko for maligne lidelser. Immunmodulerende legemidler kan øke risikoen for malignitet.</w:t>
      </w:r>
    </w:p>
    <w:p w14:paraId="4466E574" w14:textId="77777777" w:rsidR="000B63D8" w:rsidRPr="00A942F6" w:rsidRDefault="000B63D8" w:rsidP="00641834">
      <w:pPr>
        <w:rPr>
          <w:lang w:val="nb-NO"/>
        </w:rPr>
      </w:pPr>
    </w:p>
    <w:p w14:paraId="3A7D6D0E" w14:textId="77777777" w:rsidR="008877F8" w:rsidRPr="00A942F6" w:rsidRDefault="008877F8" w:rsidP="00641834">
      <w:pPr>
        <w:pStyle w:val="Style1Iitaic"/>
        <w:rPr>
          <w:lang w:val="nb-NO"/>
        </w:rPr>
      </w:pPr>
      <w:r w:rsidRPr="00A942F6">
        <w:rPr>
          <w:lang w:val="nb-NO"/>
        </w:rPr>
        <w:t>Vaksinasjon</w:t>
      </w:r>
    </w:p>
    <w:p w14:paraId="78CD8AB9" w14:textId="0D045CBC" w:rsidR="008877F8" w:rsidRPr="00A942F6" w:rsidRDefault="008877F8" w:rsidP="00641834">
      <w:pPr>
        <w:rPr>
          <w:lang w:val="nb-NO"/>
        </w:rPr>
      </w:pPr>
      <w:r w:rsidRPr="00A942F6">
        <w:rPr>
          <w:lang w:val="nb-NO"/>
        </w:rPr>
        <w:t xml:space="preserve">Levende og svekkede levende vaksiner bør på det nåværende tidspunkt ikke gis samtidig med </w:t>
      </w:r>
      <w:r w:rsidR="00923E68" w:rsidRPr="00A942F6">
        <w:rPr>
          <w:lang w:val="nb-NO"/>
        </w:rPr>
        <w:t>Avtozma</w:t>
      </w:r>
      <w:r w:rsidRPr="00A942F6">
        <w:rPr>
          <w:lang w:val="nb-NO"/>
        </w:rPr>
        <w:t xml:space="preserve">, da klinisk sikkerhet ikke er fastslått. I en randomisert, åpen studie, oppnådde </w:t>
      </w:r>
      <w:r w:rsidR="00C02048" w:rsidRPr="00A942F6">
        <w:rPr>
          <w:lang w:val="nb-NO"/>
        </w:rPr>
        <w:t xml:space="preserve">vaksne </w:t>
      </w:r>
      <w:r w:rsidRPr="00A942F6">
        <w:rPr>
          <w:lang w:val="nb-NO"/>
        </w:rPr>
        <w:t xml:space="preserve">RA-pasienter behandlet med </w:t>
      </w:r>
      <w:r w:rsidR="00A928A6" w:rsidRPr="00A942F6">
        <w:rPr>
          <w:lang w:val="nb-NO"/>
        </w:rPr>
        <w:t>tocilizumab</w:t>
      </w:r>
      <w:r w:rsidRPr="00A942F6">
        <w:rPr>
          <w:lang w:val="nb-NO"/>
        </w:rPr>
        <w:t xml:space="preserve"> og metotreksat en effektiv responsrate mot vaksiner for både 23-verdig pneumokokkpolysakkarid og tetanustoksoid. Dette var sammenlignbart med responsen sett hos pasienter som kun fikk metotreksat. Det anbefales at alle pasienter, særlig pediatriske eller eldre pasienter, er ajour med hensyn til all immunisering i samsvar med gjeldende retningslinjer for immunisering, før oppstart av </w:t>
      </w:r>
      <w:r w:rsidR="00923E68" w:rsidRPr="00A942F6">
        <w:rPr>
          <w:lang w:val="nb-NO"/>
        </w:rPr>
        <w:t>Avtozma</w:t>
      </w:r>
      <w:r w:rsidRPr="00A942F6">
        <w:rPr>
          <w:lang w:val="nb-NO"/>
        </w:rPr>
        <w:t xml:space="preserve">-behandling. Intervallet mellom levende vaksiner og oppstart av </w:t>
      </w:r>
      <w:r w:rsidR="00923E68" w:rsidRPr="00A942F6">
        <w:rPr>
          <w:lang w:val="nb-NO"/>
        </w:rPr>
        <w:t>Avtozma</w:t>
      </w:r>
      <w:r w:rsidRPr="00A942F6">
        <w:rPr>
          <w:lang w:val="nb-NO"/>
        </w:rPr>
        <w:t>-behandling bør være i samsvar med gjeldende retningslinjer for vaksinering og immunsuppressive midler.</w:t>
      </w:r>
    </w:p>
    <w:p w14:paraId="004FD6D8" w14:textId="77777777" w:rsidR="000B63D8" w:rsidRPr="00A942F6" w:rsidRDefault="000B63D8" w:rsidP="00641834">
      <w:pPr>
        <w:rPr>
          <w:lang w:val="nb-NO"/>
        </w:rPr>
      </w:pPr>
    </w:p>
    <w:p w14:paraId="11F1C4DC" w14:textId="77777777" w:rsidR="008877F8" w:rsidRPr="00A942F6" w:rsidRDefault="008877F8" w:rsidP="00641834">
      <w:pPr>
        <w:pStyle w:val="Style1Iitaic"/>
        <w:rPr>
          <w:lang w:val="nb-NO"/>
        </w:rPr>
      </w:pPr>
      <w:r w:rsidRPr="00A942F6">
        <w:rPr>
          <w:lang w:val="nb-NO"/>
        </w:rPr>
        <w:t>Kardiovaskulær risiko</w:t>
      </w:r>
    </w:p>
    <w:p w14:paraId="0319DBBB" w14:textId="77777777" w:rsidR="008877F8" w:rsidRPr="00A942F6" w:rsidRDefault="008877F8" w:rsidP="00641834">
      <w:pPr>
        <w:rPr>
          <w:lang w:val="nb-NO"/>
        </w:rPr>
      </w:pPr>
      <w:r w:rsidRPr="00A942F6">
        <w:rPr>
          <w:lang w:val="nb-NO"/>
        </w:rPr>
        <w:t>Pasienter med RA har økt risiko for kardiovaskulære sykdommer og risikofaktorer (f.eks. hypertensjon, hyperlipidemi) bør behandles i henhold til klinisk praksis.</w:t>
      </w:r>
    </w:p>
    <w:p w14:paraId="120F526F" w14:textId="77777777" w:rsidR="000B63D8" w:rsidRPr="00A942F6" w:rsidRDefault="000B63D8" w:rsidP="00641834">
      <w:pPr>
        <w:rPr>
          <w:lang w:val="nb-NO"/>
        </w:rPr>
      </w:pPr>
    </w:p>
    <w:p w14:paraId="70DA2C85" w14:textId="77777777" w:rsidR="008877F8" w:rsidRPr="00A942F6" w:rsidRDefault="008877F8" w:rsidP="00641834">
      <w:pPr>
        <w:pStyle w:val="Style1Iitaic"/>
        <w:rPr>
          <w:lang w:val="nb-NO"/>
        </w:rPr>
      </w:pPr>
      <w:r w:rsidRPr="00A942F6">
        <w:rPr>
          <w:lang w:val="nb-NO"/>
        </w:rPr>
        <w:t>Kombinasjon med TNF-antagonister</w:t>
      </w:r>
    </w:p>
    <w:p w14:paraId="7CEAD631" w14:textId="20DCE0EE" w:rsidR="008877F8" w:rsidRPr="00A942F6" w:rsidRDefault="008877F8" w:rsidP="00641834">
      <w:pPr>
        <w:rPr>
          <w:lang w:val="nb-NO"/>
        </w:rPr>
      </w:pPr>
      <w:r w:rsidRPr="00A942F6">
        <w:rPr>
          <w:lang w:val="nb-NO"/>
        </w:rPr>
        <w:t xml:space="preserve">Det er ingen erfaring med bruk av </w:t>
      </w:r>
      <w:r w:rsidR="00923E68" w:rsidRPr="00A942F6">
        <w:rPr>
          <w:lang w:val="nb-NO"/>
        </w:rPr>
        <w:t>Avtozma</w:t>
      </w:r>
      <w:r w:rsidRPr="00A942F6">
        <w:rPr>
          <w:lang w:val="nb-NO"/>
        </w:rPr>
        <w:t xml:space="preserve"> kombinert med TNF-antagonister eller annen biologisk behandling av RA-pasienter. Det anbefales ikke å bruke </w:t>
      </w:r>
      <w:r w:rsidR="00923E68" w:rsidRPr="00A942F6">
        <w:rPr>
          <w:lang w:val="nb-NO"/>
        </w:rPr>
        <w:t>Avtozma</w:t>
      </w:r>
      <w:r w:rsidRPr="00A942F6">
        <w:rPr>
          <w:lang w:val="nb-NO"/>
        </w:rPr>
        <w:t xml:space="preserve"> sammen med andre biologiske legemidler.</w:t>
      </w:r>
    </w:p>
    <w:p w14:paraId="58280D29" w14:textId="77777777" w:rsidR="008877F8" w:rsidRPr="00A942F6" w:rsidRDefault="008877F8" w:rsidP="00641834">
      <w:pPr>
        <w:rPr>
          <w:lang w:val="nb-NO"/>
        </w:rPr>
      </w:pPr>
    </w:p>
    <w:p w14:paraId="138DC560" w14:textId="77777777" w:rsidR="008877F8" w:rsidRPr="00A942F6" w:rsidRDefault="008877F8" w:rsidP="00641834">
      <w:pPr>
        <w:pStyle w:val="Style1Iitaic"/>
        <w:rPr>
          <w:lang w:val="nb-NO"/>
        </w:rPr>
      </w:pPr>
      <w:r w:rsidRPr="00A942F6">
        <w:rPr>
          <w:lang w:val="nb-NO"/>
        </w:rPr>
        <w:t>GCA</w:t>
      </w:r>
    </w:p>
    <w:p w14:paraId="40D9A16F" w14:textId="54ADBDF0" w:rsidR="008877F8" w:rsidRPr="00A942F6" w:rsidRDefault="008877F8" w:rsidP="00641834">
      <w:pPr>
        <w:rPr>
          <w:lang w:val="nb-NO"/>
        </w:rPr>
      </w:pPr>
      <w:r w:rsidRPr="00A942F6">
        <w:rPr>
          <w:lang w:val="nb-NO"/>
        </w:rPr>
        <w:t xml:space="preserve">Monoterapi med </w:t>
      </w:r>
      <w:r w:rsidR="00923E68" w:rsidRPr="00A942F6">
        <w:rPr>
          <w:lang w:val="nb-NO"/>
        </w:rPr>
        <w:t>Avtozma</w:t>
      </w:r>
      <w:r w:rsidRPr="00A942F6">
        <w:rPr>
          <w:lang w:val="nb-NO"/>
        </w:rPr>
        <w:t xml:space="preserve"> bør ikke brukes til behandling av akutt tilbakefall siden effekten av dette ikke er fastslått. Glukokortikoider bør gis i henhold til medisinsk vurdering og retningslinjer.</w:t>
      </w:r>
    </w:p>
    <w:p w14:paraId="7812E395" w14:textId="77777777" w:rsidR="008877F8" w:rsidRPr="00A942F6" w:rsidRDefault="008877F8" w:rsidP="00641834">
      <w:pPr>
        <w:rPr>
          <w:lang w:val="nb-NO"/>
        </w:rPr>
      </w:pPr>
    </w:p>
    <w:p w14:paraId="07B1B72E" w14:textId="77777777" w:rsidR="008877F8" w:rsidRPr="00A942F6" w:rsidRDefault="008877F8" w:rsidP="00641834">
      <w:pPr>
        <w:pStyle w:val="Style1Iitaic"/>
        <w:rPr>
          <w:lang w:val="nb-NO"/>
        </w:rPr>
      </w:pPr>
      <w:r w:rsidRPr="00A942F6">
        <w:rPr>
          <w:lang w:val="nb-NO"/>
        </w:rPr>
        <w:t>sJIA</w:t>
      </w:r>
    </w:p>
    <w:p w14:paraId="47CD107D" w14:textId="77777777" w:rsidR="008877F8" w:rsidRPr="00A942F6" w:rsidRDefault="008877F8" w:rsidP="00641834">
      <w:pPr>
        <w:rPr>
          <w:lang w:val="nb-NO"/>
        </w:rPr>
      </w:pPr>
      <w:r w:rsidRPr="00A942F6">
        <w:rPr>
          <w:lang w:val="nb-NO"/>
        </w:rPr>
        <w:t>Makrofagaktivering-syndrom (MAS) er en alvorlig, livstruende sykdom som kan utvikles hos sJIA- pasienter. Det er ikke utført kliniske forsøk med tocilizumab hos pasienter med aktiv MAS.</w:t>
      </w:r>
    </w:p>
    <w:p w14:paraId="20FE6EC4" w14:textId="77777777" w:rsidR="008877F8" w:rsidRPr="00A942F6" w:rsidRDefault="008877F8" w:rsidP="00641834">
      <w:pPr>
        <w:rPr>
          <w:lang w:val="nb-NO"/>
        </w:rPr>
      </w:pPr>
    </w:p>
    <w:p w14:paraId="5BEC297F" w14:textId="77777777" w:rsidR="00A928A6" w:rsidRPr="00A942F6" w:rsidRDefault="00A928A6" w:rsidP="00A928A6">
      <w:pPr>
        <w:rPr>
          <w:u w:val="single"/>
          <w:lang w:val="nb-NO"/>
        </w:rPr>
      </w:pPr>
      <w:r w:rsidRPr="00A942F6">
        <w:rPr>
          <w:u w:val="single"/>
          <w:lang w:val="nb-NO"/>
        </w:rPr>
        <w:t>Hjelpestoffer med kjent effekt</w:t>
      </w:r>
    </w:p>
    <w:p w14:paraId="0E00D43E" w14:textId="77777777" w:rsidR="00A928A6" w:rsidRPr="00A942F6" w:rsidRDefault="00A928A6" w:rsidP="00A928A6">
      <w:pPr>
        <w:rPr>
          <w:lang w:val="nb-NO"/>
        </w:rPr>
      </w:pPr>
    </w:p>
    <w:p w14:paraId="50DAFF9A" w14:textId="77777777" w:rsidR="00A928A6" w:rsidRPr="00A942F6" w:rsidRDefault="00A928A6" w:rsidP="00A928A6">
      <w:pPr>
        <w:rPr>
          <w:i/>
          <w:iCs/>
          <w:lang w:val="nb-NO"/>
        </w:rPr>
      </w:pPr>
      <w:r w:rsidRPr="00A942F6">
        <w:rPr>
          <w:i/>
          <w:iCs/>
          <w:lang w:val="nb-NO"/>
        </w:rPr>
        <w:t>Polysorbat</w:t>
      </w:r>
    </w:p>
    <w:p w14:paraId="7C8C8FCF" w14:textId="5A86F6F5" w:rsidR="00A928A6" w:rsidRPr="00A942F6" w:rsidRDefault="00A928A6" w:rsidP="00A928A6">
      <w:pPr>
        <w:rPr>
          <w:lang w:val="nb-NO"/>
        </w:rPr>
      </w:pPr>
      <w:r w:rsidRPr="00A942F6">
        <w:rPr>
          <w:lang w:val="nb-NO"/>
        </w:rPr>
        <w:t>Hver 162</w:t>
      </w:r>
      <w:r w:rsidR="00B66B6F" w:rsidRPr="00A942F6">
        <w:rPr>
          <w:lang w:val="nb-NO"/>
        </w:rPr>
        <w:t> </w:t>
      </w:r>
      <w:r w:rsidRPr="00A942F6">
        <w:rPr>
          <w:lang w:val="nb-NO"/>
        </w:rPr>
        <w:t>mg ferdigfylt sprøyte inneholder 0,2 mg polysorbat</w:t>
      </w:r>
      <w:r w:rsidR="00D32E0B">
        <w:rPr>
          <w:rFonts w:eastAsia="맑은 고딕" w:hint="eastAsia"/>
          <w:lang w:val="nb-NO" w:eastAsia="ko-KR"/>
        </w:rPr>
        <w:t xml:space="preserve"> 80</w:t>
      </w:r>
      <w:r w:rsidRPr="00A942F6">
        <w:rPr>
          <w:lang w:val="nb-NO"/>
        </w:rPr>
        <w:t>.</w:t>
      </w:r>
    </w:p>
    <w:p w14:paraId="3775E260" w14:textId="77777777" w:rsidR="00A928A6" w:rsidRPr="00A942F6" w:rsidRDefault="00A928A6" w:rsidP="00A928A6">
      <w:pPr>
        <w:rPr>
          <w:lang w:val="nb-NO"/>
        </w:rPr>
      </w:pPr>
      <w:r w:rsidRPr="00A942F6">
        <w:rPr>
          <w:lang w:val="nb-NO"/>
        </w:rPr>
        <w:lastRenderedPageBreak/>
        <w:t xml:space="preserve">Polysorbater kan forårsake allergiske reaksjoner. Pasienter med polysorbatallergi </w:t>
      </w:r>
      <w:r w:rsidR="007D37ED">
        <w:rPr>
          <w:lang w:val="nb-NO"/>
        </w:rPr>
        <w:t>bør</w:t>
      </w:r>
      <w:r w:rsidRPr="00A942F6">
        <w:rPr>
          <w:lang w:val="nb-NO"/>
        </w:rPr>
        <w:t xml:space="preserve"> ikke ta dette legemidlet.</w:t>
      </w:r>
    </w:p>
    <w:p w14:paraId="407A3F30" w14:textId="77777777" w:rsidR="00A928A6" w:rsidRPr="00A942F6" w:rsidRDefault="00A928A6" w:rsidP="00641834">
      <w:pPr>
        <w:rPr>
          <w:lang w:val="nb-NO"/>
        </w:rPr>
      </w:pPr>
    </w:p>
    <w:p w14:paraId="2CD6E4C3" w14:textId="77777777" w:rsidR="008877F8" w:rsidRPr="00A942F6" w:rsidRDefault="008877F8" w:rsidP="00641834">
      <w:pPr>
        <w:pStyle w:val="H2"/>
        <w:rPr>
          <w:lang w:val="nb-NO"/>
        </w:rPr>
      </w:pPr>
      <w:r w:rsidRPr="00A942F6">
        <w:rPr>
          <w:lang w:val="nb-NO"/>
        </w:rPr>
        <w:t>4.5</w:t>
      </w:r>
      <w:r w:rsidRPr="00A942F6">
        <w:rPr>
          <w:lang w:val="nb-NO"/>
        </w:rPr>
        <w:tab/>
        <w:t>Interaksjon med andre legemidler og andre former for interaksjon</w:t>
      </w:r>
    </w:p>
    <w:p w14:paraId="4B12DBE4" w14:textId="77777777" w:rsidR="00426296" w:rsidRPr="00A942F6" w:rsidRDefault="00426296" w:rsidP="00641834">
      <w:pPr>
        <w:rPr>
          <w:lang w:val="nb-NO"/>
        </w:rPr>
      </w:pPr>
    </w:p>
    <w:p w14:paraId="2D8A8582" w14:textId="77777777" w:rsidR="008877F8" w:rsidRPr="00A942F6" w:rsidRDefault="008877F8" w:rsidP="00641834">
      <w:pPr>
        <w:rPr>
          <w:lang w:val="nb-NO"/>
        </w:rPr>
      </w:pPr>
      <w:r w:rsidRPr="00A942F6">
        <w:rPr>
          <w:lang w:val="nb-NO"/>
        </w:rPr>
        <w:t>Interaksjonsstudier har kun blitt utført hos voksne.</w:t>
      </w:r>
    </w:p>
    <w:p w14:paraId="3630913D" w14:textId="77777777" w:rsidR="008877F8" w:rsidRPr="00A942F6" w:rsidRDefault="008877F8" w:rsidP="00641834">
      <w:pPr>
        <w:rPr>
          <w:lang w:val="nb-NO"/>
        </w:rPr>
      </w:pPr>
    </w:p>
    <w:p w14:paraId="00408FCE" w14:textId="285C71DC" w:rsidR="008877F8" w:rsidRPr="00A942F6" w:rsidRDefault="008877F8" w:rsidP="00641834">
      <w:pPr>
        <w:rPr>
          <w:lang w:val="nb-NO"/>
        </w:rPr>
      </w:pPr>
      <w:r w:rsidRPr="00A942F6">
        <w:rPr>
          <w:lang w:val="nb-NO"/>
        </w:rPr>
        <w:t xml:space="preserve">Samtidig administrering av en enkeltdose </w:t>
      </w:r>
      <w:r w:rsidR="00923E68" w:rsidRPr="00A942F6">
        <w:rPr>
          <w:lang w:val="nb-NO"/>
        </w:rPr>
        <w:t>Avtozma</w:t>
      </w:r>
      <w:r w:rsidRPr="00A942F6">
        <w:rPr>
          <w:lang w:val="nb-NO"/>
        </w:rPr>
        <w:t xml:space="preserve"> 10 mg/kg og metotreksat 10-25 mg en gang ukentlig hadde ingen klinisk signifikant effekt på metotreksateksponeringen.</w:t>
      </w:r>
    </w:p>
    <w:p w14:paraId="47D97F9E" w14:textId="77777777" w:rsidR="000B63D8" w:rsidRPr="00A942F6" w:rsidRDefault="000B63D8" w:rsidP="00641834">
      <w:pPr>
        <w:rPr>
          <w:lang w:val="nb-NO"/>
        </w:rPr>
      </w:pPr>
    </w:p>
    <w:p w14:paraId="7E01A990" w14:textId="06C5714B" w:rsidR="008877F8" w:rsidRPr="00A942F6" w:rsidRDefault="008877F8" w:rsidP="00641834">
      <w:pPr>
        <w:rPr>
          <w:lang w:val="nb-NO"/>
        </w:rPr>
      </w:pPr>
      <w:r w:rsidRPr="00A942F6">
        <w:rPr>
          <w:lang w:val="nb-NO"/>
        </w:rPr>
        <w:t xml:space="preserve">Populasjonsfarmakokinetiske analyser med samtidig bruk av metotreksat, ikke-steroide antiinflammatoriske legemidler (NSAIDs) eller kortikosteroider viste ingen påvirkning på clearance for </w:t>
      </w:r>
      <w:r w:rsidR="00A928A6" w:rsidRPr="00A942F6">
        <w:rPr>
          <w:lang w:val="nb-NO"/>
        </w:rPr>
        <w:t>tocilizumab</w:t>
      </w:r>
      <w:r w:rsidRPr="00A942F6">
        <w:rPr>
          <w:lang w:val="nb-NO"/>
        </w:rPr>
        <w:t xml:space="preserve"> hos RA-pasienter. Hos GCA-pasienter ble det ikke observert effekt av akkumulerende kortikoidsteriod dose på eksponering av </w:t>
      </w:r>
      <w:r w:rsidR="00A928A6" w:rsidRPr="00A942F6">
        <w:rPr>
          <w:lang w:val="nb-NO"/>
        </w:rPr>
        <w:t>tocilizumab</w:t>
      </w:r>
      <w:r w:rsidRPr="00A942F6">
        <w:rPr>
          <w:lang w:val="nb-NO"/>
        </w:rPr>
        <w:t>.</w:t>
      </w:r>
    </w:p>
    <w:p w14:paraId="20D2E762" w14:textId="77777777" w:rsidR="008877F8" w:rsidRPr="00A942F6" w:rsidRDefault="008877F8" w:rsidP="00641834">
      <w:pPr>
        <w:rPr>
          <w:lang w:val="nb-NO"/>
        </w:rPr>
      </w:pPr>
    </w:p>
    <w:p w14:paraId="56036DFF" w14:textId="5F97EFA2" w:rsidR="008877F8" w:rsidRPr="00A942F6" w:rsidRDefault="008877F8" w:rsidP="00641834">
      <w:pPr>
        <w:rPr>
          <w:lang w:val="nb-NO"/>
        </w:rPr>
      </w:pPr>
      <w:r w:rsidRPr="00A942F6">
        <w:rPr>
          <w:lang w:val="nb-NO"/>
        </w:rPr>
        <w:t xml:space="preserve">Ekspresjon av hepatiske CYP450-enzymer hemmes av cytokiner, for eksempel IL-6, som stimulerer kronisk inflammasjon. Ekspresjon av CYP450 kan derfor reverseres når behandling med potent cytokinhemmende terapi, som </w:t>
      </w:r>
      <w:r w:rsidR="00923E68" w:rsidRPr="00A942F6">
        <w:rPr>
          <w:lang w:val="nb-NO"/>
        </w:rPr>
        <w:t>Avtozma</w:t>
      </w:r>
      <w:r w:rsidRPr="00A942F6">
        <w:rPr>
          <w:lang w:val="nb-NO"/>
        </w:rPr>
        <w:t>, iverksettes.</w:t>
      </w:r>
    </w:p>
    <w:p w14:paraId="5C9FAFD8" w14:textId="77777777" w:rsidR="008877F8" w:rsidRPr="00A942F6" w:rsidRDefault="008877F8" w:rsidP="00641834">
      <w:pPr>
        <w:rPr>
          <w:lang w:val="nb-NO"/>
        </w:rPr>
      </w:pPr>
    </w:p>
    <w:p w14:paraId="7529D3FF" w14:textId="62D10C31" w:rsidR="008877F8" w:rsidRPr="00A942F6" w:rsidRDefault="008877F8" w:rsidP="00641834">
      <w:pPr>
        <w:rPr>
          <w:lang w:val="nb-NO"/>
        </w:rPr>
      </w:pPr>
      <w:r w:rsidRPr="00A942F6">
        <w:rPr>
          <w:i/>
          <w:iCs/>
          <w:lang w:val="nb-NO"/>
        </w:rPr>
        <w:t>In vitro</w:t>
      </w:r>
      <w:r w:rsidRPr="00A942F6">
        <w:rPr>
          <w:lang w:val="nb-NO"/>
        </w:rPr>
        <w:t xml:space="preserve">-studier med humane hepatocytter i kultur har vist at IL-6 forårsaket reduksjon av enzymene CYP1A2, CYP2C9, CYP2C19 og CYP3A4. </w:t>
      </w:r>
      <w:r w:rsidR="00A928A6" w:rsidRPr="00A942F6">
        <w:rPr>
          <w:lang w:val="nb-NO"/>
        </w:rPr>
        <w:t>Tocilizumab</w:t>
      </w:r>
      <w:r w:rsidRPr="00A942F6">
        <w:rPr>
          <w:lang w:val="nb-NO"/>
        </w:rPr>
        <w:t xml:space="preserve"> normaliserer ekspresjonen av disse enzymene.</w:t>
      </w:r>
    </w:p>
    <w:p w14:paraId="60B6D85E" w14:textId="77777777" w:rsidR="000B63D8" w:rsidRPr="00A942F6" w:rsidRDefault="000B63D8" w:rsidP="00641834">
      <w:pPr>
        <w:rPr>
          <w:lang w:val="nb-NO"/>
        </w:rPr>
      </w:pPr>
    </w:p>
    <w:p w14:paraId="61977C5E" w14:textId="77777777" w:rsidR="008877F8" w:rsidRPr="00A942F6" w:rsidRDefault="008877F8" w:rsidP="00641834">
      <w:pPr>
        <w:rPr>
          <w:lang w:val="nb-NO"/>
        </w:rPr>
      </w:pPr>
      <w:r w:rsidRPr="00A942F6">
        <w:rPr>
          <w:lang w:val="nb-NO"/>
        </w:rPr>
        <w:t>I en studie med RA-pasienter ble nivåene for simvastatin (CYP3A4) senket med 57 % én uke etter en enkeltdose tocilizumab, til nivået var likt, eller litt høyere, enn det som var observert hos friske individer.</w:t>
      </w:r>
    </w:p>
    <w:p w14:paraId="0B8B0369" w14:textId="77777777" w:rsidR="008877F8" w:rsidRPr="00A942F6" w:rsidRDefault="008877F8" w:rsidP="00641834">
      <w:pPr>
        <w:rPr>
          <w:lang w:val="nb-NO"/>
        </w:rPr>
      </w:pPr>
    </w:p>
    <w:p w14:paraId="6F0E7DC7" w14:textId="77777777" w:rsidR="008877F8" w:rsidRPr="00A942F6" w:rsidRDefault="008877F8" w:rsidP="00641834">
      <w:pPr>
        <w:rPr>
          <w:lang w:val="nb-NO"/>
        </w:rPr>
      </w:pPr>
      <w:r w:rsidRPr="00A942F6">
        <w:rPr>
          <w:lang w:val="nb-NO"/>
        </w:rPr>
        <w:t>Ved oppstart eller seponering av behandling med tocilizumab bør pasienter som tar legemidler som justeres individuelt, og som metaboliseres via CYP450 3A4, 1A2 eller 2C9 (f.eks. metylprednisolon, deksametason, (med mulighet for seponeringssyndrom av oral glukokortikoid), atorvastatin, kalsiumkanalblokkere, teofyllin, warfarin, fenprokumon, fenytoin, ciklosporin eller benzodiazepiner), monitoreres da doseøkning kan bli nødvendig for å beholde terapeutisk effekt. På grunn av den lange halveringstiden (t</w:t>
      </w:r>
      <w:r w:rsidR="002D2136" w:rsidRPr="00A942F6">
        <w:rPr>
          <w:vertAlign w:val="subscript"/>
          <w:lang w:val="nb-NO"/>
        </w:rPr>
        <w:t>1/2</w:t>
      </w:r>
      <w:r w:rsidRPr="00A942F6">
        <w:rPr>
          <w:lang w:val="nb-NO"/>
        </w:rPr>
        <w:t>) kan effekten av tocilizumab på CYP450-enzymaktivitet vedvare i flere uker etter seponering.</w:t>
      </w:r>
    </w:p>
    <w:p w14:paraId="19FC22B2" w14:textId="77777777" w:rsidR="008877F8" w:rsidRPr="00A942F6" w:rsidRDefault="008877F8" w:rsidP="00641834">
      <w:pPr>
        <w:rPr>
          <w:lang w:val="nb-NO"/>
        </w:rPr>
      </w:pPr>
    </w:p>
    <w:p w14:paraId="78CBD39D" w14:textId="77777777" w:rsidR="008877F8" w:rsidRPr="00A942F6" w:rsidRDefault="008877F8" w:rsidP="00641834">
      <w:pPr>
        <w:pStyle w:val="H2"/>
        <w:rPr>
          <w:lang w:val="nb-NO"/>
        </w:rPr>
      </w:pPr>
      <w:r w:rsidRPr="00A942F6">
        <w:rPr>
          <w:lang w:val="nb-NO"/>
        </w:rPr>
        <w:t>4.6</w:t>
      </w:r>
      <w:r w:rsidRPr="00A942F6">
        <w:rPr>
          <w:lang w:val="nb-NO"/>
        </w:rPr>
        <w:tab/>
        <w:t>Fertilitet, graviditet og amming</w:t>
      </w:r>
    </w:p>
    <w:p w14:paraId="3E821CC8" w14:textId="77777777" w:rsidR="00426296" w:rsidRPr="00A942F6" w:rsidRDefault="00426296" w:rsidP="00641834">
      <w:pPr>
        <w:rPr>
          <w:lang w:val="nb-NO"/>
        </w:rPr>
      </w:pPr>
    </w:p>
    <w:p w14:paraId="2096EA1E" w14:textId="77777777" w:rsidR="008877F8" w:rsidRPr="00A942F6" w:rsidRDefault="008877F8" w:rsidP="00641834">
      <w:pPr>
        <w:pStyle w:val="Style1underline"/>
        <w:rPr>
          <w:lang w:val="nb-NO"/>
        </w:rPr>
      </w:pPr>
      <w:r w:rsidRPr="00A942F6">
        <w:rPr>
          <w:lang w:val="nb-NO"/>
        </w:rPr>
        <w:t>Kvinner i fertil alder</w:t>
      </w:r>
    </w:p>
    <w:p w14:paraId="58A042FC" w14:textId="77777777" w:rsidR="008877F8" w:rsidRPr="00A942F6" w:rsidRDefault="008877F8" w:rsidP="00641834">
      <w:pPr>
        <w:rPr>
          <w:lang w:val="nb-NO"/>
        </w:rPr>
      </w:pPr>
    </w:p>
    <w:p w14:paraId="17369F55" w14:textId="77777777" w:rsidR="000B63D8" w:rsidRPr="00A942F6" w:rsidRDefault="008877F8" w:rsidP="00641834">
      <w:pPr>
        <w:rPr>
          <w:lang w:val="nb-NO"/>
        </w:rPr>
      </w:pPr>
      <w:r w:rsidRPr="00A942F6">
        <w:rPr>
          <w:lang w:val="nb-NO"/>
        </w:rPr>
        <w:t>Kvinner i fertil alder må bruke sikker prevensjon under og opptil 3 måneder etter behandling.</w:t>
      </w:r>
    </w:p>
    <w:p w14:paraId="258B34EE" w14:textId="77777777" w:rsidR="000B63D8" w:rsidRPr="00A942F6" w:rsidRDefault="000B63D8" w:rsidP="00641834">
      <w:pPr>
        <w:rPr>
          <w:lang w:val="nb-NO"/>
        </w:rPr>
      </w:pPr>
    </w:p>
    <w:p w14:paraId="687A5903" w14:textId="77777777" w:rsidR="008877F8" w:rsidRPr="00A942F6" w:rsidRDefault="008877F8" w:rsidP="00641834">
      <w:pPr>
        <w:pStyle w:val="Style1underline"/>
        <w:rPr>
          <w:lang w:val="nb-NO"/>
        </w:rPr>
      </w:pPr>
      <w:r w:rsidRPr="00A942F6">
        <w:rPr>
          <w:lang w:val="nb-NO"/>
        </w:rPr>
        <w:t>Graviditet</w:t>
      </w:r>
    </w:p>
    <w:p w14:paraId="38B5BE07" w14:textId="77777777" w:rsidR="000B63D8" w:rsidRPr="00A942F6" w:rsidRDefault="000B63D8" w:rsidP="00641834">
      <w:pPr>
        <w:rPr>
          <w:lang w:val="nb-NO"/>
        </w:rPr>
      </w:pPr>
    </w:p>
    <w:p w14:paraId="2F47E8A3" w14:textId="08CD94B0" w:rsidR="008877F8" w:rsidRPr="00A942F6" w:rsidRDefault="008877F8" w:rsidP="00641834">
      <w:pPr>
        <w:rPr>
          <w:lang w:val="nb-NO"/>
        </w:rPr>
      </w:pPr>
      <w:r w:rsidRPr="00A942F6">
        <w:rPr>
          <w:lang w:val="nb-NO"/>
        </w:rPr>
        <w:t xml:space="preserve">Det foreligger ikke tilstrekkelige data på bruk av </w:t>
      </w:r>
      <w:r w:rsidR="00923E68" w:rsidRPr="00A942F6">
        <w:rPr>
          <w:lang w:val="nb-NO"/>
        </w:rPr>
        <w:t>Avtozma</w:t>
      </w:r>
      <w:r w:rsidRPr="00A942F6">
        <w:rPr>
          <w:lang w:val="nb-NO"/>
        </w:rPr>
        <w:t xml:space="preserve"> hos gravide kvinner. En dyrestudie har vist en økt risiko for spontanabort/fosterdød ved høy dose (se pkt. 5.3). Potensiell risiko for mennesker er ukjent.</w:t>
      </w:r>
    </w:p>
    <w:p w14:paraId="74B483BD" w14:textId="77777777" w:rsidR="000B63D8" w:rsidRPr="00A942F6" w:rsidRDefault="000B63D8" w:rsidP="00641834">
      <w:pPr>
        <w:rPr>
          <w:lang w:val="nb-NO"/>
        </w:rPr>
      </w:pPr>
    </w:p>
    <w:p w14:paraId="4C2ED149" w14:textId="51CDD218" w:rsidR="000B63D8" w:rsidRPr="00A942F6" w:rsidRDefault="00923E68" w:rsidP="00641834">
      <w:pPr>
        <w:rPr>
          <w:lang w:val="nb-NO"/>
        </w:rPr>
      </w:pPr>
      <w:r w:rsidRPr="00A942F6">
        <w:rPr>
          <w:lang w:val="nb-NO"/>
        </w:rPr>
        <w:t>Avtozma</w:t>
      </w:r>
      <w:r w:rsidR="008877F8" w:rsidRPr="00A942F6">
        <w:rPr>
          <w:lang w:val="nb-NO"/>
        </w:rPr>
        <w:t xml:space="preserve"> bør ikke brukes under gravidite</w:t>
      </w:r>
      <w:r w:rsidR="000B63D8" w:rsidRPr="00A942F6">
        <w:rPr>
          <w:lang w:val="nb-NO"/>
        </w:rPr>
        <w:t>t, hvis ikke strengt nødvendig.</w:t>
      </w:r>
    </w:p>
    <w:p w14:paraId="3B1FBF74" w14:textId="77777777" w:rsidR="000B63D8" w:rsidRPr="00A942F6" w:rsidRDefault="000B63D8" w:rsidP="00641834">
      <w:pPr>
        <w:rPr>
          <w:lang w:val="nb-NO"/>
        </w:rPr>
      </w:pPr>
    </w:p>
    <w:p w14:paraId="4C008820" w14:textId="77777777" w:rsidR="008877F8" w:rsidRPr="00A942F6" w:rsidRDefault="008877F8" w:rsidP="00641834">
      <w:pPr>
        <w:pStyle w:val="Style1underline"/>
        <w:rPr>
          <w:lang w:val="nb-NO"/>
        </w:rPr>
      </w:pPr>
      <w:r w:rsidRPr="00A942F6">
        <w:rPr>
          <w:lang w:val="nb-NO"/>
        </w:rPr>
        <w:t>Amming</w:t>
      </w:r>
    </w:p>
    <w:p w14:paraId="4B731C4D" w14:textId="77777777" w:rsidR="000B63D8" w:rsidRPr="00A942F6" w:rsidRDefault="000B63D8" w:rsidP="00641834">
      <w:pPr>
        <w:rPr>
          <w:lang w:val="nb-NO"/>
        </w:rPr>
      </w:pPr>
    </w:p>
    <w:p w14:paraId="1A11864C" w14:textId="59B10246" w:rsidR="008877F8" w:rsidRPr="00A942F6" w:rsidRDefault="008877F8" w:rsidP="00641834">
      <w:pPr>
        <w:rPr>
          <w:lang w:val="nb-NO"/>
        </w:rPr>
      </w:pPr>
      <w:r w:rsidRPr="00A942F6">
        <w:rPr>
          <w:lang w:val="nb-NO"/>
        </w:rPr>
        <w:t xml:space="preserve">Det er ukjent hvorvidt tocilizumab skilles ut i morsmelk hos mennesker. Utskillelse av </w:t>
      </w:r>
      <w:r w:rsidR="00923E68" w:rsidRPr="00A942F6">
        <w:rPr>
          <w:lang w:val="nb-NO"/>
        </w:rPr>
        <w:t>Avtozma</w:t>
      </w:r>
      <w:r w:rsidRPr="00A942F6">
        <w:rPr>
          <w:lang w:val="nb-NO"/>
        </w:rPr>
        <w:t xml:space="preserve"> i melk er ikke undersøkt hos dyr. Ved spørsmål om hvorvidt amming skal avbrytes eller fortsette, eller om behandling med </w:t>
      </w:r>
      <w:r w:rsidR="00923E68" w:rsidRPr="00A942F6">
        <w:rPr>
          <w:lang w:val="nb-NO"/>
        </w:rPr>
        <w:t>Avtozma</w:t>
      </w:r>
      <w:r w:rsidRPr="00A942F6">
        <w:rPr>
          <w:lang w:val="nb-NO"/>
        </w:rPr>
        <w:t xml:space="preserve"> skal avbrytes eller fortsette, bør nytten av amming for barnet vurderes mot nytten av behandling med </w:t>
      </w:r>
      <w:r w:rsidR="00923E68" w:rsidRPr="00A942F6">
        <w:rPr>
          <w:lang w:val="nb-NO"/>
        </w:rPr>
        <w:t>Avtozma</w:t>
      </w:r>
      <w:r w:rsidRPr="00A942F6">
        <w:rPr>
          <w:lang w:val="nb-NO"/>
        </w:rPr>
        <w:t xml:space="preserve"> for kvinnen.</w:t>
      </w:r>
    </w:p>
    <w:p w14:paraId="2D59E0A9" w14:textId="77777777" w:rsidR="008877F8" w:rsidRPr="00A942F6" w:rsidRDefault="008877F8" w:rsidP="00641834">
      <w:pPr>
        <w:rPr>
          <w:lang w:val="nb-NO"/>
        </w:rPr>
      </w:pPr>
    </w:p>
    <w:p w14:paraId="6C0C7F12" w14:textId="77777777" w:rsidR="008877F8" w:rsidRPr="00A942F6" w:rsidRDefault="008877F8" w:rsidP="00641834">
      <w:pPr>
        <w:pStyle w:val="Style1underline"/>
        <w:rPr>
          <w:lang w:val="nb-NO"/>
        </w:rPr>
      </w:pPr>
      <w:r w:rsidRPr="00A942F6">
        <w:rPr>
          <w:lang w:val="nb-NO"/>
        </w:rPr>
        <w:lastRenderedPageBreak/>
        <w:t>Fertilitet</w:t>
      </w:r>
    </w:p>
    <w:p w14:paraId="3673C0EA" w14:textId="77777777" w:rsidR="000B63D8" w:rsidRPr="00A942F6" w:rsidRDefault="000B63D8" w:rsidP="00641834">
      <w:pPr>
        <w:rPr>
          <w:lang w:val="nb-NO"/>
        </w:rPr>
      </w:pPr>
    </w:p>
    <w:p w14:paraId="11BC8FBA" w14:textId="76B11709" w:rsidR="008877F8" w:rsidRPr="00A942F6" w:rsidRDefault="008877F8" w:rsidP="00641834">
      <w:pPr>
        <w:rPr>
          <w:lang w:val="nb-NO"/>
        </w:rPr>
      </w:pPr>
      <w:r w:rsidRPr="00A942F6">
        <w:rPr>
          <w:lang w:val="nb-NO"/>
        </w:rPr>
        <w:t xml:space="preserve">Tilgjengelige ikke-kliniske data antyder ingen effekt av behandling med </w:t>
      </w:r>
      <w:r w:rsidR="00923E68" w:rsidRPr="00A942F6">
        <w:rPr>
          <w:lang w:val="nb-NO"/>
        </w:rPr>
        <w:t>Avtozma</w:t>
      </w:r>
      <w:r w:rsidRPr="00A942F6">
        <w:rPr>
          <w:lang w:val="nb-NO"/>
        </w:rPr>
        <w:t xml:space="preserve"> på fertilitet.</w:t>
      </w:r>
    </w:p>
    <w:p w14:paraId="09E28753" w14:textId="77777777" w:rsidR="008877F8" w:rsidRPr="00A942F6" w:rsidRDefault="008877F8" w:rsidP="00641834">
      <w:pPr>
        <w:rPr>
          <w:lang w:val="nb-NO"/>
        </w:rPr>
      </w:pPr>
    </w:p>
    <w:p w14:paraId="526E29D5" w14:textId="77777777" w:rsidR="008877F8" w:rsidRPr="00A942F6" w:rsidRDefault="008877F8" w:rsidP="00641834">
      <w:pPr>
        <w:pStyle w:val="H2"/>
        <w:rPr>
          <w:lang w:val="nb-NO"/>
        </w:rPr>
      </w:pPr>
      <w:r w:rsidRPr="00A942F6">
        <w:rPr>
          <w:lang w:val="nb-NO"/>
        </w:rPr>
        <w:t>4.7</w:t>
      </w:r>
      <w:r w:rsidRPr="00A942F6">
        <w:rPr>
          <w:lang w:val="nb-NO"/>
        </w:rPr>
        <w:tab/>
        <w:t>Påvirkning av evnen til å kjøre bil og bruke maskiner</w:t>
      </w:r>
    </w:p>
    <w:p w14:paraId="6747B06F" w14:textId="77777777" w:rsidR="00426296" w:rsidRPr="00A942F6" w:rsidRDefault="00426296" w:rsidP="00641834">
      <w:pPr>
        <w:rPr>
          <w:lang w:val="nb-NO"/>
        </w:rPr>
      </w:pPr>
    </w:p>
    <w:p w14:paraId="44488D48" w14:textId="02CDABC9" w:rsidR="008877F8" w:rsidRPr="00A942F6" w:rsidRDefault="00A928A6" w:rsidP="00641834">
      <w:pPr>
        <w:rPr>
          <w:lang w:val="nb-NO"/>
        </w:rPr>
      </w:pPr>
      <w:r w:rsidRPr="00A942F6">
        <w:rPr>
          <w:lang w:val="nb-NO"/>
        </w:rPr>
        <w:t>Tocilizumab</w:t>
      </w:r>
      <w:r w:rsidR="008877F8" w:rsidRPr="00A942F6">
        <w:rPr>
          <w:lang w:val="nb-NO"/>
        </w:rPr>
        <w:t xml:space="preserve"> har liten påvirkning på evnen til å kjøre bil og bruke maskiner (se pkt. 4.8, svimmelhet).</w:t>
      </w:r>
    </w:p>
    <w:p w14:paraId="2E60DFC5" w14:textId="77777777" w:rsidR="008877F8" w:rsidRPr="00A942F6" w:rsidRDefault="008877F8" w:rsidP="00641834">
      <w:pPr>
        <w:rPr>
          <w:lang w:val="nb-NO"/>
        </w:rPr>
      </w:pPr>
    </w:p>
    <w:p w14:paraId="55754F86" w14:textId="77777777" w:rsidR="008877F8" w:rsidRPr="00A942F6" w:rsidRDefault="008877F8" w:rsidP="00641834">
      <w:pPr>
        <w:pStyle w:val="H2"/>
        <w:rPr>
          <w:lang w:val="nb-NO"/>
        </w:rPr>
      </w:pPr>
      <w:r w:rsidRPr="00A942F6">
        <w:rPr>
          <w:lang w:val="nb-NO"/>
        </w:rPr>
        <w:t>4.8</w:t>
      </w:r>
      <w:r w:rsidRPr="00A942F6">
        <w:rPr>
          <w:lang w:val="nb-NO"/>
        </w:rPr>
        <w:tab/>
        <w:t>Bivirkninger</w:t>
      </w:r>
    </w:p>
    <w:p w14:paraId="1078A20C" w14:textId="77777777" w:rsidR="00426296" w:rsidRPr="00A942F6" w:rsidRDefault="00426296" w:rsidP="00641834">
      <w:pPr>
        <w:keepNext/>
        <w:rPr>
          <w:lang w:val="nb-NO"/>
        </w:rPr>
      </w:pPr>
    </w:p>
    <w:p w14:paraId="7EED5C14" w14:textId="77777777" w:rsidR="008877F8" w:rsidRPr="00A942F6" w:rsidRDefault="008877F8" w:rsidP="00641834">
      <w:pPr>
        <w:pStyle w:val="Style1underline"/>
        <w:rPr>
          <w:lang w:val="nb-NO"/>
        </w:rPr>
      </w:pPr>
      <w:r w:rsidRPr="00A942F6">
        <w:rPr>
          <w:lang w:val="nb-NO"/>
        </w:rPr>
        <w:t>Oppsummering av sikkerhetsprofilen</w:t>
      </w:r>
    </w:p>
    <w:p w14:paraId="72F27488" w14:textId="17CECE2B" w:rsidR="008877F8" w:rsidRPr="00A942F6" w:rsidRDefault="008877F8" w:rsidP="00641834">
      <w:pPr>
        <w:rPr>
          <w:lang w:val="nb-NO"/>
        </w:rPr>
      </w:pPr>
      <w:r w:rsidRPr="00A942F6">
        <w:rPr>
          <w:lang w:val="nb-NO"/>
        </w:rPr>
        <w:t xml:space="preserve">Sikkerhetsprofilen kommer fra 4510 pasienter som fikk </w:t>
      </w:r>
      <w:r w:rsidR="00A928A6" w:rsidRPr="00A942F6">
        <w:rPr>
          <w:lang w:val="nb-NO"/>
        </w:rPr>
        <w:t>tocilizumab</w:t>
      </w:r>
      <w:r w:rsidRPr="00A942F6">
        <w:rPr>
          <w:lang w:val="nb-NO"/>
        </w:rPr>
        <w:t xml:space="preserve"> i kliniske studier. Størsteparten av disse pasientene deltok i RA-studier for voksne (n = 4009), mens de resterende erfaringene kommer fra GCA (n = 149)-, pJIA (n = 240)- og sJIA (n = 112)-studier. Sikkerhetsprofilen til </w:t>
      </w:r>
      <w:r w:rsidR="00A928A6" w:rsidRPr="00A942F6">
        <w:rPr>
          <w:lang w:val="nb-NO"/>
        </w:rPr>
        <w:t>tocilizumab</w:t>
      </w:r>
      <w:r w:rsidRPr="00A942F6">
        <w:rPr>
          <w:lang w:val="nb-NO"/>
        </w:rPr>
        <w:t xml:space="preserve"> på tvers av disse indikasjonene forblir lignende og udifferensiert.</w:t>
      </w:r>
    </w:p>
    <w:p w14:paraId="5A6D7C9E" w14:textId="77777777" w:rsidR="008877F8" w:rsidRPr="00A942F6" w:rsidRDefault="008877F8" w:rsidP="00641834">
      <w:pPr>
        <w:rPr>
          <w:lang w:val="nb-NO"/>
        </w:rPr>
      </w:pPr>
    </w:p>
    <w:p w14:paraId="355292F0" w14:textId="77777777" w:rsidR="008877F8" w:rsidRPr="00A942F6" w:rsidRDefault="008877F8" w:rsidP="00641834">
      <w:pPr>
        <w:rPr>
          <w:lang w:val="nb-NO"/>
        </w:rPr>
      </w:pPr>
      <w:r w:rsidRPr="00A942F6">
        <w:rPr>
          <w:lang w:val="nb-NO"/>
        </w:rPr>
        <w:t>De hyppigst rapporterte bivirkningene var øvre luftveisinfeksjoner, nasofaryngitt, hodepine, hypertensjon og økt ALAT.</w:t>
      </w:r>
    </w:p>
    <w:p w14:paraId="3BDBDD5A" w14:textId="77777777" w:rsidR="000B63D8" w:rsidRPr="00A942F6" w:rsidRDefault="000B63D8" w:rsidP="00641834">
      <w:pPr>
        <w:rPr>
          <w:lang w:val="nb-NO"/>
        </w:rPr>
      </w:pPr>
    </w:p>
    <w:p w14:paraId="7CC78934" w14:textId="77777777" w:rsidR="008877F8" w:rsidRPr="00A942F6" w:rsidRDefault="008877F8" w:rsidP="00641834">
      <w:pPr>
        <w:rPr>
          <w:lang w:val="nb-NO"/>
        </w:rPr>
      </w:pPr>
      <w:r w:rsidRPr="00A942F6">
        <w:rPr>
          <w:lang w:val="nb-NO"/>
        </w:rPr>
        <w:t>De mest alvorlige bivirkningene var alvorlige infeksjoner, komplikasjoner til divertikulitt, og overfølsomhetsreaksjoner.</w:t>
      </w:r>
    </w:p>
    <w:p w14:paraId="0DE782FC" w14:textId="77777777" w:rsidR="008877F8" w:rsidRPr="00A942F6" w:rsidRDefault="008877F8" w:rsidP="00641834">
      <w:pPr>
        <w:rPr>
          <w:lang w:val="nb-NO"/>
        </w:rPr>
      </w:pPr>
    </w:p>
    <w:p w14:paraId="0598B107" w14:textId="77777777" w:rsidR="008877F8" w:rsidRPr="00A942F6" w:rsidRDefault="008877F8" w:rsidP="00641834">
      <w:pPr>
        <w:pStyle w:val="Style1underline"/>
        <w:rPr>
          <w:lang w:val="nb-NO"/>
        </w:rPr>
      </w:pPr>
      <w:r w:rsidRPr="00A942F6">
        <w:rPr>
          <w:lang w:val="nb-NO"/>
        </w:rPr>
        <w:t>Liste over bivirkninger i tabellform</w:t>
      </w:r>
    </w:p>
    <w:p w14:paraId="4DCC04DA" w14:textId="45C39114" w:rsidR="008877F8" w:rsidRPr="00A942F6" w:rsidRDefault="008877F8" w:rsidP="00641834">
      <w:pPr>
        <w:rPr>
          <w:lang w:val="nb-NO"/>
        </w:rPr>
      </w:pPr>
      <w:r w:rsidRPr="00A942F6">
        <w:rPr>
          <w:lang w:val="nb-NO"/>
        </w:rPr>
        <w:t xml:space="preserve">Tabell 1 viser bivirkninger fra kliniske studier og/eller erfaring etter markedsføring med </w:t>
      </w:r>
      <w:r w:rsidR="00A928A6" w:rsidRPr="00A942F6">
        <w:rPr>
          <w:lang w:val="nb-NO"/>
        </w:rPr>
        <w:t>tocilizumab</w:t>
      </w:r>
      <w:r w:rsidRPr="00A942F6">
        <w:rPr>
          <w:lang w:val="nb-NO"/>
        </w:rPr>
        <w:t xml:space="preserve"> basert på spontane kasuistikker, tilfeller fra litteraturen og tilfeller fra ikke-intervensjons- studieprogrammer. Bivirkningene er presentert etter MedDRA-organklassesystem. Tilhørende frekvenskategori for hver bivirkning er basert på følgende konvensjon: svært vanlige (</w:t>
      </w:r>
      <w:r w:rsidR="00F36EEE" w:rsidRPr="00A942F6">
        <w:rPr>
          <w:rFonts w:cs="Times New Roman"/>
          <w:lang w:val="nb-NO"/>
        </w:rPr>
        <w:t>≥</w:t>
      </w:r>
      <w:r w:rsidRPr="00A942F6">
        <w:rPr>
          <w:lang w:val="nb-NO"/>
        </w:rPr>
        <w:t xml:space="preserve"> 1/10); vanlige (</w:t>
      </w:r>
      <w:r w:rsidR="00F36EEE" w:rsidRPr="00A942F6">
        <w:rPr>
          <w:rFonts w:cs="Times New Roman"/>
          <w:lang w:val="nb-NO"/>
        </w:rPr>
        <w:t>≥</w:t>
      </w:r>
      <w:r w:rsidRPr="00A942F6">
        <w:rPr>
          <w:lang w:val="nb-NO"/>
        </w:rPr>
        <w:t xml:space="preserve"> 1/100 til &lt; 1/10), mindre vanlige (</w:t>
      </w:r>
      <w:r w:rsidR="00F36EEE" w:rsidRPr="00A942F6">
        <w:rPr>
          <w:rFonts w:cs="Times New Roman"/>
          <w:lang w:val="nb-NO"/>
        </w:rPr>
        <w:t>≥</w:t>
      </w:r>
      <w:r w:rsidRPr="00A942F6">
        <w:rPr>
          <w:lang w:val="nb-NO"/>
        </w:rPr>
        <w:t xml:space="preserve"> 1/1000 til &lt; 1/100), sjeldne (</w:t>
      </w:r>
      <w:r w:rsidR="00F36EEE" w:rsidRPr="00A942F6">
        <w:rPr>
          <w:rFonts w:cs="Times New Roman"/>
          <w:lang w:val="nb-NO"/>
        </w:rPr>
        <w:t>≥</w:t>
      </w:r>
      <w:r w:rsidRPr="00A942F6">
        <w:rPr>
          <w:lang w:val="nb-NO"/>
        </w:rPr>
        <w:t xml:space="preserve"> 1/10 000 til &lt; 1/1000) eller svært sjeldne (&lt; 1/10 000). Innenfor hver frekvensgruppe er bivirkningene presentert etter synkende alvorlighetsgrad.</w:t>
      </w:r>
    </w:p>
    <w:p w14:paraId="26E2F896" w14:textId="77777777" w:rsidR="008877F8" w:rsidRPr="00A942F6" w:rsidRDefault="008877F8" w:rsidP="00641834">
      <w:pPr>
        <w:rPr>
          <w:lang w:val="nb-NO"/>
        </w:rPr>
      </w:pPr>
    </w:p>
    <w:p w14:paraId="6C6760B7" w14:textId="575E862E" w:rsidR="008877F8" w:rsidRPr="00A942F6" w:rsidRDefault="008877F8" w:rsidP="00641834">
      <w:pPr>
        <w:pStyle w:val="Style1Iitaic"/>
        <w:rPr>
          <w:lang w:val="nb-NO"/>
        </w:rPr>
      </w:pPr>
      <w:r w:rsidRPr="00A942F6">
        <w:rPr>
          <w:lang w:val="nb-NO"/>
        </w:rPr>
        <w:t xml:space="preserve">Tabell 1. Liste over bivirkninger som oppstod hos pasienter behandlet med </w:t>
      </w:r>
      <w:r w:rsidR="00A928A6" w:rsidRPr="00A942F6">
        <w:rPr>
          <w:lang w:val="nb-NO"/>
        </w:rPr>
        <w:t>tocilizumab</w:t>
      </w:r>
      <w:r w:rsidRPr="00A942F6">
        <w:rPr>
          <w:lang w:val="nb-NO"/>
        </w:rPr>
        <w:t>.</w:t>
      </w:r>
    </w:p>
    <w:p w14:paraId="54F63E98" w14:textId="77777777" w:rsidR="008877F8" w:rsidRPr="00A942F6" w:rsidRDefault="008877F8" w:rsidP="00641834">
      <w:pPr>
        <w:rPr>
          <w:lang w:val="nb-NO"/>
        </w:rPr>
      </w:pPr>
    </w:p>
    <w:tbl>
      <w:tblP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527"/>
        <w:gridCol w:w="1974"/>
        <w:gridCol w:w="2029"/>
        <w:gridCol w:w="1428"/>
      </w:tblGrid>
      <w:tr w:rsidR="008877F8" w:rsidRPr="00A942F6" w14:paraId="10D17967" w14:textId="77777777" w:rsidTr="00C02048">
        <w:trPr>
          <w:cantSplit/>
          <w:trHeight w:val="20"/>
          <w:tblHeader/>
        </w:trPr>
        <w:tc>
          <w:tcPr>
            <w:tcW w:w="2122" w:type="dxa"/>
            <w:vMerge w:val="restart"/>
          </w:tcPr>
          <w:p w14:paraId="05CC3FA3" w14:textId="77777777" w:rsidR="008877F8" w:rsidRPr="00A942F6" w:rsidRDefault="008877F8" w:rsidP="00641834">
            <w:pPr>
              <w:pStyle w:val="TableParagraph"/>
              <w:jc w:val="center"/>
              <w:rPr>
                <w:b/>
                <w:sz w:val="20"/>
                <w:szCs w:val="20"/>
                <w:lang w:val="nb-NO"/>
              </w:rPr>
            </w:pPr>
            <w:r w:rsidRPr="00A942F6">
              <w:rPr>
                <w:b/>
                <w:sz w:val="20"/>
                <w:szCs w:val="20"/>
                <w:lang w:val="nb-NO"/>
              </w:rPr>
              <w:t>MedDRA-organklassesystem</w:t>
            </w:r>
          </w:p>
          <w:p w14:paraId="07B211B5" w14:textId="77777777" w:rsidR="00556CED" w:rsidRPr="00A942F6" w:rsidRDefault="00556CED" w:rsidP="00641834">
            <w:pPr>
              <w:pStyle w:val="TableParagraph"/>
              <w:jc w:val="center"/>
              <w:rPr>
                <w:b/>
                <w:sz w:val="20"/>
                <w:szCs w:val="20"/>
                <w:lang w:val="nb-NO"/>
              </w:rPr>
            </w:pPr>
          </w:p>
        </w:tc>
        <w:tc>
          <w:tcPr>
            <w:tcW w:w="6958" w:type="dxa"/>
            <w:gridSpan w:val="4"/>
          </w:tcPr>
          <w:p w14:paraId="555DF6CA" w14:textId="77777777" w:rsidR="008877F8" w:rsidRPr="00A942F6" w:rsidRDefault="008877F8" w:rsidP="00641834">
            <w:pPr>
              <w:pStyle w:val="TableParagraph"/>
              <w:jc w:val="center"/>
              <w:rPr>
                <w:b/>
                <w:sz w:val="20"/>
                <w:szCs w:val="20"/>
                <w:lang w:val="nb-NO"/>
              </w:rPr>
            </w:pPr>
            <w:r w:rsidRPr="00A942F6">
              <w:rPr>
                <w:b/>
                <w:sz w:val="20"/>
                <w:szCs w:val="20"/>
                <w:lang w:val="nb-NO"/>
              </w:rPr>
              <w:t>Frekvenskategorier med foretrukne betegnelser</w:t>
            </w:r>
          </w:p>
        </w:tc>
      </w:tr>
      <w:tr w:rsidR="008877F8" w:rsidRPr="00A942F6" w14:paraId="5E3D985D" w14:textId="77777777" w:rsidTr="00C02048">
        <w:trPr>
          <w:cantSplit/>
          <w:trHeight w:val="20"/>
          <w:tblHeader/>
        </w:trPr>
        <w:tc>
          <w:tcPr>
            <w:tcW w:w="2122" w:type="dxa"/>
            <w:vMerge/>
            <w:tcBorders>
              <w:top w:val="nil"/>
            </w:tcBorders>
          </w:tcPr>
          <w:p w14:paraId="4F2B2BF9" w14:textId="77777777" w:rsidR="008877F8" w:rsidRPr="00A942F6" w:rsidRDefault="008877F8" w:rsidP="00641834">
            <w:pPr>
              <w:rPr>
                <w:sz w:val="20"/>
                <w:szCs w:val="20"/>
                <w:lang w:val="nb-NO"/>
              </w:rPr>
            </w:pPr>
          </w:p>
        </w:tc>
        <w:tc>
          <w:tcPr>
            <w:tcW w:w="1527" w:type="dxa"/>
          </w:tcPr>
          <w:p w14:paraId="4642DB34" w14:textId="77777777" w:rsidR="008877F8" w:rsidRPr="00A942F6" w:rsidRDefault="008877F8" w:rsidP="00641834">
            <w:pPr>
              <w:pStyle w:val="TableParagraph"/>
              <w:rPr>
                <w:b/>
                <w:sz w:val="20"/>
                <w:szCs w:val="20"/>
                <w:lang w:val="nb-NO"/>
              </w:rPr>
            </w:pPr>
            <w:r w:rsidRPr="00A942F6">
              <w:rPr>
                <w:b/>
                <w:sz w:val="20"/>
                <w:szCs w:val="20"/>
                <w:lang w:val="nb-NO"/>
              </w:rPr>
              <w:t>Svært vanlige</w:t>
            </w:r>
          </w:p>
          <w:p w14:paraId="0DE03B60" w14:textId="77777777" w:rsidR="00556CED" w:rsidRPr="00A942F6" w:rsidRDefault="00556CED" w:rsidP="00641834">
            <w:pPr>
              <w:pStyle w:val="TableParagraph"/>
              <w:rPr>
                <w:b/>
                <w:sz w:val="20"/>
                <w:szCs w:val="20"/>
                <w:lang w:val="nb-NO"/>
              </w:rPr>
            </w:pPr>
          </w:p>
        </w:tc>
        <w:tc>
          <w:tcPr>
            <w:tcW w:w="1974" w:type="dxa"/>
          </w:tcPr>
          <w:p w14:paraId="6E529169" w14:textId="77777777" w:rsidR="008877F8" w:rsidRPr="00A942F6" w:rsidRDefault="008877F8" w:rsidP="00641834">
            <w:pPr>
              <w:pStyle w:val="TableParagraph"/>
              <w:jc w:val="center"/>
              <w:rPr>
                <w:b/>
                <w:sz w:val="20"/>
                <w:szCs w:val="20"/>
                <w:lang w:val="nb-NO"/>
              </w:rPr>
            </w:pPr>
            <w:r w:rsidRPr="00A942F6">
              <w:rPr>
                <w:b/>
                <w:sz w:val="20"/>
                <w:szCs w:val="20"/>
                <w:lang w:val="nb-NO"/>
              </w:rPr>
              <w:t>Vanlige</w:t>
            </w:r>
          </w:p>
          <w:p w14:paraId="70A16A8B" w14:textId="77777777" w:rsidR="00556CED" w:rsidRPr="00A942F6" w:rsidRDefault="00556CED" w:rsidP="00641834">
            <w:pPr>
              <w:pStyle w:val="TableParagraph"/>
              <w:jc w:val="center"/>
              <w:rPr>
                <w:b/>
                <w:sz w:val="20"/>
                <w:szCs w:val="20"/>
                <w:lang w:val="nb-NO"/>
              </w:rPr>
            </w:pPr>
          </w:p>
        </w:tc>
        <w:tc>
          <w:tcPr>
            <w:tcW w:w="2029" w:type="dxa"/>
          </w:tcPr>
          <w:p w14:paraId="7B814B02" w14:textId="77777777" w:rsidR="008877F8" w:rsidRPr="00A942F6" w:rsidRDefault="008877F8" w:rsidP="00641834">
            <w:pPr>
              <w:pStyle w:val="TableParagraph"/>
              <w:rPr>
                <w:b/>
                <w:sz w:val="20"/>
                <w:szCs w:val="20"/>
                <w:lang w:val="nb-NO"/>
              </w:rPr>
            </w:pPr>
            <w:r w:rsidRPr="00A942F6">
              <w:rPr>
                <w:b/>
                <w:sz w:val="20"/>
                <w:szCs w:val="20"/>
                <w:lang w:val="nb-NO"/>
              </w:rPr>
              <w:t>Mindre vanlige</w:t>
            </w:r>
          </w:p>
          <w:p w14:paraId="2A2776F3" w14:textId="77777777" w:rsidR="00556CED" w:rsidRPr="00A942F6" w:rsidRDefault="00556CED" w:rsidP="00641834">
            <w:pPr>
              <w:pStyle w:val="TableParagraph"/>
              <w:rPr>
                <w:b/>
                <w:sz w:val="20"/>
                <w:szCs w:val="20"/>
                <w:lang w:val="nb-NO"/>
              </w:rPr>
            </w:pPr>
          </w:p>
        </w:tc>
        <w:tc>
          <w:tcPr>
            <w:tcW w:w="1428" w:type="dxa"/>
          </w:tcPr>
          <w:p w14:paraId="470B1F6B" w14:textId="77777777" w:rsidR="008877F8" w:rsidRPr="00A942F6" w:rsidRDefault="008877F8" w:rsidP="00641834">
            <w:pPr>
              <w:pStyle w:val="TableParagraph"/>
              <w:rPr>
                <w:b/>
                <w:sz w:val="20"/>
                <w:szCs w:val="20"/>
                <w:lang w:val="nb-NO"/>
              </w:rPr>
            </w:pPr>
            <w:r w:rsidRPr="00A942F6">
              <w:rPr>
                <w:b/>
                <w:sz w:val="20"/>
                <w:szCs w:val="20"/>
                <w:lang w:val="nb-NO"/>
              </w:rPr>
              <w:t>Sjeldne</w:t>
            </w:r>
          </w:p>
          <w:p w14:paraId="10C12F3B" w14:textId="77777777" w:rsidR="00556CED" w:rsidRPr="00A942F6" w:rsidRDefault="00556CED" w:rsidP="00641834">
            <w:pPr>
              <w:pStyle w:val="TableParagraph"/>
              <w:rPr>
                <w:b/>
                <w:sz w:val="20"/>
                <w:szCs w:val="20"/>
                <w:lang w:val="nb-NO"/>
              </w:rPr>
            </w:pPr>
          </w:p>
        </w:tc>
      </w:tr>
      <w:tr w:rsidR="008877F8" w:rsidRPr="00A942F6" w14:paraId="15844897" w14:textId="77777777" w:rsidTr="00C02048">
        <w:trPr>
          <w:cantSplit/>
          <w:trHeight w:val="20"/>
        </w:trPr>
        <w:tc>
          <w:tcPr>
            <w:tcW w:w="2122" w:type="dxa"/>
          </w:tcPr>
          <w:p w14:paraId="7C0B0EE2" w14:textId="77777777" w:rsidR="008877F8" w:rsidRPr="00A942F6" w:rsidRDefault="008877F8" w:rsidP="00641834">
            <w:pPr>
              <w:pStyle w:val="TableParagraph"/>
              <w:rPr>
                <w:sz w:val="20"/>
                <w:szCs w:val="20"/>
                <w:lang w:val="nb-NO"/>
              </w:rPr>
            </w:pPr>
            <w:r w:rsidRPr="00A942F6">
              <w:rPr>
                <w:sz w:val="20"/>
                <w:szCs w:val="20"/>
                <w:lang w:val="nb-NO"/>
              </w:rPr>
              <w:t>Infeksiøse og parasittære</w:t>
            </w:r>
            <w:r w:rsidR="00C02048" w:rsidRPr="00A942F6">
              <w:rPr>
                <w:sz w:val="20"/>
                <w:szCs w:val="20"/>
                <w:lang w:val="nb-NO"/>
              </w:rPr>
              <w:t xml:space="preserve"> </w:t>
            </w:r>
            <w:r w:rsidRPr="00A942F6">
              <w:rPr>
                <w:sz w:val="20"/>
                <w:szCs w:val="20"/>
                <w:lang w:val="nb-NO"/>
              </w:rPr>
              <w:t>sykdommer</w:t>
            </w:r>
          </w:p>
        </w:tc>
        <w:tc>
          <w:tcPr>
            <w:tcW w:w="1527" w:type="dxa"/>
          </w:tcPr>
          <w:p w14:paraId="4F46F1E8" w14:textId="77777777" w:rsidR="008877F8" w:rsidRPr="00A942F6" w:rsidRDefault="008877F8" w:rsidP="00641834">
            <w:pPr>
              <w:pStyle w:val="TableParagraph"/>
              <w:rPr>
                <w:sz w:val="20"/>
                <w:szCs w:val="20"/>
                <w:lang w:val="nb-NO"/>
              </w:rPr>
            </w:pPr>
            <w:r w:rsidRPr="00A942F6">
              <w:rPr>
                <w:sz w:val="20"/>
                <w:szCs w:val="20"/>
                <w:lang w:val="nb-NO"/>
              </w:rPr>
              <w:t>Øvre luftveis- infeksjoner</w:t>
            </w:r>
          </w:p>
        </w:tc>
        <w:tc>
          <w:tcPr>
            <w:tcW w:w="1974" w:type="dxa"/>
          </w:tcPr>
          <w:p w14:paraId="6FBB2A38" w14:textId="77777777" w:rsidR="008877F8" w:rsidRPr="00A942F6" w:rsidRDefault="008877F8" w:rsidP="00641834">
            <w:pPr>
              <w:pStyle w:val="TableParagraph"/>
              <w:rPr>
                <w:sz w:val="20"/>
                <w:szCs w:val="20"/>
                <w:lang w:val="nb-NO"/>
              </w:rPr>
            </w:pPr>
            <w:r w:rsidRPr="00A942F6">
              <w:rPr>
                <w:sz w:val="20"/>
                <w:szCs w:val="20"/>
                <w:lang w:val="nb-NO"/>
              </w:rPr>
              <w:t>Cellulitt, Pneumoni, Oral herpes simplex,</w:t>
            </w:r>
            <w:r w:rsidR="00FE6881" w:rsidRPr="00A942F6">
              <w:rPr>
                <w:sz w:val="20"/>
                <w:szCs w:val="20"/>
                <w:lang w:val="nb-NO"/>
              </w:rPr>
              <w:t xml:space="preserve"> </w:t>
            </w:r>
            <w:r w:rsidRPr="00A942F6">
              <w:rPr>
                <w:sz w:val="20"/>
                <w:szCs w:val="20"/>
                <w:lang w:val="nb-NO"/>
              </w:rPr>
              <w:t>Herpes zoster</w:t>
            </w:r>
          </w:p>
        </w:tc>
        <w:tc>
          <w:tcPr>
            <w:tcW w:w="2029" w:type="dxa"/>
          </w:tcPr>
          <w:p w14:paraId="7A4F977B" w14:textId="77777777" w:rsidR="008877F8" w:rsidRPr="00A942F6" w:rsidRDefault="008877F8" w:rsidP="00641834">
            <w:pPr>
              <w:pStyle w:val="TableParagraph"/>
              <w:rPr>
                <w:sz w:val="20"/>
                <w:szCs w:val="20"/>
                <w:lang w:val="nb-NO"/>
              </w:rPr>
            </w:pPr>
            <w:r w:rsidRPr="00A942F6">
              <w:rPr>
                <w:sz w:val="20"/>
                <w:szCs w:val="20"/>
                <w:lang w:val="nb-NO"/>
              </w:rPr>
              <w:t>Divertikulitt</w:t>
            </w:r>
          </w:p>
        </w:tc>
        <w:tc>
          <w:tcPr>
            <w:tcW w:w="1428" w:type="dxa"/>
          </w:tcPr>
          <w:p w14:paraId="5A7354AD" w14:textId="77777777" w:rsidR="008877F8" w:rsidRPr="00A942F6" w:rsidRDefault="008877F8" w:rsidP="00641834">
            <w:pPr>
              <w:pStyle w:val="TableParagraph"/>
              <w:rPr>
                <w:sz w:val="20"/>
                <w:szCs w:val="20"/>
                <w:lang w:val="nb-NO"/>
              </w:rPr>
            </w:pPr>
          </w:p>
        </w:tc>
      </w:tr>
      <w:tr w:rsidR="008877F8" w:rsidRPr="00A942F6" w14:paraId="59984F1B" w14:textId="77777777" w:rsidTr="00C02048">
        <w:trPr>
          <w:cantSplit/>
          <w:trHeight w:val="20"/>
        </w:trPr>
        <w:tc>
          <w:tcPr>
            <w:tcW w:w="2122" w:type="dxa"/>
          </w:tcPr>
          <w:p w14:paraId="0EE1973C" w14:textId="77777777" w:rsidR="008877F8" w:rsidRPr="00A942F6" w:rsidRDefault="008877F8" w:rsidP="00641834">
            <w:pPr>
              <w:pStyle w:val="TableParagraph"/>
              <w:rPr>
                <w:sz w:val="20"/>
                <w:szCs w:val="20"/>
                <w:lang w:val="nb-NO"/>
              </w:rPr>
            </w:pPr>
            <w:r w:rsidRPr="00A942F6">
              <w:rPr>
                <w:sz w:val="20"/>
                <w:szCs w:val="20"/>
                <w:lang w:val="nb-NO"/>
              </w:rPr>
              <w:t>Sykdommer i blod og lymfatiske</w:t>
            </w:r>
            <w:r w:rsidR="00C02048" w:rsidRPr="00A942F6">
              <w:rPr>
                <w:sz w:val="20"/>
                <w:szCs w:val="20"/>
                <w:lang w:val="nb-NO"/>
              </w:rPr>
              <w:t xml:space="preserve"> </w:t>
            </w:r>
            <w:r w:rsidRPr="00A942F6">
              <w:rPr>
                <w:sz w:val="20"/>
                <w:szCs w:val="20"/>
                <w:lang w:val="nb-NO"/>
              </w:rPr>
              <w:t>organer</w:t>
            </w:r>
          </w:p>
        </w:tc>
        <w:tc>
          <w:tcPr>
            <w:tcW w:w="1527" w:type="dxa"/>
          </w:tcPr>
          <w:p w14:paraId="7F738C1F" w14:textId="77777777" w:rsidR="008877F8" w:rsidRPr="00A942F6" w:rsidRDefault="008877F8" w:rsidP="00641834">
            <w:pPr>
              <w:pStyle w:val="TableParagraph"/>
              <w:rPr>
                <w:sz w:val="20"/>
                <w:szCs w:val="20"/>
                <w:lang w:val="nb-NO"/>
              </w:rPr>
            </w:pPr>
          </w:p>
        </w:tc>
        <w:tc>
          <w:tcPr>
            <w:tcW w:w="1974" w:type="dxa"/>
          </w:tcPr>
          <w:p w14:paraId="0ED36B5D" w14:textId="77777777" w:rsidR="008877F8" w:rsidRPr="00A942F6" w:rsidRDefault="008877F8" w:rsidP="00641834">
            <w:pPr>
              <w:pStyle w:val="TableParagraph"/>
              <w:rPr>
                <w:sz w:val="20"/>
                <w:szCs w:val="20"/>
                <w:lang w:val="nb-NO"/>
              </w:rPr>
            </w:pPr>
            <w:r w:rsidRPr="00A942F6">
              <w:rPr>
                <w:sz w:val="20"/>
                <w:szCs w:val="20"/>
                <w:lang w:val="nb-NO"/>
              </w:rPr>
              <w:t>Leukopeni, Nøytropeni, Hypofibrinogenemi</w:t>
            </w:r>
          </w:p>
        </w:tc>
        <w:tc>
          <w:tcPr>
            <w:tcW w:w="2029" w:type="dxa"/>
          </w:tcPr>
          <w:p w14:paraId="5FCA8A0D" w14:textId="77777777" w:rsidR="008877F8" w:rsidRPr="00A942F6" w:rsidRDefault="008877F8" w:rsidP="00641834">
            <w:pPr>
              <w:pStyle w:val="TableParagraph"/>
              <w:rPr>
                <w:sz w:val="20"/>
                <w:szCs w:val="20"/>
                <w:lang w:val="nb-NO"/>
              </w:rPr>
            </w:pPr>
          </w:p>
        </w:tc>
        <w:tc>
          <w:tcPr>
            <w:tcW w:w="1428" w:type="dxa"/>
          </w:tcPr>
          <w:p w14:paraId="781F088F" w14:textId="77777777" w:rsidR="008877F8" w:rsidRPr="00A942F6" w:rsidRDefault="008877F8" w:rsidP="00641834">
            <w:pPr>
              <w:pStyle w:val="TableParagraph"/>
              <w:rPr>
                <w:sz w:val="20"/>
                <w:szCs w:val="20"/>
                <w:lang w:val="nb-NO"/>
              </w:rPr>
            </w:pPr>
          </w:p>
        </w:tc>
      </w:tr>
      <w:tr w:rsidR="008877F8" w:rsidRPr="00A942F6" w14:paraId="1EBDD672" w14:textId="77777777" w:rsidTr="00C02048">
        <w:trPr>
          <w:cantSplit/>
          <w:trHeight w:val="20"/>
        </w:trPr>
        <w:tc>
          <w:tcPr>
            <w:tcW w:w="2122" w:type="dxa"/>
          </w:tcPr>
          <w:p w14:paraId="431FB412" w14:textId="77777777" w:rsidR="008877F8" w:rsidRPr="00A942F6" w:rsidRDefault="008877F8" w:rsidP="00641834">
            <w:pPr>
              <w:pStyle w:val="TableParagraph"/>
              <w:rPr>
                <w:sz w:val="20"/>
                <w:szCs w:val="20"/>
                <w:lang w:val="nb-NO"/>
              </w:rPr>
            </w:pPr>
            <w:r w:rsidRPr="00A942F6">
              <w:rPr>
                <w:sz w:val="20"/>
                <w:szCs w:val="20"/>
                <w:lang w:val="nb-NO"/>
              </w:rPr>
              <w:t>Forstyrrelser i</w:t>
            </w:r>
            <w:r w:rsidR="00C02048" w:rsidRPr="00A942F6">
              <w:rPr>
                <w:sz w:val="20"/>
                <w:szCs w:val="20"/>
                <w:lang w:val="nb-NO"/>
              </w:rPr>
              <w:t xml:space="preserve"> </w:t>
            </w:r>
            <w:r w:rsidRPr="00A942F6">
              <w:rPr>
                <w:sz w:val="20"/>
                <w:szCs w:val="20"/>
                <w:lang w:val="nb-NO"/>
              </w:rPr>
              <w:t>immunsystemet</w:t>
            </w:r>
          </w:p>
        </w:tc>
        <w:tc>
          <w:tcPr>
            <w:tcW w:w="1527" w:type="dxa"/>
          </w:tcPr>
          <w:p w14:paraId="324BFAA5" w14:textId="77777777" w:rsidR="008877F8" w:rsidRPr="00A942F6" w:rsidRDefault="008877F8" w:rsidP="00641834">
            <w:pPr>
              <w:pStyle w:val="TableParagraph"/>
              <w:rPr>
                <w:sz w:val="20"/>
                <w:szCs w:val="20"/>
                <w:lang w:val="nb-NO"/>
              </w:rPr>
            </w:pPr>
          </w:p>
        </w:tc>
        <w:tc>
          <w:tcPr>
            <w:tcW w:w="1974" w:type="dxa"/>
          </w:tcPr>
          <w:p w14:paraId="27DB5932" w14:textId="77777777" w:rsidR="008877F8" w:rsidRPr="00A942F6" w:rsidRDefault="008877F8" w:rsidP="00641834">
            <w:pPr>
              <w:pStyle w:val="TableParagraph"/>
              <w:rPr>
                <w:sz w:val="20"/>
                <w:szCs w:val="20"/>
                <w:lang w:val="nb-NO"/>
              </w:rPr>
            </w:pPr>
          </w:p>
        </w:tc>
        <w:tc>
          <w:tcPr>
            <w:tcW w:w="2029" w:type="dxa"/>
          </w:tcPr>
          <w:p w14:paraId="24F9910F" w14:textId="77777777" w:rsidR="008877F8" w:rsidRPr="00A942F6" w:rsidRDefault="008877F8" w:rsidP="00641834">
            <w:pPr>
              <w:pStyle w:val="TableParagraph"/>
              <w:rPr>
                <w:sz w:val="20"/>
                <w:szCs w:val="20"/>
                <w:lang w:val="nb-NO"/>
              </w:rPr>
            </w:pPr>
          </w:p>
        </w:tc>
        <w:tc>
          <w:tcPr>
            <w:tcW w:w="1428" w:type="dxa"/>
          </w:tcPr>
          <w:p w14:paraId="153EA147" w14:textId="77777777" w:rsidR="008877F8" w:rsidRPr="00A942F6" w:rsidRDefault="008877F8" w:rsidP="00641834">
            <w:pPr>
              <w:pStyle w:val="TableParagraph"/>
              <w:rPr>
                <w:sz w:val="20"/>
                <w:szCs w:val="20"/>
                <w:lang w:val="nb-NO"/>
              </w:rPr>
            </w:pPr>
            <w:r w:rsidRPr="00A942F6">
              <w:rPr>
                <w:sz w:val="20"/>
                <w:szCs w:val="20"/>
                <w:lang w:val="nb-NO"/>
              </w:rPr>
              <w:t>Anafylaksi</w:t>
            </w:r>
            <w:r w:rsidR="003634EF" w:rsidRPr="00A942F6">
              <w:rPr>
                <w:sz w:val="20"/>
                <w:szCs w:val="20"/>
                <w:lang w:val="nb-NO"/>
              </w:rPr>
              <w:t xml:space="preserve"> </w:t>
            </w:r>
            <w:r w:rsidRPr="00A942F6">
              <w:rPr>
                <w:sz w:val="20"/>
                <w:szCs w:val="20"/>
                <w:lang w:val="nb-NO"/>
              </w:rPr>
              <w:t>(dødelig)</w:t>
            </w:r>
            <w:r w:rsidRPr="00A942F6">
              <w:rPr>
                <w:sz w:val="20"/>
                <w:szCs w:val="20"/>
                <w:vertAlign w:val="superscript"/>
                <w:lang w:val="nb-NO"/>
              </w:rPr>
              <w:t>1,</w:t>
            </w:r>
            <w:r w:rsidRPr="00A942F6">
              <w:rPr>
                <w:sz w:val="20"/>
                <w:szCs w:val="20"/>
                <w:lang w:val="nb-NO"/>
              </w:rPr>
              <w:t xml:space="preserve"> </w:t>
            </w:r>
            <w:r w:rsidRPr="00A942F6">
              <w:rPr>
                <w:sz w:val="20"/>
                <w:szCs w:val="20"/>
                <w:vertAlign w:val="superscript"/>
                <w:lang w:val="nb-NO"/>
              </w:rPr>
              <w:t>2,</w:t>
            </w:r>
            <w:r w:rsidRPr="00A942F6">
              <w:rPr>
                <w:sz w:val="20"/>
                <w:szCs w:val="20"/>
                <w:lang w:val="nb-NO"/>
              </w:rPr>
              <w:t xml:space="preserve"> </w:t>
            </w:r>
            <w:r w:rsidRPr="00A942F6">
              <w:rPr>
                <w:sz w:val="20"/>
                <w:szCs w:val="20"/>
                <w:vertAlign w:val="superscript"/>
                <w:lang w:val="nb-NO"/>
              </w:rPr>
              <w:t>3</w:t>
            </w:r>
          </w:p>
        </w:tc>
      </w:tr>
      <w:tr w:rsidR="008877F8" w:rsidRPr="00A942F6" w14:paraId="24A037F2" w14:textId="77777777" w:rsidTr="00C02048">
        <w:trPr>
          <w:cantSplit/>
          <w:trHeight w:val="20"/>
        </w:trPr>
        <w:tc>
          <w:tcPr>
            <w:tcW w:w="2122" w:type="dxa"/>
          </w:tcPr>
          <w:p w14:paraId="73D888FC" w14:textId="77777777" w:rsidR="008877F8" w:rsidRPr="00A942F6" w:rsidRDefault="008877F8" w:rsidP="00641834">
            <w:pPr>
              <w:pStyle w:val="TableParagraph"/>
              <w:rPr>
                <w:sz w:val="20"/>
                <w:szCs w:val="20"/>
                <w:lang w:val="nb-NO"/>
              </w:rPr>
            </w:pPr>
            <w:r w:rsidRPr="00A942F6">
              <w:rPr>
                <w:sz w:val="20"/>
                <w:szCs w:val="20"/>
                <w:lang w:val="nb-NO"/>
              </w:rPr>
              <w:t>Endokrine</w:t>
            </w:r>
            <w:r w:rsidR="00C02048" w:rsidRPr="00A942F6">
              <w:rPr>
                <w:sz w:val="20"/>
                <w:szCs w:val="20"/>
                <w:lang w:val="nb-NO"/>
              </w:rPr>
              <w:t xml:space="preserve"> </w:t>
            </w:r>
            <w:r w:rsidRPr="00A942F6">
              <w:rPr>
                <w:sz w:val="20"/>
                <w:szCs w:val="20"/>
                <w:lang w:val="nb-NO"/>
              </w:rPr>
              <w:t>sykdommer</w:t>
            </w:r>
          </w:p>
        </w:tc>
        <w:tc>
          <w:tcPr>
            <w:tcW w:w="1527" w:type="dxa"/>
          </w:tcPr>
          <w:p w14:paraId="550C26E1" w14:textId="77777777" w:rsidR="008877F8" w:rsidRPr="00A942F6" w:rsidRDefault="008877F8" w:rsidP="00641834">
            <w:pPr>
              <w:pStyle w:val="TableParagraph"/>
              <w:rPr>
                <w:sz w:val="20"/>
                <w:szCs w:val="20"/>
                <w:lang w:val="nb-NO"/>
              </w:rPr>
            </w:pPr>
          </w:p>
        </w:tc>
        <w:tc>
          <w:tcPr>
            <w:tcW w:w="1974" w:type="dxa"/>
          </w:tcPr>
          <w:p w14:paraId="4E3C5EFA" w14:textId="77777777" w:rsidR="008877F8" w:rsidRPr="00A942F6" w:rsidRDefault="008877F8" w:rsidP="00641834">
            <w:pPr>
              <w:pStyle w:val="TableParagraph"/>
              <w:rPr>
                <w:sz w:val="20"/>
                <w:szCs w:val="20"/>
                <w:lang w:val="nb-NO"/>
              </w:rPr>
            </w:pPr>
          </w:p>
        </w:tc>
        <w:tc>
          <w:tcPr>
            <w:tcW w:w="2029" w:type="dxa"/>
          </w:tcPr>
          <w:p w14:paraId="7D148378" w14:textId="77777777" w:rsidR="008877F8" w:rsidRPr="00A942F6" w:rsidRDefault="008877F8" w:rsidP="00641834">
            <w:pPr>
              <w:pStyle w:val="TableParagraph"/>
              <w:rPr>
                <w:sz w:val="20"/>
                <w:szCs w:val="20"/>
                <w:lang w:val="nb-NO"/>
              </w:rPr>
            </w:pPr>
            <w:r w:rsidRPr="00A942F6">
              <w:rPr>
                <w:sz w:val="20"/>
                <w:szCs w:val="20"/>
                <w:lang w:val="nb-NO"/>
              </w:rPr>
              <w:t>Hypotyreoidisme</w:t>
            </w:r>
          </w:p>
        </w:tc>
        <w:tc>
          <w:tcPr>
            <w:tcW w:w="1428" w:type="dxa"/>
          </w:tcPr>
          <w:p w14:paraId="17048CF4" w14:textId="77777777" w:rsidR="008877F8" w:rsidRPr="00A942F6" w:rsidRDefault="008877F8" w:rsidP="00641834">
            <w:pPr>
              <w:pStyle w:val="TableParagraph"/>
              <w:rPr>
                <w:sz w:val="20"/>
                <w:szCs w:val="20"/>
                <w:lang w:val="nb-NO"/>
              </w:rPr>
            </w:pPr>
          </w:p>
        </w:tc>
      </w:tr>
      <w:tr w:rsidR="008877F8" w:rsidRPr="00A942F6" w14:paraId="54EB3C4B" w14:textId="77777777" w:rsidTr="00C02048">
        <w:trPr>
          <w:cantSplit/>
          <w:trHeight w:val="20"/>
        </w:trPr>
        <w:tc>
          <w:tcPr>
            <w:tcW w:w="2122" w:type="dxa"/>
          </w:tcPr>
          <w:p w14:paraId="318F0772" w14:textId="77777777" w:rsidR="008877F8" w:rsidRPr="00A942F6" w:rsidRDefault="008877F8" w:rsidP="00641834">
            <w:pPr>
              <w:pStyle w:val="TableParagraph"/>
              <w:rPr>
                <w:sz w:val="20"/>
                <w:szCs w:val="20"/>
                <w:lang w:val="nb-NO"/>
              </w:rPr>
            </w:pPr>
            <w:r w:rsidRPr="00A942F6">
              <w:rPr>
                <w:sz w:val="20"/>
                <w:szCs w:val="20"/>
                <w:lang w:val="nb-NO"/>
              </w:rPr>
              <w:t>Stoffskifte- og</w:t>
            </w:r>
            <w:r w:rsidR="00C02048" w:rsidRPr="00A942F6">
              <w:rPr>
                <w:sz w:val="20"/>
                <w:szCs w:val="20"/>
                <w:lang w:val="nb-NO"/>
              </w:rPr>
              <w:t xml:space="preserve"> </w:t>
            </w:r>
            <w:r w:rsidRPr="00A942F6">
              <w:rPr>
                <w:sz w:val="20"/>
                <w:szCs w:val="20"/>
                <w:lang w:val="nb-NO"/>
              </w:rPr>
              <w:t>ernæringsbetingede sykdommer</w:t>
            </w:r>
          </w:p>
        </w:tc>
        <w:tc>
          <w:tcPr>
            <w:tcW w:w="1527" w:type="dxa"/>
          </w:tcPr>
          <w:p w14:paraId="571D73A9" w14:textId="77777777" w:rsidR="008877F8" w:rsidRPr="00A942F6" w:rsidRDefault="008877F8" w:rsidP="00641834">
            <w:pPr>
              <w:pStyle w:val="TableParagraph"/>
              <w:rPr>
                <w:sz w:val="20"/>
                <w:szCs w:val="20"/>
                <w:lang w:val="nb-NO"/>
              </w:rPr>
            </w:pPr>
            <w:r w:rsidRPr="00A942F6">
              <w:rPr>
                <w:sz w:val="20"/>
                <w:szCs w:val="20"/>
                <w:lang w:val="nb-NO"/>
              </w:rPr>
              <w:t>Hyper- kolesterolemi*</w:t>
            </w:r>
          </w:p>
        </w:tc>
        <w:tc>
          <w:tcPr>
            <w:tcW w:w="1974" w:type="dxa"/>
          </w:tcPr>
          <w:p w14:paraId="1FEAECAB" w14:textId="77777777" w:rsidR="008877F8" w:rsidRPr="00A942F6" w:rsidRDefault="008877F8" w:rsidP="00641834">
            <w:pPr>
              <w:pStyle w:val="TableParagraph"/>
              <w:rPr>
                <w:sz w:val="20"/>
                <w:szCs w:val="20"/>
                <w:lang w:val="nb-NO"/>
              </w:rPr>
            </w:pPr>
          </w:p>
        </w:tc>
        <w:tc>
          <w:tcPr>
            <w:tcW w:w="2029" w:type="dxa"/>
          </w:tcPr>
          <w:p w14:paraId="12862089" w14:textId="77777777" w:rsidR="008877F8" w:rsidRPr="00A942F6" w:rsidRDefault="008877F8" w:rsidP="00641834">
            <w:pPr>
              <w:pStyle w:val="TableParagraph"/>
              <w:rPr>
                <w:sz w:val="20"/>
                <w:szCs w:val="20"/>
                <w:lang w:val="nb-NO"/>
              </w:rPr>
            </w:pPr>
            <w:r w:rsidRPr="00A942F6">
              <w:rPr>
                <w:sz w:val="20"/>
                <w:szCs w:val="20"/>
                <w:lang w:val="nb-NO"/>
              </w:rPr>
              <w:t>Hypertriglyseridemi</w:t>
            </w:r>
          </w:p>
        </w:tc>
        <w:tc>
          <w:tcPr>
            <w:tcW w:w="1428" w:type="dxa"/>
          </w:tcPr>
          <w:p w14:paraId="3E9AD507" w14:textId="77777777" w:rsidR="008877F8" w:rsidRPr="00A942F6" w:rsidRDefault="008877F8" w:rsidP="00641834">
            <w:pPr>
              <w:pStyle w:val="TableParagraph"/>
              <w:rPr>
                <w:sz w:val="20"/>
                <w:szCs w:val="20"/>
                <w:lang w:val="nb-NO"/>
              </w:rPr>
            </w:pPr>
          </w:p>
        </w:tc>
      </w:tr>
      <w:tr w:rsidR="008877F8" w:rsidRPr="00A942F6" w14:paraId="26B789F5" w14:textId="77777777" w:rsidTr="00C02048">
        <w:trPr>
          <w:cantSplit/>
          <w:trHeight w:val="20"/>
        </w:trPr>
        <w:tc>
          <w:tcPr>
            <w:tcW w:w="2122" w:type="dxa"/>
          </w:tcPr>
          <w:p w14:paraId="5F74DF69" w14:textId="77777777" w:rsidR="008877F8" w:rsidRPr="00A942F6" w:rsidRDefault="008877F8" w:rsidP="00641834">
            <w:pPr>
              <w:pStyle w:val="TableParagraph"/>
              <w:rPr>
                <w:sz w:val="20"/>
                <w:szCs w:val="20"/>
                <w:lang w:val="nb-NO"/>
              </w:rPr>
            </w:pPr>
            <w:r w:rsidRPr="00A942F6">
              <w:rPr>
                <w:sz w:val="20"/>
                <w:szCs w:val="20"/>
                <w:lang w:val="nb-NO"/>
              </w:rPr>
              <w:t>Nevrologiske sykdommer</w:t>
            </w:r>
          </w:p>
        </w:tc>
        <w:tc>
          <w:tcPr>
            <w:tcW w:w="1527" w:type="dxa"/>
          </w:tcPr>
          <w:p w14:paraId="21ABBB01" w14:textId="77777777" w:rsidR="008877F8" w:rsidRPr="00A942F6" w:rsidRDefault="008877F8" w:rsidP="00641834">
            <w:pPr>
              <w:pStyle w:val="TableParagraph"/>
              <w:rPr>
                <w:sz w:val="20"/>
                <w:szCs w:val="20"/>
                <w:lang w:val="nb-NO"/>
              </w:rPr>
            </w:pPr>
          </w:p>
        </w:tc>
        <w:tc>
          <w:tcPr>
            <w:tcW w:w="1974" w:type="dxa"/>
          </w:tcPr>
          <w:p w14:paraId="5431D281" w14:textId="77777777" w:rsidR="008877F8" w:rsidRPr="00A942F6" w:rsidRDefault="008877F8" w:rsidP="00641834">
            <w:pPr>
              <w:pStyle w:val="TableParagraph"/>
              <w:rPr>
                <w:sz w:val="20"/>
                <w:szCs w:val="20"/>
                <w:lang w:val="nb-NO"/>
              </w:rPr>
            </w:pPr>
            <w:r w:rsidRPr="00A942F6">
              <w:rPr>
                <w:sz w:val="20"/>
                <w:szCs w:val="20"/>
                <w:lang w:val="nb-NO"/>
              </w:rPr>
              <w:t>Hodepine, Svimmelhet</w:t>
            </w:r>
          </w:p>
        </w:tc>
        <w:tc>
          <w:tcPr>
            <w:tcW w:w="2029" w:type="dxa"/>
          </w:tcPr>
          <w:p w14:paraId="16658119" w14:textId="77777777" w:rsidR="008877F8" w:rsidRPr="00A942F6" w:rsidRDefault="008877F8" w:rsidP="00641834">
            <w:pPr>
              <w:pStyle w:val="TableParagraph"/>
              <w:rPr>
                <w:sz w:val="20"/>
                <w:szCs w:val="20"/>
                <w:lang w:val="nb-NO"/>
              </w:rPr>
            </w:pPr>
          </w:p>
        </w:tc>
        <w:tc>
          <w:tcPr>
            <w:tcW w:w="1428" w:type="dxa"/>
          </w:tcPr>
          <w:p w14:paraId="4F165494" w14:textId="77777777" w:rsidR="008877F8" w:rsidRPr="00A942F6" w:rsidRDefault="008877F8" w:rsidP="00641834">
            <w:pPr>
              <w:pStyle w:val="TableParagraph"/>
              <w:rPr>
                <w:sz w:val="20"/>
                <w:szCs w:val="20"/>
                <w:lang w:val="nb-NO"/>
              </w:rPr>
            </w:pPr>
          </w:p>
        </w:tc>
      </w:tr>
      <w:tr w:rsidR="008877F8" w:rsidRPr="00A942F6" w14:paraId="6978EAC3" w14:textId="77777777" w:rsidTr="00C02048">
        <w:trPr>
          <w:cantSplit/>
          <w:trHeight w:val="20"/>
        </w:trPr>
        <w:tc>
          <w:tcPr>
            <w:tcW w:w="2122" w:type="dxa"/>
          </w:tcPr>
          <w:p w14:paraId="6A344DD3" w14:textId="77777777" w:rsidR="008877F8" w:rsidRPr="00A942F6" w:rsidRDefault="008877F8" w:rsidP="00641834">
            <w:pPr>
              <w:pStyle w:val="TableParagraph"/>
              <w:rPr>
                <w:sz w:val="20"/>
                <w:szCs w:val="20"/>
                <w:lang w:val="nb-NO"/>
              </w:rPr>
            </w:pPr>
            <w:r w:rsidRPr="00A942F6">
              <w:rPr>
                <w:sz w:val="20"/>
                <w:szCs w:val="20"/>
                <w:lang w:val="nb-NO"/>
              </w:rPr>
              <w:t>Øyesykdommer</w:t>
            </w:r>
          </w:p>
        </w:tc>
        <w:tc>
          <w:tcPr>
            <w:tcW w:w="1527" w:type="dxa"/>
          </w:tcPr>
          <w:p w14:paraId="739A7EFA" w14:textId="77777777" w:rsidR="008877F8" w:rsidRPr="00A942F6" w:rsidRDefault="008877F8" w:rsidP="00641834">
            <w:pPr>
              <w:pStyle w:val="TableParagraph"/>
              <w:rPr>
                <w:sz w:val="20"/>
                <w:szCs w:val="20"/>
                <w:lang w:val="nb-NO"/>
              </w:rPr>
            </w:pPr>
          </w:p>
        </w:tc>
        <w:tc>
          <w:tcPr>
            <w:tcW w:w="1974" w:type="dxa"/>
          </w:tcPr>
          <w:p w14:paraId="0906292C" w14:textId="77777777" w:rsidR="008877F8" w:rsidRPr="00A942F6" w:rsidRDefault="008877F8" w:rsidP="00641834">
            <w:pPr>
              <w:pStyle w:val="TableParagraph"/>
              <w:rPr>
                <w:sz w:val="20"/>
                <w:szCs w:val="20"/>
                <w:lang w:val="nb-NO"/>
              </w:rPr>
            </w:pPr>
            <w:r w:rsidRPr="00A942F6">
              <w:rPr>
                <w:sz w:val="20"/>
                <w:szCs w:val="20"/>
                <w:lang w:val="nb-NO"/>
              </w:rPr>
              <w:t>Konjunktivitt</w:t>
            </w:r>
          </w:p>
        </w:tc>
        <w:tc>
          <w:tcPr>
            <w:tcW w:w="2029" w:type="dxa"/>
          </w:tcPr>
          <w:p w14:paraId="4C662346" w14:textId="77777777" w:rsidR="008877F8" w:rsidRPr="00A942F6" w:rsidRDefault="008877F8" w:rsidP="00641834">
            <w:pPr>
              <w:pStyle w:val="TableParagraph"/>
              <w:rPr>
                <w:sz w:val="20"/>
                <w:szCs w:val="20"/>
                <w:lang w:val="nb-NO"/>
              </w:rPr>
            </w:pPr>
          </w:p>
        </w:tc>
        <w:tc>
          <w:tcPr>
            <w:tcW w:w="1428" w:type="dxa"/>
          </w:tcPr>
          <w:p w14:paraId="0564074E" w14:textId="77777777" w:rsidR="008877F8" w:rsidRPr="00A942F6" w:rsidRDefault="008877F8" w:rsidP="00641834">
            <w:pPr>
              <w:pStyle w:val="TableParagraph"/>
              <w:rPr>
                <w:sz w:val="20"/>
                <w:szCs w:val="20"/>
                <w:lang w:val="nb-NO"/>
              </w:rPr>
            </w:pPr>
          </w:p>
        </w:tc>
      </w:tr>
      <w:tr w:rsidR="008877F8" w:rsidRPr="00A942F6" w14:paraId="165AD238" w14:textId="77777777" w:rsidTr="00C02048">
        <w:trPr>
          <w:cantSplit/>
          <w:trHeight w:val="20"/>
        </w:trPr>
        <w:tc>
          <w:tcPr>
            <w:tcW w:w="2122" w:type="dxa"/>
          </w:tcPr>
          <w:p w14:paraId="5ED33A37" w14:textId="77777777" w:rsidR="008877F8" w:rsidRPr="00A942F6" w:rsidRDefault="008877F8" w:rsidP="00641834">
            <w:pPr>
              <w:pStyle w:val="TableParagraph"/>
              <w:rPr>
                <w:sz w:val="20"/>
                <w:szCs w:val="20"/>
                <w:lang w:val="nb-NO"/>
              </w:rPr>
            </w:pPr>
            <w:r w:rsidRPr="00A942F6">
              <w:rPr>
                <w:sz w:val="20"/>
                <w:szCs w:val="20"/>
                <w:lang w:val="nb-NO"/>
              </w:rPr>
              <w:t>Karsykdommer</w:t>
            </w:r>
          </w:p>
        </w:tc>
        <w:tc>
          <w:tcPr>
            <w:tcW w:w="1527" w:type="dxa"/>
          </w:tcPr>
          <w:p w14:paraId="686D4817" w14:textId="77777777" w:rsidR="008877F8" w:rsidRPr="00A942F6" w:rsidRDefault="008877F8" w:rsidP="00641834">
            <w:pPr>
              <w:pStyle w:val="TableParagraph"/>
              <w:rPr>
                <w:sz w:val="20"/>
                <w:szCs w:val="20"/>
                <w:lang w:val="nb-NO"/>
              </w:rPr>
            </w:pPr>
          </w:p>
        </w:tc>
        <w:tc>
          <w:tcPr>
            <w:tcW w:w="1974" w:type="dxa"/>
          </w:tcPr>
          <w:p w14:paraId="43737AB7" w14:textId="77777777" w:rsidR="008877F8" w:rsidRPr="00A942F6" w:rsidRDefault="008877F8" w:rsidP="00641834">
            <w:pPr>
              <w:pStyle w:val="TableParagraph"/>
              <w:rPr>
                <w:sz w:val="20"/>
                <w:szCs w:val="20"/>
                <w:lang w:val="nb-NO"/>
              </w:rPr>
            </w:pPr>
            <w:r w:rsidRPr="00A942F6">
              <w:rPr>
                <w:sz w:val="20"/>
                <w:szCs w:val="20"/>
                <w:lang w:val="nb-NO"/>
              </w:rPr>
              <w:t>Hypertensjon</w:t>
            </w:r>
          </w:p>
        </w:tc>
        <w:tc>
          <w:tcPr>
            <w:tcW w:w="2029" w:type="dxa"/>
          </w:tcPr>
          <w:p w14:paraId="40378896" w14:textId="77777777" w:rsidR="008877F8" w:rsidRPr="00A942F6" w:rsidRDefault="008877F8" w:rsidP="00641834">
            <w:pPr>
              <w:pStyle w:val="TableParagraph"/>
              <w:rPr>
                <w:sz w:val="20"/>
                <w:szCs w:val="20"/>
                <w:lang w:val="nb-NO"/>
              </w:rPr>
            </w:pPr>
          </w:p>
        </w:tc>
        <w:tc>
          <w:tcPr>
            <w:tcW w:w="1428" w:type="dxa"/>
          </w:tcPr>
          <w:p w14:paraId="2D7FAE9F" w14:textId="77777777" w:rsidR="008877F8" w:rsidRPr="00A942F6" w:rsidRDefault="008877F8" w:rsidP="00641834">
            <w:pPr>
              <w:pStyle w:val="TableParagraph"/>
              <w:rPr>
                <w:sz w:val="20"/>
                <w:szCs w:val="20"/>
                <w:lang w:val="nb-NO"/>
              </w:rPr>
            </w:pPr>
          </w:p>
        </w:tc>
      </w:tr>
      <w:tr w:rsidR="008877F8" w:rsidRPr="00A942F6" w14:paraId="1FD43E74" w14:textId="77777777" w:rsidTr="00C02048">
        <w:trPr>
          <w:cantSplit/>
          <w:trHeight w:val="20"/>
        </w:trPr>
        <w:tc>
          <w:tcPr>
            <w:tcW w:w="2122" w:type="dxa"/>
          </w:tcPr>
          <w:p w14:paraId="353F7A9F" w14:textId="77777777" w:rsidR="008877F8" w:rsidRPr="00A942F6" w:rsidRDefault="008877F8" w:rsidP="00641834">
            <w:pPr>
              <w:pStyle w:val="TableParagraph"/>
              <w:rPr>
                <w:sz w:val="20"/>
                <w:szCs w:val="20"/>
                <w:lang w:val="nb-NO"/>
              </w:rPr>
            </w:pPr>
            <w:r w:rsidRPr="00A942F6">
              <w:rPr>
                <w:sz w:val="20"/>
                <w:szCs w:val="20"/>
                <w:lang w:val="nb-NO"/>
              </w:rPr>
              <w:t>Sykdommer i respirasjonsorganer, thorax og</w:t>
            </w:r>
            <w:r w:rsidR="00C02048" w:rsidRPr="00A942F6">
              <w:rPr>
                <w:sz w:val="20"/>
                <w:szCs w:val="20"/>
                <w:lang w:val="nb-NO"/>
              </w:rPr>
              <w:t xml:space="preserve"> </w:t>
            </w:r>
            <w:r w:rsidRPr="00A942F6">
              <w:rPr>
                <w:sz w:val="20"/>
                <w:szCs w:val="20"/>
                <w:lang w:val="nb-NO"/>
              </w:rPr>
              <w:t>mediastinum</w:t>
            </w:r>
          </w:p>
        </w:tc>
        <w:tc>
          <w:tcPr>
            <w:tcW w:w="1527" w:type="dxa"/>
          </w:tcPr>
          <w:p w14:paraId="5F4FFC27" w14:textId="77777777" w:rsidR="008877F8" w:rsidRPr="00A942F6" w:rsidRDefault="008877F8" w:rsidP="00641834">
            <w:pPr>
              <w:pStyle w:val="TableParagraph"/>
              <w:rPr>
                <w:sz w:val="20"/>
                <w:szCs w:val="20"/>
                <w:lang w:val="nb-NO"/>
              </w:rPr>
            </w:pPr>
          </w:p>
        </w:tc>
        <w:tc>
          <w:tcPr>
            <w:tcW w:w="1974" w:type="dxa"/>
          </w:tcPr>
          <w:p w14:paraId="1A894E92" w14:textId="77777777" w:rsidR="008877F8" w:rsidRPr="00A942F6" w:rsidRDefault="008877F8" w:rsidP="00641834">
            <w:pPr>
              <w:pStyle w:val="TableParagraph"/>
              <w:rPr>
                <w:sz w:val="20"/>
                <w:szCs w:val="20"/>
                <w:lang w:val="nb-NO"/>
              </w:rPr>
            </w:pPr>
            <w:r w:rsidRPr="00A942F6">
              <w:rPr>
                <w:sz w:val="20"/>
                <w:szCs w:val="20"/>
                <w:lang w:val="nb-NO"/>
              </w:rPr>
              <w:t>Hoste, Dyspné</w:t>
            </w:r>
          </w:p>
        </w:tc>
        <w:tc>
          <w:tcPr>
            <w:tcW w:w="2029" w:type="dxa"/>
          </w:tcPr>
          <w:p w14:paraId="2097E7D2" w14:textId="77777777" w:rsidR="008877F8" w:rsidRPr="00A942F6" w:rsidRDefault="008877F8" w:rsidP="00641834">
            <w:pPr>
              <w:pStyle w:val="TableParagraph"/>
              <w:rPr>
                <w:sz w:val="20"/>
                <w:szCs w:val="20"/>
                <w:lang w:val="nb-NO"/>
              </w:rPr>
            </w:pPr>
          </w:p>
        </w:tc>
        <w:tc>
          <w:tcPr>
            <w:tcW w:w="1428" w:type="dxa"/>
          </w:tcPr>
          <w:p w14:paraId="7EA52047" w14:textId="77777777" w:rsidR="008877F8" w:rsidRPr="00A942F6" w:rsidRDefault="008877F8" w:rsidP="00641834">
            <w:pPr>
              <w:pStyle w:val="TableParagraph"/>
              <w:rPr>
                <w:sz w:val="20"/>
                <w:szCs w:val="20"/>
                <w:lang w:val="nb-NO"/>
              </w:rPr>
            </w:pPr>
          </w:p>
        </w:tc>
      </w:tr>
      <w:tr w:rsidR="008877F8" w:rsidRPr="00A942F6" w14:paraId="7AAE939F" w14:textId="77777777" w:rsidTr="00C02048">
        <w:trPr>
          <w:cantSplit/>
          <w:trHeight w:val="20"/>
        </w:trPr>
        <w:tc>
          <w:tcPr>
            <w:tcW w:w="2122" w:type="dxa"/>
          </w:tcPr>
          <w:p w14:paraId="2C6CA8F5" w14:textId="77777777" w:rsidR="008877F8" w:rsidRPr="00A942F6" w:rsidRDefault="008877F8" w:rsidP="00641834">
            <w:pPr>
              <w:pStyle w:val="TableParagraph"/>
              <w:rPr>
                <w:sz w:val="20"/>
                <w:szCs w:val="20"/>
                <w:lang w:val="nb-NO"/>
              </w:rPr>
            </w:pPr>
            <w:r w:rsidRPr="00A942F6">
              <w:rPr>
                <w:sz w:val="20"/>
                <w:szCs w:val="20"/>
                <w:lang w:val="nb-NO"/>
              </w:rPr>
              <w:t>Gastrointestinale sykdommer</w:t>
            </w:r>
          </w:p>
        </w:tc>
        <w:tc>
          <w:tcPr>
            <w:tcW w:w="1527" w:type="dxa"/>
          </w:tcPr>
          <w:p w14:paraId="5F9A770C" w14:textId="77777777" w:rsidR="008877F8" w:rsidRPr="00A942F6" w:rsidRDefault="008877F8" w:rsidP="00641834">
            <w:pPr>
              <w:pStyle w:val="TableParagraph"/>
              <w:rPr>
                <w:sz w:val="20"/>
                <w:szCs w:val="20"/>
                <w:lang w:val="nb-NO"/>
              </w:rPr>
            </w:pPr>
          </w:p>
        </w:tc>
        <w:tc>
          <w:tcPr>
            <w:tcW w:w="1974" w:type="dxa"/>
          </w:tcPr>
          <w:p w14:paraId="43D60277" w14:textId="77777777" w:rsidR="008877F8" w:rsidRPr="00A942F6" w:rsidRDefault="008877F8" w:rsidP="00641834">
            <w:pPr>
              <w:pStyle w:val="TableParagraph"/>
              <w:rPr>
                <w:sz w:val="20"/>
                <w:szCs w:val="20"/>
                <w:lang w:val="nb-NO"/>
              </w:rPr>
            </w:pPr>
            <w:r w:rsidRPr="00A942F6">
              <w:rPr>
                <w:sz w:val="20"/>
                <w:szCs w:val="20"/>
                <w:lang w:val="nb-NO"/>
              </w:rPr>
              <w:t>Abdominale smerter, Munnulcerasjon, Gastritt</w:t>
            </w:r>
          </w:p>
        </w:tc>
        <w:tc>
          <w:tcPr>
            <w:tcW w:w="2029" w:type="dxa"/>
          </w:tcPr>
          <w:p w14:paraId="042979C8" w14:textId="77777777" w:rsidR="008877F8" w:rsidRPr="00A942F6" w:rsidRDefault="008877F8" w:rsidP="00641834">
            <w:pPr>
              <w:pStyle w:val="TableParagraph"/>
              <w:rPr>
                <w:sz w:val="20"/>
                <w:szCs w:val="20"/>
                <w:lang w:val="nb-NO"/>
              </w:rPr>
            </w:pPr>
            <w:r w:rsidRPr="00A942F6">
              <w:rPr>
                <w:sz w:val="20"/>
                <w:szCs w:val="20"/>
                <w:lang w:val="nb-NO"/>
              </w:rPr>
              <w:t>Stomatitt, Magesår</w:t>
            </w:r>
          </w:p>
        </w:tc>
        <w:tc>
          <w:tcPr>
            <w:tcW w:w="1428" w:type="dxa"/>
          </w:tcPr>
          <w:p w14:paraId="4631AC5F" w14:textId="77777777" w:rsidR="008877F8" w:rsidRPr="00A942F6" w:rsidRDefault="008877F8" w:rsidP="00641834">
            <w:pPr>
              <w:pStyle w:val="TableParagraph"/>
              <w:rPr>
                <w:sz w:val="20"/>
                <w:szCs w:val="20"/>
                <w:lang w:val="nb-NO"/>
              </w:rPr>
            </w:pPr>
          </w:p>
        </w:tc>
      </w:tr>
      <w:tr w:rsidR="008877F8" w:rsidRPr="00B477E5" w14:paraId="718C0D07" w14:textId="77777777" w:rsidTr="00C02048">
        <w:trPr>
          <w:cantSplit/>
          <w:trHeight w:val="20"/>
        </w:trPr>
        <w:tc>
          <w:tcPr>
            <w:tcW w:w="2122" w:type="dxa"/>
          </w:tcPr>
          <w:p w14:paraId="1662362C" w14:textId="77777777" w:rsidR="008877F8" w:rsidRPr="00A942F6" w:rsidRDefault="008877F8" w:rsidP="00641834">
            <w:pPr>
              <w:pStyle w:val="TableParagraph"/>
              <w:rPr>
                <w:sz w:val="20"/>
                <w:szCs w:val="20"/>
                <w:lang w:val="nb-NO"/>
              </w:rPr>
            </w:pPr>
            <w:r w:rsidRPr="00A942F6">
              <w:rPr>
                <w:sz w:val="20"/>
                <w:szCs w:val="20"/>
                <w:lang w:val="nb-NO"/>
              </w:rPr>
              <w:lastRenderedPageBreak/>
              <w:t>Sykdommer i lever og galleveier</w:t>
            </w:r>
          </w:p>
        </w:tc>
        <w:tc>
          <w:tcPr>
            <w:tcW w:w="1527" w:type="dxa"/>
          </w:tcPr>
          <w:p w14:paraId="50C4EFC1" w14:textId="77777777" w:rsidR="008877F8" w:rsidRPr="00A942F6" w:rsidRDefault="008877F8" w:rsidP="00641834">
            <w:pPr>
              <w:pStyle w:val="TableParagraph"/>
              <w:rPr>
                <w:sz w:val="20"/>
                <w:szCs w:val="20"/>
                <w:lang w:val="nb-NO"/>
              </w:rPr>
            </w:pPr>
          </w:p>
        </w:tc>
        <w:tc>
          <w:tcPr>
            <w:tcW w:w="1974" w:type="dxa"/>
          </w:tcPr>
          <w:p w14:paraId="2E2E9AAD" w14:textId="77777777" w:rsidR="008877F8" w:rsidRPr="00A942F6" w:rsidRDefault="008877F8" w:rsidP="00641834">
            <w:pPr>
              <w:pStyle w:val="TableParagraph"/>
              <w:rPr>
                <w:sz w:val="20"/>
                <w:szCs w:val="20"/>
                <w:lang w:val="nb-NO"/>
              </w:rPr>
            </w:pPr>
          </w:p>
        </w:tc>
        <w:tc>
          <w:tcPr>
            <w:tcW w:w="2029" w:type="dxa"/>
          </w:tcPr>
          <w:p w14:paraId="4CF0B756" w14:textId="77777777" w:rsidR="008877F8" w:rsidRPr="00A942F6" w:rsidRDefault="008877F8" w:rsidP="00641834">
            <w:pPr>
              <w:pStyle w:val="TableParagraph"/>
              <w:rPr>
                <w:sz w:val="20"/>
                <w:szCs w:val="20"/>
                <w:lang w:val="nb-NO"/>
              </w:rPr>
            </w:pPr>
          </w:p>
        </w:tc>
        <w:tc>
          <w:tcPr>
            <w:tcW w:w="1428" w:type="dxa"/>
          </w:tcPr>
          <w:p w14:paraId="49B64BF0" w14:textId="77777777" w:rsidR="008877F8" w:rsidRPr="00A942F6" w:rsidRDefault="008877F8" w:rsidP="00641834">
            <w:pPr>
              <w:pStyle w:val="TableParagraph"/>
              <w:rPr>
                <w:sz w:val="20"/>
                <w:szCs w:val="20"/>
                <w:lang w:val="nb-NO"/>
              </w:rPr>
            </w:pPr>
            <w:r w:rsidRPr="00A942F6">
              <w:rPr>
                <w:sz w:val="20"/>
                <w:szCs w:val="20"/>
                <w:lang w:val="nb-NO"/>
              </w:rPr>
              <w:t>Legemiddel- indusert leverskade, Hepatitt, Gulsott</w:t>
            </w:r>
            <w:r w:rsidR="00C02048" w:rsidRPr="00A942F6">
              <w:rPr>
                <w:sz w:val="20"/>
                <w:szCs w:val="20"/>
                <w:lang w:val="nb-NO"/>
              </w:rPr>
              <w:t xml:space="preserve"> </w:t>
            </w:r>
            <w:r w:rsidRPr="00A942F6">
              <w:rPr>
                <w:sz w:val="20"/>
                <w:szCs w:val="20"/>
                <w:lang w:val="nb-NO"/>
              </w:rPr>
              <w:t>Svært sjeldne: Leversvikt</w:t>
            </w:r>
          </w:p>
        </w:tc>
      </w:tr>
      <w:tr w:rsidR="008877F8" w:rsidRPr="00A942F6" w14:paraId="492CFFE0" w14:textId="77777777" w:rsidTr="00C02048">
        <w:trPr>
          <w:cantSplit/>
          <w:trHeight w:val="20"/>
        </w:trPr>
        <w:tc>
          <w:tcPr>
            <w:tcW w:w="2122" w:type="dxa"/>
          </w:tcPr>
          <w:p w14:paraId="24DCB364" w14:textId="77777777" w:rsidR="008877F8" w:rsidRPr="00A942F6" w:rsidRDefault="008877F8" w:rsidP="00641834">
            <w:pPr>
              <w:pStyle w:val="TableParagraph"/>
              <w:rPr>
                <w:sz w:val="20"/>
                <w:szCs w:val="20"/>
                <w:lang w:val="nb-NO"/>
              </w:rPr>
            </w:pPr>
            <w:r w:rsidRPr="00A942F6">
              <w:rPr>
                <w:sz w:val="20"/>
                <w:szCs w:val="20"/>
                <w:lang w:val="nb-NO"/>
              </w:rPr>
              <w:t>Hud- og underhuds-sykdommer</w:t>
            </w:r>
          </w:p>
        </w:tc>
        <w:tc>
          <w:tcPr>
            <w:tcW w:w="1527" w:type="dxa"/>
          </w:tcPr>
          <w:p w14:paraId="41DAC1E5" w14:textId="77777777" w:rsidR="008877F8" w:rsidRPr="00A942F6" w:rsidRDefault="008877F8" w:rsidP="00641834">
            <w:pPr>
              <w:pStyle w:val="TableParagraph"/>
              <w:rPr>
                <w:sz w:val="20"/>
                <w:szCs w:val="20"/>
                <w:lang w:val="nb-NO"/>
              </w:rPr>
            </w:pPr>
          </w:p>
        </w:tc>
        <w:tc>
          <w:tcPr>
            <w:tcW w:w="1974" w:type="dxa"/>
          </w:tcPr>
          <w:p w14:paraId="004D3B5F" w14:textId="77777777" w:rsidR="008877F8" w:rsidRPr="00A942F6" w:rsidRDefault="008877F8" w:rsidP="00641834">
            <w:pPr>
              <w:pStyle w:val="TableParagraph"/>
              <w:rPr>
                <w:sz w:val="20"/>
                <w:szCs w:val="20"/>
                <w:lang w:val="nb-NO"/>
              </w:rPr>
            </w:pPr>
            <w:r w:rsidRPr="00A942F6">
              <w:rPr>
                <w:sz w:val="20"/>
                <w:szCs w:val="20"/>
                <w:lang w:val="nb-NO"/>
              </w:rPr>
              <w:t>Utslett, Pruritus,</w:t>
            </w:r>
            <w:r w:rsidR="00C02048" w:rsidRPr="00A942F6">
              <w:rPr>
                <w:sz w:val="20"/>
                <w:szCs w:val="20"/>
                <w:lang w:val="nb-NO"/>
              </w:rPr>
              <w:t xml:space="preserve"> </w:t>
            </w:r>
            <w:r w:rsidRPr="00A942F6">
              <w:rPr>
                <w:sz w:val="20"/>
                <w:szCs w:val="20"/>
                <w:lang w:val="nb-NO"/>
              </w:rPr>
              <w:t>Urtikaria</w:t>
            </w:r>
          </w:p>
        </w:tc>
        <w:tc>
          <w:tcPr>
            <w:tcW w:w="2029" w:type="dxa"/>
          </w:tcPr>
          <w:p w14:paraId="2DEB6270" w14:textId="77777777" w:rsidR="008877F8" w:rsidRPr="00A942F6" w:rsidRDefault="008877F8" w:rsidP="00641834">
            <w:pPr>
              <w:pStyle w:val="TableParagraph"/>
              <w:rPr>
                <w:sz w:val="20"/>
                <w:szCs w:val="20"/>
                <w:lang w:val="nb-NO"/>
              </w:rPr>
            </w:pPr>
          </w:p>
        </w:tc>
        <w:tc>
          <w:tcPr>
            <w:tcW w:w="1428" w:type="dxa"/>
          </w:tcPr>
          <w:p w14:paraId="3A2C1BA3" w14:textId="77777777" w:rsidR="008877F8" w:rsidRPr="00A942F6" w:rsidRDefault="008877F8" w:rsidP="00641834">
            <w:pPr>
              <w:pStyle w:val="TableParagraph"/>
              <w:rPr>
                <w:sz w:val="20"/>
                <w:szCs w:val="20"/>
                <w:lang w:val="nb-NO"/>
              </w:rPr>
            </w:pPr>
            <w:r w:rsidRPr="00A942F6">
              <w:rPr>
                <w:sz w:val="20"/>
                <w:szCs w:val="20"/>
                <w:lang w:val="nb-NO"/>
              </w:rPr>
              <w:t>Stevens- Johnson</w:t>
            </w:r>
            <w:r w:rsidR="00C02048" w:rsidRPr="00A942F6">
              <w:rPr>
                <w:sz w:val="20"/>
                <w:szCs w:val="20"/>
                <w:lang w:val="nb-NO"/>
              </w:rPr>
              <w:t xml:space="preserve"> </w:t>
            </w:r>
            <w:r w:rsidRPr="00A942F6">
              <w:rPr>
                <w:sz w:val="20"/>
                <w:szCs w:val="20"/>
                <w:lang w:val="nb-NO"/>
              </w:rPr>
              <w:t>syndrom</w:t>
            </w:r>
            <w:r w:rsidRPr="00A942F6">
              <w:rPr>
                <w:sz w:val="20"/>
                <w:szCs w:val="20"/>
                <w:vertAlign w:val="superscript"/>
                <w:lang w:val="nb-NO"/>
              </w:rPr>
              <w:t>3</w:t>
            </w:r>
          </w:p>
        </w:tc>
      </w:tr>
      <w:tr w:rsidR="008877F8" w:rsidRPr="00A942F6" w14:paraId="406D78F9" w14:textId="77777777" w:rsidTr="00C02048">
        <w:trPr>
          <w:cantSplit/>
          <w:trHeight w:val="20"/>
        </w:trPr>
        <w:tc>
          <w:tcPr>
            <w:tcW w:w="2122" w:type="dxa"/>
          </w:tcPr>
          <w:p w14:paraId="5E610F09" w14:textId="77777777" w:rsidR="008877F8" w:rsidRPr="00A942F6" w:rsidRDefault="008877F8" w:rsidP="00641834">
            <w:pPr>
              <w:pStyle w:val="TableParagraph"/>
              <w:rPr>
                <w:sz w:val="20"/>
                <w:szCs w:val="20"/>
                <w:lang w:val="nb-NO"/>
              </w:rPr>
            </w:pPr>
            <w:r w:rsidRPr="00A942F6">
              <w:rPr>
                <w:sz w:val="20"/>
                <w:szCs w:val="20"/>
                <w:lang w:val="nb-NO"/>
              </w:rPr>
              <w:t>Sykdommer i</w:t>
            </w:r>
            <w:r w:rsidR="00C02048" w:rsidRPr="00A942F6">
              <w:rPr>
                <w:sz w:val="20"/>
                <w:szCs w:val="20"/>
                <w:lang w:val="nb-NO"/>
              </w:rPr>
              <w:t xml:space="preserve"> </w:t>
            </w:r>
            <w:r w:rsidRPr="00A942F6">
              <w:rPr>
                <w:sz w:val="20"/>
                <w:szCs w:val="20"/>
                <w:lang w:val="nb-NO"/>
              </w:rPr>
              <w:t>nyre og urinveier</w:t>
            </w:r>
          </w:p>
        </w:tc>
        <w:tc>
          <w:tcPr>
            <w:tcW w:w="1527" w:type="dxa"/>
          </w:tcPr>
          <w:p w14:paraId="4C8AC43B" w14:textId="77777777" w:rsidR="008877F8" w:rsidRPr="00A942F6" w:rsidRDefault="008877F8" w:rsidP="00641834">
            <w:pPr>
              <w:pStyle w:val="TableParagraph"/>
              <w:rPr>
                <w:sz w:val="20"/>
                <w:szCs w:val="20"/>
                <w:lang w:val="nb-NO"/>
              </w:rPr>
            </w:pPr>
          </w:p>
        </w:tc>
        <w:tc>
          <w:tcPr>
            <w:tcW w:w="1974" w:type="dxa"/>
          </w:tcPr>
          <w:p w14:paraId="0296DDDC" w14:textId="77777777" w:rsidR="008877F8" w:rsidRPr="00A942F6" w:rsidRDefault="008877F8" w:rsidP="00641834">
            <w:pPr>
              <w:pStyle w:val="TableParagraph"/>
              <w:rPr>
                <w:sz w:val="20"/>
                <w:szCs w:val="20"/>
                <w:lang w:val="nb-NO"/>
              </w:rPr>
            </w:pPr>
          </w:p>
        </w:tc>
        <w:tc>
          <w:tcPr>
            <w:tcW w:w="2029" w:type="dxa"/>
          </w:tcPr>
          <w:p w14:paraId="70C9ECE7" w14:textId="77777777" w:rsidR="008877F8" w:rsidRPr="00A942F6" w:rsidRDefault="008877F8" w:rsidP="00641834">
            <w:pPr>
              <w:pStyle w:val="TableParagraph"/>
              <w:rPr>
                <w:sz w:val="20"/>
                <w:szCs w:val="20"/>
                <w:lang w:val="nb-NO"/>
              </w:rPr>
            </w:pPr>
            <w:r w:rsidRPr="00A942F6">
              <w:rPr>
                <w:sz w:val="20"/>
                <w:szCs w:val="20"/>
                <w:lang w:val="nb-NO"/>
              </w:rPr>
              <w:t>Nefrolitt</w:t>
            </w:r>
          </w:p>
        </w:tc>
        <w:tc>
          <w:tcPr>
            <w:tcW w:w="1428" w:type="dxa"/>
          </w:tcPr>
          <w:p w14:paraId="0D924BAA" w14:textId="77777777" w:rsidR="008877F8" w:rsidRPr="00A942F6" w:rsidRDefault="008877F8" w:rsidP="00641834">
            <w:pPr>
              <w:pStyle w:val="TableParagraph"/>
              <w:rPr>
                <w:sz w:val="20"/>
                <w:szCs w:val="20"/>
                <w:lang w:val="nb-NO"/>
              </w:rPr>
            </w:pPr>
          </w:p>
        </w:tc>
      </w:tr>
      <w:tr w:rsidR="008877F8" w:rsidRPr="00A942F6" w14:paraId="2566F45D" w14:textId="77777777" w:rsidTr="00C02048">
        <w:trPr>
          <w:cantSplit/>
          <w:trHeight w:val="20"/>
        </w:trPr>
        <w:tc>
          <w:tcPr>
            <w:tcW w:w="2122" w:type="dxa"/>
          </w:tcPr>
          <w:p w14:paraId="42C6B57C" w14:textId="77777777" w:rsidR="008877F8" w:rsidRPr="00A942F6" w:rsidRDefault="008877F8" w:rsidP="00641834">
            <w:pPr>
              <w:pStyle w:val="TableParagraph"/>
              <w:rPr>
                <w:sz w:val="20"/>
                <w:szCs w:val="20"/>
                <w:lang w:val="nb-NO"/>
              </w:rPr>
            </w:pPr>
            <w:r w:rsidRPr="00A942F6">
              <w:rPr>
                <w:sz w:val="20"/>
                <w:szCs w:val="20"/>
                <w:lang w:val="nb-NO"/>
              </w:rPr>
              <w:t>Generelle lidelser og reaksjoner på administrasjonsstedet</w:t>
            </w:r>
          </w:p>
        </w:tc>
        <w:tc>
          <w:tcPr>
            <w:tcW w:w="1527" w:type="dxa"/>
          </w:tcPr>
          <w:p w14:paraId="5C2D2565" w14:textId="77777777" w:rsidR="008877F8" w:rsidRPr="00A942F6" w:rsidRDefault="008877F8" w:rsidP="00641834">
            <w:pPr>
              <w:pStyle w:val="TableParagraph"/>
              <w:rPr>
                <w:sz w:val="20"/>
                <w:szCs w:val="20"/>
                <w:lang w:val="nb-NO"/>
              </w:rPr>
            </w:pPr>
            <w:r w:rsidRPr="00A942F6">
              <w:rPr>
                <w:sz w:val="20"/>
                <w:szCs w:val="20"/>
                <w:lang w:val="nb-NO"/>
              </w:rPr>
              <w:t>Reaksjoner på injeksjonsstedet</w:t>
            </w:r>
          </w:p>
        </w:tc>
        <w:tc>
          <w:tcPr>
            <w:tcW w:w="1974" w:type="dxa"/>
          </w:tcPr>
          <w:p w14:paraId="4B007B3E" w14:textId="77777777" w:rsidR="008877F8" w:rsidRPr="00A942F6" w:rsidRDefault="008877F8" w:rsidP="00641834">
            <w:pPr>
              <w:pStyle w:val="TableParagraph"/>
              <w:rPr>
                <w:sz w:val="20"/>
                <w:szCs w:val="20"/>
                <w:lang w:val="nb-NO"/>
              </w:rPr>
            </w:pPr>
            <w:r w:rsidRPr="00A942F6">
              <w:rPr>
                <w:sz w:val="20"/>
                <w:szCs w:val="20"/>
                <w:lang w:val="nb-NO"/>
              </w:rPr>
              <w:t>Perifert ødem, Hypersensitivitets- reaksjoner</w:t>
            </w:r>
          </w:p>
        </w:tc>
        <w:tc>
          <w:tcPr>
            <w:tcW w:w="2029" w:type="dxa"/>
          </w:tcPr>
          <w:p w14:paraId="6C84D469" w14:textId="77777777" w:rsidR="008877F8" w:rsidRPr="00A942F6" w:rsidRDefault="008877F8" w:rsidP="00641834">
            <w:pPr>
              <w:pStyle w:val="TableParagraph"/>
              <w:rPr>
                <w:sz w:val="20"/>
                <w:szCs w:val="20"/>
                <w:lang w:val="nb-NO"/>
              </w:rPr>
            </w:pPr>
          </w:p>
        </w:tc>
        <w:tc>
          <w:tcPr>
            <w:tcW w:w="1428" w:type="dxa"/>
          </w:tcPr>
          <w:p w14:paraId="3ED5A6A6" w14:textId="77777777" w:rsidR="008877F8" w:rsidRPr="00A942F6" w:rsidRDefault="008877F8" w:rsidP="00641834">
            <w:pPr>
              <w:pStyle w:val="TableParagraph"/>
              <w:rPr>
                <w:sz w:val="20"/>
                <w:szCs w:val="20"/>
                <w:lang w:val="nb-NO"/>
              </w:rPr>
            </w:pPr>
          </w:p>
        </w:tc>
      </w:tr>
      <w:tr w:rsidR="008877F8" w:rsidRPr="00B477E5" w14:paraId="56A00B49" w14:textId="77777777" w:rsidTr="00C02048">
        <w:trPr>
          <w:cantSplit/>
          <w:trHeight w:val="20"/>
        </w:trPr>
        <w:tc>
          <w:tcPr>
            <w:tcW w:w="2122" w:type="dxa"/>
          </w:tcPr>
          <w:p w14:paraId="79B96741" w14:textId="77777777" w:rsidR="008877F8" w:rsidRPr="00A942F6" w:rsidRDefault="008877F8" w:rsidP="00641834">
            <w:pPr>
              <w:pStyle w:val="TableParagraph"/>
              <w:rPr>
                <w:sz w:val="20"/>
                <w:szCs w:val="20"/>
                <w:lang w:val="nb-NO"/>
              </w:rPr>
            </w:pPr>
            <w:r w:rsidRPr="00A942F6">
              <w:rPr>
                <w:sz w:val="20"/>
                <w:szCs w:val="20"/>
                <w:lang w:val="nb-NO"/>
              </w:rPr>
              <w:t>Undersøkelser</w:t>
            </w:r>
          </w:p>
        </w:tc>
        <w:tc>
          <w:tcPr>
            <w:tcW w:w="1527" w:type="dxa"/>
          </w:tcPr>
          <w:p w14:paraId="58BB0FCA" w14:textId="77777777" w:rsidR="008877F8" w:rsidRPr="00A942F6" w:rsidRDefault="008877F8" w:rsidP="00641834">
            <w:pPr>
              <w:pStyle w:val="TableParagraph"/>
              <w:rPr>
                <w:sz w:val="20"/>
                <w:szCs w:val="20"/>
                <w:lang w:val="nb-NO"/>
              </w:rPr>
            </w:pPr>
          </w:p>
        </w:tc>
        <w:tc>
          <w:tcPr>
            <w:tcW w:w="1974" w:type="dxa"/>
          </w:tcPr>
          <w:p w14:paraId="1B5996DF" w14:textId="77777777" w:rsidR="008877F8" w:rsidRPr="00A942F6" w:rsidRDefault="008877F8" w:rsidP="00641834">
            <w:pPr>
              <w:pStyle w:val="TableParagraph"/>
              <w:rPr>
                <w:sz w:val="20"/>
                <w:szCs w:val="20"/>
                <w:lang w:val="nb-NO"/>
              </w:rPr>
            </w:pPr>
            <w:r w:rsidRPr="00A942F6">
              <w:rPr>
                <w:sz w:val="20"/>
                <w:szCs w:val="20"/>
                <w:lang w:val="nb-NO"/>
              </w:rPr>
              <w:t>Forhøyede hepatiske transaminaser, Vektøkning, Forhøyet</w:t>
            </w:r>
            <w:r w:rsidR="00C02048" w:rsidRPr="00A942F6">
              <w:rPr>
                <w:sz w:val="20"/>
                <w:szCs w:val="20"/>
                <w:lang w:val="nb-NO"/>
              </w:rPr>
              <w:t xml:space="preserve"> </w:t>
            </w:r>
            <w:r w:rsidRPr="00A942F6">
              <w:rPr>
                <w:sz w:val="20"/>
                <w:szCs w:val="20"/>
                <w:lang w:val="nb-NO"/>
              </w:rPr>
              <w:t>total bilirubin*</w:t>
            </w:r>
          </w:p>
        </w:tc>
        <w:tc>
          <w:tcPr>
            <w:tcW w:w="2029" w:type="dxa"/>
          </w:tcPr>
          <w:p w14:paraId="56FD9E5C" w14:textId="77777777" w:rsidR="008877F8" w:rsidRPr="00A942F6" w:rsidRDefault="008877F8" w:rsidP="00641834">
            <w:pPr>
              <w:pStyle w:val="TableParagraph"/>
              <w:rPr>
                <w:sz w:val="20"/>
                <w:szCs w:val="20"/>
                <w:lang w:val="nb-NO"/>
              </w:rPr>
            </w:pPr>
          </w:p>
        </w:tc>
        <w:tc>
          <w:tcPr>
            <w:tcW w:w="1428" w:type="dxa"/>
          </w:tcPr>
          <w:p w14:paraId="5AB115D9" w14:textId="77777777" w:rsidR="008877F8" w:rsidRPr="00A942F6" w:rsidRDefault="008877F8" w:rsidP="00641834">
            <w:pPr>
              <w:pStyle w:val="TableParagraph"/>
              <w:rPr>
                <w:sz w:val="20"/>
                <w:szCs w:val="20"/>
                <w:lang w:val="nb-NO"/>
              </w:rPr>
            </w:pPr>
          </w:p>
        </w:tc>
      </w:tr>
    </w:tbl>
    <w:p w14:paraId="54DDC71C" w14:textId="77777777" w:rsidR="008877F8" w:rsidRPr="00A942F6" w:rsidRDefault="008877F8" w:rsidP="00641834">
      <w:pPr>
        <w:pStyle w:val="tablenotestar"/>
        <w:rPr>
          <w:lang w:val="nb-NO"/>
        </w:rPr>
      </w:pPr>
      <w:r w:rsidRPr="00A942F6">
        <w:rPr>
          <w:lang w:val="nb-NO"/>
        </w:rPr>
        <w:t>Inkluderer økte verdier ved rutinemessige laboratoriekontroller (se tekst under)</w:t>
      </w:r>
    </w:p>
    <w:p w14:paraId="5B2C63F9" w14:textId="77777777" w:rsidR="008877F8" w:rsidRPr="00A942F6" w:rsidRDefault="008877F8" w:rsidP="00641834">
      <w:pPr>
        <w:pStyle w:val="tablenote"/>
        <w:numPr>
          <w:ilvl w:val="0"/>
          <w:numId w:val="8"/>
        </w:numPr>
        <w:ind w:left="284" w:hanging="284"/>
        <w:rPr>
          <w:lang w:val="nb-NO"/>
        </w:rPr>
      </w:pPr>
      <w:r w:rsidRPr="00A942F6">
        <w:rPr>
          <w:lang w:val="nb-NO"/>
        </w:rPr>
        <w:t>Se pkt. 4.3</w:t>
      </w:r>
    </w:p>
    <w:p w14:paraId="51042963" w14:textId="77777777" w:rsidR="008877F8" w:rsidRPr="00A942F6" w:rsidRDefault="008877F8" w:rsidP="00641834">
      <w:pPr>
        <w:pStyle w:val="tablenote"/>
        <w:numPr>
          <w:ilvl w:val="0"/>
          <w:numId w:val="8"/>
        </w:numPr>
        <w:ind w:left="284" w:hanging="284"/>
        <w:rPr>
          <w:lang w:val="nb-NO"/>
        </w:rPr>
      </w:pPr>
      <w:r w:rsidRPr="00A942F6">
        <w:rPr>
          <w:lang w:val="nb-NO"/>
        </w:rPr>
        <w:t>Se pkt. 4.4</w:t>
      </w:r>
    </w:p>
    <w:p w14:paraId="27B4A451" w14:textId="77777777" w:rsidR="008877F8" w:rsidRPr="00A942F6" w:rsidRDefault="008877F8" w:rsidP="00641834">
      <w:pPr>
        <w:pStyle w:val="tablenote"/>
        <w:ind w:left="284" w:hanging="284"/>
        <w:rPr>
          <w:lang w:val="nb-NO"/>
        </w:rPr>
      </w:pPr>
      <w:r w:rsidRPr="00A942F6">
        <w:rPr>
          <w:lang w:val="nb-NO"/>
        </w:rPr>
        <w:t>Denne bivirkningen ble identifisert gjennom overvåkning etter markedsføring, men ikke observert i kontrollerte kliniske studier. Frekvenskategorien er anslått som den øvre grensen av 95% konfidensintervall, beregningen er basert på det totale antall pasienter som ble eksponert for tocilizumab i kliniske studier.</w:t>
      </w:r>
    </w:p>
    <w:p w14:paraId="581079BC" w14:textId="77777777" w:rsidR="008877F8" w:rsidRPr="00A942F6" w:rsidRDefault="008877F8" w:rsidP="00641834">
      <w:pPr>
        <w:rPr>
          <w:lang w:val="nb-NO"/>
        </w:rPr>
      </w:pPr>
    </w:p>
    <w:p w14:paraId="0B1B17FD" w14:textId="77777777" w:rsidR="008877F8" w:rsidRPr="00A942F6" w:rsidRDefault="008877F8" w:rsidP="00641834">
      <w:pPr>
        <w:rPr>
          <w:u w:val="single"/>
          <w:lang w:val="nb-NO"/>
        </w:rPr>
      </w:pPr>
      <w:r w:rsidRPr="00A942F6">
        <w:rPr>
          <w:u w:val="single"/>
          <w:lang w:val="nb-NO"/>
        </w:rPr>
        <w:t>Subkutan bruk</w:t>
      </w:r>
    </w:p>
    <w:p w14:paraId="2973ED99" w14:textId="77777777" w:rsidR="008877F8" w:rsidRPr="00A942F6" w:rsidRDefault="008877F8" w:rsidP="00641834">
      <w:pPr>
        <w:rPr>
          <w:lang w:val="nb-NO"/>
        </w:rPr>
      </w:pPr>
      <w:r w:rsidRPr="00A942F6">
        <w:rPr>
          <w:lang w:val="nb-NO"/>
        </w:rPr>
        <w:t>RA</w:t>
      </w:r>
    </w:p>
    <w:p w14:paraId="5F6ED242" w14:textId="3DA67561" w:rsidR="008877F8" w:rsidRPr="00A942F6" w:rsidRDefault="008877F8" w:rsidP="00641834">
      <w:pPr>
        <w:rPr>
          <w:lang w:val="nb-NO"/>
        </w:rPr>
      </w:pPr>
      <w:r w:rsidRPr="00A942F6">
        <w:rPr>
          <w:lang w:val="nb-NO"/>
        </w:rPr>
        <w:t xml:space="preserve">Sikkerheten av subkutan </w:t>
      </w:r>
      <w:r w:rsidR="00A928A6" w:rsidRPr="00A942F6">
        <w:rPr>
          <w:lang w:val="nb-NO"/>
        </w:rPr>
        <w:t>tocilizumab</w:t>
      </w:r>
      <w:r w:rsidRPr="00A942F6">
        <w:rPr>
          <w:lang w:val="nb-NO"/>
        </w:rPr>
        <w:t xml:space="preserve"> ved RA inkluderer en dobbelt-blind, kontrollert multisenterstudie, SC-I. SC-I var en non-inferioritets-studie som sammenlignet effekt og sikkerhet av </w:t>
      </w:r>
      <w:r w:rsidR="00A928A6" w:rsidRPr="00A942F6">
        <w:rPr>
          <w:lang w:val="nb-NO"/>
        </w:rPr>
        <w:t>tocilizumab</w:t>
      </w:r>
      <w:r w:rsidRPr="00A942F6">
        <w:rPr>
          <w:lang w:val="nb-NO"/>
        </w:rPr>
        <w:t xml:space="preserve"> 162</w:t>
      </w:r>
      <w:r w:rsidR="00FC420A">
        <w:rPr>
          <w:lang w:val="nb-NO"/>
        </w:rPr>
        <w:t> </w:t>
      </w:r>
      <w:r w:rsidRPr="00A942F6">
        <w:rPr>
          <w:lang w:val="nb-NO"/>
        </w:rPr>
        <w:t xml:space="preserve">mg administrert hver uke versus 8 mg/kg intravenøst, i 1262 pasienter med RA. Alle pasientene fikk bakgrunnsbehandling med ikke-biologiske DMARDs. Sikkerhet og immunogenisitet observert for </w:t>
      </w:r>
      <w:r w:rsidR="000850FE" w:rsidRPr="00A942F6">
        <w:rPr>
          <w:lang w:val="nb-NO"/>
        </w:rPr>
        <w:t>tocilizumab</w:t>
      </w:r>
      <w:r w:rsidRPr="00A942F6">
        <w:rPr>
          <w:lang w:val="nb-NO"/>
        </w:rPr>
        <w:t xml:space="preserve"> administrert subkutant var i overensstemmelse med kjent sikkerhetsprofil for intravenøs </w:t>
      </w:r>
      <w:r w:rsidR="000850FE" w:rsidRPr="00A942F6">
        <w:rPr>
          <w:lang w:val="nb-NO"/>
        </w:rPr>
        <w:t>tocilizumab</w:t>
      </w:r>
      <w:r w:rsidRPr="00A942F6">
        <w:rPr>
          <w:lang w:val="nb-NO"/>
        </w:rPr>
        <w:t>, og ingen nye eller uventede bivirkninger ble observert (se tabell 1). En høyere frekvens av reaksjoner på injeksjonsstedet ble observert i de subkutane armene sammenlignet med subkutane injeksjoner av placebo i de intravenøse armene.</w:t>
      </w:r>
    </w:p>
    <w:p w14:paraId="39851959" w14:textId="77777777" w:rsidR="00774072" w:rsidRPr="00A942F6" w:rsidRDefault="00774072" w:rsidP="00641834">
      <w:pPr>
        <w:rPr>
          <w:lang w:val="nb-NO"/>
        </w:rPr>
      </w:pPr>
    </w:p>
    <w:p w14:paraId="422A5056" w14:textId="77777777" w:rsidR="008877F8" w:rsidRPr="00A942F6" w:rsidRDefault="008877F8" w:rsidP="00641834">
      <w:pPr>
        <w:pStyle w:val="Style1Iitaic"/>
        <w:rPr>
          <w:lang w:val="nb-NO"/>
        </w:rPr>
      </w:pPr>
      <w:r w:rsidRPr="00A942F6">
        <w:rPr>
          <w:lang w:val="nb-NO"/>
        </w:rPr>
        <w:t>Reaksjoner på administrasjonsstedet</w:t>
      </w:r>
    </w:p>
    <w:p w14:paraId="6C58C762" w14:textId="35F1D132" w:rsidR="008877F8" w:rsidRPr="00A942F6" w:rsidRDefault="008877F8" w:rsidP="00641834">
      <w:pPr>
        <w:rPr>
          <w:lang w:val="nb-NO"/>
        </w:rPr>
      </w:pPr>
      <w:r w:rsidRPr="00A942F6">
        <w:rPr>
          <w:lang w:val="nb-NO"/>
        </w:rPr>
        <w:t xml:space="preserve">I løpet av den 6-måneders-kontrollperioden i SC-I var frekvensen av reaksjoner på injeksjonsstedet på henholdsvis 10,1 % (64/631) og 2,4 % (15/631) for ukentlige injeksjoner av subkutan </w:t>
      </w:r>
      <w:r w:rsidR="000850FE" w:rsidRPr="00A942F6">
        <w:rPr>
          <w:lang w:val="nb-NO"/>
        </w:rPr>
        <w:t>tocilizumab</w:t>
      </w:r>
      <w:r w:rsidRPr="00A942F6">
        <w:rPr>
          <w:lang w:val="nb-NO"/>
        </w:rPr>
        <w:t xml:space="preserve"> og subkutan placebo (intravenøs gruppe). Disse reaksjonene på injeksjonsstedet (inkludert erytem, pruritus, smerter og hematom) var milde til moderate i alvorlighetsgrad. De fleste ble løst uten behandling og seponering var ikke nødvendig.</w:t>
      </w:r>
    </w:p>
    <w:p w14:paraId="24E5FA22" w14:textId="77777777" w:rsidR="008877F8" w:rsidRPr="00A942F6" w:rsidRDefault="008877F8" w:rsidP="00641834">
      <w:pPr>
        <w:rPr>
          <w:lang w:val="nb-NO"/>
        </w:rPr>
      </w:pPr>
    </w:p>
    <w:p w14:paraId="0CC495A6" w14:textId="77777777" w:rsidR="008877F8" w:rsidRPr="00A942F6" w:rsidRDefault="008877F8" w:rsidP="00641834">
      <w:pPr>
        <w:pStyle w:val="Style1Iitaic"/>
        <w:rPr>
          <w:lang w:val="nb-NO"/>
        </w:rPr>
      </w:pPr>
      <w:r w:rsidRPr="00A942F6">
        <w:rPr>
          <w:lang w:val="nb-NO"/>
        </w:rPr>
        <w:t>Hematologiske forandringer:</w:t>
      </w:r>
    </w:p>
    <w:p w14:paraId="6CADB694" w14:textId="77777777" w:rsidR="00774072" w:rsidRPr="00A942F6" w:rsidRDefault="00774072" w:rsidP="00641834">
      <w:pPr>
        <w:rPr>
          <w:lang w:val="nb-NO"/>
        </w:rPr>
      </w:pPr>
    </w:p>
    <w:p w14:paraId="5F422B39" w14:textId="77777777" w:rsidR="008877F8" w:rsidRPr="00A942F6" w:rsidRDefault="008877F8" w:rsidP="00641834">
      <w:pPr>
        <w:pStyle w:val="Style1Iitaic"/>
        <w:rPr>
          <w:lang w:val="nb-NO"/>
        </w:rPr>
      </w:pPr>
      <w:r w:rsidRPr="00A942F6">
        <w:rPr>
          <w:lang w:val="nb-NO"/>
        </w:rPr>
        <w:t>Nøytrofiler</w:t>
      </w:r>
    </w:p>
    <w:p w14:paraId="0881136F" w14:textId="03BE63D8" w:rsidR="008877F8" w:rsidRPr="00A942F6" w:rsidRDefault="008877F8" w:rsidP="00641834">
      <w:pPr>
        <w:rPr>
          <w:lang w:val="nb-NO"/>
        </w:rPr>
      </w:pPr>
      <w:r w:rsidRPr="00A942F6">
        <w:rPr>
          <w:lang w:val="nb-NO"/>
        </w:rPr>
        <w:t xml:space="preserve">Under rutinemessig overvåking av laboratorieverdier i den 6-måneders, kontrollerte, kliniske </w:t>
      </w:r>
      <w:r w:rsidR="000850FE" w:rsidRPr="00A942F6">
        <w:rPr>
          <w:lang w:val="nb-NO"/>
        </w:rPr>
        <w:t>tocilizumab</w:t>
      </w:r>
      <w:r w:rsidRPr="00A942F6">
        <w:rPr>
          <w:lang w:val="nb-NO"/>
        </w:rPr>
        <w:t xml:space="preserve">-studien SC-I, oppstod det reduksjon i antall nøytrofile til under 1 </w:t>
      </w:r>
      <w:r w:rsidRPr="00A942F6">
        <w:rPr>
          <w:rFonts w:cs="Times New Roman"/>
          <w:lang w:val="nb-NO"/>
        </w:rPr>
        <w:t>×</w:t>
      </w:r>
      <w:r w:rsidRPr="00A942F6">
        <w:rPr>
          <w:lang w:val="nb-NO"/>
        </w:rPr>
        <w:t xml:space="preserve"> 10</w:t>
      </w:r>
      <w:r w:rsidRPr="00A942F6">
        <w:rPr>
          <w:vertAlign w:val="superscript"/>
          <w:lang w:val="nb-NO"/>
        </w:rPr>
        <w:t>9</w:t>
      </w:r>
      <w:r w:rsidRPr="00A942F6">
        <w:rPr>
          <w:lang w:val="nb-NO"/>
        </w:rPr>
        <w:t>/l hos 2,9 % av pasientene ved subkutan ukentlig dose.</w:t>
      </w:r>
    </w:p>
    <w:p w14:paraId="5AD3481D" w14:textId="77777777" w:rsidR="008877F8" w:rsidRPr="00A942F6" w:rsidRDefault="008877F8" w:rsidP="00641834">
      <w:pPr>
        <w:rPr>
          <w:lang w:val="nb-NO"/>
        </w:rPr>
      </w:pPr>
    </w:p>
    <w:p w14:paraId="7682629D" w14:textId="77777777" w:rsidR="008877F8" w:rsidRPr="00A942F6" w:rsidRDefault="008877F8" w:rsidP="00641834">
      <w:pPr>
        <w:rPr>
          <w:lang w:val="nb-NO"/>
        </w:rPr>
      </w:pPr>
      <w:r w:rsidRPr="00A942F6">
        <w:rPr>
          <w:lang w:val="nb-NO"/>
        </w:rPr>
        <w:t>Det var ingen klar sammenheng mellom reduksjon i nøytrofiler til under 1 x 10</w:t>
      </w:r>
      <w:r w:rsidRPr="00A942F6">
        <w:rPr>
          <w:vertAlign w:val="superscript"/>
          <w:lang w:val="nb-NO"/>
        </w:rPr>
        <w:t>9</w:t>
      </w:r>
      <w:r w:rsidRPr="00A942F6">
        <w:rPr>
          <w:lang w:val="nb-NO"/>
        </w:rPr>
        <w:t>/l og forekomsten av alvorlige infeksjoner.</w:t>
      </w:r>
    </w:p>
    <w:p w14:paraId="030E1853" w14:textId="77777777" w:rsidR="008877F8" w:rsidRPr="00A942F6" w:rsidRDefault="008877F8" w:rsidP="00641834">
      <w:pPr>
        <w:rPr>
          <w:lang w:val="nb-NO"/>
        </w:rPr>
      </w:pPr>
    </w:p>
    <w:p w14:paraId="4EC7E239" w14:textId="77777777" w:rsidR="008877F8" w:rsidRPr="00A942F6" w:rsidRDefault="008877F8" w:rsidP="00641834">
      <w:pPr>
        <w:pStyle w:val="Style1Iitaic"/>
        <w:rPr>
          <w:lang w:val="nb-NO"/>
        </w:rPr>
      </w:pPr>
      <w:r w:rsidRPr="00A942F6">
        <w:rPr>
          <w:lang w:val="nb-NO"/>
        </w:rPr>
        <w:lastRenderedPageBreak/>
        <w:t>Blodplater</w:t>
      </w:r>
    </w:p>
    <w:p w14:paraId="653E75C8" w14:textId="3A0904D3" w:rsidR="008877F8" w:rsidRPr="00A942F6" w:rsidRDefault="008877F8" w:rsidP="00641834">
      <w:pPr>
        <w:rPr>
          <w:lang w:val="nb-NO"/>
        </w:rPr>
      </w:pPr>
      <w:r w:rsidRPr="00A942F6">
        <w:rPr>
          <w:lang w:val="nb-NO"/>
        </w:rPr>
        <w:t xml:space="preserve">Under rutinemessig overvåking av laboratorieverdier i den 6-måneders, kontrollerte, kliniske </w:t>
      </w:r>
      <w:r w:rsidR="000850FE" w:rsidRPr="00A942F6">
        <w:rPr>
          <w:lang w:val="nb-NO"/>
        </w:rPr>
        <w:t>tocilizumab</w:t>
      </w:r>
      <w:r w:rsidRPr="00A942F6">
        <w:rPr>
          <w:lang w:val="nb-NO"/>
        </w:rPr>
        <w:t xml:space="preserve">-studien SC-I, hadde ingen av pasientene på subkutan ukentlig dose en reduksjon i blodplater til </w:t>
      </w:r>
      <w:r w:rsidRPr="00A942F6">
        <w:rPr>
          <w:rFonts w:cs="Times New Roman"/>
          <w:lang w:val="nb-NO"/>
        </w:rPr>
        <w:t>≤</w:t>
      </w:r>
      <w:r w:rsidRPr="00A942F6">
        <w:rPr>
          <w:lang w:val="nb-NO"/>
        </w:rPr>
        <w:t xml:space="preserve"> 50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/mikroliter.</w:t>
      </w:r>
    </w:p>
    <w:p w14:paraId="283958AB" w14:textId="77777777" w:rsidR="008877F8" w:rsidRPr="00A942F6" w:rsidRDefault="008877F8" w:rsidP="00641834">
      <w:pPr>
        <w:rPr>
          <w:lang w:val="nb-NO"/>
        </w:rPr>
      </w:pPr>
    </w:p>
    <w:p w14:paraId="3B0B57E3" w14:textId="77777777" w:rsidR="008877F8" w:rsidRPr="00A942F6" w:rsidRDefault="008877F8" w:rsidP="00641834">
      <w:pPr>
        <w:pStyle w:val="Style1Iitaic"/>
        <w:rPr>
          <w:lang w:val="nb-NO"/>
        </w:rPr>
      </w:pPr>
      <w:r w:rsidRPr="00A942F6">
        <w:rPr>
          <w:lang w:val="nb-NO"/>
        </w:rPr>
        <w:t>Økning av hepatiske transaminaser</w:t>
      </w:r>
    </w:p>
    <w:p w14:paraId="3D37690C" w14:textId="070AE4B4" w:rsidR="008877F8" w:rsidRPr="00A942F6" w:rsidRDefault="008877F8" w:rsidP="00641834">
      <w:pPr>
        <w:rPr>
          <w:lang w:val="nb-NO"/>
        </w:rPr>
      </w:pPr>
      <w:r w:rsidRPr="00A942F6">
        <w:rPr>
          <w:lang w:val="nb-NO"/>
        </w:rPr>
        <w:t xml:space="preserve">Under rutinemessig overvåking av laboratorieverdier i den 6-måneders, kontrollerte, kliniske </w:t>
      </w:r>
      <w:r w:rsidR="000850FE" w:rsidRPr="00A942F6">
        <w:rPr>
          <w:lang w:val="nb-NO"/>
        </w:rPr>
        <w:t>tocilizumab</w:t>
      </w:r>
      <w:r w:rsidRPr="00A942F6">
        <w:rPr>
          <w:lang w:val="nb-NO"/>
        </w:rPr>
        <w:t xml:space="preserve">-studien SC-I, forekom økning av ALAT og ASAT </w:t>
      </w:r>
      <w:r w:rsidRPr="00A942F6">
        <w:rPr>
          <w:rFonts w:cs="Times New Roman"/>
          <w:lang w:val="nb-NO"/>
        </w:rPr>
        <w:t>≥</w:t>
      </w:r>
      <w:r w:rsidRPr="00A942F6">
        <w:rPr>
          <w:lang w:val="nb-NO"/>
        </w:rPr>
        <w:t xml:space="preserve"> 3 x ULN hos henholdsvis 6,5 % og 1,4 % av pasientene på subkutan ukentlig dose.</w:t>
      </w:r>
    </w:p>
    <w:p w14:paraId="11C5B313" w14:textId="77777777" w:rsidR="008877F8" w:rsidRPr="00A942F6" w:rsidRDefault="008877F8" w:rsidP="00641834">
      <w:pPr>
        <w:rPr>
          <w:lang w:val="nb-NO"/>
        </w:rPr>
      </w:pPr>
    </w:p>
    <w:p w14:paraId="68739ED7" w14:textId="77777777" w:rsidR="008877F8" w:rsidRPr="00A942F6" w:rsidRDefault="008877F8" w:rsidP="00641834">
      <w:pPr>
        <w:pStyle w:val="Style1Iitaic"/>
        <w:rPr>
          <w:lang w:val="nb-NO"/>
        </w:rPr>
      </w:pPr>
      <w:r w:rsidRPr="00A942F6">
        <w:rPr>
          <w:lang w:val="nb-NO"/>
        </w:rPr>
        <w:t>Lipidparametere</w:t>
      </w:r>
    </w:p>
    <w:p w14:paraId="36A18E20" w14:textId="47F47CE5" w:rsidR="008877F8" w:rsidRPr="00A942F6" w:rsidRDefault="008877F8" w:rsidP="00641834">
      <w:pPr>
        <w:rPr>
          <w:lang w:val="nb-NO"/>
        </w:rPr>
      </w:pPr>
      <w:r w:rsidRPr="00A942F6">
        <w:rPr>
          <w:lang w:val="nb-NO"/>
        </w:rPr>
        <w:t xml:space="preserve">Under rutinemessig overvåking av laboratorieverdier i den 6-måneders, kontrollerte, kliniske </w:t>
      </w:r>
      <w:r w:rsidR="000850FE" w:rsidRPr="00A942F6">
        <w:rPr>
          <w:lang w:val="nb-NO"/>
        </w:rPr>
        <w:t>tocilizumab</w:t>
      </w:r>
      <w:r w:rsidRPr="00A942F6">
        <w:rPr>
          <w:lang w:val="nb-NO"/>
        </w:rPr>
        <w:t>-studien SC-I, opplevde 19 % av pasientene en vedvarende økning i</w:t>
      </w:r>
      <w:r w:rsidR="00C02048" w:rsidRPr="00A942F6">
        <w:rPr>
          <w:lang w:val="nb-NO"/>
        </w:rPr>
        <w:t xml:space="preserve"> </w:t>
      </w:r>
      <w:r w:rsidRPr="00A942F6">
        <w:rPr>
          <w:lang w:val="nb-NO"/>
        </w:rPr>
        <w:t>totalkolesterol &gt;</w:t>
      </w:r>
      <w:r w:rsidR="00C02048" w:rsidRPr="00A942F6">
        <w:rPr>
          <w:lang w:val="nb-NO"/>
        </w:rPr>
        <w:t> </w:t>
      </w:r>
      <w:r w:rsidRPr="00A942F6">
        <w:rPr>
          <w:lang w:val="nb-NO"/>
        </w:rPr>
        <w:t>6,2</w:t>
      </w:r>
      <w:r w:rsidR="00C02048" w:rsidRPr="00A942F6">
        <w:rPr>
          <w:lang w:val="nb-NO"/>
        </w:rPr>
        <w:t> </w:t>
      </w:r>
      <w:r w:rsidRPr="00A942F6">
        <w:rPr>
          <w:lang w:val="nb-NO"/>
        </w:rPr>
        <w:t>mmol/l (240 mg/dl), med 9 % som opplevde en vedvarende økning i LDL til</w:t>
      </w:r>
      <w:r w:rsidR="00C02048" w:rsidRPr="00A942F6">
        <w:rPr>
          <w:lang w:val="nb-NO"/>
        </w:rPr>
        <w:t xml:space="preserve"> </w:t>
      </w:r>
      <w:r w:rsidR="00F36EEE" w:rsidRPr="00A942F6">
        <w:rPr>
          <w:rFonts w:cs="Times New Roman"/>
          <w:lang w:val="nb-NO"/>
        </w:rPr>
        <w:t>≥</w:t>
      </w:r>
      <w:r w:rsidR="00C02048" w:rsidRPr="00A942F6">
        <w:rPr>
          <w:lang w:val="nb-NO"/>
        </w:rPr>
        <w:t> </w:t>
      </w:r>
      <w:r w:rsidRPr="00A942F6">
        <w:rPr>
          <w:lang w:val="nb-NO"/>
        </w:rPr>
        <w:t>4,1</w:t>
      </w:r>
      <w:r w:rsidR="00C02048" w:rsidRPr="00A942F6">
        <w:rPr>
          <w:lang w:val="nb-NO"/>
        </w:rPr>
        <w:t> </w:t>
      </w:r>
      <w:r w:rsidRPr="00A942F6">
        <w:rPr>
          <w:lang w:val="nb-NO"/>
        </w:rPr>
        <w:t>mmol/l (160 mg/dl) på subkutan ukentlig dose.</w:t>
      </w:r>
    </w:p>
    <w:p w14:paraId="6ED62A4E" w14:textId="77777777" w:rsidR="008877F8" w:rsidRPr="00A942F6" w:rsidRDefault="008877F8" w:rsidP="00641834">
      <w:pPr>
        <w:rPr>
          <w:lang w:val="nb-NO"/>
        </w:rPr>
      </w:pPr>
    </w:p>
    <w:p w14:paraId="2921D385" w14:textId="77777777" w:rsidR="008877F8" w:rsidRPr="00A942F6" w:rsidRDefault="008877F8" w:rsidP="00641834">
      <w:pPr>
        <w:pStyle w:val="bold"/>
        <w:rPr>
          <w:lang w:val="nb-NO"/>
        </w:rPr>
      </w:pPr>
      <w:r w:rsidRPr="00A942F6">
        <w:rPr>
          <w:lang w:val="nb-NO"/>
        </w:rPr>
        <w:t>sJIA (SC)</w:t>
      </w:r>
    </w:p>
    <w:p w14:paraId="11BC5F6C" w14:textId="09683D2E" w:rsidR="008877F8" w:rsidRPr="00A942F6" w:rsidRDefault="008877F8" w:rsidP="00641834">
      <w:pPr>
        <w:rPr>
          <w:lang w:val="nb-NO"/>
        </w:rPr>
      </w:pPr>
      <w:r w:rsidRPr="00A942F6">
        <w:rPr>
          <w:lang w:val="nb-NO"/>
        </w:rPr>
        <w:t xml:space="preserve">Sikkerhetsprofilen for subkutan </w:t>
      </w:r>
      <w:r w:rsidR="000850FE" w:rsidRPr="00A942F6">
        <w:rPr>
          <w:lang w:val="nb-NO"/>
        </w:rPr>
        <w:t>tocilizumab</w:t>
      </w:r>
      <w:r w:rsidRPr="00A942F6">
        <w:rPr>
          <w:lang w:val="nb-NO"/>
        </w:rPr>
        <w:t xml:space="preserve"> ble evaluert hos 51 pediatriske pasienter (i alderen 1 til 17</w:t>
      </w:r>
      <w:r w:rsidR="00FC420A">
        <w:rPr>
          <w:lang w:val="nb-NO"/>
        </w:rPr>
        <w:t> </w:t>
      </w:r>
      <w:r w:rsidRPr="00A942F6">
        <w:rPr>
          <w:lang w:val="nb-NO"/>
        </w:rPr>
        <w:t>år) med sJIA. Generelt var bivirkningene hos pasienter med sJIA av lignende type som bivirkningene som er sett hos RA-pasienter (se avsnitt «Bivirkninger» ovenfor).</w:t>
      </w:r>
    </w:p>
    <w:p w14:paraId="02A57E5E" w14:textId="77777777" w:rsidR="00774072" w:rsidRPr="00A942F6" w:rsidRDefault="00774072" w:rsidP="00641834">
      <w:pPr>
        <w:rPr>
          <w:lang w:val="nb-NO"/>
        </w:rPr>
      </w:pPr>
    </w:p>
    <w:p w14:paraId="21ED7E3E" w14:textId="77777777" w:rsidR="008877F8" w:rsidRPr="00A942F6" w:rsidRDefault="008877F8" w:rsidP="00641834">
      <w:pPr>
        <w:pStyle w:val="Style1Iitaic"/>
        <w:rPr>
          <w:lang w:val="nb-NO"/>
        </w:rPr>
      </w:pPr>
      <w:r w:rsidRPr="00A942F6">
        <w:rPr>
          <w:lang w:val="nb-NO"/>
        </w:rPr>
        <w:t>Infeksjoner</w:t>
      </w:r>
    </w:p>
    <w:p w14:paraId="2F10DCCE" w14:textId="32CE9531" w:rsidR="008877F8" w:rsidRPr="00A942F6" w:rsidRDefault="008877F8" w:rsidP="00641834">
      <w:pPr>
        <w:rPr>
          <w:lang w:val="nb-NO"/>
        </w:rPr>
      </w:pPr>
      <w:r w:rsidRPr="00A942F6">
        <w:rPr>
          <w:lang w:val="nb-NO"/>
        </w:rPr>
        <w:t xml:space="preserve">Forekomsten av infeksjoner hos sJIA-pasienter behandlet med subkutan </w:t>
      </w:r>
      <w:r w:rsidR="000850FE" w:rsidRPr="00A942F6">
        <w:rPr>
          <w:lang w:val="nb-NO"/>
        </w:rPr>
        <w:t>tocilizumab</w:t>
      </w:r>
      <w:r w:rsidRPr="00A942F6">
        <w:rPr>
          <w:lang w:val="nb-NO"/>
        </w:rPr>
        <w:t xml:space="preserve"> var sammenlignbar med den som er sett hos sJIA-pasienter behandlet med intravenøs </w:t>
      </w:r>
      <w:r w:rsidR="000850FE" w:rsidRPr="00A942F6">
        <w:rPr>
          <w:lang w:val="nb-NO"/>
        </w:rPr>
        <w:t>tocilizumab</w:t>
      </w:r>
      <w:r w:rsidRPr="00A942F6">
        <w:rPr>
          <w:lang w:val="nb-NO"/>
        </w:rPr>
        <w:t>.</w:t>
      </w:r>
    </w:p>
    <w:p w14:paraId="34F391DE" w14:textId="77777777" w:rsidR="008877F8" w:rsidRPr="00A942F6" w:rsidRDefault="008877F8" w:rsidP="00641834">
      <w:pPr>
        <w:rPr>
          <w:lang w:val="nb-NO"/>
        </w:rPr>
      </w:pPr>
    </w:p>
    <w:p w14:paraId="7F2FD2FA" w14:textId="77777777" w:rsidR="008877F8" w:rsidRPr="00A942F6" w:rsidRDefault="008877F8" w:rsidP="00641834">
      <w:pPr>
        <w:pStyle w:val="Style1Iitaic"/>
        <w:rPr>
          <w:lang w:val="nb-NO"/>
        </w:rPr>
      </w:pPr>
      <w:r w:rsidRPr="00A942F6">
        <w:rPr>
          <w:lang w:val="nb-NO"/>
        </w:rPr>
        <w:t>Reaksjoner på injeksjonsstedet</w:t>
      </w:r>
    </w:p>
    <w:p w14:paraId="68BDBF26" w14:textId="3A3E3F75" w:rsidR="008877F8" w:rsidRPr="00A942F6" w:rsidRDefault="008877F8" w:rsidP="00641834">
      <w:pPr>
        <w:rPr>
          <w:lang w:val="nb-NO"/>
        </w:rPr>
      </w:pPr>
      <w:r w:rsidRPr="00A942F6">
        <w:rPr>
          <w:lang w:val="nb-NO"/>
        </w:rPr>
        <w:t xml:space="preserve">I studien med subkutan administrering (WA28118) opplevde totalt 41,2 % (21 av 51) av sJIA- pasientene reaksjoner på injeksjonsstedet med </w:t>
      </w:r>
      <w:r w:rsidR="000850FE" w:rsidRPr="00A942F6">
        <w:rPr>
          <w:lang w:val="nb-NO"/>
        </w:rPr>
        <w:t>tocilizumab</w:t>
      </w:r>
      <w:r w:rsidRPr="00A942F6">
        <w:rPr>
          <w:lang w:val="nb-NO"/>
        </w:rPr>
        <w:t xml:space="preserve"> s.c. De vanligste reaksjonene på injeksjonsstedet var erytem, pruritus, smerte og hevelse. Majoriteten av de rapporterte reaksjonene på injeksjonsstedet var grad 1-hendelser. Alle de rapporterte reaksjonene var ikke-alvorlige. Ingen av reaksjonene krevde seponering eller avbrudd i behandlingen.</w:t>
      </w:r>
    </w:p>
    <w:p w14:paraId="525AF83C" w14:textId="77777777" w:rsidR="00774072" w:rsidRPr="00A942F6" w:rsidRDefault="00774072" w:rsidP="00641834">
      <w:pPr>
        <w:rPr>
          <w:lang w:val="nb-NO"/>
        </w:rPr>
      </w:pPr>
    </w:p>
    <w:p w14:paraId="622135A2" w14:textId="77777777" w:rsidR="008877F8" w:rsidRPr="00A942F6" w:rsidRDefault="008877F8" w:rsidP="00641834">
      <w:pPr>
        <w:pStyle w:val="Style1Iitaic"/>
        <w:rPr>
          <w:lang w:val="nb-NO"/>
        </w:rPr>
      </w:pPr>
      <w:r w:rsidRPr="00A942F6">
        <w:rPr>
          <w:lang w:val="nb-NO"/>
        </w:rPr>
        <w:t>Unormale laboratorieprøver</w:t>
      </w:r>
    </w:p>
    <w:p w14:paraId="2F1383C9" w14:textId="78AD3AEE" w:rsidR="008877F8" w:rsidRPr="00A942F6" w:rsidRDefault="008877F8" w:rsidP="00641834">
      <w:pPr>
        <w:rPr>
          <w:lang w:val="nb-NO"/>
        </w:rPr>
      </w:pPr>
      <w:r w:rsidRPr="00A942F6">
        <w:rPr>
          <w:lang w:val="nb-NO"/>
        </w:rPr>
        <w:t>I den 52 uker lange åpne studien med subkutan administrering (WA28118) forekom reduksjon av nøytrofiltall til under 1 × 10</w:t>
      </w:r>
      <w:r w:rsidRPr="00A942F6">
        <w:rPr>
          <w:vertAlign w:val="superscript"/>
          <w:lang w:val="nb-NO"/>
        </w:rPr>
        <w:t>9</w:t>
      </w:r>
      <w:r w:rsidRPr="00A942F6">
        <w:rPr>
          <w:lang w:val="nb-NO"/>
        </w:rPr>
        <w:t xml:space="preserve">/liter hos 23,5 % av pasientene som fikk behandling med subkutan </w:t>
      </w:r>
      <w:r w:rsidR="000850FE" w:rsidRPr="00A942F6">
        <w:rPr>
          <w:lang w:val="nb-NO"/>
        </w:rPr>
        <w:t>tocilizumab</w:t>
      </w:r>
      <w:r w:rsidRPr="00A942F6">
        <w:rPr>
          <w:lang w:val="nb-NO"/>
        </w:rPr>
        <w:t xml:space="preserve">. Reduksjoner i platetall til under 100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 xml:space="preserve">/mikroliter forekom hos 2 % av pasientene som fikk behandling med subkutan </w:t>
      </w:r>
      <w:r w:rsidR="000850FE" w:rsidRPr="00A942F6">
        <w:rPr>
          <w:lang w:val="nb-NO"/>
        </w:rPr>
        <w:t>tocilizumab</w:t>
      </w:r>
      <w:r w:rsidRPr="00A942F6">
        <w:rPr>
          <w:lang w:val="nb-NO"/>
        </w:rPr>
        <w:t xml:space="preserve">. En økning av ALAT eller ASAT til </w:t>
      </w:r>
      <w:r w:rsidRPr="00A942F6">
        <w:rPr>
          <w:rFonts w:cs="Times New Roman"/>
          <w:lang w:val="nb-NO"/>
        </w:rPr>
        <w:t>≥</w:t>
      </w:r>
      <w:r w:rsidRPr="00A942F6">
        <w:rPr>
          <w:lang w:val="nb-NO"/>
        </w:rPr>
        <w:t xml:space="preserve"> 3 </w:t>
      </w:r>
      <w:r w:rsidRPr="00A942F6">
        <w:rPr>
          <w:rFonts w:cs="Times New Roman"/>
          <w:lang w:val="nb-NO"/>
        </w:rPr>
        <w:t>×</w:t>
      </w:r>
      <w:r w:rsidRPr="00A942F6">
        <w:rPr>
          <w:lang w:val="nb-NO"/>
        </w:rPr>
        <w:t xml:space="preserve"> ULN forekom hos henholdsvis 9,8 % og 4,0 % av pasientene som fikk behandling med subkutan </w:t>
      </w:r>
      <w:r w:rsidR="000850FE" w:rsidRPr="00A942F6">
        <w:rPr>
          <w:lang w:val="nb-NO"/>
        </w:rPr>
        <w:t>tocilizumab</w:t>
      </w:r>
      <w:r w:rsidRPr="00A942F6">
        <w:rPr>
          <w:lang w:val="nb-NO"/>
        </w:rPr>
        <w:t>.</w:t>
      </w:r>
    </w:p>
    <w:p w14:paraId="1AB37A22" w14:textId="77777777" w:rsidR="00774072" w:rsidRPr="00A942F6" w:rsidRDefault="00774072" w:rsidP="00641834">
      <w:pPr>
        <w:rPr>
          <w:lang w:val="nb-NO"/>
        </w:rPr>
      </w:pPr>
    </w:p>
    <w:p w14:paraId="72612218" w14:textId="77777777" w:rsidR="008877F8" w:rsidRPr="00A942F6" w:rsidRDefault="008877F8" w:rsidP="00641834">
      <w:pPr>
        <w:pStyle w:val="Style1Iitaic"/>
        <w:rPr>
          <w:lang w:val="nb-NO"/>
        </w:rPr>
      </w:pPr>
      <w:r w:rsidRPr="00A942F6">
        <w:rPr>
          <w:lang w:val="nb-NO"/>
        </w:rPr>
        <w:t>Lipidparametere</w:t>
      </w:r>
    </w:p>
    <w:p w14:paraId="1365F852" w14:textId="77777777" w:rsidR="008877F8" w:rsidRPr="00A942F6" w:rsidRDefault="008877F8" w:rsidP="00641834">
      <w:pPr>
        <w:rPr>
          <w:lang w:val="nb-NO"/>
        </w:rPr>
      </w:pPr>
      <w:r w:rsidRPr="00A942F6">
        <w:rPr>
          <w:lang w:val="nb-NO"/>
        </w:rPr>
        <w:t xml:space="preserve">I løpet av den 52 uker lange åpne studien med subkutan administrering (WA28118), opplevde henholdsvis 23,4 % og 35,4 % av pasientene en økning fra baseline i LDL-kolesterol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w:t>
      </w:r>
    </w:p>
    <w:p w14:paraId="49F4102B" w14:textId="77777777" w:rsidR="008877F8" w:rsidRPr="00A942F6" w:rsidRDefault="008877F8" w:rsidP="00641834">
      <w:pPr>
        <w:rPr>
          <w:lang w:val="nb-NO"/>
        </w:rPr>
      </w:pPr>
    </w:p>
    <w:p w14:paraId="331D2C2C" w14:textId="77777777" w:rsidR="008877F8" w:rsidRPr="00A942F6" w:rsidRDefault="008877F8" w:rsidP="00641834">
      <w:pPr>
        <w:pStyle w:val="bold"/>
        <w:rPr>
          <w:lang w:val="nb-NO"/>
        </w:rPr>
      </w:pPr>
      <w:r w:rsidRPr="00A942F6">
        <w:rPr>
          <w:lang w:val="nb-NO"/>
        </w:rPr>
        <w:t>pJIA (SC)</w:t>
      </w:r>
    </w:p>
    <w:p w14:paraId="013452B4" w14:textId="5E985206" w:rsidR="008877F8" w:rsidRPr="00A942F6" w:rsidRDefault="008877F8" w:rsidP="00641834">
      <w:pPr>
        <w:rPr>
          <w:lang w:val="nb-NO"/>
        </w:rPr>
      </w:pPr>
      <w:r w:rsidRPr="00A942F6">
        <w:rPr>
          <w:lang w:val="nb-NO"/>
        </w:rPr>
        <w:t xml:space="preserve">Sikkerhetsprofilen for subkutan </w:t>
      </w:r>
      <w:r w:rsidR="000850FE" w:rsidRPr="00A942F6">
        <w:rPr>
          <w:lang w:val="nb-NO"/>
        </w:rPr>
        <w:t>tocilizumab</w:t>
      </w:r>
      <w:r w:rsidRPr="00A942F6">
        <w:rPr>
          <w:lang w:val="nb-NO"/>
        </w:rPr>
        <w:t xml:space="preserve"> ble også evaluert hos 52 pediatriske pasienter med pJIA. Den totale pasienteksponeringen for </w:t>
      </w:r>
      <w:r w:rsidR="000850FE" w:rsidRPr="00A942F6">
        <w:rPr>
          <w:lang w:val="nb-NO"/>
        </w:rPr>
        <w:t>tocilizumab</w:t>
      </w:r>
      <w:r w:rsidRPr="00A942F6">
        <w:rPr>
          <w:lang w:val="nb-NO"/>
        </w:rPr>
        <w:t xml:space="preserve"> i pJIA-populasjonen med alle som ble eksponert var 184,4 pasientår for intravenøs og 50,4 pasientår for subkutan tocilizumab. Generelt var den observerte sikkerhetsprofilen hos pasienter med pJIA tilsvarende den kjente sikkerhetsprofilen for </w:t>
      </w:r>
      <w:r w:rsidR="000850FE" w:rsidRPr="00A942F6">
        <w:rPr>
          <w:lang w:val="nb-NO"/>
        </w:rPr>
        <w:t>tocilizumab</w:t>
      </w:r>
      <w:r w:rsidRPr="00A942F6">
        <w:rPr>
          <w:lang w:val="nb-NO"/>
        </w:rPr>
        <w:t xml:space="preserve">, med unntak av reaksjoner på injeksjonsstedet (se tabell 1). Reaksjoner på injeksjonsstedet etter subkutane </w:t>
      </w:r>
      <w:r w:rsidR="000850FE" w:rsidRPr="00A942F6">
        <w:rPr>
          <w:lang w:val="nb-NO"/>
        </w:rPr>
        <w:t>tocilizumab</w:t>
      </w:r>
      <w:r w:rsidRPr="00A942F6">
        <w:rPr>
          <w:lang w:val="nb-NO"/>
        </w:rPr>
        <w:t>-injeksjoner forekom hyppigere blant pJIA-pasientene sammenlignet med voksne RA-pasienter.</w:t>
      </w:r>
    </w:p>
    <w:p w14:paraId="4F557824" w14:textId="77777777" w:rsidR="00774072" w:rsidRPr="00A942F6" w:rsidRDefault="00774072" w:rsidP="00641834">
      <w:pPr>
        <w:rPr>
          <w:lang w:val="nb-NO"/>
        </w:rPr>
      </w:pPr>
    </w:p>
    <w:p w14:paraId="1CEED220" w14:textId="77777777" w:rsidR="008877F8" w:rsidRPr="00A942F6" w:rsidRDefault="008877F8" w:rsidP="00641834">
      <w:pPr>
        <w:pStyle w:val="Style1Iitaic"/>
        <w:rPr>
          <w:lang w:val="nb-NO"/>
        </w:rPr>
      </w:pPr>
      <w:r w:rsidRPr="00A942F6">
        <w:rPr>
          <w:lang w:val="nb-NO"/>
        </w:rPr>
        <w:t>Infeksjoner</w:t>
      </w:r>
    </w:p>
    <w:p w14:paraId="10FFDAC9" w14:textId="0A15810A" w:rsidR="008877F8" w:rsidRPr="00A942F6" w:rsidRDefault="008877F8" w:rsidP="00641834">
      <w:pPr>
        <w:rPr>
          <w:lang w:val="nb-NO"/>
        </w:rPr>
      </w:pPr>
      <w:r w:rsidRPr="00A942F6">
        <w:rPr>
          <w:lang w:val="nb-NO"/>
        </w:rPr>
        <w:t xml:space="preserve">I studien med subkutan </w:t>
      </w:r>
      <w:r w:rsidR="000850FE" w:rsidRPr="00A942F6">
        <w:rPr>
          <w:lang w:val="nb-NO"/>
        </w:rPr>
        <w:t>tocilizumab</w:t>
      </w:r>
      <w:r w:rsidRPr="00A942F6">
        <w:rPr>
          <w:lang w:val="nb-NO"/>
        </w:rPr>
        <w:t xml:space="preserve"> var forekomsten av infeksjoner hos pJIA-pasienter behandlet med subkutan </w:t>
      </w:r>
      <w:r w:rsidR="000850FE" w:rsidRPr="00A942F6">
        <w:rPr>
          <w:lang w:val="nb-NO"/>
        </w:rPr>
        <w:t>tocilizumab</w:t>
      </w:r>
      <w:r w:rsidRPr="00A942F6">
        <w:rPr>
          <w:lang w:val="nb-NO"/>
        </w:rPr>
        <w:t xml:space="preserve"> sammenlignbar med den som er sett hos pJIA-pasienter behandlet med intravenøs </w:t>
      </w:r>
      <w:r w:rsidR="000850FE" w:rsidRPr="00A942F6">
        <w:rPr>
          <w:lang w:val="nb-NO"/>
        </w:rPr>
        <w:t>tocilizumab</w:t>
      </w:r>
      <w:r w:rsidRPr="00A942F6">
        <w:rPr>
          <w:lang w:val="nb-NO"/>
        </w:rPr>
        <w:t>.</w:t>
      </w:r>
    </w:p>
    <w:p w14:paraId="42791D99" w14:textId="77777777" w:rsidR="008877F8" w:rsidRPr="00A942F6" w:rsidRDefault="008877F8" w:rsidP="00641834">
      <w:pPr>
        <w:rPr>
          <w:lang w:val="nb-NO"/>
        </w:rPr>
      </w:pPr>
    </w:p>
    <w:p w14:paraId="3B71427C" w14:textId="77777777" w:rsidR="008877F8" w:rsidRPr="00A942F6" w:rsidRDefault="008877F8" w:rsidP="00641834">
      <w:pPr>
        <w:pStyle w:val="Style1Iitaic"/>
        <w:rPr>
          <w:lang w:val="nb-NO"/>
        </w:rPr>
      </w:pPr>
      <w:r w:rsidRPr="00A942F6">
        <w:rPr>
          <w:lang w:val="nb-NO"/>
        </w:rPr>
        <w:t>Reaksjoner på injeksjonsstedet</w:t>
      </w:r>
    </w:p>
    <w:p w14:paraId="031068F7" w14:textId="7604071D" w:rsidR="008877F8" w:rsidRPr="00A942F6" w:rsidRDefault="008877F8" w:rsidP="00641834">
      <w:pPr>
        <w:rPr>
          <w:lang w:val="nb-NO"/>
        </w:rPr>
      </w:pPr>
      <w:r w:rsidRPr="00A942F6">
        <w:rPr>
          <w:lang w:val="nb-NO"/>
        </w:rPr>
        <w:t xml:space="preserve">Totalt 28,8 % (15 av 52) pJIA-pasienter opplevde reaksjoner på injeksjonsstedet fra subkutan </w:t>
      </w:r>
      <w:r w:rsidR="000850FE" w:rsidRPr="00A942F6">
        <w:rPr>
          <w:lang w:val="nb-NO"/>
        </w:rPr>
        <w:t>tocilizumab</w:t>
      </w:r>
      <w:r w:rsidRPr="00A942F6">
        <w:rPr>
          <w:lang w:val="nb-NO"/>
        </w:rPr>
        <w:t xml:space="preserve">. Disse reaksjonene oppsto hos 44 % av pasientene </w:t>
      </w:r>
      <w:r w:rsidRPr="00A942F6">
        <w:rPr>
          <w:rFonts w:cs="Times New Roman"/>
          <w:lang w:val="nb-NO"/>
        </w:rPr>
        <w:t>≥</w:t>
      </w:r>
      <w:r w:rsidRPr="00A942F6">
        <w:rPr>
          <w:lang w:val="nb-NO"/>
        </w:rPr>
        <w:t xml:space="preserve"> 30 kg sammenlignet med 14,8 % av pasientene under 30 kg. De vanligste reaksjonene på injeksjonsstedet var erytem, hevelse, hematom, smerte og pruritus. Alle rapporterte reaksjoner på injeksjonsstedet var ikke-alvorlige grad 1-hendelser. Ingen av reaksjonene krevde seponering eller avbrudd i behandlingen.</w:t>
      </w:r>
    </w:p>
    <w:p w14:paraId="27977E02" w14:textId="77777777" w:rsidR="008877F8" w:rsidRPr="00A942F6" w:rsidRDefault="008877F8" w:rsidP="00641834">
      <w:pPr>
        <w:rPr>
          <w:lang w:val="nb-NO"/>
        </w:rPr>
      </w:pPr>
    </w:p>
    <w:p w14:paraId="34B5027F" w14:textId="77777777" w:rsidR="008877F8" w:rsidRPr="00A942F6" w:rsidRDefault="008877F8" w:rsidP="00641834">
      <w:pPr>
        <w:pStyle w:val="Style1Iitaic"/>
        <w:rPr>
          <w:lang w:val="nb-NO"/>
        </w:rPr>
      </w:pPr>
      <w:r w:rsidRPr="00A942F6">
        <w:rPr>
          <w:lang w:val="nb-NO"/>
        </w:rPr>
        <w:t>Unormale laboratorieprøver</w:t>
      </w:r>
    </w:p>
    <w:p w14:paraId="1F2DA4D2" w14:textId="34B19ABF" w:rsidR="008877F8" w:rsidRPr="00A942F6" w:rsidRDefault="008877F8" w:rsidP="00641834">
      <w:pPr>
        <w:rPr>
          <w:lang w:val="nb-NO"/>
        </w:rPr>
      </w:pPr>
      <w:r w:rsidRPr="00A942F6">
        <w:rPr>
          <w:lang w:val="nb-NO"/>
        </w:rPr>
        <w:t xml:space="preserve">Under rutinemessig laboratorieovervåking av populasjonen med alle som ble eksponert for </w:t>
      </w:r>
      <w:r w:rsidR="000850FE" w:rsidRPr="00A942F6">
        <w:rPr>
          <w:lang w:val="nb-NO"/>
        </w:rPr>
        <w:t>tocilizumab</w:t>
      </w:r>
      <w:r w:rsidRPr="00A942F6">
        <w:rPr>
          <w:lang w:val="nb-NO"/>
        </w:rPr>
        <w:t xml:space="preserve">, forekom en reduksjon i antall nøytrofile til under 1 </w:t>
      </w:r>
      <w:r w:rsidRPr="00A942F6">
        <w:rPr>
          <w:rFonts w:cs="Times New Roman"/>
          <w:lang w:val="nb-NO"/>
        </w:rPr>
        <w:t>×</w:t>
      </w:r>
      <w:r w:rsidRPr="00A942F6">
        <w:rPr>
          <w:lang w:val="nb-NO"/>
        </w:rPr>
        <w:t xml:space="preserve"> 10</w:t>
      </w:r>
      <w:r w:rsidRPr="00A942F6">
        <w:rPr>
          <w:vertAlign w:val="superscript"/>
          <w:lang w:val="nb-NO"/>
        </w:rPr>
        <w:t>9</w:t>
      </w:r>
      <w:r w:rsidRPr="00A942F6">
        <w:rPr>
          <w:lang w:val="nb-NO"/>
        </w:rPr>
        <w:t xml:space="preserve">/l hos 15,4 % av pasientene behandlet med subkutan </w:t>
      </w:r>
      <w:r w:rsidR="000850FE" w:rsidRPr="00A942F6">
        <w:rPr>
          <w:lang w:val="nb-NO"/>
        </w:rPr>
        <w:t>tocilizumab</w:t>
      </w:r>
      <w:r w:rsidRPr="00A942F6">
        <w:rPr>
          <w:lang w:val="nb-NO"/>
        </w:rPr>
        <w:t xml:space="preserve">. Det forekom en økning av ALAT eller ASAT </w:t>
      </w:r>
      <w:r w:rsidRPr="00A942F6">
        <w:rPr>
          <w:rFonts w:cs="Times New Roman"/>
          <w:lang w:val="nb-NO"/>
        </w:rPr>
        <w:t>≥</w:t>
      </w:r>
      <w:r w:rsidRPr="00A942F6">
        <w:rPr>
          <w:lang w:val="nb-NO"/>
        </w:rPr>
        <w:t xml:space="preserve"> 3 x ULN hos henholdsvis 9,6 % og 3,8 % av pasientene behandlet med subkutan </w:t>
      </w:r>
      <w:r w:rsidR="000850FE" w:rsidRPr="00A942F6">
        <w:rPr>
          <w:lang w:val="nb-NO"/>
        </w:rPr>
        <w:t>tocilizumab</w:t>
      </w:r>
      <w:r w:rsidRPr="00A942F6">
        <w:rPr>
          <w:lang w:val="nb-NO"/>
        </w:rPr>
        <w:t xml:space="preserve">. Ingen pasienter behandlet med subkutan </w:t>
      </w:r>
      <w:r w:rsidR="000850FE" w:rsidRPr="00A942F6">
        <w:rPr>
          <w:lang w:val="nb-NO"/>
        </w:rPr>
        <w:t>tocilizumab</w:t>
      </w:r>
      <w:r w:rsidRPr="00A942F6">
        <w:rPr>
          <w:lang w:val="nb-NO"/>
        </w:rPr>
        <w:t xml:space="preserve"> opplevde reduksjon av platetallet til </w:t>
      </w:r>
      <w:r w:rsidRPr="00A942F6">
        <w:rPr>
          <w:rFonts w:cs="Times New Roman"/>
          <w:lang w:val="nb-NO"/>
        </w:rPr>
        <w:t>≤</w:t>
      </w:r>
      <w:r w:rsidRPr="00A942F6">
        <w:rPr>
          <w:lang w:val="nb-NO"/>
        </w:rPr>
        <w:t xml:space="preserve"> 50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/µl.</w:t>
      </w:r>
    </w:p>
    <w:p w14:paraId="3518C83C" w14:textId="77777777" w:rsidR="008877F8" w:rsidRPr="00A942F6" w:rsidRDefault="008877F8" w:rsidP="00641834">
      <w:pPr>
        <w:rPr>
          <w:lang w:val="nb-NO"/>
        </w:rPr>
      </w:pPr>
    </w:p>
    <w:p w14:paraId="12C66544" w14:textId="77777777" w:rsidR="008877F8" w:rsidRPr="00A942F6" w:rsidRDefault="008877F8" w:rsidP="00641834">
      <w:pPr>
        <w:pStyle w:val="Style1Iitaic"/>
        <w:rPr>
          <w:lang w:val="nb-NO"/>
        </w:rPr>
      </w:pPr>
      <w:r w:rsidRPr="00A942F6">
        <w:rPr>
          <w:lang w:val="nb-NO"/>
        </w:rPr>
        <w:t>Lipidparametere</w:t>
      </w:r>
    </w:p>
    <w:p w14:paraId="60278F68" w14:textId="77777777" w:rsidR="008877F8" w:rsidRPr="00A942F6" w:rsidRDefault="008877F8" w:rsidP="00641834">
      <w:pPr>
        <w:rPr>
          <w:lang w:val="nb-NO"/>
        </w:rPr>
      </w:pPr>
      <w:r w:rsidRPr="00A942F6">
        <w:rPr>
          <w:lang w:val="nb-NO"/>
        </w:rPr>
        <w:t xml:space="preserve">I løpet av studien med subkutan administrering opplevde henholdsvis 14,3 % og 12,8 % av pasientene en økning fra baseline i LDL-kolesterol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w:t>
      </w:r>
    </w:p>
    <w:p w14:paraId="68B58157" w14:textId="77777777" w:rsidR="008877F8" w:rsidRPr="00A942F6" w:rsidRDefault="008877F8" w:rsidP="00641834">
      <w:pPr>
        <w:rPr>
          <w:lang w:val="nb-NO"/>
        </w:rPr>
      </w:pPr>
    </w:p>
    <w:p w14:paraId="162FCA6A" w14:textId="77777777" w:rsidR="008877F8" w:rsidRPr="00A942F6" w:rsidRDefault="008877F8" w:rsidP="00641834">
      <w:pPr>
        <w:pStyle w:val="bold"/>
        <w:rPr>
          <w:lang w:val="nb-NO"/>
        </w:rPr>
      </w:pPr>
      <w:r w:rsidRPr="00A942F6">
        <w:rPr>
          <w:lang w:val="nb-NO"/>
        </w:rPr>
        <w:t>GCA (SC)</w:t>
      </w:r>
    </w:p>
    <w:p w14:paraId="4274F5E3" w14:textId="3594F647" w:rsidR="008877F8" w:rsidRPr="00A942F6" w:rsidRDefault="008877F8" w:rsidP="00641834">
      <w:pPr>
        <w:rPr>
          <w:lang w:val="nb-NO"/>
        </w:rPr>
      </w:pPr>
      <w:r w:rsidRPr="00A942F6">
        <w:rPr>
          <w:lang w:val="nb-NO"/>
        </w:rPr>
        <w:t xml:space="preserve">Sikkerheten av subkutan </w:t>
      </w:r>
      <w:r w:rsidR="000850FE" w:rsidRPr="00A942F6">
        <w:rPr>
          <w:lang w:val="nb-NO"/>
        </w:rPr>
        <w:t>tocilizumab</w:t>
      </w:r>
      <w:r w:rsidRPr="00A942F6">
        <w:rPr>
          <w:lang w:val="nb-NO"/>
        </w:rPr>
        <w:t xml:space="preserve"> har blitt studert i en fase III-studie (WA28119) med</w:t>
      </w:r>
      <w:r w:rsidR="00C02048" w:rsidRPr="00A942F6">
        <w:rPr>
          <w:lang w:val="nb-NO"/>
        </w:rPr>
        <w:t xml:space="preserve"> </w:t>
      </w:r>
      <w:r w:rsidRPr="00A942F6">
        <w:rPr>
          <w:lang w:val="nb-NO"/>
        </w:rPr>
        <w:t xml:space="preserve">251 GCA-pasienter. Den totale varigheten i pasientår hos populasjonen som ble eksponert for </w:t>
      </w:r>
      <w:r w:rsidR="000850FE" w:rsidRPr="00A942F6">
        <w:rPr>
          <w:lang w:val="nb-NO"/>
        </w:rPr>
        <w:t>tocilizumab</w:t>
      </w:r>
      <w:r w:rsidRPr="00A942F6">
        <w:rPr>
          <w:lang w:val="nb-NO"/>
        </w:rPr>
        <w:t xml:space="preserve"> var 138,5 pasientår i løpet av den 12-måneder lange dobbeltblinde, placebokontrollerte fasen av studien. Den samlede sikkerhetsprofilen som ble observert for behandlingsgruppen som fikk </w:t>
      </w:r>
      <w:r w:rsidR="000850FE" w:rsidRPr="00A942F6">
        <w:rPr>
          <w:lang w:val="nb-NO"/>
        </w:rPr>
        <w:t>tocilizumab</w:t>
      </w:r>
      <w:r w:rsidRPr="00A942F6">
        <w:rPr>
          <w:lang w:val="nb-NO"/>
        </w:rPr>
        <w:t xml:space="preserve"> var i samsvar med den kjente sikkerhetsprofilen til </w:t>
      </w:r>
      <w:r w:rsidR="000850FE" w:rsidRPr="00A942F6">
        <w:rPr>
          <w:lang w:val="nb-NO"/>
        </w:rPr>
        <w:t>tocilizumab</w:t>
      </w:r>
      <w:r w:rsidRPr="00A942F6">
        <w:rPr>
          <w:lang w:val="nb-NO"/>
        </w:rPr>
        <w:t xml:space="preserve"> (se tabell 1).</w:t>
      </w:r>
    </w:p>
    <w:p w14:paraId="1C09D3D8" w14:textId="77777777" w:rsidR="00774072" w:rsidRPr="00A942F6" w:rsidRDefault="00774072" w:rsidP="00641834">
      <w:pPr>
        <w:rPr>
          <w:lang w:val="nb-NO"/>
        </w:rPr>
      </w:pPr>
    </w:p>
    <w:p w14:paraId="4010B8CC" w14:textId="77777777" w:rsidR="008877F8" w:rsidRPr="00A942F6" w:rsidRDefault="008877F8" w:rsidP="00641834">
      <w:pPr>
        <w:pStyle w:val="Style1Iitaic"/>
        <w:rPr>
          <w:lang w:val="nb-NO"/>
        </w:rPr>
      </w:pPr>
      <w:r w:rsidRPr="00A942F6">
        <w:rPr>
          <w:lang w:val="nb-NO"/>
        </w:rPr>
        <w:t>Infeksjoner</w:t>
      </w:r>
    </w:p>
    <w:p w14:paraId="5C8E2DD8" w14:textId="2EB8DB97" w:rsidR="008877F8" w:rsidRPr="00A942F6" w:rsidRDefault="008877F8" w:rsidP="00641834">
      <w:pPr>
        <w:rPr>
          <w:lang w:val="nb-NO"/>
        </w:rPr>
      </w:pPr>
      <w:r w:rsidRPr="00A942F6">
        <w:rPr>
          <w:lang w:val="nb-NO"/>
        </w:rPr>
        <w:t xml:space="preserve">Hyppigheten av infeksjon/ alvorlig infeksjon var balansert mellom gruppen som fikk </w:t>
      </w:r>
      <w:r w:rsidR="000850FE" w:rsidRPr="00A942F6">
        <w:rPr>
          <w:lang w:val="nb-NO"/>
        </w:rPr>
        <w:t>tocilizumab</w:t>
      </w:r>
      <w:r w:rsidRPr="00A942F6">
        <w:rPr>
          <w:lang w:val="nb-NO"/>
        </w:rPr>
        <w:t xml:space="preserve"> ukentlig (200,2/9,7 hendelser per 100 pasientår) versus gruppen som fikk placebo pluss 26 ukers nedtrapping av prednison (156,0/4,2 hendelser per 100 pasientår) og gruppen som fikk placebo pluss 52 ukers nedtrapping (210,2/12,5 hendelser per 100 pasientår).</w:t>
      </w:r>
    </w:p>
    <w:p w14:paraId="55819919" w14:textId="77777777" w:rsidR="00774072" w:rsidRPr="00A942F6" w:rsidRDefault="00774072" w:rsidP="00641834">
      <w:pPr>
        <w:rPr>
          <w:lang w:val="nb-NO"/>
        </w:rPr>
      </w:pPr>
    </w:p>
    <w:p w14:paraId="67DB47EB" w14:textId="77777777" w:rsidR="008877F8" w:rsidRPr="00A942F6" w:rsidRDefault="008877F8" w:rsidP="00641834">
      <w:pPr>
        <w:pStyle w:val="Style1Iitaic"/>
        <w:rPr>
          <w:lang w:val="nb-NO"/>
        </w:rPr>
      </w:pPr>
      <w:r w:rsidRPr="00A942F6">
        <w:rPr>
          <w:lang w:val="nb-NO"/>
        </w:rPr>
        <w:t>Reaksjoner på administrasjonsstedet</w:t>
      </w:r>
    </w:p>
    <w:p w14:paraId="6262FB87" w14:textId="04CD09A0" w:rsidR="008877F8" w:rsidRPr="00A942F6" w:rsidRDefault="008877F8" w:rsidP="00641834">
      <w:pPr>
        <w:rPr>
          <w:lang w:val="nb-NO"/>
        </w:rPr>
      </w:pPr>
      <w:r w:rsidRPr="00A942F6">
        <w:rPr>
          <w:lang w:val="nb-NO"/>
        </w:rPr>
        <w:t xml:space="preserve">I gruppen som fikk </w:t>
      </w:r>
      <w:r w:rsidR="000850FE" w:rsidRPr="00A942F6">
        <w:rPr>
          <w:lang w:val="nb-NO"/>
        </w:rPr>
        <w:t>tocilizumab</w:t>
      </w:r>
      <w:r w:rsidRPr="00A942F6">
        <w:rPr>
          <w:lang w:val="nb-NO"/>
        </w:rPr>
        <w:t xml:space="preserve"> subkutant ukentlig, var det totalt 6 % (6/100) av pasientene som rapporterte om reaksjoner på administrasjonsstedet. Ingen av reaksjonene på administrasjonsstedet ble rapportert som alvorlig bivirkning eller krevde seponering av behandlingen.</w:t>
      </w:r>
    </w:p>
    <w:p w14:paraId="0A585F3C" w14:textId="77777777" w:rsidR="008877F8" w:rsidRPr="00A942F6" w:rsidRDefault="008877F8" w:rsidP="00641834">
      <w:pPr>
        <w:rPr>
          <w:lang w:val="nb-NO"/>
        </w:rPr>
      </w:pPr>
    </w:p>
    <w:p w14:paraId="264C79A2" w14:textId="77777777" w:rsidR="008877F8" w:rsidRPr="00A942F6" w:rsidRDefault="008877F8" w:rsidP="00641834">
      <w:pPr>
        <w:pStyle w:val="Style1Iitaic"/>
        <w:rPr>
          <w:lang w:val="nb-NO"/>
        </w:rPr>
      </w:pPr>
      <w:r w:rsidRPr="00A942F6">
        <w:rPr>
          <w:lang w:val="nb-NO"/>
        </w:rPr>
        <w:t>Hematologiske forandringer:</w:t>
      </w:r>
    </w:p>
    <w:p w14:paraId="5EE2FDDD" w14:textId="77777777" w:rsidR="008877F8" w:rsidRPr="00A942F6" w:rsidRDefault="008877F8" w:rsidP="00641834">
      <w:pPr>
        <w:pStyle w:val="Style1Iitaic"/>
        <w:rPr>
          <w:lang w:val="nb-NO"/>
        </w:rPr>
      </w:pPr>
      <w:r w:rsidRPr="00A942F6">
        <w:rPr>
          <w:lang w:val="nb-NO"/>
        </w:rPr>
        <w:t>Nøytrofiler</w:t>
      </w:r>
    </w:p>
    <w:p w14:paraId="4531E219" w14:textId="4E49C7FA" w:rsidR="008877F8" w:rsidRPr="00A942F6" w:rsidRDefault="008877F8" w:rsidP="00641834">
      <w:pPr>
        <w:rPr>
          <w:lang w:val="nb-NO"/>
        </w:rPr>
      </w:pPr>
      <w:r w:rsidRPr="00A942F6">
        <w:rPr>
          <w:lang w:val="nb-NO"/>
        </w:rPr>
        <w:t xml:space="preserve">Under rutinemessig overvåking av laboratorieverdier i den 12–måneders, kontrollerte, kliniske </w:t>
      </w:r>
      <w:r w:rsidR="000850FE" w:rsidRPr="00A942F6">
        <w:rPr>
          <w:lang w:val="nb-NO"/>
        </w:rPr>
        <w:t>tocilizumab</w:t>
      </w:r>
      <w:r w:rsidRPr="00A942F6">
        <w:rPr>
          <w:lang w:val="nb-NO"/>
        </w:rPr>
        <w:t xml:space="preserve">-studien, oppstod det reduksjon i antall nøytrofile til under 1 </w:t>
      </w:r>
      <w:r w:rsidRPr="00A942F6">
        <w:rPr>
          <w:rFonts w:cs="Times New Roman"/>
          <w:lang w:val="nb-NO"/>
        </w:rPr>
        <w:t>×</w:t>
      </w:r>
      <w:r w:rsidRPr="00A942F6">
        <w:rPr>
          <w:lang w:val="nb-NO"/>
        </w:rPr>
        <w:t xml:space="preserve"> 10</w:t>
      </w:r>
      <w:r w:rsidRPr="00A942F6">
        <w:rPr>
          <w:vertAlign w:val="superscript"/>
          <w:lang w:val="nb-NO"/>
        </w:rPr>
        <w:t>9</w:t>
      </w:r>
      <w:r w:rsidRPr="00A942F6">
        <w:rPr>
          <w:lang w:val="nb-NO"/>
        </w:rPr>
        <w:t xml:space="preserve">/liter hos 4 % av pasientene som fikk </w:t>
      </w:r>
      <w:r w:rsidR="000850FE" w:rsidRPr="00A942F6">
        <w:rPr>
          <w:lang w:val="nb-NO"/>
        </w:rPr>
        <w:t>tocilizumab</w:t>
      </w:r>
      <w:r w:rsidRPr="00A942F6">
        <w:rPr>
          <w:lang w:val="nb-NO"/>
        </w:rPr>
        <w:t xml:space="preserve"> subkutant ukentlig. Dette ble ikke observert i de to placebogruppene med nedtrapping av prednison.</w:t>
      </w:r>
    </w:p>
    <w:p w14:paraId="25BBB89E" w14:textId="77777777" w:rsidR="008877F8" w:rsidRPr="00A942F6" w:rsidRDefault="008877F8" w:rsidP="00641834">
      <w:pPr>
        <w:rPr>
          <w:lang w:val="nb-NO"/>
        </w:rPr>
      </w:pPr>
    </w:p>
    <w:p w14:paraId="2DA64F94" w14:textId="77777777" w:rsidR="008877F8" w:rsidRPr="00A942F6" w:rsidRDefault="008877F8" w:rsidP="00641834">
      <w:pPr>
        <w:pStyle w:val="Style1Iitaic"/>
        <w:rPr>
          <w:lang w:val="nb-NO"/>
        </w:rPr>
      </w:pPr>
      <w:r w:rsidRPr="00A942F6">
        <w:rPr>
          <w:lang w:val="nb-NO"/>
        </w:rPr>
        <w:t>Blodplater</w:t>
      </w:r>
    </w:p>
    <w:p w14:paraId="6047B3DC" w14:textId="5E3967A6" w:rsidR="008877F8" w:rsidRPr="00A942F6" w:rsidRDefault="008877F8" w:rsidP="00641834">
      <w:pPr>
        <w:rPr>
          <w:lang w:val="nb-NO"/>
        </w:rPr>
      </w:pPr>
      <w:r w:rsidRPr="00A942F6">
        <w:rPr>
          <w:lang w:val="nb-NO"/>
        </w:rPr>
        <w:t xml:space="preserve">Under rutinemessig overvåking av laboratorieverdier i den 12-måneders, kontrollerte, kliniske </w:t>
      </w:r>
      <w:r w:rsidR="000850FE" w:rsidRPr="00A942F6">
        <w:rPr>
          <w:lang w:val="nb-NO"/>
        </w:rPr>
        <w:t>tocilizumab</w:t>
      </w:r>
      <w:r w:rsidRPr="00A942F6">
        <w:rPr>
          <w:lang w:val="nb-NO"/>
        </w:rPr>
        <w:t xml:space="preserve">-studien, var det én pasient (1 %, 1/100) i gruppen som fikk </w:t>
      </w:r>
      <w:r w:rsidR="000850FE" w:rsidRPr="00A942F6">
        <w:rPr>
          <w:lang w:val="nb-NO"/>
        </w:rPr>
        <w:t>tocilizumab</w:t>
      </w:r>
      <w:r w:rsidRPr="00A942F6">
        <w:rPr>
          <w:lang w:val="nb-NO"/>
        </w:rPr>
        <w:t xml:space="preserve"> subkutant ukentlig som hadde en enkelt forbigående hendelse med reduksjon i blodplater til &lt;100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/mikroliter uten at det var tilknyttet en blødningshendelse. Det ble ikke observert reduksjon i blodplater under</w:t>
      </w:r>
      <w:r w:rsidR="00C02048" w:rsidRPr="00A942F6">
        <w:rPr>
          <w:lang w:val="nb-NO"/>
        </w:rPr>
        <w:t xml:space="preserve"> </w:t>
      </w:r>
      <w:r w:rsidRPr="00A942F6">
        <w:rPr>
          <w:lang w:val="nb-NO"/>
        </w:rPr>
        <w:t>100</w:t>
      </w:r>
      <w:r w:rsidR="00C02048" w:rsidRPr="00A942F6">
        <w:rPr>
          <w:lang w:val="nb-NO"/>
        </w:rPr>
        <w:t> </w:t>
      </w:r>
      <w:r w:rsidRPr="00A942F6">
        <w:rPr>
          <w:rFonts w:cs="Times New Roman"/>
          <w:lang w:val="nb-NO"/>
        </w:rPr>
        <w:t>×</w:t>
      </w:r>
      <w:r w:rsidR="00C02048" w:rsidRPr="00A942F6">
        <w:rPr>
          <w:lang w:val="nb-NO"/>
        </w:rPr>
        <w:t> </w:t>
      </w:r>
      <w:r w:rsidRPr="00A942F6">
        <w:rPr>
          <w:lang w:val="nb-NO"/>
        </w:rPr>
        <w:t>10</w:t>
      </w:r>
      <w:r w:rsidRPr="00A942F6">
        <w:rPr>
          <w:vertAlign w:val="superscript"/>
          <w:lang w:val="nb-NO"/>
        </w:rPr>
        <w:t>3</w:t>
      </w:r>
      <w:r w:rsidRPr="00A942F6">
        <w:rPr>
          <w:lang w:val="nb-NO"/>
        </w:rPr>
        <w:t>/mikroliter i de to placebogruppene med nedtrapping av prednison.</w:t>
      </w:r>
    </w:p>
    <w:p w14:paraId="39CBE99F" w14:textId="77777777" w:rsidR="008877F8" w:rsidRPr="00A942F6" w:rsidRDefault="008877F8" w:rsidP="00641834">
      <w:pPr>
        <w:rPr>
          <w:lang w:val="nb-NO"/>
        </w:rPr>
      </w:pPr>
    </w:p>
    <w:p w14:paraId="5ECE4569" w14:textId="77777777" w:rsidR="008877F8" w:rsidRPr="00A942F6" w:rsidRDefault="008877F8" w:rsidP="00641834">
      <w:pPr>
        <w:pStyle w:val="Style1Iitaic"/>
        <w:rPr>
          <w:lang w:val="nb-NO"/>
        </w:rPr>
      </w:pPr>
      <w:r w:rsidRPr="00A942F6">
        <w:rPr>
          <w:lang w:val="nb-NO"/>
        </w:rPr>
        <w:t>Økning av hepatiske transaminaser</w:t>
      </w:r>
    </w:p>
    <w:p w14:paraId="2A49C661" w14:textId="17CAF9E1" w:rsidR="008877F8" w:rsidRPr="00A942F6" w:rsidRDefault="008877F8" w:rsidP="00641834">
      <w:pPr>
        <w:rPr>
          <w:lang w:val="nb-NO"/>
        </w:rPr>
      </w:pPr>
      <w:r w:rsidRPr="00A942F6">
        <w:rPr>
          <w:lang w:val="nb-NO"/>
        </w:rPr>
        <w:t xml:space="preserve">Under rutinemessig overvåking av laboratorieverdier i den 12-måneders, kontrollerte, kliniske </w:t>
      </w:r>
      <w:r w:rsidR="00E06399" w:rsidRPr="00A942F6">
        <w:rPr>
          <w:lang w:val="nb-NO"/>
        </w:rPr>
        <w:t>tocilizumab</w:t>
      </w:r>
      <w:r w:rsidRPr="00A942F6">
        <w:rPr>
          <w:lang w:val="nb-NO"/>
        </w:rPr>
        <w:t xml:space="preserve">-studien, forekom økning av ALAT </w:t>
      </w:r>
      <w:r w:rsidRPr="00A942F6">
        <w:rPr>
          <w:rFonts w:cs="Times New Roman"/>
          <w:lang w:val="nb-NO"/>
        </w:rPr>
        <w:t>≥</w:t>
      </w:r>
      <w:r w:rsidRPr="00A942F6">
        <w:rPr>
          <w:lang w:val="nb-NO"/>
        </w:rPr>
        <w:t xml:space="preserve"> 3 x ULN hos 3 % av pasientene i gruppen som fikk </w:t>
      </w:r>
      <w:r w:rsidR="000850FE" w:rsidRPr="00A942F6">
        <w:rPr>
          <w:lang w:val="nb-NO"/>
        </w:rPr>
        <w:t>tocilizumab</w:t>
      </w:r>
      <w:r w:rsidRPr="00A942F6">
        <w:rPr>
          <w:lang w:val="nb-NO"/>
        </w:rPr>
        <w:t xml:space="preserve"> subkutant ukentlig, sammenlignet med 2 % i gruppen som fikk placebo pluss 52 ukers nedtrapping av prednison, og ingen i gruppen som fikk placebo pluss 26 ukers nedtrapping av prednison. Det forekom en økning av ASAT &gt;3 ULN hos 1 % av pasientene i gruppen som fikk </w:t>
      </w:r>
      <w:r w:rsidR="000850FE" w:rsidRPr="00A942F6">
        <w:rPr>
          <w:lang w:val="nb-NO"/>
        </w:rPr>
        <w:lastRenderedPageBreak/>
        <w:t>tocilizumab</w:t>
      </w:r>
      <w:r w:rsidRPr="00A942F6">
        <w:rPr>
          <w:lang w:val="nb-NO"/>
        </w:rPr>
        <w:t xml:space="preserve"> subkutant ukentlig, sammenlignet med ingen pasienter i de to placebogruppene med nedtrapping av prednison.</w:t>
      </w:r>
    </w:p>
    <w:p w14:paraId="6B4C4D07" w14:textId="77777777" w:rsidR="00774072" w:rsidRPr="00A942F6" w:rsidRDefault="00774072" w:rsidP="00641834">
      <w:pPr>
        <w:rPr>
          <w:lang w:val="nb-NO"/>
        </w:rPr>
      </w:pPr>
    </w:p>
    <w:p w14:paraId="693404EB" w14:textId="77777777" w:rsidR="008877F8" w:rsidRPr="00A942F6" w:rsidRDefault="008877F8" w:rsidP="00641834">
      <w:pPr>
        <w:pStyle w:val="Style1Iitaic"/>
        <w:rPr>
          <w:lang w:val="nb-NO"/>
        </w:rPr>
      </w:pPr>
      <w:r w:rsidRPr="00A942F6">
        <w:rPr>
          <w:lang w:val="nb-NO"/>
        </w:rPr>
        <w:t>Lipidparametere</w:t>
      </w:r>
    </w:p>
    <w:p w14:paraId="0BADA37C" w14:textId="2E934951" w:rsidR="008877F8" w:rsidRPr="00A942F6" w:rsidRDefault="008877F8" w:rsidP="00641834">
      <w:pPr>
        <w:rPr>
          <w:lang w:val="nb-NO"/>
        </w:rPr>
      </w:pPr>
      <w:r w:rsidRPr="00A942F6">
        <w:rPr>
          <w:lang w:val="nb-NO"/>
        </w:rPr>
        <w:t xml:space="preserve">Under rutinemessig overvåking av laboratorieverdier i den 12-måneders, kontrollerte, kliniske </w:t>
      </w:r>
      <w:r w:rsidR="000850FE" w:rsidRPr="00A942F6">
        <w:rPr>
          <w:lang w:val="nb-NO"/>
        </w:rPr>
        <w:t>tocilizumab</w:t>
      </w:r>
      <w:r w:rsidRPr="00A942F6">
        <w:rPr>
          <w:lang w:val="nb-NO"/>
        </w:rPr>
        <w:t xml:space="preserve">-studien, opplevde 34 % av pasientene en vedvarende økning i totalkolesterol &gt; 6,2 mmol/l (240 mg/dl), med 15 % som opplevde en vedvarende økning i LDL til </w:t>
      </w:r>
      <w:r w:rsidR="00F36EEE" w:rsidRPr="00A942F6">
        <w:rPr>
          <w:rFonts w:cs="Times New Roman"/>
          <w:lang w:val="nb-NO"/>
        </w:rPr>
        <w:t>≥</w:t>
      </w:r>
      <w:r w:rsidRPr="00A942F6">
        <w:rPr>
          <w:lang w:val="nb-NO"/>
        </w:rPr>
        <w:t xml:space="preserve"> 4,1 mmol/l (160 mg/dl) i gruppen som fikk </w:t>
      </w:r>
      <w:r w:rsidR="000850FE" w:rsidRPr="00A942F6">
        <w:rPr>
          <w:lang w:val="nb-NO"/>
        </w:rPr>
        <w:t>tocilizumab</w:t>
      </w:r>
      <w:r w:rsidRPr="00A942F6">
        <w:rPr>
          <w:lang w:val="nb-NO"/>
        </w:rPr>
        <w:t xml:space="preserve"> subkutant ukentlig.</w:t>
      </w:r>
    </w:p>
    <w:p w14:paraId="1F65860B" w14:textId="77777777" w:rsidR="008877F8" w:rsidRPr="00A942F6" w:rsidRDefault="008877F8" w:rsidP="00641834">
      <w:pPr>
        <w:rPr>
          <w:lang w:val="nb-NO"/>
        </w:rPr>
      </w:pPr>
    </w:p>
    <w:p w14:paraId="14D41E1A" w14:textId="77777777" w:rsidR="008877F8" w:rsidRPr="00A942F6" w:rsidRDefault="008877F8" w:rsidP="00641834">
      <w:pPr>
        <w:pStyle w:val="Style1Iitaic"/>
        <w:rPr>
          <w:lang w:val="nb-NO"/>
        </w:rPr>
      </w:pPr>
      <w:r w:rsidRPr="00A942F6">
        <w:rPr>
          <w:lang w:val="nb-NO"/>
        </w:rPr>
        <w:t>Intravenøs bruk</w:t>
      </w:r>
    </w:p>
    <w:p w14:paraId="28939793" w14:textId="77777777" w:rsidR="008877F8" w:rsidRPr="00A942F6" w:rsidRDefault="008877F8" w:rsidP="00641834">
      <w:pPr>
        <w:pStyle w:val="bold"/>
        <w:rPr>
          <w:lang w:val="nb-NO"/>
        </w:rPr>
      </w:pPr>
      <w:r w:rsidRPr="00A942F6">
        <w:rPr>
          <w:lang w:val="nb-NO"/>
        </w:rPr>
        <w:t>RA</w:t>
      </w:r>
    </w:p>
    <w:p w14:paraId="412AAADC" w14:textId="637077B3" w:rsidR="008877F8" w:rsidRPr="00A942F6" w:rsidRDefault="008877F8" w:rsidP="00641834">
      <w:pPr>
        <w:rPr>
          <w:lang w:val="nb-NO"/>
        </w:rPr>
      </w:pPr>
      <w:r w:rsidRPr="00A942F6">
        <w:rPr>
          <w:lang w:val="nb-NO"/>
        </w:rPr>
        <w:t xml:space="preserve">Sikkerheten for </w:t>
      </w:r>
      <w:r w:rsidR="000850FE" w:rsidRPr="00A942F6">
        <w:rPr>
          <w:lang w:val="nb-NO"/>
        </w:rPr>
        <w:t>tocilizumab</w:t>
      </w:r>
      <w:r w:rsidRPr="00A942F6">
        <w:rPr>
          <w:lang w:val="nb-NO"/>
        </w:rPr>
        <w:t xml:space="preserve"> har blitt studert i 5 dobbeltblinde, kontrollerte fase III-studier og i studienes forlengelsesfase.</w:t>
      </w:r>
    </w:p>
    <w:p w14:paraId="1CE98634" w14:textId="77777777" w:rsidR="00774072" w:rsidRPr="00A942F6" w:rsidRDefault="00774072" w:rsidP="00641834">
      <w:pPr>
        <w:rPr>
          <w:lang w:val="nb-NO"/>
        </w:rPr>
      </w:pPr>
    </w:p>
    <w:p w14:paraId="45CE28EB" w14:textId="6CACEE9C" w:rsidR="008877F8" w:rsidRPr="00A942F6" w:rsidRDefault="008877F8" w:rsidP="00641834">
      <w:pPr>
        <w:rPr>
          <w:lang w:val="nb-NO"/>
        </w:rPr>
      </w:pPr>
      <w:r w:rsidRPr="00A942F6">
        <w:rPr>
          <w:i/>
          <w:iCs/>
          <w:lang w:val="nb-NO"/>
        </w:rPr>
        <w:t>Kontrollpopulasjonen</w:t>
      </w:r>
      <w:r w:rsidRPr="00A942F6">
        <w:rPr>
          <w:lang w:val="nb-NO"/>
        </w:rPr>
        <w:t xml:space="preserve"> inkluderer alle pasienter fra de dobbeltblindede fasene av hver hovedstudie fra randomisering og til enten første endring av behandlingsregime eller til det har gått to år.</w:t>
      </w:r>
      <w:r w:rsidR="00C02048" w:rsidRPr="00A942F6">
        <w:rPr>
          <w:lang w:val="nb-NO"/>
        </w:rPr>
        <w:t xml:space="preserve"> </w:t>
      </w:r>
      <w:r w:rsidRPr="00A942F6">
        <w:rPr>
          <w:lang w:val="nb-NO"/>
        </w:rPr>
        <w:t xml:space="preserve">Kontrollperioden var i 4 av studiene 6 måneder og i 1 studie opp til 2 år. I de dobbeltblindede kontrollerte studiene fikk 774 pasienter </w:t>
      </w:r>
      <w:r w:rsidR="000850FE" w:rsidRPr="00A942F6">
        <w:rPr>
          <w:lang w:val="nb-NO"/>
        </w:rPr>
        <w:t>tocilizumab</w:t>
      </w:r>
      <w:r w:rsidRPr="00A942F6">
        <w:rPr>
          <w:lang w:val="nb-NO"/>
        </w:rPr>
        <w:t xml:space="preserve"> 4 mg/kg i kombinasjon med metotreksat, 1870</w:t>
      </w:r>
      <w:r w:rsidR="00FC420A">
        <w:rPr>
          <w:lang w:val="nb-NO"/>
        </w:rPr>
        <w:t> </w:t>
      </w:r>
      <w:r w:rsidRPr="00A942F6">
        <w:rPr>
          <w:lang w:val="nb-NO"/>
        </w:rPr>
        <w:t>pasienter fikk tocilizumab 8 mg/kg i kombinasjon med metotreksat/andre DMARDs, og 288</w:t>
      </w:r>
      <w:r w:rsidR="00FC420A">
        <w:rPr>
          <w:lang w:val="nb-NO"/>
        </w:rPr>
        <w:t> </w:t>
      </w:r>
      <w:r w:rsidRPr="00A942F6">
        <w:rPr>
          <w:lang w:val="nb-NO"/>
        </w:rPr>
        <w:t>pasienter fikk tocilizumab 8 mg/kg som monoterapi.</w:t>
      </w:r>
    </w:p>
    <w:p w14:paraId="1104A9C6" w14:textId="77777777" w:rsidR="00774072" w:rsidRPr="00A942F6" w:rsidRDefault="00774072" w:rsidP="00641834">
      <w:pPr>
        <w:rPr>
          <w:lang w:val="nb-NO"/>
        </w:rPr>
      </w:pPr>
    </w:p>
    <w:p w14:paraId="7AF1C1B4" w14:textId="414AB5AE" w:rsidR="008877F8" w:rsidRPr="00A942F6" w:rsidRDefault="008877F8" w:rsidP="00641834">
      <w:pPr>
        <w:rPr>
          <w:lang w:val="nb-NO"/>
        </w:rPr>
      </w:pPr>
      <w:r w:rsidRPr="00A942F6">
        <w:rPr>
          <w:i/>
          <w:iCs/>
          <w:lang w:val="nb-NO"/>
        </w:rPr>
        <w:t>Eksponeringspopulasjonen</w:t>
      </w:r>
      <w:r w:rsidRPr="00A942F6">
        <w:rPr>
          <w:lang w:val="nb-NO"/>
        </w:rPr>
        <w:t xml:space="preserve"> inkluderer alle pasienter som fikk minst én dose med </w:t>
      </w:r>
      <w:r w:rsidR="000850FE" w:rsidRPr="00A942F6">
        <w:rPr>
          <w:lang w:val="nb-NO"/>
        </w:rPr>
        <w:t>tocilizumab</w:t>
      </w:r>
      <w:r w:rsidRPr="00A942F6">
        <w:rPr>
          <w:lang w:val="nb-NO"/>
        </w:rPr>
        <w:t>, enten i den dobbeltblindede kontrollperioden eller i den åpne forlengelsesfasen av studiene. Av de</w:t>
      </w:r>
      <w:r w:rsidR="00C02048" w:rsidRPr="00A942F6">
        <w:rPr>
          <w:lang w:val="nb-NO"/>
        </w:rPr>
        <w:t xml:space="preserve"> </w:t>
      </w:r>
      <w:r w:rsidRPr="00A942F6">
        <w:rPr>
          <w:lang w:val="nb-NO"/>
        </w:rPr>
        <w:t>4009</w:t>
      </w:r>
      <w:r w:rsidR="00C02048" w:rsidRPr="00A942F6">
        <w:rPr>
          <w:lang w:val="nb-NO"/>
        </w:rPr>
        <w:t> </w:t>
      </w:r>
      <w:r w:rsidRPr="00A942F6">
        <w:rPr>
          <w:lang w:val="nb-NO"/>
        </w:rPr>
        <w:t>pasientene i denne populasjonen fikk 3577 behandling i minst 6 måneder, 3296 i minst ett år, 2806 fikk behandling i minst 2 år og 1222 i 3 år.</w:t>
      </w:r>
    </w:p>
    <w:p w14:paraId="27A1201C" w14:textId="77777777" w:rsidR="008877F8" w:rsidRPr="00A942F6" w:rsidRDefault="008877F8" w:rsidP="00641834">
      <w:pPr>
        <w:rPr>
          <w:lang w:val="nb-NO"/>
        </w:rPr>
      </w:pPr>
    </w:p>
    <w:p w14:paraId="6B59A69D" w14:textId="77777777" w:rsidR="008877F8" w:rsidRPr="00A942F6" w:rsidRDefault="008877F8" w:rsidP="00641834">
      <w:pPr>
        <w:pStyle w:val="Style1underline"/>
        <w:rPr>
          <w:lang w:val="nb-NO"/>
        </w:rPr>
      </w:pPr>
      <w:r w:rsidRPr="00A942F6">
        <w:rPr>
          <w:lang w:val="nb-NO"/>
        </w:rPr>
        <w:t>Beskrivelse av utvalgte bivirkninger</w:t>
      </w:r>
    </w:p>
    <w:p w14:paraId="6959CA12" w14:textId="77777777" w:rsidR="008877F8" w:rsidRPr="00A942F6" w:rsidRDefault="008877F8" w:rsidP="00641834">
      <w:pPr>
        <w:rPr>
          <w:lang w:val="nb-NO"/>
        </w:rPr>
      </w:pPr>
    </w:p>
    <w:p w14:paraId="34AA0A41" w14:textId="77777777" w:rsidR="008877F8" w:rsidRPr="00A942F6" w:rsidRDefault="008877F8" w:rsidP="00641834">
      <w:pPr>
        <w:pStyle w:val="Style1Iitaic"/>
        <w:rPr>
          <w:lang w:val="nb-NO"/>
        </w:rPr>
      </w:pPr>
      <w:r w:rsidRPr="00A942F6">
        <w:rPr>
          <w:lang w:val="nb-NO"/>
        </w:rPr>
        <w:t>Infeksjoner</w:t>
      </w:r>
    </w:p>
    <w:p w14:paraId="7A5820CC" w14:textId="37816530" w:rsidR="008877F8" w:rsidRPr="00A942F6" w:rsidRDefault="008877F8" w:rsidP="00641834">
      <w:pPr>
        <w:rPr>
          <w:lang w:val="nb-NO"/>
        </w:rPr>
      </w:pPr>
      <w:r w:rsidRPr="00A942F6">
        <w:rPr>
          <w:lang w:val="nb-NO"/>
        </w:rPr>
        <w:t xml:space="preserve">I de 6-måneders kontrollerte studiene var hyppigheten av rapporterte infeksjoner med </w:t>
      </w:r>
      <w:r w:rsidR="000850FE" w:rsidRPr="00A942F6">
        <w:rPr>
          <w:lang w:val="nb-NO"/>
        </w:rPr>
        <w:t>tocilizumab</w:t>
      </w:r>
      <w:r w:rsidRPr="00A942F6">
        <w:rPr>
          <w:lang w:val="nb-NO"/>
        </w:rPr>
        <w:t xml:space="preserve"> 8</w:t>
      </w:r>
      <w:r w:rsidR="00C02048" w:rsidRPr="00A942F6">
        <w:rPr>
          <w:lang w:val="nb-NO"/>
        </w:rPr>
        <w:t> </w:t>
      </w:r>
      <w:r w:rsidRPr="00A942F6">
        <w:rPr>
          <w:lang w:val="nb-NO"/>
        </w:rPr>
        <w:t>mg/kg pluss DMARD-behandling 127 hendelser per 100 pasientår mot 112 hendelser per 100</w:t>
      </w:r>
      <w:r w:rsidR="00FC420A">
        <w:rPr>
          <w:lang w:val="nb-NO"/>
        </w:rPr>
        <w:t> </w:t>
      </w:r>
      <w:r w:rsidRPr="00A942F6">
        <w:rPr>
          <w:lang w:val="nb-NO"/>
        </w:rPr>
        <w:t xml:space="preserve">pasientår i gruppen som fikk placebo pluss DMARDs. I populasjonen med langtidseksponering var den totale hyppigheten av infeksjoner med </w:t>
      </w:r>
      <w:r w:rsidR="000850FE" w:rsidRPr="00A942F6">
        <w:rPr>
          <w:lang w:val="nb-NO"/>
        </w:rPr>
        <w:t>tocilizumab</w:t>
      </w:r>
      <w:r w:rsidRPr="00A942F6">
        <w:rPr>
          <w:lang w:val="nb-NO"/>
        </w:rPr>
        <w:t xml:space="preserve"> 108 hendelser per 100 pasientår.</w:t>
      </w:r>
    </w:p>
    <w:p w14:paraId="21EF335D" w14:textId="77777777" w:rsidR="008877F8" w:rsidRPr="00A942F6" w:rsidRDefault="008877F8" w:rsidP="00641834">
      <w:pPr>
        <w:rPr>
          <w:lang w:val="nb-NO"/>
        </w:rPr>
      </w:pPr>
    </w:p>
    <w:p w14:paraId="709236FF" w14:textId="5E8D2B1B" w:rsidR="008877F8" w:rsidRPr="00A942F6" w:rsidRDefault="008877F8" w:rsidP="00641834">
      <w:pPr>
        <w:rPr>
          <w:lang w:val="nb-NO"/>
        </w:rPr>
      </w:pPr>
      <w:r w:rsidRPr="00A942F6">
        <w:rPr>
          <w:lang w:val="nb-NO"/>
        </w:rPr>
        <w:t xml:space="preserve">I 6-måneders kontrollerte kliniske studier var hyppigheten av alvorlige infeksjoner med </w:t>
      </w:r>
      <w:r w:rsidR="000850FE" w:rsidRPr="00A942F6">
        <w:rPr>
          <w:lang w:val="nb-NO"/>
        </w:rPr>
        <w:t>tocilizumab</w:t>
      </w:r>
      <w:r w:rsidRPr="00A942F6">
        <w:rPr>
          <w:lang w:val="nb-NO"/>
        </w:rPr>
        <w:t xml:space="preserve"> 8</w:t>
      </w:r>
      <w:r w:rsidR="00C02048" w:rsidRPr="00A942F6">
        <w:rPr>
          <w:lang w:val="nb-NO"/>
        </w:rPr>
        <w:t> </w:t>
      </w:r>
      <w:r w:rsidRPr="00A942F6">
        <w:rPr>
          <w:lang w:val="nb-NO"/>
        </w:rPr>
        <w:t>mg/kg pluss DMARDs 5,3 hendelser per 100 pasientår sammenlignet med 3,9 hendelser per 100</w:t>
      </w:r>
      <w:r w:rsidR="00FC420A">
        <w:rPr>
          <w:lang w:val="nb-NO"/>
        </w:rPr>
        <w:t> </w:t>
      </w:r>
      <w:r w:rsidRPr="00A942F6">
        <w:rPr>
          <w:lang w:val="nb-NO"/>
        </w:rPr>
        <w:t xml:space="preserve">pasientår i gruppen som fikk placebo pluss DMARDs. I monoterapistudien var hyppigheten av alvorlige infeksjoner 3,6 hendelser per 100 pasientår i gruppen som fikk </w:t>
      </w:r>
      <w:r w:rsidR="000850FE" w:rsidRPr="00A942F6">
        <w:rPr>
          <w:lang w:val="nb-NO"/>
        </w:rPr>
        <w:t>tocilizumab</w:t>
      </w:r>
      <w:r w:rsidRPr="00A942F6">
        <w:rPr>
          <w:lang w:val="nb-NO"/>
        </w:rPr>
        <w:t xml:space="preserve"> og 1,5 hendelser per 100 pasientår i gruppen som fikk metotreksat.</w:t>
      </w:r>
    </w:p>
    <w:p w14:paraId="3454C807" w14:textId="77777777" w:rsidR="00774072" w:rsidRPr="00A942F6" w:rsidRDefault="00774072" w:rsidP="00641834">
      <w:pPr>
        <w:rPr>
          <w:lang w:val="nb-NO"/>
        </w:rPr>
      </w:pPr>
    </w:p>
    <w:p w14:paraId="338A83E5" w14:textId="13A7907D" w:rsidR="008877F8" w:rsidRPr="00A942F6" w:rsidRDefault="008877F8" w:rsidP="00641834">
      <w:pPr>
        <w:rPr>
          <w:lang w:val="nb-NO"/>
        </w:rPr>
      </w:pPr>
      <w:r w:rsidRPr="00A942F6">
        <w:rPr>
          <w:lang w:val="nb-NO"/>
        </w:rPr>
        <w:t>I eksponeringspopulasjonen var den totale hyppigheten av alvorlige infeksjoner 4,7 hendelser per 100</w:t>
      </w:r>
      <w:r w:rsidR="00FC420A">
        <w:rPr>
          <w:lang w:val="nb-NO"/>
        </w:rPr>
        <w:t> </w:t>
      </w:r>
      <w:r w:rsidRPr="00A942F6">
        <w:rPr>
          <w:lang w:val="nb-NO"/>
        </w:rPr>
        <w:t>pasientår. Rapporterte alvorlige infeksjoner, noen med dødelig utfall, inkluderte pneumoni, cellulitt, herpes zoster, gastroenteritt, divertikulitt, sepsis og bakteriell artritt. Det er også rapportert tilfeller av opportunistiske infeksjoner.</w:t>
      </w:r>
    </w:p>
    <w:p w14:paraId="63F2A961" w14:textId="77777777" w:rsidR="008877F8" w:rsidRPr="00A942F6" w:rsidRDefault="008877F8" w:rsidP="00641834">
      <w:pPr>
        <w:rPr>
          <w:lang w:val="nb-NO"/>
        </w:rPr>
      </w:pPr>
    </w:p>
    <w:p w14:paraId="6F58C920" w14:textId="77777777" w:rsidR="008877F8" w:rsidRPr="00A942F6" w:rsidRDefault="008877F8" w:rsidP="00641834">
      <w:pPr>
        <w:pStyle w:val="Style1Iitaic"/>
        <w:rPr>
          <w:lang w:val="nb-NO"/>
        </w:rPr>
      </w:pPr>
      <w:r w:rsidRPr="00A942F6">
        <w:rPr>
          <w:lang w:val="nb-NO"/>
        </w:rPr>
        <w:t>Interstitiell lungesykdom</w:t>
      </w:r>
    </w:p>
    <w:p w14:paraId="3C28B721" w14:textId="77777777" w:rsidR="008877F8" w:rsidRPr="00A942F6" w:rsidRDefault="008877F8" w:rsidP="00641834">
      <w:pPr>
        <w:rPr>
          <w:lang w:val="nb-NO"/>
        </w:rPr>
      </w:pPr>
      <w:r w:rsidRPr="00A942F6">
        <w:rPr>
          <w:lang w:val="nb-NO"/>
        </w:rPr>
        <w:t>Nedsatt lungefunksjon kan øke risikoen for å utvikle infeksjoner. Det har blitt rapportert tilfeller av interstitiell lungesykdom etter markedsføring (inkludert pneumonitt og pulmonal fibrose), noen hadde dødelig utgang.</w:t>
      </w:r>
    </w:p>
    <w:p w14:paraId="0106330D" w14:textId="77777777" w:rsidR="008877F8" w:rsidRPr="00A942F6" w:rsidRDefault="008877F8" w:rsidP="00641834">
      <w:pPr>
        <w:rPr>
          <w:lang w:val="nb-NO"/>
        </w:rPr>
      </w:pPr>
    </w:p>
    <w:p w14:paraId="65E126D4" w14:textId="77777777" w:rsidR="008877F8" w:rsidRPr="00A942F6" w:rsidRDefault="008877F8" w:rsidP="00641834">
      <w:pPr>
        <w:pStyle w:val="Style1Iitaic"/>
        <w:rPr>
          <w:lang w:val="nb-NO"/>
        </w:rPr>
      </w:pPr>
      <w:r w:rsidRPr="00A942F6">
        <w:rPr>
          <w:lang w:val="nb-NO"/>
        </w:rPr>
        <w:t>Gastrointestinale perforasjoner</w:t>
      </w:r>
    </w:p>
    <w:p w14:paraId="099B7A32" w14:textId="002F7FB3" w:rsidR="008877F8" w:rsidRPr="00A942F6" w:rsidRDefault="008877F8" w:rsidP="00641834">
      <w:pPr>
        <w:rPr>
          <w:lang w:val="nb-NO"/>
        </w:rPr>
      </w:pPr>
      <w:r w:rsidRPr="00A942F6">
        <w:rPr>
          <w:lang w:val="nb-NO"/>
        </w:rPr>
        <w:t>I løpet av de kontrollerte 6-måneders kliniske studiene var raten av gastrointestinale perforasjoner 0,26</w:t>
      </w:r>
      <w:r w:rsidR="00C02048" w:rsidRPr="00A942F6">
        <w:rPr>
          <w:lang w:val="nb-NO"/>
        </w:rPr>
        <w:t> </w:t>
      </w:r>
      <w:r w:rsidRPr="00A942F6">
        <w:rPr>
          <w:lang w:val="nb-NO"/>
        </w:rPr>
        <w:t xml:space="preserve">tilfeller per 100 pasientår med </w:t>
      </w:r>
      <w:r w:rsidR="000850FE" w:rsidRPr="00A942F6">
        <w:rPr>
          <w:lang w:val="nb-NO"/>
        </w:rPr>
        <w:t>tocilizumab</w:t>
      </w:r>
      <w:r w:rsidRPr="00A942F6">
        <w:rPr>
          <w:lang w:val="nb-NO"/>
        </w:rPr>
        <w:t xml:space="preserve">-behandling. I populasjonen for langtidseksponering var den totale raten av gastrointestinale perforasjoner 0,28 tilfeller per 100 pasientår. Rapporter om gastrointestinale perforasjoner fra </w:t>
      </w:r>
      <w:r w:rsidR="000850FE" w:rsidRPr="00A942F6">
        <w:rPr>
          <w:lang w:val="nb-NO"/>
        </w:rPr>
        <w:t>tocilizumab</w:t>
      </w:r>
      <w:r w:rsidRPr="00A942F6">
        <w:rPr>
          <w:lang w:val="nb-NO"/>
        </w:rPr>
        <w:t xml:space="preserve"> var primært rapportert som komplikasjoner av divertikulitt inkludert generalisert purulent peritonitt, nedre gastrointestinale perforasjoner, fistler og abscesser.</w:t>
      </w:r>
    </w:p>
    <w:p w14:paraId="2CAB93AD" w14:textId="77777777" w:rsidR="008877F8" w:rsidRPr="00A942F6" w:rsidRDefault="008877F8" w:rsidP="00641834">
      <w:pPr>
        <w:rPr>
          <w:lang w:val="nb-NO"/>
        </w:rPr>
      </w:pPr>
    </w:p>
    <w:p w14:paraId="4D4D2093" w14:textId="77777777" w:rsidR="008877F8" w:rsidRPr="00A942F6" w:rsidRDefault="008877F8" w:rsidP="00641834">
      <w:pPr>
        <w:pStyle w:val="Style1Iitaic"/>
        <w:rPr>
          <w:lang w:val="nb-NO"/>
        </w:rPr>
      </w:pPr>
      <w:r w:rsidRPr="00A942F6">
        <w:rPr>
          <w:lang w:val="nb-NO"/>
        </w:rPr>
        <w:t>Infusjonsrelaterte reaksjoner</w:t>
      </w:r>
    </w:p>
    <w:p w14:paraId="22E7813E" w14:textId="77777777" w:rsidR="008877F8" w:rsidRPr="00A942F6" w:rsidRDefault="008877F8" w:rsidP="00641834">
      <w:pPr>
        <w:rPr>
          <w:lang w:val="nb-NO"/>
        </w:rPr>
      </w:pPr>
      <w:r w:rsidRPr="00A942F6">
        <w:rPr>
          <w:lang w:val="nb-NO"/>
        </w:rPr>
        <w:t>I de 6-måneders kontrollerte studiene var bivirkninger forbundet med infusjon (utvalgte hendelser som oppstod i løpet av eller innen 24 timer etter infusjon) rapportert hos 6,9 % av pasientene i gruppen som fikk tocilizumab 8 mg/kg pluss DMARD og hos 5,1 % i gruppen som ble fikk placebo pluss DMARD. Hendelser rapportert i løpet av infusjonen var primært hypertensjon. Hendelser som ble rapportert innen 24 timer etter avsluttet infusjon var hodepine og hudreaksjoner (utslett, urtikaria). Disse hendelsene begrenset ikke behandlingen.</w:t>
      </w:r>
    </w:p>
    <w:p w14:paraId="2655F932" w14:textId="77777777" w:rsidR="00774072" w:rsidRPr="00A942F6" w:rsidRDefault="00774072" w:rsidP="00641834">
      <w:pPr>
        <w:rPr>
          <w:lang w:val="nb-NO"/>
        </w:rPr>
      </w:pPr>
    </w:p>
    <w:p w14:paraId="4B45CC8E" w14:textId="4C90E39E" w:rsidR="008877F8" w:rsidRPr="00A942F6" w:rsidRDefault="008877F8" w:rsidP="00641834">
      <w:pPr>
        <w:rPr>
          <w:lang w:val="nb-NO"/>
        </w:rPr>
      </w:pPr>
      <w:r w:rsidRPr="00A942F6">
        <w:rPr>
          <w:lang w:val="nb-NO"/>
        </w:rPr>
        <w:t xml:space="preserve">Hyppigheten av anafylaktiske reaksjoner (oppstod hos totalt 6 av 3778 pasienter, 0,2 %) var flere ganger høyere med dosering 4 mg/kg enn med dosering 8 mg/kg. Klinisk signifikante hypersensitivitetsreaksjoner som var forbundet med </w:t>
      </w:r>
      <w:r w:rsidR="000850FE" w:rsidRPr="00A942F6">
        <w:rPr>
          <w:lang w:val="nb-NO"/>
        </w:rPr>
        <w:t>tocilizumab</w:t>
      </w:r>
      <w:r w:rsidRPr="00A942F6">
        <w:rPr>
          <w:lang w:val="nb-NO"/>
        </w:rPr>
        <w:t xml:space="preserve">, og som nødvendiggjorde behandlingsstans, ble rapportert hos totalt 13 av 3778 pasienter (0,3 %) behandlet med </w:t>
      </w:r>
      <w:r w:rsidR="000850FE" w:rsidRPr="00A942F6">
        <w:rPr>
          <w:lang w:val="nb-NO"/>
        </w:rPr>
        <w:t>tocilizumab</w:t>
      </w:r>
      <w:r w:rsidRPr="00A942F6">
        <w:rPr>
          <w:lang w:val="nb-NO"/>
        </w:rPr>
        <w:t xml:space="preserve"> i de kontrollerte og åpne, kliniske studiene. Disse reaksjonene ble hovedsakelig observert i løpet av andre til femte infusjon med tocilizumab (se pkt. 4.4). Etter markedsføring har fatal anafylaksi blitt rapportert under behandling med intravenøs </w:t>
      </w:r>
      <w:r w:rsidR="000850FE" w:rsidRPr="00A942F6">
        <w:rPr>
          <w:lang w:val="nb-NO"/>
        </w:rPr>
        <w:t>tocilizumab</w:t>
      </w:r>
      <w:r w:rsidRPr="00A942F6">
        <w:rPr>
          <w:lang w:val="nb-NO"/>
        </w:rPr>
        <w:t xml:space="preserve"> (se pkt. 4.4).</w:t>
      </w:r>
    </w:p>
    <w:p w14:paraId="4FC531CF" w14:textId="77777777" w:rsidR="00774072" w:rsidRPr="00A942F6" w:rsidRDefault="00774072" w:rsidP="00641834">
      <w:pPr>
        <w:rPr>
          <w:lang w:val="nb-NO"/>
        </w:rPr>
      </w:pPr>
    </w:p>
    <w:p w14:paraId="34CFE97E" w14:textId="77777777" w:rsidR="008877F8" w:rsidRPr="00A942F6" w:rsidRDefault="008877F8" w:rsidP="00641834">
      <w:pPr>
        <w:pStyle w:val="Style1Iitaic"/>
        <w:rPr>
          <w:lang w:val="nb-NO"/>
        </w:rPr>
      </w:pPr>
      <w:r w:rsidRPr="00A942F6">
        <w:rPr>
          <w:lang w:val="nb-NO"/>
        </w:rPr>
        <w:t>Hematologiske forandringer:</w:t>
      </w:r>
    </w:p>
    <w:p w14:paraId="273D5C6B" w14:textId="77777777" w:rsidR="008877F8" w:rsidRPr="00A942F6" w:rsidRDefault="008877F8" w:rsidP="00641834">
      <w:pPr>
        <w:pStyle w:val="Style1Iitaic"/>
        <w:rPr>
          <w:lang w:val="nb-NO"/>
        </w:rPr>
      </w:pPr>
      <w:r w:rsidRPr="00A942F6">
        <w:rPr>
          <w:lang w:val="nb-NO"/>
        </w:rPr>
        <w:t>Nøytrofiler</w:t>
      </w:r>
    </w:p>
    <w:p w14:paraId="780F3FF2" w14:textId="4817A9BC" w:rsidR="008877F8" w:rsidRPr="00A942F6" w:rsidRDefault="008877F8" w:rsidP="00641834">
      <w:pPr>
        <w:rPr>
          <w:lang w:val="nb-NO"/>
        </w:rPr>
      </w:pPr>
      <w:r w:rsidRPr="00A942F6">
        <w:rPr>
          <w:lang w:val="nb-NO"/>
        </w:rPr>
        <w:t>I de 6-måneders kontrollerte studiene oppstod reduksjon i antall nøytrofile granulocytter &lt; 1 x 10</w:t>
      </w:r>
      <w:r w:rsidRPr="00A942F6">
        <w:rPr>
          <w:vertAlign w:val="superscript"/>
          <w:lang w:val="nb-NO"/>
        </w:rPr>
        <w:t>9</w:t>
      </w:r>
      <w:r w:rsidRPr="00A942F6">
        <w:rPr>
          <w:lang w:val="nb-NO"/>
        </w:rPr>
        <w:t xml:space="preserve">/l hos 3,4 % av pasientene som fikk </w:t>
      </w:r>
      <w:r w:rsidR="000850FE" w:rsidRPr="00A942F6">
        <w:rPr>
          <w:lang w:val="nb-NO"/>
        </w:rPr>
        <w:t>tocilizumab</w:t>
      </w:r>
      <w:r w:rsidRPr="00A942F6">
        <w:rPr>
          <w:lang w:val="nb-NO"/>
        </w:rPr>
        <w:t xml:space="preserve"> 8 mg/kg pluss DMARDs sammenlignet med &lt; 0,1 % av pasientene som fikk placebo pluss DMARDs. Omtrent halvparten av pasientene som utviklet ANC &lt;</w:t>
      </w:r>
      <w:r w:rsidR="00FC420A">
        <w:rPr>
          <w:lang w:val="nb-NO"/>
        </w:rPr>
        <w:t> </w:t>
      </w:r>
      <w:r w:rsidRPr="00A942F6">
        <w:rPr>
          <w:lang w:val="nb-NO"/>
        </w:rPr>
        <w:t>1</w:t>
      </w:r>
      <w:r w:rsidR="00FC420A">
        <w:rPr>
          <w:lang w:val="nb-NO"/>
        </w:rPr>
        <w:t> </w:t>
      </w:r>
      <w:r w:rsidRPr="00A942F6">
        <w:rPr>
          <w:lang w:val="nb-NO"/>
        </w:rPr>
        <w:t>x 10</w:t>
      </w:r>
      <w:r w:rsidRPr="00A942F6">
        <w:rPr>
          <w:vertAlign w:val="superscript"/>
          <w:lang w:val="nb-NO"/>
        </w:rPr>
        <w:t>9</w:t>
      </w:r>
      <w:r w:rsidRPr="00A942F6">
        <w:rPr>
          <w:lang w:val="nb-NO"/>
        </w:rPr>
        <w:t>/l gjorde det innen 8 uker etter terapistart. Reduksjon til &lt; 0,5 x 10</w:t>
      </w:r>
      <w:r w:rsidRPr="00A942F6">
        <w:rPr>
          <w:vertAlign w:val="superscript"/>
          <w:lang w:val="nb-NO"/>
        </w:rPr>
        <w:t>9</w:t>
      </w:r>
      <w:r w:rsidRPr="00A942F6">
        <w:rPr>
          <w:lang w:val="nb-NO"/>
        </w:rPr>
        <w:t xml:space="preserve">/l ble rapportert hos 0,3 % av pasientene som fikk </w:t>
      </w:r>
      <w:r w:rsidR="000850FE" w:rsidRPr="00A942F6">
        <w:rPr>
          <w:lang w:val="nb-NO"/>
        </w:rPr>
        <w:t>tocilizumab</w:t>
      </w:r>
      <w:r w:rsidRPr="00A942F6">
        <w:rPr>
          <w:lang w:val="nb-NO"/>
        </w:rPr>
        <w:t xml:space="preserve"> 8 mg/kg pluss DMARDs. Infeksjoner med nøytropeni har vært rapportert.</w:t>
      </w:r>
    </w:p>
    <w:p w14:paraId="7C152743" w14:textId="77777777" w:rsidR="00774072" w:rsidRPr="00A942F6" w:rsidRDefault="00774072" w:rsidP="00641834">
      <w:pPr>
        <w:rPr>
          <w:lang w:val="nb-NO"/>
        </w:rPr>
      </w:pPr>
    </w:p>
    <w:p w14:paraId="52903B63" w14:textId="77777777" w:rsidR="008877F8" w:rsidRPr="00A942F6" w:rsidRDefault="008877F8" w:rsidP="00641834">
      <w:pPr>
        <w:rPr>
          <w:lang w:val="nb-NO"/>
        </w:rPr>
      </w:pPr>
      <w:r w:rsidRPr="00A942F6">
        <w:rPr>
          <w:lang w:val="nb-NO"/>
        </w:rPr>
        <w:t>I løpet av den dobbeltblinde kontrollerte perioden og med langtidseksponering, var det tendens og tilfeller av reduksjon i antall nøytrofile som var konsekvent med det som var sett i den 6-måneders kontrollerte kliniske studien.</w:t>
      </w:r>
    </w:p>
    <w:p w14:paraId="02431D29" w14:textId="77777777" w:rsidR="008877F8" w:rsidRPr="00A942F6" w:rsidRDefault="008877F8" w:rsidP="00641834">
      <w:pPr>
        <w:rPr>
          <w:lang w:val="nb-NO"/>
        </w:rPr>
      </w:pPr>
    </w:p>
    <w:p w14:paraId="63C2595A" w14:textId="77777777" w:rsidR="008877F8" w:rsidRPr="00A942F6" w:rsidRDefault="008877F8" w:rsidP="00641834">
      <w:pPr>
        <w:pStyle w:val="Style1Iitaic"/>
        <w:rPr>
          <w:lang w:val="nb-NO"/>
        </w:rPr>
      </w:pPr>
      <w:r w:rsidRPr="00A942F6">
        <w:rPr>
          <w:lang w:val="nb-NO"/>
        </w:rPr>
        <w:t>Blodplater</w:t>
      </w:r>
    </w:p>
    <w:p w14:paraId="31EAB906" w14:textId="4ED7745A" w:rsidR="008877F8" w:rsidRPr="00A942F6" w:rsidRDefault="008877F8" w:rsidP="00641834">
      <w:pPr>
        <w:rPr>
          <w:lang w:val="nb-NO"/>
        </w:rPr>
      </w:pPr>
      <w:r w:rsidRPr="00A942F6">
        <w:rPr>
          <w:lang w:val="nb-NO"/>
        </w:rPr>
        <w:t>I de 6-måneders kontrollerte studiene oppstod det reduksjon i platetall til &lt; 100 x 10</w:t>
      </w:r>
      <w:r w:rsidRPr="00A942F6">
        <w:rPr>
          <w:vertAlign w:val="superscript"/>
          <w:lang w:val="nb-NO"/>
        </w:rPr>
        <w:t>3</w:t>
      </w:r>
      <w:r w:rsidRPr="00A942F6">
        <w:rPr>
          <w:lang w:val="nb-NO"/>
        </w:rPr>
        <w:t xml:space="preserve">/µl hos 1,7 % av pasientene som fikk </w:t>
      </w:r>
      <w:r w:rsidR="000850FE" w:rsidRPr="00A942F6">
        <w:rPr>
          <w:lang w:val="nb-NO"/>
        </w:rPr>
        <w:t>tocilizumab</w:t>
      </w:r>
      <w:r w:rsidRPr="00A942F6">
        <w:rPr>
          <w:lang w:val="nb-NO"/>
        </w:rPr>
        <w:t xml:space="preserve"> 8 mg/kg pluss DMARDs sammenlignet med &lt; 1 % av de som fikk placebo pluss DMARDs. Disse reduksjonene oppstod uten at blødninger ble rapportert.</w:t>
      </w:r>
    </w:p>
    <w:p w14:paraId="14C8F82B" w14:textId="77777777" w:rsidR="008877F8" w:rsidRPr="00A942F6" w:rsidRDefault="008877F8" w:rsidP="00641834">
      <w:pPr>
        <w:rPr>
          <w:lang w:val="nb-NO"/>
        </w:rPr>
      </w:pPr>
    </w:p>
    <w:p w14:paraId="7CE54D0E" w14:textId="77777777" w:rsidR="008877F8" w:rsidRPr="00A942F6" w:rsidRDefault="008877F8" w:rsidP="00641834">
      <w:pPr>
        <w:rPr>
          <w:lang w:val="nb-NO"/>
        </w:rPr>
      </w:pPr>
      <w:r w:rsidRPr="00A942F6">
        <w:rPr>
          <w:lang w:val="nb-NO"/>
        </w:rPr>
        <w:t>I løpet av den dobbeltblinde kontrollerte perioden og med langtids-eksponering, var det tendens og tilfeller av reduksjon i antall blodplater som var samsvarende med det som var sett i den 6-måneders klinisk kontrollerte studien.</w:t>
      </w:r>
    </w:p>
    <w:p w14:paraId="03C9FE36" w14:textId="77777777" w:rsidR="008877F8" w:rsidRPr="00A942F6" w:rsidRDefault="008877F8" w:rsidP="00641834">
      <w:pPr>
        <w:rPr>
          <w:lang w:val="nb-NO"/>
        </w:rPr>
      </w:pPr>
    </w:p>
    <w:p w14:paraId="772A1549" w14:textId="77777777" w:rsidR="008877F8" w:rsidRPr="00A942F6" w:rsidRDefault="008877F8" w:rsidP="00641834">
      <w:pPr>
        <w:rPr>
          <w:lang w:val="nb-NO"/>
        </w:rPr>
      </w:pPr>
      <w:r w:rsidRPr="00A942F6">
        <w:rPr>
          <w:lang w:val="nb-NO"/>
        </w:rPr>
        <w:t>Svært sjeldne tilfeller av pancytopeni er rapportert etter markedsføring.</w:t>
      </w:r>
    </w:p>
    <w:p w14:paraId="247F9026" w14:textId="77777777" w:rsidR="008877F8" w:rsidRPr="00A942F6" w:rsidRDefault="008877F8" w:rsidP="00641834">
      <w:pPr>
        <w:rPr>
          <w:lang w:val="nb-NO"/>
        </w:rPr>
      </w:pPr>
    </w:p>
    <w:p w14:paraId="4CC9DABE" w14:textId="77777777" w:rsidR="008877F8" w:rsidRPr="00A942F6" w:rsidRDefault="008877F8" w:rsidP="00641834">
      <w:pPr>
        <w:pStyle w:val="Style1Iitaic"/>
        <w:rPr>
          <w:lang w:val="nb-NO"/>
        </w:rPr>
      </w:pPr>
      <w:r w:rsidRPr="00A942F6">
        <w:rPr>
          <w:lang w:val="nb-NO"/>
        </w:rPr>
        <w:t>Økning av hepatiske transaminaser</w:t>
      </w:r>
    </w:p>
    <w:p w14:paraId="76D99C2A" w14:textId="610262E7" w:rsidR="008877F8" w:rsidRPr="00A942F6" w:rsidRDefault="008877F8" w:rsidP="00641834">
      <w:pPr>
        <w:rPr>
          <w:lang w:val="nb-NO"/>
        </w:rPr>
      </w:pPr>
      <w:r w:rsidRPr="00A942F6">
        <w:rPr>
          <w:lang w:val="nb-NO"/>
        </w:rPr>
        <w:t>I løpet av de 6-måneders kontrollerte studiene oppstod det forbigående forhøyelser av ALAT/ASAT</w:t>
      </w:r>
      <w:r w:rsidR="00C02048" w:rsidRPr="00A942F6">
        <w:rPr>
          <w:lang w:val="nb-NO"/>
        </w:rPr>
        <w:t xml:space="preserve"> </w:t>
      </w:r>
      <w:r w:rsidRPr="00A942F6">
        <w:rPr>
          <w:lang w:val="nb-NO"/>
        </w:rPr>
        <w:t>&gt;</w:t>
      </w:r>
      <w:r w:rsidR="00C02048" w:rsidRPr="00A942F6">
        <w:rPr>
          <w:lang w:val="nb-NO"/>
        </w:rPr>
        <w:t> </w:t>
      </w:r>
      <w:r w:rsidRPr="00A942F6">
        <w:rPr>
          <w:lang w:val="nb-NO"/>
        </w:rPr>
        <w:t xml:space="preserve">3 x øvre normalverdi hos 2,1 % av pasientene som fikk </w:t>
      </w:r>
      <w:r w:rsidR="000850FE" w:rsidRPr="00A942F6">
        <w:rPr>
          <w:lang w:val="nb-NO"/>
        </w:rPr>
        <w:t>tocilizumab</w:t>
      </w:r>
      <w:r w:rsidRPr="00A942F6">
        <w:rPr>
          <w:lang w:val="nb-NO"/>
        </w:rPr>
        <w:t xml:space="preserve"> 8 mg/kg mot 4,9 % av pasientene som fikk metotreksat og hos 6,5 % av pasientene som fikk </w:t>
      </w:r>
      <w:r w:rsidR="000850FE" w:rsidRPr="00A942F6">
        <w:rPr>
          <w:lang w:val="nb-NO"/>
        </w:rPr>
        <w:t>tocilizumab</w:t>
      </w:r>
      <w:r w:rsidRPr="00A942F6">
        <w:rPr>
          <w:lang w:val="nb-NO"/>
        </w:rPr>
        <w:t xml:space="preserve"> 8 mg/kg pluss DMARDs mot 1,5 % av pasientene som fikk placebo pluss DMARDs.</w:t>
      </w:r>
    </w:p>
    <w:p w14:paraId="1548DBBD" w14:textId="77777777" w:rsidR="008877F8" w:rsidRPr="00A942F6" w:rsidRDefault="008877F8" w:rsidP="00641834">
      <w:pPr>
        <w:rPr>
          <w:lang w:val="nb-NO"/>
        </w:rPr>
      </w:pPr>
    </w:p>
    <w:p w14:paraId="2722AB77" w14:textId="161041AA" w:rsidR="008877F8" w:rsidRPr="00A942F6" w:rsidRDefault="008877F8" w:rsidP="00641834">
      <w:pPr>
        <w:rPr>
          <w:lang w:val="nb-NO"/>
        </w:rPr>
      </w:pPr>
      <w:r w:rsidRPr="00A942F6">
        <w:rPr>
          <w:lang w:val="nb-NO"/>
        </w:rPr>
        <w:t xml:space="preserve">Tillegg av potensielt hepatotoksiske legemidler (f. eks. metotreksat) til monoterapi med </w:t>
      </w:r>
      <w:r w:rsidR="000850FE" w:rsidRPr="00A942F6">
        <w:rPr>
          <w:lang w:val="nb-NO"/>
        </w:rPr>
        <w:t>tocilizumab</w:t>
      </w:r>
      <w:r w:rsidRPr="00A942F6">
        <w:rPr>
          <w:lang w:val="nb-NO"/>
        </w:rPr>
        <w:t xml:space="preserve"> resulterte i økt hyppighet av forhøyede leverenzymer. Forhøyelser av ALAT/ASAT &gt; 5 x øvre normalverdi ble observert hos 0,7 % av pasienter som fikk </w:t>
      </w:r>
      <w:r w:rsidR="000850FE" w:rsidRPr="00A942F6">
        <w:rPr>
          <w:lang w:val="nb-NO"/>
        </w:rPr>
        <w:t>tocilizumab</w:t>
      </w:r>
      <w:r w:rsidRPr="00A942F6">
        <w:rPr>
          <w:lang w:val="nb-NO"/>
        </w:rPr>
        <w:t xml:space="preserve"> som monoterapi og hos 1,4 % av pasienter som fikk </w:t>
      </w:r>
      <w:r w:rsidR="000850FE" w:rsidRPr="00A942F6">
        <w:rPr>
          <w:lang w:val="nb-NO"/>
        </w:rPr>
        <w:t>tocilizumab</w:t>
      </w:r>
      <w:r w:rsidRPr="00A942F6">
        <w:rPr>
          <w:lang w:val="nb-NO"/>
        </w:rPr>
        <w:t xml:space="preserve"> pluss DMARDs. For de fleste av disse ble behandlingen med tocilizumab permanent seponert. Insidens av indirekte bilirubinverdier over øvre normalgrense, påvist i rutineprøver, er 6,2 % hos pasienter behandlet med 8 mg/kg </w:t>
      </w:r>
      <w:r w:rsidR="000850FE" w:rsidRPr="00A942F6">
        <w:rPr>
          <w:lang w:val="nb-NO"/>
        </w:rPr>
        <w:t>tocilizumab</w:t>
      </w:r>
      <w:r w:rsidRPr="00A942F6">
        <w:rPr>
          <w:lang w:val="nb-NO"/>
        </w:rPr>
        <w:t xml:space="preserve"> + DMARD i løpet av den dobbeltblinde kontrollperioden. En total på 5,8 % av pasientene fikk forhøyete verdier for indirekte bilirubin på &gt; 1 til 2 x ULN og 0,4 % hadde en økning på &gt; 2 x ULN.</w:t>
      </w:r>
    </w:p>
    <w:p w14:paraId="7818CAD8" w14:textId="77777777" w:rsidR="008877F8" w:rsidRPr="00A942F6" w:rsidRDefault="008877F8" w:rsidP="00641834">
      <w:pPr>
        <w:rPr>
          <w:lang w:val="nb-NO"/>
        </w:rPr>
      </w:pPr>
    </w:p>
    <w:p w14:paraId="6A2ABFC5" w14:textId="77777777" w:rsidR="008877F8" w:rsidRPr="00A942F6" w:rsidRDefault="008877F8" w:rsidP="00641834">
      <w:pPr>
        <w:rPr>
          <w:lang w:val="nb-NO"/>
        </w:rPr>
      </w:pPr>
      <w:r w:rsidRPr="00A942F6">
        <w:rPr>
          <w:lang w:val="nb-NO"/>
        </w:rPr>
        <w:lastRenderedPageBreak/>
        <w:t>I løpet av den dobbeltblinde kontrollerte perioden og med langtidseksponering, var det tendens og tilfeller av forhøyelser av ALAT/ASAT samsvarende med det som var sett i den 6-måneders klinisk kontrollerte studien.</w:t>
      </w:r>
    </w:p>
    <w:p w14:paraId="050BD9C9" w14:textId="77777777" w:rsidR="00774072" w:rsidRPr="00A942F6" w:rsidRDefault="00774072" w:rsidP="00641834">
      <w:pPr>
        <w:rPr>
          <w:lang w:val="nb-NO"/>
        </w:rPr>
      </w:pPr>
    </w:p>
    <w:p w14:paraId="32AEB91B" w14:textId="77777777" w:rsidR="008877F8" w:rsidRPr="00A942F6" w:rsidRDefault="008877F8" w:rsidP="00641834">
      <w:pPr>
        <w:pStyle w:val="Style1Iitaic"/>
        <w:rPr>
          <w:lang w:val="nb-NO"/>
        </w:rPr>
      </w:pPr>
      <w:r w:rsidRPr="00A942F6">
        <w:rPr>
          <w:lang w:val="nb-NO"/>
        </w:rPr>
        <w:t>Lipidparametere</w:t>
      </w:r>
    </w:p>
    <w:p w14:paraId="7400066A" w14:textId="08B3D9D3" w:rsidR="008877F8" w:rsidRPr="00A942F6" w:rsidRDefault="008877F8" w:rsidP="00641834">
      <w:pPr>
        <w:rPr>
          <w:lang w:val="nb-NO"/>
        </w:rPr>
      </w:pPr>
      <w:r w:rsidRPr="00A942F6">
        <w:rPr>
          <w:lang w:val="nb-NO"/>
        </w:rPr>
        <w:t xml:space="preserve">I de kontrollerte 6-måneders-studiene ble økning av lipidparametere som total kolesterol, triglycerider, LDL-kolesterol og/eller HDL-kolesterol ofte observert. Ved rutinemonitorering fikk ca. 24 % av pasientene som fikk </w:t>
      </w:r>
      <w:r w:rsidR="000850FE" w:rsidRPr="00A942F6">
        <w:rPr>
          <w:lang w:val="nb-NO"/>
        </w:rPr>
        <w:t>tocilizumab</w:t>
      </w:r>
      <w:r w:rsidRPr="00A942F6">
        <w:rPr>
          <w:lang w:val="nb-NO"/>
        </w:rPr>
        <w:t xml:space="preserve"> i kliniske studier påvist vedvarende økning i totalkolesterol </w:t>
      </w:r>
      <w:r w:rsidRPr="00A942F6">
        <w:rPr>
          <w:rFonts w:cs="Times New Roman"/>
          <w:lang w:val="nb-NO"/>
        </w:rPr>
        <w:t>≥</w:t>
      </w:r>
      <w:r w:rsidR="00C02048" w:rsidRPr="00A942F6">
        <w:rPr>
          <w:rFonts w:cs="Times New Roman"/>
          <w:lang w:val="nb-NO"/>
        </w:rPr>
        <w:t> </w:t>
      </w:r>
      <w:r w:rsidRPr="00A942F6">
        <w:rPr>
          <w:lang w:val="nb-NO"/>
        </w:rPr>
        <w:t>6,2</w:t>
      </w:r>
      <w:r w:rsidR="00C02048" w:rsidRPr="00A942F6">
        <w:rPr>
          <w:lang w:val="nb-NO"/>
        </w:rPr>
        <w:t> </w:t>
      </w:r>
      <w:r w:rsidRPr="00A942F6">
        <w:rPr>
          <w:lang w:val="nb-NO"/>
        </w:rPr>
        <w:t xml:space="preserve">mmol/l, og 15 % opplevde en vedvarende økning i LDL til </w:t>
      </w:r>
      <w:r w:rsidRPr="00A942F6">
        <w:rPr>
          <w:rFonts w:cs="Times New Roman"/>
          <w:lang w:val="nb-NO"/>
        </w:rPr>
        <w:t>≥</w:t>
      </w:r>
      <w:r w:rsidRPr="00A942F6">
        <w:rPr>
          <w:lang w:val="nb-NO"/>
        </w:rPr>
        <w:t xml:space="preserve"> 4,1 mmol/l. Forhøyede lipidparametere responderte på behandling med lipidsenkende legemidler.</w:t>
      </w:r>
    </w:p>
    <w:p w14:paraId="400306E5" w14:textId="77777777" w:rsidR="00774072" w:rsidRPr="00A942F6" w:rsidRDefault="00774072" w:rsidP="00641834">
      <w:pPr>
        <w:rPr>
          <w:lang w:val="nb-NO"/>
        </w:rPr>
      </w:pPr>
    </w:p>
    <w:p w14:paraId="4F2C58BB" w14:textId="77777777" w:rsidR="008877F8" w:rsidRPr="00A942F6" w:rsidRDefault="008877F8" w:rsidP="00641834">
      <w:pPr>
        <w:rPr>
          <w:lang w:val="nb-NO"/>
        </w:rPr>
      </w:pPr>
      <w:r w:rsidRPr="00A942F6">
        <w:rPr>
          <w:lang w:val="nb-NO"/>
        </w:rPr>
        <w:t>I løpet av den dobbeltblinde kontrollerte perioden og med langtidseksponering, var det tendens og tilfeller av økning i lipidparameterne som var samsvarende med det som var sett i den 6-måneders kontrollerte studien.</w:t>
      </w:r>
    </w:p>
    <w:p w14:paraId="7354DA18" w14:textId="77777777" w:rsidR="008877F8" w:rsidRPr="00A942F6" w:rsidRDefault="008877F8" w:rsidP="00641834">
      <w:pPr>
        <w:rPr>
          <w:lang w:val="nb-NO"/>
        </w:rPr>
      </w:pPr>
    </w:p>
    <w:p w14:paraId="193FB498" w14:textId="77777777" w:rsidR="008877F8" w:rsidRPr="00A942F6" w:rsidRDefault="008877F8" w:rsidP="00641834">
      <w:pPr>
        <w:pStyle w:val="Style1Iitaic"/>
        <w:rPr>
          <w:lang w:val="nb-NO"/>
        </w:rPr>
      </w:pPr>
      <w:r w:rsidRPr="00A942F6">
        <w:rPr>
          <w:lang w:val="nb-NO"/>
        </w:rPr>
        <w:t>Maligniteter</w:t>
      </w:r>
    </w:p>
    <w:p w14:paraId="3BFFF805" w14:textId="76B81691" w:rsidR="008877F8" w:rsidRPr="00A942F6" w:rsidRDefault="008877F8" w:rsidP="00641834">
      <w:pPr>
        <w:rPr>
          <w:lang w:val="nb-NO"/>
        </w:rPr>
      </w:pPr>
      <w:r w:rsidRPr="00A942F6">
        <w:rPr>
          <w:lang w:val="nb-NO"/>
        </w:rPr>
        <w:t xml:space="preserve">De kliniske data er utilstrekkelige for å fastslå insidens av malign sykdom etter eksponering for </w:t>
      </w:r>
      <w:r w:rsidR="000850FE" w:rsidRPr="00A942F6">
        <w:rPr>
          <w:lang w:val="nb-NO"/>
        </w:rPr>
        <w:t>tocilizumab</w:t>
      </w:r>
      <w:r w:rsidRPr="00A942F6">
        <w:rPr>
          <w:lang w:val="nb-NO"/>
        </w:rPr>
        <w:t>. Langvarige sikkerhetsstudier pågår.</w:t>
      </w:r>
    </w:p>
    <w:p w14:paraId="65DAB89F" w14:textId="77777777" w:rsidR="00C02048" w:rsidRPr="00A942F6" w:rsidRDefault="00C02048" w:rsidP="00641834">
      <w:pPr>
        <w:pStyle w:val="Style1Iitaic"/>
        <w:rPr>
          <w:lang w:val="nb-NO"/>
        </w:rPr>
      </w:pPr>
    </w:p>
    <w:p w14:paraId="12E99FAE" w14:textId="77777777" w:rsidR="008877F8" w:rsidRPr="00A942F6" w:rsidRDefault="008877F8" w:rsidP="00641834">
      <w:pPr>
        <w:pStyle w:val="Style1Iitaic"/>
        <w:rPr>
          <w:lang w:val="nb-NO"/>
        </w:rPr>
      </w:pPr>
      <w:r w:rsidRPr="00A942F6">
        <w:rPr>
          <w:lang w:val="nb-NO"/>
        </w:rPr>
        <w:t>Hudreaksjoner</w:t>
      </w:r>
    </w:p>
    <w:p w14:paraId="279F899D" w14:textId="77777777" w:rsidR="008877F8" w:rsidRPr="00A942F6" w:rsidRDefault="008877F8" w:rsidP="00641834">
      <w:pPr>
        <w:rPr>
          <w:lang w:val="nb-NO"/>
        </w:rPr>
      </w:pPr>
      <w:r w:rsidRPr="00A942F6">
        <w:rPr>
          <w:lang w:val="nb-NO"/>
        </w:rPr>
        <w:t>Sjeldne tilfeller av Stevens-Johnsons syndrom er rapportert etter markedsføring.</w:t>
      </w:r>
    </w:p>
    <w:p w14:paraId="2E6F16BD" w14:textId="77777777" w:rsidR="008877F8" w:rsidRPr="00A942F6" w:rsidRDefault="008877F8" w:rsidP="00641834">
      <w:pPr>
        <w:rPr>
          <w:lang w:val="nb-NO"/>
        </w:rPr>
      </w:pPr>
    </w:p>
    <w:p w14:paraId="76C82E2B" w14:textId="77777777" w:rsidR="000850FE" w:rsidRPr="00A942F6" w:rsidRDefault="000850FE" w:rsidP="000850FE">
      <w:pPr>
        <w:rPr>
          <w:u w:val="single"/>
          <w:lang w:val="nb-NO"/>
        </w:rPr>
      </w:pPr>
      <w:r w:rsidRPr="00A942F6">
        <w:rPr>
          <w:u w:val="single"/>
          <w:lang w:val="nb-NO"/>
        </w:rPr>
        <w:t>Immunogenisitet</w:t>
      </w:r>
    </w:p>
    <w:p w14:paraId="78A01BD5" w14:textId="77777777" w:rsidR="000850FE" w:rsidRPr="00A942F6" w:rsidRDefault="000850FE" w:rsidP="000850FE">
      <w:pPr>
        <w:rPr>
          <w:lang w:val="nb-NO"/>
        </w:rPr>
      </w:pPr>
      <w:r w:rsidRPr="00A942F6">
        <w:rPr>
          <w:lang w:val="nb-NO"/>
        </w:rPr>
        <w:t>Anti</w:t>
      </w:r>
      <w:r w:rsidR="005C7089">
        <w:rPr>
          <w:lang w:val="nb-NO"/>
        </w:rPr>
        <w:noBreakHyphen/>
      </w:r>
      <w:r w:rsidRPr="00A942F6">
        <w:rPr>
          <w:lang w:val="nb-NO"/>
        </w:rPr>
        <w:t>tocilizumab</w:t>
      </w:r>
      <w:r w:rsidR="005C7089">
        <w:rPr>
          <w:lang w:val="nb-NO"/>
        </w:rPr>
        <w:noBreakHyphen/>
      </w:r>
      <w:r w:rsidRPr="00A942F6">
        <w:rPr>
          <w:lang w:val="nb-NO"/>
        </w:rPr>
        <w:t>antistoffer kan utvikles under tocilizumab</w:t>
      </w:r>
      <w:r w:rsidR="005C7089">
        <w:rPr>
          <w:lang w:val="nb-NO"/>
        </w:rPr>
        <w:noBreakHyphen/>
      </w:r>
      <w:r w:rsidRPr="00A942F6">
        <w:rPr>
          <w:lang w:val="nb-NO"/>
        </w:rPr>
        <w:t xml:space="preserve">behandling. Korrelasjon mellom </w:t>
      </w:r>
      <w:r w:rsidR="0001390E" w:rsidRPr="00A942F6">
        <w:rPr>
          <w:lang w:val="nb-NO"/>
        </w:rPr>
        <w:t xml:space="preserve">utvikling av </w:t>
      </w:r>
      <w:r w:rsidRPr="00A942F6">
        <w:rPr>
          <w:lang w:val="nb-NO"/>
        </w:rPr>
        <w:t>antistoff</w:t>
      </w:r>
      <w:r w:rsidR="0001390E" w:rsidRPr="00A942F6">
        <w:rPr>
          <w:lang w:val="nb-NO"/>
        </w:rPr>
        <w:t>er</w:t>
      </w:r>
      <w:r w:rsidRPr="00A942F6">
        <w:rPr>
          <w:lang w:val="nb-NO"/>
        </w:rPr>
        <w:t xml:space="preserve"> og klinisk respons eller bivirkninger kan observeres.</w:t>
      </w:r>
    </w:p>
    <w:p w14:paraId="3158B018" w14:textId="77777777" w:rsidR="000850FE" w:rsidRPr="00A942F6" w:rsidRDefault="000850FE" w:rsidP="00641834">
      <w:pPr>
        <w:rPr>
          <w:lang w:val="nb-NO"/>
        </w:rPr>
      </w:pPr>
    </w:p>
    <w:p w14:paraId="326849FC" w14:textId="77777777" w:rsidR="008877F8" w:rsidRPr="00A942F6" w:rsidRDefault="008877F8" w:rsidP="00641834">
      <w:pPr>
        <w:pStyle w:val="Style1underline"/>
        <w:rPr>
          <w:lang w:val="nb-NO"/>
        </w:rPr>
      </w:pPr>
      <w:r w:rsidRPr="00A942F6">
        <w:rPr>
          <w:lang w:val="nb-NO"/>
        </w:rPr>
        <w:t>Melding av mistenkte bivirkninger</w:t>
      </w:r>
    </w:p>
    <w:p w14:paraId="65EB040A" w14:textId="77777777" w:rsidR="008877F8" w:rsidRPr="00A942F6" w:rsidRDefault="008877F8" w:rsidP="00641834">
      <w:pPr>
        <w:rPr>
          <w:lang w:val="nb-NO"/>
        </w:rPr>
      </w:pPr>
      <w:r w:rsidRPr="00A942F6">
        <w:rPr>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CB45D2">
        <w:rPr>
          <w:highlight w:val="lightGray"/>
          <w:shd w:val="pct35" w:color="auto" w:fill="auto"/>
          <w:lang w:val="nb-NO"/>
        </w:rPr>
        <w:t xml:space="preserve">det nasjonale meldesystemet som beskrevet i </w:t>
      </w:r>
      <w:hyperlink r:id="rId15" w:history="1">
        <w:r w:rsidRPr="00CB45D2">
          <w:rPr>
            <w:rStyle w:val="a6"/>
            <w:color w:val="0000FF"/>
            <w:highlight w:val="lightGray"/>
            <w:shd w:val="pct35" w:color="auto" w:fill="auto"/>
            <w:lang w:val="nb-NO"/>
          </w:rPr>
          <w:t>Appendix V</w:t>
        </w:r>
      </w:hyperlink>
      <w:r w:rsidRPr="00A942F6">
        <w:rPr>
          <w:lang w:val="nb-NO"/>
        </w:rPr>
        <w:t>.</w:t>
      </w:r>
    </w:p>
    <w:p w14:paraId="0406D605" w14:textId="77777777" w:rsidR="008877F8" w:rsidRPr="00A942F6" w:rsidRDefault="008877F8" w:rsidP="00641834">
      <w:pPr>
        <w:rPr>
          <w:lang w:val="nb-NO"/>
        </w:rPr>
      </w:pPr>
    </w:p>
    <w:p w14:paraId="154D1DE3" w14:textId="77777777" w:rsidR="008877F8" w:rsidRPr="00A942F6" w:rsidRDefault="008877F8" w:rsidP="00641834">
      <w:pPr>
        <w:pStyle w:val="H2"/>
        <w:rPr>
          <w:lang w:val="nb-NO"/>
        </w:rPr>
      </w:pPr>
      <w:r w:rsidRPr="00A942F6">
        <w:rPr>
          <w:lang w:val="nb-NO"/>
        </w:rPr>
        <w:t>4.9</w:t>
      </w:r>
      <w:r w:rsidRPr="00A942F6">
        <w:rPr>
          <w:lang w:val="nb-NO"/>
        </w:rPr>
        <w:tab/>
        <w:t>Overdosering</w:t>
      </w:r>
    </w:p>
    <w:p w14:paraId="4A805D6A" w14:textId="77777777" w:rsidR="00426296" w:rsidRPr="00A942F6" w:rsidRDefault="00426296" w:rsidP="00641834">
      <w:pPr>
        <w:pStyle w:val="H2"/>
        <w:rPr>
          <w:lang w:val="nb-NO"/>
        </w:rPr>
      </w:pPr>
    </w:p>
    <w:p w14:paraId="398C7E14" w14:textId="0F46AB3F" w:rsidR="008877F8" w:rsidRPr="00A942F6" w:rsidRDefault="008877F8" w:rsidP="00641834">
      <w:pPr>
        <w:rPr>
          <w:lang w:val="nb-NO"/>
        </w:rPr>
      </w:pPr>
      <w:r w:rsidRPr="00A942F6">
        <w:rPr>
          <w:lang w:val="nb-NO"/>
        </w:rPr>
        <w:t xml:space="preserve">Det er begrensede data tilgjengelig vedrørende overdosering av </w:t>
      </w:r>
      <w:r w:rsidR="000850FE" w:rsidRPr="00A942F6">
        <w:rPr>
          <w:lang w:val="nb-NO"/>
        </w:rPr>
        <w:t>tocilizumab</w:t>
      </w:r>
      <w:r w:rsidRPr="00A942F6">
        <w:rPr>
          <w:lang w:val="nb-NO"/>
        </w:rPr>
        <w:t>. Et tilfelle av utilsiktet overdosering ble rapportert der en pasient med multippelt myelom fikk en enkeltdose på 40 mg/kg administrert intravenøst. Ingen bivirkninger ble observert.</w:t>
      </w:r>
    </w:p>
    <w:p w14:paraId="5DCDA58C" w14:textId="77777777" w:rsidR="00774072" w:rsidRPr="00A942F6" w:rsidRDefault="00774072" w:rsidP="00641834">
      <w:pPr>
        <w:rPr>
          <w:lang w:val="nb-NO"/>
        </w:rPr>
      </w:pPr>
    </w:p>
    <w:p w14:paraId="3554D55C" w14:textId="77777777" w:rsidR="008877F8" w:rsidRPr="00A942F6" w:rsidRDefault="008877F8" w:rsidP="00641834">
      <w:pPr>
        <w:rPr>
          <w:lang w:val="nb-NO"/>
        </w:rPr>
      </w:pPr>
      <w:r w:rsidRPr="00A942F6">
        <w:rPr>
          <w:lang w:val="nb-NO"/>
        </w:rPr>
        <w:t>Ingen alvorlige bivirkninger ble observert hos friske frivillige som fikk enkeltdoser på opptil 28 mg/kg, selv om doseavhengig nøytropeni ble observert.</w:t>
      </w:r>
    </w:p>
    <w:p w14:paraId="1289FAAC" w14:textId="77777777" w:rsidR="008877F8" w:rsidRPr="00A942F6" w:rsidRDefault="008877F8" w:rsidP="00641834">
      <w:pPr>
        <w:rPr>
          <w:lang w:val="nb-NO"/>
        </w:rPr>
      </w:pPr>
    </w:p>
    <w:p w14:paraId="52626091" w14:textId="77777777" w:rsidR="00426296" w:rsidRPr="00A942F6" w:rsidRDefault="00426296" w:rsidP="00641834">
      <w:pPr>
        <w:rPr>
          <w:lang w:val="nb-NO"/>
        </w:rPr>
      </w:pPr>
    </w:p>
    <w:p w14:paraId="231F6A7A" w14:textId="77777777" w:rsidR="008877F8" w:rsidRPr="00A942F6" w:rsidRDefault="008877F8" w:rsidP="00641834">
      <w:pPr>
        <w:pStyle w:val="H1"/>
        <w:rPr>
          <w:lang w:val="nb-NO"/>
        </w:rPr>
      </w:pPr>
      <w:r w:rsidRPr="00A942F6">
        <w:rPr>
          <w:lang w:val="nb-NO"/>
        </w:rPr>
        <w:t>5.</w:t>
      </w:r>
      <w:r w:rsidRPr="00A942F6">
        <w:rPr>
          <w:lang w:val="nb-NO"/>
        </w:rPr>
        <w:tab/>
        <w:t>FARMAKOLOGISKE EGENSKAPER</w:t>
      </w:r>
    </w:p>
    <w:p w14:paraId="07448EF5" w14:textId="77777777" w:rsidR="008877F8" w:rsidRPr="00A942F6" w:rsidRDefault="008877F8" w:rsidP="00641834">
      <w:pPr>
        <w:rPr>
          <w:lang w:val="nb-NO"/>
        </w:rPr>
      </w:pPr>
    </w:p>
    <w:p w14:paraId="6C2D0F2A" w14:textId="77777777" w:rsidR="008877F8" w:rsidRPr="00A942F6" w:rsidRDefault="008877F8" w:rsidP="00641834">
      <w:pPr>
        <w:pStyle w:val="H2"/>
        <w:rPr>
          <w:lang w:val="nb-NO"/>
        </w:rPr>
      </w:pPr>
      <w:r w:rsidRPr="00A942F6">
        <w:rPr>
          <w:lang w:val="nb-NO"/>
        </w:rPr>
        <w:t>5.1</w:t>
      </w:r>
      <w:r w:rsidRPr="00A942F6">
        <w:rPr>
          <w:lang w:val="nb-NO"/>
        </w:rPr>
        <w:tab/>
        <w:t>Farmakodynamiske egenskaper</w:t>
      </w:r>
    </w:p>
    <w:p w14:paraId="17ABA703" w14:textId="77777777" w:rsidR="00426296" w:rsidRPr="00A942F6" w:rsidRDefault="00426296" w:rsidP="00641834">
      <w:pPr>
        <w:rPr>
          <w:lang w:val="nb-NO"/>
        </w:rPr>
      </w:pPr>
    </w:p>
    <w:p w14:paraId="2F32CF2B" w14:textId="77777777" w:rsidR="000D024D" w:rsidRPr="00A942F6" w:rsidRDefault="008877F8" w:rsidP="00641834">
      <w:pPr>
        <w:rPr>
          <w:lang w:val="nb-NO"/>
        </w:rPr>
      </w:pPr>
      <w:r w:rsidRPr="00A942F6">
        <w:rPr>
          <w:lang w:val="nb-NO"/>
        </w:rPr>
        <w:t>Farmakoterapeutisk gruppe: Immunsuppressiver, interl</w:t>
      </w:r>
      <w:r w:rsidR="000D024D" w:rsidRPr="00A942F6">
        <w:rPr>
          <w:lang w:val="nb-NO"/>
        </w:rPr>
        <w:t>eukinhemmere. ATC-kode: L04AC07</w:t>
      </w:r>
    </w:p>
    <w:p w14:paraId="4B427D7C" w14:textId="77777777" w:rsidR="000D024D" w:rsidRPr="00A942F6" w:rsidRDefault="000D024D" w:rsidP="00641834">
      <w:pPr>
        <w:rPr>
          <w:lang w:val="nb-NO"/>
        </w:rPr>
      </w:pPr>
    </w:p>
    <w:p w14:paraId="50D4E838" w14:textId="77777777" w:rsidR="000850FE" w:rsidRPr="00A942F6" w:rsidRDefault="000850FE" w:rsidP="000850FE">
      <w:pPr>
        <w:rPr>
          <w:lang w:val="nb-NO"/>
        </w:rPr>
      </w:pPr>
      <w:r w:rsidRPr="00A942F6">
        <w:rPr>
          <w:lang w:val="nb-NO"/>
        </w:rPr>
        <w:t xml:space="preserve">Avtozma er et biotilsvarende (”biosimilar”) legemiddel. Detaljert informasjon er tilgjengelig på nettstedet til Det europeiske legemiddelkontoret (the European Medicines Agency) </w:t>
      </w:r>
      <w:hyperlink r:id="rId16" w:history="1">
        <w:r w:rsidRPr="00434BCD">
          <w:rPr>
            <w:rStyle w:val="a6"/>
            <w:color w:val="0000FF"/>
            <w:lang w:val="nb-NO"/>
          </w:rPr>
          <w:t>https://www.ema.europa.eu</w:t>
        </w:r>
      </w:hyperlink>
      <w:r w:rsidRPr="00A942F6">
        <w:rPr>
          <w:lang w:val="nb-NO"/>
        </w:rPr>
        <w:t>.</w:t>
      </w:r>
    </w:p>
    <w:p w14:paraId="12DD94F2" w14:textId="77777777" w:rsidR="000850FE" w:rsidRPr="00A942F6" w:rsidRDefault="000850FE" w:rsidP="00641834">
      <w:pPr>
        <w:rPr>
          <w:lang w:val="nb-NO"/>
        </w:rPr>
      </w:pPr>
    </w:p>
    <w:p w14:paraId="59A7D145" w14:textId="77777777" w:rsidR="008877F8" w:rsidRPr="00A942F6" w:rsidRDefault="008877F8" w:rsidP="00641834">
      <w:pPr>
        <w:pStyle w:val="Style1underline"/>
        <w:rPr>
          <w:lang w:val="nb-NO"/>
        </w:rPr>
      </w:pPr>
      <w:r w:rsidRPr="00A942F6">
        <w:rPr>
          <w:lang w:val="nb-NO"/>
        </w:rPr>
        <w:t>Virkningsmekanisme</w:t>
      </w:r>
    </w:p>
    <w:p w14:paraId="1614173D" w14:textId="77777777" w:rsidR="008877F8" w:rsidRPr="00A942F6" w:rsidRDefault="008877F8" w:rsidP="00641834">
      <w:pPr>
        <w:rPr>
          <w:lang w:val="nb-NO"/>
        </w:rPr>
      </w:pPr>
      <w:r w:rsidRPr="00A942F6">
        <w:rPr>
          <w:lang w:val="nb-NO"/>
        </w:rPr>
        <w:t>Tocilizumab binder spesifikt til både løselige og membranbundne IL-6 reseptorer (sIL-6R og mIL-</w:t>
      </w:r>
      <w:r w:rsidR="00C02048" w:rsidRPr="00A942F6">
        <w:rPr>
          <w:lang w:val="nb-NO"/>
        </w:rPr>
        <w:t xml:space="preserve"> </w:t>
      </w:r>
      <w:r w:rsidRPr="00A942F6">
        <w:rPr>
          <w:lang w:val="nb-NO"/>
        </w:rPr>
        <w:t xml:space="preserve">6R). Det er vist at tocilizumab inhiberer sIL-6R- og mIL-6R-mediert signalisering. IL-6 er et pleiotropisk proinflammatorisk cytokin som produseres av en rekke celletyper, inkludert T- og B- celler, monocytter og fibroblaster. IL-6 er involvert i forskjellige fysiologiske prosesser som T- </w:t>
      </w:r>
      <w:r w:rsidRPr="00A942F6">
        <w:rPr>
          <w:lang w:val="nb-NO"/>
        </w:rPr>
        <w:lastRenderedPageBreak/>
        <w:t>celleaktivering, induksjon av immunglobulinsekresjon, induksjon av hepatisk akuttfaseprotein-syntese og stimulering av hematopoese. IL-6 synes å være medvirkende i patogenesen av sykdommer som inflammasjonssykdommer, osteoporose og neoplasi.</w:t>
      </w:r>
    </w:p>
    <w:p w14:paraId="1BCC4A77" w14:textId="77777777" w:rsidR="008877F8" w:rsidRPr="00A942F6" w:rsidRDefault="008877F8" w:rsidP="00641834">
      <w:pPr>
        <w:rPr>
          <w:lang w:val="nb-NO"/>
        </w:rPr>
      </w:pPr>
    </w:p>
    <w:p w14:paraId="07517FC4" w14:textId="77777777" w:rsidR="008877F8" w:rsidRPr="00A942F6" w:rsidRDefault="008877F8" w:rsidP="00641834">
      <w:pPr>
        <w:pStyle w:val="Style1underline"/>
        <w:rPr>
          <w:lang w:val="nb-NO"/>
        </w:rPr>
      </w:pPr>
      <w:r w:rsidRPr="00A942F6">
        <w:rPr>
          <w:lang w:val="nb-NO"/>
        </w:rPr>
        <w:t>Farmakodynamiske effekter</w:t>
      </w:r>
    </w:p>
    <w:p w14:paraId="5C9F2F15" w14:textId="7F06F882" w:rsidR="008877F8" w:rsidRPr="00A942F6" w:rsidRDefault="008877F8" w:rsidP="00641834">
      <w:pPr>
        <w:rPr>
          <w:lang w:val="nb-NO"/>
        </w:rPr>
      </w:pPr>
      <w:r w:rsidRPr="00A942F6">
        <w:rPr>
          <w:lang w:val="nb-NO"/>
        </w:rPr>
        <w:t xml:space="preserve">Kliniske studier med </w:t>
      </w:r>
      <w:r w:rsidR="000850FE" w:rsidRPr="00A942F6">
        <w:rPr>
          <w:lang w:val="nb-NO"/>
        </w:rPr>
        <w:t>tocilizumab</w:t>
      </w:r>
      <w:r w:rsidRPr="00A942F6">
        <w:rPr>
          <w:lang w:val="nb-NO"/>
        </w:rPr>
        <w:t xml:space="preserve"> viser rask reduksjon av CRP, senkningsreaksjon (SR), serumamyloid A (SAA) og fibrinogen. Behandling med </w:t>
      </w:r>
      <w:r w:rsidR="000850FE" w:rsidRPr="00A942F6">
        <w:rPr>
          <w:lang w:val="nb-NO"/>
        </w:rPr>
        <w:t>tocilizumab</w:t>
      </w:r>
      <w:r w:rsidRPr="00A942F6">
        <w:rPr>
          <w:lang w:val="nb-NO"/>
        </w:rPr>
        <w:t xml:space="preserve"> er forbundet med reduksjon i platetall innenfor normalverdiene, som er forenlig med effekten på akuttfase-reaktanter. Økning i hemoglobinnivå er sett. Dette skyldes at </w:t>
      </w:r>
      <w:r w:rsidR="000850FE" w:rsidRPr="00A942F6">
        <w:rPr>
          <w:lang w:val="nb-NO"/>
        </w:rPr>
        <w:t>tocilizumab</w:t>
      </w:r>
      <w:r w:rsidRPr="00A942F6">
        <w:rPr>
          <w:lang w:val="nb-NO"/>
        </w:rPr>
        <w:t xml:space="preserve"> reduserer IL-6-drevet hepcidinproduksjon som øker tilgjengeligheten av jern. Hos pasienter behandlet med </w:t>
      </w:r>
      <w:r w:rsidR="000850FE" w:rsidRPr="00A942F6">
        <w:rPr>
          <w:lang w:val="nb-NO"/>
        </w:rPr>
        <w:t>tocilizumab</w:t>
      </w:r>
      <w:r w:rsidRPr="00A942F6">
        <w:rPr>
          <w:lang w:val="nb-NO"/>
        </w:rPr>
        <w:t xml:space="preserve"> ble det sett reduksjon i CRP- nivå til normalverdier så tidlig som i uke 2. Reduksjonen ble opprettholdt mens behandlingen pågikk.</w:t>
      </w:r>
    </w:p>
    <w:p w14:paraId="61DE3143" w14:textId="77777777" w:rsidR="008877F8" w:rsidRPr="00A942F6" w:rsidRDefault="008877F8" w:rsidP="00641834">
      <w:pPr>
        <w:rPr>
          <w:lang w:val="nb-NO"/>
        </w:rPr>
      </w:pPr>
    </w:p>
    <w:p w14:paraId="2414C21D" w14:textId="77777777" w:rsidR="008877F8" w:rsidRPr="00A942F6" w:rsidRDefault="008877F8" w:rsidP="00641834">
      <w:pPr>
        <w:rPr>
          <w:lang w:val="nb-NO"/>
        </w:rPr>
      </w:pPr>
      <w:r w:rsidRPr="00A942F6">
        <w:rPr>
          <w:lang w:val="nb-NO"/>
        </w:rPr>
        <w:t>I den kliniske GCA-studien WA28119 ble det observert tilsvarende rask reduksjon av CRP og SR, samtidig med en liten økning i gjennomsnittlig konsentrasjon av korpuskulært hemoglobin.</w:t>
      </w:r>
    </w:p>
    <w:p w14:paraId="4B67A628" w14:textId="49787F93" w:rsidR="008877F8" w:rsidRPr="00A942F6" w:rsidRDefault="008877F8" w:rsidP="00641834">
      <w:pPr>
        <w:rPr>
          <w:lang w:val="nb-NO"/>
        </w:rPr>
      </w:pPr>
      <w:r w:rsidRPr="00A942F6">
        <w:rPr>
          <w:lang w:val="nb-NO"/>
        </w:rPr>
        <w:t xml:space="preserve">Hos friske individer som ble gitt </w:t>
      </w:r>
      <w:r w:rsidR="000850FE" w:rsidRPr="00A942F6">
        <w:rPr>
          <w:lang w:val="nb-NO"/>
        </w:rPr>
        <w:t>tocilizumab</w:t>
      </w:r>
      <w:r w:rsidRPr="00A942F6">
        <w:rPr>
          <w:lang w:val="nb-NO"/>
        </w:rPr>
        <w:t xml:space="preserve"> i doser fra 2 til 28 mg/kg intravenøst og 81 til 162 mg subkutant, avtok absolutt nøytrofiltall til sitt laveste antall 2 til 5 dager etter administrering. Deretter ble antall nøytrofile doseavhengig forbedret til utgangspunktet.</w:t>
      </w:r>
    </w:p>
    <w:p w14:paraId="625E1B47" w14:textId="77777777" w:rsidR="000D024D" w:rsidRPr="00A942F6" w:rsidRDefault="000D024D" w:rsidP="00641834">
      <w:pPr>
        <w:rPr>
          <w:lang w:val="nb-NO"/>
        </w:rPr>
      </w:pPr>
    </w:p>
    <w:p w14:paraId="4F496F53" w14:textId="2EC2F70E" w:rsidR="008877F8" w:rsidRPr="00A942F6" w:rsidRDefault="008877F8" w:rsidP="00641834">
      <w:pPr>
        <w:rPr>
          <w:lang w:val="nb-NO"/>
        </w:rPr>
      </w:pPr>
      <w:r w:rsidRPr="00A942F6">
        <w:rPr>
          <w:lang w:val="nb-NO"/>
        </w:rPr>
        <w:t xml:space="preserve">Pasienter viste en tilsvarende (sammenlignet med friske frivillige) reduksjon av absolutt nøytrofiltall etter administrering av </w:t>
      </w:r>
      <w:r w:rsidR="000850FE" w:rsidRPr="00A942F6">
        <w:rPr>
          <w:lang w:val="nb-NO"/>
        </w:rPr>
        <w:t>tocilizumab</w:t>
      </w:r>
      <w:r w:rsidRPr="00A942F6">
        <w:rPr>
          <w:lang w:val="nb-NO"/>
        </w:rPr>
        <w:t xml:space="preserve"> (se pkt. 4.8).</w:t>
      </w:r>
    </w:p>
    <w:p w14:paraId="4F4098A5" w14:textId="77777777" w:rsidR="008877F8" w:rsidRPr="00A942F6" w:rsidRDefault="008877F8" w:rsidP="00641834">
      <w:pPr>
        <w:rPr>
          <w:lang w:val="nb-NO"/>
        </w:rPr>
      </w:pPr>
    </w:p>
    <w:p w14:paraId="7C2CD571" w14:textId="77777777" w:rsidR="008877F8" w:rsidRPr="00A942F6" w:rsidRDefault="008877F8" w:rsidP="00641834">
      <w:pPr>
        <w:pStyle w:val="Style1underline"/>
        <w:rPr>
          <w:lang w:val="nb-NO"/>
        </w:rPr>
      </w:pPr>
      <w:r w:rsidRPr="00A942F6">
        <w:rPr>
          <w:lang w:val="nb-NO"/>
        </w:rPr>
        <w:t>Subkutan bruk</w:t>
      </w:r>
    </w:p>
    <w:p w14:paraId="5F0558A5" w14:textId="77777777" w:rsidR="008877F8" w:rsidRPr="00A930CA" w:rsidRDefault="008877F8" w:rsidP="00641834">
      <w:pPr>
        <w:pStyle w:val="Style1underline"/>
        <w:rPr>
          <w:b/>
          <w:bCs/>
          <w:lang w:val="nb-NO"/>
        </w:rPr>
      </w:pPr>
      <w:r w:rsidRPr="00A930CA">
        <w:rPr>
          <w:b/>
          <w:bCs/>
          <w:lang w:val="nb-NO"/>
        </w:rPr>
        <w:t>RA</w:t>
      </w:r>
    </w:p>
    <w:p w14:paraId="6B2690E0" w14:textId="77777777" w:rsidR="008877F8" w:rsidRPr="00A942F6" w:rsidRDefault="008877F8" w:rsidP="00641834">
      <w:pPr>
        <w:pStyle w:val="Style1underline"/>
        <w:rPr>
          <w:lang w:val="nb-NO"/>
        </w:rPr>
      </w:pPr>
      <w:r w:rsidRPr="00A942F6">
        <w:rPr>
          <w:lang w:val="nb-NO"/>
        </w:rPr>
        <w:t>Klinisk effekt</w:t>
      </w:r>
    </w:p>
    <w:p w14:paraId="4190C089" w14:textId="088CA6F6" w:rsidR="008877F8" w:rsidRPr="00A942F6" w:rsidRDefault="008877F8" w:rsidP="00641834">
      <w:pPr>
        <w:rPr>
          <w:lang w:val="nb-NO"/>
        </w:rPr>
      </w:pPr>
      <w:r w:rsidRPr="00A942F6">
        <w:rPr>
          <w:lang w:val="nb-NO"/>
        </w:rPr>
        <w:t xml:space="preserve">Effekten av </w:t>
      </w:r>
      <w:r w:rsidR="000850FE" w:rsidRPr="00A942F6">
        <w:rPr>
          <w:lang w:val="nb-NO"/>
        </w:rPr>
        <w:t>tocilizumab</w:t>
      </w:r>
      <w:r w:rsidRPr="00A942F6">
        <w:rPr>
          <w:lang w:val="nb-NO"/>
        </w:rPr>
        <w:t xml:space="preserve"> administrert subkutant ved lindring av tegn og symptomer på RA og radiografisk respons, ble vurdert i to randomiserte, dobbeltblinde, kontrollerte multisenter studier. For studie I (SC-I) var pasientene nødt til å være &gt; 18 år med moderat til alvorlig aktiv RA, diagnostisert i henhold til ACR kriterier, og som hadde minst 4 ømme og 4 hovne ledd ved behandlingsstart. For studie II (SC-II), var pasientene nødt til å være &gt; 18 år med moderat til alvorlig aktiv RA, diagnostisert i henhold til ACR kriterier, og som hadde minst 8 ømme og 6 hovne ledd ved behandlingsstart.</w:t>
      </w:r>
    </w:p>
    <w:p w14:paraId="6937159E" w14:textId="77777777" w:rsidR="000D024D" w:rsidRPr="00A942F6" w:rsidRDefault="000D024D" w:rsidP="00641834">
      <w:pPr>
        <w:rPr>
          <w:lang w:val="nb-NO"/>
        </w:rPr>
      </w:pPr>
    </w:p>
    <w:p w14:paraId="0145440A" w14:textId="77777777" w:rsidR="008877F8" w:rsidRPr="00A942F6" w:rsidRDefault="008877F8" w:rsidP="00641834">
      <w:pPr>
        <w:rPr>
          <w:lang w:val="nb-NO"/>
        </w:rPr>
      </w:pPr>
      <w:r w:rsidRPr="00A942F6">
        <w:rPr>
          <w:lang w:val="nb-NO"/>
        </w:rPr>
        <w:t>Å bytte fra 8 mg/kg intravenøst én gang hver 4. uke til 162 mg subkutant hver uke vil endre ekponeringen hos pasienten. Utstrekningen varierer med pasientens kroppsvekt (økning hos pasienter med lett kroppsvekt og reduksjon hos pasienter med tung kroppsvekt), men klinisk utfall er sammenlignbart med det som er observert hos pasienter behandlet intravenøst.</w:t>
      </w:r>
    </w:p>
    <w:p w14:paraId="594FEDDA" w14:textId="77777777" w:rsidR="008877F8" w:rsidRPr="00A942F6" w:rsidRDefault="008877F8" w:rsidP="00641834">
      <w:pPr>
        <w:rPr>
          <w:lang w:val="nb-NO"/>
        </w:rPr>
      </w:pPr>
    </w:p>
    <w:p w14:paraId="6A64A334" w14:textId="77777777" w:rsidR="008877F8" w:rsidRPr="00A942F6" w:rsidRDefault="008877F8" w:rsidP="00641834">
      <w:pPr>
        <w:pStyle w:val="Style1underline"/>
        <w:rPr>
          <w:lang w:val="nb-NO"/>
        </w:rPr>
      </w:pPr>
      <w:r w:rsidRPr="00A942F6">
        <w:rPr>
          <w:lang w:val="nb-NO"/>
        </w:rPr>
        <w:t>Klinisk respons</w:t>
      </w:r>
    </w:p>
    <w:p w14:paraId="31D5F37C" w14:textId="3DEF9D20" w:rsidR="008877F8" w:rsidRPr="00A942F6" w:rsidRDefault="008877F8" w:rsidP="00641834">
      <w:pPr>
        <w:rPr>
          <w:lang w:val="nb-NO"/>
        </w:rPr>
      </w:pPr>
      <w:r w:rsidRPr="00A942F6">
        <w:rPr>
          <w:lang w:val="nb-NO"/>
        </w:rPr>
        <w:t xml:space="preserve">Studien SC-I evaluerte pasienter med moderat til alvorlig aktiv RA som hadde en utilstrekkelig klinisk respons på eksisterende behandling, inkludert en eller flere DMARDs, der ca. 20 % hadde en historie med utilstrekkelig respons på minst én TNF-hemmer. I SC-I ble 1262 pasienter randomisert 1:1 til å få </w:t>
      </w:r>
      <w:r w:rsidR="000850FE" w:rsidRPr="00A942F6">
        <w:rPr>
          <w:lang w:val="nb-NO"/>
        </w:rPr>
        <w:t>tocilizumab</w:t>
      </w:r>
      <w:r w:rsidRPr="00A942F6">
        <w:rPr>
          <w:lang w:val="nb-NO"/>
        </w:rPr>
        <w:t xml:space="preserve"> subkutan 162 mg hver uke eller </w:t>
      </w:r>
      <w:r w:rsidR="000850FE" w:rsidRPr="00A942F6">
        <w:rPr>
          <w:lang w:val="nb-NO"/>
        </w:rPr>
        <w:t>tocilizumab</w:t>
      </w:r>
      <w:r w:rsidRPr="00A942F6">
        <w:rPr>
          <w:lang w:val="nb-NO"/>
        </w:rPr>
        <w:t xml:space="preserve"> intravenøst 8 mg/kg hver fjerde uke i kombinasjon med ikke-biologisk DMARDs. Det primære endepunktet i studien var forskjellen i andel pasienter som oppnådde en ACR20 respons ved uke 24. Resultatene fra studien SC-I er vist i tabell 2.</w:t>
      </w:r>
    </w:p>
    <w:p w14:paraId="77EA9D9B" w14:textId="77777777" w:rsidR="008877F8" w:rsidRPr="00A942F6" w:rsidRDefault="008877F8" w:rsidP="00641834">
      <w:pPr>
        <w:rPr>
          <w:lang w:val="nb-NO"/>
        </w:rPr>
      </w:pPr>
    </w:p>
    <w:p w14:paraId="7EAD4109" w14:textId="77777777" w:rsidR="008877F8" w:rsidRPr="00A942F6" w:rsidRDefault="008877F8" w:rsidP="00641834">
      <w:pPr>
        <w:pStyle w:val="Style1Iitaic"/>
        <w:rPr>
          <w:lang w:val="nb-NO"/>
        </w:rPr>
      </w:pPr>
      <w:r w:rsidRPr="00A942F6">
        <w:rPr>
          <w:lang w:val="nb-NO"/>
        </w:rPr>
        <w:t>Tabell 2. ACR respons i studien SC-I (% av pasientene) ved uke 24</w:t>
      </w:r>
    </w:p>
    <w:p w14:paraId="57A4EEAE" w14:textId="77777777" w:rsidR="008877F8" w:rsidRPr="00A942F6" w:rsidRDefault="008877F8"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9"/>
        <w:gridCol w:w="2208"/>
        <w:gridCol w:w="2695"/>
      </w:tblGrid>
      <w:tr w:rsidR="005A42A2" w:rsidRPr="00A942F6" w14:paraId="55F568EA" w14:textId="77777777" w:rsidTr="003175D5">
        <w:trPr>
          <w:cantSplit/>
          <w:trHeight w:val="20"/>
          <w:tblHeader/>
        </w:trPr>
        <w:tc>
          <w:tcPr>
            <w:tcW w:w="2719" w:type="dxa"/>
          </w:tcPr>
          <w:p w14:paraId="6D655F27" w14:textId="77777777" w:rsidR="005A42A2" w:rsidRPr="00A942F6" w:rsidRDefault="005A42A2" w:rsidP="00641834">
            <w:pPr>
              <w:pStyle w:val="TableParagraph"/>
              <w:rPr>
                <w:sz w:val="20"/>
                <w:szCs w:val="20"/>
                <w:lang w:val="nb-NO"/>
              </w:rPr>
            </w:pPr>
          </w:p>
        </w:tc>
        <w:tc>
          <w:tcPr>
            <w:tcW w:w="4903" w:type="dxa"/>
            <w:gridSpan w:val="2"/>
          </w:tcPr>
          <w:p w14:paraId="6500421E" w14:textId="77777777" w:rsidR="005A42A2" w:rsidRPr="00A942F6" w:rsidRDefault="005A42A2" w:rsidP="00641834">
            <w:pPr>
              <w:pStyle w:val="TableParagraph"/>
              <w:jc w:val="center"/>
              <w:rPr>
                <w:sz w:val="20"/>
                <w:szCs w:val="20"/>
                <w:lang w:val="nb-NO"/>
              </w:rPr>
            </w:pPr>
            <w:r w:rsidRPr="00A942F6">
              <w:rPr>
                <w:sz w:val="20"/>
                <w:szCs w:val="20"/>
                <w:lang w:val="nb-NO"/>
              </w:rPr>
              <w:t>SC-I</w:t>
            </w:r>
            <w:r w:rsidRPr="00A942F6">
              <w:rPr>
                <w:sz w:val="20"/>
                <w:szCs w:val="20"/>
                <w:vertAlign w:val="superscript"/>
                <w:lang w:val="nb-NO"/>
              </w:rPr>
              <w:t>a</w:t>
            </w:r>
          </w:p>
        </w:tc>
      </w:tr>
      <w:tr w:rsidR="005A42A2" w:rsidRPr="00B477E5" w14:paraId="09383B27" w14:textId="77777777" w:rsidTr="003175D5">
        <w:trPr>
          <w:cantSplit/>
          <w:trHeight w:val="20"/>
          <w:tblHeader/>
        </w:trPr>
        <w:tc>
          <w:tcPr>
            <w:tcW w:w="2719" w:type="dxa"/>
          </w:tcPr>
          <w:p w14:paraId="42C6C80D" w14:textId="77777777" w:rsidR="005A42A2" w:rsidRPr="00A942F6" w:rsidRDefault="005A42A2" w:rsidP="00641834">
            <w:pPr>
              <w:pStyle w:val="TableParagraph"/>
              <w:rPr>
                <w:sz w:val="20"/>
                <w:szCs w:val="20"/>
                <w:lang w:val="nb-NO"/>
              </w:rPr>
            </w:pPr>
          </w:p>
        </w:tc>
        <w:tc>
          <w:tcPr>
            <w:tcW w:w="2208" w:type="dxa"/>
          </w:tcPr>
          <w:p w14:paraId="5EF57BE7" w14:textId="77777777" w:rsidR="005A42A2" w:rsidRPr="00A942F6" w:rsidRDefault="005A42A2" w:rsidP="00641834">
            <w:pPr>
              <w:pStyle w:val="TableParagraph"/>
              <w:jc w:val="center"/>
              <w:rPr>
                <w:sz w:val="20"/>
                <w:szCs w:val="20"/>
                <w:lang w:val="nb-NO"/>
              </w:rPr>
            </w:pPr>
            <w:r w:rsidRPr="00A942F6">
              <w:rPr>
                <w:sz w:val="20"/>
                <w:szCs w:val="20"/>
                <w:lang w:val="nb-NO"/>
              </w:rPr>
              <w:t>TCZ subkutan 162 mg hver uke</w:t>
            </w:r>
            <w:r w:rsidR="003175D5" w:rsidRPr="00A942F6">
              <w:rPr>
                <w:sz w:val="20"/>
                <w:szCs w:val="20"/>
                <w:lang w:val="nb-NO"/>
              </w:rPr>
              <w:t xml:space="preserve"> </w:t>
            </w:r>
            <w:r w:rsidRPr="00A942F6">
              <w:rPr>
                <w:sz w:val="20"/>
                <w:szCs w:val="20"/>
                <w:lang w:val="nb-NO"/>
              </w:rPr>
              <w:t>+ DMARD</w:t>
            </w:r>
          </w:p>
          <w:p w14:paraId="0A9F3D50" w14:textId="77777777" w:rsidR="005A42A2" w:rsidRPr="00A942F6" w:rsidRDefault="005A42A2" w:rsidP="00641834">
            <w:pPr>
              <w:pStyle w:val="TableParagraph"/>
              <w:jc w:val="center"/>
              <w:rPr>
                <w:sz w:val="20"/>
                <w:szCs w:val="20"/>
                <w:lang w:val="nb-NO"/>
              </w:rPr>
            </w:pPr>
            <w:r w:rsidRPr="00A942F6">
              <w:rPr>
                <w:sz w:val="20"/>
                <w:szCs w:val="20"/>
                <w:lang w:val="nb-NO"/>
              </w:rPr>
              <w:t>N = 558</w:t>
            </w:r>
          </w:p>
        </w:tc>
        <w:tc>
          <w:tcPr>
            <w:tcW w:w="2695" w:type="dxa"/>
          </w:tcPr>
          <w:p w14:paraId="19FFEB39" w14:textId="77777777" w:rsidR="005A42A2" w:rsidRPr="00CD583D" w:rsidRDefault="005A42A2" w:rsidP="00641834">
            <w:pPr>
              <w:pStyle w:val="TableParagraph"/>
              <w:jc w:val="center"/>
              <w:rPr>
                <w:sz w:val="20"/>
                <w:szCs w:val="20"/>
                <w:lang w:val="de-DE"/>
              </w:rPr>
            </w:pPr>
            <w:r w:rsidRPr="00CD583D">
              <w:rPr>
                <w:sz w:val="20"/>
                <w:szCs w:val="20"/>
                <w:lang w:val="de-DE"/>
              </w:rPr>
              <w:t>TCZ IV 8 mg/kg</w:t>
            </w:r>
          </w:p>
          <w:p w14:paraId="09EFB64A" w14:textId="77777777" w:rsidR="005A42A2" w:rsidRPr="00CD583D" w:rsidRDefault="005A42A2" w:rsidP="00641834">
            <w:pPr>
              <w:pStyle w:val="TableParagraph"/>
              <w:jc w:val="center"/>
              <w:rPr>
                <w:sz w:val="20"/>
                <w:szCs w:val="20"/>
                <w:lang w:val="de-DE"/>
              </w:rPr>
            </w:pPr>
            <w:r w:rsidRPr="00CD583D">
              <w:rPr>
                <w:sz w:val="20"/>
                <w:szCs w:val="20"/>
                <w:lang w:val="de-DE"/>
              </w:rPr>
              <w:t>+ DMARD</w:t>
            </w:r>
          </w:p>
          <w:p w14:paraId="4C30DA6C" w14:textId="77777777" w:rsidR="005A42A2" w:rsidRPr="00CD583D" w:rsidRDefault="005A42A2" w:rsidP="00641834">
            <w:pPr>
              <w:pStyle w:val="TableParagraph"/>
              <w:jc w:val="center"/>
              <w:rPr>
                <w:sz w:val="20"/>
                <w:szCs w:val="20"/>
                <w:lang w:val="de-DE"/>
              </w:rPr>
            </w:pPr>
            <w:r w:rsidRPr="00CD583D">
              <w:rPr>
                <w:sz w:val="20"/>
                <w:szCs w:val="20"/>
                <w:lang w:val="de-DE"/>
              </w:rPr>
              <w:t>N = 537</w:t>
            </w:r>
          </w:p>
        </w:tc>
      </w:tr>
      <w:tr w:rsidR="005A42A2" w:rsidRPr="00A942F6" w14:paraId="018205A8" w14:textId="77777777" w:rsidTr="003175D5">
        <w:trPr>
          <w:cantSplit/>
          <w:trHeight w:val="20"/>
        </w:trPr>
        <w:tc>
          <w:tcPr>
            <w:tcW w:w="2719" w:type="dxa"/>
          </w:tcPr>
          <w:p w14:paraId="4D41F972" w14:textId="77777777" w:rsidR="005A42A2" w:rsidRPr="00A942F6" w:rsidRDefault="005A42A2" w:rsidP="00641834">
            <w:pPr>
              <w:pStyle w:val="TableParagraph"/>
              <w:jc w:val="right"/>
              <w:rPr>
                <w:sz w:val="20"/>
                <w:szCs w:val="20"/>
                <w:lang w:val="nb-NO"/>
              </w:rPr>
            </w:pPr>
            <w:r w:rsidRPr="00A942F6">
              <w:rPr>
                <w:sz w:val="20"/>
                <w:szCs w:val="20"/>
                <w:lang w:val="nb-NO"/>
              </w:rPr>
              <w:t>ACR20 Uke 24</w:t>
            </w:r>
          </w:p>
        </w:tc>
        <w:tc>
          <w:tcPr>
            <w:tcW w:w="2208" w:type="dxa"/>
          </w:tcPr>
          <w:p w14:paraId="770B5FAE" w14:textId="77777777" w:rsidR="005A42A2" w:rsidRPr="00A942F6" w:rsidRDefault="005A42A2" w:rsidP="00641834">
            <w:pPr>
              <w:pStyle w:val="TableParagraph"/>
              <w:jc w:val="center"/>
              <w:rPr>
                <w:sz w:val="20"/>
                <w:szCs w:val="20"/>
                <w:lang w:val="nb-NO"/>
              </w:rPr>
            </w:pPr>
            <w:r w:rsidRPr="00A942F6">
              <w:rPr>
                <w:sz w:val="20"/>
                <w:szCs w:val="20"/>
                <w:lang w:val="nb-NO"/>
              </w:rPr>
              <w:t>69,4 %</w:t>
            </w:r>
          </w:p>
        </w:tc>
        <w:tc>
          <w:tcPr>
            <w:tcW w:w="2695" w:type="dxa"/>
          </w:tcPr>
          <w:p w14:paraId="0A628B2D" w14:textId="77777777" w:rsidR="005A42A2" w:rsidRPr="00A942F6" w:rsidRDefault="005A42A2" w:rsidP="00641834">
            <w:pPr>
              <w:pStyle w:val="TableParagraph"/>
              <w:jc w:val="center"/>
              <w:rPr>
                <w:sz w:val="20"/>
                <w:szCs w:val="20"/>
                <w:lang w:val="nb-NO"/>
              </w:rPr>
            </w:pPr>
            <w:r w:rsidRPr="00A942F6">
              <w:rPr>
                <w:sz w:val="20"/>
                <w:szCs w:val="20"/>
                <w:lang w:val="nb-NO"/>
              </w:rPr>
              <w:t>73,4 %</w:t>
            </w:r>
          </w:p>
        </w:tc>
      </w:tr>
      <w:tr w:rsidR="005A42A2" w:rsidRPr="00A942F6" w14:paraId="58A3EBB4" w14:textId="77777777" w:rsidTr="003175D5">
        <w:trPr>
          <w:cantSplit/>
          <w:trHeight w:val="20"/>
        </w:trPr>
        <w:tc>
          <w:tcPr>
            <w:tcW w:w="2719" w:type="dxa"/>
          </w:tcPr>
          <w:p w14:paraId="741FBC5E" w14:textId="77777777" w:rsidR="005A42A2" w:rsidRPr="00A942F6" w:rsidRDefault="005A42A2" w:rsidP="00641834">
            <w:pPr>
              <w:pStyle w:val="TableParagraph"/>
              <w:jc w:val="right"/>
              <w:rPr>
                <w:sz w:val="20"/>
                <w:szCs w:val="20"/>
                <w:lang w:val="nb-NO"/>
              </w:rPr>
            </w:pPr>
            <w:r w:rsidRPr="00A942F6">
              <w:rPr>
                <w:sz w:val="20"/>
                <w:szCs w:val="20"/>
                <w:lang w:val="nb-NO"/>
              </w:rPr>
              <w:t>Vektforskjell (95 % KI)</w:t>
            </w:r>
          </w:p>
        </w:tc>
        <w:tc>
          <w:tcPr>
            <w:tcW w:w="4903" w:type="dxa"/>
            <w:gridSpan w:val="2"/>
          </w:tcPr>
          <w:p w14:paraId="008A6727" w14:textId="77777777" w:rsidR="005A42A2" w:rsidRPr="00A942F6" w:rsidRDefault="005A42A2" w:rsidP="00641834">
            <w:pPr>
              <w:pStyle w:val="TableParagraph"/>
              <w:jc w:val="center"/>
              <w:rPr>
                <w:sz w:val="20"/>
                <w:szCs w:val="20"/>
                <w:lang w:val="nb-NO"/>
              </w:rPr>
            </w:pPr>
            <w:r w:rsidRPr="00A942F6">
              <w:rPr>
                <w:sz w:val="20"/>
                <w:szCs w:val="20"/>
                <w:lang w:val="nb-NO"/>
              </w:rPr>
              <w:t>-4,0 (-9,2, 1,2)</w:t>
            </w:r>
          </w:p>
        </w:tc>
      </w:tr>
      <w:tr w:rsidR="005A42A2" w:rsidRPr="00A942F6" w14:paraId="35E783CE" w14:textId="77777777" w:rsidTr="003175D5">
        <w:trPr>
          <w:cantSplit/>
          <w:trHeight w:val="20"/>
        </w:trPr>
        <w:tc>
          <w:tcPr>
            <w:tcW w:w="2719" w:type="dxa"/>
          </w:tcPr>
          <w:p w14:paraId="23963C80" w14:textId="77777777" w:rsidR="005A42A2" w:rsidRPr="00A942F6" w:rsidRDefault="005A42A2" w:rsidP="00641834">
            <w:pPr>
              <w:pStyle w:val="TableParagraph"/>
              <w:jc w:val="right"/>
              <w:rPr>
                <w:sz w:val="20"/>
                <w:szCs w:val="20"/>
                <w:lang w:val="nb-NO"/>
              </w:rPr>
            </w:pPr>
            <w:r w:rsidRPr="00A942F6">
              <w:rPr>
                <w:sz w:val="20"/>
                <w:szCs w:val="20"/>
                <w:lang w:val="nb-NO"/>
              </w:rPr>
              <w:t>ACR50 Uke 24</w:t>
            </w:r>
          </w:p>
        </w:tc>
        <w:tc>
          <w:tcPr>
            <w:tcW w:w="2208" w:type="dxa"/>
          </w:tcPr>
          <w:p w14:paraId="559BACDA" w14:textId="77777777" w:rsidR="005A42A2" w:rsidRPr="00A942F6" w:rsidRDefault="005A42A2" w:rsidP="00641834">
            <w:pPr>
              <w:pStyle w:val="TableParagraph"/>
              <w:jc w:val="center"/>
              <w:rPr>
                <w:sz w:val="20"/>
                <w:szCs w:val="20"/>
                <w:lang w:val="nb-NO"/>
              </w:rPr>
            </w:pPr>
            <w:r w:rsidRPr="00A942F6">
              <w:rPr>
                <w:sz w:val="20"/>
                <w:szCs w:val="20"/>
                <w:lang w:val="nb-NO"/>
              </w:rPr>
              <w:t>47,0 %</w:t>
            </w:r>
          </w:p>
        </w:tc>
        <w:tc>
          <w:tcPr>
            <w:tcW w:w="2695" w:type="dxa"/>
          </w:tcPr>
          <w:p w14:paraId="5043036E" w14:textId="77777777" w:rsidR="005A42A2" w:rsidRPr="00A942F6" w:rsidRDefault="005A42A2" w:rsidP="00641834">
            <w:pPr>
              <w:pStyle w:val="TableParagraph"/>
              <w:jc w:val="center"/>
              <w:rPr>
                <w:sz w:val="20"/>
                <w:szCs w:val="20"/>
                <w:lang w:val="nb-NO"/>
              </w:rPr>
            </w:pPr>
            <w:r w:rsidRPr="00A942F6">
              <w:rPr>
                <w:sz w:val="20"/>
                <w:szCs w:val="20"/>
                <w:lang w:val="nb-NO"/>
              </w:rPr>
              <w:t>48,6 %</w:t>
            </w:r>
          </w:p>
        </w:tc>
      </w:tr>
      <w:tr w:rsidR="005A42A2" w:rsidRPr="00A942F6" w14:paraId="6E2DB1DA" w14:textId="77777777" w:rsidTr="003175D5">
        <w:trPr>
          <w:cantSplit/>
          <w:trHeight w:val="20"/>
        </w:trPr>
        <w:tc>
          <w:tcPr>
            <w:tcW w:w="2719" w:type="dxa"/>
          </w:tcPr>
          <w:p w14:paraId="0DB83E72" w14:textId="77777777" w:rsidR="005A42A2" w:rsidRPr="00A942F6" w:rsidRDefault="005A42A2" w:rsidP="00641834">
            <w:pPr>
              <w:pStyle w:val="TableParagraph"/>
              <w:jc w:val="right"/>
              <w:rPr>
                <w:sz w:val="20"/>
                <w:szCs w:val="20"/>
                <w:lang w:val="nb-NO"/>
              </w:rPr>
            </w:pPr>
            <w:r w:rsidRPr="00A942F6">
              <w:rPr>
                <w:sz w:val="20"/>
                <w:szCs w:val="20"/>
                <w:lang w:val="nb-NO"/>
              </w:rPr>
              <w:t>Vektforskjell (95 % KI)</w:t>
            </w:r>
          </w:p>
        </w:tc>
        <w:tc>
          <w:tcPr>
            <w:tcW w:w="4903" w:type="dxa"/>
            <w:gridSpan w:val="2"/>
          </w:tcPr>
          <w:p w14:paraId="70404F43" w14:textId="77777777" w:rsidR="005A42A2" w:rsidRPr="00A942F6" w:rsidRDefault="005A42A2" w:rsidP="00641834">
            <w:pPr>
              <w:pStyle w:val="TableParagraph"/>
              <w:jc w:val="center"/>
              <w:rPr>
                <w:sz w:val="20"/>
                <w:szCs w:val="20"/>
                <w:lang w:val="nb-NO"/>
              </w:rPr>
            </w:pPr>
            <w:r w:rsidRPr="00A942F6">
              <w:rPr>
                <w:sz w:val="20"/>
                <w:szCs w:val="20"/>
                <w:lang w:val="nb-NO"/>
              </w:rPr>
              <w:t>-1,8 (-7,5, 4,0)</w:t>
            </w:r>
          </w:p>
        </w:tc>
      </w:tr>
      <w:tr w:rsidR="005A42A2" w:rsidRPr="00A942F6" w14:paraId="615E76B5" w14:textId="77777777" w:rsidTr="003175D5">
        <w:trPr>
          <w:cantSplit/>
          <w:trHeight w:val="20"/>
        </w:trPr>
        <w:tc>
          <w:tcPr>
            <w:tcW w:w="2719" w:type="dxa"/>
          </w:tcPr>
          <w:p w14:paraId="6A0CE36A" w14:textId="77777777" w:rsidR="005A42A2" w:rsidRPr="00A942F6" w:rsidRDefault="005A42A2" w:rsidP="00641834">
            <w:pPr>
              <w:pStyle w:val="TableParagraph"/>
              <w:jc w:val="right"/>
              <w:rPr>
                <w:sz w:val="20"/>
                <w:szCs w:val="20"/>
                <w:lang w:val="nb-NO"/>
              </w:rPr>
            </w:pPr>
            <w:r w:rsidRPr="00A942F6">
              <w:rPr>
                <w:sz w:val="20"/>
                <w:szCs w:val="20"/>
                <w:lang w:val="nb-NO"/>
              </w:rPr>
              <w:t>ACR70 Uke 24</w:t>
            </w:r>
          </w:p>
        </w:tc>
        <w:tc>
          <w:tcPr>
            <w:tcW w:w="2208" w:type="dxa"/>
          </w:tcPr>
          <w:p w14:paraId="0B7D5704" w14:textId="77777777" w:rsidR="005A42A2" w:rsidRPr="00A942F6" w:rsidRDefault="005A42A2" w:rsidP="00641834">
            <w:pPr>
              <w:pStyle w:val="TableParagraph"/>
              <w:jc w:val="center"/>
              <w:rPr>
                <w:sz w:val="20"/>
                <w:szCs w:val="20"/>
                <w:lang w:val="nb-NO"/>
              </w:rPr>
            </w:pPr>
            <w:r w:rsidRPr="00A942F6">
              <w:rPr>
                <w:sz w:val="20"/>
                <w:szCs w:val="20"/>
                <w:lang w:val="nb-NO"/>
              </w:rPr>
              <w:t>24,0 %</w:t>
            </w:r>
          </w:p>
        </w:tc>
        <w:tc>
          <w:tcPr>
            <w:tcW w:w="2695" w:type="dxa"/>
          </w:tcPr>
          <w:p w14:paraId="627FF171" w14:textId="77777777" w:rsidR="005A42A2" w:rsidRPr="00A942F6" w:rsidRDefault="005A42A2" w:rsidP="00641834">
            <w:pPr>
              <w:pStyle w:val="TableParagraph"/>
              <w:jc w:val="center"/>
              <w:rPr>
                <w:sz w:val="20"/>
                <w:szCs w:val="20"/>
                <w:lang w:val="nb-NO"/>
              </w:rPr>
            </w:pPr>
            <w:r w:rsidRPr="00A942F6">
              <w:rPr>
                <w:sz w:val="20"/>
                <w:szCs w:val="20"/>
                <w:lang w:val="nb-NO"/>
              </w:rPr>
              <w:t>27,9 %</w:t>
            </w:r>
          </w:p>
        </w:tc>
      </w:tr>
      <w:tr w:rsidR="005A42A2" w:rsidRPr="00A942F6" w14:paraId="0F9C41F1" w14:textId="77777777" w:rsidTr="003175D5">
        <w:trPr>
          <w:cantSplit/>
          <w:trHeight w:val="20"/>
        </w:trPr>
        <w:tc>
          <w:tcPr>
            <w:tcW w:w="2719" w:type="dxa"/>
          </w:tcPr>
          <w:p w14:paraId="7FFCE4DA" w14:textId="77777777" w:rsidR="005A42A2" w:rsidRPr="00A942F6" w:rsidRDefault="005A42A2" w:rsidP="00641834">
            <w:pPr>
              <w:pStyle w:val="TableParagraph"/>
              <w:keepNext/>
              <w:jc w:val="right"/>
              <w:rPr>
                <w:sz w:val="20"/>
                <w:szCs w:val="20"/>
                <w:lang w:val="nb-NO"/>
              </w:rPr>
            </w:pPr>
            <w:r w:rsidRPr="00A942F6">
              <w:rPr>
                <w:sz w:val="20"/>
                <w:szCs w:val="20"/>
                <w:lang w:val="nb-NO"/>
              </w:rPr>
              <w:t>Vektforskjell (95 % KI)</w:t>
            </w:r>
          </w:p>
        </w:tc>
        <w:tc>
          <w:tcPr>
            <w:tcW w:w="4903" w:type="dxa"/>
            <w:gridSpan w:val="2"/>
          </w:tcPr>
          <w:p w14:paraId="23E47D01" w14:textId="77777777" w:rsidR="005A42A2" w:rsidRPr="00A942F6" w:rsidRDefault="005A42A2" w:rsidP="00641834">
            <w:pPr>
              <w:pStyle w:val="TableParagraph"/>
              <w:keepNext/>
              <w:jc w:val="center"/>
              <w:rPr>
                <w:sz w:val="20"/>
                <w:szCs w:val="20"/>
                <w:lang w:val="nb-NO"/>
              </w:rPr>
            </w:pPr>
            <w:r w:rsidRPr="00A942F6">
              <w:rPr>
                <w:sz w:val="20"/>
                <w:szCs w:val="20"/>
                <w:lang w:val="nb-NO"/>
              </w:rPr>
              <w:t>-3,8 (-9,0, 1,3)</w:t>
            </w:r>
          </w:p>
        </w:tc>
      </w:tr>
    </w:tbl>
    <w:p w14:paraId="789A8553" w14:textId="77777777" w:rsidR="005A42A2" w:rsidRPr="00A942F6" w:rsidRDefault="005A42A2" w:rsidP="00641834">
      <w:pPr>
        <w:keepNext/>
        <w:rPr>
          <w:sz w:val="18"/>
          <w:szCs w:val="18"/>
          <w:lang w:val="nb-NO"/>
        </w:rPr>
      </w:pPr>
      <w:r w:rsidRPr="00A942F6">
        <w:rPr>
          <w:sz w:val="18"/>
          <w:szCs w:val="18"/>
          <w:lang w:val="nb-NO"/>
        </w:rPr>
        <w:t>TCZ = tocilizumab</w:t>
      </w:r>
    </w:p>
    <w:p w14:paraId="5AF9CBFE" w14:textId="77777777" w:rsidR="005A42A2" w:rsidRPr="00A942F6" w:rsidRDefault="005A42A2" w:rsidP="00641834">
      <w:pPr>
        <w:rPr>
          <w:sz w:val="18"/>
          <w:szCs w:val="18"/>
          <w:lang w:val="nb-NO"/>
        </w:rPr>
      </w:pPr>
      <w:r w:rsidRPr="00A942F6">
        <w:rPr>
          <w:sz w:val="18"/>
          <w:szCs w:val="18"/>
          <w:lang w:val="nb-NO"/>
        </w:rPr>
        <w:t>a = Per protokoll populasjon</w:t>
      </w:r>
    </w:p>
    <w:p w14:paraId="3C13BF71" w14:textId="77777777" w:rsidR="005A42A2" w:rsidRPr="00A942F6" w:rsidRDefault="005A42A2" w:rsidP="00641834">
      <w:pPr>
        <w:rPr>
          <w:lang w:val="nb-NO"/>
        </w:rPr>
      </w:pPr>
    </w:p>
    <w:p w14:paraId="5CA428AB" w14:textId="77777777" w:rsidR="005A42A2" w:rsidRPr="00A942F6" w:rsidRDefault="005A42A2" w:rsidP="00641834">
      <w:pPr>
        <w:rPr>
          <w:lang w:val="nb-NO"/>
        </w:rPr>
      </w:pPr>
      <w:r w:rsidRPr="00A942F6">
        <w:rPr>
          <w:lang w:val="nb-NO"/>
        </w:rPr>
        <w:t>Pasientene i studien SC-I hadde en gjennomsnittlig DAS28 (Disease Activity Score) ved behandlingsstart på 6,6 og 6,7 i henholdsvis subkutan og intravenøse armer. Ved uke 24 ble en betydelig reduksjon i DAS28 fra utgangspunktet (gjennomsnittlig forbedring) på 3,5 observert for begge behandlingsgruppene, og en tilsvarende andel av pasientene hadde oppnådd DAS28 klinisk remisjon (DAS28 &lt; 2,6) i subkutan (38,4 %) og intravenøs (36,9 %) armene.</w:t>
      </w:r>
    </w:p>
    <w:p w14:paraId="20B90110" w14:textId="77777777" w:rsidR="000D024D" w:rsidRPr="00A942F6" w:rsidRDefault="000D024D" w:rsidP="00641834">
      <w:pPr>
        <w:rPr>
          <w:lang w:val="nb-NO"/>
        </w:rPr>
      </w:pPr>
    </w:p>
    <w:p w14:paraId="746A8D97" w14:textId="77777777" w:rsidR="005A42A2" w:rsidRPr="00A942F6" w:rsidRDefault="005A42A2" w:rsidP="00641834">
      <w:pPr>
        <w:pStyle w:val="Style1Iitaic"/>
        <w:rPr>
          <w:lang w:val="nb-NO"/>
        </w:rPr>
      </w:pPr>
      <w:r w:rsidRPr="00A942F6">
        <w:rPr>
          <w:lang w:val="nb-NO"/>
        </w:rPr>
        <w:t>Radiografisk respons</w:t>
      </w:r>
    </w:p>
    <w:p w14:paraId="36C6BE56" w14:textId="38DA6ADF" w:rsidR="005A42A2" w:rsidRPr="00A942F6" w:rsidRDefault="005A42A2" w:rsidP="00641834">
      <w:pPr>
        <w:rPr>
          <w:lang w:val="nb-NO"/>
        </w:rPr>
      </w:pPr>
      <w:r w:rsidRPr="00A942F6">
        <w:rPr>
          <w:lang w:val="nb-NO"/>
        </w:rPr>
        <w:t xml:space="preserve">Radiografisk respons av subkutant administrert </w:t>
      </w:r>
      <w:r w:rsidR="000850FE" w:rsidRPr="00A942F6">
        <w:rPr>
          <w:lang w:val="nb-NO"/>
        </w:rPr>
        <w:t>tocilizumab</w:t>
      </w:r>
      <w:r w:rsidRPr="00A942F6">
        <w:rPr>
          <w:lang w:val="nb-NO"/>
        </w:rPr>
        <w:t xml:space="preserve"> ble undersøkt i en dobbeltblind, kontrollert, multisenterstudie hos pasienter med aktiv RA (SC-II). Studien SC-II evaluerte pasienter med moderat til alvorlig aktiv RA som hadde utilstrekkelig klinisk respons på eksisterende behandling, inkludert en eller flere DMARDs hvor ca. 20 % hadde en historie med utilstrekkelig respons på minst én TNF-hemmer. Pasientene måtte være &gt; 18 år med aktiv RA diagnostisert i henhold til ACR kriterier som hadde minst 8 ømme og 6 hovne ledd ved behandlingsstart. I SC-II ble 656 pasienter randomisert 2:1 til </w:t>
      </w:r>
      <w:r w:rsidR="000850FE" w:rsidRPr="00A942F6">
        <w:rPr>
          <w:lang w:val="nb-NO"/>
        </w:rPr>
        <w:t>tocilizumab</w:t>
      </w:r>
      <w:r w:rsidRPr="00A942F6">
        <w:rPr>
          <w:lang w:val="nb-NO"/>
        </w:rPr>
        <w:t xml:space="preserve"> subkutant 162 mg annenhver uke eller placebo i kombinasjon med ikke-biologiske DMARDs.</w:t>
      </w:r>
    </w:p>
    <w:p w14:paraId="0180B30D" w14:textId="77777777" w:rsidR="005A42A2" w:rsidRPr="00A942F6" w:rsidRDefault="005A42A2" w:rsidP="00641834">
      <w:pPr>
        <w:rPr>
          <w:lang w:val="nb-NO"/>
        </w:rPr>
      </w:pPr>
    </w:p>
    <w:p w14:paraId="5AC2B4C3" w14:textId="5077C606" w:rsidR="005A42A2" w:rsidRPr="00A942F6" w:rsidRDefault="005A42A2" w:rsidP="00394415">
      <w:pPr>
        <w:rPr>
          <w:lang w:val="nb-NO"/>
        </w:rPr>
      </w:pPr>
      <w:r w:rsidRPr="00A942F6">
        <w:rPr>
          <w:lang w:val="nb-NO"/>
        </w:rPr>
        <w:t>I studien SC-II ble hemming av strukturelle leddskader vurdert radiografisk og uttrykt som endring fra utgangspunktet etter mTSS (van der Heijde modifisert gjennomsnittlig total Sharp Score). Ved uke 24</w:t>
      </w:r>
      <w:r w:rsidR="00FC420A">
        <w:rPr>
          <w:lang w:val="nb-NO"/>
        </w:rPr>
        <w:t> </w:t>
      </w:r>
      <w:r w:rsidRPr="00A942F6">
        <w:rPr>
          <w:lang w:val="nb-NO"/>
        </w:rPr>
        <w:t xml:space="preserve">ble hemming av strukturell skade vist med signifikant mindre radiografisk progresjon hos pasienter som fikk </w:t>
      </w:r>
      <w:r w:rsidR="000850FE" w:rsidRPr="00A942F6">
        <w:rPr>
          <w:lang w:val="nb-NO"/>
        </w:rPr>
        <w:t>tocilizumab</w:t>
      </w:r>
      <w:r w:rsidRPr="00A942F6">
        <w:rPr>
          <w:lang w:val="nb-NO"/>
        </w:rPr>
        <w:t xml:space="preserve"> subkutant sammenlignet med placebo (gjennomsnittlig mTSS på 0,62 vs. 1,23,</w:t>
      </w:r>
      <w:r w:rsidR="00394415">
        <w:rPr>
          <w:lang w:val="nb-NO"/>
        </w:rPr>
        <w:t xml:space="preserve"> </w:t>
      </w:r>
      <w:r w:rsidRPr="00A942F6">
        <w:rPr>
          <w:lang w:val="nb-NO"/>
        </w:rPr>
        <w:t>p</w:t>
      </w:r>
      <w:r w:rsidR="00394415">
        <w:rPr>
          <w:lang w:val="nb-NO"/>
        </w:rPr>
        <w:t> </w:t>
      </w:r>
      <w:r w:rsidRPr="00A942F6">
        <w:rPr>
          <w:lang w:val="nb-NO"/>
        </w:rPr>
        <w:t xml:space="preserve">= 0,0149 (van Elteren)). Disse resultatene er i samsvar med det som ble observert hos pasienter behandlet med intravenøs </w:t>
      </w:r>
      <w:r w:rsidR="000850FE" w:rsidRPr="00A942F6">
        <w:rPr>
          <w:lang w:val="nb-NO"/>
        </w:rPr>
        <w:t>tocilizumab</w:t>
      </w:r>
      <w:r w:rsidRPr="00A942F6">
        <w:rPr>
          <w:lang w:val="nb-NO"/>
        </w:rPr>
        <w:t>.</w:t>
      </w:r>
    </w:p>
    <w:p w14:paraId="7A9D7314" w14:textId="77777777" w:rsidR="000D024D" w:rsidRPr="00A942F6" w:rsidRDefault="000D024D" w:rsidP="00641834">
      <w:pPr>
        <w:rPr>
          <w:lang w:val="nb-NO"/>
        </w:rPr>
      </w:pPr>
    </w:p>
    <w:p w14:paraId="0554C918" w14:textId="1DF4C300" w:rsidR="005A42A2" w:rsidRPr="00A942F6" w:rsidRDefault="005A42A2" w:rsidP="00641834">
      <w:pPr>
        <w:rPr>
          <w:lang w:val="nb-NO"/>
        </w:rPr>
      </w:pPr>
      <w:r w:rsidRPr="00A942F6">
        <w:rPr>
          <w:lang w:val="nb-NO"/>
        </w:rPr>
        <w:t xml:space="preserve">I uke 24 i studien SC-II var ACR20 på 60,9 %, ACR50 på 39,8 % og ACR70 på 19,7 % for pasienter behandlet med </w:t>
      </w:r>
      <w:r w:rsidR="000850FE" w:rsidRPr="00A942F6">
        <w:rPr>
          <w:lang w:val="nb-NO"/>
        </w:rPr>
        <w:t>tocilizumab</w:t>
      </w:r>
      <w:r w:rsidRPr="00A942F6">
        <w:rPr>
          <w:lang w:val="nb-NO"/>
        </w:rPr>
        <w:t xml:space="preserve"> subkutant annenhver uke, versus placebo hvor ACR20 var på 31,5 %, ACR50 på 12,3 % og ACR70 på 5,0 %. Pasientene hadde gjennomsnittlig DAS28 ved utgangspunktet på 6,7 på subkutan og 6,6 i placebo-armene. I uke 24 ble en betydelig reduksjon i DAS28 fra utgangspunktet observert, 3,1 på subkutan og 1,7 i placebo-armen, og for DAS28 &lt; 2,6, ble 32,0 % observert på subkutan og 4,0 % i placebo-armen.</w:t>
      </w:r>
    </w:p>
    <w:p w14:paraId="20B356E4" w14:textId="77777777" w:rsidR="005A42A2" w:rsidRPr="00A942F6" w:rsidRDefault="005A42A2" w:rsidP="00641834">
      <w:pPr>
        <w:rPr>
          <w:lang w:val="nb-NO"/>
        </w:rPr>
      </w:pPr>
    </w:p>
    <w:p w14:paraId="1B193302" w14:textId="77777777" w:rsidR="005A42A2" w:rsidRPr="00A942F6" w:rsidRDefault="005A42A2" w:rsidP="00641834">
      <w:pPr>
        <w:pStyle w:val="Style1Iitaic"/>
        <w:rPr>
          <w:lang w:val="nb-NO"/>
        </w:rPr>
      </w:pPr>
      <w:r w:rsidRPr="00A942F6">
        <w:rPr>
          <w:lang w:val="nb-NO"/>
        </w:rPr>
        <w:t>Helserelaterte effekter og livskvalitet</w:t>
      </w:r>
    </w:p>
    <w:p w14:paraId="30C6A6D3" w14:textId="77777777" w:rsidR="005A42A2" w:rsidRPr="00A942F6" w:rsidRDefault="005A42A2" w:rsidP="00641834">
      <w:pPr>
        <w:rPr>
          <w:lang w:val="nb-NO"/>
        </w:rPr>
      </w:pPr>
      <w:r w:rsidRPr="00A942F6">
        <w:rPr>
          <w:lang w:val="nb-NO"/>
        </w:rPr>
        <w:t xml:space="preserve">I studien SC-I var gjennomsnittlig reduksjon i HAQ DI fra utgangspunktet til uke 24 var 0,6 på både subkutane og intravenøse armer. Andelen pasienter som oppnådde en klinisk relevant bedring i HAQ-DI ved uke 24 (endring fra utgangspunktet på </w:t>
      </w:r>
      <w:r w:rsidRPr="00A942F6">
        <w:rPr>
          <w:rFonts w:cs="Times New Roman"/>
          <w:lang w:val="nb-NO"/>
        </w:rPr>
        <w:t>≥</w:t>
      </w:r>
      <w:r w:rsidRPr="00A942F6">
        <w:rPr>
          <w:lang w:val="nb-NO"/>
        </w:rPr>
        <w:t xml:space="preserve"> 0,3 enheter) var også sammenlignbar for subkutane (65,2 %) versus intravenøse (67,4 %) armer, med en vektet forskjell i andelen på -2,3 % (95 % KI -8,1, 3,4). Gjennomsnittlig endring av SF-36 fra utgangspunktet ved uke 24 var for den mentale komponenten 6,22 poeng for den subkutane armen og 6,54 for den intravenøse armen. For den fysiske komponenten var også poengsummen lik med 9,49 for den subkutane armen og 9,65 for den intravenøse armen.</w:t>
      </w:r>
    </w:p>
    <w:p w14:paraId="4FFAB0FC" w14:textId="77777777" w:rsidR="005A42A2" w:rsidRPr="00A942F6" w:rsidRDefault="005A42A2" w:rsidP="00641834">
      <w:pPr>
        <w:rPr>
          <w:lang w:val="nb-NO"/>
        </w:rPr>
      </w:pPr>
    </w:p>
    <w:p w14:paraId="5F64A68F" w14:textId="597F4279" w:rsidR="005A42A2" w:rsidRPr="00A942F6" w:rsidRDefault="005A42A2" w:rsidP="00641834">
      <w:pPr>
        <w:rPr>
          <w:lang w:val="nb-NO"/>
        </w:rPr>
      </w:pPr>
      <w:r w:rsidRPr="00A942F6">
        <w:rPr>
          <w:lang w:val="nb-NO"/>
        </w:rPr>
        <w:t xml:space="preserve">I studien SC-II var gjennomsnittlig reduksjon i HAQ-DI fra utgangspunktet til uke 24 signifikant større for pasienter behandlet med </w:t>
      </w:r>
      <w:r w:rsidR="000850FE" w:rsidRPr="00A942F6">
        <w:rPr>
          <w:lang w:val="nb-NO"/>
        </w:rPr>
        <w:t>tocilizumab</w:t>
      </w:r>
      <w:r w:rsidRPr="00A942F6">
        <w:rPr>
          <w:lang w:val="nb-NO"/>
        </w:rPr>
        <w:t xml:space="preserve"> subkutant annenhver uke (0,4) versus placebo (0,3). Andelen pasienter som oppnådde en klinisk relevant bedring i HAQ-DI ved uke 24 (endring fra utgangspunktet på </w:t>
      </w:r>
      <w:r w:rsidRPr="00A942F6">
        <w:rPr>
          <w:rFonts w:cs="Times New Roman"/>
          <w:lang w:val="nb-NO"/>
        </w:rPr>
        <w:t>≥</w:t>
      </w:r>
      <w:r w:rsidRPr="00A942F6">
        <w:rPr>
          <w:lang w:val="nb-NO"/>
        </w:rPr>
        <w:t xml:space="preserve"> 0,3 enheter) var høyere for </w:t>
      </w:r>
      <w:r w:rsidR="000850FE" w:rsidRPr="00A942F6">
        <w:rPr>
          <w:lang w:val="nb-NO"/>
        </w:rPr>
        <w:t>tocilizumab</w:t>
      </w:r>
      <w:r w:rsidRPr="00A942F6">
        <w:rPr>
          <w:lang w:val="nb-NO"/>
        </w:rPr>
        <w:t xml:space="preserve"> subkutant annenhver uke (58 %) versus placebo (46,8 %). SF-36 (gjennomsnittlig endring i psykiske og fysiske komponentskårene) var signifikant større med </w:t>
      </w:r>
      <w:r w:rsidR="000850FE" w:rsidRPr="00A942F6">
        <w:rPr>
          <w:lang w:val="nb-NO"/>
        </w:rPr>
        <w:t>tocilizumab</w:t>
      </w:r>
      <w:r w:rsidRPr="00A942F6">
        <w:rPr>
          <w:lang w:val="nb-NO"/>
        </w:rPr>
        <w:t xml:space="preserve"> subkutan gruppe (6,5 og 5,3) versus placebo (3,8 og 2,9).</w:t>
      </w:r>
    </w:p>
    <w:p w14:paraId="3356B52F" w14:textId="77777777" w:rsidR="005A42A2" w:rsidRPr="00A942F6" w:rsidRDefault="005A42A2" w:rsidP="00641834">
      <w:pPr>
        <w:rPr>
          <w:lang w:val="nb-NO"/>
        </w:rPr>
      </w:pPr>
    </w:p>
    <w:p w14:paraId="2071A1DF" w14:textId="77777777" w:rsidR="005A42A2" w:rsidRPr="003E441D" w:rsidRDefault="005A42A2" w:rsidP="00641834">
      <w:pPr>
        <w:pStyle w:val="Style1underline"/>
        <w:rPr>
          <w:b/>
          <w:bCs/>
          <w:lang w:val="nb-NO"/>
        </w:rPr>
      </w:pPr>
      <w:r w:rsidRPr="003E441D">
        <w:rPr>
          <w:b/>
          <w:bCs/>
          <w:lang w:val="nb-NO"/>
        </w:rPr>
        <w:t>sJIA (SC)</w:t>
      </w:r>
    </w:p>
    <w:p w14:paraId="425B9AAA" w14:textId="77777777" w:rsidR="005A42A2" w:rsidRPr="00A942F6" w:rsidRDefault="005A42A2" w:rsidP="00641834">
      <w:pPr>
        <w:pStyle w:val="Style1underline"/>
        <w:rPr>
          <w:lang w:val="nb-NO"/>
        </w:rPr>
      </w:pPr>
      <w:r w:rsidRPr="00A942F6">
        <w:rPr>
          <w:lang w:val="nb-NO"/>
        </w:rPr>
        <w:t>Klinisk effekt</w:t>
      </w:r>
    </w:p>
    <w:p w14:paraId="4F493D81" w14:textId="0225F31A" w:rsidR="005A42A2" w:rsidRPr="00A942F6" w:rsidRDefault="005A42A2" w:rsidP="00641834">
      <w:pPr>
        <w:rPr>
          <w:lang w:val="nb-NO"/>
        </w:rPr>
      </w:pPr>
      <w:r w:rsidRPr="00A942F6">
        <w:rPr>
          <w:lang w:val="nb-NO"/>
        </w:rPr>
        <w:t xml:space="preserve">Det ble utført en 52 uker lang åpen multisenterstudie på farmakokinetikk/farmakodynamikk og sikkerhet (WA28118) hos pediatriske pasienter med sJIA i alderen 1 til 17 år, for å bestemme en subkutan dose med </w:t>
      </w:r>
      <w:r w:rsidR="000850FE" w:rsidRPr="00A942F6">
        <w:rPr>
          <w:lang w:val="nb-NO"/>
        </w:rPr>
        <w:t>tocilizumab</w:t>
      </w:r>
      <w:r w:rsidRPr="00A942F6">
        <w:rPr>
          <w:lang w:val="nb-NO"/>
        </w:rPr>
        <w:t xml:space="preserve"> som oppnådde sammenlignbar farmakokinetikk/farmakodynamikk og sikkerhetsprofil som det intravenøse behandlingsregimet.</w:t>
      </w:r>
    </w:p>
    <w:p w14:paraId="47C95E39" w14:textId="77777777" w:rsidR="000D024D" w:rsidRPr="00A942F6" w:rsidRDefault="000D024D" w:rsidP="00641834">
      <w:pPr>
        <w:rPr>
          <w:lang w:val="nb-NO"/>
        </w:rPr>
      </w:pPr>
    </w:p>
    <w:p w14:paraId="13307AD0" w14:textId="280F0033" w:rsidR="005A42A2" w:rsidRPr="00A942F6" w:rsidRDefault="005A42A2" w:rsidP="00641834">
      <w:pPr>
        <w:rPr>
          <w:lang w:val="nb-NO"/>
        </w:rPr>
      </w:pPr>
      <w:r w:rsidRPr="00A942F6">
        <w:rPr>
          <w:lang w:val="nb-NO"/>
        </w:rPr>
        <w:t xml:space="preserve">De aktuelle pasientene fikk </w:t>
      </w:r>
      <w:r w:rsidR="000850FE" w:rsidRPr="00A942F6">
        <w:rPr>
          <w:lang w:val="nb-NO"/>
        </w:rPr>
        <w:t>tocilizumab</w:t>
      </w:r>
      <w:r w:rsidRPr="00A942F6">
        <w:rPr>
          <w:lang w:val="nb-NO"/>
        </w:rPr>
        <w:t xml:space="preserve">-doser i henhold til kroppsvekt. Pasienter som veide </w:t>
      </w:r>
      <w:r w:rsidRPr="00A942F6">
        <w:rPr>
          <w:rFonts w:cs="Times New Roman"/>
          <w:lang w:val="nb-NO"/>
        </w:rPr>
        <w:t>≥</w:t>
      </w:r>
      <w:r w:rsidRPr="00A942F6">
        <w:rPr>
          <w:lang w:val="nb-NO"/>
        </w:rPr>
        <w:t xml:space="preserve"> 30 kg (n</w:t>
      </w:r>
      <w:r w:rsidR="00FC420A">
        <w:rPr>
          <w:lang w:val="nb-NO"/>
        </w:rPr>
        <w:t> </w:t>
      </w:r>
      <w:r w:rsidRPr="00A942F6">
        <w:rPr>
          <w:lang w:val="nb-NO"/>
        </w:rPr>
        <w:t xml:space="preserve">= 26) fikk 162 mg </w:t>
      </w:r>
      <w:r w:rsidR="000850FE" w:rsidRPr="00A942F6">
        <w:rPr>
          <w:lang w:val="nb-NO"/>
        </w:rPr>
        <w:t>tocilizumab</w:t>
      </w:r>
      <w:r w:rsidRPr="00A942F6">
        <w:rPr>
          <w:lang w:val="nb-NO"/>
        </w:rPr>
        <w:t xml:space="preserve"> hver uke og pasienter som veide under 30 kg (n = 25) fikk 162 mg </w:t>
      </w:r>
      <w:r w:rsidR="000850FE" w:rsidRPr="00A942F6">
        <w:rPr>
          <w:lang w:val="nb-NO"/>
        </w:rPr>
        <w:lastRenderedPageBreak/>
        <w:t>tocilizumab</w:t>
      </w:r>
      <w:r w:rsidRPr="00A942F6">
        <w:rPr>
          <w:lang w:val="nb-NO"/>
        </w:rPr>
        <w:t xml:space="preserve"> hver 10. dag (n = 8) eller annenhver uke (n = 17) i 52 uker. Av disse 51 pasientene var</w:t>
      </w:r>
      <w:r w:rsidR="00F97D0A" w:rsidRPr="00A942F6">
        <w:rPr>
          <w:lang w:val="nb-NO"/>
        </w:rPr>
        <w:t xml:space="preserve"> </w:t>
      </w:r>
      <w:r w:rsidRPr="00A942F6">
        <w:rPr>
          <w:lang w:val="nb-NO"/>
        </w:rPr>
        <w:t>26</w:t>
      </w:r>
      <w:r w:rsidR="00F97D0A" w:rsidRPr="00A942F6">
        <w:rPr>
          <w:lang w:val="nb-NO"/>
        </w:rPr>
        <w:t> </w:t>
      </w:r>
      <w:r w:rsidRPr="00A942F6">
        <w:rPr>
          <w:lang w:val="nb-NO"/>
        </w:rPr>
        <w:t xml:space="preserve">(51 %) behandlingsnaive for </w:t>
      </w:r>
      <w:r w:rsidR="000850FE" w:rsidRPr="00A942F6">
        <w:rPr>
          <w:lang w:val="nb-NO"/>
        </w:rPr>
        <w:t>tocilizumab</w:t>
      </w:r>
      <w:r w:rsidRPr="00A942F6">
        <w:rPr>
          <w:lang w:val="nb-NO"/>
        </w:rPr>
        <w:t xml:space="preserve">. 25 pasienter (49 %) hadde fått </w:t>
      </w:r>
      <w:r w:rsidR="000850FE" w:rsidRPr="00A942F6">
        <w:rPr>
          <w:lang w:val="nb-NO"/>
        </w:rPr>
        <w:t>tocilizumab</w:t>
      </w:r>
      <w:r w:rsidRPr="00A942F6">
        <w:rPr>
          <w:lang w:val="nb-NO"/>
        </w:rPr>
        <w:t xml:space="preserve"> intravenøst og ble overført til subkutan </w:t>
      </w:r>
      <w:r w:rsidR="000850FE" w:rsidRPr="00A942F6">
        <w:rPr>
          <w:lang w:val="nb-NO"/>
        </w:rPr>
        <w:t>tocilizumab</w:t>
      </w:r>
      <w:r w:rsidRPr="00A942F6">
        <w:rPr>
          <w:lang w:val="nb-NO"/>
        </w:rPr>
        <w:t xml:space="preserve"> ved baseline.</w:t>
      </w:r>
    </w:p>
    <w:p w14:paraId="45E449B1" w14:textId="77777777" w:rsidR="005A42A2" w:rsidRPr="00A942F6" w:rsidRDefault="005A42A2" w:rsidP="00641834">
      <w:pPr>
        <w:rPr>
          <w:lang w:val="nb-NO"/>
        </w:rPr>
      </w:pPr>
    </w:p>
    <w:p w14:paraId="61EBD3C1" w14:textId="7F89B609" w:rsidR="005A42A2" w:rsidRPr="00A942F6" w:rsidRDefault="005A42A2" w:rsidP="00641834">
      <w:pPr>
        <w:rPr>
          <w:lang w:val="nb-NO"/>
        </w:rPr>
      </w:pPr>
      <w:r w:rsidRPr="00A942F6">
        <w:rPr>
          <w:lang w:val="nb-NO"/>
        </w:rPr>
        <w:t xml:space="preserve">Eksplorative effektresultater viste at </w:t>
      </w:r>
      <w:r w:rsidR="000850FE" w:rsidRPr="00A942F6">
        <w:rPr>
          <w:lang w:val="nb-NO"/>
        </w:rPr>
        <w:t>tocilizumab</w:t>
      </w:r>
      <w:r w:rsidRPr="00A942F6">
        <w:rPr>
          <w:lang w:val="nb-NO"/>
        </w:rPr>
        <w:t xml:space="preserve"> subkutant forbedret alle eksplorative effektparametere, inkludert juvenil artritt sykdomsaktivitet-skår (Juvenile Arthritis Disease Activity Score, JADAS)-71 for tocilizumab-naive pasienter. Alle eksplorative effektparametere ble opprettholdt for pasienter som byttet fra intravenøs til subkutan </w:t>
      </w:r>
      <w:r w:rsidR="000850FE" w:rsidRPr="00A942F6">
        <w:rPr>
          <w:lang w:val="nb-NO"/>
        </w:rPr>
        <w:t>tocilizumab</w:t>
      </w:r>
      <w:r w:rsidRPr="00A942F6">
        <w:rPr>
          <w:lang w:val="nb-NO"/>
        </w:rPr>
        <w:t xml:space="preserve">-behandling gjennom hele studien for pasienter i begge kroppsvektgrupper (under 30 kg og </w:t>
      </w:r>
      <w:r w:rsidRPr="00A942F6">
        <w:rPr>
          <w:rFonts w:cs="Times New Roman"/>
          <w:lang w:val="nb-NO"/>
        </w:rPr>
        <w:t>≥</w:t>
      </w:r>
      <w:r w:rsidRPr="00A942F6">
        <w:rPr>
          <w:lang w:val="nb-NO"/>
        </w:rPr>
        <w:t xml:space="preserve"> 30 kg).</w:t>
      </w:r>
    </w:p>
    <w:p w14:paraId="2F2785C1" w14:textId="77777777" w:rsidR="005A42A2" w:rsidRPr="00A942F6" w:rsidRDefault="005A42A2" w:rsidP="00641834">
      <w:pPr>
        <w:rPr>
          <w:lang w:val="nb-NO"/>
        </w:rPr>
      </w:pPr>
    </w:p>
    <w:p w14:paraId="1A431382" w14:textId="77777777" w:rsidR="005A42A2" w:rsidRPr="003E441D" w:rsidRDefault="005A42A2" w:rsidP="00641834">
      <w:pPr>
        <w:pStyle w:val="Style1underline"/>
        <w:rPr>
          <w:b/>
          <w:bCs/>
          <w:lang w:val="nb-NO"/>
        </w:rPr>
      </w:pPr>
      <w:r w:rsidRPr="003E441D">
        <w:rPr>
          <w:b/>
          <w:bCs/>
          <w:lang w:val="nb-NO"/>
        </w:rPr>
        <w:t>pJIA (SC)</w:t>
      </w:r>
    </w:p>
    <w:p w14:paraId="1A502644" w14:textId="611986AE" w:rsidR="005A42A2" w:rsidRPr="00A942F6" w:rsidRDefault="005A42A2" w:rsidP="00641834">
      <w:pPr>
        <w:rPr>
          <w:lang w:val="nb-NO"/>
        </w:rPr>
      </w:pPr>
      <w:r w:rsidRPr="00A942F6">
        <w:rPr>
          <w:lang w:val="nb-NO"/>
        </w:rPr>
        <w:t xml:space="preserve">Det ble utført en 52 uker lang åpen multisenterstudie på farmakokinetikk/farmakodynamikk og sikkerhet hos pediatriske pasienter med pJIA i alderen 1 til 17 år, for å bestemme en subkutan dose med </w:t>
      </w:r>
      <w:r w:rsidR="000850FE" w:rsidRPr="00A942F6">
        <w:rPr>
          <w:lang w:val="nb-NO"/>
        </w:rPr>
        <w:t>tocilizumab</w:t>
      </w:r>
      <w:r w:rsidRPr="00A942F6">
        <w:rPr>
          <w:lang w:val="nb-NO"/>
        </w:rPr>
        <w:t xml:space="preserve"> som oppnådde sammenlignbar farmakokinetikk/farmakodynamikk og sikkerhetsprofil som det intravenøse behandlingsregimet.</w:t>
      </w:r>
    </w:p>
    <w:p w14:paraId="0FD8AF7C" w14:textId="77777777" w:rsidR="000D024D" w:rsidRPr="00A942F6" w:rsidRDefault="000D024D" w:rsidP="00641834">
      <w:pPr>
        <w:rPr>
          <w:lang w:val="nb-NO"/>
        </w:rPr>
      </w:pPr>
    </w:p>
    <w:p w14:paraId="06D0E50B" w14:textId="594328C5" w:rsidR="005A42A2" w:rsidRPr="00A942F6" w:rsidRDefault="005A42A2" w:rsidP="00641834">
      <w:pPr>
        <w:rPr>
          <w:lang w:val="nb-NO"/>
        </w:rPr>
      </w:pPr>
      <w:r w:rsidRPr="00A942F6">
        <w:rPr>
          <w:lang w:val="nb-NO"/>
        </w:rPr>
        <w:t xml:space="preserve">De aktuelle pasientene fikk tocilizumab-doser i henhold til kroppsvekt. Pasienter som veide </w:t>
      </w:r>
      <w:r w:rsidRPr="00A942F6">
        <w:rPr>
          <w:rFonts w:cs="Times New Roman"/>
          <w:lang w:val="nb-NO"/>
        </w:rPr>
        <w:t>≥</w:t>
      </w:r>
      <w:r w:rsidRPr="00A942F6">
        <w:rPr>
          <w:lang w:val="nb-NO"/>
        </w:rPr>
        <w:t xml:space="preserve"> 30 kg (n</w:t>
      </w:r>
      <w:r w:rsidR="00F97D0A" w:rsidRPr="00A942F6">
        <w:rPr>
          <w:lang w:val="nb-NO"/>
        </w:rPr>
        <w:t> </w:t>
      </w:r>
      <w:r w:rsidRPr="00A942F6">
        <w:rPr>
          <w:lang w:val="nb-NO"/>
        </w:rPr>
        <w:t xml:space="preserve">= 25) fikk 162 mg </w:t>
      </w:r>
      <w:r w:rsidR="000850FE" w:rsidRPr="00A942F6">
        <w:rPr>
          <w:lang w:val="nb-NO"/>
        </w:rPr>
        <w:t>tocilizumab</w:t>
      </w:r>
      <w:r w:rsidRPr="00A942F6">
        <w:rPr>
          <w:lang w:val="nb-NO"/>
        </w:rPr>
        <w:t xml:space="preserve"> annenhver uke og pasienter som veide under 30 kg (n = 27) fikk 162</w:t>
      </w:r>
      <w:r w:rsidR="00F97D0A" w:rsidRPr="00A942F6">
        <w:rPr>
          <w:lang w:val="nb-NO"/>
        </w:rPr>
        <w:t> </w:t>
      </w:r>
      <w:r w:rsidRPr="00A942F6">
        <w:rPr>
          <w:lang w:val="nb-NO"/>
        </w:rPr>
        <w:t xml:space="preserve">mg </w:t>
      </w:r>
      <w:r w:rsidR="000850FE" w:rsidRPr="00A942F6">
        <w:rPr>
          <w:lang w:val="nb-NO"/>
        </w:rPr>
        <w:t>tocilizumab</w:t>
      </w:r>
      <w:r w:rsidRPr="00A942F6">
        <w:rPr>
          <w:lang w:val="nb-NO"/>
        </w:rPr>
        <w:t xml:space="preserve"> hver tredje uke i 52 uker. Av disse 52 pasientene var 37 (71 %) behandlingsnaive for </w:t>
      </w:r>
      <w:r w:rsidR="000850FE" w:rsidRPr="00A942F6">
        <w:rPr>
          <w:lang w:val="nb-NO"/>
        </w:rPr>
        <w:t>tocilizumab</w:t>
      </w:r>
      <w:r w:rsidRPr="00A942F6">
        <w:rPr>
          <w:lang w:val="nb-NO"/>
        </w:rPr>
        <w:t xml:space="preserve">. 15 pasienter (29 %) hadde fått </w:t>
      </w:r>
      <w:r w:rsidR="000850FE" w:rsidRPr="00A942F6">
        <w:rPr>
          <w:lang w:val="nb-NO"/>
        </w:rPr>
        <w:t>tocilizumab</w:t>
      </w:r>
      <w:r w:rsidRPr="00A942F6">
        <w:rPr>
          <w:lang w:val="nb-NO"/>
        </w:rPr>
        <w:t xml:space="preserve"> intravenøst og ble overført til subkutan </w:t>
      </w:r>
      <w:r w:rsidR="000850FE" w:rsidRPr="00A942F6">
        <w:rPr>
          <w:lang w:val="nb-NO"/>
        </w:rPr>
        <w:t>tocilizumab</w:t>
      </w:r>
      <w:r w:rsidRPr="00A942F6">
        <w:rPr>
          <w:lang w:val="nb-NO"/>
        </w:rPr>
        <w:t xml:space="preserve"> ved baseline.</w:t>
      </w:r>
    </w:p>
    <w:p w14:paraId="16EF84EE" w14:textId="77777777" w:rsidR="000D024D" w:rsidRPr="00A942F6" w:rsidRDefault="000D024D" w:rsidP="00641834">
      <w:pPr>
        <w:rPr>
          <w:lang w:val="nb-NO"/>
        </w:rPr>
      </w:pPr>
    </w:p>
    <w:p w14:paraId="7DCB5F32" w14:textId="007FE84F" w:rsidR="005A42A2" w:rsidRPr="00A942F6" w:rsidRDefault="005A42A2" w:rsidP="00641834">
      <w:pPr>
        <w:rPr>
          <w:lang w:val="nb-NO"/>
        </w:rPr>
      </w:pPr>
      <w:r w:rsidRPr="00A942F6">
        <w:rPr>
          <w:lang w:val="nb-NO"/>
        </w:rPr>
        <w:t xml:space="preserve">Subkutan dosering med henholdsvis </w:t>
      </w:r>
      <w:r w:rsidR="006A3D0D" w:rsidRPr="009B40A5">
        <w:rPr>
          <w:lang w:val="nb-NO"/>
        </w:rPr>
        <w:t>tocilizumab</w:t>
      </w:r>
      <w:r w:rsidR="006A3D0D" w:rsidRPr="006A3D0D">
        <w:rPr>
          <w:lang w:val="nb-NO"/>
        </w:rPr>
        <w:t xml:space="preserve"> </w:t>
      </w:r>
      <w:r w:rsidRPr="00A942F6">
        <w:rPr>
          <w:lang w:val="nb-NO"/>
        </w:rPr>
        <w:t xml:space="preserve">162 mg hver tredje uke for pasienter som veier under 30 kg og 162 mg annenhver uke for pasienter som veier </w:t>
      </w:r>
      <w:r w:rsidRPr="00A942F6">
        <w:rPr>
          <w:rFonts w:cs="Times New Roman"/>
          <w:lang w:val="nb-NO"/>
        </w:rPr>
        <w:t>≥</w:t>
      </w:r>
      <w:r w:rsidRPr="00A942F6">
        <w:rPr>
          <w:lang w:val="nb-NO"/>
        </w:rPr>
        <w:t xml:space="preserve"> 30 kg, viser en farmakokinetisk eksponering og farmakodynamisk respons som støtter effekt- og sikkerhetsresultater tilsvarende det som er vist med de godkjente doseringene med intravenøs </w:t>
      </w:r>
      <w:r w:rsidR="000850FE" w:rsidRPr="00A942F6">
        <w:rPr>
          <w:lang w:val="nb-NO"/>
        </w:rPr>
        <w:t>tocilizumab</w:t>
      </w:r>
      <w:r w:rsidRPr="00A942F6">
        <w:rPr>
          <w:lang w:val="nb-NO"/>
        </w:rPr>
        <w:t xml:space="preserve"> ved pJIA.</w:t>
      </w:r>
    </w:p>
    <w:p w14:paraId="7E0FFEF7" w14:textId="77777777" w:rsidR="000D024D" w:rsidRPr="00A942F6" w:rsidRDefault="000D024D" w:rsidP="00641834">
      <w:pPr>
        <w:rPr>
          <w:lang w:val="nb-NO"/>
        </w:rPr>
      </w:pPr>
    </w:p>
    <w:p w14:paraId="46B54909" w14:textId="07C1CE88" w:rsidR="005A42A2" w:rsidRPr="00A942F6" w:rsidRDefault="005A42A2" w:rsidP="00641834">
      <w:pPr>
        <w:rPr>
          <w:lang w:val="nb-NO"/>
        </w:rPr>
      </w:pPr>
      <w:r w:rsidRPr="00A942F6">
        <w:rPr>
          <w:lang w:val="nb-NO"/>
        </w:rPr>
        <w:t xml:space="preserve">Eksplorative effektresultater viste at </w:t>
      </w:r>
      <w:r w:rsidR="000850FE" w:rsidRPr="00A942F6">
        <w:rPr>
          <w:lang w:val="nb-NO"/>
        </w:rPr>
        <w:t>tocilizumab</w:t>
      </w:r>
      <w:r w:rsidRPr="00A942F6">
        <w:rPr>
          <w:lang w:val="nb-NO"/>
        </w:rPr>
        <w:t xml:space="preserve"> subkutant forbedret median juvenil artritt sykdomsaktivitet-skår (Juvenile Arthritis Disease Activity Score, JADAS)-71 for </w:t>
      </w:r>
      <w:r w:rsidR="000850FE" w:rsidRPr="00A942F6">
        <w:rPr>
          <w:lang w:val="nb-NO"/>
        </w:rPr>
        <w:t>tocilizumab</w:t>
      </w:r>
      <w:r w:rsidRPr="00A942F6">
        <w:rPr>
          <w:lang w:val="nb-NO"/>
        </w:rPr>
        <w:t xml:space="preserve">-naive pasienter og opprettholdt median JADAS-71 gjennom hele studien for pasienter som byttet fra intravenøs til subkutan </w:t>
      </w:r>
      <w:r w:rsidR="000850FE" w:rsidRPr="00A942F6">
        <w:rPr>
          <w:lang w:val="nb-NO"/>
        </w:rPr>
        <w:t>tocilizumab</w:t>
      </w:r>
      <w:r w:rsidRPr="00A942F6">
        <w:rPr>
          <w:lang w:val="nb-NO"/>
        </w:rPr>
        <w:t xml:space="preserve">-behandling, for pasienter i begge kroppsvektgrupper (under 30 kg og </w:t>
      </w:r>
      <w:r w:rsidRPr="00A942F6">
        <w:rPr>
          <w:rFonts w:cs="Times New Roman"/>
          <w:lang w:val="nb-NO"/>
        </w:rPr>
        <w:t>≥</w:t>
      </w:r>
      <w:r w:rsidRPr="00A942F6">
        <w:rPr>
          <w:lang w:val="nb-NO"/>
        </w:rPr>
        <w:t xml:space="preserve"> 30 kg).</w:t>
      </w:r>
    </w:p>
    <w:p w14:paraId="33BFA920" w14:textId="77777777" w:rsidR="005A42A2" w:rsidRPr="00A942F6" w:rsidRDefault="005A42A2" w:rsidP="00641834">
      <w:pPr>
        <w:rPr>
          <w:lang w:val="nb-NO"/>
        </w:rPr>
      </w:pPr>
    </w:p>
    <w:p w14:paraId="5AC7F5B5" w14:textId="77777777" w:rsidR="005A42A2" w:rsidRPr="00926A4E" w:rsidRDefault="005A42A2" w:rsidP="00641834">
      <w:pPr>
        <w:pStyle w:val="Style1underline"/>
        <w:rPr>
          <w:b/>
          <w:bCs/>
          <w:lang w:val="nb-NO"/>
        </w:rPr>
      </w:pPr>
      <w:r w:rsidRPr="00926A4E">
        <w:rPr>
          <w:b/>
          <w:bCs/>
          <w:lang w:val="nb-NO"/>
        </w:rPr>
        <w:t>GCA (SC)</w:t>
      </w:r>
    </w:p>
    <w:p w14:paraId="442A0CBA" w14:textId="77777777" w:rsidR="005A42A2" w:rsidRPr="00A942F6" w:rsidRDefault="005A42A2" w:rsidP="00641834">
      <w:pPr>
        <w:pStyle w:val="Style1underline"/>
        <w:rPr>
          <w:lang w:val="nb-NO"/>
        </w:rPr>
      </w:pPr>
      <w:r w:rsidRPr="00A942F6">
        <w:rPr>
          <w:lang w:val="nb-NO"/>
        </w:rPr>
        <w:t>Klinisk effekt</w:t>
      </w:r>
    </w:p>
    <w:p w14:paraId="1C370B99" w14:textId="311CF740" w:rsidR="005A42A2" w:rsidRPr="00A942F6" w:rsidRDefault="005A42A2" w:rsidP="00641834">
      <w:pPr>
        <w:rPr>
          <w:lang w:val="nb-NO"/>
        </w:rPr>
      </w:pPr>
      <w:r w:rsidRPr="00A942F6">
        <w:rPr>
          <w:lang w:val="nb-NO"/>
        </w:rPr>
        <w:t xml:space="preserve">Studie WA28119 var en randomisert, multisenter, dobbeltblind, placebokontrollert fase III overlegenhetsstudie, utført for å vurdere effekt og sikkerhet av </w:t>
      </w:r>
      <w:r w:rsidR="000850FE" w:rsidRPr="00A942F6">
        <w:rPr>
          <w:lang w:val="nb-NO"/>
        </w:rPr>
        <w:t>tocilizumab</w:t>
      </w:r>
      <w:r w:rsidRPr="00A942F6">
        <w:rPr>
          <w:lang w:val="nb-NO"/>
        </w:rPr>
        <w:t xml:space="preserve"> hos pasienter med GCA.</w:t>
      </w:r>
    </w:p>
    <w:p w14:paraId="06C49FC3" w14:textId="77777777" w:rsidR="005A42A2" w:rsidRPr="00A942F6" w:rsidRDefault="005A42A2" w:rsidP="00641834">
      <w:pPr>
        <w:rPr>
          <w:lang w:val="nb-NO"/>
        </w:rPr>
      </w:pPr>
    </w:p>
    <w:p w14:paraId="4031B1A4" w14:textId="645C9E9D" w:rsidR="005A42A2" w:rsidRPr="00A942F6" w:rsidRDefault="005A42A2" w:rsidP="00641834">
      <w:pPr>
        <w:rPr>
          <w:lang w:val="nb-NO"/>
        </w:rPr>
      </w:pPr>
      <w:r w:rsidRPr="00A942F6">
        <w:rPr>
          <w:lang w:val="nb-NO"/>
        </w:rPr>
        <w:t xml:space="preserve">To hundre og femti-én (251) pasienter med nyoppstått eller tilbakevendende GCA ble inkludert og tildelt en av fire behandlingsarmer. Studien bestod av en 52-ukers blindet periode (del 1), etterfulgt av en 104-ukers åpen forlengelse (del 2). Hensikten med del 2 var å beskrive langtidssikkerheten og vedlikehold av effekt etter 52 ukers behandling med </w:t>
      </w:r>
      <w:r w:rsidR="000850FE" w:rsidRPr="00A942F6">
        <w:rPr>
          <w:lang w:val="nb-NO"/>
        </w:rPr>
        <w:t>tocilizumab</w:t>
      </w:r>
      <w:r w:rsidRPr="00A942F6">
        <w:rPr>
          <w:lang w:val="nb-NO"/>
        </w:rPr>
        <w:t xml:space="preserve">, undersøke tilbakefallsfrekvens og behovet for </w:t>
      </w:r>
      <w:r w:rsidR="000850FE" w:rsidRPr="00A942F6">
        <w:rPr>
          <w:lang w:val="nb-NO"/>
        </w:rPr>
        <w:t>tocilizumab</w:t>
      </w:r>
      <w:r w:rsidRPr="00A942F6">
        <w:rPr>
          <w:lang w:val="nb-NO"/>
        </w:rPr>
        <w:t xml:space="preserve">-behandling etter 52 uker, samt å få innsikt i den potensielle langsiktige steroidsparende effekten av </w:t>
      </w:r>
      <w:r w:rsidR="000850FE" w:rsidRPr="00A942F6">
        <w:rPr>
          <w:lang w:val="nb-NO"/>
        </w:rPr>
        <w:t>tocilizumab</w:t>
      </w:r>
      <w:r w:rsidRPr="00A942F6">
        <w:rPr>
          <w:lang w:val="nb-NO"/>
        </w:rPr>
        <w:t>.</w:t>
      </w:r>
    </w:p>
    <w:p w14:paraId="4D78A417" w14:textId="77777777" w:rsidR="000D024D" w:rsidRPr="00A942F6" w:rsidRDefault="000D024D" w:rsidP="00641834">
      <w:pPr>
        <w:rPr>
          <w:lang w:val="nb-NO"/>
        </w:rPr>
      </w:pPr>
    </w:p>
    <w:p w14:paraId="283BD315" w14:textId="503DD0C4" w:rsidR="005A42A2" w:rsidRPr="00A942F6" w:rsidRDefault="005A42A2" w:rsidP="00641834">
      <w:pPr>
        <w:rPr>
          <w:lang w:val="nb-NO"/>
        </w:rPr>
      </w:pPr>
      <w:r w:rsidRPr="00A942F6">
        <w:rPr>
          <w:lang w:val="nb-NO"/>
        </w:rPr>
        <w:t xml:space="preserve">To subkutane doser med </w:t>
      </w:r>
      <w:r w:rsidR="000850FE" w:rsidRPr="00A942F6">
        <w:rPr>
          <w:lang w:val="nb-NO"/>
        </w:rPr>
        <w:t>tocilizumab</w:t>
      </w:r>
      <w:r w:rsidRPr="00A942F6">
        <w:rPr>
          <w:lang w:val="nb-NO"/>
        </w:rPr>
        <w:t xml:space="preserve"> (162 mg ukentlig og 162 mg annenhver uke) ble sammenlignet med to ulike placebo-kontrollgrupper som ble randomisert 2:1:1:1.</w:t>
      </w:r>
    </w:p>
    <w:p w14:paraId="1A1DA678" w14:textId="77777777" w:rsidR="005A42A2" w:rsidRPr="00A942F6" w:rsidRDefault="005A42A2" w:rsidP="00641834">
      <w:pPr>
        <w:rPr>
          <w:lang w:val="nb-NO"/>
        </w:rPr>
      </w:pPr>
    </w:p>
    <w:p w14:paraId="7E881B43" w14:textId="6E7EBFF9" w:rsidR="005A42A2" w:rsidRPr="00A942F6" w:rsidRDefault="005A42A2" w:rsidP="00641834">
      <w:pPr>
        <w:rPr>
          <w:lang w:val="nb-NO"/>
        </w:rPr>
      </w:pPr>
      <w:r w:rsidRPr="00A942F6">
        <w:rPr>
          <w:lang w:val="nb-NO"/>
        </w:rPr>
        <w:t xml:space="preserve">Alle pasientene fikk bakgrunnsbehandling med glukokortikoider (prednison). Begge gruppene som ble behandlet med </w:t>
      </w:r>
      <w:r w:rsidR="000850FE" w:rsidRPr="00A942F6">
        <w:rPr>
          <w:lang w:val="nb-NO"/>
        </w:rPr>
        <w:t>tocilizumab</w:t>
      </w:r>
      <w:r w:rsidRPr="00A942F6">
        <w:rPr>
          <w:lang w:val="nb-NO"/>
        </w:rPr>
        <w:t xml:space="preserve"> og én av placebogruppene fulgte en forhåndsbestemt nedtrappingsplan for prednison som gikk over 26 uker. Den andre placebogruppen fulgte en forhåndsbestemt nedtrappingsplan for prednison som gikk over 52 uker, satt opp for å passe med standard praksis.</w:t>
      </w:r>
    </w:p>
    <w:p w14:paraId="468AD918" w14:textId="77777777" w:rsidR="005A42A2" w:rsidRPr="00A942F6" w:rsidRDefault="005A42A2" w:rsidP="00641834">
      <w:pPr>
        <w:rPr>
          <w:lang w:val="nb-NO"/>
        </w:rPr>
      </w:pPr>
    </w:p>
    <w:p w14:paraId="57B73C05" w14:textId="0F97AC52" w:rsidR="005A42A2" w:rsidRPr="00A942F6" w:rsidRDefault="005A42A2" w:rsidP="00641834">
      <w:pPr>
        <w:rPr>
          <w:lang w:val="nb-NO"/>
        </w:rPr>
      </w:pPr>
      <w:r w:rsidRPr="00A942F6">
        <w:rPr>
          <w:lang w:val="nb-NO"/>
        </w:rPr>
        <w:t xml:space="preserve">Varigheten av behandling med glukokortikoider under "screening" og før </w:t>
      </w:r>
      <w:r w:rsidR="000850FE" w:rsidRPr="00A942F6">
        <w:rPr>
          <w:lang w:val="nb-NO"/>
        </w:rPr>
        <w:t>tocilizumab</w:t>
      </w:r>
      <w:r w:rsidRPr="00A942F6">
        <w:rPr>
          <w:lang w:val="nb-NO"/>
        </w:rPr>
        <w:t xml:space="preserve"> (eller placebo) ble initiert, var lignende i alle 4 behandlingsgruppene (se tabell 3).</w:t>
      </w:r>
    </w:p>
    <w:p w14:paraId="2B865E8A" w14:textId="77777777" w:rsidR="005A42A2" w:rsidRPr="00A942F6" w:rsidRDefault="005A42A2" w:rsidP="00641834">
      <w:pPr>
        <w:rPr>
          <w:lang w:val="nb-NO"/>
        </w:rPr>
      </w:pPr>
    </w:p>
    <w:p w14:paraId="5CE59BFD" w14:textId="77777777" w:rsidR="005A42A2" w:rsidRPr="00A942F6" w:rsidRDefault="005A42A2" w:rsidP="00641834">
      <w:pPr>
        <w:pStyle w:val="Style1Iitaic"/>
        <w:rPr>
          <w:lang w:val="nb-NO"/>
        </w:rPr>
      </w:pPr>
      <w:r w:rsidRPr="00A942F6">
        <w:rPr>
          <w:lang w:val="nb-NO"/>
        </w:rPr>
        <w:lastRenderedPageBreak/>
        <w:t>Tabell 3. Varighet av behandling med kortikosteroid under "screening" i studie WA28119</w:t>
      </w:r>
    </w:p>
    <w:p w14:paraId="6F9E1A2A" w14:textId="77777777" w:rsidR="005A42A2" w:rsidRPr="00A942F6" w:rsidRDefault="005A42A2" w:rsidP="00641834">
      <w:pPr>
        <w:rPr>
          <w:lang w:val="nb-NO"/>
        </w:rPr>
      </w:pPr>
    </w:p>
    <w:tbl>
      <w:tblPr>
        <w:tblW w:w="0" w:type="auto"/>
        <w:tblLayout w:type="fixed"/>
        <w:tblLook w:val="01E0" w:firstRow="1" w:lastRow="1" w:firstColumn="1" w:lastColumn="1" w:noHBand="0" w:noVBand="0"/>
      </w:tblPr>
      <w:tblGrid>
        <w:gridCol w:w="2093"/>
        <w:gridCol w:w="1738"/>
        <w:gridCol w:w="1739"/>
        <w:gridCol w:w="1739"/>
        <w:gridCol w:w="1739"/>
      </w:tblGrid>
      <w:tr w:rsidR="005A42A2" w:rsidRPr="00A942F6" w14:paraId="3D82F4F9" w14:textId="77777777" w:rsidTr="002C3C3C">
        <w:trPr>
          <w:cantSplit/>
          <w:trHeight w:val="20"/>
          <w:tblHeader/>
        </w:trPr>
        <w:tc>
          <w:tcPr>
            <w:tcW w:w="2093" w:type="dxa"/>
            <w:tcBorders>
              <w:top w:val="single" w:sz="4" w:space="0" w:color="auto"/>
              <w:left w:val="single" w:sz="4" w:space="0" w:color="auto"/>
              <w:bottom w:val="single" w:sz="4" w:space="0" w:color="auto"/>
              <w:right w:val="single" w:sz="4" w:space="0" w:color="auto"/>
            </w:tcBorders>
          </w:tcPr>
          <w:p w14:paraId="1F5EB49F" w14:textId="77777777" w:rsidR="005A42A2" w:rsidRPr="00A942F6" w:rsidRDefault="005A42A2" w:rsidP="00641834">
            <w:pPr>
              <w:pStyle w:val="TableParagraph"/>
              <w:rPr>
                <w:sz w:val="20"/>
                <w:szCs w:val="20"/>
                <w:lang w:val="nb-NO"/>
              </w:rPr>
            </w:pPr>
          </w:p>
        </w:tc>
        <w:tc>
          <w:tcPr>
            <w:tcW w:w="1738" w:type="dxa"/>
            <w:tcBorders>
              <w:top w:val="single" w:sz="4" w:space="0" w:color="auto"/>
              <w:left w:val="single" w:sz="4" w:space="0" w:color="auto"/>
              <w:bottom w:val="single" w:sz="4" w:space="0" w:color="auto"/>
              <w:right w:val="single" w:sz="4" w:space="0" w:color="auto"/>
            </w:tcBorders>
          </w:tcPr>
          <w:p w14:paraId="0F43F8E1" w14:textId="77777777" w:rsidR="005A42A2" w:rsidRPr="00A942F6" w:rsidRDefault="005A42A2" w:rsidP="00641834">
            <w:pPr>
              <w:pStyle w:val="TableParagraph"/>
              <w:jc w:val="center"/>
              <w:rPr>
                <w:b/>
                <w:sz w:val="20"/>
                <w:szCs w:val="20"/>
                <w:lang w:val="nb-NO"/>
              </w:rPr>
            </w:pPr>
            <w:r w:rsidRPr="00A942F6">
              <w:rPr>
                <w:b/>
                <w:sz w:val="20"/>
                <w:szCs w:val="20"/>
                <w:lang w:val="nb-NO"/>
              </w:rPr>
              <w:t xml:space="preserve">Placebo + </w:t>
            </w:r>
            <w:r w:rsidR="00800358" w:rsidRPr="00A942F6">
              <w:rPr>
                <w:b/>
                <w:sz w:val="20"/>
                <w:szCs w:val="20"/>
                <w:lang w:val="nb-NO"/>
              </w:rPr>
              <w:t>26 </w:t>
            </w:r>
            <w:r w:rsidRPr="00A942F6">
              <w:rPr>
                <w:b/>
                <w:sz w:val="20"/>
                <w:szCs w:val="20"/>
                <w:lang w:val="nb-NO"/>
              </w:rPr>
              <w:t>uker nedtrapping av prednison</w:t>
            </w:r>
          </w:p>
          <w:p w14:paraId="3DAF7D4C" w14:textId="77777777" w:rsidR="005A42A2" w:rsidRPr="00A942F6" w:rsidRDefault="005A42A2" w:rsidP="00641834">
            <w:pPr>
              <w:pStyle w:val="TableParagraph"/>
              <w:jc w:val="center"/>
              <w:rPr>
                <w:b/>
                <w:sz w:val="20"/>
                <w:szCs w:val="20"/>
                <w:lang w:val="nb-NO"/>
              </w:rPr>
            </w:pPr>
            <w:r w:rsidRPr="00A942F6">
              <w:rPr>
                <w:b/>
                <w:sz w:val="20"/>
                <w:szCs w:val="20"/>
                <w:lang w:val="nb-NO"/>
              </w:rPr>
              <w:t>N=50</w:t>
            </w:r>
          </w:p>
        </w:tc>
        <w:tc>
          <w:tcPr>
            <w:tcW w:w="1739" w:type="dxa"/>
            <w:tcBorders>
              <w:top w:val="single" w:sz="4" w:space="0" w:color="auto"/>
              <w:left w:val="single" w:sz="4" w:space="0" w:color="auto"/>
              <w:bottom w:val="single" w:sz="4" w:space="0" w:color="auto"/>
              <w:right w:val="single" w:sz="4" w:space="0" w:color="auto"/>
            </w:tcBorders>
          </w:tcPr>
          <w:p w14:paraId="106690DF" w14:textId="77777777" w:rsidR="005A42A2" w:rsidRPr="00A942F6" w:rsidRDefault="005A42A2" w:rsidP="00641834">
            <w:pPr>
              <w:pStyle w:val="TableParagraph"/>
              <w:jc w:val="center"/>
              <w:rPr>
                <w:b/>
                <w:sz w:val="20"/>
                <w:szCs w:val="20"/>
                <w:lang w:val="nb-NO"/>
              </w:rPr>
            </w:pPr>
            <w:r w:rsidRPr="00A942F6">
              <w:rPr>
                <w:b/>
                <w:sz w:val="20"/>
                <w:szCs w:val="20"/>
                <w:lang w:val="nb-NO"/>
              </w:rPr>
              <w:t>Placebo + 52 uker nedtrapping av prednison</w:t>
            </w:r>
          </w:p>
          <w:p w14:paraId="49D080B2" w14:textId="77777777" w:rsidR="005A42A2" w:rsidRPr="00A942F6" w:rsidRDefault="005A42A2" w:rsidP="00641834">
            <w:pPr>
              <w:pStyle w:val="TableParagraph"/>
              <w:jc w:val="center"/>
              <w:rPr>
                <w:b/>
                <w:sz w:val="20"/>
                <w:szCs w:val="20"/>
                <w:lang w:val="nb-NO"/>
              </w:rPr>
            </w:pPr>
            <w:r w:rsidRPr="00A942F6">
              <w:rPr>
                <w:b/>
                <w:sz w:val="20"/>
                <w:szCs w:val="20"/>
                <w:lang w:val="nb-NO"/>
              </w:rPr>
              <w:t>N=51</w:t>
            </w:r>
          </w:p>
        </w:tc>
        <w:tc>
          <w:tcPr>
            <w:tcW w:w="1739" w:type="dxa"/>
            <w:tcBorders>
              <w:top w:val="single" w:sz="4" w:space="0" w:color="auto"/>
              <w:left w:val="single" w:sz="4" w:space="0" w:color="auto"/>
              <w:bottom w:val="single" w:sz="4" w:space="0" w:color="auto"/>
              <w:right w:val="single" w:sz="4" w:space="0" w:color="auto"/>
            </w:tcBorders>
          </w:tcPr>
          <w:p w14:paraId="5EE603A7" w14:textId="48BA78D1" w:rsidR="005A42A2" w:rsidRPr="00A942F6" w:rsidRDefault="000850FE" w:rsidP="00641834">
            <w:pPr>
              <w:pStyle w:val="TableParagraph"/>
              <w:jc w:val="center"/>
              <w:rPr>
                <w:b/>
                <w:sz w:val="20"/>
                <w:szCs w:val="20"/>
                <w:lang w:val="nb-NO"/>
              </w:rPr>
            </w:pPr>
            <w:r w:rsidRPr="00A942F6">
              <w:rPr>
                <w:b/>
                <w:sz w:val="20"/>
                <w:szCs w:val="20"/>
                <w:lang w:val="nb-NO"/>
              </w:rPr>
              <w:t>Tocilizumab</w:t>
            </w:r>
            <w:r w:rsidR="005A42A2" w:rsidRPr="00A942F6">
              <w:rPr>
                <w:b/>
                <w:sz w:val="20"/>
                <w:szCs w:val="20"/>
                <w:lang w:val="nb-NO"/>
              </w:rPr>
              <w:t xml:space="preserve"> </w:t>
            </w:r>
            <w:r w:rsidR="00800358" w:rsidRPr="00A942F6">
              <w:rPr>
                <w:b/>
                <w:sz w:val="20"/>
                <w:szCs w:val="20"/>
                <w:lang w:val="nb-NO"/>
              </w:rPr>
              <w:t>162 </w:t>
            </w:r>
            <w:r w:rsidR="005A42A2" w:rsidRPr="00A942F6">
              <w:rPr>
                <w:b/>
                <w:sz w:val="20"/>
                <w:szCs w:val="20"/>
                <w:lang w:val="nb-NO"/>
              </w:rPr>
              <w:t>mg s.c.</w:t>
            </w:r>
          </w:p>
          <w:p w14:paraId="39271973" w14:textId="77777777" w:rsidR="005A42A2" w:rsidRPr="00A942F6" w:rsidRDefault="005A42A2" w:rsidP="00641834">
            <w:pPr>
              <w:pStyle w:val="TableParagraph"/>
              <w:jc w:val="center"/>
              <w:rPr>
                <w:b/>
                <w:sz w:val="20"/>
                <w:szCs w:val="20"/>
                <w:lang w:val="nb-NO"/>
              </w:rPr>
            </w:pPr>
            <w:r w:rsidRPr="00A942F6">
              <w:rPr>
                <w:b/>
                <w:sz w:val="20"/>
                <w:szCs w:val="20"/>
                <w:lang w:val="nb-NO"/>
              </w:rPr>
              <w:t>ukentlig + 26 uker nedtrapping av prednison</w:t>
            </w:r>
          </w:p>
          <w:p w14:paraId="2C082D51" w14:textId="77777777" w:rsidR="005A42A2" w:rsidRPr="00A942F6" w:rsidRDefault="005A42A2" w:rsidP="00641834">
            <w:pPr>
              <w:pStyle w:val="TableParagraph"/>
              <w:jc w:val="center"/>
              <w:rPr>
                <w:b/>
                <w:sz w:val="20"/>
                <w:szCs w:val="20"/>
                <w:lang w:val="nb-NO"/>
              </w:rPr>
            </w:pPr>
            <w:r w:rsidRPr="00A942F6">
              <w:rPr>
                <w:b/>
                <w:sz w:val="20"/>
                <w:szCs w:val="20"/>
                <w:lang w:val="nb-NO"/>
              </w:rPr>
              <w:t>N=100</w:t>
            </w:r>
          </w:p>
        </w:tc>
        <w:tc>
          <w:tcPr>
            <w:tcW w:w="1739" w:type="dxa"/>
            <w:tcBorders>
              <w:top w:val="single" w:sz="4" w:space="0" w:color="auto"/>
              <w:left w:val="single" w:sz="4" w:space="0" w:color="auto"/>
              <w:bottom w:val="single" w:sz="4" w:space="0" w:color="auto"/>
              <w:right w:val="single" w:sz="4" w:space="0" w:color="auto"/>
            </w:tcBorders>
          </w:tcPr>
          <w:p w14:paraId="50BF3C6A" w14:textId="34B9B827" w:rsidR="005A42A2" w:rsidRPr="00A942F6" w:rsidRDefault="000850FE" w:rsidP="00641834">
            <w:pPr>
              <w:pStyle w:val="TableParagraph"/>
              <w:jc w:val="center"/>
              <w:rPr>
                <w:b/>
                <w:sz w:val="20"/>
                <w:szCs w:val="20"/>
                <w:lang w:val="nb-NO"/>
              </w:rPr>
            </w:pPr>
            <w:r w:rsidRPr="00A942F6">
              <w:rPr>
                <w:b/>
                <w:sz w:val="20"/>
                <w:szCs w:val="20"/>
                <w:lang w:val="nb-NO"/>
              </w:rPr>
              <w:t>Tocilizumab</w:t>
            </w:r>
            <w:r w:rsidR="005A42A2" w:rsidRPr="00A942F6">
              <w:rPr>
                <w:b/>
                <w:sz w:val="20"/>
                <w:szCs w:val="20"/>
                <w:lang w:val="nb-NO"/>
              </w:rPr>
              <w:t xml:space="preserve"> </w:t>
            </w:r>
            <w:r w:rsidR="00800358" w:rsidRPr="00A942F6">
              <w:rPr>
                <w:b/>
                <w:sz w:val="20"/>
                <w:szCs w:val="20"/>
                <w:lang w:val="nb-NO"/>
              </w:rPr>
              <w:t>162 </w:t>
            </w:r>
            <w:r w:rsidR="005A42A2" w:rsidRPr="00A942F6">
              <w:rPr>
                <w:b/>
                <w:sz w:val="20"/>
                <w:szCs w:val="20"/>
                <w:lang w:val="nb-NO"/>
              </w:rPr>
              <w:t>mg s.c.</w:t>
            </w:r>
          </w:p>
          <w:p w14:paraId="537D8CFE" w14:textId="77777777" w:rsidR="005A42A2" w:rsidRPr="00A942F6" w:rsidRDefault="005A42A2" w:rsidP="00641834">
            <w:pPr>
              <w:pStyle w:val="TableParagraph"/>
              <w:jc w:val="center"/>
              <w:rPr>
                <w:b/>
                <w:sz w:val="20"/>
                <w:szCs w:val="20"/>
                <w:lang w:val="nb-NO"/>
              </w:rPr>
            </w:pPr>
            <w:r w:rsidRPr="00A942F6">
              <w:rPr>
                <w:b/>
                <w:sz w:val="20"/>
                <w:szCs w:val="20"/>
                <w:lang w:val="nb-NO"/>
              </w:rPr>
              <w:t>annenhver uke + 26 uker nedtrapping av prednison</w:t>
            </w:r>
          </w:p>
          <w:p w14:paraId="1296C7FD" w14:textId="77777777" w:rsidR="005A42A2" w:rsidRPr="00A942F6" w:rsidRDefault="005A42A2" w:rsidP="00641834">
            <w:pPr>
              <w:pStyle w:val="TableParagraph"/>
              <w:jc w:val="center"/>
              <w:rPr>
                <w:b/>
                <w:sz w:val="20"/>
                <w:szCs w:val="20"/>
                <w:lang w:val="nb-NO"/>
              </w:rPr>
            </w:pPr>
            <w:r w:rsidRPr="00A942F6">
              <w:rPr>
                <w:b/>
                <w:sz w:val="20"/>
                <w:szCs w:val="20"/>
                <w:lang w:val="nb-NO"/>
              </w:rPr>
              <w:t>N=49</w:t>
            </w:r>
          </w:p>
        </w:tc>
      </w:tr>
      <w:tr w:rsidR="008444E9" w:rsidRPr="00A942F6" w14:paraId="6F7943DC" w14:textId="77777777" w:rsidTr="00E41CEB">
        <w:trPr>
          <w:cantSplit/>
          <w:trHeight w:val="20"/>
          <w:tblHeader/>
        </w:trPr>
        <w:tc>
          <w:tcPr>
            <w:tcW w:w="9048" w:type="dxa"/>
            <w:gridSpan w:val="5"/>
            <w:tcBorders>
              <w:top w:val="single" w:sz="4" w:space="0" w:color="auto"/>
              <w:left w:val="single" w:sz="4" w:space="0" w:color="auto"/>
              <w:bottom w:val="single" w:sz="4" w:space="0" w:color="auto"/>
              <w:right w:val="single" w:sz="4" w:space="0" w:color="auto"/>
            </w:tcBorders>
          </w:tcPr>
          <w:p w14:paraId="0B9BB4F1" w14:textId="55467075" w:rsidR="008444E9" w:rsidRPr="008444E9" w:rsidRDefault="008444E9" w:rsidP="00641834">
            <w:pPr>
              <w:pStyle w:val="TableParagraph"/>
              <w:rPr>
                <w:b/>
                <w:bCs/>
                <w:sz w:val="20"/>
                <w:szCs w:val="20"/>
                <w:lang w:val="nb-NO"/>
              </w:rPr>
            </w:pPr>
            <w:r w:rsidRPr="008444E9">
              <w:rPr>
                <w:b/>
                <w:bCs/>
                <w:sz w:val="20"/>
                <w:szCs w:val="20"/>
                <w:lang w:val="nb-NO"/>
              </w:rPr>
              <w:t>Varighet (dager)</w:t>
            </w:r>
          </w:p>
        </w:tc>
      </w:tr>
      <w:tr w:rsidR="005A42A2" w:rsidRPr="00A942F6" w14:paraId="5C6E8483" w14:textId="77777777" w:rsidTr="002C3C3C">
        <w:trPr>
          <w:cantSplit/>
          <w:trHeight w:val="20"/>
          <w:tblHeader/>
        </w:trPr>
        <w:tc>
          <w:tcPr>
            <w:tcW w:w="2093" w:type="dxa"/>
            <w:tcBorders>
              <w:top w:val="single" w:sz="4" w:space="0" w:color="auto"/>
              <w:left w:val="single" w:sz="4" w:space="0" w:color="auto"/>
              <w:bottom w:val="single" w:sz="4" w:space="0" w:color="auto"/>
              <w:right w:val="single" w:sz="4" w:space="0" w:color="auto"/>
            </w:tcBorders>
          </w:tcPr>
          <w:p w14:paraId="1A2D459C" w14:textId="77777777" w:rsidR="005A42A2" w:rsidRPr="00A942F6" w:rsidRDefault="005A42A2" w:rsidP="002C3C3C">
            <w:pPr>
              <w:pStyle w:val="TableParagraph"/>
              <w:ind w:leftChars="158" w:left="348"/>
              <w:rPr>
                <w:sz w:val="20"/>
                <w:szCs w:val="20"/>
                <w:lang w:val="nb-NO"/>
              </w:rPr>
            </w:pPr>
            <w:r w:rsidRPr="00A942F6">
              <w:rPr>
                <w:sz w:val="20"/>
                <w:szCs w:val="20"/>
                <w:lang w:val="nb-NO"/>
              </w:rPr>
              <w:t>Gjennomsnitt (SD)</w:t>
            </w:r>
          </w:p>
        </w:tc>
        <w:tc>
          <w:tcPr>
            <w:tcW w:w="1738" w:type="dxa"/>
            <w:tcBorders>
              <w:top w:val="single" w:sz="4" w:space="0" w:color="auto"/>
              <w:left w:val="single" w:sz="4" w:space="0" w:color="auto"/>
              <w:bottom w:val="single" w:sz="4" w:space="0" w:color="auto"/>
              <w:right w:val="single" w:sz="4" w:space="0" w:color="auto"/>
            </w:tcBorders>
          </w:tcPr>
          <w:p w14:paraId="55D440B8" w14:textId="77777777" w:rsidR="005A42A2" w:rsidRPr="00A942F6" w:rsidRDefault="005A42A2" w:rsidP="00641834">
            <w:pPr>
              <w:pStyle w:val="TableParagraph"/>
              <w:jc w:val="center"/>
              <w:rPr>
                <w:sz w:val="20"/>
                <w:szCs w:val="20"/>
                <w:lang w:val="nb-NO"/>
              </w:rPr>
            </w:pPr>
            <w:r w:rsidRPr="00A942F6">
              <w:rPr>
                <w:sz w:val="20"/>
                <w:szCs w:val="20"/>
                <w:lang w:val="nb-NO"/>
              </w:rPr>
              <w:t>35,7 (11,5)</w:t>
            </w:r>
          </w:p>
        </w:tc>
        <w:tc>
          <w:tcPr>
            <w:tcW w:w="1739" w:type="dxa"/>
            <w:tcBorders>
              <w:top w:val="single" w:sz="4" w:space="0" w:color="auto"/>
              <w:left w:val="single" w:sz="4" w:space="0" w:color="auto"/>
              <w:bottom w:val="single" w:sz="4" w:space="0" w:color="auto"/>
              <w:right w:val="single" w:sz="4" w:space="0" w:color="auto"/>
            </w:tcBorders>
          </w:tcPr>
          <w:p w14:paraId="4AC3C4E2" w14:textId="77777777" w:rsidR="005A42A2" w:rsidRPr="00A942F6" w:rsidRDefault="005A42A2" w:rsidP="00641834">
            <w:pPr>
              <w:pStyle w:val="TableParagraph"/>
              <w:jc w:val="center"/>
              <w:rPr>
                <w:sz w:val="20"/>
                <w:szCs w:val="20"/>
                <w:lang w:val="nb-NO"/>
              </w:rPr>
            </w:pPr>
            <w:r w:rsidRPr="00A942F6">
              <w:rPr>
                <w:sz w:val="20"/>
                <w:szCs w:val="20"/>
                <w:lang w:val="nb-NO"/>
              </w:rPr>
              <w:t>36,3 (12,5)</w:t>
            </w:r>
          </w:p>
        </w:tc>
        <w:tc>
          <w:tcPr>
            <w:tcW w:w="1739" w:type="dxa"/>
            <w:tcBorders>
              <w:top w:val="single" w:sz="4" w:space="0" w:color="auto"/>
              <w:left w:val="single" w:sz="4" w:space="0" w:color="auto"/>
              <w:bottom w:val="single" w:sz="4" w:space="0" w:color="auto"/>
              <w:right w:val="single" w:sz="4" w:space="0" w:color="auto"/>
            </w:tcBorders>
          </w:tcPr>
          <w:p w14:paraId="5364FD79" w14:textId="77777777" w:rsidR="005A42A2" w:rsidRPr="00A942F6" w:rsidRDefault="005A42A2" w:rsidP="00641834">
            <w:pPr>
              <w:pStyle w:val="TableParagraph"/>
              <w:jc w:val="center"/>
              <w:rPr>
                <w:sz w:val="20"/>
                <w:szCs w:val="20"/>
                <w:lang w:val="nb-NO"/>
              </w:rPr>
            </w:pPr>
            <w:r w:rsidRPr="00A942F6">
              <w:rPr>
                <w:sz w:val="20"/>
                <w:szCs w:val="20"/>
                <w:lang w:val="nb-NO"/>
              </w:rPr>
              <w:t>35,6 (13,2)</w:t>
            </w:r>
          </w:p>
        </w:tc>
        <w:tc>
          <w:tcPr>
            <w:tcW w:w="1739" w:type="dxa"/>
            <w:tcBorders>
              <w:top w:val="single" w:sz="4" w:space="0" w:color="auto"/>
              <w:left w:val="single" w:sz="4" w:space="0" w:color="auto"/>
              <w:bottom w:val="single" w:sz="4" w:space="0" w:color="auto"/>
              <w:right w:val="single" w:sz="4" w:space="0" w:color="auto"/>
            </w:tcBorders>
          </w:tcPr>
          <w:p w14:paraId="645CEFF5" w14:textId="77777777" w:rsidR="005A42A2" w:rsidRPr="00A942F6" w:rsidRDefault="005A42A2" w:rsidP="00641834">
            <w:pPr>
              <w:pStyle w:val="TableParagraph"/>
              <w:jc w:val="center"/>
              <w:rPr>
                <w:sz w:val="20"/>
                <w:szCs w:val="20"/>
                <w:lang w:val="nb-NO"/>
              </w:rPr>
            </w:pPr>
            <w:r w:rsidRPr="00A942F6">
              <w:rPr>
                <w:sz w:val="20"/>
                <w:szCs w:val="20"/>
                <w:lang w:val="nb-NO"/>
              </w:rPr>
              <w:t>37,4 (14,4)</w:t>
            </w:r>
          </w:p>
        </w:tc>
      </w:tr>
      <w:tr w:rsidR="005A42A2" w:rsidRPr="00A942F6" w14:paraId="024C6BA2" w14:textId="77777777" w:rsidTr="002C3C3C">
        <w:trPr>
          <w:cantSplit/>
          <w:trHeight w:val="20"/>
          <w:tblHeader/>
        </w:trPr>
        <w:tc>
          <w:tcPr>
            <w:tcW w:w="2093" w:type="dxa"/>
            <w:tcBorders>
              <w:top w:val="single" w:sz="4" w:space="0" w:color="auto"/>
              <w:left w:val="single" w:sz="4" w:space="0" w:color="auto"/>
              <w:bottom w:val="single" w:sz="4" w:space="0" w:color="auto"/>
              <w:right w:val="single" w:sz="4" w:space="0" w:color="auto"/>
            </w:tcBorders>
          </w:tcPr>
          <w:p w14:paraId="16DE6EC2" w14:textId="77777777" w:rsidR="005A42A2" w:rsidRPr="00A942F6" w:rsidRDefault="005A42A2" w:rsidP="002C3C3C">
            <w:pPr>
              <w:pStyle w:val="TableParagraph"/>
              <w:ind w:leftChars="158" w:left="348"/>
              <w:rPr>
                <w:sz w:val="20"/>
                <w:szCs w:val="20"/>
                <w:lang w:val="nb-NO"/>
              </w:rPr>
            </w:pPr>
            <w:r w:rsidRPr="00A942F6">
              <w:rPr>
                <w:sz w:val="20"/>
                <w:szCs w:val="20"/>
                <w:lang w:val="nb-NO"/>
              </w:rPr>
              <w:t>Median</w:t>
            </w:r>
          </w:p>
        </w:tc>
        <w:tc>
          <w:tcPr>
            <w:tcW w:w="1738" w:type="dxa"/>
            <w:tcBorders>
              <w:top w:val="single" w:sz="4" w:space="0" w:color="auto"/>
              <w:left w:val="single" w:sz="4" w:space="0" w:color="auto"/>
              <w:bottom w:val="single" w:sz="4" w:space="0" w:color="auto"/>
              <w:right w:val="single" w:sz="4" w:space="0" w:color="auto"/>
            </w:tcBorders>
          </w:tcPr>
          <w:p w14:paraId="6E4BC1CB" w14:textId="77777777" w:rsidR="005A42A2" w:rsidRPr="00A942F6" w:rsidRDefault="005A42A2" w:rsidP="00641834">
            <w:pPr>
              <w:pStyle w:val="TableParagraph"/>
              <w:jc w:val="center"/>
              <w:rPr>
                <w:sz w:val="20"/>
                <w:szCs w:val="20"/>
                <w:lang w:val="nb-NO"/>
              </w:rPr>
            </w:pPr>
            <w:r w:rsidRPr="00A942F6">
              <w:rPr>
                <w:sz w:val="20"/>
                <w:szCs w:val="20"/>
                <w:lang w:val="nb-NO"/>
              </w:rPr>
              <w:t>42,0</w:t>
            </w:r>
          </w:p>
        </w:tc>
        <w:tc>
          <w:tcPr>
            <w:tcW w:w="1739" w:type="dxa"/>
            <w:tcBorders>
              <w:top w:val="single" w:sz="4" w:space="0" w:color="auto"/>
              <w:left w:val="single" w:sz="4" w:space="0" w:color="auto"/>
              <w:bottom w:val="single" w:sz="4" w:space="0" w:color="auto"/>
              <w:right w:val="single" w:sz="4" w:space="0" w:color="auto"/>
            </w:tcBorders>
          </w:tcPr>
          <w:p w14:paraId="6B568739" w14:textId="77777777" w:rsidR="005A42A2" w:rsidRPr="00A942F6" w:rsidRDefault="005A42A2" w:rsidP="00641834">
            <w:pPr>
              <w:pStyle w:val="TableParagraph"/>
              <w:jc w:val="center"/>
              <w:rPr>
                <w:sz w:val="20"/>
                <w:szCs w:val="20"/>
                <w:lang w:val="nb-NO"/>
              </w:rPr>
            </w:pPr>
            <w:r w:rsidRPr="00A942F6">
              <w:rPr>
                <w:sz w:val="20"/>
                <w:szCs w:val="20"/>
                <w:lang w:val="nb-NO"/>
              </w:rPr>
              <w:t>41,0</w:t>
            </w:r>
          </w:p>
        </w:tc>
        <w:tc>
          <w:tcPr>
            <w:tcW w:w="1739" w:type="dxa"/>
            <w:tcBorders>
              <w:top w:val="single" w:sz="4" w:space="0" w:color="auto"/>
              <w:left w:val="single" w:sz="4" w:space="0" w:color="auto"/>
              <w:bottom w:val="single" w:sz="4" w:space="0" w:color="auto"/>
              <w:right w:val="single" w:sz="4" w:space="0" w:color="auto"/>
            </w:tcBorders>
          </w:tcPr>
          <w:p w14:paraId="718E86EC" w14:textId="77777777" w:rsidR="005A42A2" w:rsidRPr="00A942F6" w:rsidRDefault="005A42A2" w:rsidP="00641834">
            <w:pPr>
              <w:pStyle w:val="TableParagraph"/>
              <w:jc w:val="center"/>
              <w:rPr>
                <w:sz w:val="20"/>
                <w:szCs w:val="20"/>
                <w:lang w:val="nb-NO"/>
              </w:rPr>
            </w:pPr>
            <w:r w:rsidRPr="00A942F6">
              <w:rPr>
                <w:sz w:val="20"/>
                <w:szCs w:val="20"/>
                <w:lang w:val="nb-NO"/>
              </w:rPr>
              <w:t>41,0</w:t>
            </w:r>
          </w:p>
        </w:tc>
        <w:tc>
          <w:tcPr>
            <w:tcW w:w="1739" w:type="dxa"/>
            <w:tcBorders>
              <w:top w:val="single" w:sz="4" w:space="0" w:color="auto"/>
              <w:left w:val="single" w:sz="4" w:space="0" w:color="auto"/>
              <w:bottom w:val="single" w:sz="4" w:space="0" w:color="auto"/>
              <w:right w:val="single" w:sz="4" w:space="0" w:color="auto"/>
            </w:tcBorders>
          </w:tcPr>
          <w:p w14:paraId="03DAF743" w14:textId="77777777" w:rsidR="005A42A2" w:rsidRPr="00A942F6" w:rsidRDefault="005A42A2" w:rsidP="00641834">
            <w:pPr>
              <w:pStyle w:val="TableParagraph"/>
              <w:jc w:val="center"/>
              <w:rPr>
                <w:sz w:val="20"/>
                <w:szCs w:val="20"/>
                <w:lang w:val="nb-NO"/>
              </w:rPr>
            </w:pPr>
            <w:r w:rsidRPr="00A942F6">
              <w:rPr>
                <w:sz w:val="20"/>
                <w:szCs w:val="20"/>
                <w:lang w:val="nb-NO"/>
              </w:rPr>
              <w:t>42,0</w:t>
            </w:r>
          </w:p>
        </w:tc>
      </w:tr>
      <w:tr w:rsidR="005A42A2" w:rsidRPr="00A942F6" w14:paraId="300183EF" w14:textId="77777777" w:rsidTr="002C3C3C">
        <w:trPr>
          <w:cantSplit/>
          <w:trHeight w:val="20"/>
          <w:tblHeader/>
        </w:trPr>
        <w:tc>
          <w:tcPr>
            <w:tcW w:w="2093" w:type="dxa"/>
            <w:tcBorders>
              <w:top w:val="single" w:sz="4" w:space="0" w:color="auto"/>
              <w:left w:val="single" w:sz="4" w:space="0" w:color="auto"/>
              <w:bottom w:val="single" w:sz="4" w:space="0" w:color="auto"/>
              <w:right w:val="single" w:sz="4" w:space="0" w:color="auto"/>
            </w:tcBorders>
          </w:tcPr>
          <w:p w14:paraId="48C9D25C" w14:textId="77777777" w:rsidR="005A42A2" w:rsidRPr="00A942F6" w:rsidRDefault="005A42A2" w:rsidP="002C3C3C">
            <w:pPr>
              <w:pStyle w:val="TableParagraph"/>
              <w:ind w:leftChars="158" w:left="348"/>
              <w:rPr>
                <w:sz w:val="20"/>
                <w:szCs w:val="20"/>
                <w:lang w:val="nb-NO"/>
              </w:rPr>
            </w:pPr>
            <w:r w:rsidRPr="00A942F6">
              <w:rPr>
                <w:sz w:val="20"/>
                <w:szCs w:val="20"/>
                <w:lang w:val="nb-NO"/>
              </w:rPr>
              <w:t>Min – Max</w:t>
            </w:r>
          </w:p>
        </w:tc>
        <w:tc>
          <w:tcPr>
            <w:tcW w:w="1738" w:type="dxa"/>
            <w:tcBorders>
              <w:top w:val="single" w:sz="4" w:space="0" w:color="auto"/>
              <w:left w:val="single" w:sz="4" w:space="0" w:color="auto"/>
              <w:bottom w:val="single" w:sz="4" w:space="0" w:color="auto"/>
              <w:right w:val="single" w:sz="4" w:space="0" w:color="auto"/>
            </w:tcBorders>
          </w:tcPr>
          <w:p w14:paraId="0197E939" w14:textId="77777777" w:rsidR="005A42A2" w:rsidRPr="00A942F6" w:rsidRDefault="005A42A2" w:rsidP="00641834">
            <w:pPr>
              <w:pStyle w:val="TableParagraph"/>
              <w:jc w:val="center"/>
              <w:rPr>
                <w:sz w:val="20"/>
                <w:szCs w:val="20"/>
                <w:lang w:val="nb-NO"/>
              </w:rPr>
            </w:pPr>
            <w:r w:rsidRPr="00A942F6">
              <w:rPr>
                <w:sz w:val="20"/>
                <w:szCs w:val="20"/>
                <w:lang w:val="nb-NO"/>
              </w:rPr>
              <w:t>6 – 63</w:t>
            </w:r>
          </w:p>
        </w:tc>
        <w:tc>
          <w:tcPr>
            <w:tcW w:w="1739" w:type="dxa"/>
            <w:tcBorders>
              <w:top w:val="single" w:sz="4" w:space="0" w:color="auto"/>
              <w:left w:val="single" w:sz="4" w:space="0" w:color="auto"/>
              <w:bottom w:val="single" w:sz="4" w:space="0" w:color="auto"/>
              <w:right w:val="single" w:sz="4" w:space="0" w:color="auto"/>
            </w:tcBorders>
          </w:tcPr>
          <w:p w14:paraId="3BDAD300" w14:textId="77777777" w:rsidR="005A42A2" w:rsidRPr="00A942F6" w:rsidRDefault="005A42A2" w:rsidP="00641834">
            <w:pPr>
              <w:pStyle w:val="TableParagraph"/>
              <w:jc w:val="center"/>
              <w:rPr>
                <w:sz w:val="20"/>
                <w:szCs w:val="20"/>
                <w:lang w:val="nb-NO"/>
              </w:rPr>
            </w:pPr>
            <w:r w:rsidRPr="00A942F6">
              <w:rPr>
                <w:sz w:val="20"/>
                <w:szCs w:val="20"/>
                <w:lang w:val="nb-NO"/>
              </w:rPr>
              <w:t>12 – 82</w:t>
            </w:r>
          </w:p>
        </w:tc>
        <w:tc>
          <w:tcPr>
            <w:tcW w:w="1739" w:type="dxa"/>
            <w:tcBorders>
              <w:top w:val="single" w:sz="4" w:space="0" w:color="auto"/>
              <w:left w:val="single" w:sz="4" w:space="0" w:color="auto"/>
              <w:bottom w:val="single" w:sz="4" w:space="0" w:color="auto"/>
              <w:right w:val="single" w:sz="4" w:space="0" w:color="auto"/>
            </w:tcBorders>
          </w:tcPr>
          <w:p w14:paraId="54DD6FAE" w14:textId="77777777" w:rsidR="005A42A2" w:rsidRPr="00A942F6" w:rsidRDefault="005A42A2" w:rsidP="00641834">
            <w:pPr>
              <w:pStyle w:val="TableParagraph"/>
              <w:jc w:val="center"/>
              <w:rPr>
                <w:sz w:val="20"/>
                <w:szCs w:val="20"/>
                <w:lang w:val="nb-NO"/>
              </w:rPr>
            </w:pPr>
            <w:r w:rsidRPr="00A942F6">
              <w:rPr>
                <w:sz w:val="20"/>
                <w:szCs w:val="20"/>
                <w:lang w:val="nb-NO"/>
              </w:rPr>
              <w:t>1 – 87</w:t>
            </w:r>
          </w:p>
        </w:tc>
        <w:tc>
          <w:tcPr>
            <w:tcW w:w="1739" w:type="dxa"/>
            <w:tcBorders>
              <w:top w:val="single" w:sz="4" w:space="0" w:color="auto"/>
              <w:left w:val="single" w:sz="4" w:space="0" w:color="auto"/>
              <w:bottom w:val="single" w:sz="4" w:space="0" w:color="auto"/>
              <w:right w:val="single" w:sz="4" w:space="0" w:color="auto"/>
            </w:tcBorders>
          </w:tcPr>
          <w:p w14:paraId="4E1252DB" w14:textId="77777777" w:rsidR="005A42A2" w:rsidRPr="00A942F6" w:rsidRDefault="005A42A2" w:rsidP="00641834">
            <w:pPr>
              <w:pStyle w:val="TableParagraph"/>
              <w:jc w:val="center"/>
              <w:rPr>
                <w:sz w:val="20"/>
                <w:szCs w:val="20"/>
                <w:lang w:val="nb-NO"/>
              </w:rPr>
            </w:pPr>
            <w:r w:rsidRPr="00A942F6">
              <w:rPr>
                <w:sz w:val="20"/>
                <w:szCs w:val="20"/>
                <w:lang w:val="nb-NO"/>
              </w:rPr>
              <w:t>9 - 87</w:t>
            </w:r>
          </w:p>
        </w:tc>
      </w:tr>
    </w:tbl>
    <w:p w14:paraId="452F42A3" w14:textId="77777777" w:rsidR="005A42A2" w:rsidRPr="00A942F6" w:rsidRDefault="005A42A2" w:rsidP="00641834">
      <w:pPr>
        <w:rPr>
          <w:lang w:val="nb-NO"/>
        </w:rPr>
      </w:pPr>
    </w:p>
    <w:p w14:paraId="411C46C0" w14:textId="53DA7BEB" w:rsidR="005A42A2" w:rsidRPr="00A942F6" w:rsidRDefault="005A42A2" w:rsidP="00641834">
      <w:pPr>
        <w:rPr>
          <w:lang w:val="nb-NO"/>
        </w:rPr>
      </w:pPr>
      <w:r w:rsidRPr="00A942F6">
        <w:rPr>
          <w:lang w:val="nb-NO"/>
        </w:rPr>
        <w:t xml:space="preserve">Det primære effektmålet, som ble vurdert ut fra andel pasienter som oppnådde stereoidfri, vedvarende remisjon ved uke 52 på </w:t>
      </w:r>
      <w:r w:rsidR="000850FE" w:rsidRPr="00A942F6">
        <w:rPr>
          <w:lang w:val="nb-NO"/>
        </w:rPr>
        <w:t>tocilizumab</w:t>
      </w:r>
      <w:r w:rsidRPr="00A942F6">
        <w:rPr>
          <w:lang w:val="nb-NO"/>
        </w:rPr>
        <w:t xml:space="preserve"> pluss 26 ukers nedtrapping av prednison, sammenlignet med placebo pluss 26 ukers nedtrapping av prednison, ble oppfylt (tabell 4).</w:t>
      </w:r>
    </w:p>
    <w:p w14:paraId="74D2FDED" w14:textId="77777777" w:rsidR="005A42A2" w:rsidRPr="00A942F6" w:rsidRDefault="005A42A2" w:rsidP="00641834">
      <w:pPr>
        <w:rPr>
          <w:lang w:val="nb-NO"/>
        </w:rPr>
      </w:pPr>
    </w:p>
    <w:p w14:paraId="5D64668E" w14:textId="77777777" w:rsidR="005A42A2" w:rsidRPr="00A942F6" w:rsidRDefault="005A42A2" w:rsidP="00641834">
      <w:pPr>
        <w:rPr>
          <w:lang w:val="nb-NO"/>
        </w:rPr>
      </w:pPr>
      <w:r w:rsidRPr="00A942F6">
        <w:rPr>
          <w:lang w:val="nb-NO"/>
        </w:rPr>
        <w:t>Det viktigste sekundære effektmålet, som også var basert på andel pasienter som oppnådde vedvarende remisjon ved uke 52, sammenlignet tocilizumab pluss 26 ukers nedtrapping av prednison med placebo pluss 52 ukers nedtrapping av prednison, ble også oppfylt (tabell 4).</w:t>
      </w:r>
    </w:p>
    <w:p w14:paraId="6FBF405B" w14:textId="77777777" w:rsidR="000D024D" w:rsidRPr="00A942F6" w:rsidRDefault="000D024D" w:rsidP="00641834">
      <w:pPr>
        <w:rPr>
          <w:lang w:val="nb-NO"/>
        </w:rPr>
      </w:pPr>
    </w:p>
    <w:p w14:paraId="1714DD0B" w14:textId="7FD0D8B5" w:rsidR="005A42A2" w:rsidRPr="00A942F6" w:rsidRDefault="005A42A2" w:rsidP="00641834">
      <w:pPr>
        <w:rPr>
          <w:lang w:val="nb-NO"/>
        </w:rPr>
      </w:pPr>
      <w:r w:rsidRPr="00A942F6">
        <w:rPr>
          <w:lang w:val="nb-NO"/>
        </w:rPr>
        <w:t xml:space="preserve">Statistisk signifikant forbedring av behandlingseffekt, i form av vedvarende remisjon uten steroider ved uke 52, ble vist ved behandling med </w:t>
      </w:r>
      <w:r w:rsidR="000850FE" w:rsidRPr="00A942F6">
        <w:rPr>
          <w:lang w:val="nb-NO"/>
        </w:rPr>
        <w:t>tocilizumab</w:t>
      </w:r>
      <w:r w:rsidRPr="00A942F6">
        <w:rPr>
          <w:lang w:val="nb-NO"/>
        </w:rPr>
        <w:t xml:space="preserve"> pluss 26 ukers nedtrapping av prednison, sammenlignet med placebo pluss 26 ukers nedtrappping og placebo pluss 52 ukers nedtrapping.</w:t>
      </w:r>
    </w:p>
    <w:p w14:paraId="1670BDC0" w14:textId="77777777" w:rsidR="000D024D" w:rsidRPr="00A942F6" w:rsidRDefault="000D024D" w:rsidP="00641834">
      <w:pPr>
        <w:rPr>
          <w:lang w:val="nb-NO"/>
        </w:rPr>
      </w:pPr>
    </w:p>
    <w:p w14:paraId="7E2C1E8D" w14:textId="77777777" w:rsidR="005A42A2" w:rsidRPr="00A942F6" w:rsidRDefault="005A42A2" w:rsidP="00641834">
      <w:pPr>
        <w:rPr>
          <w:lang w:val="nb-NO"/>
        </w:rPr>
      </w:pPr>
      <w:r w:rsidRPr="00A942F6">
        <w:rPr>
          <w:lang w:val="nb-NO"/>
        </w:rPr>
        <w:t>Prosentandelen pasienter som oppnådde langvarig remisjon ved uke 52, er vist i tabell 4.</w:t>
      </w:r>
    </w:p>
    <w:p w14:paraId="7D9D0313" w14:textId="77777777" w:rsidR="005A42A2" w:rsidRPr="00A942F6" w:rsidRDefault="005A42A2" w:rsidP="00641834">
      <w:pPr>
        <w:rPr>
          <w:lang w:val="nb-NO"/>
        </w:rPr>
      </w:pPr>
    </w:p>
    <w:p w14:paraId="0B8BF9D9" w14:textId="77777777" w:rsidR="005A42A2" w:rsidRPr="00A942F6" w:rsidRDefault="005A42A2" w:rsidP="00641834">
      <w:pPr>
        <w:pStyle w:val="Style1Iitaic"/>
        <w:rPr>
          <w:lang w:val="nb-NO"/>
        </w:rPr>
      </w:pPr>
      <w:r w:rsidRPr="00A942F6">
        <w:rPr>
          <w:lang w:val="nb-NO"/>
        </w:rPr>
        <w:t>Sekundære endepunkter</w:t>
      </w:r>
    </w:p>
    <w:p w14:paraId="13FCBCBF" w14:textId="166A7ED5" w:rsidR="005A42A2" w:rsidRPr="00A942F6" w:rsidRDefault="005A42A2" w:rsidP="00641834">
      <w:pPr>
        <w:rPr>
          <w:lang w:val="nb-NO"/>
        </w:rPr>
      </w:pPr>
      <w:r w:rsidRPr="00A942F6">
        <w:rPr>
          <w:lang w:val="nb-NO"/>
        </w:rPr>
        <w:t xml:space="preserve">Evaluering av tid til første oppbluss av GCA viste en signifikant lavere risiko for oppbluss hos gruppen som fikk </w:t>
      </w:r>
      <w:r w:rsidR="000850FE" w:rsidRPr="00A942F6">
        <w:rPr>
          <w:lang w:val="nb-NO"/>
        </w:rPr>
        <w:t>tocilizumab</w:t>
      </w:r>
      <w:r w:rsidRPr="00A942F6">
        <w:rPr>
          <w:lang w:val="nb-NO"/>
        </w:rPr>
        <w:t xml:space="preserve"> subkutant ukentlig, sammenlignet med gruppen som fikk placebo pluss 26 ukers nedtrapping av prednison og gruppen som fikk placebo pluss 52 ukers nedtrapping av prednison og for gruppen som fikk </w:t>
      </w:r>
      <w:r w:rsidR="000850FE" w:rsidRPr="00A942F6">
        <w:rPr>
          <w:lang w:val="nb-NO"/>
        </w:rPr>
        <w:t>tocilizumab</w:t>
      </w:r>
      <w:r w:rsidRPr="00A942F6">
        <w:rPr>
          <w:lang w:val="nb-NO"/>
        </w:rPr>
        <w:t xml:space="preserve"> subkutant annenhver uke, sammenlignet med gruppen som fikk placebo pluss 26 uker med prednison (sammenlignet på 0,01 signifikansnivå). Gruppen som fikk </w:t>
      </w:r>
      <w:r w:rsidR="000850FE" w:rsidRPr="00A942F6">
        <w:rPr>
          <w:lang w:val="nb-NO"/>
        </w:rPr>
        <w:t>tocilizumab</w:t>
      </w:r>
      <w:r w:rsidRPr="00A942F6">
        <w:rPr>
          <w:lang w:val="nb-NO"/>
        </w:rPr>
        <w:t xml:space="preserve"> subkutant ukentlig viste en klinisk betydningsfull reduksjon i risiko for oppbluss, sammenlignet med gruppen som fikk placebo pluss 26 uker med prednison hos pasienter som gikk inn i studien med tilbakevendt GCA, samt de med nyoppstartet sykdom (tabell 4).</w:t>
      </w:r>
    </w:p>
    <w:p w14:paraId="61E1A6BA" w14:textId="77777777" w:rsidR="005A42A2" w:rsidRPr="00A942F6" w:rsidRDefault="005A42A2" w:rsidP="00641834">
      <w:pPr>
        <w:rPr>
          <w:lang w:val="nb-NO"/>
        </w:rPr>
      </w:pPr>
    </w:p>
    <w:p w14:paraId="28C62861" w14:textId="77777777" w:rsidR="005A42A2" w:rsidRPr="00A942F6" w:rsidRDefault="005A42A2" w:rsidP="00641834">
      <w:pPr>
        <w:pStyle w:val="Style1Iitaic"/>
        <w:rPr>
          <w:lang w:val="nb-NO"/>
        </w:rPr>
      </w:pPr>
      <w:r w:rsidRPr="00A942F6">
        <w:rPr>
          <w:lang w:val="nb-NO"/>
        </w:rPr>
        <w:t>Akkumulerte doser av glukokortikoider</w:t>
      </w:r>
    </w:p>
    <w:p w14:paraId="5507DFE9" w14:textId="5765559B" w:rsidR="005A42A2" w:rsidRPr="00A942F6" w:rsidRDefault="005A42A2" w:rsidP="00641834">
      <w:pPr>
        <w:rPr>
          <w:lang w:val="nb-NO"/>
        </w:rPr>
      </w:pPr>
      <w:r w:rsidRPr="00A942F6">
        <w:rPr>
          <w:lang w:val="nb-NO"/>
        </w:rPr>
        <w:t xml:space="preserve">Den akkumulerte dosen prednison i uke 52 var signifikant lavere i de to gruppene som fikk </w:t>
      </w:r>
      <w:r w:rsidR="000850FE" w:rsidRPr="00A942F6">
        <w:rPr>
          <w:lang w:val="nb-NO"/>
        </w:rPr>
        <w:t>tocilizumab</w:t>
      </w:r>
      <w:r w:rsidRPr="00A942F6">
        <w:rPr>
          <w:lang w:val="nb-NO"/>
        </w:rPr>
        <w:t xml:space="preserve"> sammenlignet med de to placebogruppene (tabell 4). I en separat analyse av pasientene som fikk prednison i tillegg for å behandle oppbluss av GCA i løpet av de første 52 ukene, var det stor variasjon i mengde akkumulert prednison. Den gjennomsnittlige dosen hos pasienter som fikk tillegg av prednison i gruppen som fikk </w:t>
      </w:r>
      <w:r w:rsidR="000850FE" w:rsidRPr="00A942F6">
        <w:rPr>
          <w:lang w:val="nb-NO"/>
        </w:rPr>
        <w:t>tocilizumab</w:t>
      </w:r>
      <w:r w:rsidRPr="00A942F6">
        <w:rPr>
          <w:lang w:val="nb-NO"/>
        </w:rPr>
        <w:t xml:space="preserve"> ukentlig og annenhver uke var henholdsvis 3129,75 mg og 3847 mg. Begge var betydelig lavere enn i gruppene som fikk placebo pluss 26 uker og placebo pluss 52 uker nedtrapping av prednison, henholdsvis 4023,5 mg og 5389,5 mg.</w:t>
      </w:r>
    </w:p>
    <w:p w14:paraId="2A25E335" w14:textId="77777777" w:rsidR="005A42A2" w:rsidRPr="00A942F6" w:rsidRDefault="005A42A2" w:rsidP="00641834">
      <w:pPr>
        <w:rPr>
          <w:lang w:val="nb-NO"/>
        </w:rPr>
      </w:pPr>
    </w:p>
    <w:p w14:paraId="0A8A41DF" w14:textId="77777777" w:rsidR="005A42A2" w:rsidRPr="00A942F6" w:rsidRDefault="005A42A2" w:rsidP="00641834">
      <w:pPr>
        <w:pStyle w:val="Style1Iitaic"/>
        <w:rPr>
          <w:lang w:val="nb-NO"/>
        </w:rPr>
      </w:pPr>
      <w:r w:rsidRPr="00A942F6">
        <w:rPr>
          <w:lang w:val="nb-NO"/>
        </w:rPr>
        <w:t>Tabell 4. Effektresultater fra studie WA28119</w:t>
      </w:r>
    </w:p>
    <w:p w14:paraId="750DC4C7" w14:textId="77777777" w:rsidR="000D024D" w:rsidRPr="00A942F6" w:rsidRDefault="000D024D" w:rsidP="00641834">
      <w:pPr>
        <w:keepNext/>
        <w:rPr>
          <w:lang w:val="nb-NO"/>
        </w:rPr>
      </w:pPr>
    </w:p>
    <w:tbl>
      <w:tblPr>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3682"/>
        <w:gridCol w:w="1558"/>
        <w:gridCol w:w="1279"/>
        <w:gridCol w:w="1249"/>
        <w:gridCol w:w="1293"/>
      </w:tblGrid>
      <w:tr w:rsidR="00613AFD" w:rsidRPr="00A942F6" w14:paraId="08360032" w14:textId="77777777" w:rsidTr="00BB4253">
        <w:trPr>
          <w:cantSplit/>
          <w:tblHeader/>
        </w:trPr>
        <w:tc>
          <w:tcPr>
            <w:tcW w:w="3682" w:type="dxa"/>
            <w:tcBorders>
              <w:top w:val="single" w:sz="4" w:space="0" w:color="auto"/>
              <w:left w:val="single" w:sz="4" w:space="0" w:color="auto"/>
            </w:tcBorders>
          </w:tcPr>
          <w:p w14:paraId="2C42EC0C" w14:textId="77777777" w:rsidR="00613AFD" w:rsidRPr="00A942F6" w:rsidRDefault="00613AFD" w:rsidP="0036729A">
            <w:pPr>
              <w:keepNext/>
              <w:suppressAutoHyphens/>
              <w:rPr>
                <w:sz w:val="20"/>
                <w:szCs w:val="20"/>
                <w:lang w:val="nb-NO"/>
              </w:rPr>
            </w:pPr>
          </w:p>
        </w:tc>
        <w:tc>
          <w:tcPr>
            <w:tcW w:w="1558" w:type="dxa"/>
            <w:tcBorders>
              <w:top w:val="single" w:sz="4" w:space="0" w:color="auto"/>
              <w:left w:val="single" w:sz="4" w:space="0" w:color="auto"/>
            </w:tcBorders>
          </w:tcPr>
          <w:p w14:paraId="1E66559D" w14:textId="77777777" w:rsidR="00613AFD" w:rsidRPr="00A942F6" w:rsidRDefault="00613AFD" w:rsidP="0036729A">
            <w:pPr>
              <w:pStyle w:val="TableParagraph"/>
              <w:keepNext/>
              <w:jc w:val="center"/>
              <w:rPr>
                <w:b/>
                <w:sz w:val="20"/>
                <w:szCs w:val="20"/>
                <w:lang w:val="nb-NO"/>
              </w:rPr>
            </w:pPr>
            <w:r w:rsidRPr="00A942F6">
              <w:rPr>
                <w:b/>
                <w:sz w:val="20"/>
                <w:szCs w:val="20"/>
                <w:lang w:val="nb-NO"/>
              </w:rPr>
              <w:t>Placebo + 26 uker</w:t>
            </w:r>
          </w:p>
          <w:p w14:paraId="56EF25ED" w14:textId="77777777" w:rsidR="00613AFD" w:rsidRPr="00A942F6" w:rsidRDefault="00613AFD" w:rsidP="0036729A">
            <w:pPr>
              <w:pStyle w:val="TableParagraph"/>
              <w:keepNext/>
              <w:jc w:val="center"/>
              <w:rPr>
                <w:b/>
                <w:sz w:val="20"/>
                <w:szCs w:val="20"/>
                <w:lang w:val="nb-NO"/>
              </w:rPr>
            </w:pPr>
            <w:r w:rsidRPr="00A942F6">
              <w:rPr>
                <w:b/>
                <w:sz w:val="20"/>
                <w:szCs w:val="20"/>
                <w:lang w:val="nb-NO"/>
              </w:rPr>
              <w:t>nedtrapping av prednison</w:t>
            </w:r>
          </w:p>
          <w:p w14:paraId="2F8ED049" w14:textId="77777777" w:rsidR="00613AFD" w:rsidRPr="00A942F6" w:rsidRDefault="00613AFD" w:rsidP="0036729A">
            <w:pPr>
              <w:pStyle w:val="TableParagraph"/>
              <w:keepNext/>
              <w:jc w:val="center"/>
              <w:rPr>
                <w:b/>
                <w:sz w:val="20"/>
                <w:szCs w:val="20"/>
                <w:lang w:val="nb-NO"/>
              </w:rPr>
            </w:pPr>
            <w:r w:rsidRPr="00A942F6">
              <w:rPr>
                <w:b/>
                <w:sz w:val="20"/>
                <w:szCs w:val="20"/>
                <w:lang w:val="nb-NO"/>
              </w:rPr>
              <w:t>N=50</w:t>
            </w:r>
          </w:p>
        </w:tc>
        <w:tc>
          <w:tcPr>
            <w:tcW w:w="1279" w:type="dxa"/>
            <w:tcBorders>
              <w:top w:val="single" w:sz="4" w:space="0" w:color="auto"/>
              <w:left w:val="single" w:sz="4" w:space="0" w:color="auto"/>
            </w:tcBorders>
          </w:tcPr>
          <w:p w14:paraId="14D95C89" w14:textId="77777777" w:rsidR="00613AFD" w:rsidRPr="00A942F6" w:rsidRDefault="00613AFD" w:rsidP="0036729A">
            <w:pPr>
              <w:pStyle w:val="TableParagraph"/>
              <w:keepNext/>
              <w:jc w:val="center"/>
              <w:rPr>
                <w:b/>
                <w:sz w:val="20"/>
                <w:szCs w:val="20"/>
                <w:lang w:val="nb-NO"/>
              </w:rPr>
            </w:pPr>
            <w:r w:rsidRPr="00A942F6">
              <w:rPr>
                <w:b/>
                <w:sz w:val="20"/>
                <w:szCs w:val="20"/>
                <w:lang w:val="nb-NO"/>
              </w:rPr>
              <w:t>Placebo + 52 uker nedtrapping av prednison</w:t>
            </w:r>
          </w:p>
          <w:p w14:paraId="71BFA957" w14:textId="77777777" w:rsidR="00613AFD" w:rsidRPr="00A942F6" w:rsidRDefault="00613AFD" w:rsidP="0036729A">
            <w:pPr>
              <w:pStyle w:val="TableParagraph"/>
              <w:keepNext/>
              <w:jc w:val="center"/>
              <w:rPr>
                <w:b/>
                <w:sz w:val="20"/>
                <w:szCs w:val="20"/>
                <w:lang w:val="nb-NO"/>
              </w:rPr>
            </w:pPr>
            <w:r w:rsidRPr="00A942F6">
              <w:rPr>
                <w:b/>
                <w:sz w:val="20"/>
                <w:szCs w:val="20"/>
                <w:lang w:val="nb-NO"/>
              </w:rPr>
              <w:t>N=51</w:t>
            </w:r>
          </w:p>
        </w:tc>
        <w:tc>
          <w:tcPr>
            <w:tcW w:w="1249" w:type="dxa"/>
            <w:tcBorders>
              <w:top w:val="single" w:sz="4" w:space="0" w:color="auto"/>
              <w:left w:val="single" w:sz="4" w:space="0" w:color="auto"/>
            </w:tcBorders>
          </w:tcPr>
          <w:p w14:paraId="60D069F0" w14:textId="6591F765" w:rsidR="00613AFD" w:rsidRPr="00A942F6" w:rsidRDefault="000850FE" w:rsidP="0036729A">
            <w:pPr>
              <w:pStyle w:val="TableParagraph"/>
              <w:keepNext/>
              <w:jc w:val="center"/>
              <w:rPr>
                <w:b/>
                <w:sz w:val="20"/>
                <w:szCs w:val="20"/>
                <w:lang w:val="nb-NO"/>
              </w:rPr>
            </w:pPr>
            <w:r w:rsidRPr="00A942F6">
              <w:rPr>
                <w:b/>
                <w:sz w:val="20"/>
                <w:szCs w:val="20"/>
                <w:lang w:val="nb-NO"/>
              </w:rPr>
              <w:t>Tocilizumab</w:t>
            </w:r>
            <w:r w:rsidR="00613AFD" w:rsidRPr="00A942F6">
              <w:rPr>
                <w:b/>
                <w:sz w:val="20"/>
                <w:szCs w:val="20"/>
                <w:lang w:val="nb-NO"/>
              </w:rPr>
              <w:t xml:space="preserve"> 162 mg s.c. ukentlig + 26 uker nedtrapping av prednison</w:t>
            </w:r>
          </w:p>
          <w:p w14:paraId="367CF56E" w14:textId="77777777" w:rsidR="00613AFD" w:rsidRPr="00A942F6" w:rsidRDefault="00613AFD" w:rsidP="0036729A">
            <w:pPr>
              <w:pStyle w:val="TableParagraph"/>
              <w:keepNext/>
              <w:jc w:val="center"/>
              <w:rPr>
                <w:b/>
                <w:sz w:val="20"/>
                <w:szCs w:val="20"/>
                <w:lang w:val="nb-NO"/>
              </w:rPr>
            </w:pPr>
            <w:r w:rsidRPr="00A942F6">
              <w:rPr>
                <w:b/>
                <w:sz w:val="20"/>
                <w:szCs w:val="20"/>
                <w:lang w:val="nb-NO"/>
              </w:rPr>
              <w:t>N=100</w:t>
            </w:r>
          </w:p>
        </w:tc>
        <w:tc>
          <w:tcPr>
            <w:tcW w:w="1293" w:type="dxa"/>
            <w:tcBorders>
              <w:top w:val="single" w:sz="4" w:space="0" w:color="auto"/>
              <w:left w:val="single" w:sz="4" w:space="0" w:color="auto"/>
              <w:right w:val="single" w:sz="4" w:space="0" w:color="auto"/>
            </w:tcBorders>
          </w:tcPr>
          <w:p w14:paraId="72E03D3F" w14:textId="2BCCC099" w:rsidR="00613AFD" w:rsidRPr="00A942F6" w:rsidRDefault="000850FE" w:rsidP="0036729A">
            <w:pPr>
              <w:pStyle w:val="TableParagraph"/>
              <w:keepNext/>
              <w:jc w:val="center"/>
              <w:rPr>
                <w:b/>
                <w:sz w:val="20"/>
                <w:szCs w:val="20"/>
                <w:lang w:val="nb-NO"/>
              </w:rPr>
            </w:pPr>
            <w:r w:rsidRPr="00A942F6">
              <w:rPr>
                <w:b/>
                <w:sz w:val="20"/>
                <w:szCs w:val="20"/>
                <w:lang w:val="nb-NO"/>
              </w:rPr>
              <w:t>Tocilizumab</w:t>
            </w:r>
            <w:r w:rsidR="00613AFD" w:rsidRPr="00A942F6">
              <w:rPr>
                <w:b/>
                <w:sz w:val="20"/>
                <w:szCs w:val="20"/>
                <w:lang w:val="nb-NO"/>
              </w:rPr>
              <w:t xml:space="preserve"> 162 mg s.c. annenhver uke + 26 uker nedtrapping av prednison</w:t>
            </w:r>
          </w:p>
          <w:p w14:paraId="1F9A943F" w14:textId="77777777" w:rsidR="00613AFD" w:rsidRPr="00A942F6" w:rsidRDefault="00613AFD" w:rsidP="0036729A">
            <w:pPr>
              <w:pStyle w:val="TableParagraph"/>
              <w:keepNext/>
              <w:jc w:val="center"/>
              <w:rPr>
                <w:b/>
                <w:sz w:val="20"/>
                <w:szCs w:val="20"/>
                <w:lang w:val="nb-NO"/>
              </w:rPr>
            </w:pPr>
            <w:r w:rsidRPr="00A942F6">
              <w:rPr>
                <w:b/>
                <w:sz w:val="20"/>
                <w:szCs w:val="20"/>
                <w:lang w:val="nb-NO"/>
              </w:rPr>
              <w:t>N=49</w:t>
            </w:r>
          </w:p>
        </w:tc>
      </w:tr>
      <w:tr w:rsidR="00613AFD" w:rsidRPr="00A942F6" w14:paraId="3E8F3020" w14:textId="77777777" w:rsidTr="00613AFD">
        <w:trPr>
          <w:cantSplit/>
        </w:trPr>
        <w:tc>
          <w:tcPr>
            <w:tcW w:w="9061" w:type="dxa"/>
            <w:gridSpan w:val="5"/>
            <w:tcBorders>
              <w:top w:val="single" w:sz="4" w:space="0" w:color="auto"/>
              <w:left w:val="single" w:sz="4" w:space="0" w:color="auto"/>
              <w:right w:val="single" w:sz="4" w:space="0" w:color="auto"/>
            </w:tcBorders>
          </w:tcPr>
          <w:p w14:paraId="1AB22055" w14:textId="77777777" w:rsidR="00613AFD" w:rsidRPr="00A942F6" w:rsidRDefault="00613AFD" w:rsidP="0036729A">
            <w:pPr>
              <w:pStyle w:val="TableParagraph"/>
              <w:keepNext/>
              <w:rPr>
                <w:b/>
                <w:sz w:val="20"/>
                <w:szCs w:val="20"/>
                <w:lang w:val="nb-NO"/>
              </w:rPr>
            </w:pPr>
            <w:r w:rsidRPr="00A942F6">
              <w:rPr>
                <w:b/>
                <w:sz w:val="20"/>
                <w:szCs w:val="20"/>
                <w:lang w:val="nb-NO"/>
              </w:rPr>
              <w:t>Primært Endepunkt</w:t>
            </w:r>
          </w:p>
        </w:tc>
      </w:tr>
      <w:tr w:rsidR="00613AFD" w:rsidRPr="00B477E5" w14:paraId="32BFF4F7" w14:textId="77777777" w:rsidTr="00613AFD">
        <w:trPr>
          <w:cantSplit/>
        </w:trPr>
        <w:tc>
          <w:tcPr>
            <w:tcW w:w="9061" w:type="dxa"/>
            <w:gridSpan w:val="5"/>
            <w:tcBorders>
              <w:top w:val="single" w:sz="4" w:space="0" w:color="auto"/>
              <w:left w:val="single" w:sz="4" w:space="0" w:color="auto"/>
              <w:right w:val="single" w:sz="4" w:space="0" w:color="auto"/>
            </w:tcBorders>
          </w:tcPr>
          <w:p w14:paraId="16360DE6" w14:textId="77777777" w:rsidR="00613AFD" w:rsidRPr="00A942F6" w:rsidRDefault="00613AFD" w:rsidP="00641834">
            <w:pPr>
              <w:pStyle w:val="TableParagraph"/>
              <w:rPr>
                <w:sz w:val="20"/>
                <w:szCs w:val="20"/>
                <w:lang w:val="nb-NO"/>
              </w:rPr>
            </w:pPr>
            <w:r w:rsidRPr="00A942F6">
              <w:rPr>
                <w:sz w:val="20"/>
                <w:szCs w:val="20"/>
                <w:lang w:val="nb-NO"/>
              </w:rPr>
              <w:t>Vedvarende remisjon (tocilizumab-grupper versus placebo+26)</w:t>
            </w:r>
          </w:p>
        </w:tc>
      </w:tr>
      <w:tr w:rsidR="00613AFD" w:rsidRPr="00A942F6" w14:paraId="66E02396" w14:textId="77777777" w:rsidTr="00BB4253">
        <w:trPr>
          <w:cantSplit/>
        </w:trPr>
        <w:tc>
          <w:tcPr>
            <w:tcW w:w="3682" w:type="dxa"/>
            <w:tcBorders>
              <w:top w:val="single" w:sz="4" w:space="0" w:color="auto"/>
              <w:left w:val="single" w:sz="4" w:space="0" w:color="auto"/>
            </w:tcBorders>
          </w:tcPr>
          <w:p w14:paraId="09257B5B" w14:textId="77777777" w:rsidR="00613AFD" w:rsidRPr="00A942F6" w:rsidRDefault="00613AFD" w:rsidP="00C42B2C">
            <w:pPr>
              <w:pStyle w:val="TableParagraph"/>
              <w:ind w:left="284"/>
              <w:rPr>
                <w:sz w:val="20"/>
                <w:szCs w:val="20"/>
                <w:lang w:val="nb-NO"/>
              </w:rPr>
            </w:pPr>
            <w:r w:rsidRPr="00A942F6">
              <w:rPr>
                <w:sz w:val="20"/>
                <w:szCs w:val="20"/>
                <w:lang w:val="nb-NO"/>
              </w:rPr>
              <w:lastRenderedPageBreak/>
              <w:t>Respondere ved uke 52, n (%)</w:t>
            </w:r>
          </w:p>
        </w:tc>
        <w:tc>
          <w:tcPr>
            <w:tcW w:w="1558" w:type="dxa"/>
            <w:tcBorders>
              <w:top w:val="single" w:sz="4" w:space="0" w:color="auto"/>
              <w:left w:val="single" w:sz="4" w:space="0" w:color="auto"/>
            </w:tcBorders>
          </w:tcPr>
          <w:p w14:paraId="7DF9FA71" w14:textId="77777777" w:rsidR="00613AFD" w:rsidRPr="00A942F6" w:rsidRDefault="00613AFD" w:rsidP="00641834">
            <w:pPr>
              <w:pStyle w:val="TableParagraph"/>
              <w:jc w:val="center"/>
              <w:rPr>
                <w:sz w:val="20"/>
                <w:szCs w:val="20"/>
                <w:lang w:val="nb-NO"/>
              </w:rPr>
            </w:pPr>
            <w:r w:rsidRPr="00A942F6">
              <w:rPr>
                <w:sz w:val="20"/>
                <w:szCs w:val="20"/>
                <w:lang w:val="nb-NO"/>
              </w:rPr>
              <w:t>7 (14%)</w:t>
            </w:r>
          </w:p>
        </w:tc>
        <w:tc>
          <w:tcPr>
            <w:tcW w:w="1279" w:type="dxa"/>
            <w:tcBorders>
              <w:top w:val="single" w:sz="4" w:space="0" w:color="auto"/>
              <w:left w:val="single" w:sz="4" w:space="0" w:color="auto"/>
            </w:tcBorders>
          </w:tcPr>
          <w:p w14:paraId="7A09BD94" w14:textId="77777777" w:rsidR="00613AFD" w:rsidRPr="00A942F6" w:rsidRDefault="00613AFD" w:rsidP="00641834">
            <w:pPr>
              <w:pStyle w:val="TableParagraph"/>
              <w:jc w:val="center"/>
              <w:rPr>
                <w:sz w:val="20"/>
                <w:szCs w:val="20"/>
                <w:lang w:val="nb-NO"/>
              </w:rPr>
            </w:pPr>
            <w:r w:rsidRPr="00A942F6">
              <w:rPr>
                <w:sz w:val="20"/>
                <w:szCs w:val="20"/>
                <w:lang w:val="nb-NO"/>
              </w:rPr>
              <w:t>9 (17,6%)</w:t>
            </w:r>
          </w:p>
        </w:tc>
        <w:tc>
          <w:tcPr>
            <w:tcW w:w="1249" w:type="dxa"/>
            <w:tcBorders>
              <w:top w:val="single" w:sz="4" w:space="0" w:color="auto"/>
              <w:left w:val="single" w:sz="4" w:space="0" w:color="auto"/>
            </w:tcBorders>
          </w:tcPr>
          <w:p w14:paraId="62BAD2C5" w14:textId="77777777" w:rsidR="00613AFD" w:rsidRPr="00A942F6" w:rsidRDefault="00613AFD" w:rsidP="00641834">
            <w:pPr>
              <w:pStyle w:val="TableParagraph"/>
              <w:jc w:val="center"/>
              <w:rPr>
                <w:sz w:val="20"/>
                <w:szCs w:val="20"/>
                <w:lang w:val="nb-NO"/>
              </w:rPr>
            </w:pPr>
            <w:r w:rsidRPr="00A942F6">
              <w:rPr>
                <w:sz w:val="20"/>
                <w:szCs w:val="20"/>
                <w:lang w:val="nb-NO"/>
              </w:rPr>
              <w:t>56 (56%)</w:t>
            </w:r>
          </w:p>
        </w:tc>
        <w:tc>
          <w:tcPr>
            <w:tcW w:w="1293" w:type="dxa"/>
            <w:tcBorders>
              <w:top w:val="single" w:sz="4" w:space="0" w:color="auto"/>
              <w:left w:val="single" w:sz="4" w:space="0" w:color="auto"/>
              <w:right w:val="single" w:sz="4" w:space="0" w:color="auto"/>
            </w:tcBorders>
          </w:tcPr>
          <w:p w14:paraId="3434C115" w14:textId="77777777" w:rsidR="00613AFD" w:rsidRPr="00A942F6" w:rsidRDefault="00613AFD" w:rsidP="00641834">
            <w:pPr>
              <w:pStyle w:val="TableParagraph"/>
              <w:jc w:val="center"/>
              <w:rPr>
                <w:sz w:val="20"/>
                <w:szCs w:val="20"/>
                <w:lang w:val="nb-NO"/>
              </w:rPr>
            </w:pPr>
            <w:r w:rsidRPr="00A942F6">
              <w:rPr>
                <w:sz w:val="20"/>
                <w:szCs w:val="20"/>
                <w:lang w:val="nb-NO"/>
              </w:rPr>
              <w:t>26 (53,1%)</w:t>
            </w:r>
          </w:p>
        </w:tc>
      </w:tr>
      <w:tr w:rsidR="00613AFD" w:rsidRPr="00A942F6" w14:paraId="142C5C70" w14:textId="77777777" w:rsidTr="00BB4253">
        <w:trPr>
          <w:cantSplit/>
        </w:trPr>
        <w:tc>
          <w:tcPr>
            <w:tcW w:w="3682" w:type="dxa"/>
            <w:tcBorders>
              <w:top w:val="single" w:sz="4" w:space="0" w:color="auto"/>
              <w:left w:val="single" w:sz="4" w:space="0" w:color="auto"/>
            </w:tcBorders>
          </w:tcPr>
          <w:p w14:paraId="3FC20CFB" w14:textId="77777777" w:rsidR="00613AFD" w:rsidRPr="00A942F6" w:rsidRDefault="00613AFD" w:rsidP="00C42B2C">
            <w:pPr>
              <w:pStyle w:val="TableParagraph"/>
              <w:ind w:left="284"/>
              <w:rPr>
                <w:sz w:val="20"/>
                <w:szCs w:val="20"/>
                <w:lang w:val="nb-NO"/>
              </w:rPr>
            </w:pPr>
            <w:r w:rsidRPr="00A942F6">
              <w:rPr>
                <w:sz w:val="20"/>
                <w:szCs w:val="20"/>
                <w:lang w:val="nb-NO"/>
              </w:rPr>
              <w:t>Ujustert differanse i proporsjonene</w:t>
            </w:r>
          </w:p>
          <w:p w14:paraId="1278CAB5" w14:textId="77777777" w:rsidR="00613AFD" w:rsidRPr="00A942F6" w:rsidRDefault="00613AFD" w:rsidP="00C42B2C">
            <w:pPr>
              <w:pStyle w:val="TableParagraph"/>
              <w:ind w:left="284"/>
              <w:rPr>
                <w:sz w:val="20"/>
                <w:szCs w:val="20"/>
                <w:lang w:val="nb-NO"/>
              </w:rPr>
            </w:pPr>
            <w:r w:rsidRPr="00A942F6">
              <w:rPr>
                <w:sz w:val="20"/>
                <w:szCs w:val="20"/>
                <w:lang w:val="nb-NO"/>
              </w:rPr>
              <w:t>(99,5% KI)</w:t>
            </w:r>
          </w:p>
        </w:tc>
        <w:tc>
          <w:tcPr>
            <w:tcW w:w="1558" w:type="dxa"/>
            <w:tcBorders>
              <w:top w:val="single" w:sz="4" w:space="0" w:color="auto"/>
              <w:left w:val="single" w:sz="4" w:space="0" w:color="auto"/>
            </w:tcBorders>
          </w:tcPr>
          <w:p w14:paraId="3F054D35" w14:textId="77777777" w:rsidR="00613AFD" w:rsidRPr="00A942F6" w:rsidRDefault="00613AFD" w:rsidP="00641834">
            <w:pPr>
              <w:pStyle w:val="TableParagraph"/>
              <w:jc w:val="center"/>
              <w:rPr>
                <w:sz w:val="20"/>
                <w:szCs w:val="20"/>
                <w:lang w:val="nb-NO"/>
              </w:rPr>
            </w:pPr>
            <w:r w:rsidRPr="00A942F6">
              <w:rPr>
                <w:sz w:val="20"/>
                <w:szCs w:val="20"/>
                <w:lang w:val="nb-NO"/>
              </w:rPr>
              <w:t>N/A</w:t>
            </w:r>
          </w:p>
        </w:tc>
        <w:tc>
          <w:tcPr>
            <w:tcW w:w="1279" w:type="dxa"/>
            <w:tcBorders>
              <w:top w:val="single" w:sz="4" w:space="0" w:color="auto"/>
              <w:left w:val="single" w:sz="4" w:space="0" w:color="auto"/>
            </w:tcBorders>
          </w:tcPr>
          <w:p w14:paraId="496FC0B9" w14:textId="77777777" w:rsidR="00613AFD" w:rsidRPr="00A942F6" w:rsidRDefault="00613AFD" w:rsidP="00641834">
            <w:pPr>
              <w:pStyle w:val="TableParagraph"/>
              <w:jc w:val="center"/>
              <w:rPr>
                <w:sz w:val="20"/>
                <w:szCs w:val="20"/>
                <w:lang w:val="nb-NO"/>
              </w:rPr>
            </w:pPr>
            <w:r w:rsidRPr="00A942F6">
              <w:rPr>
                <w:sz w:val="20"/>
                <w:szCs w:val="20"/>
                <w:lang w:val="nb-NO"/>
              </w:rPr>
              <w:t>N/A</w:t>
            </w:r>
          </w:p>
        </w:tc>
        <w:tc>
          <w:tcPr>
            <w:tcW w:w="1249" w:type="dxa"/>
            <w:tcBorders>
              <w:top w:val="single" w:sz="4" w:space="0" w:color="auto"/>
              <w:left w:val="single" w:sz="4" w:space="0" w:color="auto"/>
            </w:tcBorders>
          </w:tcPr>
          <w:p w14:paraId="5F414435" w14:textId="77777777" w:rsidR="00613AFD" w:rsidRPr="00A942F6" w:rsidRDefault="00613AFD" w:rsidP="00641834">
            <w:pPr>
              <w:pStyle w:val="TableParagraph"/>
              <w:jc w:val="center"/>
              <w:rPr>
                <w:sz w:val="20"/>
                <w:szCs w:val="20"/>
                <w:lang w:val="nb-NO"/>
              </w:rPr>
            </w:pPr>
            <w:r w:rsidRPr="00A942F6">
              <w:rPr>
                <w:sz w:val="20"/>
                <w:szCs w:val="20"/>
                <w:lang w:val="nb-NO"/>
              </w:rPr>
              <w:t>42%*</w:t>
            </w:r>
          </w:p>
          <w:p w14:paraId="65E29EA3" w14:textId="77777777" w:rsidR="00613AFD" w:rsidRPr="00A942F6" w:rsidRDefault="00613AFD" w:rsidP="00641834">
            <w:pPr>
              <w:pStyle w:val="TableParagraph"/>
              <w:jc w:val="center"/>
              <w:rPr>
                <w:sz w:val="20"/>
                <w:szCs w:val="20"/>
                <w:lang w:val="nb-NO"/>
              </w:rPr>
            </w:pPr>
            <w:r w:rsidRPr="00A942F6">
              <w:rPr>
                <w:sz w:val="20"/>
                <w:szCs w:val="20"/>
                <w:lang w:val="nb-NO"/>
              </w:rPr>
              <w:t>(18,00, 66,00)</w:t>
            </w:r>
          </w:p>
        </w:tc>
        <w:tc>
          <w:tcPr>
            <w:tcW w:w="1293" w:type="dxa"/>
            <w:tcBorders>
              <w:top w:val="single" w:sz="4" w:space="0" w:color="auto"/>
              <w:left w:val="single" w:sz="4" w:space="0" w:color="auto"/>
              <w:right w:val="single" w:sz="4" w:space="0" w:color="auto"/>
            </w:tcBorders>
          </w:tcPr>
          <w:p w14:paraId="41ECB6F2" w14:textId="77777777" w:rsidR="00613AFD" w:rsidRPr="00A942F6" w:rsidRDefault="00613AFD" w:rsidP="00641834">
            <w:pPr>
              <w:pStyle w:val="TableParagraph"/>
              <w:jc w:val="center"/>
              <w:rPr>
                <w:sz w:val="20"/>
                <w:szCs w:val="20"/>
                <w:lang w:val="nb-NO"/>
              </w:rPr>
            </w:pPr>
            <w:r w:rsidRPr="00A942F6">
              <w:rPr>
                <w:sz w:val="20"/>
                <w:szCs w:val="20"/>
                <w:lang w:val="nb-NO"/>
              </w:rPr>
              <w:t>39,06%*</w:t>
            </w:r>
          </w:p>
          <w:p w14:paraId="313332B0" w14:textId="77777777" w:rsidR="00613AFD" w:rsidRPr="00A942F6" w:rsidRDefault="00613AFD" w:rsidP="00641834">
            <w:pPr>
              <w:pStyle w:val="TableParagraph"/>
              <w:jc w:val="center"/>
              <w:rPr>
                <w:sz w:val="20"/>
                <w:szCs w:val="20"/>
                <w:lang w:val="nb-NO"/>
              </w:rPr>
            </w:pPr>
            <w:r w:rsidRPr="00A942F6">
              <w:rPr>
                <w:sz w:val="20"/>
                <w:szCs w:val="20"/>
                <w:lang w:val="nb-NO"/>
              </w:rPr>
              <w:t>(12,46, 65,66)</w:t>
            </w:r>
          </w:p>
        </w:tc>
      </w:tr>
      <w:tr w:rsidR="00613AFD" w:rsidRPr="00A942F6" w14:paraId="0FDD45D7" w14:textId="77777777" w:rsidTr="00613AFD">
        <w:trPr>
          <w:cantSplit/>
        </w:trPr>
        <w:tc>
          <w:tcPr>
            <w:tcW w:w="9061" w:type="dxa"/>
            <w:gridSpan w:val="5"/>
            <w:tcBorders>
              <w:top w:val="single" w:sz="4" w:space="0" w:color="auto"/>
              <w:left w:val="single" w:sz="4" w:space="0" w:color="auto"/>
              <w:right w:val="single" w:sz="4" w:space="0" w:color="auto"/>
            </w:tcBorders>
          </w:tcPr>
          <w:p w14:paraId="04E2E7A5" w14:textId="77777777" w:rsidR="00613AFD" w:rsidRPr="00A942F6" w:rsidRDefault="00613AFD" w:rsidP="00641834">
            <w:pPr>
              <w:pStyle w:val="TableParagraph"/>
              <w:rPr>
                <w:b/>
                <w:sz w:val="20"/>
                <w:szCs w:val="20"/>
                <w:lang w:val="nb-NO"/>
              </w:rPr>
            </w:pPr>
            <w:r w:rsidRPr="00A942F6">
              <w:rPr>
                <w:b/>
                <w:sz w:val="20"/>
                <w:szCs w:val="20"/>
                <w:lang w:val="nb-NO"/>
              </w:rPr>
              <w:t>Sentrale Sekundære Endepunkter</w:t>
            </w:r>
          </w:p>
        </w:tc>
      </w:tr>
      <w:tr w:rsidR="00613AFD" w:rsidRPr="00B477E5" w14:paraId="6F846300" w14:textId="77777777" w:rsidTr="00613AFD">
        <w:trPr>
          <w:cantSplit/>
        </w:trPr>
        <w:tc>
          <w:tcPr>
            <w:tcW w:w="9061" w:type="dxa"/>
            <w:gridSpan w:val="5"/>
            <w:tcBorders>
              <w:top w:val="single" w:sz="4" w:space="0" w:color="auto"/>
              <w:left w:val="single" w:sz="4" w:space="0" w:color="auto"/>
              <w:right w:val="single" w:sz="4" w:space="0" w:color="auto"/>
            </w:tcBorders>
          </w:tcPr>
          <w:p w14:paraId="36CCF29E" w14:textId="77777777" w:rsidR="00613AFD" w:rsidRPr="00A942F6" w:rsidRDefault="00613AFD" w:rsidP="00641834">
            <w:pPr>
              <w:pStyle w:val="TableParagraph"/>
              <w:rPr>
                <w:sz w:val="20"/>
                <w:szCs w:val="20"/>
                <w:lang w:val="nb-NO"/>
              </w:rPr>
            </w:pPr>
            <w:r w:rsidRPr="00A942F6">
              <w:rPr>
                <w:sz w:val="20"/>
                <w:szCs w:val="20"/>
                <w:lang w:val="nb-NO"/>
              </w:rPr>
              <w:t>Langvarig remisjon (tocilizumab-grupper versus placebo+52)</w:t>
            </w:r>
          </w:p>
        </w:tc>
      </w:tr>
      <w:tr w:rsidR="00613AFD" w:rsidRPr="00A942F6" w14:paraId="46808227" w14:textId="77777777" w:rsidTr="00BB4253">
        <w:trPr>
          <w:cantSplit/>
        </w:trPr>
        <w:tc>
          <w:tcPr>
            <w:tcW w:w="3682" w:type="dxa"/>
            <w:tcBorders>
              <w:top w:val="single" w:sz="4" w:space="0" w:color="auto"/>
              <w:left w:val="single" w:sz="4" w:space="0" w:color="auto"/>
            </w:tcBorders>
          </w:tcPr>
          <w:p w14:paraId="44D6DB67" w14:textId="77777777" w:rsidR="00613AFD" w:rsidRPr="00A942F6" w:rsidRDefault="00613AFD" w:rsidP="00C42B2C">
            <w:pPr>
              <w:pStyle w:val="TableParagraph"/>
              <w:ind w:left="284"/>
              <w:rPr>
                <w:sz w:val="20"/>
                <w:szCs w:val="20"/>
                <w:lang w:val="nb-NO"/>
              </w:rPr>
            </w:pPr>
            <w:r w:rsidRPr="00A942F6">
              <w:rPr>
                <w:sz w:val="20"/>
                <w:szCs w:val="20"/>
                <w:lang w:val="nb-NO"/>
              </w:rPr>
              <w:t>Respondere ved uke 52, n (%)</w:t>
            </w:r>
          </w:p>
        </w:tc>
        <w:tc>
          <w:tcPr>
            <w:tcW w:w="1558" w:type="dxa"/>
            <w:tcBorders>
              <w:top w:val="single" w:sz="4" w:space="0" w:color="auto"/>
              <w:left w:val="single" w:sz="4" w:space="0" w:color="auto"/>
            </w:tcBorders>
          </w:tcPr>
          <w:p w14:paraId="01ABE78C" w14:textId="77777777" w:rsidR="00613AFD" w:rsidRPr="00A942F6" w:rsidRDefault="00613AFD" w:rsidP="00641834">
            <w:pPr>
              <w:suppressAutoHyphens/>
              <w:jc w:val="center"/>
              <w:rPr>
                <w:sz w:val="20"/>
                <w:szCs w:val="20"/>
                <w:lang w:val="nb-NO"/>
              </w:rPr>
            </w:pPr>
            <w:r w:rsidRPr="00A942F6">
              <w:rPr>
                <w:sz w:val="20"/>
                <w:szCs w:val="20"/>
                <w:lang w:val="nb-NO"/>
              </w:rPr>
              <w:t>7 (14%)</w:t>
            </w:r>
          </w:p>
        </w:tc>
        <w:tc>
          <w:tcPr>
            <w:tcW w:w="1279" w:type="dxa"/>
            <w:tcBorders>
              <w:top w:val="single" w:sz="4" w:space="0" w:color="auto"/>
              <w:left w:val="single" w:sz="4" w:space="0" w:color="auto"/>
            </w:tcBorders>
          </w:tcPr>
          <w:p w14:paraId="3ADE9344" w14:textId="77777777" w:rsidR="00613AFD" w:rsidRPr="00A942F6" w:rsidRDefault="00613AFD" w:rsidP="00641834">
            <w:pPr>
              <w:suppressAutoHyphens/>
              <w:jc w:val="center"/>
              <w:rPr>
                <w:sz w:val="20"/>
                <w:szCs w:val="20"/>
                <w:lang w:val="nb-NO"/>
              </w:rPr>
            </w:pPr>
            <w:r w:rsidRPr="00A942F6">
              <w:rPr>
                <w:sz w:val="20"/>
                <w:szCs w:val="20"/>
                <w:lang w:val="nb-NO"/>
              </w:rPr>
              <w:t>9 (17.6%)</w:t>
            </w:r>
          </w:p>
        </w:tc>
        <w:tc>
          <w:tcPr>
            <w:tcW w:w="1249" w:type="dxa"/>
            <w:tcBorders>
              <w:top w:val="single" w:sz="4" w:space="0" w:color="auto"/>
              <w:left w:val="single" w:sz="4" w:space="0" w:color="auto"/>
            </w:tcBorders>
          </w:tcPr>
          <w:p w14:paraId="07C47465" w14:textId="77777777" w:rsidR="00613AFD" w:rsidRPr="00A942F6" w:rsidRDefault="00613AFD" w:rsidP="00641834">
            <w:pPr>
              <w:suppressAutoHyphens/>
              <w:jc w:val="center"/>
              <w:rPr>
                <w:sz w:val="20"/>
                <w:szCs w:val="20"/>
                <w:lang w:val="nb-NO"/>
              </w:rPr>
            </w:pPr>
            <w:r w:rsidRPr="00A942F6">
              <w:rPr>
                <w:sz w:val="20"/>
                <w:szCs w:val="20"/>
                <w:lang w:val="nb-NO"/>
              </w:rPr>
              <w:t>56 (56%)</w:t>
            </w:r>
          </w:p>
        </w:tc>
        <w:tc>
          <w:tcPr>
            <w:tcW w:w="1293" w:type="dxa"/>
            <w:tcBorders>
              <w:top w:val="single" w:sz="4" w:space="0" w:color="auto"/>
              <w:left w:val="single" w:sz="4" w:space="0" w:color="auto"/>
              <w:right w:val="single" w:sz="4" w:space="0" w:color="auto"/>
            </w:tcBorders>
          </w:tcPr>
          <w:p w14:paraId="16B20542" w14:textId="77777777" w:rsidR="00613AFD" w:rsidRPr="00A942F6" w:rsidRDefault="00613AFD" w:rsidP="00641834">
            <w:pPr>
              <w:suppressAutoHyphens/>
              <w:jc w:val="center"/>
              <w:rPr>
                <w:sz w:val="20"/>
                <w:szCs w:val="20"/>
                <w:lang w:val="nb-NO"/>
              </w:rPr>
            </w:pPr>
            <w:r w:rsidRPr="00A942F6">
              <w:rPr>
                <w:sz w:val="20"/>
                <w:szCs w:val="20"/>
                <w:lang w:val="nb-NO"/>
              </w:rPr>
              <w:t>26 (53.1%)</w:t>
            </w:r>
          </w:p>
        </w:tc>
      </w:tr>
      <w:tr w:rsidR="00613AFD" w:rsidRPr="00A942F6" w14:paraId="5B5B2687" w14:textId="77777777" w:rsidTr="00BB4253">
        <w:trPr>
          <w:cantSplit/>
        </w:trPr>
        <w:tc>
          <w:tcPr>
            <w:tcW w:w="3682" w:type="dxa"/>
            <w:tcBorders>
              <w:top w:val="single" w:sz="4" w:space="0" w:color="auto"/>
              <w:left w:val="single" w:sz="4" w:space="0" w:color="auto"/>
            </w:tcBorders>
          </w:tcPr>
          <w:p w14:paraId="4B0DEF74" w14:textId="77777777" w:rsidR="00613AFD" w:rsidRPr="00A942F6" w:rsidRDefault="00613AFD" w:rsidP="00C42B2C">
            <w:pPr>
              <w:pStyle w:val="TableParagraph"/>
              <w:ind w:left="284"/>
              <w:rPr>
                <w:sz w:val="20"/>
                <w:szCs w:val="20"/>
                <w:lang w:val="nb-NO"/>
              </w:rPr>
            </w:pPr>
            <w:r w:rsidRPr="00A942F6">
              <w:rPr>
                <w:sz w:val="20"/>
                <w:szCs w:val="20"/>
                <w:lang w:val="nb-NO"/>
              </w:rPr>
              <w:t>Ujustert differanse i proporsjonene</w:t>
            </w:r>
          </w:p>
          <w:p w14:paraId="70A81472" w14:textId="77777777" w:rsidR="00613AFD" w:rsidRPr="00A942F6" w:rsidRDefault="00613AFD" w:rsidP="00C42B2C">
            <w:pPr>
              <w:pStyle w:val="TableParagraph"/>
              <w:ind w:left="284"/>
              <w:rPr>
                <w:sz w:val="20"/>
                <w:szCs w:val="20"/>
                <w:lang w:val="nb-NO"/>
              </w:rPr>
            </w:pPr>
            <w:r w:rsidRPr="00A942F6">
              <w:rPr>
                <w:sz w:val="20"/>
                <w:szCs w:val="20"/>
                <w:lang w:val="nb-NO"/>
              </w:rPr>
              <w:t>(99,5% KI)</w:t>
            </w:r>
          </w:p>
        </w:tc>
        <w:tc>
          <w:tcPr>
            <w:tcW w:w="1558" w:type="dxa"/>
            <w:tcBorders>
              <w:top w:val="single" w:sz="4" w:space="0" w:color="auto"/>
              <w:left w:val="single" w:sz="4" w:space="0" w:color="auto"/>
            </w:tcBorders>
          </w:tcPr>
          <w:p w14:paraId="7B255B69" w14:textId="77777777" w:rsidR="00613AFD" w:rsidRPr="00A942F6" w:rsidRDefault="00613AFD" w:rsidP="00641834">
            <w:pPr>
              <w:pStyle w:val="TableParagraph"/>
              <w:jc w:val="center"/>
              <w:rPr>
                <w:sz w:val="20"/>
                <w:szCs w:val="20"/>
                <w:lang w:val="nb-NO"/>
              </w:rPr>
            </w:pPr>
            <w:r w:rsidRPr="00A942F6">
              <w:rPr>
                <w:sz w:val="20"/>
                <w:szCs w:val="20"/>
                <w:lang w:val="nb-NO"/>
              </w:rPr>
              <w:t>N/A</w:t>
            </w:r>
          </w:p>
        </w:tc>
        <w:tc>
          <w:tcPr>
            <w:tcW w:w="1279" w:type="dxa"/>
            <w:tcBorders>
              <w:top w:val="single" w:sz="4" w:space="0" w:color="auto"/>
              <w:left w:val="single" w:sz="4" w:space="0" w:color="auto"/>
            </w:tcBorders>
          </w:tcPr>
          <w:p w14:paraId="6330D10A" w14:textId="77777777" w:rsidR="00613AFD" w:rsidRPr="00A942F6" w:rsidRDefault="00613AFD" w:rsidP="00641834">
            <w:pPr>
              <w:pStyle w:val="TableParagraph"/>
              <w:jc w:val="center"/>
              <w:rPr>
                <w:sz w:val="20"/>
                <w:szCs w:val="20"/>
                <w:lang w:val="nb-NO"/>
              </w:rPr>
            </w:pPr>
            <w:r w:rsidRPr="00A942F6">
              <w:rPr>
                <w:sz w:val="20"/>
                <w:szCs w:val="20"/>
                <w:lang w:val="nb-NO"/>
              </w:rPr>
              <w:t>N/A</w:t>
            </w:r>
          </w:p>
        </w:tc>
        <w:tc>
          <w:tcPr>
            <w:tcW w:w="1249" w:type="dxa"/>
            <w:tcBorders>
              <w:top w:val="single" w:sz="4" w:space="0" w:color="auto"/>
              <w:left w:val="single" w:sz="4" w:space="0" w:color="auto"/>
            </w:tcBorders>
          </w:tcPr>
          <w:p w14:paraId="62D05D40" w14:textId="77777777" w:rsidR="00613AFD" w:rsidRPr="00A942F6" w:rsidRDefault="00613AFD" w:rsidP="00641834">
            <w:pPr>
              <w:pStyle w:val="TableParagraph"/>
              <w:jc w:val="center"/>
              <w:rPr>
                <w:sz w:val="20"/>
                <w:szCs w:val="20"/>
                <w:lang w:val="nb-NO"/>
              </w:rPr>
            </w:pPr>
            <w:r w:rsidRPr="00A942F6">
              <w:rPr>
                <w:sz w:val="20"/>
                <w:szCs w:val="20"/>
                <w:lang w:val="nb-NO"/>
              </w:rPr>
              <w:t>38,35%*</w:t>
            </w:r>
          </w:p>
          <w:p w14:paraId="6E963A50" w14:textId="77777777" w:rsidR="00613AFD" w:rsidRPr="00A942F6" w:rsidRDefault="00613AFD" w:rsidP="00641834">
            <w:pPr>
              <w:pStyle w:val="TableParagraph"/>
              <w:jc w:val="center"/>
              <w:rPr>
                <w:sz w:val="20"/>
                <w:szCs w:val="20"/>
                <w:lang w:val="nb-NO"/>
              </w:rPr>
            </w:pPr>
            <w:r w:rsidRPr="00A942F6">
              <w:rPr>
                <w:sz w:val="20"/>
                <w:szCs w:val="20"/>
                <w:lang w:val="nb-NO"/>
              </w:rPr>
              <w:t>(17,89, 58,81)</w:t>
            </w:r>
          </w:p>
        </w:tc>
        <w:tc>
          <w:tcPr>
            <w:tcW w:w="1293" w:type="dxa"/>
            <w:tcBorders>
              <w:top w:val="single" w:sz="4" w:space="0" w:color="auto"/>
              <w:left w:val="single" w:sz="4" w:space="0" w:color="auto"/>
              <w:right w:val="single" w:sz="4" w:space="0" w:color="auto"/>
            </w:tcBorders>
          </w:tcPr>
          <w:p w14:paraId="1447F5A4" w14:textId="77777777" w:rsidR="00613AFD" w:rsidRPr="00A942F6" w:rsidRDefault="00613AFD" w:rsidP="00641834">
            <w:pPr>
              <w:pStyle w:val="TableParagraph"/>
              <w:jc w:val="center"/>
              <w:rPr>
                <w:sz w:val="20"/>
                <w:szCs w:val="20"/>
                <w:lang w:val="nb-NO"/>
              </w:rPr>
            </w:pPr>
            <w:r w:rsidRPr="00A942F6">
              <w:rPr>
                <w:sz w:val="20"/>
                <w:szCs w:val="20"/>
                <w:lang w:val="nb-NO"/>
              </w:rPr>
              <w:t>35,41%**</w:t>
            </w:r>
          </w:p>
          <w:p w14:paraId="27A761AE" w14:textId="77777777" w:rsidR="00613AFD" w:rsidRPr="00A942F6" w:rsidRDefault="00613AFD" w:rsidP="00641834">
            <w:pPr>
              <w:pStyle w:val="TableParagraph"/>
              <w:jc w:val="center"/>
              <w:rPr>
                <w:sz w:val="20"/>
                <w:szCs w:val="20"/>
                <w:lang w:val="nb-NO"/>
              </w:rPr>
            </w:pPr>
            <w:r w:rsidRPr="00A942F6">
              <w:rPr>
                <w:sz w:val="20"/>
                <w:szCs w:val="20"/>
                <w:lang w:val="nb-NO"/>
              </w:rPr>
              <w:t>(17,89, 58,81)</w:t>
            </w:r>
          </w:p>
        </w:tc>
      </w:tr>
      <w:tr w:rsidR="00613AFD" w:rsidRPr="00A942F6" w14:paraId="4039B938" w14:textId="77777777" w:rsidTr="00613AFD">
        <w:trPr>
          <w:cantSplit/>
        </w:trPr>
        <w:tc>
          <w:tcPr>
            <w:tcW w:w="9061" w:type="dxa"/>
            <w:gridSpan w:val="5"/>
            <w:tcBorders>
              <w:top w:val="single" w:sz="4" w:space="0" w:color="auto"/>
              <w:left w:val="single" w:sz="4" w:space="0" w:color="auto"/>
              <w:right w:val="single" w:sz="4" w:space="0" w:color="auto"/>
            </w:tcBorders>
          </w:tcPr>
          <w:p w14:paraId="52E1EC79" w14:textId="77777777" w:rsidR="00613AFD" w:rsidRPr="00A942F6" w:rsidRDefault="00613AFD" w:rsidP="00641834">
            <w:pPr>
              <w:pStyle w:val="TableParagraph"/>
              <w:rPr>
                <w:b/>
                <w:sz w:val="20"/>
                <w:szCs w:val="20"/>
                <w:lang w:val="nb-NO"/>
              </w:rPr>
            </w:pPr>
            <w:r w:rsidRPr="00A942F6">
              <w:rPr>
                <w:b/>
                <w:sz w:val="20"/>
                <w:szCs w:val="20"/>
                <w:lang w:val="nb-NO"/>
              </w:rPr>
              <w:t>Andre Sekundære Endepunkter</w:t>
            </w:r>
          </w:p>
        </w:tc>
      </w:tr>
      <w:tr w:rsidR="00613AFD" w:rsidRPr="00A942F6" w14:paraId="09014327" w14:textId="77777777" w:rsidTr="00BB4253">
        <w:trPr>
          <w:cantSplit/>
        </w:trPr>
        <w:tc>
          <w:tcPr>
            <w:tcW w:w="3682" w:type="dxa"/>
            <w:tcBorders>
              <w:top w:val="single" w:sz="4" w:space="0" w:color="auto"/>
              <w:left w:val="single" w:sz="4" w:space="0" w:color="auto"/>
            </w:tcBorders>
          </w:tcPr>
          <w:p w14:paraId="01837C54" w14:textId="77777777" w:rsidR="00613AFD" w:rsidRPr="00BD4D94" w:rsidRDefault="00613AFD" w:rsidP="00641834">
            <w:pPr>
              <w:suppressAutoHyphens/>
              <w:rPr>
                <w:sz w:val="20"/>
                <w:szCs w:val="20"/>
                <w:lang w:val="nb-NO"/>
              </w:rPr>
            </w:pPr>
            <w:r w:rsidRPr="00BD4D94">
              <w:rPr>
                <w:sz w:val="20"/>
                <w:szCs w:val="20"/>
                <w:lang w:val="nb-NO"/>
              </w:rPr>
              <w:t>Tid til første GCA-oppbluss¹ (tocilizumab-grupper versus placebo+26)</w:t>
            </w:r>
          </w:p>
          <w:p w14:paraId="2C4553F8" w14:textId="77777777" w:rsidR="00613AFD" w:rsidRPr="00BD4D94" w:rsidRDefault="00613AFD" w:rsidP="00641834">
            <w:pPr>
              <w:suppressAutoHyphens/>
              <w:jc w:val="center"/>
              <w:rPr>
                <w:sz w:val="20"/>
                <w:szCs w:val="20"/>
                <w:lang w:val="nb-NO"/>
              </w:rPr>
            </w:pPr>
            <w:r w:rsidRPr="00BD4D94">
              <w:rPr>
                <w:sz w:val="20"/>
                <w:szCs w:val="20"/>
                <w:lang w:val="nb-NO"/>
              </w:rPr>
              <w:t>HR (99% KI)</w:t>
            </w:r>
          </w:p>
          <w:p w14:paraId="7AB3266F" w14:textId="77777777" w:rsidR="00613AFD" w:rsidRPr="00BD4D94" w:rsidRDefault="00613AFD" w:rsidP="00641834">
            <w:pPr>
              <w:pStyle w:val="TableParagraph"/>
              <w:rPr>
                <w:sz w:val="20"/>
                <w:szCs w:val="20"/>
                <w:lang w:val="nb-NO"/>
              </w:rPr>
            </w:pPr>
            <w:r w:rsidRPr="00BD4D94">
              <w:rPr>
                <w:sz w:val="20"/>
                <w:szCs w:val="20"/>
                <w:lang w:val="nb-NO"/>
              </w:rPr>
              <w:t>Tid til første GCA-oppbluss¹ (tocilizumab-grupper versus placebo+52)</w:t>
            </w:r>
          </w:p>
          <w:p w14:paraId="45D677C2" w14:textId="77777777" w:rsidR="00613AFD" w:rsidRPr="00A942F6" w:rsidRDefault="00613AFD" w:rsidP="00641834">
            <w:pPr>
              <w:pStyle w:val="TableParagraph"/>
              <w:jc w:val="center"/>
              <w:rPr>
                <w:sz w:val="20"/>
                <w:szCs w:val="20"/>
                <w:lang w:val="nb-NO"/>
              </w:rPr>
            </w:pPr>
            <w:r w:rsidRPr="00A942F6">
              <w:rPr>
                <w:sz w:val="20"/>
                <w:szCs w:val="20"/>
                <w:lang w:val="nb-NO"/>
              </w:rPr>
              <w:t>HR (99% KI)</w:t>
            </w:r>
          </w:p>
          <w:p w14:paraId="4FBD2046" w14:textId="77777777" w:rsidR="00613AFD" w:rsidRPr="00A942F6" w:rsidRDefault="00613AFD" w:rsidP="00641834">
            <w:pPr>
              <w:suppressAutoHyphens/>
              <w:rPr>
                <w:sz w:val="20"/>
                <w:szCs w:val="20"/>
                <w:lang w:val="nb-NO"/>
              </w:rPr>
            </w:pPr>
            <w:r w:rsidRPr="00A942F6">
              <w:rPr>
                <w:sz w:val="20"/>
                <w:szCs w:val="20"/>
                <w:lang w:val="nb-NO"/>
              </w:rPr>
              <w:t>Tid til første GCA-oppbluss¹ (pasienter med tilbakefall; tocilizumab-grupper versus placebo +26)</w:t>
            </w:r>
            <w:r w:rsidR="0038147B" w:rsidRPr="00A942F6">
              <w:rPr>
                <w:sz w:val="20"/>
                <w:szCs w:val="20"/>
                <w:lang w:val="nb-NO"/>
              </w:rPr>
              <w:t xml:space="preserve"> </w:t>
            </w:r>
            <w:r w:rsidRPr="00A942F6">
              <w:rPr>
                <w:sz w:val="20"/>
                <w:szCs w:val="20"/>
                <w:lang w:val="nb-NO"/>
              </w:rPr>
              <w:t>HR (99% KI)</w:t>
            </w:r>
          </w:p>
          <w:p w14:paraId="258BEC42" w14:textId="77777777" w:rsidR="00613AFD" w:rsidRPr="00A942F6" w:rsidRDefault="00613AFD" w:rsidP="00641834">
            <w:pPr>
              <w:suppressAutoHyphens/>
              <w:rPr>
                <w:sz w:val="20"/>
                <w:szCs w:val="20"/>
                <w:lang w:val="nb-NO"/>
              </w:rPr>
            </w:pPr>
            <w:r w:rsidRPr="00A942F6">
              <w:rPr>
                <w:sz w:val="20"/>
                <w:szCs w:val="20"/>
                <w:lang w:val="nb-NO"/>
              </w:rPr>
              <w:t>Tid til første GCA-oppbluss¹ (pasienter med tilbakefall; tocilizumab-grupper versus placebo + 52)</w:t>
            </w:r>
            <w:r w:rsidR="0038147B" w:rsidRPr="00A942F6">
              <w:rPr>
                <w:sz w:val="20"/>
                <w:szCs w:val="20"/>
                <w:lang w:val="nb-NO"/>
              </w:rPr>
              <w:t xml:space="preserve"> </w:t>
            </w:r>
            <w:r w:rsidRPr="00A942F6">
              <w:rPr>
                <w:sz w:val="20"/>
                <w:szCs w:val="20"/>
                <w:lang w:val="nb-NO"/>
              </w:rPr>
              <w:t>HR (99% KI)</w:t>
            </w:r>
          </w:p>
          <w:p w14:paraId="03F356C1" w14:textId="77777777" w:rsidR="00613AFD" w:rsidRPr="00A942F6" w:rsidRDefault="00613AFD" w:rsidP="00641834">
            <w:pPr>
              <w:suppressAutoHyphens/>
              <w:rPr>
                <w:sz w:val="20"/>
                <w:szCs w:val="20"/>
                <w:lang w:val="nb-NO"/>
              </w:rPr>
            </w:pPr>
            <w:r w:rsidRPr="00A942F6">
              <w:rPr>
                <w:sz w:val="20"/>
                <w:szCs w:val="20"/>
                <w:lang w:val="nb-NO"/>
              </w:rPr>
              <w:t>Tid til første GCA-oppbluss¹ (pasienter med nyoppstått sykdom; tocilizumab-grupper versus</w:t>
            </w:r>
            <w:r w:rsidR="0038147B" w:rsidRPr="00A942F6">
              <w:rPr>
                <w:sz w:val="20"/>
                <w:szCs w:val="20"/>
                <w:lang w:val="nb-NO"/>
              </w:rPr>
              <w:t xml:space="preserve"> </w:t>
            </w:r>
            <w:r w:rsidRPr="00A942F6">
              <w:rPr>
                <w:sz w:val="20"/>
                <w:szCs w:val="20"/>
                <w:lang w:val="nb-NO"/>
              </w:rPr>
              <w:t>placebo +26) HR (99% KI)</w:t>
            </w:r>
          </w:p>
          <w:p w14:paraId="2953D520" w14:textId="77777777" w:rsidR="0038147B" w:rsidRPr="00A942F6" w:rsidRDefault="0038147B" w:rsidP="00641834">
            <w:pPr>
              <w:suppressAutoHyphens/>
              <w:rPr>
                <w:sz w:val="20"/>
                <w:szCs w:val="20"/>
                <w:lang w:val="nb-NO"/>
              </w:rPr>
            </w:pPr>
            <w:r w:rsidRPr="00A942F6">
              <w:rPr>
                <w:sz w:val="20"/>
                <w:szCs w:val="20"/>
                <w:lang w:val="nb-NO"/>
              </w:rPr>
              <w:t>Tid til første GCA-oppbluss¹ (pasienter med nyoppstått sykdom; tocilizumab-grupper versus placebo + 52) HR (99% KI)</w:t>
            </w:r>
          </w:p>
        </w:tc>
        <w:tc>
          <w:tcPr>
            <w:tcW w:w="1558" w:type="dxa"/>
            <w:tcBorders>
              <w:top w:val="single" w:sz="4" w:space="0" w:color="auto"/>
              <w:left w:val="single" w:sz="4" w:space="0" w:color="auto"/>
            </w:tcBorders>
          </w:tcPr>
          <w:p w14:paraId="1023EA25" w14:textId="77777777" w:rsidR="00613AFD" w:rsidRPr="009B40A5" w:rsidRDefault="00613AFD" w:rsidP="00641834">
            <w:pPr>
              <w:suppressAutoHyphens/>
              <w:jc w:val="center"/>
              <w:rPr>
                <w:sz w:val="20"/>
                <w:szCs w:val="20"/>
              </w:rPr>
            </w:pPr>
            <w:r w:rsidRPr="009B40A5">
              <w:rPr>
                <w:sz w:val="20"/>
                <w:szCs w:val="20"/>
              </w:rPr>
              <w:t>N/A</w:t>
            </w:r>
          </w:p>
          <w:p w14:paraId="4CDA45C9" w14:textId="77777777" w:rsidR="00613AFD" w:rsidRPr="009B40A5" w:rsidRDefault="00613AFD" w:rsidP="00641834">
            <w:pPr>
              <w:suppressAutoHyphens/>
              <w:jc w:val="center"/>
              <w:rPr>
                <w:sz w:val="20"/>
                <w:szCs w:val="20"/>
              </w:rPr>
            </w:pPr>
          </w:p>
          <w:p w14:paraId="6CB420A2" w14:textId="77777777" w:rsidR="00613AFD" w:rsidRPr="009B40A5" w:rsidRDefault="00613AFD" w:rsidP="00641834">
            <w:pPr>
              <w:suppressAutoHyphens/>
              <w:jc w:val="center"/>
              <w:rPr>
                <w:sz w:val="20"/>
                <w:szCs w:val="20"/>
              </w:rPr>
            </w:pPr>
          </w:p>
          <w:p w14:paraId="5554E747" w14:textId="77777777" w:rsidR="00613AFD" w:rsidRPr="009B40A5" w:rsidRDefault="00613AFD" w:rsidP="00641834">
            <w:pPr>
              <w:suppressAutoHyphens/>
              <w:jc w:val="center"/>
              <w:rPr>
                <w:sz w:val="20"/>
                <w:szCs w:val="20"/>
              </w:rPr>
            </w:pPr>
            <w:r w:rsidRPr="009B40A5">
              <w:rPr>
                <w:sz w:val="20"/>
                <w:szCs w:val="20"/>
              </w:rPr>
              <w:t>N/A</w:t>
            </w:r>
          </w:p>
          <w:p w14:paraId="35397585" w14:textId="77777777" w:rsidR="00613AFD" w:rsidRPr="009B40A5" w:rsidRDefault="00613AFD" w:rsidP="00641834">
            <w:pPr>
              <w:suppressAutoHyphens/>
              <w:jc w:val="center"/>
              <w:rPr>
                <w:sz w:val="20"/>
                <w:szCs w:val="20"/>
              </w:rPr>
            </w:pPr>
          </w:p>
          <w:p w14:paraId="785E4A47" w14:textId="77777777" w:rsidR="00613AFD" w:rsidRPr="009B40A5" w:rsidRDefault="00613AFD" w:rsidP="00641834">
            <w:pPr>
              <w:suppressAutoHyphens/>
              <w:jc w:val="center"/>
              <w:rPr>
                <w:sz w:val="20"/>
                <w:szCs w:val="20"/>
              </w:rPr>
            </w:pPr>
          </w:p>
          <w:p w14:paraId="54547343" w14:textId="77777777" w:rsidR="00613AFD" w:rsidRPr="009B40A5" w:rsidRDefault="00613AFD" w:rsidP="00641834">
            <w:pPr>
              <w:suppressAutoHyphens/>
              <w:jc w:val="center"/>
              <w:rPr>
                <w:sz w:val="20"/>
                <w:szCs w:val="20"/>
              </w:rPr>
            </w:pPr>
            <w:r w:rsidRPr="009B40A5">
              <w:rPr>
                <w:sz w:val="20"/>
                <w:szCs w:val="20"/>
              </w:rPr>
              <w:t>N/A</w:t>
            </w:r>
          </w:p>
          <w:p w14:paraId="46D6B9B7" w14:textId="77777777" w:rsidR="00613AFD" w:rsidRPr="009B40A5" w:rsidRDefault="00613AFD" w:rsidP="00641834">
            <w:pPr>
              <w:suppressAutoHyphens/>
              <w:jc w:val="center"/>
              <w:rPr>
                <w:sz w:val="20"/>
                <w:szCs w:val="20"/>
              </w:rPr>
            </w:pPr>
          </w:p>
          <w:p w14:paraId="369F7C4B" w14:textId="77777777" w:rsidR="00613AFD" w:rsidRPr="009B40A5" w:rsidRDefault="00613AFD" w:rsidP="00641834">
            <w:pPr>
              <w:suppressAutoHyphens/>
              <w:jc w:val="center"/>
              <w:rPr>
                <w:sz w:val="20"/>
                <w:szCs w:val="20"/>
              </w:rPr>
            </w:pPr>
            <w:r w:rsidRPr="009B40A5">
              <w:rPr>
                <w:sz w:val="20"/>
                <w:szCs w:val="20"/>
              </w:rPr>
              <w:t>N/A</w:t>
            </w:r>
          </w:p>
          <w:p w14:paraId="1F7028C8" w14:textId="77777777" w:rsidR="00613AFD" w:rsidRPr="009B40A5" w:rsidRDefault="00613AFD" w:rsidP="00641834">
            <w:pPr>
              <w:suppressAutoHyphens/>
              <w:jc w:val="center"/>
              <w:rPr>
                <w:sz w:val="20"/>
                <w:szCs w:val="20"/>
              </w:rPr>
            </w:pPr>
          </w:p>
          <w:p w14:paraId="2CD94AD6" w14:textId="77777777" w:rsidR="00613AFD" w:rsidRPr="009B40A5" w:rsidRDefault="00613AFD" w:rsidP="00641834">
            <w:pPr>
              <w:suppressAutoHyphens/>
              <w:jc w:val="center"/>
              <w:rPr>
                <w:sz w:val="20"/>
                <w:szCs w:val="20"/>
              </w:rPr>
            </w:pPr>
            <w:r w:rsidRPr="009B40A5">
              <w:rPr>
                <w:sz w:val="20"/>
                <w:szCs w:val="20"/>
              </w:rPr>
              <w:t>N/A</w:t>
            </w:r>
          </w:p>
          <w:p w14:paraId="2718C6D7" w14:textId="77777777" w:rsidR="00613AFD" w:rsidRPr="009B40A5" w:rsidRDefault="00613AFD" w:rsidP="00641834">
            <w:pPr>
              <w:suppressAutoHyphens/>
              <w:jc w:val="center"/>
              <w:rPr>
                <w:sz w:val="20"/>
                <w:szCs w:val="20"/>
              </w:rPr>
            </w:pPr>
          </w:p>
          <w:p w14:paraId="7C90EA70" w14:textId="77777777" w:rsidR="00613AFD" w:rsidRPr="009B40A5" w:rsidRDefault="00613AFD" w:rsidP="00641834">
            <w:pPr>
              <w:suppressAutoHyphens/>
              <w:jc w:val="center"/>
              <w:rPr>
                <w:sz w:val="20"/>
                <w:szCs w:val="20"/>
              </w:rPr>
            </w:pPr>
            <w:r w:rsidRPr="009B40A5">
              <w:rPr>
                <w:sz w:val="20"/>
                <w:szCs w:val="20"/>
              </w:rPr>
              <w:t>N/A</w:t>
            </w:r>
          </w:p>
        </w:tc>
        <w:tc>
          <w:tcPr>
            <w:tcW w:w="1279" w:type="dxa"/>
            <w:tcBorders>
              <w:top w:val="single" w:sz="4" w:space="0" w:color="auto"/>
              <w:left w:val="single" w:sz="4" w:space="0" w:color="auto"/>
            </w:tcBorders>
          </w:tcPr>
          <w:p w14:paraId="5E7EBDB3" w14:textId="77777777" w:rsidR="00613AFD" w:rsidRPr="009B40A5" w:rsidRDefault="00613AFD" w:rsidP="00641834">
            <w:pPr>
              <w:suppressAutoHyphens/>
              <w:jc w:val="center"/>
              <w:rPr>
                <w:sz w:val="20"/>
                <w:szCs w:val="20"/>
              </w:rPr>
            </w:pPr>
            <w:r w:rsidRPr="009B40A5">
              <w:rPr>
                <w:sz w:val="20"/>
                <w:szCs w:val="20"/>
              </w:rPr>
              <w:t>N/A</w:t>
            </w:r>
          </w:p>
          <w:p w14:paraId="3F407556" w14:textId="77777777" w:rsidR="00613AFD" w:rsidRPr="009B40A5" w:rsidRDefault="00613AFD" w:rsidP="00641834">
            <w:pPr>
              <w:suppressAutoHyphens/>
              <w:jc w:val="center"/>
              <w:rPr>
                <w:sz w:val="20"/>
                <w:szCs w:val="20"/>
              </w:rPr>
            </w:pPr>
          </w:p>
          <w:p w14:paraId="26E24101" w14:textId="77777777" w:rsidR="00613AFD" w:rsidRPr="009B40A5" w:rsidRDefault="00613AFD" w:rsidP="00641834">
            <w:pPr>
              <w:suppressAutoHyphens/>
              <w:jc w:val="center"/>
              <w:rPr>
                <w:sz w:val="20"/>
                <w:szCs w:val="20"/>
              </w:rPr>
            </w:pPr>
          </w:p>
          <w:p w14:paraId="50E49842" w14:textId="77777777" w:rsidR="00613AFD" w:rsidRPr="009B40A5" w:rsidRDefault="00613AFD" w:rsidP="00641834">
            <w:pPr>
              <w:suppressAutoHyphens/>
              <w:jc w:val="center"/>
              <w:rPr>
                <w:sz w:val="20"/>
                <w:szCs w:val="20"/>
              </w:rPr>
            </w:pPr>
            <w:r w:rsidRPr="009B40A5">
              <w:rPr>
                <w:sz w:val="20"/>
                <w:szCs w:val="20"/>
              </w:rPr>
              <w:t>N/A</w:t>
            </w:r>
          </w:p>
          <w:p w14:paraId="6CB1EE18" w14:textId="77777777" w:rsidR="00613AFD" w:rsidRPr="009B40A5" w:rsidRDefault="00613AFD" w:rsidP="00641834">
            <w:pPr>
              <w:suppressAutoHyphens/>
              <w:jc w:val="center"/>
              <w:rPr>
                <w:sz w:val="20"/>
                <w:szCs w:val="20"/>
              </w:rPr>
            </w:pPr>
          </w:p>
          <w:p w14:paraId="010811EC" w14:textId="77777777" w:rsidR="00613AFD" w:rsidRPr="009B40A5" w:rsidRDefault="00613AFD" w:rsidP="00641834">
            <w:pPr>
              <w:suppressAutoHyphens/>
              <w:jc w:val="center"/>
              <w:rPr>
                <w:sz w:val="20"/>
                <w:szCs w:val="20"/>
              </w:rPr>
            </w:pPr>
          </w:p>
          <w:p w14:paraId="2DA4404F" w14:textId="77777777" w:rsidR="00613AFD" w:rsidRPr="009B40A5" w:rsidRDefault="00613AFD" w:rsidP="00641834">
            <w:pPr>
              <w:suppressAutoHyphens/>
              <w:jc w:val="center"/>
              <w:rPr>
                <w:sz w:val="20"/>
                <w:szCs w:val="20"/>
              </w:rPr>
            </w:pPr>
            <w:r w:rsidRPr="009B40A5">
              <w:rPr>
                <w:sz w:val="20"/>
                <w:szCs w:val="20"/>
              </w:rPr>
              <w:t>N/A</w:t>
            </w:r>
          </w:p>
          <w:p w14:paraId="1143EBAC" w14:textId="77777777" w:rsidR="00613AFD" w:rsidRPr="009B40A5" w:rsidRDefault="00613AFD" w:rsidP="00641834">
            <w:pPr>
              <w:suppressAutoHyphens/>
              <w:jc w:val="center"/>
              <w:rPr>
                <w:sz w:val="20"/>
                <w:szCs w:val="20"/>
              </w:rPr>
            </w:pPr>
          </w:p>
          <w:p w14:paraId="75B4E3B6" w14:textId="77777777" w:rsidR="00613AFD" w:rsidRPr="009B40A5" w:rsidRDefault="00613AFD" w:rsidP="00641834">
            <w:pPr>
              <w:suppressAutoHyphens/>
              <w:jc w:val="center"/>
              <w:rPr>
                <w:sz w:val="20"/>
                <w:szCs w:val="20"/>
              </w:rPr>
            </w:pPr>
            <w:r w:rsidRPr="009B40A5">
              <w:rPr>
                <w:sz w:val="20"/>
                <w:szCs w:val="20"/>
              </w:rPr>
              <w:t>N/A</w:t>
            </w:r>
          </w:p>
          <w:p w14:paraId="3790A47B" w14:textId="77777777" w:rsidR="00613AFD" w:rsidRPr="009B40A5" w:rsidRDefault="00613AFD" w:rsidP="00641834">
            <w:pPr>
              <w:suppressAutoHyphens/>
              <w:jc w:val="center"/>
              <w:rPr>
                <w:sz w:val="20"/>
                <w:szCs w:val="20"/>
              </w:rPr>
            </w:pPr>
          </w:p>
          <w:p w14:paraId="4302DF5F" w14:textId="77777777" w:rsidR="00613AFD" w:rsidRPr="009B40A5" w:rsidRDefault="00613AFD" w:rsidP="00641834">
            <w:pPr>
              <w:suppressAutoHyphens/>
              <w:jc w:val="center"/>
              <w:rPr>
                <w:sz w:val="20"/>
                <w:szCs w:val="20"/>
              </w:rPr>
            </w:pPr>
            <w:r w:rsidRPr="009B40A5">
              <w:rPr>
                <w:sz w:val="20"/>
                <w:szCs w:val="20"/>
              </w:rPr>
              <w:t>N/A</w:t>
            </w:r>
          </w:p>
          <w:p w14:paraId="60400D6F" w14:textId="77777777" w:rsidR="00613AFD" w:rsidRPr="009B40A5" w:rsidRDefault="00613AFD" w:rsidP="00641834">
            <w:pPr>
              <w:suppressAutoHyphens/>
              <w:jc w:val="center"/>
              <w:rPr>
                <w:sz w:val="20"/>
                <w:szCs w:val="20"/>
              </w:rPr>
            </w:pPr>
          </w:p>
          <w:p w14:paraId="145057EF" w14:textId="77777777" w:rsidR="00613AFD" w:rsidRPr="009B40A5" w:rsidRDefault="00613AFD" w:rsidP="00641834">
            <w:pPr>
              <w:suppressAutoHyphens/>
              <w:jc w:val="center"/>
              <w:rPr>
                <w:sz w:val="20"/>
                <w:szCs w:val="20"/>
              </w:rPr>
            </w:pPr>
            <w:r w:rsidRPr="009B40A5">
              <w:rPr>
                <w:sz w:val="20"/>
                <w:szCs w:val="20"/>
              </w:rPr>
              <w:t>N/A</w:t>
            </w:r>
          </w:p>
        </w:tc>
        <w:tc>
          <w:tcPr>
            <w:tcW w:w="1249" w:type="dxa"/>
            <w:tcBorders>
              <w:top w:val="single" w:sz="4" w:space="0" w:color="auto"/>
              <w:left w:val="single" w:sz="4" w:space="0" w:color="auto"/>
            </w:tcBorders>
          </w:tcPr>
          <w:p w14:paraId="694A21EC"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23* </w:t>
            </w:r>
            <w:r w:rsidRPr="00A942F6">
              <w:rPr>
                <w:sz w:val="20"/>
                <w:szCs w:val="20"/>
                <w:lang w:val="nb-NO"/>
              </w:rPr>
              <w:br/>
              <w:t>(0</w:t>
            </w:r>
            <w:r w:rsidR="0038147B" w:rsidRPr="00A942F6">
              <w:rPr>
                <w:sz w:val="20"/>
                <w:szCs w:val="20"/>
                <w:lang w:val="nb-NO"/>
              </w:rPr>
              <w:t>,</w:t>
            </w:r>
            <w:r w:rsidRPr="00A942F6">
              <w:rPr>
                <w:sz w:val="20"/>
                <w:szCs w:val="20"/>
                <w:lang w:val="nb-NO"/>
              </w:rPr>
              <w:t>11, 0</w:t>
            </w:r>
            <w:r w:rsidR="0038147B" w:rsidRPr="00A942F6">
              <w:rPr>
                <w:sz w:val="20"/>
                <w:szCs w:val="20"/>
                <w:lang w:val="nb-NO"/>
              </w:rPr>
              <w:t>,</w:t>
            </w:r>
            <w:r w:rsidRPr="00A942F6">
              <w:rPr>
                <w:sz w:val="20"/>
                <w:szCs w:val="20"/>
                <w:lang w:val="nb-NO"/>
              </w:rPr>
              <w:t>46)</w:t>
            </w:r>
          </w:p>
          <w:p w14:paraId="5C043A1E" w14:textId="77777777" w:rsidR="00613AFD" w:rsidRPr="00A942F6" w:rsidRDefault="00613AFD" w:rsidP="00641834">
            <w:pPr>
              <w:suppressAutoHyphens/>
              <w:jc w:val="center"/>
              <w:rPr>
                <w:sz w:val="20"/>
                <w:szCs w:val="20"/>
                <w:lang w:val="nb-NO"/>
              </w:rPr>
            </w:pPr>
          </w:p>
          <w:p w14:paraId="29367381"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39** </w:t>
            </w:r>
            <w:r w:rsidRPr="00A942F6">
              <w:rPr>
                <w:sz w:val="20"/>
                <w:szCs w:val="20"/>
                <w:lang w:val="nb-NO"/>
              </w:rPr>
              <w:br/>
              <w:t>(0</w:t>
            </w:r>
            <w:r w:rsidR="0038147B" w:rsidRPr="00A942F6">
              <w:rPr>
                <w:sz w:val="20"/>
                <w:szCs w:val="20"/>
                <w:lang w:val="nb-NO"/>
              </w:rPr>
              <w:t>,</w:t>
            </w:r>
            <w:r w:rsidRPr="00A942F6">
              <w:rPr>
                <w:sz w:val="20"/>
                <w:szCs w:val="20"/>
                <w:lang w:val="nb-NO"/>
              </w:rPr>
              <w:t>18, 0</w:t>
            </w:r>
            <w:r w:rsidR="0038147B" w:rsidRPr="00A942F6">
              <w:rPr>
                <w:sz w:val="20"/>
                <w:szCs w:val="20"/>
                <w:lang w:val="nb-NO"/>
              </w:rPr>
              <w:t>,</w:t>
            </w:r>
            <w:r w:rsidRPr="00A942F6">
              <w:rPr>
                <w:sz w:val="20"/>
                <w:szCs w:val="20"/>
                <w:lang w:val="nb-NO"/>
              </w:rPr>
              <w:t>82)</w:t>
            </w:r>
          </w:p>
          <w:p w14:paraId="28F9F734" w14:textId="77777777" w:rsidR="00613AFD" w:rsidRPr="00A942F6" w:rsidRDefault="00613AFD" w:rsidP="00641834">
            <w:pPr>
              <w:suppressAutoHyphens/>
              <w:jc w:val="center"/>
              <w:rPr>
                <w:sz w:val="20"/>
                <w:szCs w:val="20"/>
                <w:lang w:val="nb-NO"/>
              </w:rPr>
            </w:pPr>
          </w:p>
          <w:p w14:paraId="188D497B"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23*** </w:t>
            </w:r>
            <w:r w:rsidRPr="00A942F6">
              <w:rPr>
                <w:sz w:val="20"/>
                <w:szCs w:val="20"/>
                <w:lang w:val="nb-NO"/>
              </w:rPr>
              <w:br/>
              <w:t>(0</w:t>
            </w:r>
            <w:r w:rsidR="0038147B" w:rsidRPr="00A942F6">
              <w:rPr>
                <w:sz w:val="20"/>
                <w:szCs w:val="20"/>
                <w:lang w:val="nb-NO"/>
              </w:rPr>
              <w:t>,</w:t>
            </w:r>
            <w:r w:rsidRPr="00A942F6">
              <w:rPr>
                <w:sz w:val="20"/>
                <w:szCs w:val="20"/>
                <w:lang w:val="nb-NO"/>
              </w:rPr>
              <w:t>09,0</w:t>
            </w:r>
            <w:r w:rsidR="0038147B" w:rsidRPr="00A942F6">
              <w:rPr>
                <w:sz w:val="20"/>
                <w:szCs w:val="20"/>
                <w:lang w:val="nb-NO"/>
              </w:rPr>
              <w:t>,</w:t>
            </w:r>
            <w:r w:rsidRPr="00A942F6">
              <w:rPr>
                <w:sz w:val="20"/>
                <w:szCs w:val="20"/>
                <w:lang w:val="nb-NO"/>
              </w:rPr>
              <w:t xml:space="preserve">61) </w:t>
            </w:r>
          </w:p>
          <w:p w14:paraId="7F48A103"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36 </w:t>
            </w:r>
            <w:r w:rsidRPr="00A942F6">
              <w:rPr>
                <w:sz w:val="20"/>
                <w:szCs w:val="20"/>
                <w:lang w:val="nb-NO"/>
              </w:rPr>
              <w:br/>
              <w:t>(0</w:t>
            </w:r>
            <w:r w:rsidR="0038147B" w:rsidRPr="00A942F6">
              <w:rPr>
                <w:sz w:val="20"/>
                <w:szCs w:val="20"/>
                <w:lang w:val="nb-NO"/>
              </w:rPr>
              <w:t>,</w:t>
            </w:r>
            <w:r w:rsidRPr="00A942F6">
              <w:rPr>
                <w:sz w:val="20"/>
                <w:szCs w:val="20"/>
                <w:lang w:val="nb-NO"/>
              </w:rPr>
              <w:t>13, 1</w:t>
            </w:r>
            <w:r w:rsidR="0038147B" w:rsidRPr="00A942F6">
              <w:rPr>
                <w:sz w:val="20"/>
                <w:szCs w:val="20"/>
                <w:lang w:val="nb-NO"/>
              </w:rPr>
              <w:t>,</w:t>
            </w:r>
            <w:r w:rsidRPr="00A942F6">
              <w:rPr>
                <w:sz w:val="20"/>
                <w:szCs w:val="20"/>
                <w:lang w:val="nb-NO"/>
              </w:rPr>
              <w:t>00)</w:t>
            </w:r>
          </w:p>
          <w:p w14:paraId="2055EC2C"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25*** </w:t>
            </w:r>
            <w:r w:rsidRPr="00A942F6">
              <w:rPr>
                <w:sz w:val="20"/>
                <w:szCs w:val="20"/>
                <w:lang w:val="nb-NO"/>
              </w:rPr>
              <w:br/>
              <w:t>(0</w:t>
            </w:r>
            <w:r w:rsidR="0038147B" w:rsidRPr="00A942F6">
              <w:rPr>
                <w:sz w:val="20"/>
                <w:szCs w:val="20"/>
                <w:lang w:val="nb-NO"/>
              </w:rPr>
              <w:t>,</w:t>
            </w:r>
            <w:r w:rsidRPr="00A942F6">
              <w:rPr>
                <w:sz w:val="20"/>
                <w:szCs w:val="20"/>
                <w:lang w:val="nb-NO"/>
              </w:rPr>
              <w:t>09, 0</w:t>
            </w:r>
            <w:r w:rsidR="0038147B" w:rsidRPr="00A942F6">
              <w:rPr>
                <w:sz w:val="20"/>
                <w:szCs w:val="20"/>
                <w:lang w:val="nb-NO"/>
              </w:rPr>
              <w:t>,</w:t>
            </w:r>
            <w:r w:rsidRPr="00A942F6">
              <w:rPr>
                <w:sz w:val="20"/>
                <w:szCs w:val="20"/>
                <w:lang w:val="nb-NO"/>
              </w:rPr>
              <w:t xml:space="preserve">70) </w:t>
            </w:r>
          </w:p>
          <w:p w14:paraId="1B522609"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44 </w:t>
            </w:r>
            <w:r w:rsidRPr="00A942F6">
              <w:rPr>
                <w:sz w:val="20"/>
                <w:szCs w:val="20"/>
                <w:lang w:val="nb-NO"/>
              </w:rPr>
              <w:br/>
              <w:t>(0</w:t>
            </w:r>
            <w:r w:rsidR="0038147B" w:rsidRPr="00A942F6">
              <w:rPr>
                <w:sz w:val="20"/>
                <w:szCs w:val="20"/>
                <w:lang w:val="nb-NO"/>
              </w:rPr>
              <w:t>,</w:t>
            </w:r>
            <w:r w:rsidRPr="00A942F6">
              <w:rPr>
                <w:sz w:val="20"/>
                <w:szCs w:val="20"/>
                <w:lang w:val="nb-NO"/>
              </w:rPr>
              <w:t>14, 1</w:t>
            </w:r>
            <w:r w:rsidR="0038147B" w:rsidRPr="00A942F6">
              <w:rPr>
                <w:sz w:val="20"/>
                <w:szCs w:val="20"/>
                <w:lang w:val="nb-NO"/>
              </w:rPr>
              <w:t>,</w:t>
            </w:r>
            <w:r w:rsidRPr="00A942F6">
              <w:rPr>
                <w:sz w:val="20"/>
                <w:szCs w:val="20"/>
                <w:lang w:val="nb-NO"/>
              </w:rPr>
              <w:t>32)</w:t>
            </w:r>
          </w:p>
        </w:tc>
        <w:tc>
          <w:tcPr>
            <w:tcW w:w="1293" w:type="dxa"/>
            <w:tcBorders>
              <w:top w:val="single" w:sz="4" w:space="0" w:color="auto"/>
              <w:left w:val="single" w:sz="4" w:space="0" w:color="auto"/>
              <w:right w:val="single" w:sz="4" w:space="0" w:color="auto"/>
            </w:tcBorders>
          </w:tcPr>
          <w:p w14:paraId="3989D6C6"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28** </w:t>
            </w:r>
            <w:r w:rsidRPr="00A942F6">
              <w:rPr>
                <w:sz w:val="20"/>
                <w:szCs w:val="20"/>
                <w:lang w:val="nb-NO"/>
              </w:rPr>
              <w:br/>
              <w:t>(0</w:t>
            </w:r>
            <w:r w:rsidR="0038147B" w:rsidRPr="00A942F6">
              <w:rPr>
                <w:sz w:val="20"/>
                <w:szCs w:val="20"/>
                <w:lang w:val="nb-NO"/>
              </w:rPr>
              <w:t>,</w:t>
            </w:r>
            <w:r w:rsidRPr="00A942F6">
              <w:rPr>
                <w:sz w:val="20"/>
                <w:szCs w:val="20"/>
                <w:lang w:val="nb-NO"/>
              </w:rPr>
              <w:t>12, 0</w:t>
            </w:r>
            <w:r w:rsidR="0038147B" w:rsidRPr="00A942F6">
              <w:rPr>
                <w:sz w:val="20"/>
                <w:szCs w:val="20"/>
                <w:lang w:val="nb-NO"/>
              </w:rPr>
              <w:t>,</w:t>
            </w:r>
            <w:r w:rsidRPr="00A942F6">
              <w:rPr>
                <w:sz w:val="20"/>
                <w:szCs w:val="20"/>
                <w:lang w:val="nb-NO"/>
              </w:rPr>
              <w:t>66)</w:t>
            </w:r>
          </w:p>
          <w:p w14:paraId="780149E9" w14:textId="77777777" w:rsidR="00613AFD" w:rsidRPr="00A942F6" w:rsidRDefault="00613AFD" w:rsidP="00641834">
            <w:pPr>
              <w:suppressAutoHyphens/>
              <w:jc w:val="center"/>
              <w:rPr>
                <w:sz w:val="20"/>
                <w:szCs w:val="20"/>
                <w:lang w:val="nb-NO"/>
              </w:rPr>
            </w:pPr>
          </w:p>
          <w:p w14:paraId="647D63A2"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48 </w:t>
            </w:r>
            <w:r w:rsidRPr="00A942F6">
              <w:rPr>
                <w:sz w:val="20"/>
                <w:szCs w:val="20"/>
                <w:lang w:val="nb-NO"/>
              </w:rPr>
              <w:br/>
              <w:t>(0</w:t>
            </w:r>
            <w:r w:rsidR="0038147B" w:rsidRPr="00A942F6">
              <w:rPr>
                <w:sz w:val="20"/>
                <w:szCs w:val="20"/>
                <w:lang w:val="nb-NO"/>
              </w:rPr>
              <w:t>,</w:t>
            </w:r>
            <w:r w:rsidRPr="00A942F6">
              <w:rPr>
                <w:sz w:val="20"/>
                <w:szCs w:val="20"/>
                <w:lang w:val="nb-NO"/>
              </w:rPr>
              <w:t>20, 1</w:t>
            </w:r>
            <w:r w:rsidR="0038147B" w:rsidRPr="00A942F6">
              <w:rPr>
                <w:sz w:val="20"/>
                <w:szCs w:val="20"/>
                <w:lang w:val="nb-NO"/>
              </w:rPr>
              <w:t>,</w:t>
            </w:r>
            <w:r w:rsidRPr="00A942F6">
              <w:rPr>
                <w:sz w:val="20"/>
                <w:szCs w:val="20"/>
                <w:lang w:val="nb-NO"/>
              </w:rPr>
              <w:t>16)</w:t>
            </w:r>
          </w:p>
          <w:p w14:paraId="39641E96" w14:textId="77777777" w:rsidR="00613AFD" w:rsidRPr="00A942F6" w:rsidRDefault="00613AFD" w:rsidP="00641834">
            <w:pPr>
              <w:suppressAutoHyphens/>
              <w:jc w:val="center"/>
              <w:rPr>
                <w:sz w:val="20"/>
                <w:szCs w:val="20"/>
                <w:lang w:val="nb-NO"/>
              </w:rPr>
            </w:pPr>
          </w:p>
          <w:p w14:paraId="50F62713"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42 </w:t>
            </w:r>
            <w:r w:rsidRPr="00A942F6">
              <w:rPr>
                <w:sz w:val="20"/>
                <w:szCs w:val="20"/>
                <w:lang w:val="nb-NO"/>
              </w:rPr>
              <w:br/>
              <w:t>(0</w:t>
            </w:r>
            <w:r w:rsidR="0038147B" w:rsidRPr="00A942F6">
              <w:rPr>
                <w:sz w:val="20"/>
                <w:szCs w:val="20"/>
                <w:lang w:val="nb-NO"/>
              </w:rPr>
              <w:t>,</w:t>
            </w:r>
            <w:r w:rsidRPr="00A942F6">
              <w:rPr>
                <w:sz w:val="20"/>
                <w:szCs w:val="20"/>
                <w:lang w:val="nb-NO"/>
              </w:rPr>
              <w:t>14, 1</w:t>
            </w:r>
            <w:r w:rsidR="0038147B" w:rsidRPr="00A942F6">
              <w:rPr>
                <w:sz w:val="20"/>
                <w:szCs w:val="20"/>
                <w:lang w:val="nb-NO"/>
              </w:rPr>
              <w:t>,</w:t>
            </w:r>
            <w:r w:rsidRPr="00A942F6">
              <w:rPr>
                <w:sz w:val="20"/>
                <w:szCs w:val="20"/>
                <w:lang w:val="nb-NO"/>
              </w:rPr>
              <w:t>28)</w:t>
            </w:r>
          </w:p>
          <w:p w14:paraId="0E45E1CA"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67 </w:t>
            </w:r>
            <w:r w:rsidRPr="00A942F6">
              <w:rPr>
                <w:sz w:val="20"/>
                <w:szCs w:val="20"/>
                <w:lang w:val="nb-NO"/>
              </w:rPr>
              <w:br/>
              <w:t>(0</w:t>
            </w:r>
            <w:r w:rsidR="0038147B" w:rsidRPr="00A942F6">
              <w:rPr>
                <w:sz w:val="20"/>
                <w:szCs w:val="20"/>
                <w:lang w:val="nb-NO"/>
              </w:rPr>
              <w:t>,</w:t>
            </w:r>
            <w:r w:rsidRPr="00A942F6">
              <w:rPr>
                <w:sz w:val="20"/>
                <w:szCs w:val="20"/>
                <w:lang w:val="nb-NO"/>
              </w:rPr>
              <w:t>21,2</w:t>
            </w:r>
            <w:r w:rsidR="0038147B" w:rsidRPr="00A942F6">
              <w:rPr>
                <w:sz w:val="20"/>
                <w:szCs w:val="20"/>
                <w:lang w:val="nb-NO"/>
              </w:rPr>
              <w:t>,</w:t>
            </w:r>
            <w:r w:rsidRPr="00A942F6">
              <w:rPr>
                <w:sz w:val="20"/>
                <w:szCs w:val="20"/>
                <w:lang w:val="nb-NO"/>
              </w:rPr>
              <w:t>10) 0</w:t>
            </w:r>
            <w:r w:rsidR="0038147B" w:rsidRPr="00A942F6">
              <w:rPr>
                <w:sz w:val="20"/>
                <w:szCs w:val="20"/>
                <w:lang w:val="nb-NO"/>
              </w:rPr>
              <w:t>,</w:t>
            </w:r>
            <w:r w:rsidRPr="00A942F6">
              <w:rPr>
                <w:sz w:val="20"/>
                <w:szCs w:val="20"/>
                <w:lang w:val="nb-NO"/>
              </w:rPr>
              <w:t xml:space="preserve">20*** </w:t>
            </w:r>
            <w:r w:rsidRPr="00A942F6">
              <w:rPr>
                <w:sz w:val="20"/>
                <w:szCs w:val="20"/>
                <w:lang w:val="nb-NO"/>
              </w:rPr>
              <w:br/>
              <w:t>(0</w:t>
            </w:r>
            <w:r w:rsidR="0038147B" w:rsidRPr="00A942F6">
              <w:rPr>
                <w:sz w:val="20"/>
                <w:szCs w:val="20"/>
                <w:lang w:val="nb-NO"/>
              </w:rPr>
              <w:t>,</w:t>
            </w:r>
            <w:r w:rsidRPr="00A942F6">
              <w:rPr>
                <w:sz w:val="20"/>
                <w:szCs w:val="20"/>
                <w:lang w:val="nb-NO"/>
              </w:rPr>
              <w:t>05, 0</w:t>
            </w:r>
            <w:r w:rsidR="0038147B" w:rsidRPr="00A942F6">
              <w:rPr>
                <w:sz w:val="20"/>
                <w:szCs w:val="20"/>
                <w:lang w:val="nb-NO"/>
              </w:rPr>
              <w:t>,</w:t>
            </w:r>
            <w:r w:rsidRPr="00A942F6">
              <w:rPr>
                <w:sz w:val="20"/>
                <w:szCs w:val="20"/>
                <w:lang w:val="nb-NO"/>
              </w:rPr>
              <w:t>76)</w:t>
            </w:r>
          </w:p>
          <w:p w14:paraId="29F3CCB7"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35 </w:t>
            </w:r>
            <w:r w:rsidRPr="00A942F6">
              <w:rPr>
                <w:sz w:val="20"/>
                <w:szCs w:val="20"/>
                <w:lang w:val="nb-NO"/>
              </w:rPr>
              <w:br/>
              <w:t>(0</w:t>
            </w:r>
            <w:r w:rsidR="0038147B" w:rsidRPr="00A942F6">
              <w:rPr>
                <w:sz w:val="20"/>
                <w:szCs w:val="20"/>
                <w:lang w:val="nb-NO"/>
              </w:rPr>
              <w:t>,</w:t>
            </w:r>
            <w:r w:rsidRPr="00A942F6">
              <w:rPr>
                <w:sz w:val="20"/>
                <w:szCs w:val="20"/>
                <w:lang w:val="nb-NO"/>
              </w:rPr>
              <w:t>09, 1</w:t>
            </w:r>
            <w:r w:rsidR="0038147B" w:rsidRPr="00A942F6">
              <w:rPr>
                <w:sz w:val="20"/>
                <w:szCs w:val="20"/>
                <w:lang w:val="nb-NO"/>
              </w:rPr>
              <w:t>,</w:t>
            </w:r>
            <w:r w:rsidRPr="00A942F6">
              <w:rPr>
                <w:sz w:val="20"/>
                <w:szCs w:val="20"/>
                <w:lang w:val="nb-NO"/>
              </w:rPr>
              <w:t>42)</w:t>
            </w:r>
          </w:p>
        </w:tc>
      </w:tr>
      <w:tr w:rsidR="00613AFD" w:rsidRPr="00A942F6" w14:paraId="7217EFB0" w14:textId="77777777" w:rsidTr="00BB4253">
        <w:trPr>
          <w:cantSplit/>
        </w:trPr>
        <w:tc>
          <w:tcPr>
            <w:tcW w:w="3682" w:type="dxa"/>
            <w:tcBorders>
              <w:top w:val="single" w:sz="4" w:space="0" w:color="auto"/>
              <w:left w:val="single" w:sz="4" w:space="0" w:color="auto"/>
            </w:tcBorders>
          </w:tcPr>
          <w:p w14:paraId="1079EB44" w14:textId="77777777" w:rsidR="00613AFD" w:rsidRPr="00BD4D94" w:rsidRDefault="00613AFD" w:rsidP="00641834">
            <w:pPr>
              <w:suppressAutoHyphens/>
              <w:rPr>
                <w:i/>
                <w:sz w:val="20"/>
                <w:szCs w:val="20"/>
                <w:lang w:val="nb-NO"/>
              </w:rPr>
            </w:pPr>
            <w:r w:rsidRPr="00BD4D94">
              <w:rPr>
                <w:i/>
                <w:sz w:val="20"/>
                <w:szCs w:val="20"/>
                <w:lang w:val="nb-NO"/>
              </w:rPr>
              <w:t>Akkumulerte glukokortikoid-doser (mg)</w:t>
            </w:r>
          </w:p>
          <w:p w14:paraId="304336BE" w14:textId="77777777" w:rsidR="00613AFD" w:rsidRPr="00BD4D94" w:rsidRDefault="00613AFD" w:rsidP="00641834">
            <w:pPr>
              <w:suppressAutoHyphens/>
              <w:ind w:left="283"/>
              <w:rPr>
                <w:i/>
                <w:sz w:val="20"/>
                <w:szCs w:val="20"/>
                <w:lang w:val="nb-NO"/>
              </w:rPr>
            </w:pPr>
            <w:r w:rsidRPr="00BD4D94">
              <w:rPr>
                <w:i/>
                <w:sz w:val="20"/>
                <w:szCs w:val="20"/>
                <w:lang w:val="nb-NO"/>
              </w:rPr>
              <w:t>median ved uke 52 (tocilizumab-grupper versus placebo+26</w:t>
            </w:r>
            <w:r w:rsidRPr="00BD4D94">
              <w:rPr>
                <w:i/>
                <w:sz w:val="20"/>
                <w:szCs w:val="20"/>
                <w:vertAlign w:val="superscript"/>
                <w:lang w:val="nb-NO"/>
              </w:rPr>
              <w:t>2</w:t>
            </w:r>
            <w:r w:rsidRPr="00BD4D94">
              <w:rPr>
                <w:i/>
                <w:sz w:val="20"/>
                <w:szCs w:val="20"/>
                <w:lang w:val="nb-NO"/>
              </w:rPr>
              <w:t>)</w:t>
            </w:r>
          </w:p>
          <w:p w14:paraId="1D97E2DA" w14:textId="77777777" w:rsidR="00613AFD" w:rsidRPr="00A942F6" w:rsidRDefault="00613AFD" w:rsidP="00641834">
            <w:pPr>
              <w:suppressAutoHyphens/>
              <w:ind w:left="283"/>
              <w:rPr>
                <w:i/>
                <w:iCs/>
                <w:sz w:val="20"/>
                <w:szCs w:val="20"/>
                <w:lang w:val="nb-NO"/>
              </w:rPr>
            </w:pPr>
            <w:r w:rsidRPr="00A942F6">
              <w:rPr>
                <w:i/>
                <w:sz w:val="20"/>
                <w:szCs w:val="20"/>
                <w:lang w:val="nb-NO"/>
              </w:rPr>
              <w:t>median ved uke 52 (tocilizumab-grupper versus placebo +52</w:t>
            </w:r>
            <w:r w:rsidRPr="00A942F6">
              <w:rPr>
                <w:i/>
                <w:sz w:val="20"/>
                <w:szCs w:val="20"/>
                <w:vertAlign w:val="superscript"/>
                <w:lang w:val="nb-NO"/>
              </w:rPr>
              <w:t>2</w:t>
            </w:r>
            <w:r w:rsidRPr="00A942F6">
              <w:rPr>
                <w:i/>
                <w:sz w:val="20"/>
                <w:szCs w:val="20"/>
                <w:lang w:val="nb-NO"/>
              </w:rPr>
              <w:t>)</w:t>
            </w:r>
          </w:p>
        </w:tc>
        <w:tc>
          <w:tcPr>
            <w:tcW w:w="1558" w:type="dxa"/>
            <w:tcBorders>
              <w:top w:val="single" w:sz="4" w:space="0" w:color="auto"/>
              <w:left w:val="single" w:sz="4" w:space="0" w:color="auto"/>
            </w:tcBorders>
          </w:tcPr>
          <w:p w14:paraId="66E69824" w14:textId="77777777" w:rsidR="00613AFD" w:rsidRPr="00A942F6" w:rsidRDefault="00613AFD" w:rsidP="00641834">
            <w:pPr>
              <w:suppressAutoHyphens/>
              <w:jc w:val="center"/>
              <w:rPr>
                <w:sz w:val="20"/>
                <w:szCs w:val="20"/>
                <w:lang w:val="nb-NO"/>
              </w:rPr>
            </w:pPr>
          </w:p>
          <w:p w14:paraId="376779D7" w14:textId="77777777" w:rsidR="00613AFD" w:rsidRPr="00A942F6" w:rsidRDefault="00613AFD" w:rsidP="00641834">
            <w:pPr>
              <w:suppressAutoHyphens/>
              <w:jc w:val="center"/>
              <w:rPr>
                <w:sz w:val="20"/>
                <w:szCs w:val="20"/>
                <w:lang w:val="nb-NO"/>
              </w:rPr>
            </w:pPr>
            <w:r w:rsidRPr="00A942F6">
              <w:rPr>
                <w:sz w:val="20"/>
                <w:szCs w:val="20"/>
                <w:lang w:val="nb-NO"/>
              </w:rPr>
              <w:t>3296</w:t>
            </w:r>
            <w:r w:rsidR="0038147B" w:rsidRPr="00A942F6">
              <w:rPr>
                <w:sz w:val="20"/>
                <w:szCs w:val="20"/>
                <w:lang w:val="nb-NO"/>
              </w:rPr>
              <w:t>,</w:t>
            </w:r>
            <w:r w:rsidRPr="00A942F6">
              <w:rPr>
                <w:sz w:val="20"/>
                <w:szCs w:val="20"/>
                <w:lang w:val="nb-NO"/>
              </w:rPr>
              <w:t>00</w:t>
            </w:r>
          </w:p>
          <w:p w14:paraId="17BA0201" w14:textId="77777777" w:rsidR="00613AFD" w:rsidRPr="00A942F6" w:rsidRDefault="00613AFD" w:rsidP="00641834">
            <w:pPr>
              <w:suppressAutoHyphens/>
              <w:jc w:val="center"/>
              <w:rPr>
                <w:sz w:val="20"/>
                <w:szCs w:val="20"/>
                <w:lang w:val="nb-NO"/>
              </w:rPr>
            </w:pPr>
          </w:p>
          <w:p w14:paraId="55EB8C1F" w14:textId="77777777" w:rsidR="00613AFD" w:rsidRPr="00A942F6" w:rsidRDefault="00613AFD" w:rsidP="00641834">
            <w:pPr>
              <w:suppressAutoHyphens/>
              <w:jc w:val="center"/>
              <w:rPr>
                <w:sz w:val="20"/>
                <w:szCs w:val="20"/>
                <w:lang w:val="nb-NO"/>
              </w:rPr>
            </w:pPr>
            <w:r w:rsidRPr="00A942F6">
              <w:rPr>
                <w:sz w:val="20"/>
                <w:szCs w:val="20"/>
                <w:lang w:val="nb-NO"/>
              </w:rPr>
              <w:t>N/A</w:t>
            </w:r>
          </w:p>
        </w:tc>
        <w:tc>
          <w:tcPr>
            <w:tcW w:w="1279" w:type="dxa"/>
            <w:tcBorders>
              <w:top w:val="single" w:sz="4" w:space="0" w:color="auto"/>
              <w:left w:val="single" w:sz="4" w:space="0" w:color="auto"/>
            </w:tcBorders>
          </w:tcPr>
          <w:p w14:paraId="486B5E19" w14:textId="77777777" w:rsidR="00613AFD" w:rsidRPr="00A942F6" w:rsidRDefault="00613AFD" w:rsidP="00641834">
            <w:pPr>
              <w:suppressAutoHyphens/>
              <w:jc w:val="center"/>
              <w:rPr>
                <w:sz w:val="20"/>
                <w:szCs w:val="20"/>
                <w:lang w:val="nb-NO"/>
              </w:rPr>
            </w:pPr>
          </w:p>
          <w:p w14:paraId="5A05C0F1" w14:textId="77777777" w:rsidR="00613AFD" w:rsidRPr="00A942F6" w:rsidRDefault="00613AFD" w:rsidP="00641834">
            <w:pPr>
              <w:suppressAutoHyphens/>
              <w:jc w:val="center"/>
              <w:rPr>
                <w:sz w:val="20"/>
                <w:szCs w:val="20"/>
                <w:lang w:val="nb-NO"/>
              </w:rPr>
            </w:pPr>
            <w:r w:rsidRPr="00A942F6">
              <w:rPr>
                <w:sz w:val="20"/>
                <w:szCs w:val="20"/>
                <w:lang w:val="nb-NO"/>
              </w:rPr>
              <w:t>N/A</w:t>
            </w:r>
          </w:p>
          <w:p w14:paraId="29C7D1EB" w14:textId="77777777" w:rsidR="00613AFD" w:rsidRPr="00A942F6" w:rsidRDefault="00613AFD" w:rsidP="00641834">
            <w:pPr>
              <w:suppressAutoHyphens/>
              <w:jc w:val="center"/>
              <w:rPr>
                <w:sz w:val="20"/>
                <w:szCs w:val="20"/>
                <w:lang w:val="nb-NO"/>
              </w:rPr>
            </w:pPr>
          </w:p>
          <w:p w14:paraId="71CCDB37" w14:textId="77777777" w:rsidR="00613AFD" w:rsidRPr="00A942F6" w:rsidRDefault="00613AFD" w:rsidP="00641834">
            <w:pPr>
              <w:suppressAutoHyphens/>
              <w:jc w:val="center"/>
              <w:rPr>
                <w:sz w:val="20"/>
                <w:szCs w:val="20"/>
                <w:lang w:val="nb-NO"/>
              </w:rPr>
            </w:pPr>
            <w:r w:rsidRPr="00A942F6">
              <w:rPr>
                <w:sz w:val="20"/>
                <w:szCs w:val="20"/>
                <w:lang w:val="nb-NO"/>
              </w:rPr>
              <w:t>3817</w:t>
            </w:r>
            <w:r w:rsidR="0038147B" w:rsidRPr="00A942F6">
              <w:rPr>
                <w:sz w:val="20"/>
                <w:szCs w:val="20"/>
                <w:lang w:val="nb-NO"/>
              </w:rPr>
              <w:t>,</w:t>
            </w:r>
            <w:r w:rsidRPr="00A942F6">
              <w:rPr>
                <w:sz w:val="20"/>
                <w:szCs w:val="20"/>
                <w:lang w:val="nb-NO"/>
              </w:rPr>
              <w:t>50</w:t>
            </w:r>
          </w:p>
        </w:tc>
        <w:tc>
          <w:tcPr>
            <w:tcW w:w="1249" w:type="dxa"/>
            <w:tcBorders>
              <w:top w:val="single" w:sz="4" w:space="0" w:color="auto"/>
              <w:left w:val="single" w:sz="4" w:space="0" w:color="auto"/>
            </w:tcBorders>
          </w:tcPr>
          <w:p w14:paraId="5B02CBAF" w14:textId="77777777" w:rsidR="00613AFD" w:rsidRPr="00A942F6" w:rsidRDefault="00613AFD" w:rsidP="00641834">
            <w:pPr>
              <w:suppressAutoHyphens/>
              <w:jc w:val="center"/>
              <w:rPr>
                <w:sz w:val="20"/>
                <w:szCs w:val="20"/>
                <w:lang w:val="nb-NO"/>
              </w:rPr>
            </w:pPr>
          </w:p>
          <w:p w14:paraId="154CD869" w14:textId="77777777" w:rsidR="00613AFD" w:rsidRPr="00A942F6" w:rsidRDefault="00613AFD" w:rsidP="00641834">
            <w:pPr>
              <w:suppressAutoHyphens/>
              <w:jc w:val="center"/>
              <w:rPr>
                <w:sz w:val="20"/>
                <w:szCs w:val="20"/>
                <w:lang w:val="nb-NO"/>
              </w:rPr>
            </w:pPr>
            <w:r w:rsidRPr="00A942F6">
              <w:rPr>
                <w:sz w:val="20"/>
                <w:szCs w:val="20"/>
                <w:lang w:val="nb-NO"/>
              </w:rPr>
              <w:t>1862</w:t>
            </w:r>
            <w:r w:rsidR="0038147B" w:rsidRPr="00A942F6">
              <w:rPr>
                <w:sz w:val="20"/>
                <w:szCs w:val="20"/>
                <w:lang w:val="nb-NO"/>
              </w:rPr>
              <w:t>,</w:t>
            </w:r>
            <w:r w:rsidRPr="00A942F6">
              <w:rPr>
                <w:sz w:val="20"/>
                <w:szCs w:val="20"/>
                <w:lang w:val="nb-NO"/>
              </w:rPr>
              <w:t>00*</w:t>
            </w:r>
          </w:p>
          <w:p w14:paraId="4016F3D5" w14:textId="77777777" w:rsidR="00613AFD" w:rsidRPr="00A942F6" w:rsidRDefault="00613AFD" w:rsidP="00641834">
            <w:pPr>
              <w:suppressAutoHyphens/>
              <w:jc w:val="center"/>
              <w:rPr>
                <w:sz w:val="20"/>
                <w:szCs w:val="20"/>
                <w:lang w:val="nb-NO"/>
              </w:rPr>
            </w:pPr>
          </w:p>
          <w:p w14:paraId="4B951B5A" w14:textId="77777777" w:rsidR="00613AFD" w:rsidRPr="00A942F6" w:rsidRDefault="00613AFD" w:rsidP="00641834">
            <w:pPr>
              <w:suppressAutoHyphens/>
              <w:jc w:val="center"/>
              <w:rPr>
                <w:sz w:val="20"/>
                <w:szCs w:val="20"/>
                <w:lang w:val="nb-NO"/>
              </w:rPr>
            </w:pPr>
            <w:r w:rsidRPr="00A942F6">
              <w:rPr>
                <w:sz w:val="20"/>
                <w:szCs w:val="20"/>
                <w:lang w:val="nb-NO"/>
              </w:rPr>
              <w:t>1862</w:t>
            </w:r>
            <w:r w:rsidR="0038147B" w:rsidRPr="00A942F6">
              <w:rPr>
                <w:sz w:val="20"/>
                <w:szCs w:val="20"/>
                <w:lang w:val="nb-NO"/>
              </w:rPr>
              <w:t>,</w:t>
            </w:r>
            <w:r w:rsidRPr="00A942F6">
              <w:rPr>
                <w:sz w:val="20"/>
                <w:szCs w:val="20"/>
                <w:lang w:val="nb-NO"/>
              </w:rPr>
              <w:t>00*</w:t>
            </w:r>
          </w:p>
        </w:tc>
        <w:tc>
          <w:tcPr>
            <w:tcW w:w="1293" w:type="dxa"/>
            <w:tcBorders>
              <w:top w:val="single" w:sz="4" w:space="0" w:color="auto"/>
              <w:left w:val="single" w:sz="4" w:space="0" w:color="auto"/>
              <w:right w:val="single" w:sz="4" w:space="0" w:color="auto"/>
            </w:tcBorders>
          </w:tcPr>
          <w:p w14:paraId="324737E5" w14:textId="77777777" w:rsidR="00613AFD" w:rsidRPr="00A942F6" w:rsidRDefault="00613AFD" w:rsidP="00641834">
            <w:pPr>
              <w:suppressAutoHyphens/>
              <w:jc w:val="center"/>
              <w:rPr>
                <w:sz w:val="20"/>
                <w:szCs w:val="20"/>
                <w:lang w:val="nb-NO"/>
              </w:rPr>
            </w:pPr>
          </w:p>
          <w:p w14:paraId="71380AC1" w14:textId="77777777" w:rsidR="00613AFD" w:rsidRPr="00A942F6" w:rsidRDefault="00613AFD" w:rsidP="00641834">
            <w:pPr>
              <w:suppressAutoHyphens/>
              <w:jc w:val="center"/>
              <w:rPr>
                <w:sz w:val="20"/>
                <w:szCs w:val="20"/>
                <w:lang w:val="nb-NO"/>
              </w:rPr>
            </w:pPr>
            <w:r w:rsidRPr="00A942F6">
              <w:rPr>
                <w:sz w:val="20"/>
                <w:szCs w:val="20"/>
                <w:lang w:val="nb-NO"/>
              </w:rPr>
              <w:t>1862</w:t>
            </w:r>
            <w:r w:rsidR="0038147B" w:rsidRPr="00A942F6">
              <w:rPr>
                <w:sz w:val="20"/>
                <w:szCs w:val="20"/>
                <w:lang w:val="nb-NO"/>
              </w:rPr>
              <w:t>,</w:t>
            </w:r>
            <w:r w:rsidRPr="00A942F6">
              <w:rPr>
                <w:sz w:val="20"/>
                <w:szCs w:val="20"/>
                <w:lang w:val="nb-NO"/>
              </w:rPr>
              <w:t>00*</w:t>
            </w:r>
          </w:p>
          <w:p w14:paraId="0E0181A8" w14:textId="77777777" w:rsidR="00613AFD" w:rsidRPr="00A942F6" w:rsidRDefault="00613AFD" w:rsidP="00641834">
            <w:pPr>
              <w:suppressAutoHyphens/>
              <w:jc w:val="center"/>
              <w:rPr>
                <w:sz w:val="20"/>
                <w:szCs w:val="20"/>
                <w:lang w:val="nb-NO"/>
              </w:rPr>
            </w:pPr>
          </w:p>
          <w:p w14:paraId="6AD7C11A" w14:textId="77777777" w:rsidR="00613AFD" w:rsidRPr="00A942F6" w:rsidRDefault="00613AFD" w:rsidP="00641834">
            <w:pPr>
              <w:suppressAutoHyphens/>
              <w:jc w:val="center"/>
              <w:rPr>
                <w:sz w:val="20"/>
                <w:szCs w:val="20"/>
                <w:lang w:val="nb-NO"/>
              </w:rPr>
            </w:pPr>
            <w:r w:rsidRPr="00A942F6">
              <w:rPr>
                <w:sz w:val="20"/>
                <w:szCs w:val="20"/>
                <w:lang w:val="nb-NO"/>
              </w:rPr>
              <w:t>1862</w:t>
            </w:r>
            <w:r w:rsidR="0038147B" w:rsidRPr="00A942F6">
              <w:rPr>
                <w:sz w:val="20"/>
                <w:szCs w:val="20"/>
                <w:lang w:val="nb-NO"/>
              </w:rPr>
              <w:t>,</w:t>
            </w:r>
            <w:r w:rsidRPr="00A942F6">
              <w:rPr>
                <w:sz w:val="20"/>
                <w:szCs w:val="20"/>
                <w:lang w:val="nb-NO"/>
              </w:rPr>
              <w:t>00*</w:t>
            </w:r>
          </w:p>
        </w:tc>
      </w:tr>
      <w:tr w:rsidR="00613AFD" w:rsidRPr="00A942F6" w14:paraId="60EC48B0" w14:textId="77777777" w:rsidTr="00613AFD">
        <w:trPr>
          <w:cantSplit/>
        </w:trPr>
        <w:tc>
          <w:tcPr>
            <w:tcW w:w="9061" w:type="dxa"/>
            <w:gridSpan w:val="5"/>
            <w:tcBorders>
              <w:top w:val="single" w:sz="4" w:space="0" w:color="auto"/>
              <w:left w:val="single" w:sz="4" w:space="0" w:color="auto"/>
              <w:right w:val="single" w:sz="4" w:space="0" w:color="auto"/>
            </w:tcBorders>
          </w:tcPr>
          <w:p w14:paraId="1B532CD9" w14:textId="77777777" w:rsidR="00613AFD" w:rsidRPr="00A942F6" w:rsidRDefault="0038147B" w:rsidP="00641834">
            <w:pPr>
              <w:keepNext/>
              <w:suppressAutoHyphens/>
              <w:rPr>
                <w:b/>
                <w:bCs/>
                <w:sz w:val="20"/>
                <w:szCs w:val="20"/>
                <w:lang w:val="nb-NO"/>
              </w:rPr>
            </w:pPr>
            <w:r w:rsidRPr="00A942F6">
              <w:rPr>
                <w:b/>
                <w:sz w:val="20"/>
                <w:szCs w:val="20"/>
                <w:lang w:val="nb-NO"/>
              </w:rPr>
              <w:t>Eksplorative Endepunkter</w:t>
            </w:r>
          </w:p>
        </w:tc>
      </w:tr>
      <w:tr w:rsidR="00613AFD" w:rsidRPr="00A942F6" w14:paraId="593FB5C5" w14:textId="77777777" w:rsidTr="00BB4253">
        <w:trPr>
          <w:cantSplit/>
        </w:trPr>
        <w:tc>
          <w:tcPr>
            <w:tcW w:w="3682" w:type="dxa"/>
            <w:tcBorders>
              <w:top w:val="single" w:sz="4" w:space="0" w:color="auto"/>
              <w:left w:val="single" w:sz="4" w:space="0" w:color="auto"/>
              <w:bottom w:val="single" w:sz="4" w:space="0" w:color="auto"/>
            </w:tcBorders>
          </w:tcPr>
          <w:p w14:paraId="63AD6931" w14:textId="77777777" w:rsidR="0038147B" w:rsidRPr="00A942F6" w:rsidRDefault="0038147B" w:rsidP="00641834">
            <w:pPr>
              <w:pStyle w:val="TableParagraph"/>
              <w:rPr>
                <w:sz w:val="20"/>
                <w:szCs w:val="20"/>
                <w:lang w:val="nb-NO"/>
              </w:rPr>
            </w:pPr>
            <w:r w:rsidRPr="00A942F6">
              <w:rPr>
                <w:sz w:val="20"/>
                <w:szCs w:val="20"/>
                <w:lang w:val="nb-NO"/>
              </w:rPr>
              <w:t>Årlig frekvens for tilbakefall, uke 52</w:t>
            </w:r>
            <w:r w:rsidRPr="00A942F6">
              <w:rPr>
                <w:sz w:val="20"/>
                <w:szCs w:val="20"/>
                <w:vertAlign w:val="superscript"/>
                <w:lang w:val="nb-NO"/>
              </w:rPr>
              <w:t>§</w:t>
            </w:r>
          </w:p>
          <w:p w14:paraId="0EA9742A" w14:textId="77777777" w:rsidR="00613AFD" w:rsidRPr="00A942F6" w:rsidRDefault="0038147B" w:rsidP="00641834">
            <w:pPr>
              <w:suppressAutoHyphens/>
              <w:ind w:left="283"/>
              <w:rPr>
                <w:sz w:val="20"/>
                <w:szCs w:val="20"/>
                <w:lang w:val="nb-NO"/>
              </w:rPr>
            </w:pPr>
            <w:r w:rsidRPr="00A942F6">
              <w:rPr>
                <w:sz w:val="20"/>
                <w:szCs w:val="20"/>
                <w:lang w:val="nb-NO"/>
              </w:rPr>
              <w:t>Gjennomsnitt (SD)</w:t>
            </w:r>
          </w:p>
        </w:tc>
        <w:tc>
          <w:tcPr>
            <w:tcW w:w="1558" w:type="dxa"/>
            <w:tcBorders>
              <w:top w:val="single" w:sz="4" w:space="0" w:color="auto"/>
              <w:left w:val="single" w:sz="4" w:space="0" w:color="auto"/>
              <w:bottom w:val="single" w:sz="4" w:space="0" w:color="auto"/>
            </w:tcBorders>
          </w:tcPr>
          <w:p w14:paraId="15DA304C" w14:textId="77777777" w:rsidR="00613AFD" w:rsidRPr="00A942F6" w:rsidRDefault="00613AFD" w:rsidP="00641834">
            <w:pPr>
              <w:suppressAutoHyphens/>
              <w:jc w:val="center"/>
              <w:rPr>
                <w:sz w:val="20"/>
                <w:szCs w:val="20"/>
                <w:lang w:val="nb-NO"/>
              </w:rPr>
            </w:pPr>
          </w:p>
          <w:p w14:paraId="6E7BA08F" w14:textId="77777777" w:rsidR="00613AFD" w:rsidRPr="00A942F6" w:rsidRDefault="00613AFD" w:rsidP="00641834">
            <w:pPr>
              <w:suppressAutoHyphens/>
              <w:jc w:val="center"/>
              <w:rPr>
                <w:sz w:val="20"/>
                <w:szCs w:val="20"/>
                <w:lang w:val="nb-NO"/>
              </w:rPr>
            </w:pPr>
            <w:r w:rsidRPr="00A942F6">
              <w:rPr>
                <w:sz w:val="20"/>
                <w:szCs w:val="20"/>
                <w:lang w:val="nb-NO"/>
              </w:rPr>
              <w:t>1</w:t>
            </w:r>
            <w:r w:rsidR="0038147B" w:rsidRPr="00A942F6">
              <w:rPr>
                <w:sz w:val="20"/>
                <w:szCs w:val="20"/>
                <w:lang w:val="nb-NO"/>
              </w:rPr>
              <w:t>,</w:t>
            </w:r>
            <w:r w:rsidRPr="00A942F6">
              <w:rPr>
                <w:sz w:val="20"/>
                <w:szCs w:val="20"/>
                <w:lang w:val="nb-NO"/>
              </w:rPr>
              <w:t>74</w:t>
            </w:r>
          </w:p>
          <w:p w14:paraId="17CB7CB2" w14:textId="77777777" w:rsidR="00613AFD" w:rsidRPr="00A942F6" w:rsidRDefault="00613AFD" w:rsidP="00641834">
            <w:pPr>
              <w:suppressAutoHyphens/>
              <w:jc w:val="center"/>
              <w:rPr>
                <w:sz w:val="20"/>
                <w:szCs w:val="20"/>
                <w:lang w:val="nb-NO"/>
              </w:rPr>
            </w:pPr>
            <w:r w:rsidRPr="00A942F6">
              <w:rPr>
                <w:sz w:val="20"/>
                <w:szCs w:val="20"/>
                <w:lang w:val="nb-NO"/>
              </w:rPr>
              <w:t>(2</w:t>
            </w:r>
            <w:r w:rsidR="0038147B" w:rsidRPr="00A942F6">
              <w:rPr>
                <w:sz w:val="20"/>
                <w:szCs w:val="20"/>
                <w:lang w:val="nb-NO"/>
              </w:rPr>
              <w:t>,</w:t>
            </w:r>
            <w:r w:rsidRPr="00A942F6">
              <w:rPr>
                <w:sz w:val="20"/>
                <w:szCs w:val="20"/>
                <w:lang w:val="nb-NO"/>
              </w:rPr>
              <w:t>18)</w:t>
            </w:r>
          </w:p>
        </w:tc>
        <w:tc>
          <w:tcPr>
            <w:tcW w:w="1279" w:type="dxa"/>
            <w:tcBorders>
              <w:top w:val="single" w:sz="4" w:space="0" w:color="auto"/>
              <w:left w:val="single" w:sz="4" w:space="0" w:color="auto"/>
              <w:bottom w:val="single" w:sz="4" w:space="0" w:color="auto"/>
            </w:tcBorders>
          </w:tcPr>
          <w:p w14:paraId="747B7E1F" w14:textId="77777777" w:rsidR="00613AFD" w:rsidRPr="00A942F6" w:rsidRDefault="00613AFD" w:rsidP="00641834">
            <w:pPr>
              <w:suppressAutoHyphens/>
              <w:jc w:val="center"/>
              <w:rPr>
                <w:sz w:val="20"/>
                <w:szCs w:val="20"/>
                <w:lang w:val="nb-NO"/>
              </w:rPr>
            </w:pPr>
          </w:p>
          <w:p w14:paraId="40A253B6" w14:textId="77777777" w:rsidR="00613AFD" w:rsidRPr="00A942F6" w:rsidRDefault="00613AFD" w:rsidP="00641834">
            <w:pPr>
              <w:suppressAutoHyphens/>
              <w:jc w:val="center"/>
              <w:rPr>
                <w:sz w:val="20"/>
                <w:szCs w:val="20"/>
                <w:lang w:val="nb-NO"/>
              </w:rPr>
            </w:pPr>
            <w:r w:rsidRPr="00A942F6">
              <w:rPr>
                <w:sz w:val="20"/>
                <w:szCs w:val="20"/>
                <w:lang w:val="nb-NO"/>
              </w:rPr>
              <w:t>1</w:t>
            </w:r>
            <w:r w:rsidR="0038147B" w:rsidRPr="00A942F6">
              <w:rPr>
                <w:sz w:val="20"/>
                <w:szCs w:val="20"/>
                <w:lang w:val="nb-NO"/>
              </w:rPr>
              <w:t>,</w:t>
            </w:r>
            <w:r w:rsidRPr="00A942F6">
              <w:rPr>
                <w:sz w:val="20"/>
                <w:szCs w:val="20"/>
                <w:lang w:val="nb-NO"/>
              </w:rPr>
              <w:t xml:space="preserve">30 </w:t>
            </w:r>
          </w:p>
          <w:p w14:paraId="2E724F0D" w14:textId="77777777" w:rsidR="00613AFD" w:rsidRPr="00A942F6" w:rsidRDefault="00613AFD" w:rsidP="00641834">
            <w:pPr>
              <w:suppressAutoHyphens/>
              <w:jc w:val="center"/>
              <w:rPr>
                <w:sz w:val="20"/>
                <w:szCs w:val="20"/>
                <w:lang w:val="nb-NO"/>
              </w:rPr>
            </w:pPr>
            <w:r w:rsidRPr="00A942F6">
              <w:rPr>
                <w:sz w:val="20"/>
                <w:szCs w:val="20"/>
                <w:lang w:val="nb-NO"/>
              </w:rPr>
              <w:t>(1</w:t>
            </w:r>
            <w:r w:rsidR="0038147B" w:rsidRPr="00A942F6">
              <w:rPr>
                <w:sz w:val="20"/>
                <w:szCs w:val="20"/>
                <w:lang w:val="nb-NO"/>
              </w:rPr>
              <w:t>,</w:t>
            </w:r>
            <w:r w:rsidRPr="00A942F6">
              <w:rPr>
                <w:sz w:val="20"/>
                <w:szCs w:val="20"/>
                <w:lang w:val="nb-NO"/>
              </w:rPr>
              <w:t>84)</w:t>
            </w:r>
          </w:p>
        </w:tc>
        <w:tc>
          <w:tcPr>
            <w:tcW w:w="1249" w:type="dxa"/>
            <w:tcBorders>
              <w:top w:val="single" w:sz="4" w:space="0" w:color="auto"/>
              <w:left w:val="single" w:sz="4" w:space="0" w:color="auto"/>
              <w:bottom w:val="single" w:sz="4" w:space="0" w:color="auto"/>
            </w:tcBorders>
          </w:tcPr>
          <w:p w14:paraId="724F68B5" w14:textId="77777777" w:rsidR="00613AFD" w:rsidRPr="00A942F6" w:rsidRDefault="00613AFD" w:rsidP="00641834">
            <w:pPr>
              <w:suppressAutoHyphens/>
              <w:jc w:val="center"/>
              <w:rPr>
                <w:sz w:val="20"/>
                <w:szCs w:val="20"/>
                <w:lang w:val="nb-NO"/>
              </w:rPr>
            </w:pPr>
          </w:p>
          <w:p w14:paraId="6B70D06D"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 xml:space="preserve">41 </w:t>
            </w:r>
          </w:p>
          <w:p w14:paraId="61F8DC5B"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78)</w:t>
            </w:r>
          </w:p>
        </w:tc>
        <w:tc>
          <w:tcPr>
            <w:tcW w:w="1293" w:type="dxa"/>
            <w:tcBorders>
              <w:top w:val="single" w:sz="4" w:space="0" w:color="auto"/>
              <w:left w:val="single" w:sz="4" w:space="0" w:color="auto"/>
              <w:bottom w:val="single" w:sz="4" w:space="0" w:color="auto"/>
              <w:right w:val="single" w:sz="4" w:space="0" w:color="auto"/>
            </w:tcBorders>
          </w:tcPr>
          <w:p w14:paraId="232A8B84" w14:textId="77777777" w:rsidR="00613AFD" w:rsidRPr="00A942F6" w:rsidRDefault="00613AFD" w:rsidP="00641834">
            <w:pPr>
              <w:suppressAutoHyphens/>
              <w:jc w:val="center"/>
              <w:rPr>
                <w:sz w:val="20"/>
                <w:szCs w:val="20"/>
                <w:lang w:val="nb-NO"/>
              </w:rPr>
            </w:pPr>
          </w:p>
          <w:p w14:paraId="3237157B" w14:textId="77777777" w:rsidR="00613AFD" w:rsidRPr="00A942F6" w:rsidRDefault="00613AFD" w:rsidP="00641834">
            <w:pPr>
              <w:suppressAutoHyphens/>
              <w:jc w:val="center"/>
              <w:rPr>
                <w:sz w:val="20"/>
                <w:szCs w:val="20"/>
                <w:lang w:val="nb-NO"/>
              </w:rPr>
            </w:pPr>
            <w:r w:rsidRPr="00A942F6">
              <w:rPr>
                <w:sz w:val="20"/>
                <w:szCs w:val="20"/>
                <w:lang w:val="nb-NO"/>
              </w:rPr>
              <w:t>0</w:t>
            </w:r>
            <w:r w:rsidR="0038147B" w:rsidRPr="00A942F6">
              <w:rPr>
                <w:sz w:val="20"/>
                <w:szCs w:val="20"/>
                <w:lang w:val="nb-NO"/>
              </w:rPr>
              <w:t>,</w:t>
            </w:r>
            <w:r w:rsidRPr="00A942F6">
              <w:rPr>
                <w:sz w:val="20"/>
                <w:szCs w:val="20"/>
                <w:lang w:val="nb-NO"/>
              </w:rPr>
              <w:t>67</w:t>
            </w:r>
          </w:p>
          <w:p w14:paraId="063FD0F3" w14:textId="77777777" w:rsidR="00613AFD" w:rsidRPr="00A942F6" w:rsidRDefault="00613AFD" w:rsidP="00641834">
            <w:pPr>
              <w:suppressAutoHyphens/>
              <w:jc w:val="center"/>
              <w:rPr>
                <w:sz w:val="20"/>
                <w:szCs w:val="20"/>
                <w:lang w:val="nb-NO"/>
              </w:rPr>
            </w:pPr>
            <w:r w:rsidRPr="00A942F6">
              <w:rPr>
                <w:sz w:val="20"/>
                <w:szCs w:val="20"/>
                <w:lang w:val="nb-NO"/>
              </w:rPr>
              <w:t>(1</w:t>
            </w:r>
            <w:r w:rsidR="0038147B" w:rsidRPr="00A942F6">
              <w:rPr>
                <w:sz w:val="20"/>
                <w:szCs w:val="20"/>
                <w:lang w:val="nb-NO"/>
              </w:rPr>
              <w:t>,</w:t>
            </w:r>
            <w:r w:rsidRPr="00A942F6">
              <w:rPr>
                <w:sz w:val="20"/>
                <w:szCs w:val="20"/>
                <w:lang w:val="nb-NO"/>
              </w:rPr>
              <w:t>10)</w:t>
            </w:r>
          </w:p>
        </w:tc>
      </w:tr>
    </w:tbl>
    <w:p w14:paraId="7C2D28F2" w14:textId="77777777" w:rsidR="005A42A2" w:rsidRPr="00A942F6" w:rsidRDefault="005A42A2" w:rsidP="00641834">
      <w:pPr>
        <w:rPr>
          <w:sz w:val="18"/>
          <w:szCs w:val="18"/>
          <w:lang w:val="nb-NO"/>
        </w:rPr>
      </w:pPr>
      <w:r w:rsidRPr="00A942F6">
        <w:rPr>
          <w:sz w:val="18"/>
          <w:szCs w:val="18"/>
          <w:lang w:val="nb-NO"/>
        </w:rPr>
        <w:t>* p&lt;0,0001</w:t>
      </w:r>
    </w:p>
    <w:p w14:paraId="6B88B8B5" w14:textId="77777777" w:rsidR="005A42A2" w:rsidRPr="00A942F6" w:rsidRDefault="005A42A2" w:rsidP="00641834">
      <w:pPr>
        <w:rPr>
          <w:sz w:val="18"/>
          <w:szCs w:val="18"/>
          <w:lang w:val="nb-NO"/>
        </w:rPr>
      </w:pPr>
      <w:r w:rsidRPr="00A942F6">
        <w:rPr>
          <w:sz w:val="18"/>
          <w:szCs w:val="18"/>
          <w:lang w:val="nb-NO"/>
        </w:rPr>
        <w:t>** p&lt;0,005 (terskel for signifikans for primære og sentrale sekundære tester for superioritet)</w:t>
      </w:r>
    </w:p>
    <w:p w14:paraId="7722EE10" w14:textId="77777777" w:rsidR="005A42A2" w:rsidRPr="00A942F6" w:rsidRDefault="005A42A2" w:rsidP="00641834">
      <w:pPr>
        <w:rPr>
          <w:sz w:val="18"/>
          <w:szCs w:val="18"/>
          <w:lang w:val="nb-NO"/>
        </w:rPr>
      </w:pPr>
      <w:r w:rsidRPr="00A942F6">
        <w:rPr>
          <w:sz w:val="18"/>
          <w:szCs w:val="18"/>
          <w:lang w:val="nb-NO"/>
        </w:rPr>
        <w:t>***</w:t>
      </w:r>
      <w:r w:rsidR="000D024D" w:rsidRPr="00A942F6">
        <w:rPr>
          <w:sz w:val="18"/>
          <w:szCs w:val="18"/>
          <w:lang w:val="nb-NO"/>
        </w:rPr>
        <w:t xml:space="preserve"> </w:t>
      </w:r>
      <w:r w:rsidRPr="00A942F6">
        <w:rPr>
          <w:sz w:val="18"/>
          <w:szCs w:val="18"/>
          <w:lang w:val="nb-NO"/>
        </w:rPr>
        <w:t xml:space="preserve">Beskrivende p-verdi </w:t>
      </w:r>
      <w:r w:rsidRPr="00A942F6">
        <w:rPr>
          <w:sz w:val="18"/>
          <w:szCs w:val="18"/>
          <w:u w:val="single"/>
          <w:lang w:val="nb-NO"/>
        </w:rPr>
        <w:t>&lt;0,005</w:t>
      </w:r>
    </w:p>
    <w:p w14:paraId="1213D4D3" w14:textId="77777777" w:rsidR="005A42A2" w:rsidRPr="00A942F6" w:rsidRDefault="005A42A2" w:rsidP="00641834">
      <w:pPr>
        <w:rPr>
          <w:sz w:val="18"/>
          <w:szCs w:val="18"/>
          <w:lang w:val="nb-NO"/>
        </w:rPr>
      </w:pPr>
      <w:r w:rsidRPr="00A942F6">
        <w:rPr>
          <w:sz w:val="18"/>
          <w:szCs w:val="18"/>
          <w:u w:val="single"/>
          <w:lang w:val="nb-NO"/>
        </w:rPr>
        <w:t>****</w:t>
      </w:r>
      <w:r w:rsidR="000D024D" w:rsidRPr="00A942F6">
        <w:rPr>
          <w:sz w:val="18"/>
          <w:szCs w:val="18"/>
          <w:lang w:val="nb-NO"/>
        </w:rPr>
        <w:t xml:space="preserve"> </w:t>
      </w:r>
      <w:r w:rsidRPr="00A942F6">
        <w:rPr>
          <w:b/>
          <w:bCs/>
          <w:sz w:val="18"/>
          <w:szCs w:val="18"/>
          <w:lang w:val="nb-NO"/>
        </w:rPr>
        <w:t xml:space="preserve">Oppbluss: tilbakefall av tegn eller symptomer på GCA og eller ESR &gt;30mm/h </w:t>
      </w:r>
      <w:r w:rsidRPr="00A942F6">
        <w:rPr>
          <w:sz w:val="18"/>
          <w:szCs w:val="18"/>
          <w:lang w:val="nb-NO"/>
        </w:rPr>
        <w:t>– økning av prednisondosen kreves</w:t>
      </w:r>
    </w:p>
    <w:p w14:paraId="1DD8639E" w14:textId="77777777" w:rsidR="005A42A2" w:rsidRPr="00A942F6" w:rsidRDefault="005A42A2" w:rsidP="00641834">
      <w:pPr>
        <w:rPr>
          <w:b/>
          <w:bCs/>
          <w:sz w:val="18"/>
          <w:szCs w:val="18"/>
          <w:lang w:val="nb-NO"/>
        </w:rPr>
      </w:pPr>
      <w:r w:rsidRPr="00A942F6">
        <w:rPr>
          <w:b/>
          <w:bCs/>
          <w:sz w:val="18"/>
          <w:szCs w:val="18"/>
          <w:lang w:val="nb-NO"/>
        </w:rPr>
        <w:t>Remisjon: fravær av oppbluss og normalisering av CRP</w:t>
      </w:r>
    </w:p>
    <w:p w14:paraId="11726A62" w14:textId="77777777" w:rsidR="005A42A2" w:rsidRPr="00A942F6" w:rsidRDefault="005A42A2" w:rsidP="00641834">
      <w:pPr>
        <w:rPr>
          <w:sz w:val="18"/>
          <w:szCs w:val="18"/>
          <w:lang w:val="nb-NO"/>
        </w:rPr>
      </w:pPr>
      <w:r w:rsidRPr="00A942F6">
        <w:rPr>
          <w:b/>
          <w:bCs/>
          <w:sz w:val="18"/>
          <w:szCs w:val="18"/>
          <w:lang w:val="nb-NO"/>
        </w:rPr>
        <w:t>Vedvarende remisjon: remisjon fra uke 12 til uke 52</w:t>
      </w:r>
      <w:r w:rsidRPr="00A942F6">
        <w:rPr>
          <w:sz w:val="18"/>
          <w:szCs w:val="18"/>
          <w:lang w:val="nb-NO"/>
        </w:rPr>
        <w:t xml:space="preserve"> – pasienter må følge den protokoll-definerte nedtrappingen av prednison</w:t>
      </w:r>
    </w:p>
    <w:p w14:paraId="6D67FE1A" w14:textId="77777777" w:rsidR="005A42A2" w:rsidRPr="00A942F6" w:rsidRDefault="000D024D" w:rsidP="00641834">
      <w:pPr>
        <w:rPr>
          <w:sz w:val="18"/>
          <w:szCs w:val="18"/>
          <w:lang w:val="nb-NO"/>
        </w:rPr>
      </w:pPr>
      <w:r w:rsidRPr="00A942F6">
        <w:rPr>
          <w:sz w:val="18"/>
          <w:szCs w:val="18"/>
          <w:vertAlign w:val="superscript"/>
          <w:lang w:val="nb-NO"/>
        </w:rPr>
        <w:t>1</w:t>
      </w:r>
      <w:r w:rsidR="005A42A2" w:rsidRPr="00A942F6">
        <w:rPr>
          <w:sz w:val="18"/>
          <w:szCs w:val="18"/>
          <w:lang w:val="nb-NO"/>
        </w:rPr>
        <w:t xml:space="preserve"> analyse av tid (i dager) mellom klinisk remisjon og første oppbluss av sykdom</w:t>
      </w:r>
    </w:p>
    <w:p w14:paraId="498C16BE" w14:textId="77777777" w:rsidR="005A42A2" w:rsidRPr="00A942F6" w:rsidRDefault="005A42A2" w:rsidP="00641834">
      <w:pPr>
        <w:rPr>
          <w:sz w:val="18"/>
          <w:szCs w:val="18"/>
          <w:lang w:val="nb-NO"/>
        </w:rPr>
      </w:pPr>
      <w:r w:rsidRPr="00A942F6">
        <w:rPr>
          <w:sz w:val="18"/>
          <w:szCs w:val="18"/>
          <w:vertAlign w:val="superscript"/>
          <w:lang w:val="nb-NO"/>
        </w:rPr>
        <w:t>2</w:t>
      </w:r>
      <w:r w:rsidRPr="00A942F6">
        <w:rPr>
          <w:sz w:val="18"/>
          <w:szCs w:val="18"/>
          <w:lang w:val="nb-NO"/>
        </w:rPr>
        <w:t xml:space="preserve"> p-verdier er bestemt ved bruk av Van Elterens analyse for ikke-parametriske data</w:t>
      </w:r>
    </w:p>
    <w:p w14:paraId="1E515510" w14:textId="77777777" w:rsidR="000D024D" w:rsidRPr="00A942F6" w:rsidRDefault="005A42A2" w:rsidP="00641834">
      <w:pPr>
        <w:rPr>
          <w:sz w:val="18"/>
          <w:szCs w:val="18"/>
          <w:lang w:val="nb-NO"/>
        </w:rPr>
      </w:pPr>
      <w:r w:rsidRPr="00A942F6">
        <w:rPr>
          <w:sz w:val="18"/>
          <w:szCs w:val="18"/>
          <w:vertAlign w:val="superscript"/>
          <w:lang w:val="nb-NO"/>
        </w:rPr>
        <w:t>§</w:t>
      </w:r>
      <w:r w:rsidRPr="00A942F6">
        <w:rPr>
          <w:sz w:val="18"/>
          <w:szCs w:val="18"/>
          <w:lang w:val="nb-NO"/>
        </w:rPr>
        <w:t xml:space="preserve"> statistiske analyser er ikke gjennomført </w:t>
      </w:r>
    </w:p>
    <w:p w14:paraId="3138F8B7" w14:textId="77777777" w:rsidR="005A42A2" w:rsidRPr="00A942F6" w:rsidRDefault="005A42A2" w:rsidP="00641834">
      <w:pPr>
        <w:rPr>
          <w:sz w:val="18"/>
          <w:szCs w:val="18"/>
          <w:lang w:val="nb-NO"/>
        </w:rPr>
      </w:pPr>
      <w:r w:rsidRPr="00A942F6">
        <w:rPr>
          <w:sz w:val="18"/>
          <w:szCs w:val="18"/>
          <w:lang w:val="nb-NO"/>
        </w:rPr>
        <w:t>N/A= ikke relevant</w:t>
      </w:r>
    </w:p>
    <w:p w14:paraId="71AA5D45" w14:textId="77777777" w:rsidR="005A42A2" w:rsidRPr="00A942F6" w:rsidRDefault="005A42A2" w:rsidP="00641834">
      <w:pPr>
        <w:rPr>
          <w:sz w:val="18"/>
          <w:szCs w:val="18"/>
          <w:lang w:val="nb-NO"/>
        </w:rPr>
      </w:pPr>
      <w:r w:rsidRPr="00A942F6">
        <w:rPr>
          <w:sz w:val="18"/>
          <w:szCs w:val="18"/>
          <w:lang w:val="nb-NO"/>
        </w:rPr>
        <w:t>HR = hazard ratio</w:t>
      </w:r>
    </w:p>
    <w:p w14:paraId="2FC90346" w14:textId="77777777" w:rsidR="005A42A2" w:rsidRPr="00A942F6" w:rsidRDefault="005A42A2" w:rsidP="00641834">
      <w:pPr>
        <w:rPr>
          <w:sz w:val="18"/>
          <w:szCs w:val="18"/>
          <w:lang w:val="nb-NO"/>
        </w:rPr>
      </w:pPr>
      <w:r w:rsidRPr="00A942F6">
        <w:rPr>
          <w:sz w:val="18"/>
          <w:szCs w:val="18"/>
          <w:lang w:val="nb-NO"/>
        </w:rPr>
        <w:t>KI = konfidensintervall</w:t>
      </w:r>
    </w:p>
    <w:p w14:paraId="4D8F5AC9" w14:textId="77777777" w:rsidR="005A42A2" w:rsidRPr="00A942F6" w:rsidRDefault="005A42A2" w:rsidP="00641834">
      <w:pPr>
        <w:rPr>
          <w:lang w:val="nb-NO"/>
        </w:rPr>
      </w:pPr>
    </w:p>
    <w:p w14:paraId="0F9AC05E" w14:textId="77777777" w:rsidR="005A42A2" w:rsidRPr="00A942F6" w:rsidRDefault="005A42A2" w:rsidP="00641834">
      <w:pPr>
        <w:pStyle w:val="Style1Iitaic"/>
        <w:rPr>
          <w:lang w:val="nb-NO"/>
        </w:rPr>
      </w:pPr>
      <w:r w:rsidRPr="00A942F6">
        <w:rPr>
          <w:lang w:val="nb-NO"/>
        </w:rPr>
        <w:t>Resultater i forhold til livskvalitet</w:t>
      </w:r>
    </w:p>
    <w:p w14:paraId="3ED2867A" w14:textId="77777777" w:rsidR="005A42A2" w:rsidRPr="00A942F6" w:rsidRDefault="005A42A2" w:rsidP="00641834">
      <w:pPr>
        <w:rPr>
          <w:lang w:val="nb-NO"/>
        </w:rPr>
      </w:pPr>
    </w:p>
    <w:p w14:paraId="2D7DD63B" w14:textId="54B8F9CA" w:rsidR="005A42A2" w:rsidRPr="00A942F6" w:rsidRDefault="005A42A2" w:rsidP="00641834">
      <w:pPr>
        <w:rPr>
          <w:lang w:val="nb-NO"/>
        </w:rPr>
      </w:pPr>
      <w:r w:rsidRPr="00A942F6">
        <w:rPr>
          <w:lang w:val="nb-NO"/>
        </w:rPr>
        <w:lastRenderedPageBreak/>
        <w:t xml:space="preserve">I studie WA28119 ble SF-36-resultatene oppdelt i fysisk og mental samlet komponentscore for livskvalitet (henholdsvis Physical Component Summary, PCS og Mental Component Summary, MCS). Den gjennomsnittlige endringen i PCS fra "baseline" til uke 52 var høyere (viste mer forbedring) i gruppene som fikk </w:t>
      </w:r>
      <w:r w:rsidR="000850FE" w:rsidRPr="00A942F6">
        <w:rPr>
          <w:lang w:val="nb-NO"/>
        </w:rPr>
        <w:t>tocilizumab</w:t>
      </w:r>
      <w:r w:rsidRPr="00A942F6">
        <w:rPr>
          <w:lang w:val="nb-NO"/>
        </w:rPr>
        <w:t xml:space="preserve"> ukentlig og annenhver uke [henholdvis 4,10 og 2,76] enn i de to placebogruppene [placebo pluss 26 uker: -0,28, placebo pluss 52 uker: -1,49], selv om kun gruppen som fikk </w:t>
      </w:r>
      <w:r w:rsidR="000850FE" w:rsidRPr="00A942F6">
        <w:rPr>
          <w:lang w:val="nb-NO"/>
        </w:rPr>
        <w:t>tocilizumab</w:t>
      </w:r>
      <w:r w:rsidRPr="00A942F6">
        <w:rPr>
          <w:lang w:val="nb-NO"/>
        </w:rPr>
        <w:t xml:space="preserve"> ukentlig pluss 26 ukers nedtrapping av prednison sammenlignet med gruppen som fikk placebo pluss 52 ukers nedtrapping av prednison (5,59, 99% KI: 8,6, 10,32) viste en statistisk signifikant forskjell (p=0,0024). For MCS var den gjennomsnittlige endringen fra "baseline" til uke 52 i begge gruppene som fikk </w:t>
      </w:r>
      <w:r w:rsidR="000850FE" w:rsidRPr="00A942F6">
        <w:rPr>
          <w:lang w:val="nb-NO"/>
        </w:rPr>
        <w:t>tocilizumab</w:t>
      </w:r>
      <w:r w:rsidRPr="00A942F6">
        <w:rPr>
          <w:lang w:val="nb-NO"/>
        </w:rPr>
        <w:t xml:space="preserve"> ukentlig og annenhver uke [henholdsvis 7,28, 6,12] høyere enn i gruppen som fikk placebo pluss 52 uker nedtrapping av prednison [2,84] (selv om forskjellene ikke var statistisk signifikant [ukentlig p=0,0252 for ukentlig, p=0,1468 for annenhver uke]) og tilsvarende med gruppen som fikk placebo pluss 26 uker nedtrapping av prednison [6,67].</w:t>
      </w:r>
    </w:p>
    <w:p w14:paraId="4F905C17" w14:textId="77777777" w:rsidR="005A42A2" w:rsidRPr="00A942F6" w:rsidRDefault="005A42A2" w:rsidP="00641834">
      <w:pPr>
        <w:rPr>
          <w:lang w:val="nb-NO"/>
        </w:rPr>
      </w:pPr>
    </w:p>
    <w:p w14:paraId="7029C335" w14:textId="3F6F5D97" w:rsidR="005A42A2" w:rsidRPr="00A942F6" w:rsidRDefault="005A42A2" w:rsidP="00641834">
      <w:pPr>
        <w:rPr>
          <w:lang w:val="nb-NO"/>
        </w:rPr>
      </w:pPr>
      <w:r w:rsidRPr="00A942F6">
        <w:rPr>
          <w:lang w:val="nb-NO"/>
        </w:rPr>
        <w:t xml:space="preserve">Pasientens vurdering ("Global assessment") av sykdomsaktivitet ble vurdert på en 0-100 mm visuell analog skala (VAS). Den gjennomsnittlige endringen i pasientens globale VAS fra "baseline" i uke 52 var lavere (viste større forbedring) i gruppene som fikk </w:t>
      </w:r>
      <w:r w:rsidR="000850FE" w:rsidRPr="00A942F6">
        <w:rPr>
          <w:lang w:val="nb-NO"/>
        </w:rPr>
        <w:t>tocilizumab</w:t>
      </w:r>
      <w:r w:rsidRPr="00A942F6">
        <w:rPr>
          <w:lang w:val="nb-NO"/>
        </w:rPr>
        <w:t xml:space="preserve"> ukentlig og annenhver uke [-19,0,</w:t>
      </w:r>
      <w:r w:rsidR="000D024D" w:rsidRPr="00A942F6">
        <w:rPr>
          <w:lang w:val="nb-NO"/>
        </w:rPr>
        <w:t xml:space="preserve"> </w:t>
      </w:r>
      <w:r w:rsidRPr="00A942F6">
        <w:rPr>
          <w:lang w:val="nb-NO"/>
        </w:rPr>
        <w:t xml:space="preserve">-25,3] enn i begge placebogruppene [placebo pluss 26 uker -3,4, placebo pluss 52 uker -7,2], selv om bare gruppen som fikk </w:t>
      </w:r>
      <w:r w:rsidR="000850FE" w:rsidRPr="00A942F6">
        <w:rPr>
          <w:lang w:val="nb-NO"/>
        </w:rPr>
        <w:t>tocilizumab</w:t>
      </w:r>
      <w:r w:rsidRPr="00A942F6">
        <w:rPr>
          <w:lang w:val="nb-NO"/>
        </w:rPr>
        <w:t xml:space="preserve"> annenhver uke pluss 26 uker nedtrapping av prednison viste en statistisk signifikant forskjell sammenlignet med placebo [placebo pluss 26 uker nedtrapping p=0,0059 og placebo pluss 52 uker nedtrapping p=0,0081].</w:t>
      </w:r>
    </w:p>
    <w:p w14:paraId="0D32B4D4" w14:textId="77777777" w:rsidR="000D024D" w:rsidRPr="00A942F6" w:rsidRDefault="000D024D" w:rsidP="00641834">
      <w:pPr>
        <w:rPr>
          <w:lang w:val="nb-NO"/>
        </w:rPr>
      </w:pPr>
    </w:p>
    <w:p w14:paraId="6D4FE422" w14:textId="24C6EF42" w:rsidR="005A42A2" w:rsidRPr="00A942F6" w:rsidRDefault="005A42A2" w:rsidP="00641834">
      <w:pPr>
        <w:rPr>
          <w:lang w:val="nb-NO"/>
        </w:rPr>
      </w:pPr>
      <w:r w:rsidRPr="00A942F6">
        <w:rPr>
          <w:lang w:val="nb-NO"/>
        </w:rPr>
        <w:t xml:space="preserve">Endring i FACIT-fatigue-score fra "baseline" til uke 52 ble beregnet for alle grupper. De gjennomsnittlige [SD] endringspoengene var som følger: </w:t>
      </w:r>
      <w:r w:rsidR="000850FE" w:rsidRPr="00A942F6">
        <w:rPr>
          <w:lang w:val="nb-NO"/>
        </w:rPr>
        <w:t>tocilizumab</w:t>
      </w:r>
      <w:r w:rsidRPr="00A942F6">
        <w:rPr>
          <w:lang w:val="nb-NO"/>
        </w:rPr>
        <w:t xml:space="preserve"> ukentlig pluss 26</w:t>
      </w:r>
      <w:r w:rsidR="002E140C">
        <w:rPr>
          <w:lang w:val="nb-NO"/>
        </w:rPr>
        <w:t> </w:t>
      </w:r>
      <w:r w:rsidRPr="00A942F6">
        <w:rPr>
          <w:lang w:val="nb-NO"/>
        </w:rPr>
        <w:t xml:space="preserve">uker 5,61 [10,115], </w:t>
      </w:r>
      <w:r w:rsidR="000850FE" w:rsidRPr="00A942F6">
        <w:rPr>
          <w:lang w:val="nb-NO"/>
        </w:rPr>
        <w:t>tocilizumab</w:t>
      </w:r>
      <w:r w:rsidRPr="00A942F6">
        <w:rPr>
          <w:lang w:val="nb-NO"/>
        </w:rPr>
        <w:t xml:space="preserve"> annenhver uke pluss 26 uker 1,81 [8,836], placebo pluss 26 uker 0,26 [10,702]</w:t>
      </w:r>
    </w:p>
    <w:p w14:paraId="2CEFD241" w14:textId="77777777" w:rsidR="005A42A2" w:rsidRPr="00A942F6" w:rsidRDefault="005A42A2" w:rsidP="00641834">
      <w:pPr>
        <w:rPr>
          <w:lang w:val="nb-NO"/>
        </w:rPr>
      </w:pPr>
      <w:r w:rsidRPr="00A942F6">
        <w:rPr>
          <w:lang w:val="nb-NO"/>
        </w:rPr>
        <w:t>og placebo pluss 52 uker -1,63 [6,753].</w:t>
      </w:r>
    </w:p>
    <w:p w14:paraId="0761E2A8" w14:textId="77777777" w:rsidR="005A42A2" w:rsidRPr="00A942F6" w:rsidRDefault="005A42A2" w:rsidP="00641834">
      <w:pPr>
        <w:rPr>
          <w:lang w:val="nb-NO"/>
        </w:rPr>
      </w:pPr>
    </w:p>
    <w:p w14:paraId="5140EEBE" w14:textId="61C8579B" w:rsidR="005A42A2" w:rsidRPr="00A942F6" w:rsidRDefault="005A42A2" w:rsidP="00641834">
      <w:pPr>
        <w:rPr>
          <w:lang w:val="nb-NO"/>
        </w:rPr>
      </w:pPr>
      <w:r w:rsidRPr="00A942F6">
        <w:rPr>
          <w:lang w:val="nb-NO"/>
        </w:rPr>
        <w:t xml:space="preserve">Endring i EQ5D-score fra "baseline" til uke 52 var for </w:t>
      </w:r>
      <w:r w:rsidR="000850FE" w:rsidRPr="00A942F6">
        <w:rPr>
          <w:lang w:val="nb-NO"/>
        </w:rPr>
        <w:t>tocilizumab</w:t>
      </w:r>
      <w:r w:rsidRPr="00A942F6">
        <w:rPr>
          <w:lang w:val="nb-NO"/>
        </w:rPr>
        <w:t xml:space="preserve"> ukentlig pluss 26 uker 0,10 [0,198], </w:t>
      </w:r>
      <w:r w:rsidR="000850FE" w:rsidRPr="00A942F6">
        <w:rPr>
          <w:lang w:val="nb-NO"/>
        </w:rPr>
        <w:t>tocilizumab</w:t>
      </w:r>
      <w:r w:rsidRPr="00A942F6">
        <w:rPr>
          <w:lang w:val="nb-NO"/>
        </w:rPr>
        <w:t xml:space="preserve"> annenhver uke pluss 26 uker 0,05 [0,215], placebo pluss 26 uker 0,07 [0,293] og placebo</w:t>
      </w:r>
    </w:p>
    <w:p w14:paraId="4313D334" w14:textId="77777777" w:rsidR="005A42A2" w:rsidRPr="00A942F6" w:rsidRDefault="005A42A2" w:rsidP="00641834">
      <w:pPr>
        <w:rPr>
          <w:lang w:val="nb-NO"/>
        </w:rPr>
      </w:pPr>
      <w:r w:rsidRPr="00A942F6">
        <w:rPr>
          <w:lang w:val="nb-NO"/>
        </w:rPr>
        <w:t>pluss 52 uker -0,02 [0,159].</w:t>
      </w:r>
    </w:p>
    <w:p w14:paraId="6A9A461C" w14:textId="77777777" w:rsidR="000D024D" w:rsidRPr="00A942F6" w:rsidRDefault="000D024D" w:rsidP="00641834">
      <w:pPr>
        <w:rPr>
          <w:lang w:val="nb-NO"/>
        </w:rPr>
      </w:pPr>
    </w:p>
    <w:p w14:paraId="3B80804E" w14:textId="77777777" w:rsidR="005A42A2" w:rsidRPr="00A942F6" w:rsidRDefault="005A42A2" w:rsidP="00641834">
      <w:pPr>
        <w:rPr>
          <w:lang w:val="nb-NO"/>
        </w:rPr>
      </w:pPr>
      <w:r w:rsidRPr="00A942F6">
        <w:rPr>
          <w:lang w:val="nb-NO"/>
        </w:rPr>
        <w:t>Høy score indikerer forbedring i både FACIT-fatigue og EQ5D.</w:t>
      </w:r>
    </w:p>
    <w:p w14:paraId="4BC70BE6" w14:textId="77777777" w:rsidR="005A42A2" w:rsidRPr="00A942F6" w:rsidRDefault="005A42A2" w:rsidP="00641834">
      <w:pPr>
        <w:rPr>
          <w:lang w:val="nb-NO"/>
        </w:rPr>
      </w:pPr>
    </w:p>
    <w:p w14:paraId="2E204F0C" w14:textId="77777777" w:rsidR="005A42A2" w:rsidRPr="00A942F6" w:rsidRDefault="005A42A2" w:rsidP="00641834">
      <w:pPr>
        <w:pStyle w:val="Style1underline"/>
        <w:rPr>
          <w:lang w:val="nb-NO"/>
        </w:rPr>
      </w:pPr>
      <w:r w:rsidRPr="00A942F6">
        <w:rPr>
          <w:lang w:val="nb-NO"/>
        </w:rPr>
        <w:t>Intravenøs bruk</w:t>
      </w:r>
    </w:p>
    <w:p w14:paraId="288546B1" w14:textId="77777777" w:rsidR="005A42A2" w:rsidRPr="00C71B5F" w:rsidRDefault="005A42A2" w:rsidP="00641834">
      <w:pPr>
        <w:pStyle w:val="Style1underline"/>
        <w:rPr>
          <w:b/>
          <w:bCs/>
          <w:lang w:val="nb-NO"/>
        </w:rPr>
      </w:pPr>
      <w:r w:rsidRPr="00C71B5F">
        <w:rPr>
          <w:b/>
          <w:bCs/>
          <w:lang w:val="nb-NO"/>
        </w:rPr>
        <w:t>RA</w:t>
      </w:r>
    </w:p>
    <w:p w14:paraId="1BF5CB25" w14:textId="77777777" w:rsidR="005A42A2" w:rsidRPr="00A942F6" w:rsidRDefault="005A42A2" w:rsidP="00641834">
      <w:pPr>
        <w:pStyle w:val="Style1underline"/>
        <w:rPr>
          <w:lang w:val="nb-NO"/>
        </w:rPr>
      </w:pPr>
      <w:r w:rsidRPr="00A942F6">
        <w:rPr>
          <w:lang w:val="nb-NO"/>
        </w:rPr>
        <w:t>Klinisk effekt</w:t>
      </w:r>
    </w:p>
    <w:p w14:paraId="3F7F11EC" w14:textId="5DD5BB6F" w:rsidR="005A42A2" w:rsidRPr="00A942F6" w:rsidRDefault="005A42A2" w:rsidP="00641834">
      <w:pPr>
        <w:rPr>
          <w:lang w:val="nb-NO"/>
        </w:rPr>
      </w:pPr>
      <w:r w:rsidRPr="00A942F6">
        <w:rPr>
          <w:lang w:val="nb-NO"/>
        </w:rPr>
        <w:t xml:space="preserve">Effekten av </w:t>
      </w:r>
      <w:r w:rsidR="000850FE" w:rsidRPr="00A942F6">
        <w:rPr>
          <w:lang w:val="nb-NO"/>
        </w:rPr>
        <w:t>tocilizumab</w:t>
      </w:r>
      <w:r w:rsidRPr="00A942F6">
        <w:rPr>
          <w:lang w:val="nb-NO"/>
        </w:rPr>
        <w:t xml:space="preserve"> ved lindring av symptomer og symptomer ved RA ble undersøkt i fem randomiserte, dobbeltblinde multisenterstudier. Studie I-V inkluderte pasienter </w:t>
      </w:r>
      <w:r w:rsidR="00F36EEE" w:rsidRPr="00A942F6">
        <w:rPr>
          <w:rFonts w:cs="Times New Roman"/>
          <w:lang w:val="nb-NO"/>
        </w:rPr>
        <w:t>≥</w:t>
      </w:r>
      <w:r w:rsidRPr="00A942F6">
        <w:rPr>
          <w:lang w:val="nb-NO"/>
        </w:rPr>
        <w:t xml:space="preserve"> 18 år med aktiv RA, diagnostisert i henhold til American College of Rheumatology (ACR)-kriterier og som hadde minst åtte ømme og seks hovne ledd ved behandlingsstart.</w:t>
      </w:r>
    </w:p>
    <w:p w14:paraId="08DF6F84" w14:textId="77777777" w:rsidR="000D024D" w:rsidRPr="00A942F6" w:rsidRDefault="000D024D" w:rsidP="00641834">
      <w:pPr>
        <w:rPr>
          <w:lang w:val="nb-NO"/>
        </w:rPr>
      </w:pPr>
    </w:p>
    <w:p w14:paraId="7EC5DA30" w14:textId="5D64B8AB" w:rsidR="005A42A2" w:rsidRPr="00A942F6" w:rsidRDefault="005A42A2" w:rsidP="00641834">
      <w:pPr>
        <w:rPr>
          <w:lang w:val="nb-NO"/>
        </w:rPr>
      </w:pPr>
      <w:r w:rsidRPr="00A942F6">
        <w:rPr>
          <w:lang w:val="nb-NO"/>
        </w:rPr>
        <w:t xml:space="preserve">I studie I ble </w:t>
      </w:r>
      <w:r w:rsidR="000850FE" w:rsidRPr="00A942F6">
        <w:rPr>
          <w:lang w:val="nb-NO"/>
        </w:rPr>
        <w:t>tocilizumab</w:t>
      </w:r>
      <w:r w:rsidRPr="00A942F6">
        <w:rPr>
          <w:lang w:val="nb-NO"/>
        </w:rPr>
        <w:t xml:space="preserve"> administrert intravenøst hver fjerde uke som monoterapi. I studie II, III og V ble </w:t>
      </w:r>
      <w:r w:rsidR="000850FE" w:rsidRPr="00A942F6">
        <w:rPr>
          <w:lang w:val="nb-NO"/>
        </w:rPr>
        <w:t>tocilizumab</w:t>
      </w:r>
      <w:r w:rsidRPr="00A942F6">
        <w:rPr>
          <w:lang w:val="nb-NO"/>
        </w:rPr>
        <w:t xml:space="preserve"> administrert intravenøst hver fjerde uke i kombinasjon med metotreksat versus placebo kombinert med metotreksat. I studie IV ble </w:t>
      </w:r>
      <w:r w:rsidR="000850FE" w:rsidRPr="00A942F6">
        <w:rPr>
          <w:lang w:val="nb-NO"/>
        </w:rPr>
        <w:t>tocilizumab</w:t>
      </w:r>
      <w:r w:rsidRPr="00A942F6">
        <w:rPr>
          <w:lang w:val="nb-NO"/>
        </w:rPr>
        <w:t xml:space="preserve"> administrert intravenøst hver fjerde uke i kombinasjon med andre DMARDs versus placebo kombinert med andre DMARDs. Primært endepunkt for alle fem studiene var andel pasienter som oppnådde ACR 20-respons ved uke 24.</w:t>
      </w:r>
    </w:p>
    <w:p w14:paraId="07506F55" w14:textId="77777777" w:rsidR="005A42A2" w:rsidRPr="00A942F6" w:rsidRDefault="005A42A2" w:rsidP="00641834">
      <w:pPr>
        <w:rPr>
          <w:lang w:val="nb-NO"/>
        </w:rPr>
      </w:pPr>
    </w:p>
    <w:p w14:paraId="33CBC827" w14:textId="7C0D6F1B" w:rsidR="005A42A2" w:rsidRPr="00A942F6" w:rsidRDefault="005A42A2" w:rsidP="00641834">
      <w:pPr>
        <w:rPr>
          <w:lang w:val="nb-NO"/>
        </w:rPr>
      </w:pPr>
      <w:r w:rsidRPr="00A942F6">
        <w:rPr>
          <w:lang w:val="nb-NO"/>
        </w:rPr>
        <w:t xml:space="preserve">Studie I evaluerte 673 pasienter som ikke hadde blitt behandlet med metotreksat de siste seks måneder før randomisering, og som ikke hadde avsluttet tidligere metotreksatbehandling på grunn av klinisk viktige toksiske effekter eller mangel på effekt. De fleste (67 %) av pasientene var metotreksat-naive. </w:t>
      </w:r>
      <w:r w:rsidR="000850FE" w:rsidRPr="00A942F6">
        <w:rPr>
          <w:lang w:val="nb-NO"/>
        </w:rPr>
        <w:t>tocilizumab</w:t>
      </w:r>
      <w:r w:rsidRPr="00A942F6">
        <w:rPr>
          <w:lang w:val="nb-NO"/>
        </w:rPr>
        <w:t xml:space="preserve"> 8 mg/kg ble gitt som monoterapi hver fjerde uke. Kontrollgruppen fikk ukentlig metotreksat (dosetitrert fra 7,5 mg til maksimalt 20 mg ukentlig i løpet av en åtteukers periode).</w:t>
      </w:r>
    </w:p>
    <w:p w14:paraId="2BCA4375" w14:textId="77777777" w:rsidR="000D024D" w:rsidRPr="00A942F6" w:rsidRDefault="000D024D" w:rsidP="00641834">
      <w:pPr>
        <w:rPr>
          <w:lang w:val="nb-NO"/>
        </w:rPr>
      </w:pPr>
    </w:p>
    <w:p w14:paraId="098A9754" w14:textId="4332C427" w:rsidR="005A42A2" w:rsidRPr="00A942F6" w:rsidRDefault="005A42A2" w:rsidP="00641834">
      <w:pPr>
        <w:rPr>
          <w:lang w:val="nb-NO"/>
        </w:rPr>
      </w:pPr>
      <w:r w:rsidRPr="00A942F6">
        <w:rPr>
          <w:lang w:val="nb-NO"/>
        </w:rPr>
        <w:t xml:space="preserve">Studie II gikk over to år og hadde planlagte analyser ved uke 24, uke 52 og uke 104. 1196 pasienter med utilstrekkelig klinisk respons på metotreksat ble evaluert. </w:t>
      </w:r>
      <w:r w:rsidR="000850FE" w:rsidRPr="00A942F6">
        <w:rPr>
          <w:lang w:val="nb-NO"/>
        </w:rPr>
        <w:t>tocilizumab</w:t>
      </w:r>
      <w:r w:rsidRPr="00A942F6">
        <w:rPr>
          <w:lang w:val="nb-NO"/>
        </w:rPr>
        <w:t xml:space="preserve"> 4 eller 8 mg/kg eller placebo ble gitt som blindet behandling hver fjerde uke i 52 uker, kombinert med stabil dose metotreksat (10-25 mg ukentlig). Etter uke 52 kunne alle pasientene motta åpen behandling med </w:t>
      </w:r>
      <w:r w:rsidR="000850FE" w:rsidRPr="00A942F6">
        <w:rPr>
          <w:lang w:val="nb-NO"/>
        </w:rPr>
        <w:t>tocilizumab</w:t>
      </w:r>
      <w:r w:rsidRPr="00A942F6">
        <w:rPr>
          <w:lang w:val="nb-NO"/>
        </w:rPr>
        <w:t xml:space="preserve"> 8 mg/kg. Av de pasientene som fullførte studien som opprinnelig var randomisert til </w:t>
      </w:r>
      <w:r w:rsidRPr="00A942F6">
        <w:rPr>
          <w:lang w:val="nb-NO"/>
        </w:rPr>
        <w:lastRenderedPageBreak/>
        <w:t xml:space="preserve">placebo + metotreksat, fikk 86% åpen </w:t>
      </w:r>
      <w:r w:rsidR="000850FE" w:rsidRPr="00A942F6">
        <w:rPr>
          <w:lang w:val="nb-NO"/>
        </w:rPr>
        <w:t>tocilizumab</w:t>
      </w:r>
      <w:r w:rsidRPr="00A942F6">
        <w:rPr>
          <w:lang w:val="nb-NO"/>
        </w:rPr>
        <w:t xml:space="preserve"> 8 mg/kg i år 2. Det primære endepunktet ved uke 24 var andel pasienter som oppnådde ACR 20-respons. Ved uke 52 og uke 104 var de koprimære endepunktene forebygging av leddskade og forbedring av fysisk funksjon.</w:t>
      </w:r>
    </w:p>
    <w:p w14:paraId="24DC315B" w14:textId="77777777" w:rsidR="005A42A2" w:rsidRPr="00A942F6" w:rsidRDefault="005A42A2" w:rsidP="00641834">
      <w:pPr>
        <w:rPr>
          <w:lang w:val="nb-NO"/>
        </w:rPr>
      </w:pPr>
    </w:p>
    <w:p w14:paraId="2E5E409C" w14:textId="0D9BDEF8" w:rsidR="005A42A2" w:rsidRPr="00A942F6" w:rsidRDefault="005A42A2" w:rsidP="00641834">
      <w:pPr>
        <w:rPr>
          <w:lang w:val="nb-NO"/>
        </w:rPr>
      </w:pPr>
      <w:r w:rsidRPr="00A942F6">
        <w:rPr>
          <w:lang w:val="nb-NO"/>
        </w:rPr>
        <w:t xml:space="preserve">Studie III evaluerte 623 pasienter med utilstrekkelig klinisk respons på metotreksat. </w:t>
      </w:r>
      <w:r w:rsidR="000850FE" w:rsidRPr="00A942F6">
        <w:rPr>
          <w:lang w:val="nb-NO"/>
        </w:rPr>
        <w:t>tocilizumab</w:t>
      </w:r>
      <w:r w:rsidRPr="00A942F6">
        <w:rPr>
          <w:lang w:val="nb-NO"/>
        </w:rPr>
        <w:t xml:space="preserve"> 4 eller 8 mg/kg eller placebo ble gitt som blindet behandling hver fjerde uke i kombinasjon med stabil dose metotreksat (10 mg til 25 mg ukentlig).</w:t>
      </w:r>
    </w:p>
    <w:p w14:paraId="70E15E43" w14:textId="77777777" w:rsidR="000D024D" w:rsidRPr="00A942F6" w:rsidRDefault="000D024D" w:rsidP="00641834">
      <w:pPr>
        <w:rPr>
          <w:lang w:val="nb-NO"/>
        </w:rPr>
      </w:pPr>
    </w:p>
    <w:p w14:paraId="10EA1605" w14:textId="2FC5788E" w:rsidR="005A42A2" w:rsidRPr="00A942F6" w:rsidRDefault="005A42A2" w:rsidP="00641834">
      <w:pPr>
        <w:rPr>
          <w:lang w:val="nb-NO"/>
        </w:rPr>
      </w:pPr>
      <w:r w:rsidRPr="00A942F6">
        <w:rPr>
          <w:lang w:val="nb-NO"/>
        </w:rPr>
        <w:t xml:space="preserve">Studie IV evaluerte 1 220 RA-pasienter med utilstrekkelig respons på eksisterende behandling, inkludert en eller flere DMARDs. </w:t>
      </w:r>
      <w:r w:rsidR="000850FE" w:rsidRPr="00A942F6">
        <w:rPr>
          <w:lang w:val="nb-NO"/>
        </w:rPr>
        <w:t>tocilizumab</w:t>
      </w:r>
      <w:r w:rsidRPr="00A942F6">
        <w:rPr>
          <w:lang w:val="nb-NO"/>
        </w:rPr>
        <w:t xml:space="preserve"> 8 mg/kg eller placebo ble gitt hver fjerde uke i kombinasjon med stabile doser DMARDs.</w:t>
      </w:r>
    </w:p>
    <w:p w14:paraId="7F5B8405" w14:textId="77777777" w:rsidR="005A42A2" w:rsidRPr="00A942F6" w:rsidRDefault="005A42A2" w:rsidP="00641834">
      <w:pPr>
        <w:rPr>
          <w:lang w:val="nb-NO"/>
        </w:rPr>
      </w:pPr>
    </w:p>
    <w:p w14:paraId="74E4BB95" w14:textId="77777777" w:rsidR="005A42A2" w:rsidRPr="00A942F6" w:rsidRDefault="005A42A2" w:rsidP="00641834">
      <w:pPr>
        <w:rPr>
          <w:lang w:val="nb-NO"/>
        </w:rPr>
      </w:pPr>
      <w:r w:rsidRPr="00A942F6">
        <w:rPr>
          <w:lang w:val="nb-NO"/>
        </w:rPr>
        <w:t>Studie V evaluerte 499 pasienter med utilstrekkelig klinisk respons eller som var intolerante overfor en eller flere TNF-hemmere. Behandling med TNF-hemmere ble avsluttet før randomisering.</w:t>
      </w:r>
    </w:p>
    <w:p w14:paraId="05FD486E" w14:textId="45AEBCB9" w:rsidR="005A42A2" w:rsidRPr="00A942F6" w:rsidRDefault="000850FE" w:rsidP="00641834">
      <w:pPr>
        <w:rPr>
          <w:lang w:val="nb-NO"/>
        </w:rPr>
      </w:pPr>
      <w:r w:rsidRPr="00A942F6">
        <w:rPr>
          <w:lang w:val="nb-NO"/>
        </w:rPr>
        <w:t>tocilizumab</w:t>
      </w:r>
      <w:r w:rsidR="005A42A2" w:rsidRPr="00A942F6">
        <w:rPr>
          <w:lang w:val="nb-NO"/>
        </w:rPr>
        <w:t xml:space="preserve"> 4 eller 8 mg/kg eller placebo ble gitt hver fjerde uke i kombinasjon med stabil dose metotreksat (10 mg til 25 mg ukentlig).</w:t>
      </w:r>
    </w:p>
    <w:p w14:paraId="60D05CD4" w14:textId="77777777" w:rsidR="005A42A2" w:rsidRPr="00A942F6" w:rsidRDefault="005A42A2" w:rsidP="00641834">
      <w:pPr>
        <w:rPr>
          <w:lang w:val="nb-NO"/>
        </w:rPr>
      </w:pPr>
    </w:p>
    <w:p w14:paraId="34862C0D" w14:textId="77777777" w:rsidR="005A42A2" w:rsidRPr="00A942F6" w:rsidRDefault="005A42A2" w:rsidP="00641834">
      <w:pPr>
        <w:pStyle w:val="Style1underline"/>
        <w:rPr>
          <w:lang w:val="nb-NO"/>
        </w:rPr>
      </w:pPr>
      <w:r w:rsidRPr="00A942F6">
        <w:rPr>
          <w:lang w:val="nb-NO"/>
        </w:rPr>
        <w:t>Klinisk respons</w:t>
      </w:r>
    </w:p>
    <w:p w14:paraId="1A54ABF1" w14:textId="7856CFA4" w:rsidR="005A42A2" w:rsidRPr="00A942F6" w:rsidRDefault="005A42A2" w:rsidP="00641834">
      <w:pPr>
        <w:rPr>
          <w:lang w:val="nb-NO"/>
        </w:rPr>
      </w:pPr>
      <w:r w:rsidRPr="00A942F6">
        <w:rPr>
          <w:lang w:val="nb-NO"/>
        </w:rPr>
        <w:t xml:space="preserve">Pasienter behandlet med </w:t>
      </w:r>
      <w:r w:rsidR="000850FE" w:rsidRPr="00A942F6">
        <w:rPr>
          <w:lang w:val="nb-NO"/>
        </w:rPr>
        <w:t>tocilizumab</w:t>
      </w:r>
      <w:r w:rsidRPr="00A942F6">
        <w:rPr>
          <w:lang w:val="nb-NO"/>
        </w:rPr>
        <w:t xml:space="preserve"> 8 mg/kg hadde signifikant høyere ACR 20-, 50-, 70-responsrater etter 6 måneder i alle studiene, sammenlignet med kontrollgruppene (tabell 5). Studie I viste at </w:t>
      </w:r>
      <w:r w:rsidR="000850FE" w:rsidRPr="00A942F6">
        <w:rPr>
          <w:lang w:val="nb-NO"/>
        </w:rPr>
        <w:t>tocilizumab</w:t>
      </w:r>
      <w:r w:rsidRPr="00A942F6">
        <w:rPr>
          <w:lang w:val="nb-NO"/>
        </w:rPr>
        <w:t xml:space="preserve"> 8 mg/kg ga signifikant bedre effekt enn den aktive kontrollen metotreksat.</w:t>
      </w:r>
    </w:p>
    <w:p w14:paraId="3D54FF63" w14:textId="77777777" w:rsidR="005A42A2" w:rsidRPr="00A942F6" w:rsidRDefault="005A42A2" w:rsidP="00641834">
      <w:pPr>
        <w:rPr>
          <w:lang w:val="nb-NO"/>
        </w:rPr>
      </w:pPr>
    </w:p>
    <w:p w14:paraId="00D653B5" w14:textId="09C7B2A6" w:rsidR="005A42A2" w:rsidRPr="00A942F6" w:rsidRDefault="005A42A2" w:rsidP="00641834">
      <w:pPr>
        <w:rPr>
          <w:lang w:val="nb-NO"/>
        </w:rPr>
      </w:pPr>
      <w:r w:rsidRPr="00A942F6">
        <w:rPr>
          <w:lang w:val="nb-NO"/>
        </w:rPr>
        <w:t>Behandlingseffekten var tilsvarende for pasientene uavhengig av status for revmatoid faktor, alder, kjønn, rase, antall tidligere behandlinger eller sykdomsstatus. Effekten kom raskt (så tidlig som etter</w:t>
      </w:r>
      <w:r w:rsidR="002516FA" w:rsidRPr="00A942F6">
        <w:rPr>
          <w:lang w:val="nb-NO"/>
        </w:rPr>
        <w:t xml:space="preserve"> </w:t>
      </w:r>
      <w:r w:rsidRPr="00A942F6">
        <w:rPr>
          <w:lang w:val="nb-NO"/>
        </w:rPr>
        <w:t>2</w:t>
      </w:r>
      <w:r w:rsidR="002E140C">
        <w:rPr>
          <w:lang w:val="nb-NO"/>
        </w:rPr>
        <w:t> </w:t>
      </w:r>
      <w:r w:rsidRPr="00A942F6">
        <w:rPr>
          <w:lang w:val="nb-NO"/>
        </w:rPr>
        <w:t>uker) og responsen fortsatte å øke med behandlingens varighet. Vedvarende respons ble sett i over</w:t>
      </w:r>
      <w:r w:rsidR="002516FA" w:rsidRPr="00A942F6">
        <w:rPr>
          <w:lang w:val="nb-NO"/>
        </w:rPr>
        <w:t xml:space="preserve"> </w:t>
      </w:r>
      <w:r w:rsidRPr="00A942F6">
        <w:rPr>
          <w:lang w:val="nb-NO"/>
        </w:rPr>
        <w:t>3</w:t>
      </w:r>
      <w:r w:rsidR="002E140C">
        <w:rPr>
          <w:lang w:val="nb-NO"/>
        </w:rPr>
        <w:t> </w:t>
      </w:r>
      <w:r w:rsidRPr="00A942F6">
        <w:rPr>
          <w:lang w:val="nb-NO"/>
        </w:rPr>
        <w:t>år i de åpne forlengelsesstudiene I-V.</w:t>
      </w:r>
    </w:p>
    <w:p w14:paraId="3955F8F5" w14:textId="77777777" w:rsidR="005A42A2" w:rsidRPr="00A942F6" w:rsidRDefault="005A42A2" w:rsidP="00641834">
      <w:pPr>
        <w:rPr>
          <w:lang w:val="nb-NO"/>
        </w:rPr>
      </w:pPr>
    </w:p>
    <w:p w14:paraId="323C9D4E" w14:textId="3568CBA7" w:rsidR="005A42A2" w:rsidRPr="00A942F6" w:rsidRDefault="005A42A2" w:rsidP="00641834">
      <w:pPr>
        <w:rPr>
          <w:lang w:val="nb-NO"/>
        </w:rPr>
      </w:pPr>
      <w:r w:rsidRPr="00A942F6">
        <w:rPr>
          <w:lang w:val="nb-NO"/>
        </w:rPr>
        <w:t xml:space="preserve">Hos pasienter som ble behandlet med </w:t>
      </w:r>
      <w:r w:rsidR="000850FE" w:rsidRPr="00A942F6">
        <w:rPr>
          <w:lang w:val="nb-NO"/>
        </w:rPr>
        <w:t>tocilizumab</w:t>
      </w:r>
      <w:r w:rsidRPr="00A942F6">
        <w:rPr>
          <w:lang w:val="nb-NO"/>
        </w:rPr>
        <w:t xml:space="preserve"> 8 mg/kg ble det påvist signifikante forbedringer i alle individuelle komponenter av ACR-respons, inkludert ømme og hovne ledd, pasientens og legens helhetlige bedømmelse, ”disability index scores”, smertebedømmelse og CRP, sammenlignet med pasienter som fikk placebo pluss metotreksat eller andre DMARDs i alle studier.</w:t>
      </w:r>
    </w:p>
    <w:p w14:paraId="5A6B9785" w14:textId="77777777" w:rsidR="005A42A2" w:rsidRPr="00A942F6" w:rsidRDefault="005A42A2" w:rsidP="00641834">
      <w:pPr>
        <w:rPr>
          <w:lang w:val="nb-NO"/>
        </w:rPr>
      </w:pPr>
    </w:p>
    <w:p w14:paraId="6CA0AF84" w14:textId="56F32ACC" w:rsidR="005A42A2" w:rsidRPr="00A942F6" w:rsidRDefault="005A42A2" w:rsidP="00641834">
      <w:pPr>
        <w:rPr>
          <w:lang w:val="nb-NO"/>
        </w:rPr>
      </w:pPr>
      <w:r w:rsidRPr="00A942F6">
        <w:rPr>
          <w:lang w:val="nb-NO"/>
        </w:rPr>
        <w:t xml:space="preserve">Pasienter i studiene I-V hadde en gjennomsnittlig DAS28 (Disease Activity Score) på 6,5-6,8 ved utgangspunktet. En signifikant reduksjon i DAS28 (gjennomsnittlig forbedring) på 3,1-3,4 fra utgangspunktet ble observert hos pasienter behandlet med </w:t>
      </w:r>
      <w:r w:rsidR="000850FE" w:rsidRPr="00A942F6">
        <w:rPr>
          <w:lang w:val="nb-NO"/>
        </w:rPr>
        <w:t>tocilizumab</w:t>
      </w:r>
      <w:r w:rsidRPr="00A942F6">
        <w:rPr>
          <w:lang w:val="nb-NO"/>
        </w:rPr>
        <w:t xml:space="preserve"> sammenlignet med kontrollpasienter (1,3-2,1). Andelen pasienter som oppnådde en klinisk DAS28-remisjon</w:t>
      </w:r>
      <w:r w:rsidR="00F97D0A" w:rsidRPr="00A942F6">
        <w:rPr>
          <w:lang w:val="nb-NO"/>
        </w:rPr>
        <w:t xml:space="preserve"> </w:t>
      </w:r>
      <w:r w:rsidRPr="00A942F6">
        <w:rPr>
          <w:lang w:val="nb-NO"/>
        </w:rPr>
        <w:t>(DAS28 &lt;</w:t>
      </w:r>
      <w:r w:rsidR="00F97D0A" w:rsidRPr="00A942F6">
        <w:rPr>
          <w:lang w:val="nb-NO"/>
        </w:rPr>
        <w:t> </w:t>
      </w:r>
      <w:r w:rsidRPr="00A942F6">
        <w:rPr>
          <w:lang w:val="nb-NO"/>
        </w:rPr>
        <w:t xml:space="preserve">2,6) var signifikant høyere hos pasienter som fikk </w:t>
      </w:r>
      <w:r w:rsidR="000850FE" w:rsidRPr="00A942F6">
        <w:rPr>
          <w:lang w:val="nb-NO"/>
        </w:rPr>
        <w:t>tocilizumab</w:t>
      </w:r>
      <w:r w:rsidRPr="00A942F6">
        <w:rPr>
          <w:lang w:val="nb-NO"/>
        </w:rPr>
        <w:t xml:space="preserve"> (28-34 %) sammenlignet med 1-12 % av kontrollpasientene etter 24 uker. I studie II oppnådde 65 % av pasientene DAS28 &lt;</w:t>
      </w:r>
      <w:r w:rsidR="000D024D" w:rsidRPr="00A942F6">
        <w:rPr>
          <w:lang w:val="nb-NO"/>
        </w:rPr>
        <w:t> </w:t>
      </w:r>
      <w:r w:rsidRPr="00A942F6">
        <w:rPr>
          <w:lang w:val="nb-NO"/>
        </w:rPr>
        <w:t>2,6</w:t>
      </w:r>
      <w:r w:rsidR="000D024D" w:rsidRPr="00A942F6">
        <w:rPr>
          <w:lang w:val="nb-NO"/>
        </w:rPr>
        <w:t> </w:t>
      </w:r>
      <w:r w:rsidRPr="00A942F6">
        <w:rPr>
          <w:lang w:val="nb-NO"/>
        </w:rPr>
        <w:t>etter uke 104 sammenlignet med 48 % ved 52 uker og 33 % av pasientene ved uke 24.</w:t>
      </w:r>
    </w:p>
    <w:p w14:paraId="6B7A51DD" w14:textId="77777777" w:rsidR="000D024D" w:rsidRPr="00A942F6" w:rsidRDefault="000D024D" w:rsidP="00641834">
      <w:pPr>
        <w:rPr>
          <w:lang w:val="nb-NO"/>
        </w:rPr>
      </w:pPr>
    </w:p>
    <w:p w14:paraId="4EA36F50" w14:textId="0EAFBEF8" w:rsidR="005A42A2" w:rsidRPr="00A942F6" w:rsidRDefault="005A42A2" w:rsidP="00641834">
      <w:pPr>
        <w:rPr>
          <w:lang w:val="nb-NO"/>
        </w:rPr>
      </w:pPr>
      <w:r w:rsidRPr="00A942F6">
        <w:rPr>
          <w:lang w:val="nb-NO"/>
        </w:rPr>
        <w:t>I en samleanalyse av studie II, III og IV var andelen pasienter som fikk ACR20-, 50- og 70-respons signifikant høyere (henholdsvis 59 % vs. 50 %, 37 % vs. 27 %, 18 vs. 11 %) i gruppen som fikk tocilizumab 8 mg/kg pluss DMARD versus gruppen som fikk tocilizumab 4 mg/kg pluss DMARD (p&lt;</w:t>
      </w:r>
      <w:r w:rsidR="000D024D" w:rsidRPr="00A942F6">
        <w:rPr>
          <w:lang w:val="nb-NO"/>
        </w:rPr>
        <w:t> </w:t>
      </w:r>
      <w:r w:rsidRPr="00A942F6">
        <w:rPr>
          <w:lang w:val="nb-NO"/>
        </w:rPr>
        <w:t xml:space="preserve">0,03). Likedan var andelen pasienter som fikk DAS 28 remisjon (DAS28 &lt; 2,6) signifikant høyere (henholdsvis 31 % vs. 16 %) hos pasienter som fikk </w:t>
      </w:r>
      <w:r w:rsidR="000850FE" w:rsidRPr="00A942F6">
        <w:rPr>
          <w:lang w:val="nb-NO"/>
        </w:rPr>
        <w:t>tocilizumab</w:t>
      </w:r>
      <w:r w:rsidRPr="00A942F6">
        <w:rPr>
          <w:lang w:val="nb-NO"/>
        </w:rPr>
        <w:t xml:space="preserve"> 8 mg/kg pluss DMARD enn hos pasienter som fikk </w:t>
      </w:r>
      <w:r w:rsidR="000850FE" w:rsidRPr="00A942F6">
        <w:rPr>
          <w:lang w:val="nb-NO"/>
        </w:rPr>
        <w:t>tocilizumab</w:t>
      </w:r>
      <w:r w:rsidRPr="00A942F6">
        <w:rPr>
          <w:lang w:val="nb-NO"/>
        </w:rPr>
        <w:t xml:space="preserve"> 4 mg/kg pluss DMARD (p &lt; 0,0001).</w:t>
      </w:r>
    </w:p>
    <w:p w14:paraId="6EF23CC8" w14:textId="77777777" w:rsidR="005A42A2" w:rsidRPr="00A942F6" w:rsidRDefault="005A42A2" w:rsidP="00641834">
      <w:pPr>
        <w:rPr>
          <w:lang w:val="nb-NO"/>
        </w:rPr>
      </w:pPr>
    </w:p>
    <w:p w14:paraId="5E12B400" w14:textId="77777777" w:rsidR="005A42A2" w:rsidRPr="00A942F6" w:rsidRDefault="005A42A2" w:rsidP="008A72DA">
      <w:pPr>
        <w:pStyle w:val="Style1Iitaic"/>
        <w:rPr>
          <w:lang w:val="nb-NO"/>
        </w:rPr>
      </w:pPr>
      <w:r w:rsidRPr="00A942F6">
        <w:rPr>
          <w:lang w:val="nb-NO"/>
        </w:rPr>
        <w:t>Tabell 5. ACR respons i placebo-/ metotreksat-/ DMARD-kontrollerte studier (% pasienter)</w:t>
      </w:r>
    </w:p>
    <w:p w14:paraId="0E903AD8" w14:textId="77777777" w:rsidR="005A42A2" w:rsidRPr="00A942F6" w:rsidRDefault="005A42A2" w:rsidP="008A72DA">
      <w:pPr>
        <w:keepNext/>
        <w:rPr>
          <w:lang w:val="nb-NO"/>
        </w:rPr>
      </w:pPr>
    </w:p>
    <w:tbl>
      <w:tblPr>
        <w:tblW w:w="9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527"/>
        <w:gridCol w:w="868"/>
        <w:gridCol w:w="826"/>
        <w:gridCol w:w="868"/>
        <w:gridCol w:w="826"/>
        <w:gridCol w:w="882"/>
        <w:gridCol w:w="784"/>
        <w:gridCol w:w="979"/>
        <w:gridCol w:w="924"/>
        <w:gridCol w:w="896"/>
        <w:gridCol w:w="714"/>
      </w:tblGrid>
      <w:tr w:rsidR="005A42A2" w:rsidRPr="00A942F6" w14:paraId="1BEC6B0A" w14:textId="77777777" w:rsidTr="00D07125">
        <w:trPr>
          <w:cantSplit/>
          <w:trHeight w:val="20"/>
          <w:tblHeader/>
        </w:trPr>
        <w:tc>
          <w:tcPr>
            <w:tcW w:w="527" w:type="dxa"/>
          </w:tcPr>
          <w:p w14:paraId="4E2E37F3" w14:textId="77777777" w:rsidR="005A42A2" w:rsidRPr="00A942F6" w:rsidRDefault="005A42A2" w:rsidP="0036729A">
            <w:pPr>
              <w:pStyle w:val="TableParagraph"/>
              <w:keepNext/>
              <w:jc w:val="center"/>
              <w:rPr>
                <w:sz w:val="20"/>
                <w:szCs w:val="20"/>
                <w:lang w:val="nb-NO"/>
              </w:rPr>
            </w:pPr>
          </w:p>
        </w:tc>
        <w:tc>
          <w:tcPr>
            <w:tcW w:w="1694" w:type="dxa"/>
            <w:gridSpan w:val="2"/>
          </w:tcPr>
          <w:p w14:paraId="5E254A0E" w14:textId="77777777" w:rsidR="00BB4253" w:rsidRPr="00A942F6" w:rsidRDefault="005A42A2" w:rsidP="0036729A">
            <w:pPr>
              <w:pStyle w:val="TableParagraph"/>
              <w:keepNext/>
              <w:jc w:val="center"/>
              <w:rPr>
                <w:b/>
                <w:sz w:val="20"/>
                <w:szCs w:val="20"/>
                <w:lang w:val="nb-NO"/>
              </w:rPr>
            </w:pPr>
            <w:r w:rsidRPr="00A942F6">
              <w:rPr>
                <w:b/>
                <w:sz w:val="20"/>
                <w:szCs w:val="20"/>
                <w:lang w:val="nb-NO"/>
              </w:rPr>
              <w:t xml:space="preserve">Studie I </w:t>
            </w:r>
          </w:p>
          <w:p w14:paraId="5796E0B0" w14:textId="77777777" w:rsidR="005A42A2" w:rsidRPr="00A942F6" w:rsidRDefault="005A42A2" w:rsidP="0036729A">
            <w:pPr>
              <w:pStyle w:val="TableParagraph"/>
              <w:keepNext/>
              <w:jc w:val="center"/>
              <w:rPr>
                <w:b/>
                <w:sz w:val="20"/>
                <w:szCs w:val="20"/>
                <w:lang w:val="nb-NO"/>
              </w:rPr>
            </w:pPr>
            <w:r w:rsidRPr="00A942F6">
              <w:rPr>
                <w:b/>
                <w:sz w:val="20"/>
                <w:szCs w:val="20"/>
                <w:lang w:val="nb-NO"/>
              </w:rPr>
              <w:t>AMBITION</w:t>
            </w:r>
          </w:p>
        </w:tc>
        <w:tc>
          <w:tcPr>
            <w:tcW w:w="1694" w:type="dxa"/>
            <w:gridSpan w:val="2"/>
          </w:tcPr>
          <w:p w14:paraId="5236A577" w14:textId="77777777" w:rsidR="00BB4253" w:rsidRPr="00A942F6" w:rsidRDefault="00BB4253" w:rsidP="0036729A">
            <w:pPr>
              <w:pStyle w:val="TableParagraph"/>
              <w:keepNext/>
              <w:jc w:val="center"/>
              <w:rPr>
                <w:b/>
                <w:sz w:val="20"/>
                <w:szCs w:val="20"/>
                <w:lang w:val="nb-NO"/>
              </w:rPr>
            </w:pPr>
            <w:r w:rsidRPr="00A942F6">
              <w:rPr>
                <w:b/>
                <w:sz w:val="20"/>
                <w:szCs w:val="20"/>
                <w:lang w:val="nb-NO"/>
              </w:rPr>
              <w:t xml:space="preserve">Studie II </w:t>
            </w:r>
          </w:p>
          <w:p w14:paraId="1576A4CB" w14:textId="77777777" w:rsidR="005A42A2" w:rsidRPr="00A942F6" w:rsidRDefault="005A42A2" w:rsidP="0036729A">
            <w:pPr>
              <w:pStyle w:val="TableParagraph"/>
              <w:keepNext/>
              <w:jc w:val="center"/>
              <w:rPr>
                <w:b/>
                <w:sz w:val="20"/>
                <w:szCs w:val="20"/>
                <w:lang w:val="nb-NO"/>
              </w:rPr>
            </w:pPr>
            <w:r w:rsidRPr="00A942F6">
              <w:rPr>
                <w:b/>
                <w:sz w:val="20"/>
                <w:szCs w:val="20"/>
                <w:lang w:val="nb-NO"/>
              </w:rPr>
              <w:t>LITHE</w:t>
            </w:r>
          </w:p>
        </w:tc>
        <w:tc>
          <w:tcPr>
            <w:tcW w:w="1666" w:type="dxa"/>
            <w:gridSpan w:val="2"/>
          </w:tcPr>
          <w:p w14:paraId="039CBC11" w14:textId="77777777" w:rsidR="00BB4253" w:rsidRPr="00A942F6" w:rsidRDefault="005A42A2" w:rsidP="0036729A">
            <w:pPr>
              <w:pStyle w:val="TableParagraph"/>
              <w:keepNext/>
              <w:jc w:val="center"/>
              <w:rPr>
                <w:b/>
                <w:sz w:val="20"/>
                <w:szCs w:val="20"/>
                <w:lang w:val="nb-NO"/>
              </w:rPr>
            </w:pPr>
            <w:r w:rsidRPr="00A942F6">
              <w:rPr>
                <w:b/>
                <w:sz w:val="20"/>
                <w:szCs w:val="20"/>
                <w:lang w:val="nb-NO"/>
              </w:rPr>
              <w:t xml:space="preserve">Studie III </w:t>
            </w:r>
          </w:p>
          <w:p w14:paraId="2EE7941F" w14:textId="77777777" w:rsidR="005A42A2" w:rsidRPr="00A942F6" w:rsidRDefault="005A42A2" w:rsidP="0036729A">
            <w:pPr>
              <w:pStyle w:val="TableParagraph"/>
              <w:keepNext/>
              <w:jc w:val="center"/>
              <w:rPr>
                <w:b/>
                <w:sz w:val="20"/>
                <w:szCs w:val="20"/>
                <w:lang w:val="nb-NO"/>
              </w:rPr>
            </w:pPr>
            <w:r w:rsidRPr="00A942F6">
              <w:rPr>
                <w:b/>
                <w:sz w:val="20"/>
                <w:szCs w:val="20"/>
                <w:lang w:val="nb-NO"/>
              </w:rPr>
              <w:t>OPTION</w:t>
            </w:r>
          </w:p>
        </w:tc>
        <w:tc>
          <w:tcPr>
            <w:tcW w:w="1903" w:type="dxa"/>
            <w:gridSpan w:val="2"/>
          </w:tcPr>
          <w:p w14:paraId="052A28BB" w14:textId="77777777" w:rsidR="00BB4253" w:rsidRPr="00A942F6" w:rsidRDefault="005A42A2" w:rsidP="0036729A">
            <w:pPr>
              <w:pStyle w:val="TableParagraph"/>
              <w:keepNext/>
              <w:jc w:val="center"/>
              <w:rPr>
                <w:b/>
                <w:sz w:val="20"/>
                <w:szCs w:val="20"/>
                <w:lang w:val="nb-NO"/>
              </w:rPr>
            </w:pPr>
            <w:r w:rsidRPr="00A942F6">
              <w:rPr>
                <w:b/>
                <w:sz w:val="20"/>
                <w:szCs w:val="20"/>
                <w:lang w:val="nb-NO"/>
              </w:rPr>
              <w:t xml:space="preserve">Studie IV </w:t>
            </w:r>
          </w:p>
          <w:p w14:paraId="3D693BA4" w14:textId="77777777" w:rsidR="005A42A2" w:rsidRPr="00A942F6" w:rsidRDefault="005A42A2" w:rsidP="0036729A">
            <w:pPr>
              <w:pStyle w:val="TableParagraph"/>
              <w:keepNext/>
              <w:jc w:val="center"/>
              <w:rPr>
                <w:b/>
                <w:sz w:val="20"/>
                <w:szCs w:val="20"/>
                <w:lang w:val="nb-NO"/>
              </w:rPr>
            </w:pPr>
            <w:r w:rsidRPr="00A942F6">
              <w:rPr>
                <w:b/>
                <w:sz w:val="20"/>
                <w:szCs w:val="20"/>
                <w:lang w:val="nb-NO"/>
              </w:rPr>
              <w:t>TOWARD</w:t>
            </w:r>
          </w:p>
        </w:tc>
        <w:tc>
          <w:tcPr>
            <w:tcW w:w="1610" w:type="dxa"/>
            <w:gridSpan w:val="2"/>
          </w:tcPr>
          <w:p w14:paraId="0921D4C7" w14:textId="77777777" w:rsidR="00BB4253" w:rsidRPr="00A942F6" w:rsidRDefault="005A42A2" w:rsidP="0036729A">
            <w:pPr>
              <w:pStyle w:val="TableParagraph"/>
              <w:keepNext/>
              <w:jc w:val="center"/>
              <w:rPr>
                <w:b/>
                <w:sz w:val="20"/>
                <w:szCs w:val="20"/>
                <w:lang w:val="nb-NO"/>
              </w:rPr>
            </w:pPr>
            <w:r w:rsidRPr="00A942F6">
              <w:rPr>
                <w:b/>
                <w:sz w:val="20"/>
                <w:szCs w:val="20"/>
                <w:lang w:val="nb-NO"/>
              </w:rPr>
              <w:t xml:space="preserve">Studie V </w:t>
            </w:r>
          </w:p>
          <w:p w14:paraId="71EC93BB" w14:textId="77777777" w:rsidR="005A42A2" w:rsidRPr="00A942F6" w:rsidRDefault="005A42A2" w:rsidP="0036729A">
            <w:pPr>
              <w:pStyle w:val="TableParagraph"/>
              <w:keepNext/>
              <w:jc w:val="center"/>
              <w:rPr>
                <w:b/>
                <w:sz w:val="20"/>
                <w:szCs w:val="20"/>
                <w:lang w:val="nb-NO"/>
              </w:rPr>
            </w:pPr>
            <w:r w:rsidRPr="00A942F6">
              <w:rPr>
                <w:b/>
                <w:sz w:val="20"/>
                <w:szCs w:val="20"/>
                <w:lang w:val="nb-NO"/>
              </w:rPr>
              <w:t>RADIATE</w:t>
            </w:r>
          </w:p>
        </w:tc>
      </w:tr>
      <w:tr w:rsidR="00D07125" w:rsidRPr="00A942F6" w14:paraId="6E90C357" w14:textId="77777777" w:rsidTr="00D07125">
        <w:trPr>
          <w:cantSplit/>
          <w:trHeight w:val="20"/>
          <w:tblHeader/>
        </w:trPr>
        <w:tc>
          <w:tcPr>
            <w:tcW w:w="527" w:type="dxa"/>
          </w:tcPr>
          <w:p w14:paraId="57D32D15" w14:textId="77777777" w:rsidR="005A42A2" w:rsidRPr="00A942F6" w:rsidRDefault="005A42A2" w:rsidP="0036729A">
            <w:pPr>
              <w:pStyle w:val="TableParagraph"/>
              <w:keepNext/>
              <w:jc w:val="center"/>
              <w:rPr>
                <w:bCs/>
                <w:sz w:val="20"/>
                <w:szCs w:val="20"/>
                <w:lang w:val="nb-NO"/>
              </w:rPr>
            </w:pPr>
            <w:r w:rsidRPr="00A942F6">
              <w:rPr>
                <w:bCs/>
                <w:sz w:val="20"/>
                <w:szCs w:val="20"/>
                <w:lang w:val="nb-NO"/>
              </w:rPr>
              <w:t>Uke</w:t>
            </w:r>
          </w:p>
        </w:tc>
        <w:tc>
          <w:tcPr>
            <w:tcW w:w="868" w:type="dxa"/>
          </w:tcPr>
          <w:p w14:paraId="5B755F49" w14:textId="77777777" w:rsidR="005A42A2" w:rsidRPr="00A942F6" w:rsidRDefault="005A42A2" w:rsidP="0036729A">
            <w:pPr>
              <w:pStyle w:val="TableParagraph"/>
              <w:keepNext/>
              <w:jc w:val="center"/>
              <w:rPr>
                <w:b/>
                <w:sz w:val="20"/>
                <w:szCs w:val="20"/>
                <w:lang w:val="nb-NO"/>
              </w:rPr>
            </w:pPr>
            <w:r w:rsidRPr="00A942F6">
              <w:rPr>
                <w:b/>
                <w:sz w:val="20"/>
                <w:szCs w:val="20"/>
                <w:lang w:val="nb-NO"/>
              </w:rPr>
              <w:t>TCZ</w:t>
            </w:r>
          </w:p>
          <w:p w14:paraId="40D5597F" w14:textId="77777777" w:rsidR="005A42A2" w:rsidRPr="00A942F6" w:rsidRDefault="005A42A2" w:rsidP="0036729A">
            <w:pPr>
              <w:pStyle w:val="TableParagraph"/>
              <w:keepNext/>
              <w:jc w:val="center"/>
              <w:rPr>
                <w:b/>
                <w:sz w:val="20"/>
                <w:szCs w:val="20"/>
                <w:lang w:val="nb-NO"/>
              </w:rPr>
            </w:pPr>
            <w:r w:rsidRPr="00A942F6">
              <w:rPr>
                <w:b/>
                <w:sz w:val="20"/>
                <w:szCs w:val="20"/>
                <w:lang w:val="nb-NO"/>
              </w:rPr>
              <w:t>8 mg/kg</w:t>
            </w:r>
          </w:p>
        </w:tc>
        <w:tc>
          <w:tcPr>
            <w:tcW w:w="826" w:type="dxa"/>
          </w:tcPr>
          <w:p w14:paraId="53D73F24" w14:textId="77777777" w:rsidR="005A42A2" w:rsidRPr="00A942F6" w:rsidRDefault="005A42A2" w:rsidP="0036729A">
            <w:pPr>
              <w:pStyle w:val="TableParagraph"/>
              <w:keepNext/>
              <w:jc w:val="center"/>
              <w:rPr>
                <w:b/>
                <w:sz w:val="20"/>
                <w:szCs w:val="20"/>
                <w:lang w:val="nb-NO"/>
              </w:rPr>
            </w:pPr>
            <w:r w:rsidRPr="00A942F6">
              <w:rPr>
                <w:b/>
                <w:sz w:val="20"/>
                <w:szCs w:val="20"/>
                <w:lang w:val="nb-NO"/>
              </w:rPr>
              <w:t>MTX</w:t>
            </w:r>
          </w:p>
        </w:tc>
        <w:tc>
          <w:tcPr>
            <w:tcW w:w="868" w:type="dxa"/>
          </w:tcPr>
          <w:p w14:paraId="039E3866" w14:textId="77777777" w:rsidR="005A42A2" w:rsidRPr="00A942F6" w:rsidRDefault="005A42A2" w:rsidP="0036729A">
            <w:pPr>
              <w:pStyle w:val="TableParagraph"/>
              <w:keepNext/>
              <w:jc w:val="center"/>
              <w:rPr>
                <w:b/>
                <w:sz w:val="20"/>
                <w:szCs w:val="20"/>
                <w:lang w:val="nb-NO"/>
              </w:rPr>
            </w:pPr>
            <w:r w:rsidRPr="00A942F6">
              <w:rPr>
                <w:b/>
                <w:sz w:val="20"/>
                <w:szCs w:val="20"/>
                <w:lang w:val="nb-NO"/>
              </w:rPr>
              <w:t>TCZ</w:t>
            </w:r>
          </w:p>
          <w:p w14:paraId="67E65F3E" w14:textId="77777777" w:rsidR="005A42A2" w:rsidRPr="00A942F6" w:rsidRDefault="005A42A2" w:rsidP="0036729A">
            <w:pPr>
              <w:pStyle w:val="TableParagraph"/>
              <w:keepNext/>
              <w:jc w:val="center"/>
              <w:rPr>
                <w:b/>
                <w:sz w:val="20"/>
                <w:szCs w:val="20"/>
                <w:lang w:val="nb-NO"/>
              </w:rPr>
            </w:pPr>
            <w:r w:rsidRPr="00A942F6">
              <w:rPr>
                <w:b/>
                <w:sz w:val="20"/>
                <w:szCs w:val="20"/>
                <w:lang w:val="nb-NO"/>
              </w:rPr>
              <w:t>8 mg/kg</w:t>
            </w:r>
          </w:p>
          <w:p w14:paraId="0BE0C497" w14:textId="77777777" w:rsidR="005A42A2" w:rsidRPr="00A942F6" w:rsidRDefault="005A42A2" w:rsidP="0036729A">
            <w:pPr>
              <w:pStyle w:val="TableParagraph"/>
              <w:keepNext/>
              <w:jc w:val="center"/>
              <w:rPr>
                <w:b/>
                <w:sz w:val="20"/>
                <w:szCs w:val="20"/>
                <w:lang w:val="nb-NO"/>
              </w:rPr>
            </w:pPr>
            <w:r w:rsidRPr="00A942F6">
              <w:rPr>
                <w:b/>
                <w:sz w:val="20"/>
                <w:szCs w:val="20"/>
                <w:lang w:val="nb-NO"/>
              </w:rPr>
              <w:t>+ MTX</w:t>
            </w:r>
          </w:p>
        </w:tc>
        <w:tc>
          <w:tcPr>
            <w:tcW w:w="826" w:type="dxa"/>
          </w:tcPr>
          <w:p w14:paraId="48E27A05" w14:textId="77777777" w:rsidR="005A42A2" w:rsidRPr="00A942F6" w:rsidRDefault="005A42A2" w:rsidP="0036729A">
            <w:pPr>
              <w:pStyle w:val="TableParagraph"/>
              <w:keepNext/>
              <w:jc w:val="center"/>
              <w:rPr>
                <w:b/>
                <w:sz w:val="20"/>
                <w:szCs w:val="20"/>
                <w:lang w:val="nb-NO"/>
              </w:rPr>
            </w:pPr>
            <w:r w:rsidRPr="00A942F6">
              <w:rPr>
                <w:b/>
                <w:sz w:val="20"/>
                <w:szCs w:val="20"/>
                <w:lang w:val="nb-NO"/>
              </w:rPr>
              <w:t>PBO + MTX</w:t>
            </w:r>
          </w:p>
        </w:tc>
        <w:tc>
          <w:tcPr>
            <w:tcW w:w="882" w:type="dxa"/>
          </w:tcPr>
          <w:p w14:paraId="336FEF41" w14:textId="77777777" w:rsidR="005A42A2" w:rsidRPr="00A942F6" w:rsidRDefault="005A42A2" w:rsidP="0036729A">
            <w:pPr>
              <w:pStyle w:val="TableParagraph"/>
              <w:keepNext/>
              <w:jc w:val="center"/>
              <w:rPr>
                <w:b/>
                <w:sz w:val="20"/>
                <w:szCs w:val="20"/>
                <w:lang w:val="nb-NO"/>
              </w:rPr>
            </w:pPr>
            <w:r w:rsidRPr="00A942F6">
              <w:rPr>
                <w:b/>
                <w:sz w:val="20"/>
                <w:szCs w:val="20"/>
                <w:lang w:val="nb-NO"/>
              </w:rPr>
              <w:t>TCZ</w:t>
            </w:r>
          </w:p>
          <w:p w14:paraId="683A577E" w14:textId="77777777" w:rsidR="005A42A2" w:rsidRPr="00A942F6" w:rsidRDefault="005A42A2" w:rsidP="0036729A">
            <w:pPr>
              <w:pStyle w:val="TableParagraph"/>
              <w:keepNext/>
              <w:jc w:val="center"/>
              <w:rPr>
                <w:b/>
                <w:sz w:val="20"/>
                <w:szCs w:val="20"/>
                <w:lang w:val="nb-NO"/>
              </w:rPr>
            </w:pPr>
            <w:r w:rsidRPr="00A942F6">
              <w:rPr>
                <w:b/>
                <w:sz w:val="20"/>
                <w:szCs w:val="20"/>
                <w:lang w:val="nb-NO"/>
              </w:rPr>
              <w:t>8 mg/kg</w:t>
            </w:r>
          </w:p>
          <w:p w14:paraId="213B7689" w14:textId="77777777" w:rsidR="005A42A2" w:rsidRPr="00A942F6" w:rsidRDefault="005A42A2" w:rsidP="0036729A">
            <w:pPr>
              <w:pStyle w:val="TableParagraph"/>
              <w:keepNext/>
              <w:jc w:val="center"/>
              <w:rPr>
                <w:b/>
                <w:sz w:val="20"/>
                <w:szCs w:val="20"/>
                <w:lang w:val="nb-NO"/>
              </w:rPr>
            </w:pPr>
            <w:r w:rsidRPr="00A942F6">
              <w:rPr>
                <w:b/>
                <w:sz w:val="20"/>
                <w:szCs w:val="20"/>
                <w:lang w:val="nb-NO"/>
              </w:rPr>
              <w:t>+ MTX</w:t>
            </w:r>
          </w:p>
        </w:tc>
        <w:tc>
          <w:tcPr>
            <w:tcW w:w="784" w:type="dxa"/>
          </w:tcPr>
          <w:p w14:paraId="013F1F9E" w14:textId="77777777" w:rsidR="005A42A2" w:rsidRPr="00A942F6" w:rsidRDefault="005A42A2" w:rsidP="0036729A">
            <w:pPr>
              <w:pStyle w:val="TableParagraph"/>
              <w:keepNext/>
              <w:jc w:val="center"/>
              <w:rPr>
                <w:b/>
                <w:sz w:val="20"/>
                <w:szCs w:val="20"/>
                <w:lang w:val="nb-NO"/>
              </w:rPr>
            </w:pPr>
            <w:r w:rsidRPr="00A942F6">
              <w:rPr>
                <w:b/>
                <w:sz w:val="20"/>
                <w:szCs w:val="20"/>
                <w:lang w:val="nb-NO"/>
              </w:rPr>
              <w:t>PBO</w:t>
            </w:r>
            <w:r w:rsidR="00BB4253" w:rsidRPr="00A942F6">
              <w:rPr>
                <w:b/>
                <w:sz w:val="20"/>
                <w:szCs w:val="20"/>
                <w:lang w:val="nb-NO"/>
              </w:rPr>
              <w:t xml:space="preserve"> </w:t>
            </w:r>
            <w:r w:rsidRPr="00A942F6">
              <w:rPr>
                <w:b/>
                <w:sz w:val="20"/>
                <w:szCs w:val="20"/>
                <w:lang w:val="nb-NO"/>
              </w:rPr>
              <w:t>+ MTX</w:t>
            </w:r>
          </w:p>
        </w:tc>
        <w:tc>
          <w:tcPr>
            <w:tcW w:w="979" w:type="dxa"/>
          </w:tcPr>
          <w:p w14:paraId="6DACAC90" w14:textId="77777777" w:rsidR="005A42A2" w:rsidRPr="00A942F6" w:rsidRDefault="005A42A2" w:rsidP="0036729A">
            <w:pPr>
              <w:pStyle w:val="TableParagraph"/>
              <w:keepNext/>
              <w:jc w:val="center"/>
              <w:rPr>
                <w:b/>
                <w:sz w:val="20"/>
                <w:szCs w:val="20"/>
                <w:lang w:val="nb-NO"/>
              </w:rPr>
            </w:pPr>
            <w:r w:rsidRPr="00A942F6">
              <w:rPr>
                <w:b/>
                <w:sz w:val="20"/>
                <w:szCs w:val="20"/>
                <w:lang w:val="nb-NO"/>
              </w:rPr>
              <w:t>TCZ</w:t>
            </w:r>
          </w:p>
          <w:p w14:paraId="14650B0D" w14:textId="77777777" w:rsidR="005A42A2" w:rsidRPr="00A942F6" w:rsidRDefault="005A42A2" w:rsidP="0036729A">
            <w:pPr>
              <w:pStyle w:val="TableParagraph"/>
              <w:keepNext/>
              <w:jc w:val="center"/>
              <w:rPr>
                <w:b/>
                <w:sz w:val="20"/>
                <w:szCs w:val="20"/>
                <w:lang w:val="nb-NO"/>
              </w:rPr>
            </w:pPr>
            <w:r w:rsidRPr="00A942F6">
              <w:rPr>
                <w:b/>
                <w:sz w:val="20"/>
                <w:szCs w:val="20"/>
                <w:lang w:val="nb-NO"/>
              </w:rPr>
              <w:t>8 mg/kg + DMARD</w:t>
            </w:r>
          </w:p>
        </w:tc>
        <w:tc>
          <w:tcPr>
            <w:tcW w:w="924" w:type="dxa"/>
          </w:tcPr>
          <w:p w14:paraId="03659E9C" w14:textId="77777777" w:rsidR="005A42A2" w:rsidRPr="00A942F6" w:rsidRDefault="005A42A2" w:rsidP="0036729A">
            <w:pPr>
              <w:pStyle w:val="TableParagraph"/>
              <w:keepNext/>
              <w:jc w:val="center"/>
              <w:rPr>
                <w:b/>
                <w:sz w:val="20"/>
                <w:szCs w:val="20"/>
                <w:lang w:val="nb-NO"/>
              </w:rPr>
            </w:pPr>
            <w:r w:rsidRPr="00A942F6">
              <w:rPr>
                <w:b/>
                <w:sz w:val="20"/>
                <w:szCs w:val="20"/>
                <w:lang w:val="nb-NO"/>
              </w:rPr>
              <w:t>PBO + DMARD</w:t>
            </w:r>
          </w:p>
        </w:tc>
        <w:tc>
          <w:tcPr>
            <w:tcW w:w="896" w:type="dxa"/>
          </w:tcPr>
          <w:p w14:paraId="6C827294" w14:textId="77777777" w:rsidR="005A42A2" w:rsidRPr="00A942F6" w:rsidRDefault="005A42A2" w:rsidP="0036729A">
            <w:pPr>
              <w:pStyle w:val="TableParagraph"/>
              <w:keepNext/>
              <w:jc w:val="center"/>
              <w:rPr>
                <w:b/>
                <w:sz w:val="20"/>
                <w:szCs w:val="20"/>
                <w:lang w:val="nb-NO"/>
              </w:rPr>
            </w:pPr>
            <w:r w:rsidRPr="00A942F6">
              <w:rPr>
                <w:b/>
                <w:sz w:val="20"/>
                <w:szCs w:val="20"/>
                <w:lang w:val="nb-NO"/>
              </w:rPr>
              <w:t>TCZ</w:t>
            </w:r>
          </w:p>
          <w:p w14:paraId="63728289" w14:textId="77777777" w:rsidR="005A42A2" w:rsidRPr="00A942F6" w:rsidRDefault="005A42A2" w:rsidP="0036729A">
            <w:pPr>
              <w:pStyle w:val="TableParagraph"/>
              <w:keepNext/>
              <w:jc w:val="center"/>
              <w:rPr>
                <w:b/>
                <w:sz w:val="20"/>
                <w:szCs w:val="20"/>
                <w:lang w:val="nb-NO"/>
              </w:rPr>
            </w:pPr>
            <w:r w:rsidRPr="00A942F6">
              <w:rPr>
                <w:b/>
                <w:sz w:val="20"/>
                <w:szCs w:val="20"/>
                <w:lang w:val="nb-NO"/>
              </w:rPr>
              <w:t>8 mg/kg</w:t>
            </w:r>
          </w:p>
          <w:p w14:paraId="3B06BBD4" w14:textId="77777777" w:rsidR="005A42A2" w:rsidRPr="00A942F6" w:rsidRDefault="005A42A2" w:rsidP="0036729A">
            <w:pPr>
              <w:pStyle w:val="TableParagraph"/>
              <w:keepNext/>
              <w:jc w:val="center"/>
              <w:rPr>
                <w:b/>
                <w:sz w:val="20"/>
                <w:szCs w:val="20"/>
                <w:lang w:val="nb-NO"/>
              </w:rPr>
            </w:pPr>
            <w:r w:rsidRPr="00A942F6">
              <w:rPr>
                <w:b/>
                <w:sz w:val="20"/>
                <w:szCs w:val="20"/>
                <w:lang w:val="nb-NO"/>
              </w:rPr>
              <w:t>+ MTX</w:t>
            </w:r>
          </w:p>
        </w:tc>
        <w:tc>
          <w:tcPr>
            <w:tcW w:w="714" w:type="dxa"/>
          </w:tcPr>
          <w:p w14:paraId="0C6089BD" w14:textId="77777777" w:rsidR="005A42A2" w:rsidRPr="00A942F6" w:rsidRDefault="005A42A2" w:rsidP="0036729A">
            <w:pPr>
              <w:pStyle w:val="TableParagraph"/>
              <w:keepNext/>
              <w:jc w:val="center"/>
              <w:rPr>
                <w:b/>
                <w:sz w:val="20"/>
                <w:szCs w:val="20"/>
                <w:lang w:val="nb-NO"/>
              </w:rPr>
            </w:pPr>
            <w:r w:rsidRPr="00A942F6">
              <w:rPr>
                <w:b/>
                <w:sz w:val="20"/>
                <w:szCs w:val="20"/>
                <w:lang w:val="nb-NO"/>
              </w:rPr>
              <w:t>PBO + MTX</w:t>
            </w:r>
          </w:p>
        </w:tc>
      </w:tr>
      <w:tr w:rsidR="00D07125" w:rsidRPr="00A942F6" w14:paraId="18D72611" w14:textId="77777777" w:rsidTr="00D07125">
        <w:trPr>
          <w:cantSplit/>
          <w:trHeight w:val="20"/>
          <w:tblHeader/>
        </w:trPr>
        <w:tc>
          <w:tcPr>
            <w:tcW w:w="527" w:type="dxa"/>
          </w:tcPr>
          <w:p w14:paraId="42A2DCD6" w14:textId="77777777" w:rsidR="005A42A2" w:rsidRPr="00A942F6" w:rsidRDefault="005A42A2" w:rsidP="00641834">
            <w:pPr>
              <w:pStyle w:val="TableParagraph"/>
              <w:rPr>
                <w:sz w:val="20"/>
                <w:szCs w:val="20"/>
                <w:lang w:val="nb-NO"/>
              </w:rPr>
            </w:pPr>
          </w:p>
        </w:tc>
        <w:tc>
          <w:tcPr>
            <w:tcW w:w="868" w:type="dxa"/>
          </w:tcPr>
          <w:p w14:paraId="7CFEDDDF" w14:textId="77777777" w:rsidR="005A42A2" w:rsidRPr="00A942F6" w:rsidRDefault="005A42A2" w:rsidP="00641834">
            <w:pPr>
              <w:pStyle w:val="TableParagraph"/>
              <w:jc w:val="center"/>
              <w:rPr>
                <w:b/>
                <w:sz w:val="20"/>
                <w:szCs w:val="20"/>
                <w:lang w:val="nb-NO"/>
              </w:rPr>
            </w:pPr>
            <w:r w:rsidRPr="00A942F6">
              <w:rPr>
                <w:b/>
                <w:sz w:val="20"/>
                <w:szCs w:val="20"/>
                <w:lang w:val="nb-NO"/>
              </w:rPr>
              <w:t>N = 286</w:t>
            </w:r>
          </w:p>
        </w:tc>
        <w:tc>
          <w:tcPr>
            <w:tcW w:w="826" w:type="dxa"/>
          </w:tcPr>
          <w:p w14:paraId="5892B5F0" w14:textId="77777777" w:rsidR="005A42A2" w:rsidRPr="00A942F6" w:rsidRDefault="005A42A2" w:rsidP="00641834">
            <w:pPr>
              <w:pStyle w:val="TableParagraph"/>
              <w:rPr>
                <w:b/>
                <w:sz w:val="20"/>
                <w:szCs w:val="20"/>
                <w:lang w:val="nb-NO"/>
              </w:rPr>
            </w:pPr>
            <w:r w:rsidRPr="00A942F6">
              <w:rPr>
                <w:b/>
                <w:sz w:val="20"/>
                <w:szCs w:val="20"/>
                <w:lang w:val="nb-NO"/>
              </w:rPr>
              <w:t>N = 284</w:t>
            </w:r>
          </w:p>
        </w:tc>
        <w:tc>
          <w:tcPr>
            <w:tcW w:w="868" w:type="dxa"/>
          </w:tcPr>
          <w:p w14:paraId="0F5A90D5" w14:textId="77777777" w:rsidR="005A42A2" w:rsidRPr="00A942F6" w:rsidRDefault="005A42A2" w:rsidP="00641834">
            <w:pPr>
              <w:pStyle w:val="TableParagraph"/>
              <w:jc w:val="center"/>
              <w:rPr>
                <w:b/>
                <w:sz w:val="20"/>
                <w:szCs w:val="20"/>
                <w:lang w:val="nb-NO"/>
              </w:rPr>
            </w:pPr>
            <w:r w:rsidRPr="00A942F6">
              <w:rPr>
                <w:b/>
                <w:sz w:val="20"/>
                <w:szCs w:val="20"/>
                <w:lang w:val="nb-NO"/>
              </w:rPr>
              <w:t>N = 398</w:t>
            </w:r>
          </w:p>
        </w:tc>
        <w:tc>
          <w:tcPr>
            <w:tcW w:w="826" w:type="dxa"/>
          </w:tcPr>
          <w:p w14:paraId="2072EA49" w14:textId="77777777" w:rsidR="005A42A2" w:rsidRPr="00A942F6" w:rsidRDefault="005A42A2" w:rsidP="00641834">
            <w:pPr>
              <w:pStyle w:val="TableParagraph"/>
              <w:jc w:val="center"/>
              <w:rPr>
                <w:b/>
                <w:sz w:val="20"/>
                <w:szCs w:val="20"/>
                <w:lang w:val="nb-NO"/>
              </w:rPr>
            </w:pPr>
            <w:r w:rsidRPr="00A942F6">
              <w:rPr>
                <w:b/>
                <w:sz w:val="20"/>
                <w:szCs w:val="20"/>
                <w:lang w:val="nb-NO"/>
              </w:rPr>
              <w:t>N = 393</w:t>
            </w:r>
          </w:p>
        </w:tc>
        <w:tc>
          <w:tcPr>
            <w:tcW w:w="882" w:type="dxa"/>
          </w:tcPr>
          <w:p w14:paraId="7392C11E" w14:textId="77777777" w:rsidR="005A42A2" w:rsidRPr="00A942F6" w:rsidRDefault="005A42A2" w:rsidP="00641834">
            <w:pPr>
              <w:pStyle w:val="TableParagraph"/>
              <w:jc w:val="center"/>
              <w:rPr>
                <w:b/>
                <w:sz w:val="20"/>
                <w:szCs w:val="20"/>
                <w:lang w:val="nb-NO"/>
              </w:rPr>
            </w:pPr>
            <w:r w:rsidRPr="00A942F6">
              <w:rPr>
                <w:b/>
                <w:sz w:val="20"/>
                <w:szCs w:val="20"/>
                <w:lang w:val="nb-NO"/>
              </w:rPr>
              <w:t>N = 205</w:t>
            </w:r>
          </w:p>
        </w:tc>
        <w:tc>
          <w:tcPr>
            <w:tcW w:w="784" w:type="dxa"/>
          </w:tcPr>
          <w:p w14:paraId="60078A7E" w14:textId="77777777" w:rsidR="005A42A2" w:rsidRPr="00A942F6" w:rsidRDefault="005A42A2" w:rsidP="00641834">
            <w:pPr>
              <w:pStyle w:val="TableParagraph"/>
              <w:jc w:val="center"/>
              <w:rPr>
                <w:b/>
                <w:sz w:val="20"/>
                <w:szCs w:val="20"/>
                <w:lang w:val="nb-NO"/>
              </w:rPr>
            </w:pPr>
            <w:r w:rsidRPr="00A942F6">
              <w:rPr>
                <w:b/>
                <w:sz w:val="20"/>
                <w:szCs w:val="20"/>
                <w:lang w:val="nb-NO"/>
              </w:rPr>
              <w:t>N = 204</w:t>
            </w:r>
          </w:p>
        </w:tc>
        <w:tc>
          <w:tcPr>
            <w:tcW w:w="979" w:type="dxa"/>
          </w:tcPr>
          <w:p w14:paraId="1C58E183" w14:textId="77777777" w:rsidR="005A42A2" w:rsidRPr="00A942F6" w:rsidRDefault="005A42A2" w:rsidP="00641834">
            <w:pPr>
              <w:pStyle w:val="TableParagraph"/>
              <w:jc w:val="center"/>
              <w:rPr>
                <w:b/>
                <w:sz w:val="20"/>
                <w:szCs w:val="20"/>
                <w:lang w:val="nb-NO"/>
              </w:rPr>
            </w:pPr>
            <w:r w:rsidRPr="00A942F6">
              <w:rPr>
                <w:b/>
                <w:sz w:val="20"/>
                <w:szCs w:val="20"/>
                <w:lang w:val="nb-NO"/>
              </w:rPr>
              <w:t>N = 803</w:t>
            </w:r>
          </w:p>
        </w:tc>
        <w:tc>
          <w:tcPr>
            <w:tcW w:w="924" w:type="dxa"/>
          </w:tcPr>
          <w:p w14:paraId="18D01AFC" w14:textId="77777777" w:rsidR="005A42A2" w:rsidRPr="00A942F6" w:rsidRDefault="005A42A2" w:rsidP="00641834">
            <w:pPr>
              <w:pStyle w:val="TableParagraph"/>
              <w:jc w:val="center"/>
              <w:rPr>
                <w:b/>
                <w:sz w:val="20"/>
                <w:szCs w:val="20"/>
                <w:lang w:val="nb-NO"/>
              </w:rPr>
            </w:pPr>
            <w:r w:rsidRPr="00A942F6">
              <w:rPr>
                <w:b/>
                <w:sz w:val="20"/>
                <w:szCs w:val="20"/>
                <w:lang w:val="nb-NO"/>
              </w:rPr>
              <w:t>N = 413</w:t>
            </w:r>
          </w:p>
        </w:tc>
        <w:tc>
          <w:tcPr>
            <w:tcW w:w="896" w:type="dxa"/>
          </w:tcPr>
          <w:p w14:paraId="02A7F876" w14:textId="77777777" w:rsidR="005A42A2" w:rsidRPr="00A942F6" w:rsidRDefault="005A42A2" w:rsidP="00641834">
            <w:pPr>
              <w:pStyle w:val="TableParagraph"/>
              <w:jc w:val="center"/>
              <w:rPr>
                <w:b/>
                <w:sz w:val="20"/>
                <w:szCs w:val="20"/>
                <w:lang w:val="nb-NO"/>
              </w:rPr>
            </w:pPr>
            <w:r w:rsidRPr="00A942F6">
              <w:rPr>
                <w:b/>
                <w:sz w:val="20"/>
                <w:szCs w:val="20"/>
                <w:lang w:val="nb-NO"/>
              </w:rPr>
              <w:t>N = 170</w:t>
            </w:r>
          </w:p>
        </w:tc>
        <w:tc>
          <w:tcPr>
            <w:tcW w:w="714" w:type="dxa"/>
          </w:tcPr>
          <w:p w14:paraId="00F38237" w14:textId="77777777" w:rsidR="005A42A2" w:rsidRPr="00A942F6" w:rsidRDefault="005A42A2" w:rsidP="00641834">
            <w:pPr>
              <w:pStyle w:val="TableParagraph"/>
              <w:jc w:val="center"/>
              <w:rPr>
                <w:b/>
                <w:sz w:val="20"/>
                <w:szCs w:val="20"/>
                <w:lang w:val="nb-NO"/>
              </w:rPr>
            </w:pPr>
            <w:r w:rsidRPr="00A942F6">
              <w:rPr>
                <w:b/>
                <w:sz w:val="20"/>
                <w:szCs w:val="20"/>
                <w:lang w:val="nb-NO"/>
              </w:rPr>
              <w:t>N = 158</w:t>
            </w:r>
          </w:p>
        </w:tc>
      </w:tr>
      <w:tr w:rsidR="005A42A2" w:rsidRPr="00A942F6" w14:paraId="66CA836A" w14:textId="77777777" w:rsidTr="00D07125">
        <w:trPr>
          <w:cantSplit/>
          <w:trHeight w:val="20"/>
        </w:trPr>
        <w:tc>
          <w:tcPr>
            <w:tcW w:w="9094" w:type="dxa"/>
            <w:gridSpan w:val="11"/>
          </w:tcPr>
          <w:p w14:paraId="10DC197D" w14:textId="77777777" w:rsidR="005A42A2" w:rsidRPr="00A942F6" w:rsidRDefault="005A42A2" w:rsidP="00641834">
            <w:pPr>
              <w:pStyle w:val="TableParagraph"/>
              <w:jc w:val="center"/>
              <w:rPr>
                <w:b/>
                <w:sz w:val="20"/>
                <w:szCs w:val="20"/>
                <w:lang w:val="nb-NO"/>
              </w:rPr>
            </w:pPr>
            <w:r w:rsidRPr="00A942F6">
              <w:rPr>
                <w:b/>
                <w:sz w:val="20"/>
                <w:szCs w:val="20"/>
                <w:lang w:val="nb-NO"/>
              </w:rPr>
              <w:t>ACR 20</w:t>
            </w:r>
          </w:p>
        </w:tc>
      </w:tr>
      <w:tr w:rsidR="00D07125" w:rsidRPr="00A942F6" w14:paraId="527DC495" w14:textId="77777777" w:rsidTr="00D07125">
        <w:trPr>
          <w:cantSplit/>
          <w:trHeight w:val="20"/>
        </w:trPr>
        <w:tc>
          <w:tcPr>
            <w:tcW w:w="527" w:type="dxa"/>
          </w:tcPr>
          <w:p w14:paraId="022075F3" w14:textId="77777777" w:rsidR="005A42A2" w:rsidRPr="00A942F6" w:rsidRDefault="005A42A2" w:rsidP="00641834">
            <w:pPr>
              <w:pStyle w:val="TableParagraph"/>
              <w:jc w:val="center"/>
              <w:rPr>
                <w:sz w:val="20"/>
                <w:szCs w:val="20"/>
                <w:lang w:val="nb-NO"/>
              </w:rPr>
            </w:pPr>
            <w:r w:rsidRPr="00A942F6">
              <w:rPr>
                <w:sz w:val="20"/>
                <w:szCs w:val="20"/>
                <w:lang w:val="nb-NO"/>
              </w:rPr>
              <w:t>24</w:t>
            </w:r>
          </w:p>
        </w:tc>
        <w:tc>
          <w:tcPr>
            <w:tcW w:w="868" w:type="dxa"/>
          </w:tcPr>
          <w:p w14:paraId="32599B4F" w14:textId="77777777" w:rsidR="005A42A2" w:rsidRPr="00A942F6" w:rsidRDefault="005A42A2" w:rsidP="00641834">
            <w:pPr>
              <w:pStyle w:val="TableParagraph"/>
              <w:jc w:val="center"/>
              <w:rPr>
                <w:sz w:val="20"/>
                <w:szCs w:val="20"/>
                <w:lang w:val="nb-NO"/>
              </w:rPr>
            </w:pPr>
            <w:r w:rsidRPr="00A942F6">
              <w:rPr>
                <w:sz w:val="20"/>
                <w:szCs w:val="20"/>
                <w:lang w:val="nb-NO"/>
              </w:rPr>
              <w:t>70 %***</w:t>
            </w:r>
          </w:p>
        </w:tc>
        <w:tc>
          <w:tcPr>
            <w:tcW w:w="826" w:type="dxa"/>
          </w:tcPr>
          <w:p w14:paraId="32A7E9BD" w14:textId="77777777" w:rsidR="005A42A2" w:rsidRPr="00A942F6" w:rsidRDefault="005A42A2" w:rsidP="00641834">
            <w:pPr>
              <w:pStyle w:val="TableParagraph"/>
              <w:jc w:val="center"/>
              <w:rPr>
                <w:sz w:val="20"/>
                <w:szCs w:val="20"/>
                <w:lang w:val="nb-NO"/>
              </w:rPr>
            </w:pPr>
            <w:r w:rsidRPr="00A942F6">
              <w:rPr>
                <w:sz w:val="20"/>
                <w:szCs w:val="20"/>
                <w:lang w:val="nb-NO"/>
              </w:rPr>
              <w:t>52 %</w:t>
            </w:r>
          </w:p>
        </w:tc>
        <w:tc>
          <w:tcPr>
            <w:tcW w:w="868" w:type="dxa"/>
          </w:tcPr>
          <w:p w14:paraId="6EBEBF70" w14:textId="77777777" w:rsidR="005A42A2" w:rsidRPr="00A942F6" w:rsidRDefault="005A42A2" w:rsidP="00641834">
            <w:pPr>
              <w:pStyle w:val="TableParagraph"/>
              <w:jc w:val="center"/>
              <w:rPr>
                <w:sz w:val="20"/>
                <w:szCs w:val="20"/>
                <w:lang w:val="nb-NO"/>
              </w:rPr>
            </w:pPr>
            <w:r w:rsidRPr="00A942F6">
              <w:rPr>
                <w:sz w:val="20"/>
                <w:szCs w:val="20"/>
                <w:lang w:val="nb-NO"/>
              </w:rPr>
              <w:t>56 %***</w:t>
            </w:r>
          </w:p>
        </w:tc>
        <w:tc>
          <w:tcPr>
            <w:tcW w:w="826" w:type="dxa"/>
          </w:tcPr>
          <w:p w14:paraId="26C32C57" w14:textId="77777777" w:rsidR="005A42A2" w:rsidRPr="00A942F6" w:rsidRDefault="005A42A2" w:rsidP="00641834">
            <w:pPr>
              <w:pStyle w:val="TableParagraph"/>
              <w:jc w:val="center"/>
              <w:rPr>
                <w:sz w:val="20"/>
                <w:szCs w:val="20"/>
                <w:lang w:val="nb-NO"/>
              </w:rPr>
            </w:pPr>
            <w:r w:rsidRPr="00A942F6">
              <w:rPr>
                <w:sz w:val="20"/>
                <w:szCs w:val="20"/>
                <w:lang w:val="nb-NO"/>
              </w:rPr>
              <w:t>27 %</w:t>
            </w:r>
          </w:p>
        </w:tc>
        <w:tc>
          <w:tcPr>
            <w:tcW w:w="882" w:type="dxa"/>
          </w:tcPr>
          <w:p w14:paraId="2888DACD" w14:textId="77777777" w:rsidR="005A42A2" w:rsidRPr="00A942F6" w:rsidRDefault="005A42A2" w:rsidP="00641834">
            <w:pPr>
              <w:pStyle w:val="TableParagraph"/>
              <w:jc w:val="center"/>
              <w:rPr>
                <w:sz w:val="20"/>
                <w:szCs w:val="20"/>
                <w:lang w:val="nb-NO"/>
              </w:rPr>
            </w:pPr>
            <w:r w:rsidRPr="00A942F6">
              <w:rPr>
                <w:sz w:val="20"/>
                <w:szCs w:val="20"/>
                <w:lang w:val="nb-NO"/>
              </w:rPr>
              <w:t>59 %***</w:t>
            </w:r>
          </w:p>
        </w:tc>
        <w:tc>
          <w:tcPr>
            <w:tcW w:w="784" w:type="dxa"/>
          </w:tcPr>
          <w:p w14:paraId="253EB21B" w14:textId="77777777" w:rsidR="005A42A2" w:rsidRPr="00A942F6" w:rsidRDefault="005A42A2" w:rsidP="00641834">
            <w:pPr>
              <w:pStyle w:val="TableParagraph"/>
              <w:jc w:val="center"/>
              <w:rPr>
                <w:sz w:val="20"/>
                <w:szCs w:val="20"/>
                <w:lang w:val="nb-NO"/>
              </w:rPr>
            </w:pPr>
            <w:r w:rsidRPr="00A942F6">
              <w:rPr>
                <w:sz w:val="20"/>
                <w:szCs w:val="20"/>
                <w:lang w:val="nb-NO"/>
              </w:rPr>
              <w:t>26 %</w:t>
            </w:r>
          </w:p>
        </w:tc>
        <w:tc>
          <w:tcPr>
            <w:tcW w:w="979" w:type="dxa"/>
          </w:tcPr>
          <w:p w14:paraId="71438228" w14:textId="77777777" w:rsidR="005A42A2" w:rsidRPr="00A942F6" w:rsidRDefault="005A42A2" w:rsidP="00641834">
            <w:pPr>
              <w:pStyle w:val="TableParagraph"/>
              <w:jc w:val="center"/>
              <w:rPr>
                <w:sz w:val="20"/>
                <w:szCs w:val="20"/>
                <w:lang w:val="nb-NO"/>
              </w:rPr>
            </w:pPr>
            <w:r w:rsidRPr="00A942F6">
              <w:rPr>
                <w:sz w:val="20"/>
                <w:szCs w:val="20"/>
                <w:lang w:val="nb-NO"/>
              </w:rPr>
              <w:t>61 %***</w:t>
            </w:r>
          </w:p>
        </w:tc>
        <w:tc>
          <w:tcPr>
            <w:tcW w:w="924" w:type="dxa"/>
          </w:tcPr>
          <w:p w14:paraId="45E53C41" w14:textId="77777777" w:rsidR="005A42A2" w:rsidRPr="00A942F6" w:rsidRDefault="005A42A2" w:rsidP="00641834">
            <w:pPr>
              <w:pStyle w:val="TableParagraph"/>
              <w:jc w:val="center"/>
              <w:rPr>
                <w:sz w:val="20"/>
                <w:szCs w:val="20"/>
                <w:lang w:val="nb-NO"/>
              </w:rPr>
            </w:pPr>
            <w:r w:rsidRPr="00A942F6">
              <w:rPr>
                <w:sz w:val="20"/>
                <w:szCs w:val="20"/>
                <w:lang w:val="nb-NO"/>
              </w:rPr>
              <w:t>24 %</w:t>
            </w:r>
          </w:p>
        </w:tc>
        <w:tc>
          <w:tcPr>
            <w:tcW w:w="896" w:type="dxa"/>
          </w:tcPr>
          <w:p w14:paraId="0645700B" w14:textId="77777777" w:rsidR="005A42A2" w:rsidRPr="00A942F6" w:rsidRDefault="005A42A2" w:rsidP="00641834">
            <w:pPr>
              <w:pStyle w:val="TableParagraph"/>
              <w:jc w:val="center"/>
              <w:rPr>
                <w:sz w:val="20"/>
                <w:szCs w:val="20"/>
                <w:lang w:val="nb-NO"/>
              </w:rPr>
            </w:pPr>
            <w:r w:rsidRPr="00A942F6">
              <w:rPr>
                <w:sz w:val="20"/>
                <w:szCs w:val="20"/>
                <w:lang w:val="nb-NO"/>
              </w:rPr>
              <w:t>50 %***</w:t>
            </w:r>
          </w:p>
        </w:tc>
        <w:tc>
          <w:tcPr>
            <w:tcW w:w="714" w:type="dxa"/>
          </w:tcPr>
          <w:p w14:paraId="30E81516" w14:textId="77777777" w:rsidR="005A42A2" w:rsidRPr="00A942F6" w:rsidRDefault="005A42A2" w:rsidP="00641834">
            <w:pPr>
              <w:pStyle w:val="TableParagraph"/>
              <w:jc w:val="center"/>
              <w:rPr>
                <w:sz w:val="20"/>
                <w:szCs w:val="20"/>
                <w:lang w:val="nb-NO"/>
              </w:rPr>
            </w:pPr>
            <w:r w:rsidRPr="00A942F6">
              <w:rPr>
                <w:sz w:val="20"/>
                <w:szCs w:val="20"/>
                <w:lang w:val="nb-NO"/>
              </w:rPr>
              <w:t>10 %</w:t>
            </w:r>
          </w:p>
        </w:tc>
      </w:tr>
      <w:tr w:rsidR="00D07125" w:rsidRPr="00A942F6" w14:paraId="64D11814" w14:textId="77777777" w:rsidTr="00D07125">
        <w:trPr>
          <w:cantSplit/>
          <w:trHeight w:val="20"/>
        </w:trPr>
        <w:tc>
          <w:tcPr>
            <w:tcW w:w="527" w:type="dxa"/>
          </w:tcPr>
          <w:p w14:paraId="3DEB6EEE" w14:textId="77777777" w:rsidR="005A42A2" w:rsidRPr="00A942F6" w:rsidRDefault="005A42A2" w:rsidP="00641834">
            <w:pPr>
              <w:pStyle w:val="TableParagraph"/>
              <w:jc w:val="center"/>
              <w:rPr>
                <w:sz w:val="20"/>
                <w:szCs w:val="20"/>
                <w:lang w:val="nb-NO"/>
              </w:rPr>
            </w:pPr>
            <w:r w:rsidRPr="00A942F6">
              <w:rPr>
                <w:sz w:val="20"/>
                <w:szCs w:val="20"/>
                <w:lang w:val="nb-NO"/>
              </w:rPr>
              <w:lastRenderedPageBreak/>
              <w:t>52</w:t>
            </w:r>
          </w:p>
        </w:tc>
        <w:tc>
          <w:tcPr>
            <w:tcW w:w="868" w:type="dxa"/>
          </w:tcPr>
          <w:p w14:paraId="0C0B8265" w14:textId="77777777" w:rsidR="005A42A2" w:rsidRPr="00A942F6" w:rsidRDefault="005A42A2" w:rsidP="00641834">
            <w:pPr>
              <w:pStyle w:val="TableParagraph"/>
              <w:rPr>
                <w:sz w:val="20"/>
                <w:szCs w:val="20"/>
                <w:lang w:val="nb-NO"/>
              </w:rPr>
            </w:pPr>
          </w:p>
        </w:tc>
        <w:tc>
          <w:tcPr>
            <w:tcW w:w="826" w:type="dxa"/>
          </w:tcPr>
          <w:p w14:paraId="30961FAE" w14:textId="77777777" w:rsidR="005A42A2" w:rsidRPr="00A942F6" w:rsidRDefault="005A42A2" w:rsidP="00641834">
            <w:pPr>
              <w:pStyle w:val="TableParagraph"/>
              <w:rPr>
                <w:sz w:val="20"/>
                <w:szCs w:val="20"/>
                <w:lang w:val="nb-NO"/>
              </w:rPr>
            </w:pPr>
          </w:p>
        </w:tc>
        <w:tc>
          <w:tcPr>
            <w:tcW w:w="868" w:type="dxa"/>
          </w:tcPr>
          <w:p w14:paraId="0A4A1887" w14:textId="77777777" w:rsidR="005A42A2" w:rsidRPr="00A942F6" w:rsidRDefault="005A42A2" w:rsidP="00641834">
            <w:pPr>
              <w:pStyle w:val="TableParagraph"/>
              <w:jc w:val="center"/>
              <w:rPr>
                <w:sz w:val="20"/>
                <w:szCs w:val="20"/>
                <w:lang w:val="nb-NO"/>
              </w:rPr>
            </w:pPr>
            <w:r w:rsidRPr="00A942F6">
              <w:rPr>
                <w:sz w:val="20"/>
                <w:szCs w:val="20"/>
                <w:lang w:val="nb-NO"/>
              </w:rPr>
              <w:t>56 %***</w:t>
            </w:r>
          </w:p>
        </w:tc>
        <w:tc>
          <w:tcPr>
            <w:tcW w:w="826" w:type="dxa"/>
          </w:tcPr>
          <w:p w14:paraId="579B9D00" w14:textId="77777777" w:rsidR="005A42A2" w:rsidRPr="00A942F6" w:rsidRDefault="005A42A2" w:rsidP="00641834">
            <w:pPr>
              <w:pStyle w:val="TableParagraph"/>
              <w:jc w:val="center"/>
              <w:rPr>
                <w:sz w:val="20"/>
                <w:szCs w:val="20"/>
                <w:lang w:val="nb-NO"/>
              </w:rPr>
            </w:pPr>
            <w:r w:rsidRPr="00A942F6">
              <w:rPr>
                <w:sz w:val="20"/>
                <w:szCs w:val="20"/>
                <w:lang w:val="nb-NO"/>
              </w:rPr>
              <w:t>25 %</w:t>
            </w:r>
          </w:p>
        </w:tc>
        <w:tc>
          <w:tcPr>
            <w:tcW w:w="882" w:type="dxa"/>
          </w:tcPr>
          <w:p w14:paraId="07E2FE6B" w14:textId="77777777" w:rsidR="005A42A2" w:rsidRPr="00A942F6" w:rsidRDefault="005A42A2" w:rsidP="00641834">
            <w:pPr>
              <w:pStyle w:val="TableParagraph"/>
              <w:rPr>
                <w:sz w:val="20"/>
                <w:szCs w:val="20"/>
                <w:lang w:val="nb-NO"/>
              </w:rPr>
            </w:pPr>
          </w:p>
        </w:tc>
        <w:tc>
          <w:tcPr>
            <w:tcW w:w="784" w:type="dxa"/>
          </w:tcPr>
          <w:p w14:paraId="2A46F430" w14:textId="77777777" w:rsidR="005A42A2" w:rsidRPr="00A942F6" w:rsidRDefault="005A42A2" w:rsidP="00641834">
            <w:pPr>
              <w:pStyle w:val="TableParagraph"/>
              <w:rPr>
                <w:sz w:val="20"/>
                <w:szCs w:val="20"/>
                <w:lang w:val="nb-NO"/>
              </w:rPr>
            </w:pPr>
          </w:p>
        </w:tc>
        <w:tc>
          <w:tcPr>
            <w:tcW w:w="979" w:type="dxa"/>
          </w:tcPr>
          <w:p w14:paraId="7F129A71" w14:textId="77777777" w:rsidR="005A42A2" w:rsidRPr="00A942F6" w:rsidRDefault="005A42A2" w:rsidP="00641834">
            <w:pPr>
              <w:pStyle w:val="TableParagraph"/>
              <w:rPr>
                <w:sz w:val="20"/>
                <w:szCs w:val="20"/>
                <w:lang w:val="nb-NO"/>
              </w:rPr>
            </w:pPr>
          </w:p>
        </w:tc>
        <w:tc>
          <w:tcPr>
            <w:tcW w:w="924" w:type="dxa"/>
          </w:tcPr>
          <w:p w14:paraId="07BBEC6C" w14:textId="77777777" w:rsidR="005A42A2" w:rsidRPr="00A942F6" w:rsidRDefault="005A42A2" w:rsidP="00641834">
            <w:pPr>
              <w:pStyle w:val="TableParagraph"/>
              <w:rPr>
                <w:sz w:val="20"/>
                <w:szCs w:val="20"/>
                <w:lang w:val="nb-NO"/>
              </w:rPr>
            </w:pPr>
          </w:p>
        </w:tc>
        <w:tc>
          <w:tcPr>
            <w:tcW w:w="896" w:type="dxa"/>
          </w:tcPr>
          <w:p w14:paraId="4F699904" w14:textId="77777777" w:rsidR="005A42A2" w:rsidRPr="00A942F6" w:rsidRDefault="005A42A2" w:rsidP="00641834">
            <w:pPr>
              <w:pStyle w:val="TableParagraph"/>
              <w:rPr>
                <w:sz w:val="20"/>
                <w:szCs w:val="20"/>
                <w:lang w:val="nb-NO"/>
              </w:rPr>
            </w:pPr>
          </w:p>
        </w:tc>
        <w:tc>
          <w:tcPr>
            <w:tcW w:w="714" w:type="dxa"/>
          </w:tcPr>
          <w:p w14:paraId="2120079F" w14:textId="77777777" w:rsidR="005A42A2" w:rsidRPr="00A942F6" w:rsidRDefault="005A42A2" w:rsidP="00641834">
            <w:pPr>
              <w:pStyle w:val="TableParagraph"/>
              <w:rPr>
                <w:sz w:val="20"/>
                <w:szCs w:val="20"/>
                <w:lang w:val="nb-NO"/>
              </w:rPr>
            </w:pPr>
          </w:p>
        </w:tc>
      </w:tr>
      <w:tr w:rsidR="005A42A2" w:rsidRPr="00A942F6" w14:paraId="3E6A2B3E" w14:textId="77777777" w:rsidTr="00D07125">
        <w:trPr>
          <w:cantSplit/>
          <w:trHeight w:val="20"/>
        </w:trPr>
        <w:tc>
          <w:tcPr>
            <w:tcW w:w="9094" w:type="dxa"/>
            <w:gridSpan w:val="11"/>
          </w:tcPr>
          <w:p w14:paraId="4495B5BF" w14:textId="77777777" w:rsidR="005A42A2" w:rsidRPr="00A942F6" w:rsidRDefault="005A42A2" w:rsidP="00641834">
            <w:pPr>
              <w:pStyle w:val="TableParagraph"/>
              <w:jc w:val="center"/>
              <w:rPr>
                <w:b/>
                <w:sz w:val="20"/>
                <w:szCs w:val="20"/>
                <w:lang w:val="nb-NO"/>
              </w:rPr>
            </w:pPr>
            <w:r w:rsidRPr="00A942F6">
              <w:rPr>
                <w:b/>
                <w:sz w:val="20"/>
                <w:szCs w:val="20"/>
                <w:lang w:val="nb-NO"/>
              </w:rPr>
              <w:t>ACR 50</w:t>
            </w:r>
          </w:p>
        </w:tc>
      </w:tr>
      <w:tr w:rsidR="00D07125" w:rsidRPr="00A942F6" w14:paraId="6F436A37" w14:textId="77777777" w:rsidTr="00D07125">
        <w:trPr>
          <w:cantSplit/>
          <w:trHeight w:val="20"/>
        </w:trPr>
        <w:tc>
          <w:tcPr>
            <w:tcW w:w="527" w:type="dxa"/>
          </w:tcPr>
          <w:p w14:paraId="0A09AE9C" w14:textId="77777777" w:rsidR="005A42A2" w:rsidRPr="00A942F6" w:rsidRDefault="005A42A2" w:rsidP="00641834">
            <w:pPr>
              <w:pStyle w:val="TableParagraph"/>
              <w:jc w:val="center"/>
              <w:rPr>
                <w:sz w:val="20"/>
                <w:szCs w:val="20"/>
                <w:lang w:val="nb-NO"/>
              </w:rPr>
            </w:pPr>
            <w:r w:rsidRPr="00A942F6">
              <w:rPr>
                <w:sz w:val="20"/>
                <w:szCs w:val="20"/>
                <w:lang w:val="nb-NO"/>
              </w:rPr>
              <w:t>24</w:t>
            </w:r>
          </w:p>
        </w:tc>
        <w:tc>
          <w:tcPr>
            <w:tcW w:w="868" w:type="dxa"/>
          </w:tcPr>
          <w:p w14:paraId="307C5C48" w14:textId="77777777" w:rsidR="005A42A2" w:rsidRPr="00A942F6" w:rsidRDefault="005A42A2" w:rsidP="00641834">
            <w:pPr>
              <w:pStyle w:val="TableParagraph"/>
              <w:jc w:val="center"/>
              <w:rPr>
                <w:sz w:val="20"/>
                <w:szCs w:val="20"/>
                <w:lang w:val="nb-NO"/>
              </w:rPr>
            </w:pPr>
            <w:r w:rsidRPr="00A942F6">
              <w:rPr>
                <w:sz w:val="20"/>
                <w:szCs w:val="20"/>
                <w:lang w:val="nb-NO"/>
              </w:rPr>
              <w:t>44 %**</w:t>
            </w:r>
          </w:p>
        </w:tc>
        <w:tc>
          <w:tcPr>
            <w:tcW w:w="826" w:type="dxa"/>
          </w:tcPr>
          <w:p w14:paraId="2DED062E" w14:textId="77777777" w:rsidR="005A42A2" w:rsidRPr="00A942F6" w:rsidRDefault="005A42A2" w:rsidP="00641834">
            <w:pPr>
              <w:pStyle w:val="TableParagraph"/>
              <w:jc w:val="center"/>
              <w:rPr>
                <w:sz w:val="20"/>
                <w:szCs w:val="20"/>
                <w:lang w:val="nb-NO"/>
              </w:rPr>
            </w:pPr>
            <w:r w:rsidRPr="00A942F6">
              <w:rPr>
                <w:sz w:val="20"/>
                <w:szCs w:val="20"/>
                <w:lang w:val="nb-NO"/>
              </w:rPr>
              <w:t>33 %</w:t>
            </w:r>
          </w:p>
        </w:tc>
        <w:tc>
          <w:tcPr>
            <w:tcW w:w="868" w:type="dxa"/>
          </w:tcPr>
          <w:p w14:paraId="7912EC3F" w14:textId="77777777" w:rsidR="005A42A2" w:rsidRPr="00A942F6" w:rsidRDefault="005A42A2" w:rsidP="00641834">
            <w:pPr>
              <w:pStyle w:val="TableParagraph"/>
              <w:jc w:val="center"/>
              <w:rPr>
                <w:sz w:val="20"/>
                <w:szCs w:val="20"/>
                <w:lang w:val="nb-NO"/>
              </w:rPr>
            </w:pPr>
            <w:r w:rsidRPr="00A942F6">
              <w:rPr>
                <w:sz w:val="20"/>
                <w:szCs w:val="20"/>
                <w:lang w:val="nb-NO"/>
              </w:rPr>
              <w:t>32 %***</w:t>
            </w:r>
          </w:p>
        </w:tc>
        <w:tc>
          <w:tcPr>
            <w:tcW w:w="826" w:type="dxa"/>
          </w:tcPr>
          <w:p w14:paraId="65FE2F69" w14:textId="77777777" w:rsidR="005A42A2" w:rsidRPr="00A942F6" w:rsidRDefault="005A42A2" w:rsidP="00641834">
            <w:pPr>
              <w:pStyle w:val="TableParagraph"/>
              <w:jc w:val="center"/>
              <w:rPr>
                <w:sz w:val="20"/>
                <w:szCs w:val="20"/>
                <w:lang w:val="nb-NO"/>
              </w:rPr>
            </w:pPr>
            <w:r w:rsidRPr="00A942F6">
              <w:rPr>
                <w:sz w:val="20"/>
                <w:szCs w:val="20"/>
                <w:lang w:val="nb-NO"/>
              </w:rPr>
              <w:t>10 %</w:t>
            </w:r>
          </w:p>
        </w:tc>
        <w:tc>
          <w:tcPr>
            <w:tcW w:w="882" w:type="dxa"/>
          </w:tcPr>
          <w:p w14:paraId="636DB92B" w14:textId="77777777" w:rsidR="005A42A2" w:rsidRPr="00A942F6" w:rsidRDefault="005A42A2" w:rsidP="00641834">
            <w:pPr>
              <w:pStyle w:val="TableParagraph"/>
              <w:jc w:val="center"/>
              <w:rPr>
                <w:sz w:val="20"/>
                <w:szCs w:val="20"/>
                <w:lang w:val="nb-NO"/>
              </w:rPr>
            </w:pPr>
            <w:r w:rsidRPr="00A942F6">
              <w:rPr>
                <w:sz w:val="20"/>
                <w:szCs w:val="20"/>
                <w:lang w:val="nb-NO"/>
              </w:rPr>
              <w:t>44 %***</w:t>
            </w:r>
          </w:p>
        </w:tc>
        <w:tc>
          <w:tcPr>
            <w:tcW w:w="784" w:type="dxa"/>
          </w:tcPr>
          <w:p w14:paraId="0365814A" w14:textId="77777777" w:rsidR="005A42A2" w:rsidRPr="00A942F6" w:rsidRDefault="005A42A2" w:rsidP="00641834">
            <w:pPr>
              <w:pStyle w:val="TableParagraph"/>
              <w:jc w:val="center"/>
              <w:rPr>
                <w:sz w:val="20"/>
                <w:szCs w:val="20"/>
                <w:lang w:val="nb-NO"/>
              </w:rPr>
            </w:pPr>
            <w:r w:rsidRPr="00A942F6">
              <w:rPr>
                <w:sz w:val="20"/>
                <w:szCs w:val="20"/>
                <w:lang w:val="nb-NO"/>
              </w:rPr>
              <w:t>11 %</w:t>
            </w:r>
          </w:p>
        </w:tc>
        <w:tc>
          <w:tcPr>
            <w:tcW w:w="979" w:type="dxa"/>
          </w:tcPr>
          <w:p w14:paraId="681D9F1D" w14:textId="77777777" w:rsidR="005A42A2" w:rsidRPr="00A942F6" w:rsidRDefault="005A42A2" w:rsidP="00641834">
            <w:pPr>
              <w:pStyle w:val="TableParagraph"/>
              <w:jc w:val="center"/>
              <w:rPr>
                <w:sz w:val="20"/>
                <w:szCs w:val="20"/>
                <w:lang w:val="nb-NO"/>
              </w:rPr>
            </w:pPr>
            <w:r w:rsidRPr="00A942F6">
              <w:rPr>
                <w:sz w:val="20"/>
                <w:szCs w:val="20"/>
                <w:lang w:val="nb-NO"/>
              </w:rPr>
              <w:t>38 %***</w:t>
            </w:r>
          </w:p>
        </w:tc>
        <w:tc>
          <w:tcPr>
            <w:tcW w:w="924" w:type="dxa"/>
          </w:tcPr>
          <w:p w14:paraId="536E1452" w14:textId="77777777" w:rsidR="005A42A2" w:rsidRPr="00A942F6" w:rsidRDefault="005A42A2" w:rsidP="00641834">
            <w:pPr>
              <w:pStyle w:val="TableParagraph"/>
              <w:jc w:val="center"/>
              <w:rPr>
                <w:sz w:val="20"/>
                <w:szCs w:val="20"/>
                <w:lang w:val="nb-NO"/>
              </w:rPr>
            </w:pPr>
            <w:r w:rsidRPr="00A942F6">
              <w:rPr>
                <w:sz w:val="20"/>
                <w:szCs w:val="20"/>
                <w:lang w:val="nb-NO"/>
              </w:rPr>
              <w:t>9 %</w:t>
            </w:r>
          </w:p>
        </w:tc>
        <w:tc>
          <w:tcPr>
            <w:tcW w:w="896" w:type="dxa"/>
          </w:tcPr>
          <w:p w14:paraId="410E6023" w14:textId="77777777" w:rsidR="005A42A2" w:rsidRPr="00A942F6" w:rsidRDefault="005A42A2" w:rsidP="00641834">
            <w:pPr>
              <w:pStyle w:val="TableParagraph"/>
              <w:jc w:val="center"/>
              <w:rPr>
                <w:sz w:val="20"/>
                <w:szCs w:val="20"/>
                <w:lang w:val="nb-NO"/>
              </w:rPr>
            </w:pPr>
            <w:r w:rsidRPr="00A942F6">
              <w:rPr>
                <w:sz w:val="20"/>
                <w:szCs w:val="20"/>
                <w:lang w:val="nb-NO"/>
              </w:rPr>
              <w:t>29 %***</w:t>
            </w:r>
          </w:p>
        </w:tc>
        <w:tc>
          <w:tcPr>
            <w:tcW w:w="714" w:type="dxa"/>
          </w:tcPr>
          <w:p w14:paraId="5F8AEA17" w14:textId="77777777" w:rsidR="005A42A2" w:rsidRPr="00A942F6" w:rsidRDefault="005A42A2" w:rsidP="00641834">
            <w:pPr>
              <w:pStyle w:val="TableParagraph"/>
              <w:jc w:val="center"/>
              <w:rPr>
                <w:sz w:val="20"/>
                <w:szCs w:val="20"/>
                <w:lang w:val="nb-NO"/>
              </w:rPr>
            </w:pPr>
            <w:r w:rsidRPr="00A942F6">
              <w:rPr>
                <w:sz w:val="20"/>
                <w:szCs w:val="20"/>
                <w:lang w:val="nb-NO"/>
              </w:rPr>
              <w:t>4 %</w:t>
            </w:r>
          </w:p>
        </w:tc>
      </w:tr>
      <w:tr w:rsidR="00D07125" w:rsidRPr="00A942F6" w14:paraId="6C147AE0" w14:textId="77777777" w:rsidTr="00D07125">
        <w:trPr>
          <w:cantSplit/>
          <w:trHeight w:val="20"/>
        </w:trPr>
        <w:tc>
          <w:tcPr>
            <w:tcW w:w="527" w:type="dxa"/>
          </w:tcPr>
          <w:p w14:paraId="084EB579" w14:textId="77777777" w:rsidR="005A42A2" w:rsidRPr="00A942F6" w:rsidRDefault="005A42A2" w:rsidP="00641834">
            <w:pPr>
              <w:pStyle w:val="TableParagraph"/>
              <w:jc w:val="center"/>
              <w:rPr>
                <w:sz w:val="20"/>
                <w:szCs w:val="20"/>
                <w:lang w:val="nb-NO"/>
              </w:rPr>
            </w:pPr>
            <w:r w:rsidRPr="00A942F6">
              <w:rPr>
                <w:sz w:val="20"/>
                <w:szCs w:val="20"/>
                <w:lang w:val="nb-NO"/>
              </w:rPr>
              <w:t>52</w:t>
            </w:r>
          </w:p>
        </w:tc>
        <w:tc>
          <w:tcPr>
            <w:tcW w:w="868" w:type="dxa"/>
          </w:tcPr>
          <w:p w14:paraId="4E948F3D" w14:textId="77777777" w:rsidR="005A42A2" w:rsidRPr="00A942F6" w:rsidRDefault="005A42A2" w:rsidP="00641834">
            <w:pPr>
              <w:pStyle w:val="TableParagraph"/>
              <w:rPr>
                <w:sz w:val="20"/>
                <w:szCs w:val="20"/>
                <w:lang w:val="nb-NO"/>
              </w:rPr>
            </w:pPr>
          </w:p>
        </w:tc>
        <w:tc>
          <w:tcPr>
            <w:tcW w:w="826" w:type="dxa"/>
          </w:tcPr>
          <w:p w14:paraId="3447FE6A" w14:textId="77777777" w:rsidR="005A42A2" w:rsidRPr="00A942F6" w:rsidRDefault="005A42A2" w:rsidP="00641834">
            <w:pPr>
              <w:pStyle w:val="TableParagraph"/>
              <w:rPr>
                <w:sz w:val="20"/>
                <w:szCs w:val="20"/>
                <w:lang w:val="nb-NO"/>
              </w:rPr>
            </w:pPr>
          </w:p>
        </w:tc>
        <w:tc>
          <w:tcPr>
            <w:tcW w:w="868" w:type="dxa"/>
          </w:tcPr>
          <w:p w14:paraId="48F7E786" w14:textId="77777777" w:rsidR="005A42A2" w:rsidRPr="00A942F6" w:rsidRDefault="005A42A2" w:rsidP="00641834">
            <w:pPr>
              <w:pStyle w:val="TableParagraph"/>
              <w:jc w:val="center"/>
              <w:rPr>
                <w:sz w:val="20"/>
                <w:szCs w:val="20"/>
                <w:lang w:val="nb-NO"/>
              </w:rPr>
            </w:pPr>
            <w:r w:rsidRPr="00A942F6">
              <w:rPr>
                <w:sz w:val="20"/>
                <w:szCs w:val="20"/>
                <w:lang w:val="nb-NO"/>
              </w:rPr>
              <w:t>36 %***</w:t>
            </w:r>
          </w:p>
        </w:tc>
        <w:tc>
          <w:tcPr>
            <w:tcW w:w="826" w:type="dxa"/>
          </w:tcPr>
          <w:p w14:paraId="6979D04D" w14:textId="77777777" w:rsidR="005A42A2" w:rsidRPr="00A942F6" w:rsidRDefault="005A42A2" w:rsidP="00641834">
            <w:pPr>
              <w:pStyle w:val="TableParagraph"/>
              <w:jc w:val="center"/>
              <w:rPr>
                <w:sz w:val="20"/>
                <w:szCs w:val="20"/>
                <w:lang w:val="nb-NO"/>
              </w:rPr>
            </w:pPr>
            <w:r w:rsidRPr="00A942F6">
              <w:rPr>
                <w:sz w:val="20"/>
                <w:szCs w:val="20"/>
                <w:lang w:val="nb-NO"/>
              </w:rPr>
              <w:t>10 %</w:t>
            </w:r>
          </w:p>
        </w:tc>
        <w:tc>
          <w:tcPr>
            <w:tcW w:w="882" w:type="dxa"/>
          </w:tcPr>
          <w:p w14:paraId="013904E6" w14:textId="77777777" w:rsidR="005A42A2" w:rsidRPr="00A942F6" w:rsidRDefault="005A42A2" w:rsidP="00641834">
            <w:pPr>
              <w:pStyle w:val="TableParagraph"/>
              <w:rPr>
                <w:sz w:val="20"/>
                <w:szCs w:val="20"/>
                <w:lang w:val="nb-NO"/>
              </w:rPr>
            </w:pPr>
          </w:p>
        </w:tc>
        <w:tc>
          <w:tcPr>
            <w:tcW w:w="784" w:type="dxa"/>
          </w:tcPr>
          <w:p w14:paraId="037DA6C1" w14:textId="77777777" w:rsidR="005A42A2" w:rsidRPr="00A942F6" w:rsidRDefault="005A42A2" w:rsidP="00641834">
            <w:pPr>
              <w:pStyle w:val="TableParagraph"/>
              <w:rPr>
                <w:sz w:val="20"/>
                <w:szCs w:val="20"/>
                <w:lang w:val="nb-NO"/>
              </w:rPr>
            </w:pPr>
          </w:p>
        </w:tc>
        <w:tc>
          <w:tcPr>
            <w:tcW w:w="979" w:type="dxa"/>
          </w:tcPr>
          <w:p w14:paraId="0672DA43" w14:textId="77777777" w:rsidR="005A42A2" w:rsidRPr="00A942F6" w:rsidRDefault="005A42A2" w:rsidP="00641834">
            <w:pPr>
              <w:pStyle w:val="TableParagraph"/>
              <w:rPr>
                <w:sz w:val="20"/>
                <w:szCs w:val="20"/>
                <w:lang w:val="nb-NO"/>
              </w:rPr>
            </w:pPr>
          </w:p>
        </w:tc>
        <w:tc>
          <w:tcPr>
            <w:tcW w:w="924" w:type="dxa"/>
          </w:tcPr>
          <w:p w14:paraId="7F2BF863" w14:textId="77777777" w:rsidR="005A42A2" w:rsidRPr="00A942F6" w:rsidRDefault="005A42A2" w:rsidP="00641834">
            <w:pPr>
              <w:pStyle w:val="TableParagraph"/>
              <w:rPr>
                <w:sz w:val="20"/>
                <w:szCs w:val="20"/>
                <w:lang w:val="nb-NO"/>
              </w:rPr>
            </w:pPr>
          </w:p>
        </w:tc>
        <w:tc>
          <w:tcPr>
            <w:tcW w:w="896" w:type="dxa"/>
          </w:tcPr>
          <w:p w14:paraId="54E4E9CC" w14:textId="77777777" w:rsidR="005A42A2" w:rsidRPr="00A942F6" w:rsidRDefault="005A42A2" w:rsidP="00641834">
            <w:pPr>
              <w:pStyle w:val="TableParagraph"/>
              <w:rPr>
                <w:sz w:val="20"/>
                <w:szCs w:val="20"/>
                <w:lang w:val="nb-NO"/>
              </w:rPr>
            </w:pPr>
          </w:p>
        </w:tc>
        <w:tc>
          <w:tcPr>
            <w:tcW w:w="714" w:type="dxa"/>
          </w:tcPr>
          <w:p w14:paraId="6CEA1AD6" w14:textId="77777777" w:rsidR="005A42A2" w:rsidRPr="00A942F6" w:rsidRDefault="005A42A2" w:rsidP="00641834">
            <w:pPr>
              <w:pStyle w:val="TableParagraph"/>
              <w:rPr>
                <w:sz w:val="20"/>
                <w:szCs w:val="20"/>
                <w:lang w:val="nb-NO"/>
              </w:rPr>
            </w:pPr>
          </w:p>
        </w:tc>
      </w:tr>
      <w:tr w:rsidR="005A42A2" w:rsidRPr="00A942F6" w14:paraId="63A582ED" w14:textId="77777777" w:rsidTr="00D07125">
        <w:trPr>
          <w:cantSplit/>
          <w:trHeight w:val="20"/>
        </w:trPr>
        <w:tc>
          <w:tcPr>
            <w:tcW w:w="9094" w:type="dxa"/>
            <w:gridSpan w:val="11"/>
          </w:tcPr>
          <w:p w14:paraId="68BADC62" w14:textId="77777777" w:rsidR="005A42A2" w:rsidRPr="00A942F6" w:rsidRDefault="005A42A2" w:rsidP="00641834">
            <w:pPr>
              <w:pStyle w:val="TableParagraph"/>
              <w:jc w:val="center"/>
              <w:rPr>
                <w:b/>
                <w:sz w:val="20"/>
                <w:szCs w:val="20"/>
                <w:lang w:val="nb-NO"/>
              </w:rPr>
            </w:pPr>
            <w:r w:rsidRPr="00A942F6">
              <w:rPr>
                <w:b/>
                <w:sz w:val="20"/>
                <w:szCs w:val="20"/>
                <w:lang w:val="nb-NO"/>
              </w:rPr>
              <w:t>ACR 70</w:t>
            </w:r>
          </w:p>
        </w:tc>
      </w:tr>
      <w:tr w:rsidR="00D07125" w:rsidRPr="00A942F6" w14:paraId="573C52B2" w14:textId="77777777" w:rsidTr="00D07125">
        <w:trPr>
          <w:cantSplit/>
          <w:trHeight w:val="20"/>
        </w:trPr>
        <w:tc>
          <w:tcPr>
            <w:tcW w:w="527" w:type="dxa"/>
          </w:tcPr>
          <w:p w14:paraId="5F9CAA71" w14:textId="77777777" w:rsidR="005A42A2" w:rsidRPr="00A942F6" w:rsidRDefault="005A42A2" w:rsidP="00641834">
            <w:pPr>
              <w:pStyle w:val="TableParagraph"/>
              <w:jc w:val="center"/>
              <w:rPr>
                <w:sz w:val="20"/>
                <w:szCs w:val="20"/>
                <w:lang w:val="nb-NO"/>
              </w:rPr>
            </w:pPr>
            <w:r w:rsidRPr="00A942F6">
              <w:rPr>
                <w:sz w:val="20"/>
                <w:szCs w:val="20"/>
                <w:lang w:val="nb-NO"/>
              </w:rPr>
              <w:t>24</w:t>
            </w:r>
          </w:p>
        </w:tc>
        <w:tc>
          <w:tcPr>
            <w:tcW w:w="868" w:type="dxa"/>
          </w:tcPr>
          <w:p w14:paraId="1843A3EB" w14:textId="77777777" w:rsidR="005A42A2" w:rsidRPr="00A942F6" w:rsidRDefault="005A42A2" w:rsidP="00641834">
            <w:pPr>
              <w:pStyle w:val="TableParagraph"/>
              <w:jc w:val="center"/>
              <w:rPr>
                <w:sz w:val="20"/>
                <w:szCs w:val="20"/>
                <w:lang w:val="nb-NO"/>
              </w:rPr>
            </w:pPr>
            <w:r w:rsidRPr="00A942F6">
              <w:rPr>
                <w:sz w:val="20"/>
                <w:szCs w:val="20"/>
                <w:lang w:val="nb-NO"/>
              </w:rPr>
              <w:t>28 %**</w:t>
            </w:r>
          </w:p>
        </w:tc>
        <w:tc>
          <w:tcPr>
            <w:tcW w:w="826" w:type="dxa"/>
          </w:tcPr>
          <w:p w14:paraId="75F4334D" w14:textId="77777777" w:rsidR="005A42A2" w:rsidRPr="00A942F6" w:rsidRDefault="005A42A2" w:rsidP="00641834">
            <w:pPr>
              <w:pStyle w:val="TableParagraph"/>
              <w:jc w:val="center"/>
              <w:rPr>
                <w:sz w:val="20"/>
                <w:szCs w:val="20"/>
                <w:lang w:val="nb-NO"/>
              </w:rPr>
            </w:pPr>
            <w:r w:rsidRPr="00A942F6">
              <w:rPr>
                <w:sz w:val="20"/>
                <w:szCs w:val="20"/>
                <w:lang w:val="nb-NO"/>
              </w:rPr>
              <w:t>15 %</w:t>
            </w:r>
          </w:p>
        </w:tc>
        <w:tc>
          <w:tcPr>
            <w:tcW w:w="868" w:type="dxa"/>
          </w:tcPr>
          <w:p w14:paraId="3461155F" w14:textId="77777777" w:rsidR="005A42A2" w:rsidRPr="00A942F6" w:rsidRDefault="005A42A2" w:rsidP="00641834">
            <w:pPr>
              <w:pStyle w:val="TableParagraph"/>
              <w:jc w:val="center"/>
              <w:rPr>
                <w:sz w:val="20"/>
                <w:szCs w:val="20"/>
                <w:lang w:val="nb-NO"/>
              </w:rPr>
            </w:pPr>
            <w:r w:rsidRPr="00A942F6">
              <w:rPr>
                <w:sz w:val="20"/>
                <w:szCs w:val="20"/>
                <w:lang w:val="nb-NO"/>
              </w:rPr>
              <w:t>13 %***</w:t>
            </w:r>
          </w:p>
        </w:tc>
        <w:tc>
          <w:tcPr>
            <w:tcW w:w="826" w:type="dxa"/>
          </w:tcPr>
          <w:p w14:paraId="0B7DB5DB" w14:textId="77777777" w:rsidR="005A42A2" w:rsidRPr="00A942F6" w:rsidRDefault="005A42A2" w:rsidP="00641834">
            <w:pPr>
              <w:pStyle w:val="TableParagraph"/>
              <w:jc w:val="center"/>
              <w:rPr>
                <w:sz w:val="20"/>
                <w:szCs w:val="20"/>
                <w:lang w:val="nb-NO"/>
              </w:rPr>
            </w:pPr>
            <w:r w:rsidRPr="00A942F6">
              <w:rPr>
                <w:sz w:val="20"/>
                <w:szCs w:val="20"/>
                <w:lang w:val="nb-NO"/>
              </w:rPr>
              <w:t>2 %</w:t>
            </w:r>
          </w:p>
        </w:tc>
        <w:tc>
          <w:tcPr>
            <w:tcW w:w="882" w:type="dxa"/>
          </w:tcPr>
          <w:p w14:paraId="70B64BF3" w14:textId="77777777" w:rsidR="005A42A2" w:rsidRPr="00A942F6" w:rsidRDefault="005A42A2" w:rsidP="00641834">
            <w:pPr>
              <w:pStyle w:val="TableParagraph"/>
              <w:jc w:val="center"/>
              <w:rPr>
                <w:sz w:val="20"/>
                <w:szCs w:val="20"/>
                <w:lang w:val="nb-NO"/>
              </w:rPr>
            </w:pPr>
            <w:r w:rsidRPr="00A942F6">
              <w:rPr>
                <w:sz w:val="20"/>
                <w:szCs w:val="20"/>
                <w:lang w:val="nb-NO"/>
              </w:rPr>
              <w:t>22 %***</w:t>
            </w:r>
          </w:p>
        </w:tc>
        <w:tc>
          <w:tcPr>
            <w:tcW w:w="784" w:type="dxa"/>
          </w:tcPr>
          <w:p w14:paraId="1C8CAEBA" w14:textId="77777777" w:rsidR="005A42A2" w:rsidRPr="00A942F6" w:rsidRDefault="005A42A2" w:rsidP="00641834">
            <w:pPr>
              <w:pStyle w:val="TableParagraph"/>
              <w:jc w:val="center"/>
              <w:rPr>
                <w:sz w:val="20"/>
                <w:szCs w:val="20"/>
                <w:lang w:val="nb-NO"/>
              </w:rPr>
            </w:pPr>
            <w:r w:rsidRPr="00A942F6">
              <w:rPr>
                <w:sz w:val="20"/>
                <w:szCs w:val="20"/>
                <w:lang w:val="nb-NO"/>
              </w:rPr>
              <w:t>2 %</w:t>
            </w:r>
          </w:p>
        </w:tc>
        <w:tc>
          <w:tcPr>
            <w:tcW w:w="979" w:type="dxa"/>
          </w:tcPr>
          <w:p w14:paraId="5C17DC60" w14:textId="77777777" w:rsidR="005A42A2" w:rsidRPr="00A942F6" w:rsidRDefault="005A42A2" w:rsidP="00641834">
            <w:pPr>
              <w:pStyle w:val="TableParagraph"/>
              <w:jc w:val="center"/>
              <w:rPr>
                <w:sz w:val="20"/>
                <w:szCs w:val="20"/>
                <w:lang w:val="nb-NO"/>
              </w:rPr>
            </w:pPr>
            <w:r w:rsidRPr="00A942F6">
              <w:rPr>
                <w:sz w:val="20"/>
                <w:szCs w:val="20"/>
                <w:lang w:val="nb-NO"/>
              </w:rPr>
              <w:t>21 %***</w:t>
            </w:r>
          </w:p>
        </w:tc>
        <w:tc>
          <w:tcPr>
            <w:tcW w:w="924" w:type="dxa"/>
          </w:tcPr>
          <w:p w14:paraId="1A6E41AB" w14:textId="77777777" w:rsidR="005A42A2" w:rsidRPr="00A942F6" w:rsidRDefault="005A42A2" w:rsidP="00641834">
            <w:pPr>
              <w:pStyle w:val="TableParagraph"/>
              <w:jc w:val="center"/>
              <w:rPr>
                <w:sz w:val="20"/>
                <w:szCs w:val="20"/>
                <w:lang w:val="nb-NO"/>
              </w:rPr>
            </w:pPr>
            <w:r w:rsidRPr="00A942F6">
              <w:rPr>
                <w:sz w:val="20"/>
                <w:szCs w:val="20"/>
                <w:lang w:val="nb-NO"/>
              </w:rPr>
              <w:t>3 %</w:t>
            </w:r>
          </w:p>
        </w:tc>
        <w:tc>
          <w:tcPr>
            <w:tcW w:w="896" w:type="dxa"/>
          </w:tcPr>
          <w:p w14:paraId="12D9FB17" w14:textId="77777777" w:rsidR="005A42A2" w:rsidRPr="00A942F6" w:rsidRDefault="005A42A2" w:rsidP="00641834">
            <w:pPr>
              <w:pStyle w:val="TableParagraph"/>
              <w:jc w:val="center"/>
              <w:rPr>
                <w:sz w:val="20"/>
                <w:szCs w:val="20"/>
                <w:lang w:val="nb-NO"/>
              </w:rPr>
            </w:pPr>
            <w:r w:rsidRPr="00A942F6">
              <w:rPr>
                <w:sz w:val="20"/>
                <w:szCs w:val="20"/>
                <w:lang w:val="nb-NO"/>
              </w:rPr>
              <w:t>12 %**</w:t>
            </w:r>
          </w:p>
        </w:tc>
        <w:tc>
          <w:tcPr>
            <w:tcW w:w="714" w:type="dxa"/>
          </w:tcPr>
          <w:p w14:paraId="4F825D26" w14:textId="77777777" w:rsidR="005A42A2" w:rsidRPr="00A942F6" w:rsidRDefault="005A42A2" w:rsidP="00641834">
            <w:pPr>
              <w:pStyle w:val="TableParagraph"/>
              <w:jc w:val="center"/>
              <w:rPr>
                <w:sz w:val="20"/>
                <w:szCs w:val="20"/>
                <w:lang w:val="nb-NO"/>
              </w:rPr>
            </w:pPr>
            <w:r w:rsidRPr="00A942F6">
              <w:rPr>
                <w:sz w:val="20"/>
                <w:szCs w:val="20"/>
                <w:lang w:val="nb-NO"/>
              </w:rPr>
              <w:t>1 %</w:t>
            </w:r>
          </w:p>
        </w:tc>
      </w:tr>
      <w:tr w:rsidR="00D07125" w:rsidRPr="00A942F6" w14:paraId="41B58581" w14:textId="77777777" w:rsidTr="00D07125">
        <w:trPr>
          <w:cantSplit/>
          <w:trHeight w:val="20"/>
        </w:trPr>
        <w:tc>
          <w:tcPr>
            <w:tcW w:w="527" w:type="dxa"/>
          </w:tcPr>
          <w:p w14:paraId="403D52FA" w14:textId="77777777" w:rsidR="005A42A2" w:rsidRPr="00A942F6" w:rsidRDefault="005A42A2" w:rsidP="00641834">
            <w:pPr>
              <w:pStyle w:val="TableParagraph"/>
              <w:jc w:val="center"/>
              <w:rPr>
                <w:sz w:val="20"/>
                <w:szCs w:val="20"/>
                <w:lang w:val="nb-NO"/>
              </w:rPr>
            </w:pPr>
            <w:r w:rsidRPr="00A942F6">
              <w:rPr>
                <w:sz w:val="20"/>
                <w:szCs w:val="20"/>
                <w:lang w:val="nb-NO"/>
              </w:rPr>
              <w:t>52</w:t>
            </w:r>
          </w:p>
        </w:tc>
        <w:tc>
          <w:tcPr>
            <w:tcW w:w="1694" w:type="dxa"/>
            <w:gridSpan w:val="2"/>
          </w:tcPr>
          <w:p w14:paraId="0BA51245" w14:textId="77777777" w:rsidR="005A42A2" w:rsidRPr="00A942F6" w:rsidRDefault="005A42A2" w:rsidP="00641834">
            <w:pPr>
              <w:pStyle w:val="TableParagraph"/>
              <w:rPr>
                <w:sz w:val="20"/>
                <w:szCs w:val="20"/>
                <w:lang w:val="nb-NO"/>
              </w:rPr>
            </w:pPr>
          </w:p>
        </w:tc>
        <w:tc>
          <w:tcPr>
            <w:tcW w:w="868" w:type="dxa"/>
            <w:tcBorders>
              <w:right w:val="nil"/>
            </w:tcBorders>
          </w:tcPr>
          <w:p w14:paraId="56BAA58D" w14:textId="77777777" w:rsidR="005A42A2" w:rsidRPr="00A942F6" w:rsidRDefault="005A42A2" w:rsidP="00641834">
            <w:pPr>
              <w:pStyle w:val="TableParagraph"/>
              <w:jc w:val="center"/>
              <w:rPr>
                <w:sz w:val="20"/>
                <w:szCs w:val="20"/>
                <w:lang w:val="nb-NO"/>
              </w:rPr>
            </w:pPr>
            <w:r w:rsidRPr="00A942F6">
              <w:rPr>
                <w:sz w:val="20"/>
                <w:szCs w:val="20"/>
                <w:lang w:val="nb-NO"/>
              </w:rPr>
              <w:t>20 %***</w:t>
            </w:r>
          </w:p>
        </w:tc>
        <w:tc>
          <w:tcPr>
            <w:tcW w:w="826" w:type="dxa"/>
            <w:tcBorders>
              <w:left w:val="nil"/>
            </w:tcBorders>
          </w:tcPr>
          <w:p w14:paraId="516DECCF" w14:textId="77777777" w:rsidR="005A42A2" w:rsidRPr="00A942F6" w:rsidRDefault="005A42A2" w:rsidP="00641834">
            <w:pPr>
              <w:pStyle w:val="TableParagraph"/>
              <w:jc w:val="center"/>
              <w:rPr>
                <w:sz w:val="20"/>
                <w:szCs w:val="20"/>
                <w:lang w:val="nb-NO"/>
              </w:rPr>
            </w:pPr>
            <w:r w:rsidRPr="00A942F6">
              <w:rPr>
                <w:sz w:val="20"/>
                <w:szCs w:val="20"/>
                <w:lang w:val="nb-NO"/>
              </w:rPr>
              <w:t>4 %</w:t>
            </w:r>
          </w:p>
        </w:tc>
        <w:tc>
          <w:tcPr>
            <w:tcW w:w="1666" w:type="dxa"/>
            <w:gridSpan w:val="2"/>
          </w:tcPr>
          <w:p w14:paraId="0122B232" w14:textId="77777777" w:rsidR="005A42A2" w:rsidRPr="00A942F6" w:rsidRDefault="005A42A2" w:rsidP="00641834">
            <w:pPr>
              <w:pStyle w:val="TableParagraph"/>
              <w:rPr>
                <w:sz w:val="20"/>
                <w:szCs w:val="20"/>
                <w:lang w:val="nb-NO"/>
              </w:rPr>
            </w:pPr>
          </w:p>
        </w:tc>
        <w:tc>
          <w:tcPr>
            <w:tcW w:w="979" w:type="dxa"/>
          </w:tcPr>
          <w:p w14:paraId="2B1AD858" w14:textId="77777777" w:rsidR="005A42A2" w:rsidRPr="00A942F6" w:rsidRDefault="005A42A2" w:rsidP="00641834">
            <w:pPr>
              <w:pStyle w:val="TableParagraph"/>
              <w:rPr>
                <w:sz w:val="20"/>
                <w:szCs w:val="20"/>
                <w:lang w:val="nb-NO"/>
              </w:rPr>
            </w:pPr>
          </w:p>
        </w:tc>
        <w:tc>
          <w:tcPr>
            <w:tcW w:w="924" w:type="dxa"/>
          </w:tcPr>
          <w:p w14:paraId="3FEA79F1" w14:textId="77777777" w:rsidR="005A42A2" w:rsidRPr="00A942F6" w:rsidRDefault="005A42A2" w:rsidP="00641834">
            <w:pPr>
              <w:pStyle w:val="TableParagraph"/>
              <w:rPr>
                <w:sz w:val="20"/>
                <w:szCs w:val="20"/>
                <w:lang w:val="nb-NO"/>
              </w:rPr>
            </w:pPr>
          </w:p>
        </w:tc>
        <w:tc>
          <w:tcPr>
            <w:tcW w:w="896" w:type="dxa"/>
          </w:tcPr>
          <w:p w14:paraId="2154ECF4" w14:textId="77777777" w:rsidR="005A42A2" w:rsidRPr="00A942F6" w:rsidRDefault="005A42A2" w:rsidP="00641834">
            <w:pPr>
              <w:pStyle w:val="TableParagraph"/>
              <w:rPr>
                <w:sz w:val="20"/>
                <w:szCs w:val="20"/>
                <w:lang w:val="nb-NO"/>
              </w:rPr>
            </w:pPr>
          </w:p>
        </w:tc>
        <w:tc>
          <w:tcPr>
            <w:tcW w:w="714" w:type="dxa"/>
          </w:tcPr>
          <w:p w14:paraId="52131911" w14:textId="77777777" w:rsidR="005A42A2" w:rsidRPr="00A942F6" w:rsidRDefault="005A42A2" w:rsidP="00641834">
            <w:pPr>
              <w:pStyle w:val="TableParagraph"/>
              <w:rPr>
                <w:sz w:val="20"/>
                <w:szCs w:val="20"/>
                <w:lang w:val="nb-NO"/>
              </w:rPr>
            </w:pPr>
          </w:p>
        </w:tc>
      </w:tr>
    </w:tbl>
    <w:p w14:paraId="6BCF8804" w14:textId="77777777" w:rsidR="005A42A2" w:rsidRPr="00A942F6" w:rsidRDefault="005A42A2" w:rsidP="00641834">
      <w:pPr>
        <w:tabs>
          <w:tab w:val="left" w:pos="1134"/>
        </w:tabs>
        <w:rPr>
          <w:i/>
          <w:iCs/>
          <w:sz w:val="18"/>
          <w:szCs w:val="18"/>
          <w:lang w:val="nb-NO"/>
        </w:rPr>
      </w:pPr>
      <w:r w:rsidRPr="00A942F6">
        <w:rPr>
          <w:i/>
          <w:iCs/>
          <w:sz w:val="18"/>
          <w:szCs w:val="18"/>
          <w:lang w:val="nb-NO"/>
        </w:rPr>
        <w:t>TCZ</w:t>
      </w:r>
      <w:r w:rsidRPr="00A942F6">
        <w:rPr>
          <w:i/>
          <w:iCs/>
          <w:sz w:val="18"/>
          <w:szCs w:val="18"/>
          <w:lang w:val="nb-NO"/>
        </w:rPr>
        <w:tab/>
        <w:t>- Tocilizumab</w:t>
      </w:r>
    </w:p>
    <w:p w14:paraId="13A1FFB6" w14:textId="77777777" w:rsidR="005A42A2" w:rsidRPr="00A942F6" w:rsidRDefault="005A42A2" w:rsidP="00641834">
      <w:pPr>
        <w:tabs>
          <w:tab w:val="left" w:pos="1134"/>
        </w:tabs>
        <w:rPr>
          <w:i/>
          <w:iCs/>
          <w:sz w:val="18"/>
          <w:szCs w:val="18"/>
          <w:lang w:val="nb-NO"/>
        </w:rPr>
      </w:pPr>
      <w:r w:rsidRPr="00A942F6">
        <w:rPr>
          <w:i/>
          <w:iCs/>
          <w:sz w:val="18"/>
          <w:szCs w:val="18"/>
          <w:lang w:val="nb-NO"/>
        </w:rPr>
        <w:t>MTX</w:t>
      </w:r>
      <w:r w:rsidRPr="00A942F6">
        <w:rPr>
          <w:i/>
          <w:iCs/>
          <w:sz w:val="18"/>
          <w:szCs w:val="18"/>
          <w:lang w:val="nb-NO"/>
        </w:rPr>
        <w:tab/>
        <w:t>- Metotreksat</w:t>
      </w:r>
    </w:p>
    <w:p w14:paraId="48DB9F24" w14:textId="77777777" w:rsidR="005A42A2" w:rsidRPr="00A942F6" w:rsidRDefault="005A42A2" w:rsidP="00641834">
      <w:pPr>
        <w:tabs>
          <w:tab w:val="left" w:pos="1134"/>
        </w:tabs>
        <w:rPr>
          <w:i/>
          <w:iCs/>
          <w:sz w:val="18"/>
          <w:szCs w:val="18"/>
          <w:lang w:val="nb-NO"/>
        </w:rPr>
      </w:pPr>
      <w:r w:rsidRPr="00A942F6">
        <w:rPr>
          <w:i/>
          <w:iCs/>
          <w:sz w:val="18"/>
          <w:szCs w:val="18"/>
          <w:lang w:val="nb-NO"/>
        </w:rPr>
        <w:t>PBO</w:t>
      </w:r>
      <w:r w:rsidRPr="00A942F6">
        <w:rPr>
          <w:i/>
          <w:iCs/>
          <w:sz w:val="18"/>
          <w:szCs w:val="18"/>
          <w:lang w:val="nb-NO"/>
        </w:rPr>
        <w:tab/>
        <w:t>- Placebo</w:t>
      </w:r>
    </w:p>
    <w:p w14:paraId="2C75007F" w14:textId="77777777" w:rsidR="005A42A2" w:rsidRPr="00A942F6" w:rsidRDefault="005A42A2" w:rsidP="00641834">
      <w:pPr>
        <w:tabs>
          <w:tab w:val="left" w:pos="1134"/>
        </w:tabs>
        <w:rPr>
          <w:i/>
          <w:iCs/>
          <w:sz w:val="18"/>
          <w:szCs w:val="18"/>
          <w:lang w:val="nb-NO"/>
        </w:rPr>
      </w:pPr>
      <w:r w:rsidRPr="00A942F6">
        <w:rPr>
          <w:i/>
          <w:iCs/>
          <w:sz w:val="18"/>
          <w:szCs w:val="18"/>
          <w:lang w:val="nb-NO"/>
        </w:rPr>
        <w:t>DMARD</w:t>
      </w:r>
      <w:r w:rsidRPr="00A942F6">
        <w:rPr>
          <w:i/>
          <w:iCs/>
          <w:sz w:val="18"/>
          <w:szCs w:val="18"/>
          <w:lang w:val="nb-NO"/>
        </w:rPr>
        <w:tab/>
        <w:t>- Sykdomsmodifiserende anti-revmatiske legemidler</w:t>
      </w:r>
    </w:p>
    <w:p w14:paraId="1FA0C881" w14:textId="77777777" w:rsidR="005A42A2" w:rsidRPr="00A942F6" w:rsidRDefault="005A42A2" w:rsidP="00641834">
      <w:pPr>
        <w:tabs>
          <w:tab w:val="left" w:pos="1134"/>
        </w:tabs>
        <w:rPr>
          <w:i/>
          <w:iCs/>
          <w:sz w:val="18"/>
          <w:szCs w:val="18"/>
          <w:lang w:val="nb-NO"/>
        </w:rPr>
      </w:pPr>
      <w:r w:rsidRPr="00A942F6">
        <w:rPr>
          <w:i/>
          <w:iCs/>
          <w:sz w:val="18"/>
          <w:szCs w:val="18"/>
          <w:lang w:val="nb-NO"/>
        </w:rPr>
        <w:t>**</w:t>
      </w:r>
      <w:r w:rsidRPr="00A942F6">
        <w:rPr>
          <w:i/>
          <w:iCs/>
          <w:sz w:val="18"/>
          <w:szCs w:val="18"/>
          <w:lang w:val="nb-NO"/>
        </w:rPr>
        <w:tab/>
        <w:t>- p&lt; 0.01, TCZ vs. PBO + MTX / DMARDs</w:t>
      </w:r>
    </w:p>
    <w:p w14:paraId="7638B176" w14:textId="77777777" w:rsidR="005A42A2" w:rsidRPr="00A942F6" w:rsidRDefault="005A42A2" w:rsidP="00641834">
      <w:pPr>
        <w:tabs>
          <w:tab w:val="left" w:pos="1134"/>
        </w:tabs>
        <w:rPr>
          <w:i/>
          <w:iCs/>
          <w:sz w:val="18"/>
          <w:szCs w:val="18"/>
          <w:lang w:val="nb-NO"/>
        </w:rPr>
      </w:pPr>
      <w:r w:rsidRPr="00A942F6">
        <w:rPr>
          <w:i/>
          <w:iCs/>
          <w:sz w:val="18"/>
          <w:szCs w:val="18"/>
          <w:lang w:val="nb-NO"/>
        </w:rPr>
        <w:t>***</w:t>
      </w:r>
      <w:r w:rsidRPr="00A942F6">
        <w:rPr>
          <w:i/>
          <w:iCs/>
          <w:sz w:val="18"/>
          <w:szCs w:val="18"/>
          <w:lang w:val="nb-NO"/>
        </w:rPr>
        <w:tab/>
        <w:t>- p&lt; 0.0001, TCZ vs. PBO + MTX / DMARDs</w:t>
      </w:r>
    </w:p>
    <w:p w14:paraId="77FCE956" w14:textId="77777777" w:rsidR="005A42A2" w:rsidRPr="00A942F6" w:rsidRDefault="005A42A2" w:rsidP="00641834">
      <w:pPr>
        <w:rPr>
          <w:lang w:val="nb-NO"/>
        </w:rPr>
      </w:pPr>
    </w:p>
    <w:p w14:paraId="3C90709E" w14:textId="77777777" w:rsidR="005A42A2" w:rsidRPr="00A942F6" w:rsidRDefault="005A42A2" w:rsidP="00641834">
      <w:pPr>
        <w:pStyle w:val="Style1Iitaic"/>
        <w:rPr>
          <w:lang w:val="nb-NO"/>
        </w:rPr>
      </w:pPr>
      <w:r w:rsidRPr="00A942F6">
        <w:rPr>
          <w:lang w:val="nb-NO"/>
        </w:rPr>
        <w:t>Viktig klinisk respons</w:t>
      </w:r>
    </w:p>
    <w:p w14:paraId="0C3D384A" w14:textId="073DD915" w:rsidR="005A42A2" w:rsidRPr="00A942F6" w:rsidRDefault="005A42A2" w:rsidP="00641834">
      <w:pPr>
        <w:rPr>
          <w:lang w:val="nb-NO"/>
        </w:rPr>
      </w:pPr>
      <w:r w:rsidRPr="00A942F6">
        <w:rPr>
          <w:lang w:val="nb-NO"/>
        </w:rPr>
        <w:t xml:space="preserve">Etter 2 år med behandling med </w:t>
      </w:r>
      <w:r w:rsidR="000850FE" w:rsidRPr="00A942F6">
        <w:rPr>
          <w:lang w:val="nb-NO"/>
        </w:rPr>
        <w:t>tocilizumab</w:t>
      </w:r>
      <w:r w:rsidRPr="00A942F6">
        <w:rPr>
          <w:lang w:val="nb-NO"/>
        </w:rPr>
        <w:t xml:space="preserve"> pluss metotreksat oppnådde 14 % av pasientene en stor klinisk respons (vedlikehold av en ACR70-respons for 24 uker eller mer).</w:t>
      </w:r>
    </w:p>
    <w:p w14:paraId="23A52F06" w14:textId="77777777" w:rsidR="00103AD3" w:rsidRPr="00A942F6" w:rsidRDefault="00103AD3" w:rsidP="00641834">
      <w:pPr>
        <w:rPr>
          <w:lang w:val="nb-NO"/>
        </w:rPr>
      </w:pPr>
    </w:p>
    <w:p w14:paraId="1309BF3E" w14:textId="77777777" w:rsidR="005A42A2" w:rsidRPr="00A942F6" w:rsidRDefault="005A42A2" w:rsidP="00641834">
      <w:pPr>
        <w:pStyle w:val="Style1Iitaic"/>
        <w:rPr>
          <w:lang w:val="nb-NO"/>
        </w:rPr>
      </w:pPr>
      <w:r w:rsidRPr="00A942F6">
        <w:rPr>
          <w:lang w:val="nb-NO"/>
        </w:rPr>
        <w:t>Radiografisk respons</w:t>
      </w:r>
    </w:p>
    <w:p w14:paraId="77FA5AA1" w14:textId="6ABDBBD0" w:rsidR="005A42A2" w:rsidRPr="00A942F6" w:rsidRDefault="005A42A2" w:rsidP="00641834">
      <w:pPr>
        <w:rPr>
          <w:lang w:val="nb-NO"/>
        </w:rPr>
      </w:pPr>
      <w:r w:rsidRPr="00A942F6">
        <w:rPr>
          <w:lang w:val="nb-NO"/>
        </w:rPr>
        <w:t xml:space="preserve">I studie II hos pasienter med utilstrekkelig respons på metotreksat ble hemming av strukturelle leddskader vurdert radiografisk og uttrykt som endring i modifisert Sharpscore, erosjonsscore og leddavsmalningsscore. Hemming av strukturell leddskade ble vist ved signifikant mindre radiografisk progresjon hos pasienter som fikk </w:t>
      </w:r>
      <w:r w:rsidR="000850FE" w:rsidRPr="00A942F6">
        <w:rPr>
          <w:lang w:val="nb-NO"/>
        </w:rPr>
        <w:t>tocilizumab</w:t>
      </w:r>
      <w:r w:rsidRPr="00A942F6">
        <w:rPr>
          <w:lang w:val="nb-NO"/>
        </w:rPr>
        <w:t xml:space="preserve"> enn hos kontrollgruppen (tabell 6).</w:t>
      </w:r>
    </w:p>
    <w:p w14:paraId="5A73B9AA" w14:textId="77777777" w:rsidR="00103AD3" w:rsidRPr="00A942F6" w:rsidRDefault="00103AD3" w:rsidP="00641834">
      <w:pPr>
        <w:rPr>
          <w:lang w:val="nb-NO"/>
        </w:rPr>
      </w:pPr>
    </w:p>
    <w:p w14:paraId="24A68D3F" w14:textId="6FC6E110" w:rsidR="005A42A2" w:rsidRPr="00A942F6" w:rsidRDefault="005A42A2" w:rsidP="00641834">
      <w:pPr>
        <w:rPr>
          <w:lang w:val="nb-NO"/>
        </w:rPr>
      </w:pPr>
      <w:r w:rsidRPr="00A942F6">
        <w:rPr>
          <w:lang w:val="nb-NO"/>
        </w:rPr>
        <w:t xml:space="preserve">I den åpne forlengelsen av fase II–studien var inhiberingen av progresjon av strukturell leddskade hos pasienter behandlet med </w:t>
      </w:r>
      <w:r w:rsidR="000850FE" w:rsidRPr="00A942F6">
        <w:rPr>
          <w:lang w:val="nb-NO"/>
        </w:rPr>
        <w:t>tocilizumab</w:t>
      </w:r>
      <w:r w:rsidRPr="00A942F6">
        <w:rPr>
          <w:lang w:val="nb-NO"/>
        </w:rPr>
        <w:t xml:space="preserve"> pluss metotreksat vedlikeholdt i det andre året av behandlingen. Den største endringen fra utgangspunktet ved uke 104 i total ”Sharp-Genant score” var signifikant lavere for pasienter randomisert til </w:t>
      </w:r>
      <w:r w:rsidR="000850FE" w:rsidRPr="00A942F6">
        <w:rPr>
          <w:lang w:val="nb-NO"/>
        </w:rPr>
        <w:t>tocilizumab</w:t>
      </w:r>
      <w:r w:rsidRPr="00A942F6">
        <w:rPr>
          <w:lang w:val="nb-NO"/>
        </w:rPr>
        <w:t xml:space="preserve"> 8 mg/kg pluss metotreksat (p</w:t>
      </w:r>
      <w:r w:rsidR="002E140C">
        <w:rPr>
          <w:lang w:val="nb-NO"/>
        </w:rPr>
        <w:t> </w:t>
      </w:r>
      <w:r w:rsidRPr="00A942F6">
        <w:rPr>
          <w:lang w:val="nb-NO"/>
        </w:rPr>
        <w:t>&lt;</w:t>
      </w:r>
      <w:r w:rsidR="002E140C">
        <w:rPr>
          <w:lang w:val="nb-NO"/>
        </w:rPr>
        <w:t> </w:t>
      </w:r>
      <w:r w:rsidRPr="00A942F6">
        <w:rPr>
          <w:lang w:val="nb-NO"/>
        </w:rPr>
        <w:t>0,0001) sammenlignet med pasienter som var randomisert til placebo pluss metotreksat.</w:t>
      </w:r>
    </w:p>
    <w:p w14:paraId="24855F3D" w14:textId="77777777" w:rsidR="005A42A2" w:rsidRPr="00A942F6" w:rsidRDefault="005A42A2" w:rsidP="00641834">
      <w:pPr>
        <w:rPr>
          <w:lang w:val="nb-NO"/>
        </w:rPr>
      </w:pPr>
    </w:p>
    <w:p w14:paraId="2BA3673A" w14:textId="77777777" w:rsidR="005A42A2" w:rsidRPr="00A942F6" w:rsidRDefault="005A42A2" w:rsidP="00641834">
      <w:pPr>
        <w:pStyle w:val="Style1Iitaic"/>
        <w:rPr>
          <w:lang w:val="nb-NO"/>
        </w:rPr>
      </w:pPr>
      <w:r w:rsidRPr="00A942F6">
        <w:rPr>
          <w:lang w:val="nb-NO"/>
        </w:rPr>
        <w:t>Tabell 6. Radiografiske gjennomsnittlige endringer i løpet av 52 uker i studie II</w:t>
      </w:r>
    </w:p>
    <w:p w14:paraId="36BBDB29" w14:textId="77777777" w:rsidR="005A42A2" w:rsidRPr="00A942F6" w:rsidRDefault="005A42A2" w:rsidP="00641834">
      <w:pPr>
        <w:pStyle w:val="H2"/>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9"/>
        <w:gridCol w:w="2789"/>
        <w:gridCol w:w="2785"/>
      </w:tblGrid>
      <w:tr w:rsidR="005A42A2" w:rsidRPr="00B477E5" w14:paraId="2D318E23" w14:textId="77777777" w:rsidTr="0099284D">
        <w:trPr>
          <w:cantSplit/>
          <w:trHeight w:val="20"/>
          <w:tblHeader/>
        </w:trPr>
        <w:tc>
          <w:tcPr>
            <w:tcW w:w="2359" w:type="dxa"/>
          </w:tcPr>
          <w:p w14:paraId="5FD38B7C" w14:textId="77777777" w:rsidR="005A42A2" w:rsidRPr="00A942F6" w:rsidRDefault="005A42A2" w:rsidP="00641834">
            <w:pPr>
              <w:pStyle w:val="TableParagraph"/>
              <w:rPr>
                <w:sz w:val="20"/>
                <w:szCs w:val="20"/>
                <w:lang w:val="nb-NO"/>
              </w:rPr>
            </w:pPr>
          </w:p>
        </w:tc>
        <w:tc>
          <w:tcPr>
            <w:tcW w:w="2789" w:type="dxa"/>
          </w:tcPr>
          <w:p w14:paraId="519AFAD9" w14:textId="77777777" w:rsidR="005A42A2" w:rsidRPr="00A942F6" w:rsidRDefault="005A42A2" w:rsidP="00641834">
            <w:pPr>
              <w:pStyle w:val="TableParagraph"/>
              <w:jc w:val="center"/>
              <w:rPr>
                <w:b/>
                <w:sz w:val="20"/>
                <w:szCs w:val="20"/>
                <w:lang w:val="nb-NO"/>
              </w:rPr>
            </w:pPr>
            <w:r w:rsidRPr="00A942F6">
              <w:rPr>
                <w:b/>
                <w:sz w:val="20"/>
                <w:szCs w:val="20"/>
                <w:lang w:val="nb-NO"/>
              </w:rPr>
              <w:t>PBO + MTX</w:t>
            </w:r>
          </w:p>
          <w:p w14:paraId="419638C3" w14:textId="77777777" w:rsidR="002F0CF4" w:rsidRPr="00A942F6" w:rsidRDefault="005A42A2" w:rsidP="00641834">
            <w:pPr>
              <w:pStyle w:val="TableParagraph"/>
              <w:jc w:val="center"/>
              <w:rPr>
                <w:b/>
                <w:sz w:val="20"/>
                <w:szCs w:val="20"/>
                <w:lang w:val="nb-NO"/>
              </w:rPr>
            </w:pPr>
            <w:r w:rsidRPr="00A942F6">
              <w:rPr>
                <w:b/>
                <w:sz w:val="20"/>
                <w:szCs w:val="20"/>
                <w:lang w:val="nb-NO"/>
              </w:rPr>
              <w:t>(+TCZ fra uke 24)</w:t>
            </w:r>
          </w:p>
          <w:p w14:paraId="3B0C7A31" w14:textId="77777777" w:rsidR="005A42A2" w:rsidRPr="00A942F6" w:rsidRDefault="005A42A2" w:rsidP="00641834">
            <w:pPr>
              <w:pStyle w:val="TableParagraph"/>
              <w:jc w:val="center"/>
              <w:rPr>
                <w:b/>
                <w:sz w:val="20"/>
                <w:szCs w:val="20"/>
                <w:lang w:val="nb-NO"/>
              </w:rPr>
            </w:pPr>
            <w:r w:rsidRPr="00A942F6">
              <w:rPr>
                <w:b/>
                <w:sz w:val="20"/>
                <w:szCs w:val="20"/>
                <w:lang w:val="nb-NO"/>
              </w:rPr>
              <w:t>N = 393</w:t>
            </w:r>
          </w:p>
        </w:tc>
        <w:tc>
          <w:tcPr>
            <w:tcW w:w="2785" w:type="dxa"/>
          </w:tcPr>
          <w:p w14:paraId="68B86C1C" w14:textId="77777777" w:rsidR="002F0CF4" w:rsidRPr="00A942F6" w:rsidRDefault="005A42A2" w:rsidP="00641834">
            <w:pPr>
              <w:pStyle w:val="TableParagraph"/>
              <w:jc w:val="center"/>
              <w:rPr>
                <w:b/>
                <w:sz w:val="20"/>
                <w:szCs w:val="20"/>
                <w:lang w:val="nb-NO"/>
              </w:rPr>
            </w:pPr>
            <w:r w:rsidRPr="00A942F6">
              <w:rPr>
                <w:b/>
                <w:sz w:val="20"/>
                <w:szCs w:val="20"/>
                <w:lang w:val="nb-NO"/>
              </w:rPr>
              <w:t>TCZ 8 mg/kg + MTX</w:t>
            </w:r>
          </w:p>
          <w:p w14:paraId="061864DD" w14:textId="77777777" w:rsidR="002F0CF4" w:rsidRPr="00A942F6" w:rsidRDefault="002F0CF4" w:rsidP="00641834">
            <w:pPr>
              <w:pStyle w:val="TableParagraph"/>
              <w:jc w:val="center"/>
              <w:rPr>
                <w:b/>
                <w:sz w:val="20"/>
                <w:szCs w:val="20"/>
                <w:lang w:val="nb-NO"/>
              </w:rPr>
            </w:pPr>
          </w:p>
          <w:p w14:paraId="70E21AF8" w14:textId="77777777" w:rsidR="005A42A2" w:rsidRPr="00A942F6" w:rsidRDefault="005A42A2" w:rsidP="00641834">
            <w:pPr>
              <w:pStyle w:val="TableParagraph"/>
              <w:jc w:val="center"/>
              <w:rPr>
                <w:b/>
                <w:sz w:val="20"/>
                <w:szCs w:val="20"/>
                <w:lang w:val="nb-NO"/>
              </w:rPr>
            </w:pPr>
            <w:r w:rsidRPr="00A942F6">
              <w:rPr>
                <w:b/>
                <w:sz w:val="20"/>
                <w:szCs w:val="20"/>
                <w:lang w:val="nb-NO"/>
              </w:rPr>
              <w:t>N = 398</w:t>
            </w:r>
          </w:p>
        </w:tc>
      </w:tr>
      <w:tr w:rsidR="005A42A2" w:rsidRPr="00A942F6" w14:paraId="6D111C68" w14:textId="77777777" w:rsidTr="0099284D">
        <w:trPr>
          <w:cantSplit/>
          <w:trHeight w:val="20"/>
        </w:trPr>
        <w:tc>
          <w:tcPr>
            <w:tcW w:w="2359" w:type="dxa"/>
          </w:tcPr>
          <w:p w14:paraId="612699DF" w14:textId="77777777" w:rsidR="005A42A2" w:rsidRPr="00A942F6" w:rsidRDefault="005A42A2" w:rsidP="00641834">
            <w:pPr>
              <w:pStyle w:val="TableParagraph"/>
              <w:rPr>
                <w:sz w:val="20"/>
                <w:szCs w:val="20"/>
                <w:lang w:val="nb-NO"/>
              </w:rPr>
            </w:pPr>
            <w:r w:rsidRPr="00A942F6">
              <w:rPr>
                <w:sz w:val="20"/>
                <w:szCs w:val="20"/>
                <w:lang w:val="nb-NO"/>
              </w:rPr>
              <w:t>“Total Sharp-Genant”-score</w:t>
            </w:r>
          </w:p>
        </w:tc>
        <w:tc>
          <w:tcPr>
            <w:tcW w:w="2789" w:type="dxa"/>
          </w:tcPr>
          <w:p w14:paraId="20E9F2F4" w14:textId="77777777" w:rsidR="005A42A2" w:rsidRPr="00A942F6" w:rsidRDefault="005A42A2" w:rsidP="00641834">
            <w:pPr>
              <w:pStyle w:val="TableParagraph"/>
              <w:jc w:val="center"/>
              <w:rPr>
                <w:sz w:val="20"/>
                <w:szCs w:val="20"/>
                <w:lang w:val="nb-NO"/>
              </w:rPr>
            </w:pPr>
            <w:r w:rsidRPr="00A942F6">
              <w:rPr>
                <w:sz w:val="20"/>
                <w:szCs w:val="20"/>
                <w:lang w:val="nb-NO"/>
              </w:rPr>
              <w:t>1,13</w:t>
            </w:r>
          </w:p>
        </w:tc>
        <w:tc>
          <w:tcPr>
            <w:tcW w:w="2785" w:type="dxa"/>
          </w:tcPr>
          <w:p w14:paraId="4A1A468B" w14:textId="77777777" w:rsidR="005A42A2" w:rsidRPr="00A942F6" w:rsidRDefault="005A42A2" w:rsidP="00641834">
            <w:pPr>
              <w:pStyle w:val="TableParagraph"/>
              <w:jc w:val="center"/>
              <w:rPr>
                <w:sz w:val="20"/>
                <w:szCs w:val="20"/>
                <w:lang w:val="nb-NO"/>
              </w:rPr>
            </w:pPr>
            <w:r w:rsidRPr="00A942F6">
              <w:rPr>
                <w:sz w:val="20"/>
                <w:szCs w:val="20"/>
                <w:lang w:val="nb-NO"/>
              </w:rPr>
              <w:t>0,29*</w:t>
            </w:r>
          </w:p>
        </w:tc>
      </w:tr>
      <w:tr w:rsidR="005A42A2" w:rsidRPr="00A942F6" w14:paraId="485A4C2B" w14:textId="77777777" w:rsidTr="0099284D">
        <w:trPr>
          <w:cantSplit/>
          <w:trHeight w:val="20"/>
        </w:trPr>
        <w:tc>
          <w:tcPr>
            <w:tcW w:w="2359" w:type="dxa"/>
          </w:tcPr>
          <w:p w14:paraId="447BC0C9" w14:textId="77777777" w:rsidR="005A42A2" w:rsidRPr="00A942F6" w:rsidRDefault="005A42A2" w:rsidP="00641834">
            <w:pPr>
              <w:pStyle w:val="TableParagraph"/>
              <w:rPr>
                <w:sz w:val="20"/>
                <w:szCs w:val="20"/>
                <w:lang w:val="nb-NO"/>
              </w:rPr>
            </w:pPr>
            <w:r w:rsidRPr="00A942F6">
              <w:rPr>
                <w:sz w:val="20"/>
                <w:szCs w:val="20"/>
                <w:lang w:val="nb-NO"/>
              </w:rPr>
              <w:t>Erosjonscore</w:t>
            </w:r>
          </w:p>
        </w:tc>
        <w:tc>
          <w:tcPr>
            <w:tcW w:w="2789" w:type="dxa"/>
          </w:tcPr>
          <w:p w14:paraId="5A9FB45D" w14:textId="77777777" w:rsidR="005A42A2" w:rsidRPr="00A942F6" w:rsidRDefault="005A42A2" w:rsidP="00641834">
            <w:pPr>
              <w:pStyle w:val="TableParagraph"/>
              <w:jc w:val="center"/>
              <w:rPr>
                <w:sz w:val="20"/>
                <w:szCs w:val="20"/>
                <w:lang w:val="nb-NO"/>
              </w:rPr>
            </w:pPr>
            <w:r w:rsidRPr="00A942F6">
              <w:rPr>
                <w:sz w:val="20"/>
                <w:szCs w:val="20"/>
                <w:lang w:val="nb-NO"/>
              </w:rPr>
              <w:t>0,71</w:t>
            </w:r>
          </w:p>
        </w:tc>
        <w:tc>
          <w:tcPr>
            <w:tcW w:w="2785" w:type="dxa"/>
          </w:tcPr>
          <w:p w14:paraId="3BD7295B" w14:textId="77777777" w:rsidR="005A42A2" w:rsidRPr="00A942F6" w:rsidRDefault="005A42A2" w:rsidP="00641834">
            <w:pPr>
              <w:pStyle w:val="TableParagraph"/>
              <w:jc w:val="center"/>
              <w:rPr>
                <w:sz w:val="20"/>
                <w:szCs w:val="20"/>
                <w:lang w:val="nb-NO"/>
              </w:rPr>
            </w:pPr>
            <w:r w:rsidRPr="00A942F6">
              <w:rPr>
                <w:sz w:val="20"/>
                <w:szCs w:val="20"/>
                <w:lang w:val="nb-NO"/>
              </w:rPr>
              <w:t>0,17*</w:t>
            </w:r>
          </w:p>
        </w:tc>
      </w:tr>
      <w:tr w:rsidR="005A42A2" w:rsidRPr="00A942F6" w14:paraId="4D0DCC9D" w14:textId="77777777" w:rsidTr="0099284D">
        <w:trPr>
          <w:cantSplit/>
          <w:trHeight w:val="20"/>
        </w:trPr>
        <w:tc>
          <w:tcPr>
            <w:tcW w:w="2359" w:type="dxa"/>
          </w:tcPr>
          <w:p w14:paraId="4B28EBBB" w14:textId="77777777" w:rsidR="005A42A2" w:rsidRPr="00A942F6" w:rsidRDefault="005A42A2" w:rsidP="00641834">
            <w:pPr>
              <w:pStyle w:val="TableParagraph"/>
              <w:rPr>
                <w:sz w:val="20"/>
                <w:szCs w:val="20"/>
                <w:lang w:val="nb-NO"/>
              </w:rPr>
            </w:pPr>
            <w:r w:rsidRPr="00A942F6">
              <w:rPr>
                <w:sz w:val="20"/>
                <w:szCs w:val="20"/>
                <w:lang w:val="nb-NO"/>
              </w:rPr>
              <w:t>JSNscore</w:t>
            </w:r>
          </w:p>
        </w:tc>
        <w:tc>
          <w:tcPr>
            <w:tcW w:w="2789" w:type="dxa"/>
          </w:tcPr>
          <w:p w14:paraId="7BE8442A" w14:textId="77777777" w:rsidR="005A42A2" w:rsidRPr="00A942F6" w:rsidRDefault="005A42A2" w:rsidP="00641834">
            <w:pPr>
              <w:pStyle w:val="TableParagraph"/>
              <w:jc w:val="center"/>
              <w:rPr>
                <w:sz w:val="20"/>
                <w:szCs w:val="20"/>
                <w:lang w:val="nb-NO"/>
              </w:rPr>
            </w:pPr>
            <w:r w:rsidRPr="00A942F6">
              <w:rPr>
                <w:sz w:val="20"/>
                <w:szCs w:val="20"/>
                <w:lang w:val="nb-NO"/>
              </w:rPr>
              <w:t>0,42</w:t>
            </w:r>
          </w:p>
        </w:tc>
        <w:tc>
          <w:tcPr>
            <w:tcW w:w="2785" w:type="dxa"/>
          </w:tcPr>
          <w:p w14:paraId="188BFA4B" w14:textId="77777777" w:rsidR="005A42A2" w:rsidRPr="00A942F6" w:rsidRDefault="005A42A2" w:rsidP="00641834">
            <w:pPr>
              <w:pStyle w:val="TableParagraph"/>
              <w:jc w:val="center"/>
              <w:rPr>
                <w:sz w:val="20"/>
                <w:szCs w:val="20"/>
                <w:lang w:val="nb-NO"/>
              </w:rPr>
            </w:pPr>
            <w:r w:rsidRPr="00A942F6">
              <w:rPr>
                <w:sz w:val="20"/>
                <w:szCs w:val="20"/>
                <w:lang w:val="nb-NO"/>
              </w:rPr>
              <w:t>0,12**</w:t>
            </w:r>
          </w:p>
        </w:tc>
      </w:tr>
    </w:tbl>
    <w:p w14:paraId="256F73CF" w14:textId="77777777" w:rsidR="00103AD3" w:rsidRPr="00A942F6" w:rsidRDefault="00103AD3" w:rsidP="00641834">
      <w:pPr>
        <w:rPr>
          <w:i/>
          <w:iCs/>
          <w:sz w:val="18"/>
          <w:szCs w:val="18"/>
          <w:lang w:val="nb-NO"/>
        </w:rPr>
      </w:pPr>
      <w:r w:rsidRPr="00A942F6">
        <w:rPr>
          <w:i/>
          <w:iCs/>
          <w:sz w:val="18"/>
          <w:szCs w:val="18"/>
          <w:lang w:val="nb-NO"/>
        </w:rPr>
        <w:t>PBO</w:t>
      </w:r>
      <w:r w:rsidRPr="00A942F6">
        <w:rPr>
          <w:i/>
          <w:iCs/>
          <w:sz w:val="18"/>
          <w:szCs w:val="18"/>
          <w:lang w:val="nb-NO"/>
        </w:rPr>
        <w:tab/>
        <w:t>- Placebo</w:t>
      </w:r>
    </w:p>
    <w:p w14:paraId="3FBA9EB2" w14:textId="77777777" w:rsidR="00103AD3" w:rsidRPr="00A942F6" w:rsidRDefault="00103AD3" w:rsidP="00641834">
      <w:pPr>
        <w:rPr>
          <w:i/>
          <w:iCs/>
          <w:sz w:val="18"/>
          <w:szCs w:val="18"/>
          <w:lang w:val="nb-NO"/>
        </w:rPr>
      </w:pPr>
      <w:r w:rsidRPr="00A942F6">
        <w:rPr>
          <w:i/>
          <w:iCs/>
          <w:sz w:val="18"/>
          <w:szCs w:val="18"/>
          <w:lang w:val="nb-NO"/>
        </w:rPr>
        <w:t>MTX</w:t>
      </w:r>
      <w:r w:rsidRPr="00A942F6">
        <w:rPr>
          <w:i/>
          <w:iCs/>
          <w:sz w:val="18"/>
          <w:szCs w:val="18"/>
          <w:lang w:val="nb-NO"/>
        </w:rPr>
        <w:tab/>
        <w:t>- Metotreksat</w:t>
      </w:r>
    </w:p>
    <w:p w14:paraId="7566EBFA" w14:textId="77777777" w:rsidR="005A42A2" w:rsidRPr="00A942F6" w:rsidRDefault="00103AD3" w:rsidP="00641834">
      <w:pPr>
        <w:rPr>
          <w:i/>
          <w:iCs/>
          <w:sz w:val="18"/>
          <w:szCs w:val="18"/>
          <w:lang w:val="nb-NO"/>
        </w:rPr>
      </w:pPr>
      <w:r w:rsidRPr="00A942F6">
        <w:rPr>
          <w:i/>
          <w:iCs/>
          <w:sz w:val="18"/>
          <w:szCs w:val="18"/>
          <w:lang w:val="nb-NO"/>
        </w:rPr>
        <w:t>TCZ</w:t>
      </w:r>
      <w:r w:rsidRPr="00A942F6">
        <w:rPr>
          <w:i/>
          <w:iCs/>
          <w:sz w:val="18"/>
          <w:szCs w:val="18"/>
          <w:lang w:val="nb-NO"/>
        </w:rPr>
        <w:tab/>
      </w:r>
      <w:r w:rsidR="005A42A2" w:rsidRPr="00A942F6">
        <w:rPr>
          <w:i/>
          <w:iCs/>
          <w:sz w:val="18"/>
          <w:szCs w:val="18"/>
          <w:lang w:val="nb-NO"/>
        </w:rPr>
        <w:t>- Tocilizumab</w:t>
      </w:r>
    </w:p>
    <w:p w14:paraId="0877C372" w14:textId="77777777" w:rsidR="005A42A2" w:rsidRPr="00A942F6" w:rsidRDefault="005A42A2" w:rsidP="00641834">
      <w:pPr>
        <w:rPr>
          <w:i/>
          <w:iCs/>
          <w:sz w:val="18"/>
          <w:szCs w:val="18"/>
          <w:lang w:val="nb-NO"/>
        </w:rPr>
      </w:pPr>
      <w:r w:rsidRPr="00A942F6">
        <w:rPr>
          <w:i/>
          <w:iCs/>
          <w:sz w:val="18"/>
          <w:szCs w:val="18"/>
          <w:lang w:val="nb-NO"/>
        </w:rPr>
        <w:t>JSN</w:t>
      </w:r>
      <w:r w:rsidRPr="00A942F6">
        <w:rPr>
          <w:i/>
          <w:iCs/>
          <w:sz w:val="18"/>
          <w:szCs w:val="18"/>
          <w:lang w:val="nb-NO"/>
        </w:rPr>
        <w:tab/>
        <w:t>- Leddavsmalning</w:t>
      </w:r>
    </w:p>
    <w:p w14:paraId="759195FF" w14:textId="77777777" w:rsidR="005A42A2" w:rsidRPr="00A942F6" w:rsidRDefault="005A42A2" w:rsidP="00641834">
      <w:pPr>
        <w:rPr>
          <w:i/>
          <w:iCs/>
          <w:sz w:val="18"/>
          <w:szCs w:val="18"/>
          <w:lang w:val="nb-NO"/>
        </w:rPr>
      </w:pPr>
      <w:r w:rsidRPr="00A942F6">
        <w:rPr>
          <w:i/>
          <w:iCs/>
          <w:sz w:val="18"/>
          <w:szCs w:val="18"/>
          <w:lang w:val="nb-NO"/>
        </w:rPr>
        <w:t>*</w:t>
      </w:r>
      <w:r w:rsidRPr="00A942F6">
        <w:rPr>
          <w:i/>
          <w:iCs/>
          <w:sz w:val="18"/>
          <w:szCs w:val="18"/>
          <w:lang w:val="nb-NO"/>
        </w:rPr>
        <w:tab/>
        <w:t>- p</w:t>
      </w:r>
      <w:r w:rsidRPr="00A942F6">
        <w:rPr>
          <w:rFonts w:cs="Times New Roman"/>
          <w:i/>
          <w:iCs/>
          <w:sz w:val="18"/>
          <w:szCs w:val="18"/>
          <w:lang w:val="nb-NO"/>
        </w:rPr>
        <w:t>≤</w:t>
      </w:r>
      <w:r w:rsidRPr="00A942F6">
        <w:rPr>
          <w:i/>
          <w:iCs/>
          <w:sz w:val="18"/>
          <w:szCs w:val="18"/>
          <w:lang w:val="nb-NO"/>
        </w:rPr>
        <w:t>0.0001, TCZ vs. PBO + MTX</w:t>
      </w:r>
    </w:p>
    <w:p w14:paraId="6D345092" w14:textId="77777777" w:rsidR="005A42A2" w:rsidRPr="00A942F6" w:rsidRDefault="005A42A2" w:rsidP="00641834">
      <w:pPr>
        <w:rPr>
          <w:i/>
          <w:iCs/>
          <w:sz w:val="18"/>
          <w:szCs w:val="18"/>
          <w:lang w:val="nb-NO"/>
        </w:rPr>
      </w:pPr>
      <w:r w:rsidRPr="00A942F6">
        <w:rPr>
          <w:i/>
          <w:iCs/>
          <w:sz w:val="18"/>
          <w:szCs w:val="18"/>
          <w:lang w:val="nb-NO"/>
        </w:rPr>
        <w:t>**</w:t>
      </w:r>
      <w:r w:rsidRPr="00A942F6">
        <w:rPr>
          <w:i/>
          <w:iCs/>
          <w:sz w:val="18"/>
          <w:szCs w:val="18"/>
          <w:lang w:val="nb-NO"/>
        </w:rPr>
        <w:tab/>
        <w:t>- p&lt; 0.005, TCZ vs. PBO + MTX</w:t>
      </w:r>
    </w:p>
    <w:p w14:paraId="0B03D17A" w14:textId="77777777" w:rsidR="005A42A2" w:rsidRPr="00A942F6" w:rsidRDefault="005A42A2" w:rsidP="00641834">
      <w:pPr>
        <w:rPr>
          <w:lang w:val="nb-NO"/>
        </w:rPr>
      </w:pPr>
    </w:p>
    <w:p w14:paraId="2C87E01B" w14:textId="3BB50F3C" w:rsidR="005A42A2" w:rsidRPr="00A942F6" w:rsidRDefault="005A42A2" w:rsidP="00641834">
      <w:pPr>
        <w:rPr>
          <w:lang w:val="nb-NO"/>
        </w:rPr>
      </w:pPr>
      <w:r w:rsidRPr="00A942F6">
        <w:rPr>
          <w:lang w:val="nb-NO"/>
        </w:rPr>
        <w:t xml:space="preserve">Etter ett års behandling med </w:t>
      </w:r>
      <w:r w:rsidR="000850FE" w:rsidRPr="00A942F6">
        <w:rPr>
          <w:lang w:val="nb-NO"/>
        </w:rPr>
        <w:t>tocilizumab</w:t>
      </w:r>
      <w:r w:rsidRPr="00A942F6">
        <w:rPr>
          <w:lang w:val="nb-NO"/>
        </w:rPr>
        <w:t xml:space="preserve"> pluss metotreksat, hadde 85 % av pasientene (n=348) ingen progresjon i strukturell leddskade, definert ved en endring i “Total Sharp Score” på null eller mindre, sammenlignet med 67 % av placebo pluss metotreksatbehandlede pasienter (n=290) (p</w:t>
      </w:r>
      <w:r w:rsidR="002E140C">
        <w:rPr>
          <w:lang w:val="nb-NO"/>
        </w:rPr>
        <w:t> </w:t>
      </w:r>
      <w:r w:rsidR="00F36EEE" w:rsidRPr="00A942F6">
        <w:rPr>
          <w:rFonts w:cs="Times New Roman"/>
          <w:lang w:val="nb-NO"/>
        </w:rPr>
        <w:t>≤</w:t>
      </w:r>
      <w:r w:rsidR="002E140C">
        <w:rPr>
          <w:lang w:val="nb-NO"/>
        </w:rPr>
        <w:t> </w:t>
      </w:r>
      <w:r w:rsidRPr="00A942F6">
        <w:rPr>
          <w:lang w:val="nb-NO"/>
        </w:rPr>
        <w:t>0,001). Dette forblir konstant etter 2 år med behandling (83 %; n=353). Nittitre prosent (93 %; n=271) av pasientene hadde ingen progresjon mellom uke 52 og uke 104.</w:t>
      </w:r>
    </w:p>
    <w:p w14:paraId="73AD3AC8" w14:textId="77777777" w:rsidR="00103AD3" w:rsidRPr="00A942F6" w:rsidRDefault="00103AD3" w:rsidP="00641834">
      <w:pPr>
        <w:rPr>
          <w:lang w:val="nb-NO"/>
        </w:rPr>
      </w:pPr>
    </w:p>
    <w:p w14:paraId="57B4F5BA" w14:textId="77777777" w:rsidR="005A42A2" w:rsidRPr="00A942F6" w:rsidRDefault="005A42A2" w:rsidP="00641834">
      <w:pPr>
        <w:rPr>
          <w:i/>
          <w:iCs/>
          <w:lang w:val="nb-NO"/>
        </w:rPr>
      </w:pPr>
      <w:r w:rsidRPr="00A942F6">
        <w:rPr>
          <w:i/>
          <w:iCs/>
          <w:lang w:val="nb-NO"/>
        </w:rPr>
        <w:t>Helserelaterte effekter og livskvalitet</w:t>
      </w:r>
    </w:p>
    <w:p w14:paraId="5443D023" w14:textId="303AB7D4" w:rsidR="005A42A2" w:rsidRPr="00A942F6" w:rsidRDefault="005A42A2" w:rsidP="00641834">
      <w:pPr>
        <w:rPr>
          <w:lang w:val="nb-NO"/>
        </w:rPr>
      </w:pPr>
      <w:r w:rsidRPr="00A942F6">
        <w:rPr>
          <w:lang w:val="nb-NO"/>
        </w:rPr>
        <w:lastRenderedPageBreak/>
        <w:t xml:space="preserve">Pasienter som fikk behandling med </w:t>
      </w:r>
      <w:r w:rsidR="000850FE" w:rsidRPr="00A942F6">
        <w:rPr>
          <w:lang w:val="nb-NO"/>
        </w:rPr>
        <w:t>tocilizumab</w:t>
      </w:r>
      <w:r w:rsidRPr="00A942F6">
        <w:rPr>
          <w:lang w:val="nb-NO"/>
        </w:rPr>
        <w:t xml:space="preserve"> oppga forbedring i alle pasientrapporterte parametere (Health Assessment Questionnaire Disability Index (HAQ-DI), Short Form-36 og Functional Assessment of Chronic Illness Therapy spørreskjemaer). Statistisk signifikant forbedring av HAQ-DI- skår ble observert hos pasienter behandlet med </w:t>
      </w:r>
      <w:r w:rsidR="000850FE" w:rsidRPr="00A942F6">
        <w:rPr>
          <w:lang w:val="nb-NO"/>
        </w:rPr>
        <w:t>tocilizumab</w:t>
      </w:r>
      <w:r w:rsidRPr="00A942F6">
        <w:rPr>
          <w:lang w:val="nb-NO"/>
        </w:rPr>
        <w:t xml:space="preserve"> i forhold til pasienter behandlet med DMARDs. I løpet av den åpne perioden av studie II, har forbedringen i fysisk funksjon blitt vedlikeholdt i opptil 2 år. Ved uke 52 var hovedendringen i HAQ-DI -0,58 i </w:t>
      </w:r>
      <w:r w:rsidR="000850FE" w:rsidRPr="00A942F6">
        <w:rPr>
          <w:lang w:val="nb-NO"/>
        </w:rPr>
        <w:t>tocilizumab</w:t>
      </w:r>
      <w:r w:rsidRPr="00A942F6">
        <w:rPr>
          <w:lang w:val="nb-NO"/>
        </w:rPr>
        <w:t xml:space="preserve"> 8 mg/kg pluss metotreksatgruppen sammenlignet med -0,39 i placebo + metotreksatgruppen. Gjennomsnittlig endring i HAQ-DI ble opprettholdt til uke 104 i </w:t>
      </w:r>
      <w:r w:rsidR="000850FE" w:rsidRPr="00A942F6">
        <w:rPr>
          <w:lang w:val="nb-NO"/>
        </w:rPr>
        <w:t>tocilizumab</w:t>
      </w:r>
      <w:r w:rsidRPr="00A942F6">
        <w:rPr>
          <w:lang w:val="nb-NO"/>
        </w:rPr>
        <w:t xml:space="preserve"> 8 mg/kg pluss metotreksat gruppen (-</w:t>
      </w:r>
      <w:r w:rsidR="00F97D0A" w:rsidRPr="00A942F6">
        <w:rPr>
          <w:lang w:val="nb-NO"/>
        </w:rPr>
        <w:t> </w:t>
      </w:r>
      <w:r w:rsidRPr="00A942F6">
        <w:rPr>
          <w:lang w:val="nb-NO"/>
        </w:rPr>
        <w:t>0,61).</w:t>
      </w:r>
    </w:p>
    <w:p w14:paraId="4894BA50" w14:textId="77777777" w:rsidR="00103AD3" w:rsidRPr="00A942F6" w:rsidRDefault="00103AD3" w:rsidP="00641834">
      <w:pPr>
        <w:rPr>
          <w:lang w:val="nb-NO"/>
        </w:rPr>
      </w:pPr>
    </w:p>
    <w:p w14:paraId="0CBC629C" w14:textId="77777777" w:rsidR="005A42A2" w:rsidRPr="00A942F6" w:rsidRDefault="005A42A2" w:rsidP="00641834">
      <w:pPr>
        <w:rPr>
          <w:i/>
          <w:iCs/>
          <w:lang w:val="nb-NO"/>
        </w:rPr>
      </w:pPr>
      <w:r w:rsidRPr="00A942F6">
        <w:rPr>
          <w:i/>
          <w:iCs/>
          <w:lang w:val="nb-NO"/>
        </w:rPr>
        <w:t>Hemoglobinnivå</w:t>
      </w:r>
    </w:p>
    <w:p w14:paraId="321FC274" w14:textId="57AB07A5" w:rsidR="005A42A2" w:rsidRPr="00A942F6" w:rsidRDefault="005A42A2" w:rsidP="00641834">
      <w:pPr>
        <w:rPr>
          <w:lang w:val="nb-NO"/>
        </w:rPr>
      </w:pPr>
      <w:r w:rsidRPr="00A942F6">
        <w:rPr>
          <w:lang w:val="nb-NO"/>
        </w:rPr>
        <w:t xml:space="preserve">Statistisk signifikant forbedring av hemoglobinnivå ble observert ved behandling med </w:t>
      </w:r>
      <w:r w:rsidR="000850FE" w:rsidRPr="00A942F6">
        <w:rPr>
          <w:lang w:val="nb-NO"/>
        </w:rPr>
        <w:t>tocilizumab</w:t>
      </w:r>
      <w:r w:rsidRPr="00A942F6">
        <w:rPr>
          <w:lang w:val="nb-NO"/>
        </w:rPr>
        <w:t xml:space="preserve"> sammenlignet med DMARDs (p &lt; 0,0001) ved uke 24. Gjennomsnittlig hemoglobinnivå økte i løpet av de to første ukene og forble innenfor normalverdiene til uke 24.</w:t>
      </w:r>
    </w:p>
    <w:p w14:paraId="0773B66F" w14:textId="77777777" w:rsidR="005A42A2" w:rsidRPr="00A942F6" w:rsidRDefault="005A42A2" w:rsidP="00641834">
      <w:pPr>
        <w:rPr>
          <w:lang w:val="nb-NO"/>
        </w:rPr>
      </w:pPr>
    </w:p>
    <w:p w14:paraId="7D2A6F13" w14:textId="575137A8" w:rsidR="005A42A2" w:rsidRPr="00A942F6" w:rsidRDefault="000850FE" w:rsidP="00641834">
      <w:pPr>
        <w:rPr>
          <w:i/>
          <w:iCs/>
          <w:lang w:val="nb-NO"/>
        </w:rPr>
      </w:pPr>
      <w:r w:rsidRPr="00A942F6">
        <w:rPr>
          <w:i/>
          <w:iCs/>
          <w:lang w:val="nb-NO"/>
        </w:rPr>
        <w:t>Tocilizumab</w:t>
      </w:r>
      <w:r w:rsidR="005A42A2" w:rsidRPr="00A942F6">
        <w:rPr>
          <w:i/>
          <w:iCs/>
          <w:lang w:val="nb-NO"/>
        </w:rPr>
        <w:t xml:space="preserve"> versus adalimumab i monoterapi</w:t>
      </w:r>
    </w:p>
    <w:p w14:paraId="5FF4394A" w14:textId="709F18D2" w:rsidR="005A42A2" w:rsidRPr="00A942F6" w:rsidRDefault="005A42A2" w:rsidP="00641834">
      <w:pPr>
        <w:rPr>
          <w:lang w:val="nb-NO"/>
        </w:rPr>
      </w:pPr>
      <w:r w:rsidRPr="00A942F6">
        <w:rPr>
          <w:lang w:val="nb-NO"/>
        </w:rPr>
        <w:t xml:space="preserve">Studie VI (WA19924), en 24-ukers dobbeltblindet studie som sammenlignet </w:t>
      </w:r>
      <w:r w:rsidR="000850FE" w:rsidRPr="00A942F6">
        <w:rPr>
          <w:lang w:val="nb-NO"/>
        </w:rPr>
        <w:t>tocilizumab</w:t>
      </w:r>
      <w:r w:rsidRPr="00A942F6">
        <w:rPr>
          <w:lang w:val="nb-NO"/>
        </w:rPr>
        <w:t xml:space="preserve"> som monoterapi med adalimumab som monoterapi, vurderte 326 RA-pasienter som ikke tolererte MTX eller hvor fortsatt behandling med MTX ble vurdert som uegnet (inkludert utilstrekkelig respons på MTX). Pasienter i </w:t>
      </w:r>
      <w:r w:rsidR="000850FE" w:rsidRPr="00A942F6">
        <w:rPr>
          <w:lang w:val="nb-NO"/>
        </w:rPr>
        <w:t>tocilizumab</w:t>
      </w:r>
      <w:r w:rsidRPr="00A942F6">
        <w:rPr>
          <w:lang w:val="nb-NO"/>
        </w:rPr>
        <w:t xml:space="preserve">-gruppen fikk intravenøs (i.v.) infusjon av </w:t>
      </w:r>
      <w:r w:rsidR="000850FE" w:rsidRPr="00A942F6">
        <w:rPr>
          <w:lang w:val="nb-NO"/>
        </w:rPr>
        <w:t>tocilizumab</w:t>
      </w:r>
      <w:r w:rsidRPr="00A942F6">
        <w:rPr>
          <w:lang w:val="nb-NO"/>
        </w:rPr>
        <w:t xml:space="preserve"> (8 mg/kg) hver 4. uke (q4u) og subkutan (s.c.) placeboinjeksjon hver 2. uke (q2u). Pasienter i adalimumabgruppen fikk en subkutan adalimumabinjeksjon (40 mg) q2u og en i.v. placeboinfusjon q4u.</w:t>
      </w:r>
    </w:p>
    <w:p w14:paraId="3746C2CB" w14:textId="77777777" w:rsidR="00103AD3" w:rsidRPr="00A942F6" w:rsidRDefault="00103AD3" w:rsidP="00641834">
      <w:pPr>
        <w:rPr>
          <w:lang w:val="nb-NO"/>
        </w:rPr>
      </w:pPr>
    </w:p>
    <w:p w14:paraId="30ABC9B4" w14:textId="2288367D" w:rsidR="005A42A2" w:rsidRPr="00A942F6" w:rsidRDefault="005A42A2" w:rsidP="00641834">
      <w:pPr>
        <w:rPr>
          <w:lang w:val="nb-NO"/>
        </w:rPr>
      </w:pPr>
      <w:r w:rsidRPr="00A942F6">
        <w:rPr>
          <w:lang w:val="nb-NO"/>
        </w:rPr>
        <w:t xml:space="preserve">Det ble sett en statistisk signifikant forbedret behandlingseffekt til fordel for </w:t>
      </w:r>
      <w:r w:rsidR="000850FE" w:rsidRPr="00A942F6">
        <w:rPr>
          <w:lang w:val="nb-NO"/>
        </w:rPr>
        <w:t>tocilizumab</w:t>
      </w:r>
      <w:r w:rsidRPr="00A942F6">
        <w:rPr>
          <w:lang w:val="nb-NO"/>
        </w:rPr>
        <w:t>, sammenlignet med adalimumab, i sykdomskontroll fra utgangspunktet til uke 24 for det primære endepunktet endring i DAS28 og for alle sekundære endepunkter (tabell 7).</w:t>
      </w:r>
    </w:p>
    <w:p w14:paraId="4965BDB4" w14:textId="77777777" w:rsidR="005A42A2" w:rsidRPr="00A942F6" w:rsidRDefault="005A42A2" w:rsidP="00641834">
      <w:pPr>
        <w:rPr>
          <w:lang w:val="nb-NO"/>
        </w:rPr>
      </w:pPr>
    </w:p>
    <w:p w14:paraId="5F2B8EE3" w14:textId="77777777" w:rsidR="005A42A2" w:rsidRPr="00A942F6" w:rsidRDefault="005A42A2" w:rsidP="00641834">
      <w:pPr>
        <w:pStyle w:val="Style1Iitaic"/>
        <w:rPr>
          <w:lang w:val="nb-NO"/>
        </w:rPr>
      </w:pPr>
      <w:r w:rsidRPr="00A942F6">
        <w:rPr>
          <w:lang w:val="nb-NO"/>
        </w:rPr>
        <w:t>Tabell 7: Effektresultatet for studie VI (WA19924)</w:t>
      </w:r>
    </w:p>
    <w:p w14:paraId="251574E8" w14:textId="77777777" w:rsidR="005A42A2" w:rsidRPr="00A942F6" w:rsidRDefault="005A42A2" w:rsidP="00641834">
      <w:pPr>
        <w:pStyle w:val="H2"/>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9"/>
        <w:gridCol w:w="1988"/>
        <w:gridCol w:w="1973"/>
        <w:gridCol w:w="1028"/>
      </w:tblGrid>
      <w:tr w:rsidR="00405456" w:rsidRPr="00A942F6" w14:paraId="6F5A9B14" w14:textId="77777777" w:rsidTr="00405456">
        <w:trPr>
          <w:cantSplit/>
          <w:trHeight w:val="20"/>
          <w:tblHeader/>
        </w:trPr>
        <w:tc>
          <w:tcPr>
            <w:tcW w:w="2949" w:type="dxa"/>
          </w:tcPr>
          <w:p w14:paraId="4332A4F9" w14:textId="77777777" w:rsidR="00405456" w:rsidRPr="00A942F6" w:rsidRDefault="00405456" w:rsidP="00641834">
            <w:pPr>
              <w:pStyle w:val="TableParagraph"/>
              <w:keepNext/>
              <w:jc w:val="center"/>
              <w:rPr>
                <w:b/>
                <w:sz w:val="20"/>
                <w:szCs w:val="20"/>
                <w:lang w:val="nb-NO"/>
              </w:rPr>
            </w:pPr>
          </w:p>
        </w:tc>
        <w:tc>
          <w:tcPr>
            <w:tcW w:w="1988" w:type="dxa"/>
          </w:tcPr>
          <w:p w14:paraId="08EFC33F" w14:textId="77777777" w:rsidR="00405456" w:rsidRPr="009B40A5" w:rsidRDefault="00405456" w:rsidP="00641834">
            <w:pPr>
              <w:pStyle w:val="TableParagraph"/>
              <w:keepNext/>
              <w:jc w:val="center"/>
              <w:rPr>
                <w:b/>
                <w:sz w:val="20"/>
                <w:szCs w:val="20"/>
                <w:lang w:val="sv-SE"/>
              </w:rPr>
            </w:pPr>
            <w:r w:rsidRPr="009B40A5">
              <w:rPr>
                <w:b/>
                <w:sz w:val="20"/>
                <w:szCs w:val="20"/>
                <w:lang w:val="sv-SE"/>
              </w:rPr>
              <w:t>ADA + Placebo (i.v.)</w:t>
            </w:r>
          </w:p>
          <w:p w14:paraId="7121F2BE" w14:textId="77777777" w:rsidR="00405456" w:rsidRPr="009B40A5" w:rsidRDefault="00405456" w:rsidP="00641834">
            <w:pPr>
              <w:jc w:val="center"/>
              <w:rPr>
                <w:b/>
                <w:sz w:val="20"/>
                <w:szCs w:val="20"/>
                <w:lang w:val="sv-SE"/>
              </w:rPr>
            </w:pPr>
            <w:r w:rsidRPr="009B40A5">
              <w:rPr>
                <w:b/>
                <w:sz w:val="20"/>
                <w:szCs w:val="20"/>
                <w:lang w:val="sv-SE"/>
              </w:rPr>
              <w:t>N = 162</w:t>
            </w:r>
          </w:p>
        </w:tc>
        <w:tc>
          <w:tcPr>
            <w:tcW w:w="1973" w:type="dxa"/>
          </w:tcPr>
          <w:p w14:paraId="3E6A5F54" w14:textId="77777777" w:rsidR="00405456" w:rsidRPr="00BD4D94" w:rsidRDefault="00405456" w:rsidP="00641834">
            <w:pPr>
              <w:pStyle w:val="TableParagraph"/>
              <w:keepNext/>
              <w:jc w:val="center"/>
              <w:rPr>
                <w:b/>
                <w:sz w:val="20"/>
                <w:szCs w:val="20"/>
                <w:lang w:val="en-GB"/>
              </w:rPr>
            </w:pPr>
            <w:r w:rsidRPr="00BD4D94">
              <w:rPr>
                <w:b/>
                <w:sz w:val="20"/>
                <w:szCs w:val="20"/>
                <w:lang w:val="en-GB"/>
              </w:rPr>
              <w:t>TCZ + Placebo (s.c.)</w:t>
            </w:r>
          </w:p>
          <w:p w14:paraId="11D8008C" w14:textId="77777777" w:rsidR="00405456" w:rsidRPr="00BD4D94" w:rsidRDefault="00405456" w:rsidP="00641834">
            <w:pPr>
              <w:pStyle w:val="TableParagraph"/>
              <w:keepNext/>
              <w:jc w:val="center"/>
              <w:rPr>
                <w:b/>
                <w:sz w:val="20"/>
                <w:szCs w:val="20"/>
                <w:lang w:val="en-GB"/>
              </w:rPr>
            </w:pPr>
            <w:r w:rsidRPr="00BD4D94">
              <w:rPr>
                <w:b/>
                <w:sz w:val="20"/>
                <w:szCs w:val="20"/>
                <w:lang w:val="en-GB"/>
              </w:rPr>
              <w:t>N = 163</w:t>
            </w:r>
          </w:p>
        </w:tc>
        <w:tc>
          <w:tcPr>
            <w:tcW w:w="1028" w:type="dxa"/>
          </w:tcPr>
          <w:p w14:paraId="2699A4F9" w14:textId="77777777" w:rsidR="00405456" w:rsidRPr="00A942F6" w:rsidRDefault="00405456" w:rsidP="00641834">
            <w:pPr>
              <w:pStyle w:val="TableParagraph"/>
              <w:keepNext/>
              <w:jc w:val="center"/>
              <w:rPr>
                <w:b/>
                <w:bCs/>
                <w:sz w:val="20"/>
                <w:szCs w:val="20"/>
                <w:lang w:val="nb-NO"/>
              </w:rPr>
            </w:pPr>
            <w:r w:rsidRPr="00A942F6">
              <w:rPr>
                <w:b/>
                <w:bCs/>
                <w:sz w:val="20"/>
                <w:szCs w:val="20"/>
                <w:lang w:val="nb-NO"/>
              </w:rPr>
              <w:t>p-verdi</w:t>
            </w:r>
            <w:r w:rsidRPr="00A942F6">
              <w:rPr>
                <w:b/>
                <w:bCs/>
                <w:sz w:val="20"/>
                <w:szCs w:val="20"/>
                <w:vertAlign w:val="superscript"/>
                <w:lang w:val="nb-NO"/>
              </w:rPr>
              <w:t>(a)</w:t>
            </w:r>
          </w:p>
        </w:tc>
      </w:tr>
      <w:tr w:rsidR="00405456" w:rsidRPr="00B477E5" w14:paraId="43FFA9EF" w14:textId="77777777" w:rsidTr="00405456">
        <w:trPr>
          <w:cantSplit/>
          <w:trHeight w:val="20"/>
        </w:trPr>
        <w:tc>
          <w:tcPr>
            <w:tcW w:w="7938" w:type="dxa"/>
            <w:gridSpan w:val="4"/>
          </w:tcPr>
          <w:p w14:paraId="01FC3812" w14:textId="77777777" w:rsidR="00405456" w:rsidRPr="00A942F6" w:rsidRDefault="00405456" w:rsidP="00641834">
            <w:pPr>
              <w:pStyle w:val="TableParagraph"/>
              <w:keepNext/>
              <w:rPr>
                <w:b/>
                <w:sz w:val="20"/>
                <w:szCs w:val="20"/>
                <w:lang w:val="nb-NO"/>
              </w:rPr>
            </w:pPr>
            <w:r w:rsidRPr="00A942F6">
              <w:rPr>
                <w:b/>
                <w:sz w:val="20"/>
                <w:szCs w:val="20"/>
                <w:lang w:val="nb-NO"/>
              </w:rPr>
              <w:t>Primært endepunkt – gjennomsnittlig forandring fra utgangsnivå til uke 24</w:t>
            </w:r>
          </w:p>
        </w:tc>
      </w:tr>
      <w:tr w:rsidR="00405456" w:rsidRPr="00A942F6" w14:paraId="74DAD1E6" w14:textId="77777777" w:rsidTr="00405456">
        <w:trPr>
          <w:cantSplit/>
          <w:trHeight w:val="20"/>
        </w:trPr>
        <w:tc>
          <w:tcPr>
            <w:tcW w:w="2949" w:type="dxa"/>
          </w:tcPr>
          <w:p w14:paraId="422713C9" w14:textId="77777777" w:rsidR="00405456" w:rsidRPr="00A942F6" w:rsidRDefault="00405456" w:rsidP="00641834">
            <w:pPr>
              <w:pStyle w:val="TableParagraph"/>
              <w:keepNext/>
              <w:jc w:val="right"/>
              <w:rPr>
                <w:bCs/>
                <w:sz w:val="20"/>
                <w:szCs w:val="20"/>
                <w:lang w:val="nb-NO"/>
              </w:rPr>
            </w:pPr>
            <w:r w:rsidRPr="00A942F6">
              <w:rPr>
                <w:bCs/>
                <w:sz w:val="20"/>
                <w:szCs w:val="20"/>
                <w:lang w:val="nb-NO"/>
              </w:rPr>
              <w:t>DAS28 (justert gjennomsnitt)</w:t>
            </w:r>
          </w:p>
        </w:tc>
        <w:tc>
          <w:tcPr>
            <w:tcW w:w="1988" w:type="dxa"/>
          </w:tcPr>
          <w:p w14:paraId="702EEE51" w14:textId="77777777" w:rsidR="00405456" w:rsidRPr="00A942F6" w:rsidRDefault="00405456" w:rsidP="00641834">
            <w:pPr>
              <w:pStyle w:val="TableParagraph"/>
              <w:keepNext/>
              <w:jc w:val="center"/>
              <w:rPr>
                <w:bCs/>
                <w:sz w:val="20"/>
                <w:szCs w:val="20"/>
                <w:lang w:val="nb-NO"/>
              </w:rPr>
            </w:pPr>
            <w:r w:rsidRPr="00A942F6">
              <w:rPr>
                <w:bCs/>
                <w:sz w:val="20"/>
                <w:szCs w:val="20"/>
                <w:lang w:val="nb-NO"/>
              </w:rPr>
              <w:t>-1,8</w:t>
            </w:r>
          </w:p>
        </w:tc>
        <w:tc>
          <w:tcPr>
            <w:tcW w:w="1973" w:type="dxa"/>
          </w:tcPr>
          <w:p w14:paraId="537993A2" w14:textId="77777777" w:rsidR="00405456" w:rsidRPr="00A942F6" w:rsidRDefault="00405456" w:rsidP="00641834">
            <w:pPr>
              <w:pStyle w:val="TableParagraph"/>
              <w:keepNext/>
              <w:jc w:val="center"/>
              <w:rPr>
                <w:bCs/>
                <w:sz w:val="20"/>
                <w:szCs w:val="20"/>
                <w:lang w:val="nb-NO"/>
              </w:rPr>
            </w:pPr>
            <w:r w:rsidRPr="00A942F6">
              <w:rPr>
                <w:bCs/>
                <w:sz w:val="20"/>
                <w:szCs w:val="20"/>
                <w:lang w:val="nb-NO"/>
              </w:rPr>
              <w:t>-3,3</w:t>
            </w:r>
          </w:p>
        </w:tc>
        <w:tc>
          <w:tcPr>
            <w:tcW w:w="1028" w:type="dxa"/>
          </w:tcPr>
          <w:p w14:paraId="7A219194" w14:textId="77777777" w:rsidR="00405456" w:rsidRPr="00A942F6" w:rsidRDefault="00405456" w:rsidP="00641834">
            <w:pPr>
              <w:pStyle w:val="TableParagraph"/>
              <w:keepNext/>
              <w:rPr>
                <w:bCs/>
                <w:sz w:val="20"/>
                <w:szCs w:val="20"/>
                <w:lang w:val="nb-NO"/>
              </w:rPr>
            </w:pPr>
          </w:p>
        </w:tc>
      </w:tr>
      <w:tr w:rsidR="00405456" w:rsidRPr="00A942F6" w14:paraId="698F2BDC" w14:textId="77777777" w:rsidTr="00405456">
        <w:trPr>
          <w:cantSplit/>
          <w:trHeight w:val="20"/>
        </w:trPr>
        <w:tc>
          <w:tcPr>
            <w:tcW w:w="2949" w:type="dxa"/>
          </w:tcPr>
          <w:p w14:paraId="09B35D91" w14:textId="77777777" w:rsidR="00405456" w:rsidRPr="00A942F6" w:rsidRDefault="00405456" w:rsidP="00641834">
            <w:pPr>
              <w:pStyle w:val="TableParagraph"/>
              <w:jc w:val="right"/>
              <w:rPr>
                <w:bCs/>
                <w:sz w:val="20"/>
                <w:szCs w:val="20"/>
                <w:lang w:val="nb-NO"/>
              </w:rPr>
            </w:pPr>
            <w:r w:rsidRPr="00A942F6">
              <w:rPr>
                <w:bCs/>
                <w:sz w:val="20"/>
                <w:szCs w:val="20"/>
                <w:lang w:val="nb-NO"/>
              </w:rPr>
              <w:t>Forskjell i justert gjennomsnitt</w:t>
            </w:r>
          </w:p>
          <w:p w14:paraId="411944A4" w14:textId="77777777" w:rsidR="00405456" w:rsidRPr="00A942F6" w:rsidRDefault="00405456" w:rsidP="00641834">
            <w:pPr>
              <w:pStyle w:val="TableParagraph"/>
              <w:jc w:val="right"/>
              <w:rPr>
                <w:bCs/>
                <w:sz w:val="20"/>
                <w:szCs w:val="20"/>
                <w:lang w:val="nb-NO"/>
              </w:rPr>
            </w:pPr>
            <w:r w:rsidRPr="00A942F6">
              <w:rPr>
                <w:bCs/>
                <w:sz w:val="20"/>
                <w:szCs w:val="20"/>
                <w:lang w:val="nb-NO"/>
              </w:rPr>
              <w:t>(95 % KI)</w:t>
            </w:r>
          </w:p>
        </w:tc>
        <w:tc>
          <w:tcPr>
            <w:tcW w:w="3961" w:type="dxa"/>
            <w:gridSpan w:val="2"/>
          </w:tcPr>
          <w:p w14:paraId="016B0D91" w14:textId="77777777" w:rsidR="00405456" w:rsidRPr="00A942F6" w:rsidRDefault="00405456" w:rsidP="00641834">
            <w:pPr>
              <w:pStyle w:val="TableParagraph"/>
              <w:jc w:val="center"/>
              <w:rPr>
                <w:bCs/>
                <w:sz w:val="20"/>
                <w:szCs w:val="20"/>
                <w:lang w:val="nb-NO"/>
              </w:rPr>
            </w:pPr>
            <w:r w:rsidRPr="00A942F6">
              <w:rPr>
                <w:bCs/>
                <w:sz w:val="20"/>
                <w:szCs w:val="20"/>
                <w:lang w:val="nb-NO"/>
              </w:rPr>
              <w:t>-1,5 (-1,8, -1,1)</w:t>
            </w:r>
          </w:p>
        </w:tc>
        <w:tc>
          <w:tcPr>
            <w:tcW w:w="1028" w:type="dxa"/>
          </w:tcPr>
          <w:p w14:paraId="02F419D1" w14:textId="77777777" w:rsidR="00405456" w:rsidRPr="00A942F6" w:rsidRDefault="00405456" w:rsidP="00641834">
            <w:pPr>
              <w:pStyle w:val="TableParagraph"/>
              <w:jc w:val="center"/>
              <w:rPr>
                <w:bCs/>
                <w:sz w:val="20"/>
                <w:szCs w:val="20"/>
                <w:lang w:val="nb-NO"/>
              </w:rPr>
            </w:pPr>
            <w:r w:rsidRPr="00A942F6">
              <w:rPr>
                <w:bCs/>
                <w:sz w:val="20"/>
                <w:szCs w:val="20"/>
                <w:lang w:val="nb-NO"/>
              </w:rPr>
              <w:t>&lt; 0,0001</w:t>
            </w:r>
          </w:p>
        </w:tc>
      </w:tr>
      <w:tr w:rsidR="00405456" w:rsidRPr="00B477E5" w14:paraId="7356D873" w14:textId="77777777" w:rsidTr="00405456">
        <w:trPr>
          <w:cantSplit/>
          <w:trHeight w:val="20"/>
        </w:trPr>
        <w:tc>
          <w:tcPr>
            <w:tcW w:w="7938" w:type="dxa"/>
            <w:gridSpan w:val="4"/>
          </w:tcPr>
          <w:p w14:paraId="34928075" w14:textId="77777777" w:rsidR="00405456" w:rsidRPr="00A942F6" w:rsidRDefault="00405456" w:rsidP="00641834">
            <w:pPr>
              <w:pStyle w:val="TableParagraph"/>
              <w:rPr>
                <w:b/>
                <w:sz w:val="20"/>
                <w:szCs w:val="20"/>
                <w:lang w:val="nb-NO"/>
              </w:rPr>
            </w:pPr>
            <w:r w:rsidRPr="00A942F6">
              <w:rPr>
                <w:b/>
                <w:sz w:val="20"/>
                <w:szCs w:val="20"/>
                <w:lang w:val="nb-NO"/>
              </w:rPr>
              <w:t xml:space="preserve">Sekundære endepunkter – prosentandel respondere ved uke 24 </w:t>
            </w:r>
            <w:r w:rsidRPr="00A942F6">
              <w:rPr>
                <w:b/>
                <w:sz w:val="20"/>
                <w:szCs w:val="20"/>
                <w:vertAlign w:val="superscript"/>
                <w:lang w:val="nb-NO"/>
              </w:rPr>
              <w:t>(b)</w:t>
            </w:r>
          </w:p>
        </w:tc>
      </w:tr>
      <w:tr w:rsidR="00405456" w:rsidRPr="00A942F6" w14:paraId="54B2414D" w14:textId="77777777" w:rsidTr="00405456">
        <w:trPr>
          <w:cantSplit/>
          <w:trHeight w:val="20"/>
        </w:trPr>
        <w:tc>
          <w:tcPr>
            <w:tcW w:w="2949" w:type="dxa"/>
          </w:tcPr>
          <w:p w14:paraId="65BAACB6" w14:textId="77777777" w:rsidR="00405456" w:rsidRPr="00A942F6" w:rsidRDefault="00405456" w:rsidP="00641834">
            <w:pPr>
              <w:pStyle w:val="TableParagraph"/>
              <w:jc w:val="right"/>
              <w:rPr>
                <w:sz w:val="20"/>
                <w:szCs w:val="20"/>
                <w:lang w:val="nb-NO"/>
              </w:rPr>
            </w:pPr>
            <w:r w:rsidRPr="00A942F6">
              <w:rPr>
                <w:sz w:val="20"/>
                <w:szCs w:val="20"/>
                <w:lang w:val="nb-NO"/>
              </w:rPr>
              <w:t>DAS28 &lt; 2,6, n (%)</w:t>
            </w:r>
          </w:p>
        </w:tc>
        <w:tc>
          <w:tcPr>
            <w:tcW w:w="1988" w:type="dxa"/>
          </w:tcPr>
          <w:p w14:paraId="4580A28D" w14:textId="77777777" w:rsidR="00405456" w:rsidRPr="00A942F6" w:rsidRDefault="00405456" w:rsidP="00641834">
            <w:pPr>
              <w:pStyle w:val="TableParagraph"/>
              <w:jc w:val="center"/>
              <w:rPr>
                <w:sz w:val="20"/>
                <w:szCs w:val="20"/>
                <w:lang w:val="nb-NO"/>
              </w:rPr>
            </w:pPr>
            <w:r w:rsidRPr="00A942F6">
              <w:rPr>
                <w:sz w:val="20"/>
                <w:szCs w:val="20"/>
                <w:lang w:val="nb-NO"/>
              </w:rPr>
              <w:t>17 (10,5)</w:t>
            </w:r>
          </w:p>
        </w:tc>
        <w:tc>
          <w:tcPr>
            <w:tcW w:w="1973" w:type="dxa"/>
          </w:tcPr>
          <w:p w14:paraId="72E8CC4B" w14:textId="77777777" w:rsidR="00405456" w:rsidRPr="00A942F6" w:rsidRDefault="00405456" w:rsidP="00641834">
            <w:pPr>
              <w:pStyle w:val="TableParagraph"/>
              <w:jc w:val="right"/>
              <w:rPr>
                <w:sz w:val="20"/>
                <w:szCs w:val="20"/>
                <w:lang w:val="nb-NO"/>
              </w:rPr>
            </w:pPr>
            <w:r w:rsidRPr="00A942F6">
              <w:rPr>
                <w:sz w:val="20"/>
                <w:szCs w:val="20"/>
                <w:lang w:val="nb-NO"/>
              </w:rPr>
              <w:t>65 (39,9)</w:t>
            </w:r>
          </w:p>
        </w:tc>
        <w:tc>
          <w:tcPr>
            <w:tcW w:w="1028" w:type="dxa"/>
          </w:tcPr>
          <w:p w14:paraId="67F2479D" w14:textId="77777777" w:rsidR="00405456" w:rsidRPr="00A942F6" w:rsidRDefault="00405456" w:rsidP="00641834">
            <w:pPr>
              <w:pStyle w:val="TableParagraph"/>
              <w:jc w:val="center"/>
              <w:rPr>
                <w:sz w:val="20"/>
                <w:szCs w:val="20"/>
                <w:lang w:val="nb-NO"/>
              </w:rPr>
            </w:pPr>
            <w:r w:rsidRPr="00A942F6">
              <w:rPr>
                <w:sz w:val="20"/>
                <w:szCs w:val="20"/>
                <w:lang w:val="nb-NO"/>
              </w:rPr>
              <w:t>&lt; 0,0001</w:t>
            </w:r>
          </w:p>
        </w:tc>
      </w:tr>
      <w:tr w:rsidR="00405456" w:rsidRPr="00A942F6" w14:paraId="3305D29F" w14:textId="77777777" w:rsidTr="00405456">
        <w:trPr>
          <w:cantSplit/>
          <w:trHeight w:val="20"/>
        </w:trPr>
        <w:tc>
          <w:tcPr>
            <w:tcW w:w="2949" w:type="dxa"/>
          </w:tcPr>
          <w:p w14:paraId="55801D0F" w14:textId="77777777" w:rsidR="00405456" w:rsidRPr="00A942F6" w:rsidRDefault="00405456" w:rsidP="00641834">
            <w:pPr>
              <w:pStyle w:val="TableParagraph"/>
              <w:jc w:val="right"/>
              <w:rPr>
                <w:sz w:val="20"/>
                <w:szCs w:val="20"/>
                <w:lang w:val="nb-NO"/>
              </w:rPr>
            </w:pPr>
            <w:r w:rsidRPr="00A942F6">
              <w:rPr>
                <w:sz w:val="20"/>
                <w:szCs w:val="20"/>
                <w:lang w:val="nb-NO"/>
              </w:rPr>
              <w:t>DAS28 ≤ 3,2, n (%)</w:t>
            </w:r>
          </w:p>
        </w:tc>
        <w:tc>
          <w:tcPr>
            <w:tcW w:w="1988" w:type="dxa"/>
          </w:tcPr>
          <w:p w14:paraId="2EE7AC7B" w14:textId="77777777" w:rsidR="00405456" w:rsidRPr="00A942F6" w:rsidRDefault="00405456" w:rsidP="00641834">
            <w:pPr>
              <w:pStyle w:val="TableParagraph"/>
              <w:jc w:val="center"/>
              <w:rPr>
                <w:sz w:val="20"/>
                <w:szCs w:val="20"/>
                <w:lang w:val="nb-NO"/>
              </w:rPr>
            </w:pPr>
            <w:r w:rsidRPr="00A942F6">
              <w:rPr>
                <w:sz w:val="20"/>
                <w:szCs w:val="20"/>
                <w:lang w:val="nb-NO"/>
              </w:rPr>
              <w:t>32 (19,8)</w:t>
            </w:r>
          </w:p>
        </w:tc>
        <w:tc>
          <w:tcPr>
            <w:tcW w:w="1973" w:type="dxa"/>
          </w:tcPr>
          <w:p w14:paraId="08D0B0F8" w14:textId="77777777" w:rsidR="00405456" w:rsidRPr="00A942F6" w:rsidRDefault="00405456" w:rsidP="00641834">
            <w:pPr>
              <w:pStyle w:val="TableParagraph"/>
              <w:jc w:val="right"/>
              <w:rPr>
                <w:sz w:val="20"/>
                <w:szCs w:val="20"/>
                <w:lang w:val="nb-NO"/>
              </w:rPr>
            </w:pPr>
            <w:r w:rsidRPr="00A942F6">
              <w:rPr>
                <w:sz w:val="20"/>
                <w:szCs w:val="20"/>
                <w:lang w:val="nb-NO"/>
              </w:rPr>
              <w:t>84 (51,5)</w:t>
            </w:r>
          </w:p>
        </w:tc>
        <w:tc>
          <w:tcPr>
            <w:tcW w:w="1028" w:type="dxa"/>
          </w:tcPr>
          <w:p w14:paraId="4921DC1B" w14:textId="77777777" w:rsidR="00405456" w:rsidRPr="00A942F6" w:rsidRDefault="00405456" w:rsidP="00641834">
            <w:pPr>
              <w:pStyle w:val="TableParagraph"/>
              <w:jc w:val="center"/>
              <w:rPr>
                <w:sz w:val="20"/>
                <w:szCs w:val="20"/>
                <w:lang w:val="nb-NO"/>
              </w:rPr>
            </w:pPr>
            <w:r w:rsidRPr="00A942F6">
              <w:rPr>
                <w:sz w:val="20"/>
                <w:szCs w:val="20"/>
                <w:lang w:val="nb-NO"/>
              </w:rPr>
              <w:t>&lt; 0,0001</w:t>
            </w:r>
          </w:p>
        </w:tc>
      </w:tr>
      <w:tr w:rsidR="00405456" w:rsidRPr="00A942F6" w14:paraId="3377E56C" w14:textId="77777777" w:rsidTr="00405456">
        <w:trPr>
          <w:cantSplit/>
          <w:trHeight w:val="20"/>
        </w:trPr>
        <w:tc>
          <w:tcPr>
            <w:tcW w:w="2949" w:type="dxa"/>
          </w:tcPr>
          <w:p w14:paraId="016DFD4D" w14:textId="77777777" w:rsidR="00405456" w:rsidRPr="00A942F6" w:rsidRDefault="00405456" w:rsidP="00641834">
            <w:pPr>
              <w:pStyle w:val="TableParagraph"/>
              <w:jc w:val="right"/>
              <w:rPr>
                <w:sz w:val="20"/>
                <w:szCs w:val="20"/>
                <w:lang w:val="nb-NO"/>
              </w:rPr>
            </w:pPr>
            <w:r w:rsidRPr="00A942F6">
              <w:rPr>
                <w:sz w:val="20"/>
                <w:szCs w:val="20"/>
                <w:lang w:val="nb-NO"/>
              </w:rPr>
              <w:t>ACR20 respons, n (%)</w:t>
            </w:r>
          </w:p>
        </w:tc>
        <w:tc>
          <w:tcPr>
            <w:tcW w:w="1988" w:type="dxa"/>
          </w:tcPr>
          <w:p w14:paraId="739B16C9" w14:textId="77777777" w:rsidR="00405456" w:rsidRPr="00A942F6" w:rsidRDefault="00405456" w:rsidP="00641834">
            <w:pPr>
              <w:pStyle w:val="TableParagraph"/>
              <w:jc w:val="center"/>
              <w:rPr>
                <w:sz w:val="20"/>
                <w:szCs w:val="20"/>
                <w:lang w:val="nb-NO"/>
              </w:rPr>
            </w:pPr>
            <w:r w:rsidRPr="00A942F6">
              <w:rPr>
                <w:sz w:val="20"/>
                <w:szCs w:val="20"/>
                <w:lang w:val="nb-NO"/>
              </w:rPr>
              <w:t>80 (49,4)</w:t>
            </w:r>
          </w:p>
        </w:tc>
        <w:tc>
          <w:tcPr>
            <w:tcW w:w="1973" w:type="dxa"/>
          </w:tcPr>
          <w:p w14:paraId="1FC6167B" w14:textId="77777777" w:rsidR="00405456" w:rsidRPr="00A942F6" w:rsidRDefault="00405456" w:rsidP="00641834">
            <w:pPr>
              <w:pStyle w:val="TableParagraph"/>
              <w:jc w:val="right"/>
              <w:rPr>
                <w:sz w:val="20"/>
                <w:szCs w:val="20"/>
                <w:lang w:val="nb-NO"/>
              </w:rPr>
            </w:pPr>
            <w:r w:rsidRPr="00A942F6">
              <w:rPr>
                <w:sz w:val="20"/>
                <w:szCs w:val="20"/>
                <w:lang w:val="nb-NO"/>
              </w:rPr>
              <w:t>106 (65,0)</w:t>
            </w:r>
          </w:p>
        </w:tc>
        <w:tc>
          <w:tcPr>
            <w:tcW w:w="1028" w:type="dxa"/>
          </w:tcPr>
          <w:p w14:paraId="0D593CA3" w14:textId="77777777" w:rsidR="00405456" w:rsidRPr="00A942F6" w:rsidRDefault="00405456" w:rsidP="00641834">
            <w:pPr>
              <w:pStyle w:val="TableParagraph"/>
              <w:jc w:val="center"/>
              <w:rPr>
                <w:sz w:val="20"/>
                <w:szCs w:val="20"/>
                <w:lang w:val="nb-NO"/>
              </w:rPr>
            </w:pPr>
            <w:r w:rsidRPr="00A942F6">
              <w:rPr>
                <w:sz w:val="20"/>
                <w:szCs w:val="20"/>
                <w:lang w:val="nb-NO"/>
              </w:rPr>
              <w:t>0,0038</w:t>
            </w:r>
          </w:p>
        </w:tc>
      </w:tr>
      <w:tr w:rsidR="00405456" w:rsidRPr="00A942F6" w14:paraId="77C2B6F1" w14:textId="77777777" w:rsidTr="00405456">
        <w:trPr>
          <w:cantSplit/>
          <w:trHeight w:val="20"/>
        </w:trPr>
        <w:tc>
          <w:tcPr>
            <w:tcW w:w="2949" w:type="dxa"/>
          </w:tcPr>
          <w:p w14:paraId="19A94085" w14:textId="77777777" w:rsidR="00405456" w:rsidRPr="00A942F6" w:rsidRDefault="00405456" w:rsidP="00641834">
            <w:pPr>
              <w:pStyle w:val="TableParagraph"/>
              <w:jc w:val="right"/>
              <w:rPr>
                <w:sz w:val="20"/>
                <w:szCs w:val="20"/>
                <w:lang w:val="nb-NO"/>
              </w:rPr>
            </w:pPr>
            <w:r w:rsidRPr="00A942F6">
              <w:rPr>
                <w:sz w:val="20"/>
                <w:szCs w:val="20"/>
                <w:lang w:val="nb-NO"/>
              </w:rPr>
              <w:t>ACR50 respons, n (%)</w:t>
            </w:r>
          </w:p>
        </w:tc>
        <w:tc>
          <w:tcPr>
            <w:tcW w:w="1988" w:type="dxa"/>
          </w:tcPr>
          <w:p w14:paraId="0D1CF175" w14:textId="77777777" w:rsidR="00405456" w:rsidRPr="00A942F6" w:rsidRDefault="00405456" w:rsidP="00641834">
            <w:pPr>
              <w:pStyle w:val="TableParagraph"/>
              <w:jc w:val="center"/>
              <w:rPr>
                <w:sz w:val="20"/>
                <w:szCs w:val="20"/>
                <w:lang w:val="nb-NO"/>
              </w:rPr>
            </w:pPr>
            <w:r w:rsidRPr="00A942F6">
              <w:rPr>
                <w:sz w:val="20"/>
                <w:szCs w:val="20"/>
                <w:lang w:val="nb-NO"/>
              </w:rPr>
              <w:t>45 (27,8)</w:t>
            </w:r>
          </w:p>
        </w:tc>
        <w:tc>
          <w:tcPr>
            <w:tcW w:w="1973" w:type="dxa"/>
          </w:tcPr>
          <w:p w14:paraId="2A67BF64" w14:textId="77777777" w:rsidR="00405456" w:rsidRPr="00A942F6" w:rsidRDefault="00405456" w:rsidP="00641834">
            <w:pPr>
              <w:pStyle w:val="TableParagraph"/>
              <w:jc w:val="right"/>
              <w:rPr>
                <w:sz w:val="20"/>
                <w:szCs w:val="20"/>
                <w:lang w:val="nb-NO"/>
              </w:rPr>
            </w:pPr>
            <w:r w:rsidRPr="00A942F6">
              <w:rPr>
                <w:sz w:val="20"/>
                <w:szCs w:val="20"/>
                <w:lang w:val="nb-NO"/>
              </w:rPr>
              <w:t>77 (47,2)</w:t>
            </w:r>
          </w:p>
        </w:tc>
        <w:tc>
          <w:tcPr>
            <w:tcW w:w="1028" w:type="dxa"/>
          </w:tcPr>
          <w:p w14:paraId="69262768" w14:textId="77777777" w:rsidR="00405456" w:rsidRPr="00A942F6" w:rsidRDefault="00405456" w:rsidP="00641834">
            <w:pPr>
              <w:pStyle w:val="TableParagraph"/>
              <w:jc w:val="center"/>
              <w:rPr>
                <w:sz w:val="20"/>
                <w:szCs w:val="20"/>
                <w:lang w:val="nb-NO"/>
              </w:rPr>
            </w:pPr>
            <w:r w:rsidRPr="00A942F6">
              <w:rPr>
                <w:sz w:val="20"/>
                <w:szCs w:val="20"/>
                <w:lang w:val="nb-NO"/>
              </w:rPr>
              <w:t>0,0002</w:t>
            </w:r>
          </w:p>
        </w:tc>
      </w:tr>
      <w:tr w:rsidR="00405456" w:rsidRPr="00A942F6" w14:paraId="0422A8EB" w14:textId="77777777" w:rsidTr="00405456">
        <w:trPr>
          <w:cantSplit/>
          <w:trHeight w:val="20"/>
        </w:trPr>
        <w:tc>
          <w:tcPr>
            <w:tcW w:w="2949" w:type="dxa"/>
          </w:tcPr>
          <w:p w14:paraId="03F1268D" w14:textId="77777777" w:rsidR="00405456" w:rsidRPr="00A942F6" w:rsidRDefault="00405456" w:rsidP="00641834">
            <w:pPr>
              <w:pStyle w:val="TableParagraph"/>
              <w:jc w:val="right"/>
              <w:rPr>
                <w:sz w:val="20"/>
                <w:szCs w:val="20"/>
                <w:lang w:val="nb-NO"/>
              </w:rPr>
            </w:pPr>
            <w:r w:rsidRPr="00A942F6">
              <w:rPr>
                <w:sz w:val="20"/>
                <w:szCs w:val="20"/>
                <w:lang w:val="nb-NO"/>
              </w:rPr>
              <w:t>ACR70 respons, n (%)</w:t>
            </w:r>
          </w:p>
        </w:tc>
        <w:tc>
          <w:tcPr>
            <w:tcW w:w="1988" w:type="dxa"/>
          </w:tcPr>
          <w:p w14:paraId="5560B162" w14:textId="77777777" w:rsidR="00405456" w:rsidRPr="00A942F6" w:rsidRDefault="00405456" w:rsidP="00641834">
            <w:pPr>
              <w:pStyle w:val="TableParagraph"/>
              <w:jc w:val="center"/>
              <w:rPr>
                <w:sz w:val="20"/>
                <w:szCs w:val="20"/>
                <w:lang w:val="nb-NO"/>
              </w:rPr>
            </w:pPr>
            <w:r w:rsidRPr="00A942F6">
              <w:rPr>
                <w:sz w:val="20"/>
                <w:szCs w:val="20"/>
                <w:lang w:val="nb-NO"/>
              </w:rPr>
              <w:t>29 (17,9)</w:t>
            </w:r>
          </w:p>
        </w:tc>
        <w:tc>
          <w:tcPr>
            <w:tcW w:w="1973" w:type="dxa"/>
          </w:tcPr>
          <w:p w14:paraId="7981E559" w14:textId="77777777" w:rsidR="00405456" w:rsidRPr="00A942F6" w:rsidRDefault="00405456" w:rsidP="00641834">
            <w:pPr>
              <w:pStyle w:val="TableParagraph"/>
              <w:jc w:val="right"/>
              <w:rPr>
                <w:sz w:val="20"/>
                <w:szCs w:val="20"/>
                <w:lang w:val="nb-NO"/>
              </w:rPr>
            </w:pPr>
            <w:r w:rsidRPr="00A942F6">
              <w:rPr>
                <w:sz w:val="20"/>
                <w:szCs w:val="20"/>
                <w:lang w:val="nb-NO"/>
              </w:rPr>
              <w:t>53 (32,5)</w:t>
            </w:r>
          </w:p>
        </w:tc>
        <w:tc>
          <w:tcPr>
            <w:tcW w:w="1028" w:type="dxa"/>
          </w:tcPr>
          <w:p w14:paraId="074884FE" w14:textId="77777777" w:rsidR="00405456" w:rsidRPr="00A942F6" w:rsidRDefault="00405456" w:rsidP="00641834">
            <w:pPr>
              <w:pStyle w:val="TableParagraph"/>
              <w:jc w:val="center"/>
              <w:rPr>
                <w:sz w:val="20"/>
                <w:szCs w:val="20"/>
                <w:lang w:val="nb-NO"/>
              </w:rPr>
            </w:pPr>
            <w:r w:rsidRPr="00A942F6">
              <w:rPr>
                <w:sz w:val="20"/>
                <w:szCs w:val="20"/>
                <w:lang w:val="nb-NO"/>
              </w:rPr>
              <w:t>0,0023</w:t>
            </w:r>
          </w:p>
        </w:tc>
      </w:tr>
    </w:tbl>
    <w:p w14:paraId="40B6EC07" w14:textId="77777777" w:rsidR="005A42A2" w:rsidRPr="00A942F6" w:rsidRDefault="005A42A2" w:rsidP="00641834">
      <w:pPr>
        <w:pStyle w:val="tabenoteab"/>
        <w:numPr>
          <w:ilvl w:val="0"/>
          <w:numId w:val="9"/>
        </w:numPr>
        <w:ind w:left="284" w:hanging="284"/>
        <w:rPr>
          <w:i/>
          <w:iCs/>
          <w:lang w:val="nb-NO"/>
        </w:rPr>
      </w:pPr>
      <w:r w:rsidRPr="00A942F6">
        <w:rPr>
          <w:i/>
          <w:iCs/>
          <w:lang w:val="nb-NO"/>
        </w:rPr>
        <w:t>p-verdi er justert for lokalisering og varighet av RA for alle endepunkter og ytterligere utgangsnivå- -verdi for alle kontinuerlige endepunkter.</w:t>
      </w:r>
    </w:p>
    <w:p w14:paraId="4489AC46" w14:textId="77777777" w:rsidR="005A42A2" w:rsidRPr="00A942F6" w:rsidRDefault="005A42A2" w:rsidP="00641834">
      <w:pPr>
        <w:pStyle w:val="tabenoteab"/>
        <w:ind w:left="284" w:hanging="284"/>
        <w:rPr>
          <w:i/>
          <w:iCs/>
          <w:lang w:val="nb-NO"/>
        </w:rPr>
      </w:pPr>
      <w:r w:rsidRPr="00A942F6">
        <w:rPr>
          <w:i/>
          <w:iCs/>
          <w:lang w:val="nb-NO"/>
        </w:rPr>
        <w:t>Innsetting av verdier (imputasjon) for manglende data om ikke-respondere. Korrigert for multiplisitet med Bonferroni- Holm-metoden</w:t>
      </w:r>
    </w:p>
    <w:p w14:paraId="70A2CA33" w14:textId="77777777" w:rsidR="005A42A2" w:rsidRPr="00A942F6" w:rsidRDefault="005A42A2" w:rsidP="00641834">
      <w:pPr>
        <w:rPr>
          <w:lang w:val="nb-NO"/>
        </w:rPr>
      </w:pPr>
    </w:p>
    <w:p w14:paraId="3033FF63" w14:textId="13D705E4" w:rsidR="005A42A2" w:rsidRPr="00A942F6" w:rsidRDefault="005A42A2" w:rsidP="00641834">
      <w:pPr>
        <w:rPr>
          <w:lang w:val="nb-NO"/>
        </w:rPr>
      </w:pPr>
      <w:r w:rsidRPr="00A942F6">
        <w:rPr>
          <w:lang w:val="nb-NO"/>
        </w:rPr>
        <w:t xml:space="preserve">Den samlede kliniske bivirkningsprofilen var den samme for </w:t>
      </w:r>
      <w:r w:rsidR="00A17AD0" w:rsidRPr="00A942F6">
        <w:rPr>
          <w:lang w:val="nb-NO"/>
        </w:rPr>
        <w:t>tocilizumab</w:t>
      </w:r>
      <w:r w:rsidRPr="00A942F6">
        <w:rPr>
          <w:lang w:val="nb-NO"/>
        </w:rPr>
        <w:t xml:space="preserve"> og adalimumab. Andelen av pasienter med alvorlige bivirkninger var den samme i begge behandlingsgruppene (</w:t>
      </w:r>
      <w:r w:rsidR="00A17AD0" w:rsidRPr="00A942F6">
        <w:rPr>
          <w:lang w:val="nb-NO"/>
        </w:rPr>
        <w:t>tocilizumab</w:t>
      </w:r>
      <w:r w:rsidRPr="00A942F6">
        <w:rPr>
          <w:lang w:val="nb-NO"/>
        </w:rPr>
        <w:t xml:space="preserve"> 11,7 % vs. adalimumab 9,9 %). Type bivirkninger i </w:t>
      </w:r>
      <w:r w:rsidR="00A17AD0" w:rsidRPr="00A942F6">
        <w:rPr>
          <w:lang w:val="nb-NO"/>
        </w:rPr>
        <w:t>tocilizumab</w:t>
      </w:r>
      <w:r w:rsidRPr="00A942F6">
        <w:rPr>
          <w:lang w:val="nb-NO"/>
        </w:rPr>
        <w:t xml:space="preserve">-armen var i overensstemmelse med den kjente sikkerhetsprofilen til </w:t>
      </w:r>
      <w:r w:rsidR="00A17AD0" w:rsidRPr="00A942F6">
        <w:rPr>
          <w:lang w:val="nb-NO"/>
        </w:rPr>
        <w:t>tocilizumab</w:t>
      </w:r>
      <w:r w:rsidRPr="00A942F6">
        <w:rPr>
          <w:lang w:val="nb-NO"/>
        </w:rPr>
        <w:t xml:space="preserve"> og bivirkningene ble rapportert med lignende frekvens sammenlignet med tabell 1. Høyere frekvens av infeksjoner og infestasjoner ble rapportert i </w:t>
      </w:r>
      <w:r w:rsidR="00A17AD0" w:rsidRPr="00A942F6">
        <w:rPr>
          <w:lang w:val="nb-NO"/>
        </w:rPr>
        <w:t>tocilizumab</w:t>
      </w:r>
      <w:r w:rsidRPr="00A942F6">
        <w:rPr>
          <w:lang w:val="nb-NO"/>
        </w:rPr>
        <w:t>-armen (48 % vs. 42 %), men det var ingen forskjell i insidens av alvorlige infeksjoner</w:t>
      </w:r>
      <w:r w:rsidR="002B7608" w:rsidRPr="00A942F6">
        <w:rPr>
          <w:lang w:val="nb-NO"/>
        </w:rPr>
        <w:t xml:space="preserve"> </w:t>
      </w:r>
      <w:r w:rsidRPr="00A942F6">
        <w:rPr>
          <w:lang w:val="nb-NO"/>
        </w:rPr>
        <w:t xml:space="preserve">(3,1 %). Begge studiebehandlingene ga det samme forandringsmønsteret i laboratorieparametere for sikkerhet (reduksjoner i nøytrofile og antall blodplater, økninger i ALAT, ASAT og lipider), størrelsesordenen og hyppigheten av markerte unormale funn var imidlertid større med </w:t>
      </w:r>
      <w:r w:rsidR="00A17AD0" w:rsidRPr="00A942F6">
        <w:rPr>
          <w:lang w:val="nb-NO"/>
        </w:rPr>
        <w:t>tocilizumab</w:t>
      </w:r>
      <w:r w:rsidRPr="00A942F6">
        <w:rPr>
          <w:lang w:val="nb-NO"/>
        </w:rPr>
        <w:t xml:space="preserve"> sammenlignet med adalimumab. Fire (2,5 %) pasienter i </w:t>
      </w:r>
      <w:r w:rsidR="00A17AD0" w:rsidRPr="00A942F6">
        <w:rPr>
          <w:lang w:val="nb-NO"/>
        </w:rPr>
        <w:t>tocilizumab</w:t>
      </w:r>
      <w:r w:rsidRPr="00A942F6">
        <w:rPr>
          <w:lang w:val="nb-NO"/>
        </w:rPr>
        <w:t xml:space="preserve">-gruppen og to (1,2 %) pasienter i adalimumabgruppen opplevde CTC grad 3 eller 4-reduksjoner av antall nøytrofile. Elleve (6,8 %) pasienter i </w:t>
      </w:r>
      <w:r w:rsidR="00A17AD0" w:rsidRPr="00A942F6">
        <w:rPr>
          <w:lang w:val="nb-NO"/>
        </w:rPr>
        <w:t>tocilizumab</w:t>
      </w:r>
      <w:r w:rsidRPr="00A942F6">
        <w:rPr>
          <w:lang w:val="nb-NO"/>
        </w:rPr>
        <w:t xml:space="preserve">-gruppen og fem (3,1 %) pasienter i adalimumabgruppen opplevde ALAT- </w:t>
      </w:r>
      <w:r w:rsidRPr="00A942F6">
        <w:rPr>
          <w:lang w:val="nb-NO"/>
        </w:rPr>
        <w:lastRenderedPageBreak/>
        <w:t>forandringer av CTC grad 2 eller høyere. Gjennomsnittlig LDL-økning fra utgangsnivået var</w:t>
      </w:r>
      <w:r w:rsidR="002B7608" w:rsidRPr="00A942F6">
        <w:rPr>
          <w:lang w:val="nb-NO"/>
        </w:rPr>
        <w:t xml:space="preserve"> </w:t>
      </w:r>
      <w:r w:rsidRPr="00A942F6">
        <w:rPr>
          <w:lang w:val="nb-NO"/>
        </w:rPr>
        <w:t>0,64</w:t>
      </w:r>
      <w:r w:rsidR="002B7608" w:rsidRPr="00A942F6">
        <w:rPr>
          <w:lang w:val="nb-NO"/>
        </w:rPr>
        <w:t> </w:t>
      </w:r>
      <w:r w:rsidRPr="00A942F6">
        <w:rPr>
          <w:lang w:val="nb-NO"/>
        </w:rPr>
        <w:t xml:space="preserve">mmol/l (25 mg/dl) hos pasienter i </w:t>
      </w:r>
      <w:r w:rsidR="00A17AD0" w:rsidRPr="00A942F6">
        <w:rPr>
          <w:lang w:val="nb-NO"/>
        </w:rPr>
        <w:t>tocilizumab</w:t>
      </w:r>
      <w:r w:rsidRPr="00A942F6">
        <w:rPr>
          <w:lang w:val="nb-NO"/>
        </w:rPr>
        <w:t xml:space="preserve">-gruppen og 0,19 mmol/l (7 mg/dl) i adalimumabgruppen. Sikkerhetsprofilen som ble observert i tocilizumabgruppen var i overensstemmelse med den kjente sikkerhetsprofilen for </w:t>
      </w:r>
      <w:r w:rsidR="00A17AD0" w:rsidRPr="00A942F6">
        <w:rPr>
          <w:lang w:val="nb-NO"/>
        </w:rPr>
        <w:t>tocilizumab</w:t>
      </w:r>
      <w:r w:rsidRPr="00A942F6">
        <w:rPr>
          <w:lang w:val="nb-NO"/>
        </w:rPr>
        <w:t>, og det ble ikke observert noen nye eller uventede bivirkninger (se tabell 1).</w:t>
      </w:r>
    </w:p>
    <w:p w14:paraId="55D9525A" w14:textId="77777777" w:rsidR="005A42A2" w:rsidRPr="00A942F6" w:rsidRDefault="005A42A2" w:rsidP="00641834">
      <w:pPr>
        <w:rPr>
          <w:lang w:val="nb-NO"/>
        </w:rPr>
      </w:pPr>
    </w:p>
    <w:p w14:paraId="0D393B4A" w14:textId="77777777" w:rsidR="005A42A2" w:rsidRPr="00A942F6" w:rsidRDefault="005A42A2" w:rsidP="00641834">
      <w:pPr>
        <w:pStyle w:val="H2"/>
        <w:rPr>
          <w:lang w:val="nb-NO"/>
        </w:rPr>
      </w:pPr>
      <w:r w:rsidRPr="00A942F6">
        <w:rPr>
          <w:lang w:val="nb-NO"/>
        </w:rPr>
        <w:t>5.2</w:t>
      </w:r>
      <w:r w:rsidRPr="00A942F6">
        <w:rPr>
          <w:lang w:val="nb-NO"/>
        </w:rPr>
        <w:tab/>
        <w:t>Farmakokinetiske egenskaper</w:t>
      </w:r>
    </w:p>
    <w:p w14:paraId="67A42B45" w14:textId="77777777" w:rsidR="00426296" w:rsidRPr="00A942F6" w:rsidRDefault="00426296" w:rsidP="00641834">
      <w:pPr>
        <w:rPr>
          <w:lang w:val="nb-NO"/>
        </w:rPr>
      </w:pPr>
    </w:p>
    <w:p w14:paraId="201CE869" w14:textId="1B480B5B" w:rsidR="005A42A2" w:rsidRPr="00A942F6" w:rsidRDefault="005A42A2" w:rsidP="00641834">
      <w:pPr>
        <w:rPr>
          <w:lang w:val="nb-NO"/>
        </w:rPr>
      </w:pPr>
      <w:r w:rsidRPr="00A942F6">
        <w:rPr>
          <w:lang w:val="nb-NO"/>
        </w:rPr>
        <w:t xml:space="preserve">Farmakokinetikken til </w:t>
      </w:r>
      <w:r w:rsidR="00A17AD0" w:rsidRPr="00A942F6">
        <w:rPr>
          <w:lang w:val="nb-NO"/>
        </w:rPr>
        <w:t>tocilizumab</w:t>
      </w:r>
      <w:r w:rsidRPr="00A942F6">
        <w:rPr>
          <w:lang w:val="nb-NO"/>
        </w:rPr>
        <w:t xml:space="preserve"> er karakterisert ved ikke-lineær eliminering, som er en kombinasjon av lineær clearance og Michaelis-Menten eliminering. Den ikke-lineære delen av </w:t>
      </w:r>
      <w:r w:rsidR="00A17AD0" w:rsidRPr="00A942F6">
        <w:rPr>
          <w:lang w:val="nb-NO"/>
        </w:rPr>
        <w:t>tocilizumab</w:t>
      </w:r>
      <w:r w:rsidRPr="00A942F6">
        <w:rPr>
          <w:lang w:val="nb-NO"/>
        </w:rPr>
        <w:t xml:space="preserve">s eliminasjon fører til en økning i eksponering som er mer enn dose-proporsjonal. De farmakokinetiske parametrene til </w:t>
      </w:r>
      <w:r w:rsidR="00A17AD0" w:rsidRPr="00A942F6">
        <w:rPr>
          <w:lang w:val="nb-NO"/>
        </w:rPr>
        <w:t>tocilizumab</w:t>
      </w:r>
      <w:r w:rsidRPr="00A942F6">
        <w:rPr>
          <w:lang w:val="nb-NO"/>
        </w:rPr>
        <w:t xml:space="preserve"> endres ikke med tiden. Da total clearance er avhengig av serumkonsentrasjoner av </w:t>
      </w:r>
      <w:r w:rsidR="00A17AD0" w:rsidRPr="00A942F6">
        <w:rPr>
          <w:lang w:val="nb-NO"/>
        </w:rPr>
        <w:t>tocilizumab</w:t>
      </w:r>
      <w:r w:rsidRPr="00A942F6">
        <w:rPr>
          <w:lang w:val="nb-NO"/>
        </w:rPr>
        <w:t xml:space="preserve">, er halveringstiden til </w:t>
      </w:r>
      <w:r w:rsidR="00A17AD0" w:rsidRPr="00A942F6">
        <w:rPr>
          <w:lang w:val="nb-NO"/>
        </w:rPr>
        <w:t>tocilizumab</w:t>
      </w:r>
      <w:r w:rsidRPr="00A942F6">
        <w:rPr>
          <w:lang w:val="nb-NO"/>
        </w:rPr>
        <w:t xml:space="preserve"> også konsentrasjonsavhengig og varierer avhengig av serumkonsentrasjonsnivå. Farmakokinetiske populasjonsanalyser i pasientpopulasjoner som hittil er testet indikerer ikke noen sammenheng mellom åpenbar clearance og tilstedeværelse av antistoffer mot legemidlet.</w:t>
      </w:r>
    </w:p>
    <w:p w14:paraId="100CBEAB" w14:textId="77777777" w:rsidR="005A42A2" w:rsidRPr="00A942F6" w:rsidRDefault="005A42A2" w:rsidP="00641834">
      <w:pPr>
        <w:rPr>
          <w:lang w:val="nb-NO"/>
        </w:rPr>
      </w:pPr>
    </w:p>
    <w:p w14:paraId="53FB5447" w14:textId="77777777" w:rsidR="005A42A2" w:rsidRPr="00A942F6" w:rsidRDefault="005A42A2" w:rsidP="00641834">
      <w:pPr>
        <w:pStyle w:val="Style1underline"/>
        <w:rPr>
          <w:lang w:val="nb-NO"/>
        </w:rPr>
      </w:pPr>
      <w:r w:rsidRPr="00A942F6">
        <w:rPr>
          <w:lang w:val="nb-NO"/>
        </w:rPr>
        <w:t>RA</w:t>
      </w:r>
    </w:p>
    <w:p w14:paraId="6BDCFD6F" w14:textId="77777777" w:rsidR="005A42A2" w:rsidRPr="00A942F6" w:rsidRDefault="005A42A2" w:rsidP="00641834">
      <w:pPr>
        <w:pStyle w:val="Style1underline"/>
        <w:rPr>
          <w:lang w:val="nb-NO"/>
        </w:rPr>
      </w:pPr>
      <w:r w:rsidRPr="00A942F6">
        <w:rPr>
          <w:lang w:val="nb-NO"/>
        </w:rPr>
        <w:t>Intravenøs bruk</w:t>
      </w:r>
    </w:p>
    <w:p w14:paraId="17F37CC5" w14:textId="2DC73333" w:rsidR="005A42A2" w:rsidRPr="00A942F6" w:rsidRDefault="005A42A2" w:rsidP="00641834">
      <w:pPr>
        <w:rPr>
          <w:lang w:val="nb-NO"/>
        </w:rPr>
      </w:pPr>
      <w:r w:rsidRPr="00A942F6">
        <w:rPr>
          <w:lang w:val="nb-NO"/>
        </w:rPr>
        <w:t xml:space="preserve">Den farmakokinetiske profilen for </w:t>
      </w:r>
      <w:r w:rsidR="00A17AD0" w:rsidRPr="00A942F6">
        <w:rPr>
          <w:lang w:val="nb-NO"/>
        </w:rPr>
        <w:t>tocilizumab</w:t>
      </w:r>
      <w:r w:rsidRPr="00A942F6">
        <w:rPr>
          <w:lang w:val="nb-NO"/>
        </w:rPr>
        <w:t xml:space="preserve"> ble etablert ved hjelp av populasjonsfarmakokinetiske analyser av en database med 3552 RA-pasienter som fikk behandling med 4 eller 8 mg/kg </w:t>
      </w:r>
      <w:r w:rsidR="00A17AD0" w:rsidRPr="00A942F6">
        <w:rPr>
          <w:lang w:val="nb-NO"/>
        </w:rPr>
        <w:t>tocilizumab</w:t>
      </w:r>
      <w:r w:rsidRPr="00A942F6">
        <w:rPr>
          <w:lang w:val="nb-NO"/>
        </w:rPr>
        <w:t xml:space="preserve"> infusjon i løpet av én time hver 4. uke i 24 uker, eller 162 mg tocilizumab gitt subkutant enten 1 gang ukentlig eller 1 gang annenhver uke i 24 uker.</w:t>
      </w:r>
    </w:p>
    <w:p w14:paraId="73064557" w14:textId="77777777" w:rsidR="002B7608" w:rsidRPr="00A942F6" w:rsidRDefault="002B7608" w:rsidP="00641834">
      <w:pPr>
        <w:rPr>
          <w:lang w:val="nb-NO"/>
        </w:rPr>
      </w:pPr>
    </w:p>
    <w:p w14:paraId="529F0826" w14:textId="19524C57" w:rsidR="005A42A2" w:rsidRPr="00A942F6" w:rsidRDefault="005A42A2" w:rsidP="00641834">
      <w:pPr>
        <w:rPr>
          <w:lang w:val="nb-NO"/>
        </w:rPr>
      </w:pPr>
      <w:r w:rsidRPr="00A942F6">
        <w:rPr>
          <w:lang w:val="nb-NO"/>
        </w:rPr>
        <w:t xml:space="preserve">De følgende parameterne (beregnet gjennomsnitt ± SD) ble estimert for en </w:t>
      </w:r>
      <w:r w:rsidR="00A17AD0" w:rsidRPr="00A942F6">
        <w:rPr>
          <w:lang w:val="nb-NO"/>
        </w:rPr>
        <w:t>tocilizumab</w:t>
      </w:r>
      <w:r w:rsidRPr="00A942F6">
        <w:rPr>
          <w:lang w:val="nb-NO"/>
        </w:rPr>
        <w:t>-dose på 8</w:t>
      </w:r>
      <w:r w:rsidR="002B7608" w:rsidRPr="00A942F6">
        <w:rPr>
          <w:lang w:val="nb-NO"/>
        </w:rPr>
        <w:t> </w:t>
      </w:r>
      <w:r w:rsidRPr="00A942F6">
        <w:rPr>
          <w:lang w:val="nb-NO"/>
        </w:rPr>
        <w:t>mg/kg gitt hver 4. uke: Steady state-areal under kurven (AUC) = 38000 ± 13000</w:t>
      </w:r>
      <w:r w:rsidR="002B7608" w:rsidRPr="00A942F6">
        <w:rPr>
          <w:lang w:val="nb-NO"/>
        </w:rPr>
        <w:t> </w:t>
      </w:r>
      <w:r w:rsidRPr="00A942F6">
        <w:rPr>
          <w:lang w:val="nb-NO"/>
        </w:rPr>
        <w:t>time•mikrogram/ml, bunnkonsentrasjon (C</w:t>
      </w:r>
      <w:r w:rsidR="00EF591C" w:rsidRPr="00A942F6">
        <w:rPr>
          <w:vertAlign w:val="subscript"/>
          <w:lang w:val="nb-NO"/>
        </w:rPr>
        <w:t>min</w:t>
      </w:r>
      <w:r w:rsidRPr="00A942F6">
        <w:rPr>
          <w:lang w:val="nb-NO"/>
        </w:rPr>
        <w:t>) = 15,9 ± 13,1 mikrogram/ml og</w:t>
      </w:r>
      <w:r w:rsidR="002B7608" w:rsidRPr="00A942F6">
        <w:rPr>
          <w:lang w:val="nb-NO"/>
        </w:rPr>
        <w:t xml:space="preserve"> </w:t>
      </w:r>
      <w:r w:rsidRPr="00A942F6">
        <w:rPr>
          <w:lang w:val="nb-NO"/>
        </w:rPr>
        <w:t>maksimumskonsentrasjon (C</w:t>
      </w:r>
      <w:r w:rsidRPr="00A942F6">
        <w:rPr>
          <w:vertAlign w:val="subscript"/>
          <w:lang w:val="nb-NO"/>
        </w:rPr>
        <w:t>max</w:t>
      </w:r>
      <w:r w:rsidRPr="00A942F6">
        <w:rPr>
          <w:lang w:val="nb-NO"/>
        </w:rPr>
        <w:t>)=182 ±50,4</w:t>
      </w:r>
      <w:r w:rsidR="002E140C">
        <w:rPr>
          <w:lang w:val="nb-NO"/>
        </w:rPr>
        <w:t> </w:t>
      </w:r>
      <w:r w:rsidRPr="00A942F6">
        <w:rPr>
          <w:lang w:val="nb-NO"/>
        </w:rPr>
        <w:t>mikrogram/ml, og akkumulasjonsratio for AUC og C</w:t>
      </w:r>
      <w:r w:rsidRPr="00A942F6">
        <w:rPr>
          <w:vertAlign w:val="subscript"/>
          <w:lang w:val="nb-NO"/>
        </w:rPr>
        <w:t>max</w:t>
      </w:r>
      <w:r w:rsidRPr="00A942F6">
        <w:rPr>
          <w:lang w:val="nb-NO"/>
        </w:rPr>
        <w:t xml:space="preserve"> var lave, henholdsvis 1,32 og 1,09. Akkumulasjonsratio var høyere for C</w:t>
      </w:r>
      <w:r w:rsidR="00F36EEE" w:rsidRPr="00A942F6">
        <w:rPr>
          <w:rFonts w:cs="Times New Roman"/>
          <w:vertAlign w:val="subscript"/>
          <w:lang w:val="nb-NO"/>
        </w:rPr>
        <w:t xml:space="preserve">min </w:t>
      </w:r>
      <w:r w:rsidRPr="00A942F6">
        <w:rPr>
          <w:lang w:val="nb-NO"/>
        </w:rPr>
        <w:t>(2,49). Dette var forventet, basert på en ikke-lineær clearance ved lavere konsentrasjoner. Steady-state ble oppnådd etter første administrasjon for C</w:t>
      </w:r>
      <w:r w:rsidR="00F36EEE" w:rsidRPr="00A942F6">
        <w:rPr>
          <w:rFonts w:cs="Times New Roman"/>
          <w:vertAlign w:val="subscript"/>
          <w:lang w:val="nb-NO"/>
        </w:rPr>
        <w:t xml:space="preserve">max </w:t>
      </w:r>
      <w:r w:rsidRPr="00A942F6">
        <w:rPr>
          <w:lang w:val="nb-NO"/>
        </w:rPr>
        <w:t>og etter henholdsvis 8 og 20 uker for AUC og C</w:t>
      </w:r>
      <w:r w:rsidR="00EF591C" w:rsidRPr="00A942F6">
        <w:rPr>
          <w:vertAlign w:val="subscript"/>
          <w:lang w:val="nb-NO"/>
        </w:rPr>
        <w:t>min</w:t>
      </w:r>
      <w:r w:rsidRPr="00A942F6">
        <w:rPr>
          <w:lang w:val="nb-NO"/>
        </w:rPr>
        <w:t xml:space="preserve">. </w:t>
      </w:r>
      <w:r w:rsidR="00145181" w:rsidRPr="00A942F6">
        <w:rPr>
          <w:lang w:val="nb-NO"/>
        </w:rPr>
        <w:t>T</w:t>
      </w:r>
      <w:r w:rsidR="00A17AD0" w:rsidRPr="00A942F6">
        <w:rPr>
          <w:lang w:val="nb-NO"/>
        </w:rPr>
        <w:t>ocilizumab</w:t>
      </w:r>
      <w:r w:rsidRPr="00A942F6">
        <w:rPr>
          <w:lang w:val="nb-NO"/>
        </w:rPr>
        <w:t xml:space="preserve"> AUC,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økte med økt kroppsvekt. Ved kroppsvekt </w:t>
      </w:r>
      <w:r w:rsidRPr="00A942F6">
        <w:rPr>
          <w:rFonts w:cs="Times New Roman"/>
          <w:lang w:val="nb-NO"/>
        </w:rPr>
        <w:t>≥</w:t>
      </w:r>
      <w:r w:rsidRPr="00A942F6">
        <w:rPr>
          <w:lang w:val="nb-NO"/>
        </w:rPr>
        <w:t xml:space="preserve"> 100 kg, var antatt gjennomsnittlig (</w:t>
      </w:r>
      <w:r w:rsidRPr="00A942F6">
        <w:rPr>
          <w:rFonts w:cs="Times New Roman"/>
          <w:lang w:val="nb-NO"/>
        </w:rPr>
        <w:t>±</w:t>
      </w:r>
      <w:r w:rsidRPr="00A942F6">
        <w:rPr>
          <w:lang w:val="nb-NO"/>
        </w:rPr>
        <w:t xml:space="preserve"> SD) steady- state AUC,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for </w:t>
      </w:r>
      <w:r w:rsidR="00A17AD0" w:rsidRPr="00A942F6">
        <w:rPr>
          <w:lang w:val="nb-NO"/>
        </w:rPr>
        <w:t>tocilizumab</w:t>
      </w:r>
      <w:r w:rsidRPr="00A942F6">
        <w:rPr>
          <w:lang w:val="nb-NO"/>
        </w:rPr>
        <w:t xml:space="preserve"> henholdsvis 50000 ± 16800 mikrogram•time/ml, 24,4 ±</w:t>
      </w:r>
      <w:r w:rsidR="00130B24" w:rsidRPr="00A942F6">
        <w:rPr>
          <w:lang w:val="nb-NO"/>
        </w:rPr>
        <w:t xml:space="preserve"> </w:t>
      </w:r>
      <w:r w:rsidRPr="00A942F6">
        <w:rPr>
          <w:lang w:val="nb-NO"/>
        </w:rPr>
        <w:t xml:space="preserve">17,5 mikrogram/ml, og 226 ± 50,3 mikrogram/ml, som er høyere enn gjennomsnittlig eksponeringsverdier for pasientpopulasjonen (dvs. uavhengig av kroppsvekt) som beskrevet over. Doseresponskurven for tocilizumab flater ut ved høyere eksponering, som resulterer i mindre nytte- gevinst for hver økning i </w:t>
      </w:r>
      <w:r w:rsidR="00A17AD0" w:rsidRPr="00A942F6">
        <w:rPr>
          <w:lang w:val="nb-NO"/>
        </w:rPr>
        <w:t>tocilizumab</w:t>
      </w:r>
      <w:r w:rsidRPr="00A942F6">
        <w:rPr>
          <w:lang w:val="nb-NO"/>
        </w:rPr>
        <w:t xml:space="preserve">-konsentrasjon. Dette fordi klinisk meningsfulle økninger i effekt ikke var demonstrert for pasienter behandlet med &gt; 800 mg med </w:t>
      </w:r>
      <w:r w:rsidR="00A17AD0" w:rsidRPr="00A942F6">
        <w:rPr>
          <w:lang w:val="nb-NO"/>
        </w:rPr>
        <w:t>tocilizumab</w:t>
      </w:r>
      <w:r w:rsidRPr="00A942F6">
        <w:rPr>
          <w:lang w:val="nb-NO"/>
        </w:rPr>
        <w:t xml:space="preserve">. </w:t>
      </w:r>
      <w:r w:rsidR="00A17AD0" w:rsidRPr="00A942F6">
        <w:rPr>
          <w:lang w:val="nb-NO"/>
        </w:rPr>
        <w:t>Tocilizumab</w:t>
      </w:r>
      <w:r w:rsidRPr="00A942F6">
        <w:rPr>
          <w:lang w:val="nb-NO"/>
        </w:rPr>
        <w:t>-doser over 800 mg per infusjon er derfor ikke anbefalt (se pkt. 4.2).</w:t>
      </w:r>
    </w:p>
    <w:p w14:paraId="3A088939" w14:textId="77777777" w:rsidR="002B7608" w:rsidRPr="00A942F6" w:rsidRDefault="002B7608" w:rsidP="00641834">
      <w:pPr>
        <w:rPr>
          <w:lang w:val="nb-NO"/>
        </w:rPr>
      </w:pPr>
    </w:p>
    <w:p w14:paraId="74852D5D" w14:textId="77777777" w:rsidR="005A42A2" w:rsidRPr="00A942F6" w:rsidRDefault="005A42A2" w:rsidP="00641834">
      <w:pPr>
        <w:pStyle w:val="Style1underline"/>
        <w:rPr>
          <w:lang w:val="nb-NO"/>
        </w:rPr>
      </w:pPr>
      <w:r w:rsidRPr="00A942F6">
        <w:rPr>
          <w:lang w:val="nb-NO"/>
        </w:rPr>
        <w:t>Distribusjon</w:t>
      </w:r>
    </w:p>
    <w:p w14:paraId="342A4AF0" w14:textId="77777777" w:rsidR="005A42A2" w:rsidRPr="00A942F6" w:rsidRDefault="005A42A2" w:rsidP="00641834">
      <w:pPr>
        <w:rPr>
          <w:lang w:val="nb-NO"/>
        </w:rPr>
      </w:pPr>
      <w:r w:rsidRPr="00A942F6">
        <w:rPr>
          <w:lang w:val="nb-NO"/>
        </w:rPr>
        <w:t>Hos RA-pasienter var sentralt distribusjonsvolum 3,72 l, perifert distribusjonsvolum var 3,35 l, som gir distribusjonsvolum 7,07 l ved steady-state.</w:t>
      </w:r>
    </w:p>
    <w:p w14:paraId="5589A04B" w14:textId="77777777" w:rsidR="005A42A2" w:rsidRPr="00A942F6" w:rsidRDefault="005A42A2" w:rsidP="00641834">
      <w:pPr>
        <w:rPr>
          <w:lang w:val="nb-NO"/>
        </w:rPr>
      </w:pPr>
    </w:p>
    <w:p w14:paraId="1BD7458C" w14:textId="77777777" w:rsidR="005A42A2" w:rsidRPr="00A942F6" w:rsidRDefault="005A42A2" w:rsidP="00641834">
      <w:pPr>
        <w:pStyle w:val="Style1underline"/>
        <w:rPr>
          <w:lang w:val="nb-NO"/>
        </w:rPr>
      </w:pPr>
      <w:r w:rsidRPr="00A942F6">
        <w:rPr>
          <w:lang w:val="nb-NO"/>
        </w:rPr>
        <w:t>Eliminasjon</w:t>
      </w:r>
    </w:p>
    <w:p w14:paraId="2C93DFB5" w14:textId="62C994EB" w:rsidR="005A42A2" w:rsidRPr="00A942F6" w:rsidRDefault="005A42A2" w:rsidP="00641834">
      <w:pPr>
        <w:rPr>
          <w:lang w:val="nb-NO"/>
        </w:rPr>
      </w:pPr>
      <w:r w:rsidRPr="00A942F6">
        <w:rPr>
          <w:lang w:val="nb-NO"/>
        </w:rPr>
        <w:t xml:space="preserve">Etter intravenøs administrasjon gjennomgår </w:t>
      </w:r>
      <w:r w:rsidR="00A17AD0" w:rsidRPr="00A942F6">
        <w:rPr>
          <w:lang w:val="nb-NO"/>
        </w:rPr>
        <w:t>tocilizumab</w:t>
      </w:r>
      <w:r w:rsidRPr="00A942F6">
        <w:rPr>
          <w:lang w:val="nb-NO"/>
        </w:rPr>
        <w:t xml:space="preserve"> bifasisk eliminasjon fra sirkulasjonen. Total clearance av </w:t>
      </w:r>
      <w:r w:rsidR="00A17AD0" w:rsidRPr="00A942F6">
        <w:rPr>
          <w:lang w:val="nb-NO"/>
        </w:rPr>
        <w:t>tocilizumab</w:t>
      </w:r>
      <w:r w:rsidRPr="00A942F6">
        <w:rPr>
          <w:lang w:val="nb-NO"/>
        </w:rPr>
        <w:t xml:space="preserve"> er konsentrasjonsavhengig. Dette er summen av lineær og ikke-lineær clearance. Lineær clearance ble estimert som en parameter i den populasjonsfarmakokinetiske analysen og var 9,5 ml/time. Konsentrasjonsavhengig, ikke-lineær clearance spiller en viktig rolle ved lave konsentrasjoner av </w:t>
      </w:r>
      <w:r w:rsidR="00A17AD0" w:rsidRPr="00A942F6">
        <w:rPr>
          <w:lang w:val="nb-NO"/>
        </w:rPr>
        <w:t>tocilizumab</w:t>
      </w:r>
      <w:r w:rsidRPr="00A942F6">
        <w:rPr>
          <w:lang w:val="nb-NO"/>
        </w:rPr>
        <w:t xml:space="preserve">. Når den ikke-lineære eliminasjonsveien er mettet ved høyere konsentrasjoner av </w:t>
      </w:r>
      <w:r w:rsidR="00A17AD0" w:rsidRPr="00A942F6">
        <w:rPr>
          <w:lang w:val="nb-NO"/>
        </w:rPr>
        <w:t>tocilizumab</w:t>
      </w:r>
      <w:r w:rsidRPr="00A942F6">
        <w:rPr>
          <w:lang w:val="nb-NO"/>
        </w:rPr>
        <w:t>, avgjøres clearance hovedsakelig av lineær clearance.</w:t>
      </w:r>
    </w:p>
    <w:p w14:paraId="3FF9E00C" w14:textId="77777777" w:rsidR="002B7608" w:rsidRPr="00A942F6" w:rsidRDefault="002B7608" w:rsidP="00641834">
      <w:pPr>
        <w:rPr>
          <w:lang w:val="nb-NO"/>
        </w:rPr>
      </w:pPr>
    </w:p>
    <w:p w14:paraId="7014F629" w14:textId="6A62DA4E" w:rsidR="005A42A2" w:rsidRPr="00A942F6" w:rsidRDefault="005A42A2" w:rsidP="00641834">
      <w:pPr>
        <w:rPr>
          <w:lang w:val="nb-NO"/>
        </w:rPr>
      </w:pPr>
      <w:r w:rsidRPr="00A942F6">
        <w:rPr>
          <w:lang w:val="nb-NO"/>
        </w:rPr>
        <w:t>Halveringstiden (t</w:t>
      </w:r>
      <w:r w:rsidR="002D2136" w:rsidRPr="00A942F6">
        <w:rPr>
          <w:vertAlign w:val="subscript"/>
          <w:lang w:val="nb-NO"/>
        </w:rPr>
        <w:t>1/2</w:t>
      </w:r>
      <w:r w:rsidRPr="00A942F6">
        <w:rPr>
          <w:lang w:val="nb-NO"/>
        </w:rPr>
        <w:t xml:space="preserve">) for </w:t>
      </w:r>
      <w:r w:rsidR="00A17AD0" w:rsidRPr="00A942F6">
        <w:rPr>
          <w:lang w:val="nb-NO"/>
        </w:rPr>
        <w:t>tocilizumab</w:t>
      </w:r>
      <w:r w:rsidRPr="00A942F6">
        <w:rPr>
          <w:lang w:val="nb-NO"/>
        </w:rPr>
        <w:t xml:space="preserve"> var konsentrasjonsavhengig. Ved steady-state etter dosering</w:t>
      </w:r>
      <w:r w:rsidR="00F97D0A" w:rsidRPr="00A942F6">
        <w:rPr>
          <w:lang w:val="nb-NO"/>
        </w:rPr>
        <w:t xml:space="preserve"> </w:t>
      </w:r>
      <w:r w:rsidRPr="00A942F6">
        <w:rPr>
          <w:lang w:val="nb-NO"/>
        </w:rPr>
        <w:t>8</w:t>
      </w:r>
      <w:r w:rsidR="00F97D0A" w:rsidRPr="00A942F6">
        <w:rPr>
          <w:lang w:val="nb-NO"/>
        </w:rPr>
        <w:t> </w:t>
      </w:r>
      <w:r w:rsidRPr="00A942F6">
        <w:rPr>
          <w:lang w:val="nb-NO"/>
        </w:rPr>
        <w:t>mg/kg hver 4. uke avtok effektiv t</w:t>
      </w:r>
      <w:r w:rsidR="002D2136" w:rsidRPr="00A942F6">
        <w:rPr>
          <w:vertAlign w:val="subscript"/>
          <w:lang w:val="nb-NO"/>
        </w:rPr>
        <w:t>1/2</w:t>
      </w:r>
      <w:r w:rsidRPr="00A942F6">
        <w:rPr>
          <w:lang w:val="nb-NO"/>
        </w:rPr>
        <w:t xml:space="preserve"> med avtagende konsentrasjon innenfor et doseringsintervall fra 18 til 6 dager.</w:t>
      </w:r>
    </w:p>
    <w:p w14:paraId="6F347FDF" w14:textId="77777777" w:rsidR="002B7608" w:rsidRPr="00A942F6" w:rsidRDefault="002B7608" w:rsidP="00641834">
      <w:pPr>
        <w:rPr>
          <w:lang w:val="nb-NO"/>
        </w:rPr>
      </w:pPr>
    </w:p>
    <w:p w14:paraId="4C1A8D51" w14:textId="77777777" w:rsidR="005A42A2" w:rsidRPr="00A942F6" w:rsidRDefault="005A42A2" w:rsidP="00641834">
      <w:pPr>
        <w:pStyle w:val="Style1underline"/>
        <w:rPr>
          <w:lang w:val="nb-NO"/>
        </w:rPr>
      </w:pPr>
      <w:r w:rsidRPr="00A942F6">
        <w:rPr>
          <w:lang w:val="nb-NO"/>
        </w:rPr>
        <w:lastRenderedPageBreak/>
        <w:t>Linearitet</w:t>
      </w:r>
    </w:p>
    <w:p w14:paraId="31AC2748" w14:textId="6D5DC17E" w:rsidR="005A42A2" w:rsidRPr="00A942F6" w:rsidRDefault="005A42A2" w:rsidP="00641834">
      <w:pPr>
        <w:rPr>
          <w:lang w:val="nb-NO"/>
        </w:rPr>
      </w:pPr>
      <w:r w:rsidRPr="00A942F6">
        <w:rPr>
          <w:lang w:val="nb-NO"/>
        </w:rPr>
        <w:t xml:space="preserve">De farmakokinetiske parameterne for </w:t>
      </w:r>
      <w:r w:rsidR="00A17AD0" w:rsidRPr="00A942F6">
        <w:rPr>
          <w:lang w:val="nb-NO"/>
        </w:rPr>
        <w:t>tocilizumab</w:t>
      </w:r>
      <w:r w:rsidRPr="00A942F6">
        <w:rPr>
          <w:lang w:val="nb-NO"/>
        </w:rPr>
        <w:t xml:space="preserve"> endret seg ikke over tid. En mer enn doseproporsjonal økning i AUC og C</w:t>
      </w:r>
      <w:r w:rsidR="00F36EEE" w:rsidRPr="00A942F6">
        <w:rPr>
          <w:rFonts w:cs="Times New Roman"/>
          <w:vertAlign w:val="subscript"/>
          <w:lang w:val="nb-NO"/>
        </w:rPr>
        <w:t xml:space="preserve">min </w:t>
      </w:r>
      <w:r w:rsidRPr="00A942F6">
        <w:rPr>
          <w:lang w:val="nb-NO"/>
        </w:rPr>
        <w:t>ble observert for doser på 4 og 8 mg/kg hver 4. uke. C</w:t>
      </w:r>
      <w:r w:rsidR="00F36EEE" w:rsidRPr="00A942F6">
        <w:rPr>
          <w:rFonts w:cs="Times New Roman"/>
          <w:vertAlign w:val="subscript"/>
          <w:lang w:val="nb-NO"/>
        </w:rPr>
        <w:t xml:space="preserve">max </w:t>
      </w:r>
      <w:r w:rsidRPr="00A942F6">
        <w:rPr>
          <w:lang w:val="nb-NO"/>
        </w:rPr>
        <w:t>økte doseproporsjonalt. Ved steady state var beregnet AUC og C</w:t>
      </w:r>
      <w:r w:rsidR="00F36EEE" w:rsidRPr="00A942F6">
        <w:rPr>
          <w:rFonts w:cs="Times New Roman"/>
          <w:vertAlign w:val="subscript"/>
          <w:lang w:val="nb-NO"/>
        </w:rPr>
        <w:t xml:space="preserve">min </w:t>
      </w:r>
      <w:r w:rsidRPr="00A942F6">
        <w:rPr>
          <w:lang w:val="nb-NO"/>
        </w:rPr>
        <w:t>henholdsvis 3,2 og 30 ganger høyere ved 8 mg/kg sammenlignet med 4 mg/kg.</w:t>
      </w:r>
    </w:p>
    <w:p w14:paraId="346BBA3E" w14:textId="77777777" w:rsidR="005A42A2" w:rsidRPr="00A942F6" w:rsidRDefault="005A42A2" w:rsidP="00641834">
      <w:pPr>
        <w:rPr>
          <w:lang w:val="nb-NO"/>
        </w:rPr>
      </w:pPr>
    </w:p>
    <w:p w14:paraId="23D4A222" w14:textId="77777777" w:rsidR="005A42A2" w:rsidRPr="00A942F6" w:rsidRDefault="005A42A2" w:rsidP="00641834">
      <w:pPr>
        <w:pStyle w:val="Style1underline"/>
        <w:rPr>
          <w:lang w:val="nb-NO"/>
        </w:rPr>
      </w:pPr>
      <w:r w:rsidRPr="00A942F6">
        <w:rPr>
          <w:lang w:val="nb-NO"/>
        </w:rPr>
        <w:t>Subkutan bruk</w:t>
      </w:r>
    </w:p>
    <w:p w14:paraId="2F5CC260" w14:textId="40D4F2D6" w:rsidR="005A42A2" w:rsidRPr="00A942F6" w:rsidRDefault="005A42A2" w:rsidP="00641834">
      <w:pPr>
        <w:rPr>
          <w:lang w:val="nb-NO"/>
        </w:rPr>
      </w:pPr>
      <w:r w:rsidRPr="00A942F6">
        <w:rPr>
          <w:lang w:val="nb-NO"/>
        </w:rPr>
        <w:t xml:space="preserve">Den farmakokinetiske profilen for </w:t>
      </w:r>
      <w:r w:rsidR="00A17AD0" w:rsidRPr="00A942F6">
        <w:rPr>
          <w:lang w:val="nb-NO"/>
        </w:rPr>
        <w:t>tocilizumab</w:t>
      </w:r>
      <w:r w:rsidRPr="00A942F6">
        <w:rPr>
          <w:lang w:val="nb-NO"/>
        </w:rPr>
        <w:t xml:space="preserve"> ble etablert ved hjelp av populasjonsfarmakokinetiske analyser av en database med 3552 RA-pasienter som fikk behandling med 162 mg subkutant hver uke, 162 mg subkutant annenhver uke, og eller 4 eller 8 mg/kg intravenøst hver 4. uke i 24 uker.</w:t>
      </w:r>
    </w:p>
    <w:p w14:paraId="1499B66B" w14:textId="77777777" w:rsidR="005A42A2" w:rsidRPr="00A942F6" w:rsidRDefault="005A42A2" w:rsidP="00641834">
      <w:pPr>
        <w:rPr>
          <w:lang w:val="nb-NO"/>
        </w:rPr>
      </w:pPr>
    </w:p>
    <w:p w14:paraId="67F7DCAB" w14:textId="53492EBF" w:rsidR="005A42A2" w:rsidRPr="00A942F6" w:rsidRDefault="005A42A2" w:rsidP="00641834">
      <w:pPr>
        <w:rPr>
          <w:lang w:val="nb-NO"/>
        </w:rPr>
      </w:pPr>
      <w:r w:rsidRPr="00A942F6">
        <w:rPr>
          <w:lang w:val="nb-NO"/>
        </w:rPr>
        <w:t xml:space="preserve">De farmakokinetiske parameterne for </w:t>
      </w:r>
      <w:r w:rsidR="00A17AD0" w:rsidRPr="00A942F6">
        <w:rPr>
          <w:lang w:val="nb-NO"/>
        </w:rPr>
        <w:t>tocilizumab</w:t>
      </w:r>
      <w:r w:rsidRPr="00A942F6">
        <w:rPr>
          <w:lang w:val="nb-NO"/>
        </w:rPr>
        <w:t xml:space="preserve"> endret seg ikke over tid. For 162 mg dose hver uke, var antatt gjennomsnittlig (± SD) steady-state AU</w:t>
      </w:r>
      <w:r w:rsidR="00EF591C" w:rsidRPr="00A942F6">
        <w:rPr>
          <w:lang w:val="nb-NO"/>
        </w:rPr>
        <w:t>C</w:t>
      </w:r>
      <w:r w:rsidR="00EF591C" w:rsidRPr="00A942F6">
        <w:rPr>
          <w:vertAlign w:val="subscript"/>
          <w:lang w:val="nb-NO"/>
        </w:rPr>
        <w:t>uke 1</w:t>
      </w:r>
      <w:r w:rsidRPr="00A942F6">
        <w:rPr>
          <w:lang w:val="nb-NO"/>
        </w:rPr>
        <w:t>,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for </w:t>
      </w:r>
      <w:r w:rsidR="00A17AD0" w:rsidRPr="00A942F6">
        <w:rPr>
          <w:lang w:val="nb-NO"/>
        </w:rPr>
        <w:t>tocilizumab</w:t>
      </w:r>
      <w:r w:rsidRPr="00A942F6">
        <w:rPr>
          <w:lang w:val="nb-NO"/>
        </w:rPr>
        <w:t xml:space="preserve"> henholdsvis 7970</w:t>
      </w:r>
      <w:r w:rsidR="002E140C">
        <w:rPr>
          <w:lang w:val="nb-NO"/>
        </w:rPr>
        <w:t> </w:t>
      </w:r>
      <w:r w:rsidRPr="00A942F6">
        <w:rPr>
          <w:lang w:val="nb-NO"/>
        </w:rPr>
        <w:t>± 3432 mikrogram•time/ml, 43,0 ± 19,8 mikrogram/ml, og 49,8 ± 21,0 mikrogram/ml.</w:t>
      </w:r>
      <w:r w:rsidR="002B7608" w:rsidRPr="00A942F6">
        <w:rPr>
          <w:lang w:val="nb-NO"/>
        </w:rPr>
        <w:t xml:space="preserve"> </w:t>
      </w:r>
      <w:r w:rsidRPr="00A942F6">
        <w:rPr>
          <w:lang w:val="nb-NO"/>
        </w:rPr>
        <w:t>Akkumulasjonsratio for AUC, C</w:t>
      </w:r>
      <w:r w:rsidRPr="00A942F6">
        <w:rPr>
          <w:vertAlign w:val="subscript"/>
          <w:lang w:val="nb-NO"/>
        </w:rPr>
        <w:t>min</w:t>
      </w:r>
      <w:r w:rsidRPr="00A942F6">
        <w:rPr>
          <w:lang w:val="nb-NO"/>
        </w:rPr>
        <w:t>, og C</w:t>
      </w:r>
      <w:r w:rsidR="00F36EEE" w:rsidRPr="00A942F6">
        <w:rPr>
          <w:rFonts w:cs="Times New Roman"/>
          <w:vertAlign w:val="subscript"/>
          <w:lang w:val="nb-NO"/>
        </w:rPr>
        <w:t xml:space="preserve">max </w:t>
      </w:r>
      <w:r w:rsidRPr="00A942F6">
        <w:rPr>
          <w:lang w:val="nb-NO"/>
        </w:rPr>
        <w:t>var henholdsvis 6,32, 6,30 og 5,27. Steady-state ble nådd etter 12 uker for AUC, C</w:t>
      </w:r>
      <w:r w:rsidRPr="00A942F6">
        <w:rPr>
          <w:vertAlign w:val="subscript"/>
          <w:lang w:val="nb-NO"/>
        </w:rPr>
        <w:t>min</w:t>
      </w:r>
      <w:r w:rsidRPr="00A942F6">
        <w:rPr>
          <w:lang w:val="nb-NO"/>
        </w:rPr>
        <w:t>, og C</w:t>
      </w:r>
      <w:r w:rsidRPr="00A942F6">
        <w:rPr>
          <w:vertAlign w:val="subscript"/>
          <w:lang w:val="nb-NO"/>
        </w:rPr>
        <w:t>max</w:t>
      </w:r>
      <w:r w:rsidRPr="00A942F6">
        <w:rPr>
          <w:lang w:val="nb-NO"/>
        </w:rPr>
        <w:t>.</w:t>
      </w:r>
    </w:p>
    <w:p w14:paraId="2AD975FF" w14:textId="77777777" w:rsidR="005A42A2" w:rsidRPr="00A942F6" w:rsidRDefault="005A42A2" w:rsidP="00641834">
      <w:pPr>
        <w:rPr>
          <w:lang w:val="nb-NO"/>
        </w:rPr>
      </w:pPr>
    </w:p>
    <w:p w14:paraId="7390845C" w14:textId="39932F87" w:rsidR="005A42A2" w:rsidRPr="00A942F6" w:rsidRDefault="005A42A2" w:rsidP="00641834">
      <w:pPr>
        <w:rPr>
          <w:lang w:val="nb-NO"/>
        </w:rPr>
      </w:pPr>
      <w:r w:rsidRPr="00A942F6">
        <w:rPr>
          <w:lang w:val="nb-NO"/>
        </w:rPr>
        <w:t>For 162 mg dose annenhver uke var antatt gjennomsnittlig (± SD) steady-state AUC</w:t>
      </w:r>
      <w:r w:rsidRPr="00A942F6">
        <w:rPr>
          <w:vertAlign w:val="subscript"/>
          <w:lang w:val="nb-NO"/>
        </w:rPr>
        <w:t>uke 2</w:t>
      </w:r>
      <w:r w:rsidRPr="00A942F6">
        <w:rPr>
          <w:lang w:val="nb-NO"/>
        </w:rPr>
        <w:t>,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for </w:t>
      </w:r>
      <w:r w:rsidR="00A17AD0" w:rsidRPr="00A942F6">
        <w:rPr>
          <w:lang w:val="nb-NO"/>
        </w:rPr>
        <w:t>tocilizumab</w:t>
      </w:r>
      <w:r w:rsidRPr="00A942F6">
        <w:rPr>
          <w:lang w:val="nb-NO"/>
        </w:rPr>
        <w:t xml:space="preserve"> henholdsvis 3430 ± 2660 mikrogram•time/ml, 5,7 ± 6,8 mikrogram/ml, og</w:t>
      </w:r>
      <w:r w:rsidR="002B7608" w:rsidRPr="00A942F6">
        <w:rPr>
          <w:lang w:val="nb-NO"/>
        </w:rPr>
        <w:t xml:space="preserve"> </w:t>
      </w:r>
      <w:r w:rsidRPr="00A942F6">
        <w:rPr>
          <w:lang w:val="nb-NO"/>
        </w:rPr>
        <w:t>13,2</w:t>
      </w:r>
      <w:r w:rsidR="002B7608" w:rsidRPr="00A942F6">
        <w:rPr>
          <w:lang w:val="nb-NO"/>
        </w:rPr>
        <w:t> </w:t>
      </w:r>
      <w:r w:rsidRPr="00A942F6">
        <w:rPr>
          <w:lang w:val="nb-NO"/>
        </w:rPr>
        <w:t>± 8,8</w:t>
      </w:r>
      <w:r w:rsidR="002E140C">
        <w:rPr>
          <w:lang w:val="nb-NO"/>
        </w:rPr>
        <w:t> </w:t>
      </w:r>
      <w:r w:rsidRPr="00A942F6">
        <w:rPr>
          <w:lang w:val="nb-NO"/>
        </w:rPr>
        <w:t>mikrogram/ml. Akkumulasjonsratio for AUC, C</w:t>
      </w:r>
      <w:r w:rsidRPr="00A942F6">
        <w:rPr>
          <w:vertAlign w:val="subscript"/>
          <w:lang w:val="nb-NO"/>
        </w:rPr>
        <w:t>min</w:t>
      </w:r>
      <w:r w:rsidRPr="00A942F6">
        <w:rPr>
          <w:lang w:val="nb-NO"/>
        </w:rPr>
        <w:t>, og C</w:t>
      </w:r>
      <w:r w:rsidR="00F36EEE" w:rsidRPr="00A942F6">
        <w:rPr>
          <w:rFonts w:cs="Times New Roman"/>
          <w:vertAlign w:val="subscript"/>
          <w:lang w:val="nb-NO"/>
        </w:rPr>
        <w:t xml:space="preserve">max </w:t>
      </w:r>
      <w:r w:rsidRPr="00A942F6">
        <w:rPr>
          <w:lang w:val="nb-NO"/>
        </w:rPr>
        <w:t>var henholdsvis 2,67, 6,02, og 2,12. Steady-state ble nådd etter 12 uker for AUC og C</w:t>
      </w:r>
      <w:r w:rsidRPr="00A942F6">
        <w:rPr>
          <w:vertAlign w:val="subscript"/>
          <w:lang w:val="nb-NO"/>
        </w:rPr>
        <w:t>min</w:t>
      </w:r>
      <w:r w:rsidRPr="00A942F6">
        <w:rPr>
          <w:lang w:val="nb-NO"/>
        </w:rPr>
        <w:t>, og etter 10 uker for C</w:t>
      </w:r>
      <w:r w:rsidRPr="00A942F6">
        <w:rPr>
          <w:vertAlign w:val="subscript"/>
          <w:lang w:val="nb-NO"/>
        </w:rPr>
        <w:t>max</w:t>
      </w:r>
      <w:r w:rsidRPr="00A942F6">
        <w:rPr>
          <w:lang w:val="nb-NO"/>
        </w:rPr>
        <w:t>.</w:t>
      </w:r>
    </w:p>
    <w:p w14:paraId="0A32BDA1" w14:textId="77777777" w:rsidR="002B7608" w:rsidRPr="00A942F6" w:rsidRDefault="002B7608" w:rsidP="00641834">
      <w:pPr>
        <w:rPr>
          <w:lang w:val="nb-NO"/>
        </w:rPr>
      </w:pPr>
    </w:p>
    <w:p w14:paraId="57A174DF" w14:textId="77777777" w:rsidR="005A42A2" w:rsidRPr="00A942F6" w:rsidRDefault="005A42A2" w:rsidP="00641834">
      <w:pPr>
        <w:pStyle w:val="Style1underline"/>
        <w:rPr>
          <w:lang w:val="nb-NO"/>
        </w:rPr>
      </w:pPr>
      <w:r w:rsidRPr="00A942F6">
        <w:rPr>
          <w:lang w:val="nb-NO"/>
        </w:rPr>
        <w:t>Absorpsjon</w:t>
      </w:r>
    </w:p>
    <w:p w14:paraId="680D6F5E" w14:textId="5E931539" w:rsidR="005A42A2" w:rsidRPr="00A942F6" w:rsidRDefault="005A42A2" w:rsidP="00641834">
      <w:pPr>
        <w:rPr>
          <w:lang w:val="nb-NO"/>
        </w:rPr>
      </w:pPr>
      <w:r w:rsidRPr="00A942F6">
        <w:rPr>
          <w:lang w:val="nb-NO"/>
        </w:rPr>
        <w:t xml:space="preserve">Etter subkutan dosering i RA-pasienter var tid til maksimal serumkonsentrasjon av </w:t>
      </w:r>
      <w:r w:rsidR="00A17AD0" w:rsidRPr="00A942F6">
        <w:rPr>
          <w:lang w:val="nb-NO"/>
        </w:rPr>
        <w:t>tocilizumab</w:t>
      </w:r>
      <w:r w:rsidRPr="00A942F6">
        <w:rPr>
          <w:lang w:val="nb-NO"/>
        </w:rPr>
        <w:t>, t</w:t>
      </w:r>
      <w:r w:rsidRPr="00A942F6">
        <w:rPr>
          <w:vertAlign w:val="subscript"/>
          <w:lang w:val="nb-NO"/>
        </w:rPr>
        <w:t>max</w:t>
      </w:r>
      <w:r w:rsidRPr="00A942F6">
        <w:rPr>
          <w:lang w:val="nb-NO"/>
        </w:rPr>
        <w:t>, 2,8 dager. Biotilgjengelighet for subkutan formulering var 79 %.</w:t>
      </w:r>
    </w:p>
    <w:p w14:paraId="6676599D" w14:textId="77777777" w:rsidR="005A42A2" w:rsidRPr="00A942F6" w:rsidRDefault="005A42A2" w:rsidP="00641834">
      <w:pPr>
        <w:rPr>
          <w:lang w:val="nb-NO"/>
        </w:rPr>
      </w:pPr>
    </w:p>
    <w:p w14:paraId="6558CE86" w14:textId="77777777" w:rsidR="005A42A2" w:rsidRPr="00A942F6" w:rsidRDefault="005A42A2" w:rsidP="00641834">
      <w:pPr>
        <w:pStyle w:val="Style1underline"/>
        <w:rPr>
          <w:lang w:val="nb-NO"/>
        </w:rPr>
      </w:pPr>
      <w:r w:rsidRPr="00A942F6">
        <w:rPr>
          <w:lang w:val="nb-NO"/>
        </w:rPr>
        <w:t>Eliminasjon</w:t>
      </w:r>
    </w:p>
    <w:p w14:paraId="1AF7D980" w14:textId="2638AD7A" w:rsidR="005A42A2" w:rsidRPr="00A942F6" w:rsidRDefault="005A42A2" w:rsidP="00641834">
      <w:pPr>
        <w:rPr>
          <w:lang w:val="nb-NO"/>
        </w:rPr>
      </w:pPr>
      <w:r w:rsidRPr="00A942F6">
        <w:rPr>
          <w:lang w:val="nb-NO"/>
        </w:rPr>
        <w:t>For subkutan administrasjon er effektiv t</w:t>
      </w:r>
      <w:r w:rsidR="002D2136" w:rsidRPr="00A942F6">
        <w:rPr>
          <w:vertAlign w:val="subscript"/>
          <w:lang w:val="nb-NO"/>
        </w:rPr>
        <w:t>1/2</w:t>
      </w:r>
      <w:r w:rsidRPr="00A942F6">
        <w:rPr>
          <w:lang w:val="nb-NO"/>
        </w:rPr>
        <w:t xml:space="preserve"> på opp til 13 dager for 162 mg hver uke og 5 dager for 162</w:t>
      </w:r>
      <w:r w:rsidR="002E140C">
        <w:rPr>
          <w:lang w:val="nb-NO"/>
        </w:rPr>
        <w:t> </w:t>
      </w:r>
      <w:r w:rsidRPr="00A942F6">
        <w:rPr>
          <w:lang w:val="nb-NO"/>
        </w:rPr>
        <w:t>mg annenhver uke, hos pasienter med RA ved steady-state.</w:t>
      </w:r>
    </w:p>
    <w:p w14:paraId="315FCFC7" w14:textId="77777777" w:rsidR="005A42A2" w:rsidRPr="00A942F6" w:rsidRDefault="005A42A2" w:rsidP="00641834">
      <w:pPr>
        <w:rPr>
          <w:lang w:val="nb-NO"/>
        </w:rPr>
      </w:pPr>
    </w:p>
    <w:p w14:paraId="43B2DBAF" w14:textId="77777777" w:rsidR="005A42A2" w:rsidRPr="00A942F6" w:rsidRDefault="005A42A2" w:rsidP="00641834">
      <w:pPr>
        <w:pStyle w:val="Style1underline"/>
        <w:rPr>
          <w:lang w:val="nb-NO"/>
        </w:rPr>
      </w:pPr>
      <w:r w:rsidRPr="00A942F6">
        <w:rPr>
          <w:lang w:val="nb-NO"/>
        </w:rPr>
        <w:t>sJIA</w:t>
      </w:r>
    </w:p>
    <w:p w14:paraId="3FA2B2F9" w14:textId="77777777" w:rsidR="005A42A2" w:rsidRPr="00A942F6" w:rsidRDefault="005A42A2" w:rsidP="00641834">
      <w:pPr>
        <w:pStyle w:val="Style1underline"/>
        <w:rPr>
          <w:lang w:val="nb-NO"/>
        </w:rPr>
      </w:pPr>
      <w:r w:rsidRPr="00A942F6">
        <w:rPr>
          <w:lang w:val="nb-NO"/>
        </w:rPr>
        <w:t>Subkutan bruk</w:t>
      </w:r>
    </w:p>
    <w:p w14:paraId="5FB8D199" w14:textId="4BA21AFA" w:rsidR="005A42A2" w:rsidRPr="00A942F6" w:rsidRDefault="005A42A2" w:rsidP="00641834">
      <w:pPr>
        <w:rPr>
          <w:lang w:val="nb-NO"/>
        </w:rPr>
      </w:pPr>
      <w:r w:rsidRPr="00A942F6">
        <w:rPr>
          <w:lang w:val="nb-NO"/>
        </w:rPr>
        <w:t xml:space="preserve">Farmakokinetikken til </w:t>
      </w:r>
      <w:r w:rsidR="00A17AD0" w:rsidRPr="00A942F6">
        <w:rPr>
          <w:lang w:val="nb-NO"/>
        </w:rPr>
        <w:t>tocilizumab</w:t>
      </w:r>
      <w:r w:rsidRPr="00A942F6">
        <w:rPr>
          <w:lang w:val="nb-NO"/>
        </w:rPr>
        <w:t xml:space="preserve"> hos sJIA-pasienter ble beskrevet ved en farmakokinetisk populasjonsanalyse som inkluderte 140 pasienter som ble behandlet med 8 mg/kg intravenøst annenhver uke (pasienter som veide </w:t>
      </w:r>
      <w:r w:rsidRPr="00A942F6">
        <w:rPr>
          <w:rFonts w:cs="Times New Roman"/>
          <w:lang w:val="nb-NO"/>
        </w:rPr>
        <w:t>≥</w:t>
      </w:r>
      <w:r w:rsidRPr="00A942F6">
        <w:rPr>
          <w:lang w:val="nb-NO"/>
        </w:rPr>
        <w:t xml:space="preserve"> 30 kg), 12 mg/kg intravenøst annenhver uke (pasienter som veide under 30 kg), 162 mg subkutant hver uke (pasienter som veide </w:t>
      </w:r>
      <w:r w:rsidRPr="00A942F6">
        <w:rPr>
          <w:rFonts w:cs="Times New Roman"/>
          <w:lang w:val="nb-NO"/>
        </w:rPr>
        <w:t>≥</w:t>
      </w:r>
      <w:r w:rsidRPr="00A942F6">
        <w:rPr>
          <w:lang w:val="nb-NO"/>
        </w:rPr>
        <w:t xml:space="preserve"> 30 kg) eller 162</w:t>
      </w:r>
      <w:r w:rsidR="00394415">
        <w:rPr>
          <w:lang w:val="nb-NO"/>
        </w:rPr>
        <w:t> </w:t>
      </w:r>
      <w:r w:rsidRPr="00A942F6">
        <w:rPr>
          <w:lang w:val="nb-NO"/>
        </w:rPr>
        <w:t>mg subkutant hver 10. dag eller annenhver uke (pasienter som veide under 30 kg).</w:t>
      </w:r>
    </w:p>
    <w:p w14:paraId="504DBDF0" w14:textId="77777777" w:rsidR="002B7608" w:rsidRPr="00A942F6" w:rsidRDefault="002B7608" w:rsidP="00641834">
      <w:pPr>
        <w:rPr>
          <w:lang w:val="nb-NO"/>
        </w:rPr>
      </w:pPr>
    </w:p>
    <w:p w14:paraId="517C747B" w14:textId="24F1B88C" w:rsidR="005A42A2" w:rsidRPr="00A942F6" w:rsidRDefault="005A42A2" w:rsidP="00641834">
      <w:pPr>
        <w:rPr>
          <w:lang w:val="nb-NO"/>
        </w:rPr>
      </w:pPr>
      <w:r w:rsidRPr="00A942F6">
        <w:rPr>
          <w:lang w:val="nb-NO"/>
        </w:rPr>
        <w:t xml:space="preserve">Det er begrensede data vedrørende eksponering etter subkutan administrering av </w:t>
      </w:r>
      <w:r w:rsidR="00A17AD0" w:rsidRPr="00A942F6">
        <w:rPr>
          <w:lang w:val="nb-NO"/>
        </w:rPr>
        <w:t>tocilizumab</w:t>
      </w:r>
      <w:r w:rsidRPr="00A942F6">
        <w:rPr>
          <w:lang w:val="nb-NO"/>
        </w:rPr>
        <w:t xml:space="preserve"> hos sJIA- pasienter under 2 år med en kroppsvekt under 10 kg.</w:t>
      </w:r>
    </w:p>
    <w:p w14:paraId="2E8D79C9" w14:textId="68419086" w:rsidR="005A42A2" w:rsidRPr="00A942F6" w:rsidRDefault="005A42A2" w:rsidP="00641834">
      <w:pPr>
        <w:rPr>
          <w:lang w:val="nb-NO"/>
        </w:rPr>
      </w:pPr>
      <w:r w:rsidRPr="00A942F6">
        <w:rPr>
          <w:lang w:val="nb-NO"/>
        </w:rPr>
        <w:t xml:space="preserve">Pasienter med sJIA må ha en kroppsvekt på minimum 10 kg når de får </w:t>
      </w:r>
      <w:r w:rsidR="00A17AD0" w:rsidRPr="00A942F6">
        <w:rPr>
          <w:lang w:val="nb-NO"/>
        </w:rPr>
        <w:t>tocilizumab</w:t>
      </w:r>
      <w:r w:rsidRPr="00A942F6">
        <w:rPr>
          <w:lang w:val="nb-NO"/>
        </w:rPr>
        <w:t xml:space="preserve"> subkutant (se pkt.</w:t>
      </w:r>
      <w:r w:rsidR="002B7608" w:rsidRPr="00A942F6">
        <w:rPr>
          <w:lang w:val="nb-NO"/>
        </w:rPr>
        <w:t> </w:t>
      </w:r>
      <w:r w:rsidRPr="00A942F6">
        <w:rPr>
          <w:lang w:val="nb-NO"/>
        </w:rPr>
        <w:t>4.2).</w:t>
      </w:r>
    </w:p>
    <w:p w14:paraId="0485EB77" w14:textId="77777777" w:rsidR="00426296" w:rsidRPr="00A942F6" w:rsidRDefault="00426296" w:rsidP="00641834">
      <w:pPr>
        <w:rPr>
          <w:lang w:val="nb-NO"/>
        </w:rPr>
      </w:pPr>
    </w:p>
    <w:p w14:paraId="20A6E6BC" w14:textId="77777777" w:rsidR="005A42A2" w:rsidRPr="00A942F6" w:rsidRDefault="005A42A2" w:rsidP="00641834">
      <w:pPr>
        <w:pStyle w:val="Style1Iitaic"/>
        <w:rPr>
          <w:lang w:val="nb-NO"/>
        </w:rPr>
      </w:pPr>
      <w:r w:rsidRPr="00A942F6">
        <w:rPr>
          <w:lang w:val="nb-NO"/>
        </w:rPr>
        <w:t>Tabell 8. Forventet gjennomsnitt ± SD farmakokinetiske parametere ved steady-state etter subkutan dosering ved sJIA</w:t>
      </w:r>
    </w:p>
    <w:p w14:paraId="3DEE7E1C" w14:textId="77777777" w:rsidR="005A42A2" w:rsidRPr="00A942F6" w:rsidRDefault="005A42A2" w:rsidP="00641834">
      <w:pPr>
        <w:rPr>
          <w:lang w:val="nb-NO"/>
        </w:rPr>
      </w:pP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273"/>
        <w:gridCol w:w="2976"/>
      </w:tblGrid>
      <w:tr w:rsidR="005A42A2" w:rsidRPr="00B477E5" w14:paraId="781DD5F4" w14:textId="77777777" w:rsidTr="0099284D">
        <w:trPr>
          <w:cantSplit/>
          <w:trHeight w:val="20"/>
          <w:tblHeader/>
        </w:trPr>
        <w:tc>
          <w:tcPr>
            <w:tcW w:w="3539" w:type="dxa"/>
          </w:tcPr>
          <w:p w14:paraId="0168BA6A" w14:textId="36525154" w:rsidR="005A42A2" w:rsidRPr="00A942F6" w:rsidRDefault="00A17AD0" w:rsidP="00641834">
            <w:pPr>
              <w:pStyle w:val="TableParagraph"/>
              <w:rPr>
                <w:b/>
                <w:sz w:val="20"/>
                <w:szCs w:val="20"/>
                <w:lang w:val="nb-NO"/>
              </w:rPr>
            </w:pPr>
            <w:r w:rsidRPr="00A942F6">
              <w:rPr>
                <w:b/>
                <w:sz w:val="20"/>
                <w:szCs w:val="20"/>
                <w:lang w:val="nb-NO"/>
              </w:rPr>
              <w:t>Tocilizumab</w:t>
            </w:r>
            <w:r w:rsidR="005A42A2" w:rsidRPr="00A942F6">
              <w:rPr>
                <w:b/>
                <w:sz w:val="20"/>
                <w:szCs w:val="20"/>
                <w:lang w:val="nb-NO"/>
              </w:rPr>
              <w:t xml:space="preserve"> farmakokinetisk</w:t>
            </w:r>
          </w:p>
          <w:p w14:paraId="29C41780" w14:textId="77777777" w:rsidR="005A42A2" w:rsidRPr="00A942F6" w:rsidRDefault="005A42A2" w:rsidP="00641834">
            <w:pPr>
              <w:pStyle w:val="TableParagraph"/>
              <w:rPr>
                <w:b/>
                <w:sz w:val="20"/>
                <w:szCs w:val="20"/>
                <w:lang w:val="nb-NO"/>
              </w:rPr>
            </w:pPr>
            <w:r w:rsidRPr="00A942F6">
              <w:rPr>
                <w:b/>
                <w:sz w:val="20"/>
                <w:szCs w:val="20"/>
                <w:lang w:val="nb-NO"/>
              </w:rPr>
              <w:t>parameter</w:t>
            </w:r>
          </w:p>
        </w:tc>
        <w:tc>
          <w:tcPr>
            <w:tcW w:w="2273" w:type="dxa"/>
          </w:tcPr>
          <w:p w14:paraId="62C65CAB" w14:textId="77777777" w:rsidR="005A42A2" w:rsidRPr="00A942F6" w:rsidRDefault="005A42A2" w:rsidP="00641834">
            <w:pPr>
              <w:pStyle w:val="TableParagraph"/>
              <w:jc w:val="center"/>
              <w:rPr>
                <w:b/>
                <w:sz w:val="20"/>
                <w:szCs w:val="20"/>
                <w:lang w:val="nb-NO"/>
              </w:rPr>
            </w:pPr>
            <w:r w:rsidRPr="00A942F6">
              <w:rPr>
                <w:b/>
                <w:sz w:val="20"/>
                <w:szCs w:val="20"/>
                <w:lang w:val="nb-NO"/>
              </w:rPr>
              <w:t>162 mg hver uke,</w:t>
            </w:r>
          </w:p>
          <w:p w14:paraId="6EDE0949" w14:textId="77777777" w:rsidR="005A42A2" w:rsidRPr="00A942F6" w:rsidRDefault="005A42A2" w:rsidP="00641834">
            <w:pPr>
              <w:pStyle w:val="TableParagraph"/>
              <w:jc w:val="center"/>
              <w:rPr>
                <w:b/>
                <w:sz w:val="20"/>
                <w:szCs w:val="20"/>
                <w:lang w:val="nb-NO"/>
              </w:rPr>
            </w:pPr>
            <w:r w:rsidRPr="00A942F6">
              <w:rPr>
                <w:b/>
                <w:sz w:val="20"/>
                <w:szCs w:val="20"/>
                <w:lang w:val="nb-NO"/>
              </w:rPr>
              <w:t>≥ 30 kg</w:t>
            </w:r>
          </w:p>
        </w:tc>
        <w:tc>
          <w:tcPr>
            <w:tcW w:w="2976" w:type="dxa"/>
          </w:tcPr>
          <w:p w14:paraId="57173319" w14:textId="77777777" w:rsidR="005A42A2" w:rsidRPr="00A942F6" w:rsidRDefault="005A42A2" w:rsidP="00641834">
            <w:pPr>
              <w:pStyle w:val="TableParagraph"/>
              <w:jc w:val="center"/>
              <w:rPr>
                <w:b/>
                <w:sz w:val="20"/>
                <w:szCs w:val="20"/>
                <w:lang w:val="nb-NO"/>
              </w:rPr>
            </w:pPr>
            <w:r w:rsidRPr="00A942F6">
              <w:rPr>
                <w:b/>
                <w:sz w:val="20"/>
                <w:szCs w:val="20"/>
                <w:lang w:val="nb-NO"/>
              </w:rPr>
              <w:t>162 mg annenhver uke,</w:t>
            </w:r>
          </w:p>
          <w:p w14:paraId="30103068" w14:textId="77777777" w:rsidR="005A42A2" w:rsidRPr="00A942F6" w:rsidRDefault="005A42A2" w:rsidP="00641834">
            <w:pPr>
              <w:pStyle w:val="TableParagraph"/>
              <w:jc w:val="center"/>
              <w:rPr>
                <w:b/>
                <w:sz w:val="20"/>
                <w:szCs w:val="20"/>
                <w:lang w:val="nb-NO"/>
              </w:rPr>
            </w:pPr>
            <w:r w:rsidRPr="00A942F6">
              <w:rPr>
                <w:b/>
                <w:sz w:val="20"/>
                <w:szCs w:val="20"/>
                <w:lang w:val="nb-NO"/>
              </w:rPr>
              <w:t>under 30 kg</w:t>
            </w:r>
          </w:p>
        </w:tc>
      </w:tr>
      <w:tr w:rsidR="005A42A2" w:rsidRPr="00A942F6" w14:paraId="784ABBCB" w14:textId="77777777" w:rsidTr="0099284D">
        <w:trPr>
          <w:cantSplit/>
          <w:trHeight w:val="20"/>
        </w:trPr>
        <w:tc>
          <w:tcPr>
            <w:tcW w:w="3539" w:type="dxa"/>
          </w:tcPr>
          <w:p w14:paraId="2BA5D91E"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maks</w:t>
            </w:r>
            <w:r w:rsidRPr="00A942F6">
              <w:rPr>
                <w:sz w:val="20"/>
                <w:szCs w:val="20"/>
                <w:lang w:val="nb-NO"/>
              </w:rPr>
              <w:t xml:space="preserve"> </w:t>
            </w:r>
            <w:r w:rsidRPr="00A942F6">
              <w:rPr>
                <w:position w:val="2"/>
                <w:sz w:val="20"/>
                <w:szCs w:val="20"/>
                <w:lang w:val="nb-NO"/>
              </w:rPr>
              <w:t>(mikrog/ml)</w:t>
            </w:r>
          </w:p>
        </w:tc>
        <w:tc>
          <w:tcPr>
            <w:tcW w:w="2273" w:type="dxa"/>
          </w:tcPr>
          <w:p w14:paraId="148727E5" w14:textId="77777777" w:rsidR="005A42A2" w:rsidRPr="00A942F6" w:rsidRDefault="005A42A2" w:rsidP="00641834">
            <w:pPr>
              <w:pStyle w:val="TableParagraph"/>
              <w:jc w:val="center"/>
              <w:rPr>
                <w:sz w:val="20"/>
                <w:szCs w:val="20"/>
                <w:lang w:val="nb-NO"/>
              </w:rPr>
            </w:pPr>
            <w:r w:rsidRPr="00A942F6">
              <w:rPr>
                <w:sz w:val="20"/>
                <w:szCs w:val="20"/>
                <w:lang w:val="nb-NO"/>
              </w:rPr>
              <w:t>99,8 ± 46,2</w:t>
            </w:r>
          </w:p>
        </w:tc>
        <w:tc>
          <w:tcPr>
            <w:tcW w:w="2976" w:type="dxa"/>
          </w:tcPr>
          <w:p w14:paraId="2012476C" w14:textId="77777777" w:rsidR="005A42A2" w:rsidRPr="00A942F6" w:rsidRDefault="005A42A2" w:rsidP="00641834">
            <w:pPr>
              <w:pStyle w:val="TableParagraph"/>
              <w:jc w:val="center"/>
              <w:rPr>
                <w:sz w:val="20"/>
                <w:szCs w:val="20"/>
                <w:lang w:val="nb-NO"/>
              </w:rPr>
            </w:pPr>
            <w:r w:rsidRPr="00A942F6">
              <w:rPr>
                <w:sz w:val="20"/>
                <w:szCs w:val="20"/>
                <w:lang w:val="nb-NO"/>
              </w:rPr>
              <w:t>134 ± 58,6</w:t>
            </w:r>
          </w:p>
        </w:tc>
      </w:tr>
      <w:tr w:rsidR="005A42A2" w:rsidRPr="00A942F6" w14:paraId="3D9B5770" w14:textId="77777777" w:rsidTr="0099284D">
        <w:trPr>
          <w:cantSplit/>
          <w:trHeight w:val="20"/>
        </w:trPr>
        <w:tc>
          <w:tcPr>
            <w:tcW w:w="3539" w:type="dxa"/>
          </w:tcPr>
          <w:p w14:paraId="66135879"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273" w:type="dxa"/>
          </w:tcPr>
          <w:p w14:paraId="0F36125F" w14:textId="77777777" w:rsidR="005A42A2" w:rsidRPr="00A942F6" w:rsidRDefault="005A42A2" w:rsidP="00641834">
            <w:pPr>
              <w:pStyle w:val="TableParagraph"/>
              <w:jc w:val="center"/>
              <w:rPr>
                <w:sz w:val="20"/>
                <w:szCs w:val="20"/>
                <w:lang w:val="nb-NO"/>
              </w:rPr>
            </w:pPr>
            <w:r w:rsidRPr="00A942F6">
              <w:rPr>
                <w:sz w:val="20"/>
                <w:szCs w:val="20"/>
                <w:lang w:val="nb-NO"/>
              </w:rPr>
              <w:t>79,2 ± 35,6</w:t>
            </w:r>
          </w:p>
        </w:tc>
        <w:tc>
          <w:tcPr>
            <w:tcW w:w="2976" w:type="dxa"/>
          </w:tcPr>
          <w:p w14:paraId="286B7605" w14:textId="77777777" w:rsidR="005A42A2" w:rsidRPr="00A942F6" w:rsidRDefault="005A42A2" w:rsidP="00641834">
            <w:pPr>
              <w:pStyle w:val="TableParagraph"/>
              <w:jc w:val="center"/>
              <w:rPr>
                <w:sz w:val="20"/>
                <w:szCs w:val="20"/>
                <w:lang w:val="nb-NO"/>
              </w:rPr>
            </w:pPr>
            <w:r w:rsidRPr="00A942F6">
              <w:rPr>
                <w:sz w:val="20"/>
                <w:szCs w:val="20"/>
                <w:lang w:val="nb-NO"/>
              </w:rPr>
              <w:t>65,9 ± 31,3</w:t>
            </w:r>
          </w:p>
        </w:tc>
      </w:tr>
      <w:tr w:rsidR="005A42A2" w:rsidRPr="00A942F6" w14:paraId="603BD62F" w14:textId="77777777" w:rsidTr="0099284D">
        <w:trPr>
          <w:cantSplit/>
          <w:trHeight w:val="20"/>
        </w:trPr>
        <w:tc>
          <w:tcPr>
            <w:tcW w:w="3539" w:type="dxa"/>
          </w:tcPr>
          <w:p w14:paraId="0B763151"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273" w:type="dxa"/>
          </w:tcPr>
          <w:p w14:paraId="504EAACB" w14:textId="77777777" w:rsidR="005A42A2" w:rsidRPr="00A942F6" w:rsidRDefault="005A42A2" w:rsidP="00641834">
            <w:pPr>
              <w:pStyle w:val="TableParagraph"/>
              <w:jc w:val="center"/>
              <w:rPr>
                <w:sz w:val="20"/>
                <w:szCs w:val="20"/>
                <w:lang w:val="nb-NO"/>
              </w:rPr>
            </w:pPr>
            <w:r w:rsidRPr="00A942F6">
              <w:rPr>
                <w:sz w:val="20"/>
                <w:szCs w:val="20"/>
                <w:lang w:val="nb-NO"/>
              </w:rPr>
              <w:t>91,3 ± 40,4</w:t>
            </w:r>
          </w:p>
        </w:tc>
        <w:tc>
          <w:tcPr>
            <w:tcW w:w="2976" w:type="dxa"/>
          </w:tcPr>
          <w:p w14:paraId="74FB1AB0" w14:textId="77777777" w:rsidR="005A42A2" w:rsidRPr="00A942F6" w:rsidRDefault="005A42A2" w:rsidP="00641834">
            <w:pPr>
              <w:pStyle w:val="TableParagraph"/>
              <w:jc w:val="center"/>
              <w:rPr>
                <w:sz w:val="20"/>
                <w:szCs w:val="20"/>
                <w:lang w:val="nb-NO"/>
              </w:rPr>
            </w:pPr>
            <w:r w:rsidRPr="00A942F6">
              <w:rPr>
                <w:sz w:val="20"/>
                <w:szCs w:val="20"/>
                <w:lang w:val="nb-NO"/>
              </w:rPr>
              <w:t>101 ± 43,2</w:t>
            </w:r>
          </w:p>
        </w:tc>
      </w:tr>
      <w:tr w:rsidR="005A42A2" w:rsidRPr="00A942F6" w14:paraId="62711837" w14:textId="77777777" w:rsidTr="0099284D">
        <w:trPr>
          <w:cantSplit/>
          <w:trHeight w:val="20"/>
        </w:trPr>
        <w:tc>
          <w:tcPr>
            <w:tcW w:w="3539" w:type="dxa"/>
          </w:tcPr>
          <w:p w14:paraId="7294B9D7"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maks</w:t>
            </w:r>
          </w:p>
        </w:tc>
        <w:tc>
          <w:tcPr>
            <w:tcW w:w="2273" w:type="dxa"/>
          </w:tcPr>
          <w:p w14:paraId="4EAA551B" w14:textId="77777777" w:rsidR="005A42A2" w:rsidRPr="00A942F6" w:rsidRDefault="005A42A2" w:rsidP="00641834">
            <w:pPr>
              <w:pStyle w:val="TableParagraph"/>
              <w:jc w:val="center"/>
              <w:rPr>
                <w:sz w:val="20"/>
                <w:szCs w:val="20"/>
                <w:lang w:val="nb-NO"/>
              </w:rPr>
            </w:pPr>
            <w:r w:rsidRPr="00A942F6">
              <w:rPr>
                <w:sz w:val="20"/>
                <w:szCs w:val="20"/>
                <w:lang w:val="nb-NO"/>
              </w:rPr>
              <w:t>3,66</w:t>
            </w:r>
          </w:p>
        </w:tc>
        <w:tc>
          <w:tcPr>
            <w:tcW w:w="2976" w:type="dxa"/>
          </w:tcPr>
          <w:p w14:paraId="778FCB24" w14:textId="77777777" w:rsidR="005A42A2" w:rsidRPr="00A942F6" w:rsidRDefault="005A42A2" w:rsidP="00641834">
            <w:pPr>
              <w:pStyle w:val="TableParagraph"/>
              <w:jc w:val="center"/>
              <w:rPr>
                <w:sz w:val="20"/>
                <w:szCs w:val="20"/>
                <w:lang w:val="nb-NO"/>
              </w:rPr>
            </w:pPr>
            <w:r w:rsidRPr="00A942F6">
              <w:rPr>
                <w:sz w:val="20"/>
                <w:szCs w:val="20"/>
                <w:lang w:val="nb-NO"/>
              </w:rPr>
              <w:t>1,88</w:t>
            </w:r>
          </w:p>
        </w:tc>
      </w:tr>
      <w:tr w:rsidR="005A42A2" w:rsidRPr="00A942F6" w14:paraId="4CBD137A" w14:textId="77777777" w:rsidTr="0099284D">
        <w:trPr>
          <w:cantSplit/>
          <w:trHeight w:val="20"/>
        </w:trPr>
        <w:tc>
          <w:tcPr>
            <w:tcW w:w="3539" w:type="dxa"/>
          </w:tcPr>
          <w:p w14:paraId="27BAE4CD"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273" w:type="dxa"/>
          </w:tcPr>
          <w:p w14:paraId="47E858C0" w14:textId="77777777" w:rsidR="005A42A2" w:rsidRPr="00A942F6" w:rsidRDefault="005A42A2" w:rsidP="00641834">
            <w:pPr>
              <w:pStyle w:val="TableParagraph"/>
              <w:jc w:val="center"/>
              <w:rPr>
                <w:sz w:val="20"/>
                <w:szCs w:val="20"/>
                <w:lang w:val="nb-NO"/>
              </w:rPr>
            </w:pPr>
            <w:r w:rsidRPr="00A942F6">
              <w:rPr>
                <w:sz w:val="20"/>
                <w:szCs w:val="20"/>
                <w:lang w:val="nb-NO"/>
              </w:rPr>
              <w:t>4,39</w:t>
            </w:r>
          </w:p>
        </w:tc>
        <w:tc>
          <w:tcPr>
            <w:tcW w:w="2976" w:type="dxa"/>
          </w:tcPr>
          <w:p w14:paraId="37A19425" w14:textId="77777777" w:rsidR="005A42A2" w:rsidRPr="00A942F6" w:rsidRDefault="005A42A2" w:rsidP="00641834">
            <w:pPr>
              <w:pStyle w:val="TableParagraph"/>
              <w:jc w:val="center"/>
              <w:rPr>
                <w:sz w:val="20"/>
                <w:szCs w:val="20"/>
                <w:lang w:val="nb-NO"/>
              </w:rPr>
            </w:pPr>
            <w:r w:rsidRPr="00A942F6">
              <w:rPr>
                <w:sz w:val="20"/>
                <w:szCs w:val="20"/>
                <w:lang w:val="nb-NO"/>
              </w:rPr>
              <w:t>3,21</w:t>
            </w:r>
          </w:p>
        </w:tc>
      </w:tr>
      <w:tr w:rsidR="005A42A2" w:rsidRPr="00A942F6" w14:paraId="668A2A19" w14:textId="77777777" w:rsidTr="0099284D">
        <w:trPr>
          <w:cantSplit/>
          <w:trHeight w:val="20"/>
        </w:trPr>
        <w:tc>
          <w:tcPr>
            <w:tcW w:w="3539" w:type="dxa"/>
          </w:tcPr>
          <w:p w14:paraId="0CA10677"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position w:val="2"/>
                <w:sz w:val="20"/>
                <w:szCs w:val="20"/>
                <w:lang w:val="nb-NO"/>
              </w:rPr>
              <w:t>*</w:t>
            </w:r>
          </w:p>
        </w:tc>
        <w:tc>
          <w:tcPr>
            <w:tcW w:w="2273" w:type="dxa"/>
          </w:tcPr>
          <w:p w14:paraId="1881C03A" w14:textId="77777777" w:rsidR="005A42A2" w:rsidRPr="00A942F6" w:rsidRDefault="005A42A2" w:rsidP="00641834">
            <w:pPr>
              <w:pStyle w:val="TableParagraph"/>
              <w:jc w:val="center"/>
              <w:rPr>
                <w:sz w:val="20"/>
                <w:szCs w:val="20"/>
                <w:lang w:val="nb-NO"/>
              </w:rPr>
            </w:pPr>
            <w:r w:rsidRPr="00A942F6">
              <w:rPr>
                <w:sz w:val="20"/>
                <w:szCs w:val="20"/>
                <w:lang w:val="nb-NO"/>
              </w:rPr>
              <w:t>4,28</w:t>
            </w:r>
          </w:p>
        </w:tc>
        <w:tc>
          <w:tcPr>
            <w:tcW w:w="2976" w:type="dxa"/>
          </w:tcPr>
          <w:p w14:paraId="44B81F00" w14:textId="77777777" w:rsidR="005A42A2" w:rsidRPr="00A942F6" w:rsidRDefault="005A42A2" w:rsidP="00641834">
            <w:pPr>
              <w:pStyle w:val="TableParagraph"/>
              <w:jc w:val="center"/>
              <w:rPr>
                <w:sz w:val="20"/>
                <w:szCs w:val="20"/>
                <w:lang w:val="nb-NO"/>
              </w:rPr>
            </w:pPr>
            <w:r w:rsidRPr="00A942F6">
              <w:rPr>
                <w:sz w:val="20"/>
                <w:szCs w:val="20"/>
                <w:lang w:val="nb-NO"/>
              </w:rPr>
              <w:t>2,27</w:t>
            </w:r>
          </w:p>
        </w:tc>
      </w:tr>
    </w:tbl>
    <w:p w14:paraId="5D7DFEE3" w14:textId="77777777" w:rsidR="005A42A2" w:rsidRPr="00A942F6" w:rsidRDefault="005A42A2" w:rsidP="00641834">
      <w:pPr>
        <w:pStyle w:val="tablenotestar"/>
        <w:rPr>
          <w:lang w:val="nb-NO"/>
        </w:rPr>
      </w:pPr>
      <w:r w:rsidRPr="00A942F6">
        <w:rPr>
          <w:lang w:val="nb-NO"/>
        </w:rPr>
        <w:t>τ = 1 uke eller 2 uker for de to subkutane regimene</w:t>
      </w:r>
    </w:p>
    <w:p w14:paraId="45A82354" w14:textId="77777777" w:rsidR="005A42A2" w:rsidRPr="00A942F6" w:rsidRDefault="005A42A2" w:rsidP="00641834">
      <w:pPr>
        <w:rPr>
          <w:lang w:val="nb-NO"/>
        </w:rPr>
      </w:pPr>
    </w:p>
    <w:p w14:paraId="5E6037B0" w14:textId="47B5D81B" w:rsidR="005A42A2" w:rsidRPr="00A942F6" w:rsidRDefault="005A42A2" w:rsidP="00641834">
      <w:pPr>
        <w:rPr>
          <w:lang w:val="nb-NO"/>
        </w:rPr>
      </w:pPr>
      <w:r w:rsidRPr="00A942F6">
        <w:rPr>
          <w:lang w:val="nb-NO"/>
        </w:rPr>
        <w:lastRenderedPageBreak/>
        <w:t>Etter subkutan dosering ble omtrent 90 % av steady-state nådd innen uke 12 både for regimet med 162</w:t>
      </w:r>
      <w:r w:rsidR="002E140C">
        <w:rPr>
          <w:lang w:val="nb-NO"/>
        </w:rPr>
        <w:t> </w:t>
      </w:r>
      <w:r w:rsidRPr="00A942F6">
        <w:rPr>
          <w:lang w:val="nb-NO"/>
        </w:rPr>
        <w:t>mg subkutant hver uke og annenhver uke.</w:t>
      </w:r>
    </w:p>
    <w:p w14:paraId="2C45438A" w14:textId="77777777" w:rsidR="002B7608" w:rsidRPr="00A942F6" w:rsidRDefault="002B7608" w:rsidP="00641834">
      <w:pPr>
        <w:rPr>
          <w:lang w:val="nb-NO"/>
        </w:rPr>
      </w:pPr>
    </w:p>
    <w:p w14:paraId="783CCE7C" w14:textId="77777777" w:rsidR="005A42A2" w:rsidRPr="00A942F6" w:rsidRDefault="005A42A2" w:rsidP="00641834">
      <w:pPr>
        <w:pStyle w:val="Style1underline"/>
        <w:rPr>
          <w:lang w:val="nb-NO"/>
        </w:rPr>
      </w:pPr>
      <w:r w:rsidRPr="00A942F6">
        <w:rPr>
          <w:lang w:val="nb-NO"/>
        </w:rPr>
        <w:t>Absorpsjon</w:t>
      </w:r>
    </w:p>
    <w:p w14:paraId="4FCA6494" w14:textId="77777777" w:rsidR="005A42A2" w:rsidRPr="00A942F6" w:rsidRDefault="005A42A2" w:rsidP="00641834">
      <w:pPr>
        <w:rPr>
          <w:lang w:val="nb-NO"/>
        </w:rPr>
      </w:pPr>
      <w:r w:rsidRPr="00A942F6">
        <w:rPr>
          <w:lang w:val="nb-NO"/>
        </w:rPr>
        <w:t>Etter subkutan dosering hos sJIA-pasienter var halveringstiden for absorpsjon ca. 2 dager, og biotilgjengeligheten for den subkutane formuleringen hos sJIA-pasienter var 95 %.</w:t>
      </w:r>
    </w:p>
    <w:p w14:paraId="22817395" w14:textId="77777777" w:rsidR="005A42A2" w:rsidRPr="00A942F6" w:rsidRDefault="005A42A2" w:rsidP="00641834">
      <w:pPr>
        <w:rPr>
          <w:lang w:val="nb-NO"/>
        </w:rPr>
      </w:pPr>
    </w:p>
    <w:p w14:paraId="5B3BF198" w14:textId="77777777" w:rsidR="005A42A2" w:rsidRPr="00A942F6" w:rsidRDefault="005A42A2" w:rsidP="00641834">
      <w:pPr>
        <w:pStyle w:val="Style1underline"/>
        <w:rPr>
          <w:lang w:val="nb-NO"/>
        </w:rPr>
      </w:pPr>
      <w:r w:rsidRPr="00A942F6">
        <w:rPr>
          <w:lang w:val="nb-NO"/>
        </w:rPr>
        <w:t>Distribusjon</w:t>
      </w:r>
    </w:p>
    <w:p w14:paraId="25B04596" w14:textId="77777777" w:rsidR="005A42A2" w:rsidRPr="00A942F6" w:rsidRDefault="005A42A2" w:rsidP="00641834">
      <w:pPr>
        <w:rPr>
          <w:lang w:val="nb-NO"/>
        </w:rPr>
      </w:pPr>
      <w:r w:rsidRPr="00A942F6">
        <w:rPr>
          <w:lang w:val="nb-NO"/>
        </w:rPr>
        <w:t>Hos pediatriske pasienter med sJIA var sentralt distribusjonsvolum 1,87 liter. Perifert distribusjonsvolum var 2,14 liter. Distribusjonsvolumet var dermed på 4,01 liter ved steady-state.</w:t>
      </w:r>
    </w:p>
    <w:p w14:paraId="766A5E82" w14:textId="77777777" w:rsidR="005A42A2" w:rsidRPr="00A942F6" w:rsidRDefault="005A42A2" w:rsidP="00641834">
      <w:pPr>
        <w:rPr>
          <w:lang w:val="nb-NO"/>
        </w:rPr>
      </w:pPr>
    </w:p>
    <w:p w14:paraId="69B8AB51" w14:textId="77777777" w:rsidR="005A42A2" w:rsidRPr="00A942F6" w:rsidRDefault="005A42A2" w:rsidP="00641834">
      <w:pPr>
        <w:pStyle w:val="Style1underline"/>
        <w:rPr>
          <w:lang w:val="nb-NO"/>
        </w:rPr>
      </w:pPr>
      <w:r w:rsidRPr="00A942F6">
        <w:rPr>
          <w:lang w:val="nb-NO"/>
        </w:rPr>
        <w:t>Eliminasjon</w:t>
      </w:r>
    </w:p>
    <w:p w14:paraId="6C9139A2" w14:textId="0F06C588" w:rsidR="005A42A2" w:rsidRPr="00A942F6" w:rsidRDefault="005A42A2" w:rsidP="00641834">
      <w:pPr>
        <w:rPr>
          <w:lang w:val="nb-NO"/>
        </w:rPr>
      </w:pPr>
      <w:r w:rsidRPr="00A942F6">
        <w:rPr>
          <w:lang w:val="nb-NO"/>
        </w:rPr>
        <w:t>Total clearance av tocilizumab var konsentrasjonsavhengig. Dette er summen av lineær og ikke-lineær clearance. Lineær clearance ble estimert som en parameter i den farmakokinetiske populasjonsanalysen og var 5,7 ml/time hos pediatriske pasienter med systemisk juvenil idiopatisk artritt. Etter subkutan administrering er effektiv t</w:t>
      </w:r>
      <w:r w:rsidR="002D2136" w:rsidRPr="00A942F6">
        <w:rPr>
          <w:vertAlign w:val="subscript"/>
          <w:lang w:val="nb-NO"/>
        </w:rPr>
        <w:t>1/2</w:t>
      </w:r>
      <w:r w:rsidRPr="00A942F6">
        <w:rPr>
          <w:lang w:val="nb-NO"/>
        </w:rPr>
        <w:t xml:space="preserve"> for </w:t>
      </w:r>
      <w:r w:rsidR="00A17AD0" w:rsidRPr="00A942F6">
        <w:rPr>
          <w:lang w:val="nb-NO"/>
        </w:rPr>
        <w:t>tocilizumab</w:t>
      </w:r>
      <w:r w:rsidRPr="00A942F6">
        <w:rPr>
          <w:lang w:val="nb-NO"/>
        </w:rPr>
        <w:t xml:space="preserve"> hos sJIA-pasienter opptil 14 dager under et doseringsintervall ved steady-state, både for regimet med 162 mg hver uke og annenhver uke.</w:t>
      </w:r>
    </w:p>
    <w:p w14:paraId="1A5CFBAF" w14:textId="77777777" w:rsidR="002B7608" w:rsidRPr="00A942F6" w:rsidRDefault="002B7608" w:rsidP="00641834">
      <w:pPr>
        <w:rPr>
          <w:lang w:val="nb-NO"/>
        </w:rPr>
      </w:pPr>
    </w:p>
    <w:p w14:paraId="7C30178D" w14:textId="77777777" w:rsidR="005A42A2" w:rsidRPr="00A942F6" w:rsidRDefault="005A42A2" w:rsidP="00641834">
      <w:pPr>
        <w:pStyle w:val="Style1underline"/>
        <w:rPr>
          <w:lang w:val="nb-NO"/>
        </w:rPr>
      </w:pPr>
      <w:r w:rsidRPr="00A942F6">
        <w:rPr>
          <w:lang w:val="nb-NO"/>
        </w:rPr>
        <w:t>pJIA</w:t>
      </w:r>
    </w:p>
    <w:p w14:paraId="5C047827" w14:textId="77777777" w:rsidR="005A42A2" w:rsidRPr="00A942F6" w:rsidRDefault="005A42A2" w:rsidP="00641834">
      <w:pPr>
        <w:pStyle w:val="Style1underline"/>
        <w:rPr>
          <w:lang w:val="nb-NO"/>
        </w:rPr>
      </w:pPr>
      <w:r w:rsidRPr="00A942F6">
        <w:rPr>
          <w:lang w:val="nb-NO"/>
        </w:rPr>
        <w:t>Subkutan bruk</w:t>
      </w:r>
    </w:p>
    <w:p w14:paraId="32825ACB" w14:textId="11D4A6DC" w:rsidR="005A42A2" w:rsidRPr="00A942F6" w:rsidRDefault="005A42A2" w:rsidP="00641834">
      <w:pPr>
        <w:rPr>
          <w:lang w:val="nb-NO"/>
        </w:rPr>
      </w:pPr>
      <w:r w:rsidRPr="00A942F6">
        <w:rPr>
          <w:lang w:val="nb-NO"/>
        </w:rPr>
        <w:t xml:space="preserve">Farmakokinetikken til </w:t>
      </w:r>
      <w:r w:rsidR="00A17AD0" w:rsidRPr="00A942F6">
        <w:rPr>
          <w:lang w:val="nb-NO"/>
        </w:rPr>
        <w:t>tocilizumab</w:t>
      </w:r>
      <w:r w:rsidRPr="00A942F6">
        <w:rPr>
          <w:lang w:val="nb-NO"/>
        </w:rPr>
        <w:t xml:space="preserve"> hos pJIA-pasienter ble beskrevet ved en farmakokinetisk populasjonsanalyse som inkluderte 237 pasienter som ble behandlet med 8 mg/kg intravenøst hver fjerde uke (pasienter som veide </w:t>
      </w:r>
      <w:r w:rsidRPr="00A942F6">
        <w:rPr>
          <w:rFonts w:cs="Times New Roman"/>
          <w:lang w:val="nb-NO"/>
        </w:rPr>
        <w:t>≥</w:t>
      </w:r>
      <w:r w:rsidRPr="00A942F6">
        <w:rPr>
          <w:lang w:val="nb-NO"/>
        </w:rPr>
        <w:t xml:space="preserve"> 30 kg), 10 mg/kg intravenøst hver fjerde uke (pasienter som veide under 30 kg), 162 mg subkutant annenhver uke (pasienter som veide </w:t>
      </w:r>
      <w:r w:rsidRPr="00A942F6">
        <w:rPr>
          <w:rFonts w:cs="Times New Roman"/>
          <w:lang w:val="nb-NO"/>
        </w:rPr>
        <w:t>≥</w:t>
      </w:r>
      <w:r w:rsidRPr="00A942F6">
        <w:rPr>
          <w:lang w:val="nb-NO"/>
        </w:rPr>
        <w:t xml:space="preserve"> 30 kg) eller 162 mg subkutant hver tredje uke (pasienter som veide under 30 kg).</w:t>
      </w:r>
    </w:p>
    <w:p w14:paraId="4DE1E36E" w14:textId="77777777" w:rsidR="005A42A2" w:rsidRPr="00A942F6" w:rsidRDefault="005A42A2" w:rsidP="00641834">
      <w:pPr>
        <w:rPr>
          <w:lang w:val="nb-NO"/>
        </w:rPr>
      </w:pPr>
    </w:p>
    <w:p w14:paraId="6DDEC9F3" w14:textId="77777777" w:rsidR="005A42A2" w:rsidRPr="00A942F6" w:rsidRDefault="005A42A2" w:rsidP="00641834">
      <w:pPr>
        <w:pStyle w:val="Style1Iitaic"/>
        <w:rPr>
          <w:lang w:val="nb-NO"/>
        </w:rPr>
      </w:pPr>
      <w:r w:rsidRPr="00A942F6">
        <w:rPr>
          <w:lang w:val="nb-NO"/>
        </w:rPr>
        <w:t>Tabell 9. Forventet gjennomsnitt ± SD farmakokinetiske parametre ved steady-state etter subkutan dosering ved pJIA</w:t>
      </w:r>
    </w:p>
    <w:p w14:paraId="16F66B10" w14:textId="77777777" w:rsidR="002B7608" w:rsidRPr="00A942F6" w:rsidRDefault="002B7608" w:rsidP="00641834">
      <w:pPr>
        <w:pStyle w:val="Style1Iitaic"/>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3"/>
        <w:gridCol w:w="2851"/>
        <w:gridCol w:w="2851"/>
      </w:tblGrid>
      <w:tr w:rsidR="005A42A2" w:rsidRPr="00A942F6" w14:paraId="33E0050A" w14:textId="77777777" w:rsidTr="00F45BFD">
        <w:trPr>
          <w:cantSplit/>
          <w:trHeight w:val="20"/>
          <w:tblHeader/>
        </w:trPr>
        <w:tc>
          <w:tcPr>
            <w:tcW w:w="3353" w:type="dxa"/>
          </w:tcPr>
          <w:p w14:paraId="0675FAFD" w14:textId="77777777" w:rsidR="005A42A2" w:rsidRPr="00A942F6" w:rsidRDefault="005A42A2" w:rsidP="00641834">
            <w:pPr>
              <w:pStyle w:val="TableParagraph"/>
              <w:rPr>
                <w:sz w:val="20"/>
                <w:szCs w:val="20"/>
                <w:lang w:val="nb-NO"/>
              </w:rPr>
            </w:pPr>
          </w:p>
        </w:tc>
        <w:tc>
          <w:tcPr>
            <w:tcW w:w="5702" w:type="dxa"/>
            <w:gridSpan w:val="2"/>
          </w:tcPr>
          <w:p w14:paraId="772A7BE5" w14:textId="77777777" w:rsidR="005A42A2" w:rsidRPr="00A942F6" w:rsidRDefault="005A42A2" w:rsidP="00641834">
            <w:pPr>
              <w:pStyle w:val="TableParagraph"/>
              <w:jc w:val="center"/>
              <w:rPr>
                <w:b/>
                <w:sz w:val="20"/>
                <w:szCs w:val="20"/>
                <w:lang w:val="nb-NO"/>
              </w:rPr>
            </w:pPr>
            <w:r w:rsidRPr="00A942F6">
              <w:rPr>
                <w:b/>
                <w:sz w:val="20"/>
                <w:szCs w:val="20"/>
                <w:lang w:val="nb-NO"/>
              </w:rPr>
              <w:t>Subkutant</w:t>
            </w:r>
          </w:p>
        </w:tc>
      </w:tr>
      <w:tr w:rsidR="005A42A2" w:rsidRPr="00B477E5" w14:paraId="04EAEEAC" w14:textId="77777777" w:rsidTr="00F45BFD">
        <w:trPr>
          <w:cantSplit/>
          <w:trHeight w:val="20"/>
          <w:tblHeader/>
        </w:trPr>
        <w:tc>
          <w:tcPr>
            <w:tcW w:w="3353" w:type="dxa"/>
          </w:tcPr>
          <w:p w14:paraId="342E2C6C" w14:textId="2611FF18" w:rsidR="005A42A2" w:rsidRPr="00A942F6" w:rsidRDefault="00A17AD0" w:rsidP="00641834">
            <w:pPr>
              <w:pStyle w:val="TableParagraph"/>
              <w:rPr>
                <w:b/>
                <w:sz w:val="20"/>
                <w:szCs w:val="20"/>
                <w:lang w:val="nb-NO"/>
              </w:rPr>
            </w:pPr>
            <w:r w:rsidRPr="00A942F6">
              <w:rPr>
                <w:b/>
                <w:sz w:val="20"/>
                <w:szCs w:val="20"/>
                <w:lang w:val="nb-NO"/>
              </w:rPr>
              <w:t>Tocilizumab</w:t>
            </w:r>
            <w:r w:rsidR="005A42A2" w:rsidRPr="00A942F6">
              <w:rPr>
                <w:b/>
                <w:sz w:val="20"/>
                <w:szCs w:val="20"/>
                <w:lang w:val="nb-NO"/>
              </w:rPr>
              <w:t xml:space="preserve"> farmakokinetisk parameter</w:t>
            </w:r>
          </w:p>
        </w:tc>
        <w:tc>
          <w:tcPr>
            <w:tcW w:w="2851" w:type="dxa"/>
          </w:tcPr>
          <w:p w14:paraId="6A6AF244" w14:textId="77777777" w:rsidR="005A42A2" w:rsidRPr="00A942F6" w:rsidRDefault="005A42A2" w:rsidP="00641834">
            <w:pPr>
              <w:pStyle w:val="TableParagraph"/>
              <w:jc w:val="center"/>
              <w:rPr>
                <w:b/>
                <w:sz w:val="20"/>
                <w:szCs w:val="20"/>
                <w:lang w:val="nb-NO"/>
              </w:rPr>
            </w:pPr>
            <w:r w:rsidRPr="00A942F6">
              <w:rPr>
                <w:b/>
                <w:sz w:val="20"/>
                <w:szCs w:val="20"/>
                <w:lang w:val="nb-NO"/>
              </w:rPr>
              <w:t>162 mg annenhver uke,</w:t>
            </w:r>
          </w:p>
          <w:p w14:paraId="23DCFC09" w14:textId="77777777" w:rsidR="005A42A2" w:rsidRPr="00A942F6" w:rsidRDefault="005A42A2" w:rsidP="00641834">
            <w:pPr>
              <w:pStyle w:val="TableParagraph"/>
              <w:jc w:val="center"/>
              <w:rPr>
                <w:b/>
                <w:sz w:val="20"/>
                <w:szCs w:val="20"/>
                <w:lang w:val="nb-NO"/>
              </w:rPr>
            </w:pPr>
            <w:r w:rsidRPr="00A942F6">
              <w:rPr>
                <w:b/>
                <w:sz w:val="20"/>
                <w:szCs w:val="20"/>
                <w:lang w:val="nb-NO"/>
              </w:rPr>
              <w:t>≥ 30 kg</w:t>
            </w:r>
          </w:p>
        </w:tc>
        <w:tc>
          <w:tcPr>
            <w:tcW w:w="2851" w:type="dxa"/>
          </w:tcPr>
          <w:p w14:paraId="6FBDBD3C" w14:textId="77777777" w:rsidR="005A42A2" w:rsidRPr="00A942F6" w:rsidRDefault="005A42A2" w:rsidP="00641834">
            <w:pPr>
              <w:pStyle w:val="TableParagraph"/>
              <w:jc w:val="center"/>
              <w:rPr>
                <w:b/>
                <w:sz w:val="20"/>
                <w:szCs w:val="20"/>
                <w:lang w:val="nb-NO"/>
              </w:rPr>
            </w:pPr>
            <w:r w:rsidRPr="00A942F6">
              <w:rPr>
                <w:b/>
                <w:sz w:val="20"/>
                <w:szCs w:val="20"/>
                <w:lang w:val="nb-NO"/>
              </w:rPr>
              <w:t>162 mg hver tredje uke,</w:t>
            </w:r>
          </w:p>
          <w:p w14:paraId="5D118A13" w14:textId="77777777" w:rsidR="005A42A2" w:rsidRPr="00A942F6" w:rsidRDefault="005A42A2" w:rsidP="00641834">
            <w:pPr>
              <w:pStyle w:val="TableParagraph"/>
              <w:jc w:val="center"/>
              <w:rPr>
                <w:b/>
                <w:sz w:val="20"/>
                <w:szCs w:val="20"/>
                <w:lang w:val="nb-NO"/>
              </w:rPr>
            </w:pPr>
            <w:r w:rsidRPr="00A942F6">
              <w:rPr>
                <w:b/>
                <w:sz w:val="20"/>
                <w:szCs w:val="20"/>
                <w:lang w:val="nb-NO"/>
              </w:rPr>
              <w:t>under 30 kg</w:t>
            </w:r>
          </w:p>
        </w:tc>
      </w:tr>
      <w:tr w:rsidR="005A42A2" w:rsidRPr="00A942F6" w14:paraId="5BC7857C" w14:textId="77777777" w:rsidTr="00F45BFD">
        <w:trPr>
          <w:cantSplit/>
          <w:trHeight w:val="20"/>
        </w:trPr>
        <w:tc>
          <w:tcPr>
            <w:tcW w:w="3353" w:type="dxa"/>
          </w:tcPr>
          <w:p w14:paraId="43D2E1F3"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maks</w:t>
            </w:r>
            <w:r w:rsidRPr="00A942F6">
              <w:rPr>
                <w:sz w:val="20"/>
                <w:szCs w:val="20"/>
                <w:lang w:val="nb-NO"/>
              </w:rPr>
              <w:t xml:space="preserve"> </w:t>
            </w:r>
            <w:r w:rsidRPr="00A942F6">
              <w:rPr>
                <w:position w:val="2"/>
                <w:sz w:val="20"/>
                <w:szCs w:val="20"/>
                <w:lang w:val="nb-NO"/>
              </w:rPr>
              <w:t>(mikrog/ml)</w:t>
            </w:r>
          </w:p>
        </w:tc>
        <w:tc>
          <w:tcPr>
            <w:tcW w:w="2851" w:type="dxa"/>
          </w:tcPr>
          <w:p w14:paraId="0C32FA3A" w14:textId="77777777" w:rsidR="005A42A2" w:rsidRPr="00A942F6" w:rsidRDefault="005A42A2" w:rsidP="00641834">
            <w:pPr>
              <w:pStyle w:val="TableParagraph"/>
              <w:jc w:val="center"/>
              <w:rPr>
                <w:sz w:val="20"/>
                <w:szCs w:val="20"/>
                <w:lang w:val="nb-NO"/>
              </w:rPr>
            </w:pPr>
            <w:r w:rsidRPr="00A942F6">
              <w:rPr>
                <w:sz w:val="20"/>
                <w:szCs w:val="20"/>
                <w:lang w:val="nb-NO"/>
              </w:rPr>
              <w:t>29,4 ± 13,5</w:t>
            </w:r>
          </w:p>
        </w:tc>
        <w:tc>
          <w:tcPr>
            <w:tcW w:w="2851" w:type="dxa"/>
          </w:tcPr>
          <w:p w14:paraId="1AB63979" w14:textId="77777777" w:rsidR="005A42A2" w:rsidRPr="00A942F6" w:rsidRDefault="005A42A2" w:rsidP="00641834">
            <w:pPr>
              <w:pStyle w:val="TableParagraph"/>
              <w:jc w:val="center"/>
              <w:rPr>
                <w:sz w:val="20"/>
                <w:szCs w:val="20"/>
                <w:lang w:val="nb-NO"/>
              </w:rPr>
            </w:pPr>
            <w:r w:rsidRPr="00A942F6">
              <w:rPr>
                <w:sz w:val="20"/>
                <w:szCs w:val="20"/>
                <w:lang w:val="nb-NO"/>
              </w:rPr>
              <w:t>75,5 ± 24,1</w:t>
            </w:r>
          </w:p>
        </w:tc>
      </w:tr>
      <w:tr w:rsidR="005A42A2" w:rsidRPr="00A942F6" w14:paraId="0ED775F8" w14:textId="77777777" w:rsidTr="00F45BFD">
        <w:trPr>
          <w:cantSplit/>
          <w:trHeight w:val="20"/>
        </w:trPr>
        <w:tc>
          <w:tcPr>
            <w:tcW w:w="3353" w:type="dxa"/>
          </w:tcPr>
          <w:p w14:paraId="1058DE89"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851" w:type="dxa"/>
          </w:tcPr>
          <w:p w14:paraId="3C5DE43E" w14:textId="77777777" w:rsidR="005A42A2" w:rsidRPr="00A942F6" w:rsidRDefault="005A42A2" w:rsidP="00641834">
            <w:pPr>
              <w:pStyle w:val="TableParagraph"/>
              <w:jc w:val="center"/>
              <w:rPr>
                <w:sz w:val="20"/>
                <w:szCs w:val="20"/>
                <w:lang w:val="nb-NO"/>
              </w:rPr>
            </w:pPr>
            <w:r w:rsidRPr="00A942F6">
              <w:rPr>
                <w:sz w:val="20"/>
                <w:szCs w:val="20"/>
                <w:lang w:val="nb-NO"/>
              </w:rPr>
              <w:t>11,8 ± 7,08</w:t>
            </w:r>
          </w:p>
        </w:tc>
        <w:tc>
          <w:tcPr>
            <w:tcW w:w="2851" w:type="dxa"/>
          </w:tcPr>
          <w:p w14:paraId="7909FA62" w14:textId="77777777" w:rsidR="005A42A2" w:rsidRPr="00A942F6" w:rsidRDefault="005A42A2" w:rsidP="00641834">
            <w:pPr>
              <w:pStyle w:val="TableParagraph"/>
              <w:jc w:val="center"/>
              <w:rPr>
                <w:sz w:val="20"/>
                <w:szCs w:val="20"/>
                <w:lang w:val="nb-NO"/>
              </w:rPr>
            </w:pPr>
            <w:r w:rsidRPr="00A942F6">
              <w:rPr>
                <w:sz w:val="20"/>
                <w:szCs w:val="20"/>
                <w:lang w:val="nb-NO"/>
              </w:rPr>
              <w:t>18,4 ± 12,9</w:t>
            </w:r>
          </w:p>
        </w:tc>
      </w:tr>
      <w:tr w:rsidR="005A42A2" w:rsidRPr="00A942F6" w14:paraId="50468DC7" w14:textId="77777777" w:rsidTr="00F45BFD">
        <w:trPr>
          <w:cantSplit/>
          <w:trHeight w:val="20"/>
        </w:trPr>
        <w:tc>
          <w:tcPr>
            <w:tcW w:w="3353" w:type="dxa"/>
          </w:tcPr>
          <w:p w14:paraId="7AD56203"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851" w:type="dxa"/>
          </w:tcPr>
          <w:p w14:paraId="671E12C3" w14:textId="77777777" w:rsidR="005A42A2" w:rsidRPr="00A942F6" w:rsidRDefault="005A42A2" w:rsidP="00641834">
            <w:pPr>
              <w:pStyle w:val="TableParagraph"/>
              <w:jc w:val="center"/>
              <w:rPr>
                <w:sz w:val="20"/>
                <w:szCs w:val="20"/>
                <w:lang w:val="nb-NO"/>
              </w:rPr>
            </w:pPr>
            <w:r w:rsidRPr="00A942F6">
              <w:rPr>
                <w:sz w:val="20"/>
                <w:szCs w:val="20"/>
                <w:lang w:val="nb-NO"/>
              </w:rPr>
              <w:t>21,7 ± 10,4</w:t>
            </w:r>
          </w:p>
        </w:tc>
        <w:tc>
          <w:tcPr>
            <w:tcW w:w="2851" w:type="dxa"/>
          </w:tcPr>
          <w:p w14:paraId="07C29E7B" w14:textId="77777777" w:rsidR="005A42A2" w:rsidRPr="00A942F6" w:rsidRDefault="005A42A2" w:rsidP="00641834">
            <w:pPr>
              <w:pStyle w:val="TableParagraph"/>
              <w:jc w:val="center"/>
              <w:rPr>
                <w:sz w:val="20"/>
                <w:szCs w:val="20"/>
                <w:lang w:val="nb-NO"/>
              </w:rPr>
            </w:pPr>
            <w:r w:rsidRPr="00A942F6">
              <w:rPr>
                <w:sz w:val="20"/>
                <w:szCs w:val="20"/>
                <w:lang w:val="nb-NO"/>
              </w:rPr>
              <w:t>45,5 ± 19,8</w:t>
            </w:r>
          </w:p>
        </w:tc>
      </w:tr>
      <w:tr w:rsidR="005A42A2" w:rsidRPr="00A942F6" w14:paraId="6D710FD8" w14:textId="77777777" w:rsidTr="00F45BFD">
        <w:trPr>
          <w:cantSplit/>
          <w:trHeight w:val="20"/>
        </w:trPr>
        <w:tc>
          <w:tcPr>
            <w:tcW w:w="3353" w:type="dxa"/>
          </w:tcPr>
          <w:p w14:paraId="3DB9F4DE"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max</w:t>
            </w:r>
          </w:p>
        </w:tc>
        <w:tc>
          <w:tcPr>
            <w:tcW w:w="2851" w:type="dxa"/>
          </w:tcPr>
          <w:p w14:paraId="21F3BFDE" w14:textId="77777777" w:rsidR="005A42A2" w:rsidRPr="00A942F6" w:rsidRDefault="005A42A2" w:rsidP="00641834">
            <w:pPr>
              <w:pStyle w:val="TableParagraph"/>
              <w:jc w:val="center"/>
              <w:rPr>
                <w:sz w:val="20"/>
                <w:szCs w:val="20"/>
                <w:lang w:val="nb-NO"/>
              </w:rPr>
            </w:pPr>
            <w:r w:rsidRPr="00A942F6">
              <w:rPr>
                <w:sz w:val="20"/>
                <w:szCs w:val="20"/>
                <w:lang w:val="nb-NO"/>
              </w:rPr>
              <w:t>1,72</w:t>
            </w:r>
          </w:p>
        </w:tc>
        <w:tc>
          <w:tcPr>
            <w:tcW w:w="2851" w:type="dxa"/>
          </w:tcPr>
          <w:p w14:paraId="1F146B9C" w14:textId="77777777" w:rsidR="005A42A2" w:rsidRPr="00A942F6" w:rsidRDefault="005A42A2" w:rsidP="00641834">
            <w:pPr>
              <w:pStyle w:val="TableParagraph"/>
              <w:jc w:val="center"/>
              <w:rPr>
                <w:sz w:val="20"/>
                <w:szCs w:val="20"/>
                <w:lang w:val="nb-NO"/>
              </w:rPr>
            </w:pPr>
            <w:r w:rsidRPr="00A942F6">
              <w:rPr>
                <w:sz w:val="20"/>
                <w:szCs w:val="20"/>
                <w:lang w:val="nb-NO"/>
              </w:rPr>
              <w:t>1,32</w:t>
            </w:r>
          </w:p>
        </w:tc>
      </w:tr>
      <w:tr w:rsidR="005A42A2" w:rsidRPr="00A942F6" w14:paraId="4C07BAF0" w14:textId="77777777" w:rsidTr="00F45BFD">
        <w:trPr>
          <w:cantSplit/>
          <w:trHeight w:val="20"/>
        </w:trPr>
        <w:tc>
          <w:tcPr>
            <w:tcW w:w="3353" w:type="dxa"/>
          </w:tcPr>
          <w:p w14:paraId="2579B8F2"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851" w:type="dxa"/>
          </w:tcPr>
          <w:p w14:paraId="49B8EFE9" w14:textId="77777777" w:rsidR="005A42A2" w:rsidRPr="00A942F6" w:rsidRDefault="005A42A2" w:rsidP="00641834">
            <w:pPr>
              <w:pStyle w:val="TableParagraph"/>
              <w:jc w:val="center"/>
              <w:rPr>
                <w:sz w:val="20"/>
                <w:szCs w:val="20"/>
                <w:lang w:val="nb-NO"/>
              </w:rPr>
            </w:pPr>
            <w:r w:rsidRPr="00A942F6">
              <w:rPr>
                <w:sz w:val="20"/>
                <w:szCs w:val="20"/>
                <w:lang w:val="nb-NO"/>
              </w:rPr>
              <w:t>3,58</w:t>
            </w:r>
          </w:p>
        </w:tc>
        <w:tc>
          <w:tcPr>
            <w:tcW w:w="2851" w:type="dxa"/>
          </w:tcPr>
          <w:p w14:paraId="56D888DF" w14:textId="77777777" w:rsidR="005A42A2" w:rsidRPr="00A942F6" w:rsidRDefault="005A42A2" w:rsidP="00641834">
            <w:pPr>
              <w:pStyle w:val="TableParagraph"/>
              <w:jc w:val="center"/>
              <w:rPr>
                <w:sz w:val="20"/>
                <w:szCs w:val="20"/>
                <w:lang w:val="nb-NO"/>
              </w:rPr>
            </w:pPr>
            <w:r w:rsidRPr="00A942F6">
              <w:rPr>
                <w:sz w:val="20"/>
                <w:szCs w:val="20"/>
                <w:lang w:val="nb-NO"/>
              </w:rPr>
              <w:t>2,08</w:t>
            </w:r>
          </w:p>
        </w:tc>
      </w:tr>
      <w:tr w:rsidR="005A42A2" w:rsidRPr="00A942F6" w14:paraId="1F824C0C" w14:textId="77777777" w:rsidTr="00F45BFD">
        <w:trPr>
          <w:cantSplit/>
          <w:trHeight w:val="20"/>
        </w:trPr>
        <w:tc>
          <w:tcPr>
            <w:tcW w:w="3353" w:type="dxa"/>
          </w:tcPr>
          <w:p w14:paraId="5F9B608D"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position w:val="2"/>
                <w:sz w:val="20"/>
                <w:szCs w:val="20"/>
                <w:lang w:val="nb-NO"/>
              </w:rPr>
              <w:t>*</w:t>
            </w:r>
          </w:p>
        </w:tc>
        <w:tc>
          <w:tcPr>
            <w:tcW w:w="2851" w:type="dxa"/>
          </w:tcPr>
          <w:p w14:paraId="66D3F97B" w14:textId="77777777" w:rsidR="005A42A2" w:rsidRPr="00A942F6" w:rsidRDefault="005A42A2" w:rsidP="00641834">
            <w:pPr>
              <w:pStyle w:val="TableParagraph"/>
              <w:jc w:val="center"/>
              <w:rPr>
                <w:sz w:val="20"/>
                <w:szCs w:val="20"/>
                <w:lang w:val="nb-NO"/>
              </w:rPr>
            </w:pPr>
            <w:r w:rsidRPr="00A942F6">
              <w:rPr>
                <w:sz w:val="20"/>
                <w:szCs w:val="20"/>
                <w:lang w:val="nb-NO"/>
              </w:rPr>
              <w:t>2,04</w:t>
            </w:r>
          </w:p>
        </w:tc>
        <w:tc>
          <w:tcPr>
            <w:tcW w:w="2851" w:type="dxa"/>
          </w:tcPr>
          <w:p w14:paraId="6D16D1FA" w14:textId="77777777" w:rsidR="005A42A2" w:rsidRPr="00A942F6" w:rsidRDefault="005A42A2" w:rsidP="00641834">
            <w:pPr>
              <w:pStyle w:val="TableParagraph"/>
              <w:jc w:val="center"/>
              <w:rPr>
                <w:sz w:val="20"/>
                <w:szCs w:val="20"/>
                <w:lang w:val="nb-NO"/>
              </w:rPr>
            </w:pPr>
            <w:r w:rsidRPr="00A942F6">
              <w:rPr>
                <w:sz w:val="20"/>
                <w:szCs w:val="20"/>
                <w:lang w:val="nb-NO"/>
              </w:rPr>
              <w:t>1,46</w:t>
            </w:r>
          </w:p>
        </w:tc>
      </w:tr>
    </w:tbl>
    <w:p w14:paraId="64AC354F" w14:textId="77777777" w:rsidR="005A42A2" w:rsidRPr="00A942F6" w:rsidRDefault="005A42A2" w:rsidP="00641834">
      <w:pPr>
        <w:pStyle w:val="tablenotestar"/>
        <w:rPr>
          <w:lang w:val="nb-NO"/>
        </w:rPr>
      </w:pPr>
      <w:r w:rsidRPr="00A942F6">
        <w:rPr>
          <w:lang w:val="nb-NO"/>
        </w:rPr>
        <w:t>τ = henholdsvis 4 uker for intravenøse regimer og 2 uker eller 3 uker for de to subkutane regimene</w:t>
      </w:r>
    </w:p>
    <w:p w14:paraId="3D860672" w14:textId="77777777" w:rsidR="005A42A2" w:rsidRPr="00A942F6" w:rsidRDefault="005A42A2" w:rsidP="00641834">
      <w:pPr>
        <w:rPr>
          <w:lang w:val="nb-NO"/>
        </w:rPr>
      </w:pPr>
    </w:p>
    <w:p w14:paraId="59B208B9" w14:textId="77777777" w:rsidR="005A42A2" w:rsidRPr="00A942F6" w:rsidRDefault="005A42A2" w:rsidP="00641834">
      <w:pPr>
        <w:rPr>
          <w:lang w:val="nb-NO"/>
        </w:rPr>
      </w:pPr>
      <w:r w:rsidRPr="00A942F6">
        <w:rPr>
          <w:lang w:val="nb-NO"/>
        </w:rPr>
        <w:t>Etter intravenøs dosering ble omtrent 90 % av steady-state nådd innen uke 12 for dosering på</w:t>
      </w:r>
    </w:p>
    <w:p w14:paraId="1E057BB9" w14:textId="77777777" w:rsidR="005A42A2" w:rsidRPr="00A942F6" w:rsidRDefault="005A42A2" w:rsidP="00641834">
      <w:pPr>
        <w:rPr>
          <w:lang w:val="nb-NO"/>
        </w:rPr>
      </w:pPr>
      <w:r w:rsidRPr="00A942F6">
        <w:rPr>
          <w:lang w:val="nb-NO"/>
        </w:rPr>
        <w:t xml:space="preserve">10 mg/kg (kroppsvekt &lt; 30 kg) og innen uke 16 for dosering på 8 mg/kg (kroppsvekt </w:t>
      </w:r>
      <w:r w:rsidRPr="00A942F6">
        <w:rPr>
          <w:rFonts w:cs="Times New Roman"/>
          <w:lang w:val="nb-NO"/>
        </w:rPr>
        <w:t>≥</w:t>
      </w:r>
      <w:r w:rsidRPr="00A942F6">
        <w:rPr>
          <w:lang w:val="nb-NO"/>
        </w:rPr>
        <w:t xml:space="preserve"> 30 kg). Etter subkutan dosering ble omtrent 90 % av steady-state nådd innen uke 12 for regimet med 162 mg subkutant annenhver uke og hver tredje uke.</w:t>
      </w:r>
    </w:p>
    <w:p w14:paraId="53682BDE" w14:textId="77777777" w:rsidR="005A42A2" w:rsidRPr="00A942F6" w:rsidRDefault="005A42A2" w:rsidP="00641834">
      <w:pPr>
        <w:rPr>
          <w:lang w:val="nb-NO"/>
        </w:rPr>
      </w:pPr>
    </w:p>
    <w:p w14:paraId="5E67BE4F" w14:textId="77777777" w:rsidR="005A42A2" w:rsidRPr="00A942F6" w:rsidRDefault="005A42A2" w:rsidP="00641834">
      <w:pPr>
        <w:pStyle w:val="Style1underline"/>
        <w:rPr>
          <w:lang w:val="nb-NO"/>
        </w:rPr>
      </w:pPr>
      <w:r w:rsidRPr="00A942F6">
        <w:rPr>
          <w:lang w:val="nb-NO"/>
        </w:rPr>
        <w:t>Absorpsjon</w:t>
      </w:r>
    </w:p>
    <w:p w14:paraId="4CFCD4A9" w14:textId="77777777" w:rsidR="005A42A2" w:rsidRPr="00A942F6" w:rsidRDefault="005A42A2" w:rsidP="00641834">
      <w:pPr>
        <w:rPr>
          <w:lang w:val="nb-NO"/>
        </w:rPr>
      </w:pPr>
      <w:r w:rsidRPr="00A942F6">
        <w:rPr>
          <w:lang w:val="nb-NO"/>
        </w:rPr>
        <w:t>Etter subkutan dosering hos pJIA-pasienter var halveringstiden for absorpsjon ca. 2 dager, og biotilgjengeligheten for den subkutane formuleringen hos pJIA-pasienter var 96 %.</w:t>
      </w:r>
    </w:p>
    <w:p w14:paraId="1A7729D1" w14:textId="77777777" w:rsidR="002B7608" w:rsidRPr="00A942F6" w:rsidRDefault="002B7608" w:rsidP="00641834">
      <w:pPr>
        <w:rPr>
          <w:lang w:val="nb-NO"/>
        </w:rPr>
      </w:pPr>
    </w:p>
    <w:p w14:paraId="688C0945" w14:textId="77777777" w:rsidR="005A42A2" w:rsidRPr="00A942F6" w:rsidRDefault="005A42A2" w:rsidP="00641834">
      <w:pPr>
        <w:pStyle w:val="Style1underline"/>
        <w:rPr>
          <w:lang w:val="nb-NO"/>
        </w:rPr>
      </w:pPr>
      <w:r w:rsidRPr="00A942F6">
        <w:rPr>
          <w:lang w:val="nb-NO"/>
        </w:rPr>
        <w:t>Distribusjon</w:t>
      </w:r>
    </w:p>
    <w:p w14:paraId="5F4C8DCE" w14:textId="77777777" w:rsidR="005A42A2" w:rsidRPr="00A942F6" w:rsidRDefault="005A42A2" w:rsidP="00641834">
      <w:pPr>
        <w:rPr>
          <w:lang w:val="nb-NO"/>
        </w:rPr>
      </w:pPr>
      <w:r w:rsidRPr="00A942F6">
        <w:rPr>
          <w:lang w:val="nb-NO"/>
        </w:rPr>
        <w:t>Hos pediatriske pasienter med pJIA var sentralt distribusjonsvolum 1,97 liter. Perifert distribusjonsvolum 2,03 liter. Distribusjonsvolumet var dermed på 4,0 liter ved steady-state.</w:t>
      </w:r>
    </w:p>
    <w:p w14:paraId="16E90DB3" w14:textId="77777777" w:rsidR="002B7608" w:rsidRPr="00A942F6" w:rsidRDefault="002B7608" w:rsidP="00641834">
      <w:pPr>
        <w:rPr>
          <w:lang w:val="nb-NO"/>
        </w:rPr>
      </w:pPr>
    </w:p>
    <w:p w14:paraId="05BF5B28" w14:textId="77777777" w:rsidR="005A42A2" w:rsidRPr="00A942F6" w:rsidRDefault="005A42A2" w:rsidP="00641834">
      <w:pPr>
        <w:pStyle w:val="Style1underline"/>
        <w:rPr>
          <w:lang w:val="nb-NO"/>
        </w:rPr>
      </w:pPr>
      <w:r w:rsidRPr="00A942F6">
        <w:rPr>
          <w:lang w:val="nb-NO"/>
        </w:rPr>
        <w:t>Eliminasjon</w:t>
      </w:r>
    </w:p>
    <w:p w14:paraId="1918B9D1" w14:textId="77777777" w:rsidR="005A42A2" w:rsidRPr="00A942F6" w:rsidRDefault="005A42A2" w:rsidP="00641834">
      <w:pPr>
        <w:rPr>
          <w:lang w:val="nb-NO"/>
        </w:rPr>
      </w:pPr>
      <w:r w:rsidRPr="00A942F6">
        <w:rPr>
          <w:lang w:val="nb-NO"/>
        </w:rPr>
        <w:t>Farmakokinetisk populasjonsanalyse hos pJIA-pasienter viste en kroppsstørrelserelatert innvirkning på lineær clearance. Derfor bør kroppsvektbasert dosering tas i betraktning (se tabell 9).</w:t>
      </w:r>
    </w:p>
    <w:p w14:paraId="649D47D0" w14:textId="77777777" w:rsidR="005A42A2" w:rsidRPr="00A942F6" w:rsidRDefault="005A42A2" w:rsidP="00641834">
      <w:pPr>
        <w:rPr>
          <w:lang w:val="nb-NO"/>
        </w:rPr>
      </w:pPr>
    </w:p>
    <w:p w14:paraId="00D8DBF2" w14:textId="1B7405E6" w:rsidR="005A42A2" w:rsidRPr="00A942F6" w:rsidRDefault="005A42A2" w:rsidP="00641834">
      <w:pPr>
        <w:rPr>
          <w:lang w:val="nb-NO"/>
        </w:rPr>
      </w:pPr>
      <w:r w:rsidRPr="00A942F6">
        <w:rPr>
          <w:lang w:val="nb-NO"/>
        </w:rPr>
        <w:lastRenderedPageBreak/>
        <w:t>Etter subkutan administrering er effektiv t</w:t>
      </w:r>
      <w:r w:rsidR="002D2136" w:rsidRPr="00A942F6">
        <w:rPr>
          <w:vertAlign w:val="subscript"/>
          <w:lang w:val="nb-NO"/>
        </w:rPr>
        <w:t>1/2</w:t>
      </w:r>
      <w:r w:rsidRPr="00A942F6">
        <w:rPr>
          <w:lang w:val="nb-NO"/>
        </w:rPr>
        <w:t xml:space="preserve"> for </w:t>
      </w:r>
      <w:r w:rsidR="00A17AD0" w:rsidRPr="00A942F6">
        <w:rPr>
          <w:lang w:val="nb-NO"/>
        </w:rPr>
        <w:t>tocilizumab</w:t>
      </w:r>
      <w:r w:rsidRPr="00A942F6">
        <w:rPr>
          <w:lang w:val="nb-NO"/>
        </w:rPr>
        <w:t xml:space="preserve"> hos pJIA-pasienter opptil 10 dager for pasienter &lt; 30 kg (162 mg subkutant hver tredje uke) og opptil 7 dager for pasienter </w:t>
      </w:r>
      <w:r w:rsidRPr="00A942F6">
        <w:rPr>
          <w:rFonts w:cs="Times New Roman"/>
          <w:lang w:val="nb-NO"/>
        </w:rPr>
        <w:t>≥</w:t>
      </w:r>
      <w:r w:rsidRPr="00A942F6">
        <w:rPr>
          <w:lang w:val="nb-NO"/>
        </w:rPr>
        <w:t xml:space="preserve"> 30 kg (162 mg subkutant annenhver uke) under et doseringsintervall ved steady-state. Etter intravenøs administrering gjennomgår tocilizumab en bifasisk eliminasjon fra sirkulasjonen. Total clearance av tocilizumab var konsentrasjonsavhengig. Dette er summen av lineær og ikke-lineær clearance. Lineær clearance ble estimert som en parameter i den farmakokinetiske populasjonsanalysen og var 6,25 ml/time.</w:t>
      </w:r>
      <w:r w:rsidR="002B7608" w:rsidRPr="00A942F6">
        <w:rPr>
          <w:lang w:val="nb-NO"/>
        </w:rPr>
        <w:t xml:space="preserve"> </w:t>
      </w:r>
      <w:r w:rsidRPr="00A942F6">
        <w:rPr>
          <w:lang w:val="nb-NO"/>
        </w:rPr>
        <w:t>Konsentrasjonsavhengig ikke-lineær clearance spiller en stor rolle ved lave tocilizumabkonsentrasjoner. Så snart den ikke-lineære clearanceveien er mettet ved høyere tocilizumabkonsentrasjoner, er clearance hovedsakelig bestemt av lineær clearance.</w:t>
      </w:r>
    </w:p>
    <w:p w14:paraId="1A7A7D2D" w14:textId="77777777" w:rsidR="005A42A2" w:rsidRPr="00A942F6" w:rsidRDefault="005A42A2" w:rsidP="00641834">
      <w:pPr>
        <w:rPr>
          <w:lang w:val="nb-NO"/>
        </w:rPr>
      </w:pPr>
    </w:p>
    <w:p w14:paraId="6820EBE8" w14:textId="77777777" w:rsidR="005A42A2" w:rsidRPr="00A942F6" w:rsidRDefault="005A42A2" w:rsidP="00641834">
      <w:pPr>
        <w:pStyle w:val="Style1underline"/>
        <w:rPr>
          <w:lang w:val="nb-NO"/>
        </w:rPr>
      </w:pPr>
      <w:r w:rsidRPr="00A942F6">
        <w:rPr>
          <w:lang w:val="nb-NO"/>
        </w:rPr>
        <w:t>GCA</w:t>
      </w:r>
    </w:p>
    <w:p w14:paraId="52071057" w14:textId="77777777" w:rsidR="005A42A2" w:rsidRPr="00A942F6" w:rsidRDefault="005A42A2" w:rsidP="00641834">
      <w:pPr>
        <w:pStyle w:val="Style1underline"/>
        <w:rPr>
          <w:lang w:val="nb-NO"/>
        </w:rPr>
      </w:pPr>
      <w:r w:rsidRPr="00A942F6">
        <w:rPr>
          <w:lang w:val="nb-NO"/>
        </w:rPr>
        <w:t>Subkutan bruk</w:t>
      </w:r>
    </w:p>
    <w:p w14:paraId="740AAEB9" w14:textId="4D131BA6" w:rsidR="005A42A2" w:rsidRPr="00A942F6" w:rsidRDefault="00A17AD0" w:rsidP="00641834">
      <w:pPr>
        <w:rPr>
          <w:lang w:val="nb-NO"/>
        </w:rPr>
      </w:pPr>
      <w:r w:rsidRPr="00A942F6">
        <w:rPr>
          <w:lang w:val="nb-NO"/>
        </w:rPr>
        <w:t>Tocilizumab</w:t>
      </w:r>
      <w:r w:rsidR="005A42A2" w:rsidRPr="00A942F6">
        <w:rPr>
          <w:lang w:val="nb-NO"/>
        </w:rPr>
        <w:t>s farmakokinetikk hos GCA-pasienter ble bestemt ved hjelp av en farmakokinetisk populasjonsmodell fra et datasett med analyser sammensatt av 149 GCA-pasienter behandlet med</w:t>
      </w:r>
      <w:r w:rsidR="00F97D0A" w:rsidRPr="00A942F6">
        <w:rPr>
          <w:lang w:val="nb-NO"/>
        </w:rPr>
        <w:t xml:space="preserve"> </w:t>
      </w:r>
      <w:r w:rsidR="005A42A2" w:rsidRPr="00A942F6">
        <w:rPr>
          <w:lang w:val="nb-NO"/>
        </w:rPr>
        <w:t>162</w:t>
      </w:r>
      <w:r w:rsidR="002E140C">
        <w:rPr>
          <w:lang w:val="nb-NO"/>
        </w:rPr>
        <w:t> </w:t>
      </w:r>
      <w:r w:rsidR="005A42A2" w:rsidRPr="00A942F6">
        <w:rPr>
          <w:lang w:val="nb-NO"/>
        </w:rPr>
        <w:t>mg subkutan dose ukentlig eller 162 mg subkutan dose annenhver uke. Modellen som ble utviklet har samme struktur som den farmakokinetiske populasjonsmodellen som ble utviklet tidligere, basert på data fra RA-pasienter (se tabell 9).</w:t>
      </w:r>
    </w:p>
    <w:p w14:paraId="58DDD63B" w14:textId="77777777" w:rsidR="005A42A2" w:rsidRPr="00A942F6" w:rsidRDefault="005A42A2" w:rsidP="00641834">
      <w:pPr>
        <w:rPr>
          <w:lang w:val="nb-NO"/>
        </w:rPr>
      </w:pPr>
    </w:p>
    <w:p w14:paraId="51708C58" w14:textId="77777777" w:rsidR="005A42A2" w:rsidRPr="00A942F6" w:rsidRDefault="005A42A2" w:rsidP="00641834">
      <w:pPr>
        <w:pStyle w:val="Style1Iitaic"/>
        <w:rPr>
          <w:lang w:val="nb-NO"/>
        </w:rPr>
      </w:pPr>
      <w:r w:rsidRPr="00A942F6">
        <w:rPr>
          <w:lang w:val="nb-NO"/>
        </w:rPr>
        <w:t>Tabell 10. Forventet gjennomsnitt ± SD farmakokinetiske parametre ved steady-state etter subkutan dosering ved GCA</w:t>
      </w:r>
    </w:p>
    <w:p w14:paraId="65C4EFEC" w14:textId="77777777" w:rsidR="005A42A2" w:rsidRPr="00A942F6" w:rsidRDefault="005A42A2" w:rsidP="00641834">
      <w:pPr>
        <w:rPr>
          <w:lang w:val="nb-NO"/>
        </w:rPr>
      </w:pPr>
    </w:p>
    <w:tbl>
      <w:tblPr>
        <w:tblW w:w="88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1"/>
        <w:gridCol w:w="2537"/>
        <w:gridCol w:w="2601"/>
      </w:tblGrid>
      <w:tr w:rsidR="005A42A2" w:rsidRPr="00A942F6" w14:paraId="016ABC05" w14:textId="77777777" w:rsidTr="00F45BFD">
        <w:trPr>
          <w:cantSplit/>
          <w:trHeight w:val="20"/>
          <w:tblHeader/>
        </w:trPr>
        <w:tc>
          <w:tcPr>
            <w:tcW w:w="3681" w:type="dxa"/>
          </w:tcPr>
          <w:p w14:paraId="4F351669" w14:textId="77777777" w:rsidR="005A42A2" w:rsidRPr="00A942F6" w:rsidRDefault="005A42A2" w:rsidP="00641834">
            <w:pPr>
              <w:pStyle w:val="TableParagraph"/>
              <w:rPr>
                <w:sz w:val="20"/>
                <w:szCs w:val="20"/>
                <w:lang w:val="nb-NO"/>
              </w:rPr>
            </w:pPr>
          </w:p>
        </w:tc>
        <w:tc>
          <w:tcPr>
            <w:tcW w:w="5138" w:type="dxa"/>
            <w:gridSpan w:val="2"/>
          </w:tcPr>
          <w:p w14:paraId="42A9A6A4" w14:textId="77777777" w:rsidR="005A42A2" w:rsidRPr="00A942F6" w:rsidRDefault="005A42A2" w:rsidP="00641834">
            <w:pPr>
              <w:pStyle w:val="TableParagraph"/>
              <w:jc w:val="center"/>
              <w:rPr>
                <w:b/>
                <w:sz w:val="20"/>
                <w:szCs w:val="20"/>
                <w:lang w:val="nb-NO"/>
              </w:rPr>
            </w:pPr>
            <w:r w:rsidRPr="00A942F6">
              <w:rPr>
                <w:b/>
                <w:sz w:val="20"/>
                <w:szCs w:val="20"/>
                <w:lang w:val="nb-NO"/>
              </w:rPr>
              <w:t>Subkutant</w:t>
            </w:r>
          </w:p>
        </w:tc>
      </w:tr>
      <w:tr w:rsidR="005A42A2" w:rsidRPr="00A942F6" w14:paraId="1B83A4F6" w14:textId="77777777" w:rsidTr="00F45BFD">
        <w:trPr>
          <w:cantSplit/>
          <w:trHeight w:val="20"/>
          <w:tblHeader/>
        </w:trPr>
        <w:tc>
          <w:tcPr>
            <w:tcW w:w="3681" w:type="dxa"/>
          </w:tcPr>
          <w:p w14:paraId="76BBC881" w14:textId="77777777" w:rsidR="005A42A2" w:rsidRPr="00A942F6" w:rsidRDefault="005A42A2" w:rsidP="00641834">
            <w:pPr>
              <w:pStyle w:val="TableParagraph"/>
              <w:rPr>
                <w:b/>
                <w:sz w:val="20"/>
                <w:szCs w:val="20"/>
                <w:lang w:val="nb-NO"/>
              </w:rPr>
            </w:pPr>
            <w:r w:rsidRPr="00A942F6">
              <w:rPr>
                <w:b/>
                <w:sz w:val="20"/>
                <w:szCs w:val="20"/>
                <w:lang w:val="nb-NO"/>
              </w:rPr>
              <w:t>Tocilizumab FK-parameter</w:t>
            </w:r>
          </w:p>
        </w:tc>
        <w:tc>
          <w:tcPr>
            <w:tcW w:w="2537" w:type="dxa"/>
          </w:tcPr>
          <w:p w14:paraId="1D080204" w14:textId="77777777" w:rsidR="005A42A2" w:rsidRPr="00A942F6" w:rsidRDefault="005A42A2" w:rsidP="00641834">
            <w:pPr>
              <w:pStyle w:val="TableParagraph"/>
              <w:jc w:val="center"/>
              <w:rPr>
                <w:b/>
                <w:sz w:val="20"/>
                <w:szCs w:val="20"/>
                <w:lang w:val="nb-NO"/>
              </w:rPr>
            </w:pPr>
            <w:r w:rsidRPr="00A942F6">
              <w:rPr>
                <w:b/>
                <w:sz w:val="20"/>
                <w:szCs w:val="20"/>
                <w:lang w:val="nb-NO"/>
              </w:rPr>
              <w:t>162 mg annenhver uke</w:t>
            </w:r>
          </w:p>
        </w:tc>
        <w:tc>
          <w:tcPr>
            <w:tcW w:w="2601" w:type="dxa"/>
          </w:tcPr>
          <w:p w14:paraId="574209ED" w14:textId="77777777" w:rsidR="005A42A2" w:rsidRPr="00A942F6" w:rsidRDefault="005A42A2" w:rsidP="00641834">
            <w:pPr>
              <w:pStyle w:val="TableParagraph"/>
              <w:jc w:val="center"/>
              <w:rPr>
                <w:b/>
                <w:sz w:val="20"/>
                <w:szCs w:val="20"/>
                <w:lang w:val="nb-NO"/>
              </w:rPr>
            </w:pPr>
            <w:r w:rsidRPr="00A942F6">
              <w:rPr>
                <w:b/>
                <w:sz w:val="20"/>
                <w:szCs w:val="20"/>
                <w:lang w:val="nb-NO"/>
              </w:rPr>
              <w:t>162 mg ukentlig</w:t>
            </w:r>
          </w:p>
        </w:tc>
      </w:tr>
      <w:tr w:rsidR="005A42A2" w:rsidRPr="00A942F6" w14:paraId="16519B9A" w14:textId="77777777" w:rsidTr="00F45BFD">
        <w:trPr>
          <w:cantSplit/>
          <w:trHeight w:val="20"/>
        </w:trPr>
        <w:tc>
          <w:tcPr>
            <w:tcW w:w="3681" w:type="dxa"/>
          </w:tcPr>
          <w:p w14:paraId="245C3F5F"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max</w:t>
            </w:r>
            <w:r w:rsidRPr="00A942F6">
              <w:rPr>
                <w:sz w:val="20"/>
                <w:szCs w:val="20"/>
                <w:lang w:val="nb-NO"/>
              </w:rPr>
              <w:t xml:space="preserve"> </w:t>
            </w:r>
            <w:r w:rsidRPr="00A942F6">
              <w:rPr>
                <w:position w:val="2"/>
                <w:sz w:val="20"/>
                <w:szCs w:val="20"/>
                <w:lang w:val="nb-NO"/>
              </w:rPr>
              <w:t>(mikrog/ml)</w:t>
            </w:r>
          </w:p>
        </w:tc>
        <w:tc>
          <w:tcPr>
            <w:tcW w:w="2537" w:type="dxa"/>
          </w:tcPr>
          <w:p w14:paraId="01F7D65D" w14:textId="77777777" w:rsidR="005A42A2" w:rsidRPr="00A942F6" w:rsidRDefault="005A42A2" w:rsidP="00641834">
            <w:pPr>
              <w:pStyle w:val="TableParagraph"/>
              <w:jc w:val="center"/>
              <w:rPr>
                <w:sz w:val="20"/>
                <w:szCs w:val="20"/>
                <w:lang w:val="nb-NO"/>
              </w:rPr>
            </w:pPr>
            <w:r w:rsidRPr="00A942F6">
              <w:rPr>
                <w:sz w:val="20"/>
                <w:szCs w:val="20"/>
                <w:lang w:val="nb-NO"/>
              </w:rPr>
              <w:t>19,3 ± 12,8</w:t>
            </w:r>
          </w:p>
        </w:tc>
        <w:tc>
          <w:tcPr>
            <w:tcW w:w="2601" w:type="dxa"/>
          </w:tcPr>
          <w:p w14:paraId="1BE75FC4" w14:textId="77777777" w:rsidR="005A42A2" w:rsidRPr="00A942F6" w:rsidRDefault="005A42A2" w:rsidP="00641834">
            <w:pPr>
              <w:pStyle w:val="TableParagraph"/>
              <w:jc w:val="center"/>
              <w:rPr>
                <w:sz w:val="20"/>
                <w:szCs w:val="20"/>
                <w:lang w:val="nb-NO"/>
              </w:rPr>
            </w:pPr>
            <w:r w:rsidRPr="00A942F6">
              <w:rPr>
                <w:sz w:val="20"/>
                <w:szCs w:val="20"/>
                <w:lang w:val="nb-NO"/>
              </w:rPr>
              <w:t>73 ± 30,4</w:t>
            </w:r>
          </w:p>
        </w:tc>
      </w:tr>
      <w:tr w:rsidR="005A42A2" w:rsidRPr="00A942F6" w14:paraId="090F2828" w14:textId="77777777" w:rsidTr="00F45BFD">
        <w:trPr>
          <w:cantSplit/>
          <w:trHeight w:val="20"/>
        </w:trPr>
        <w:tc>
          <w:tcPr>
            <w:tcW w:w="3681" w:type="dxa"/>
          </w:tcPr>
          <w:p w14:paraId="53CB32AB"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537" w:type="dxa"/>
          </w:tcPr>
          <w:p w14:paraId="3563AE27" w14:textId="77777777" w:rsidR="005A42A2" w:rsidRPr="00A942F6" w:rsidRDefault="005A42A2" w:rsidP="00641834">
            <w:pPr>
              <w:pStyle w:val="TableParagraph"/>
              <w:jc w:val="center"/>
              <w:rPr>
                <w:sz w:val="20"/>
                <w:szCs w:val="20"/>
                <w:lang w:val="nb-NO"/>
              </w:rPr>
            </w:pPr>
            <w:r w:rsidRPr="00A942F6">
              <w:rPr>
                <w:sz w:val="20"/>
                <w:szCs w:val="20"/>
                <w:lang w:val="nb-NO"/>
              </w:rPr>
              <w:t>11,1 ± 10,3</w:t>
            </w:r>
          </w:p>
        </w:tc>
        <w:tc>
          <w:tcPr>
            <w:tcW w:w="2601" w:type="dxa"/>
          </w:tcPr>
          <w:p w14:paraId="4C1CD473" w14:textId="77777777" w:rsidR="005A42A2" w:rsidRPr="00A942F6" w:rsidRDefault="005A42A2" w:rsidP="00641834">
            <w:pPr>
              <w:pStyle w:val="TableParagraph"/>
              <w:jc w:val="center"/>
              <w:rPr>
                <w:sz w:val="20"/>
                <w:szCs w:val="20"/>
                <w:lang w:val="nb-NO"/>
              </w:rPr>
            </w:pPr>
            <w:r w:rsidRPr="00A942F6">
              <w:rPr>
                <w:sz w:val="20"/>
                <w:szCs w:val="20"/>
                <w:lang w:val="nb-NO"/>
              </w:rPr>
              <w:t>68,1</w:t>
            </w:r>
            <w:r w:rsidR="00313567" w:rsidRPr="00A942F6">
              <w:rPr>
                <w:sz w:val="20"/>
                <w:szCs w:val="20"/>
                <w:lang w:val="nb-NO"/>
              </w:rPr>
              <w:t xml:space="preserve"> </w:t>
            </w:r>
            <w:r w:rsidRPr="00A942F6">
              <w:rPr>
                <w:sz w:val="20"/>
                <w:szCs w:val="20"/>
                <w:lang w:val="nb-NO"/>
              </w:rPr>
              <w:t>± 29,5</w:t>
            </w:r>
          </w:p>
        </w:tc>
      </w:tr>
      <w:tr w:rsidR="005A42A2" w:rsidRPr="00A942F6" w14:paraId="719A0046" w14:textId="77777777" w:rsidTr="00F45BFD">
        <w:trPr>
          <w:cantSplit/>
          <w:trHeight w:val="20"/>
        </w:trPr>
        <w:tc>
          <w:tcPr>
            <w:tcW w:w="3681" w:type="dxa"/>
          </w:tcPr>
          <w:p w14:paraId="25843AFC" w14:textId="77777777" w:rsidR="005A42A2" w:rsidRPr="00A942F6" w:rsidRDefault="005A42A2"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537" w:type="dxa"/>
          </w:tcPr>
          <w:p w14:paraId="5CD78EB7" w14:textId="77777777" w:rsidR="005A42A2" w:rsidRPr="00A942F6" w:rsidRDefault="005A42A2" w:rsidP="00641834">
            <w:pPr>
              <w:pStyle w:val="TableParagraph"/>
              <w:jc w:val="center"/>
              <w:rPr>
                <w:sz w:val="20"/>
                <w:szCs w:val="20"/>
                <w:lang w:val="nb-NO"/>
              </w:rPr>
            </w:pPr>
            <w:r w:rsidRPr="00A942F6">
              <w:rPr>
                <w:sz w:val="20"/>
                <w:szCs w:val="20"/>
                <w:lang w:val="nb-NO"/>
              </w:rPr>
              <w:t>16,2 ± 11,8</w:t>
            </w:r>
          </w:p>
        </w:tc>
        <w:tc>
          <w:tcPr>
            <w:tcW w:w="2601" w:type="dxa"/>
          </w:tcPr>
          <w:p w14:paraId="548AF306" w14:textId="77777777" w:rsidR="005A42A2" w:rsidRPr="00A942F6" w:rsidRDefault="005A42A2" w:rsidP="00641834">
            <w:pPr>
              <w:pStyle w:val="TableParagraph"/>
              <w:jc w:val="center"/>
              <w:rPr>
                <w:sz w:val="20"/>
                <w:szCs w:val="20"/>
                <w:lang w:val="nb-NO"/>
              </w:rPr>
            </w:pPr>
            <w:r w:rsidRPr="00A942F6">
              <w:rPr>
                <w:sz w:val="20"/>
                <w:szCs w:val="20"/>
                <w:lang w:val="nb-NO"/>
              </w:rPr>
              <w:t>71,3 ± 30,1</w:t>
            </w:r>
          </w:p>
        </w:tc>
      </w:tr>
      <w:tr w:rsidR="005A42A2" w:rsidRPr="00A942F6" w14:paraId="5E7B5592" w14:textId="77777777" w:rsidTr="00F45BFD">
        <w:trPr>
          <w:cantSplit/>
          <w:trHeight w:val="20"/>
        </w:trPr>
        <w:tc>
          <w:tcPr>
            <w:tcW w:w="3681" w:type="dxa"/>
          </w:tcPr>
          <w:p w14:paraId="3C096821"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max</w:t>
            </w:r>
          </w:p>
        </w:tc>
        <w:tc>
          <w:tcPr>
            <w:tcW w:w="2537" w:type="dxa"/>
          </w:tcPr>
          <w:p w14:paraId="4FEC86A4" w14:textId="77777777" w:rsidR="005A42A2" w:rsidRPr="00A942F6" w:rsidRDefault="005A42A2" w:rsidP="00641834">
            <w:pPr>
              <w:pStyle w:val="TableParagraph"/>
              <w:jc w:val="center"/>
              <w:rPr>
                <w:sz w:val="20"/>
                <w:szCs w:val="20"/>
                <w:lang w:val="nb-NO"/>
              </w:rPr>
            </w:pPr>
            <w:r w:rsidRPr="00A942F6">
              <w:rPr>
                <w:sz w:val="20"/>
                <w:szCs w:val="20"/>
                <w:lang w:val="nb-NO"/>
              </w:rPr>
              <w:t>2,18</w:t>
            </w:r>
          </w:p>
        </w:tc>
        <w:tc>
          <w:tcPr>
            <w:tcW w:w="2601" w:type="dxa"/>
          </w:tcPr>
          <w:p w14:paraId="3FF61473" w14:textId="77777777" w:rsidR="005A42A2" w:rsidRPr="00A942F6" w:rsidRDefault="005A42A2" w:rsidP="00641834">
            <w:pPr>
              <w:pStyle w:val="TableParagraph"/>
              <w:jc w:val="center"/>
              <w:rPr>
                <w:sz w:val="20"/>
                <w:szCs w:val="20"/>
                <w:lang w:val="nb-NO"/>
              </w:rPr>
            </w:pPr>
            <w:r w:rsidRPr="00A942F6">
              <w:rPr>
                <w:sz w:val="20"/>
                <w:szCs w:val="20"/>
                <w:lang w:val="nb-NO"/>
              </w:rPr>
              <w:t>8,88</w:t>
            </w:r>
          </w:p>
        </w:tc>
      </w:tr>
      <w:tr w:rsidR="005A42A2" w:rsidRPr="00A942F6" w14:paraId="50E99CC3" w14:textId="77777777" w:rsidTr="00F45BFD">
        <w:trPr>
          <w:cantSplit/>
          <w:trHeight w:val="20"/>
        </w:trPr>
        <w:tc>
          <w:tcPr>
            <w:tcW w:w="3681" w:type="dxa"/>
          </w:tcPr>
          <w:p w14:paraId="3C8E9B0E"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537" w:type="dxa"/>
          </w:tcPr>
          <w:p w14:paraId="45DF39D5" w14:textId="77777777" w:rsidR="005A42A2" w:rsidRPr="00A942F6" w:rsidRDefault="005A42A2" w:rsidP="00641834">
            <w:pPr>
              <w:pStyle w:val="TableParagraph"/>
              <w:jc w:val="center"/>
              <w:rPr>
                <w:sz w:val="20"/>
                <w:szCs w:val="20"/>
                <w:lang w:val="nb-NO"/>
              </w:rPr>
            </w:pPr>
            <w:r w:rsidRPr="00A942F6">
              <w:rPr>
                <w:sz w:val="20"/>
                <w:szCs w:val="20"/>
                <w:lang w:val="nb-NO"/>
              </w:rPr>
              <w:t>5,61</w:t>
            </w:r>
          </w:p>
        </w:tc>
        <w:tc>
          <w:tcPr>
            <w:tcW w:w="2601" w:type="dxa"/>
          </w:tcPr>
          <w:p w14:paraId="1FBA80BD" w14:textId="77777777" w:rsidR="005A42A2" w:rsidRPr="00A942F6" w:rsidRDefault="005A42A2" w:rsidP="00641834">
            <w:pPr>
              <w:pStyle w:val="TableParagraph"/>
              <w:jc w:val="center"/>
              <w:rPr>
                <w:sz w:val="20"/>
                <w:szCs w:val="20"/>
                <w:lang w:val="nb-NO"/>
              </w:rPr>
            </w:pPr>
            <w:r w:rsidRPr="00A942F6">
              <w:rPr>
                <w:sz w:val="20"/>
                <w:szCs w:val="20"/>
                <w:lang w:val="nb-NO"/>
              </w:rPr>
              <w:t>9,59</w:t>
            </w:r>
          </w:p>
        </w:tc>
      </w:tr>
      <w:tr w:rsidR="005A42A2" w:rsidRPr="00A942F6" w14:paraId="1390F7B6" w14:textId="77777777" w:rsidTr="00F45BFD">
        <w:trPr>
          <w:cantSplit/>
          <w:trHeight w:val="20"/>
        </w:trPr>
        <w:tc>
          <w:tcPr>
            <w:tcW w:w="3681" w:type="dxa"/>
          </w:tcPr>
          <w:p w14:paraId="2D2FD755" w14:textId="77777777" w:rsidR="005A42A2" w:rsidRPr="00A942F6" w:rsidRDefault="005A42A2"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sz w:val="20"/>
                <w:szCs w:val="20"/>
                <w:lang w:val="nb-NO"/>
              </w:rPr>
              <w:t xml:space="preserve"> </w:t>
            </w:r>
            <w:r w:rsidRPr="00A942F6">
              <w:rPr>
                <w:position w:val="2"/>
                <w:sz w:val="20"/>
                <w:szCs w:val="20"/>
                <w:lang w:val="nb-NO"/>
              </w:rPr>
              <w:t>*</w:t>
            </w:r>
          </w:p>
        </w:tc>
        <w:tc>
          <w:tcPr>
            <w:tcW w:w="2537" w:type="dxa"/>
          </w:tcPr>
          <w:p w14:paraId="1F64A056" w14:textId="77777777" w:rsidR="005A42A2" w:rsidRPr="00A942F6" w:rsidRDefault="005A42A2" w:rsidP="00641834">
            <w:pPr>
              <w:pStyle w:val="TableParagraph"/>
              <w:jc w:val="center"/>
              <w:rPr>
                <w:sz w:val="20"/>
                <w:szCs w:val="20"/>
                <w:lang w:val="nb-NO"/>
              </w:rPr>
            </w:pPr>
            <w:r w:rsidRPr="00A942F6">
              <w:rPr>
                <w:sz w:val="20"/>
                <w:szCs w:val="20"/>
                <w:lang w:val="nb-NO"/>
              </w:rPr>
              <w:t>2,81</w:t>
            </w:r>
          </w:p>
        </w:tc>
        <w:tc>
          <w:tcPr>
            <w:tcW w:w="2601" w:type="dxa"/>
          </w:tcPr>
          <w:p w14:paraId="7267CF84" w14:textId="77777777" w:rsidR="005A42A2" w:rsidRPr="00A942F6" w:rsidRDefault="005A42A2" w:rsidP="00641834">
            <w:pPr>
              <w:pStyle w:val="TableParagraph"/>
              <w:jc w:val="center"/>
              <w:rPr>
                <w:sz w:val="20"/>
                <w:szCs w:val="20"/>
                <w:lang w:val="nb-NO"/>
              </w:rPr>
            </w:pPr>
            <w:r w:rsidRPr="00A942F6">
              <w:rPr>
                <w:sz w:val="20"/>
                <w:szCs w:val="20"/>
                <w:lang w:val="nb-NO"/>
              </w:rPr>
              <w:t>10,91</w:t>
            </w:r>
          </w:p>
        </w:tc>
      </w:tr>
    </w:tbl>
    <w:p w14:paraId="3B7BC53A" w14:textId="77777777" w:rsidR="005A42A2" w:rsidRPr="00A942F6" w:rsidRDefault="005A42A2" w:rsidP="00641834">
      <w:pPr>
        <w:pStyle w:val="tablenotestar"/>
        <w:rPr>
          <w:lang w:val="nb-NO"/>
        </w:rPr>
      </w:pPr>
      <w:r w:rsidRPr="00A942F6">
        <w:rPr>
          <w:lang w:val="nb-NO"/>
        </w:rPr>
        <w:t>τ = 2 uker eller 1 uke for de to s.c. regimene</w:t>
      </w:r>
    </w:p>
    <w:p w14:paraId="164A202F" w14:textId="77777777" w:rsidR="005A42A2" w:rsidRPr="00A942F6" w:rsidRDefault="005A42A2" w:rsidP="00641834">
      <w:pPr>
        <w:rPr>
          <w:lang w:val="nb-NO"/>
        </w:rPr>
      </w:pPr>
    </w:p>
    <w:p w14:paraId="34C163F2" w14:textId="57D8E504" w:rsidR="005A42A2" w:rsidRPr="00A942F6" w:rsidRDefault="005A42A2" w:rsidP="00641834">
      <w:pPr>
        <w:rPr>
          <w:lang w:val="nb-NO"/>
        </w:rPr>
      </w:pPr>
      <w:r w:rsidRPr="00A942F6">
        <w:rPr>
          <w:lang w:val="nb-NO"/>
        </w:rPr>
        <w:t xml:space="preserve">Ved dosering med </w:t>
      </w:r>
      <w:r w:rsidR="00A17AD0" w:rsidRPr="00A942F6">
        <w:rPr>
          <w:lang w:val="nb-NO"/>
        </w:rPr>
        <w:t>tocilizumab</w:t>
      </w:r>
      <w:r w:rsidRPr="00A942F6">
        <w:rPr>
          <w:lang w:val="nb-NO"/>
        </w:rPr>
        <w:t xml:space="preserve"> ukentlig var steady-state profilen nesten flat, med svært små svingninger mellom laveste og høyeste verdier, mens det var store svingninger ved dosering med </w:t>
      </w:r>
      <w:r w:rsidR="00A17AD0" w:rsidRPr="00A942F6">
        <w:rPr>
          <w:lang w:val="nb-NO"/>
        </w:rPr>
        <w:t>tocilizumab</w:t>
      </w:r>
      <w:r w:rsidRPr="00A942F6">
        <w:rPr>
          <w:lang w:val="nb-NO"/>
        </w:rPr>
        <w:t xml:space="preserve"> annenhver uke. Omtrent 90 % av steady-state (AUC</w:t>
      </w:r>
      <w:r w:rsidRPr="00A942F6">
        <w:rPr>
          <w:vertAlign w:val="subscript"/>
          <w:lang w:val="nb-NO"/>
        </w:rPr>
        <w:t>τ</w:t>
      </w:r>
      <w:r w:rsidRPr="00A942F6">
        <w:rPr>
          <w:lang w:val="nb-NO"/>
        </w:rPr>
        <w:t>) ble nådd i uke 14 i gruppen med dosering annenhver uke og i uke 17 i gruppen med dosering ukentlig.</w:t>
      </w:r>
    </w:p>
    <w:p w14:paraId="7A240F94" w14:textId="77777777" w:rsidR="00C23919" w:rsidRPr="00A942F6" w:rsidRDefault="00C23919" w:rsidP="00641834">
      <w:pPr>
        <w:rPr>
          <w:lang w:val="nb-NO"/>
        </w:rPr>
      </w:pPr>
    </w:p>
    <w:p w14:paraId="5476AAB5" w14:textId="36D69D66" w:rsidR="005A42A2" w:rsidRPr="00A942F6" w:rsidRDefault="005A42A2" w:rsidP="00641834">
      <w:pPr>
        <w:rPr>
          <w:lang w:val="nb-NO"/>
        </w:rPr>
      </w:pPr>
      <w:r w:rsidRPr="00A942F6">
        <w:rPr>
          <w:lang w:val="nb-NO"/>
        </w:rPr>
        <w:t xml:space="preserve">Basert på nåværende karakterisering av farmakokinetikken, er 50 % høyere </w:t>
      </w:r>
      <w:r w:rsidR="00A17AD0" w:rsidRPr="00A942F6">
        <w:rPr>
          <w:lang w:val="nb-NO"/>
        </w:rPr>
        <w:t>tocilizumab</w:t>
      </w:r>
      <w:r w:rsidRPr="00A942F6">
        <w:rPr>
          <w:lang w:val="nb-NO"/>
        </w:rPr>
        <w:t xml:space="preserve"> bunn- konsentrasjoner ved steady-state observert hos denne populasjonen i forhold til gjennomsnittskonsentrasjoner i et stort datasett fra RA-populasjonen. Disse forskjellene oppstår av ukjente grunner. Farmakokinetiske forskjeller er ikke ledsaget av påfallende forskjeller i farmakodynamiske-parametere, og den kliniske relevansen er derfor ukjent.</w:t>
      </w:r>
    </w:p>
    <w:p w14:paraId="677FCB07" w14:textId="77777777" w:rsidR="005A42A2" w:rsidRPr="00A942F6" w:rsidRDefault="005A42A2" w:rsidP="00641834">
      <w:pPr>
        <w:rPr>
          <w:lang w:val="nb-NO"/>
        </w:rPr>
      </w:pPr>
    </w:p>
    <w:p w14:paraId="2C9CAD40" w14:textId="33527A30" w:rsidR="005A42A2" w:rsidRPr="00A942F6" w:rsidRDefault="005A42A2" w:rsidP="00641834">
      <w:pPr>
        <w:rPr>
          <w:lang w:val="nb-NO"/>
        </w:rPr>
      </w:pPr>
      <w:r w:rsidRPr="00A942F6">
        <w:rPr>
          <w:lang w:val="nb-NO"/>
        </w:rPr>
        <w:t>Hos GCA-pasienter ble det observert en høyere eksponering ved mindre kroppsvekt. Ved dosering 162</w:t>
      </w:r>
      <w:r w:rsidR="002E140C">
        <w:rPr>
          <w:lang w:val="nb-NO"/>
        </w:rPr>
        <w:t> </w:t>
      </w:r>
      <w:r w:rsidRPr="00A942F6">
        <w:rPr>
          <w:lang w:val="nb-NO"/>
        </w:rPr>
        <w:t>mg ukentlig var steady-state Cavg 51 % høyere hos pasienter med kroppsvekt under 60 kg sammenlignet med pasienter mellom 60 og 100 kg. Ved dosering 162 mg annenhver uke, var steady- state Cavg 129 % høyere hos pasienter med kroppsvekt under 60 kg sammenlignet med pasienter mellom 60 og 100 kg. Det er begrenset data for pasienter over 100 kg (n=7).</w:t>
      </w:r>
    </w:p>
    <w:p w14:paraId="11AF44B3" w14:textId="77777777" w:rsidR="00C23919" w:rsidRPr="00A942F6" w:rsidRDefault="00C23919" w:rsidP="00641834">
      <w:pPr>
        <w:rPr>
          <w:lang w:val="nb-NO"/>
        </w:rPr>
      </w:pPr>
    </w:p>
    <w:p w14:paraId="0BEB2F58" w14:textId="77777777" w:rsidR="005A42A2" w:rsidRPr="00A942F6" w:rsidRDefault="005A42A2" w:rsidP="00641834">
      <w:pPr>
        <w:pStyle w:val="Style1underline"/>
        <w:rPr>
          <w:lang w:val="nb-NO"/>
        </w:rPr>
      </w:pPr>
      <w:r w:rsidRPr="00A942F6">
        <w:rPr>
          <w:lang w:val="nb-NO"/>
        </w:rPr>
        <w:t>Absorpsjon</w:t>
      </w:r>
    </w:p>
    <w:p w14:paraId="5883EBCE" w14:textId="62612ED0" w:rsidR="005A42A2" w:rsidRPr="00A942F6" w:rsidRDefault="005A42A2" w:rsidP="00641834">
      <w:pPr>
        <w:rPr>
          <w:lang w:val="nb-NO"/>
        </w:rPr>
      </w:pPr>
      <w:r w:rsidRPr="00A942F6">
        <w:rPr>
          <w:lang w:val="nb-NO"/>
        </w:rPr>
        <w:t>Etter subkutan dosering hos pasienter med GCA var absorpsjonen t</w:t>
      </w:r>
      <w:r w:rsidR="008E02AC" w:rsidRPr="00A942F6">
        <w:rPr>
          <w:rFonts w:cs="Times New Roman"/>
          <w:lang w:val="nb-NO"/>
        </w:rPr>
        <w:t>½</w:t>
      </w:r>
      <w:r w:rsidR="00F36EEE" w:rsidRPr="00A942F6">
        <w:rPr>
          <w:rFonts w:cs="Times New Roman"/>
          <w:vertAlign w:val="subscript"/>
          <w:lang w:val="nb-NO"/>
        </w:rPr>
        <w:t xml:space="preserve"> </w:t>
      </w:r>
      <w:r w:rsidRPr="00A942F6">
        <w:rPr>
          <w:lang w:val="nb-NO"/>
        </w:rPr>
        <w:t>rundt 4 dager. Biotilgjengeligheten for den subkutane formuleringen var 0,8. Medianverdiene for t</w:t>
      </w:r>
      <w:r w:rsidR="00F36EEE" w:rsidRPr="00A942F6">
        <w:rPr>
          <w:rFonts w:cs="Times New Roman"/>
          <w:vertAlign w:val="subscript"/>
          <w:lang w:val="nb-NO"/>
        </w:rPr>
        <w:t xml:space="preserve">max </w:t>
      </w:r>
      <w:r w:rsidRPr="00A942F6">
        <w:rPr>
          <w:lang w:val="nb-NO"/>
        </w:rPr>
        <w:t xml:space="preserve">var 3 dager etter dosering med </w:t>
      </w:r>
      <w:r w:rsidR="00A17AD0" w:rsidRPr="00A942F6">
        <w:rPr>
          <w:lang w:val="nb-NO"/>
        </w:rPr>
        <w:t>tocilizumab</w:t>
      </w:r>
      <w:r w:rsidRPr="00A942F6">
        <w:rPr>
          <w:lang w:val="nb-NO"/>
        </w:rPr>
        <w:t xml:space="preserve"> ukentlig, og 4,5 dager etter dosering med tocilizumab annenhver uke.</w:t>
      </w:r>
    </w:p>
    <w:p w14:paraId="57FA1773" w14:textId="77777777" w:rsidR="005A42A2" w:rsidRPr="00A942F6" w:rsidRDefault="005A42A2" w:rsidP="00641834">
      <w:pPr>
        <w:rPr>
          <w:lang w:val="nb-NO"/>
        </w:rPr>
      </w:pPr>
    </w:p>
    <w:p w14:paraId="306279E9" w14:textId="77777777" w:rsidR="005A42A2" w:rsidRPr="00A942F6" w:rsidRDefault="005A42A2" w:rsidP="00641834">
      <w:pPr>
        <w:pStyle w:val="Style1underline"/>
        <w:rPr>
          <w:lang w:val="nb-NO"/>
        </w:rPr>
      </w:pPr>
      <w:r w:rsidRPr="00A942F6">
        <w:rPr>
          <w:lang w:val="nb-NO"/>
        </w:rPr>
        <w:t>Distribusjon</w:t>
      </w:r>
    </w:p>
    <w:p w14:paraId="4CEB9F09" w14:textId="77777777" w:rsidR="005A42A2" w:rsidRPr="00A942F6" w:rsidRDefault="005A42A2" w:rsidP="00641834">
      <w:pPr>
        <w:rPr>
          <w:lang w:val="nb-NO"/>
        </w:rPr>
      </w:pPr>
      <w:r w:rsidRPr="00A942F6">
        <w:rPr>
          <w:lang w:val="nb-NO"/>
        </w:rPr>
        <w:t>Hos pasienter med GCA var det sentrale distribusjonsvolumet 4,09 l, det perifere distribusjonsvolumet var 3,37 l, hvilket resulterte i et distribusjonsvolum ved steady state på 7,46 l.</w:t>
      </w:r>
    </w:p>
    <w:p w14:paraId="0640E960" w14:textId="77777777" w:rsidR="005A42A2" w:rsidRPr="00A942F6" w:rsidRDefault="005A42A2" w:rsidP="00641834">
      <w:pPr>
        <w:rPr>
          <w:lang w:val="nb-NO"/>
        </w:rPr>
      </w:pPr>
    </w:p>
    <w:p w14:paraId="0345B7D5" w14:textId="77777777" w:rsidR="005A42A2" w:rsidRPr="00A942F6" w:rsidRDefault="005A42A2" w:rsidP="00641834">
      <w:pPr>
        <w:pStyle w:val="Style1underline"/>
        <w:rPr>
          <w:lang w:val="nb-NO"/>
        </w:rPr>
      </w:pPr>
      <w:r w:rsidRPr="00A942F6">
        <w:rPr>
          <w:lang w:val="nb-NO"/>
        </w:rPr>
        <w:lastRenderedPageBreak/>
        <w:t>Eliminasjon</w:t>
      </w:r>
    </w:p>
    <w:p w14:paraId="24AA2373" w14:textId="454DDCD2" w:rsidR="005A42A2" w:rsidRPr="00A942F6" w:rsidRDefault="005A42A2" w:rsidP="00641834">
      <w:pPr>
        <w:rPr>
          <w:lang w:val="nb-NO"/>
        </w:rPr>
      </w:pPr>
      <w:r w:rsidRPr="00A942F6">
        <w:rPr>
          <w:lang w:val="nb-NO"/>
        </w:rPr>
        <w:t xml:space="preserve">Total clearance av </w:t>
      </w:r>
      <w:r w:rsidR="00A17AD0" w:rsidRPr="00A942F6">
        <w:rPr>
          <w:lang w:val="nb-NO"/>
        </w:rPr>
        <w:t>tocilizumab</w:t>
      </w:r>
      <w:r w:rsidRPr="00A942F6">
        <w:rPr>
          <w:lang w:val="nb-NO"/>
        </w:rPr>
        <w:t xml:space="preserve"> var konsentrasjonsavhengig og er summen av lineær clearance og ikke-lineær clearance. Den lineære clearance ble beregnet som en parameter i populasjonsfarmakokinetisk analyse og var 6,7 ml/time hos pasienter med GCA.</w:t>
      </w:r>
    </w:p>
    <w:p w14:paraId="2E1EA7AE" w14:textId="77777777" w:rsidR="005A42A2" w:rsidRPr="00A942F6" w:rsidRDefault="005A42A2" w:rsidP="00641834">
      <w:pPr>
        <w:rPr>
          <w:lang w:val="nb-NO"/>
        </w:rPr>
      </w:pPr>
    </w:p>
    <w:p w14:paraId="691391D4" w14:textId="571D3669" w:rsidR="005A42A2" w:rsidRPr="00A942F6" w:rsidRDefault="005A42A2" w:rsidP="00641834">
      <w:pPr>
        <w:rPr>
          <w:lang w:val="nb-NO"/>
        </w:rPr>
      </w:pPr>
      <w:r w:rsidRPr="00A942F6">
        <w:rPr>
          <w:lang w:val="nb-NO"/>
        </w:rPr>
        <w:t>Hos GCA-pasienter varierte den effektive t</w:t>
      </w:r>
      <w:r w:rsidR="00F36EEE" w:rsidRPr="00A942F6">
        <w:rPr>
          <w:rFonts w:cs="Times New Roman"/>
          <w:lang w:val="nb-NO"/>
        </w:rPr>
        <w:t>½</w:t>
      </w:r>
      <w:r w:rsidR="00F36EEE" w:rsidRPr="00A942F6">
        <w:rPr>
          <w:rFonts w:cs="Times New Roman"/>
          <w:vertAlign w:val="subscript"/>
          <w:lang w:val="nb-NO"/>
        </w:rPr>
        <w:t xml:space="preserve"> </w:t>
      </w:r>
      <w:r w:rsidRPr="00A942F6">
        <w:rPr>
          <w:lang w:val="nb-NO"/>
        </w:rPr>
        <w:t xml:space="preserve">av </w:t>
      </w:r>
      <w:r w:rsidR="00A17AD0" w:rsidRPr="00A942F6">
        <w:rPr>
          <w:lang w:val="nb-NO"/>
        </w:rPr>
        <w:t>tocilizumab</w:t>
      </w:r>
      <w:r w:rsidRPr="00A942F6">
        <w:rPr>
          <w:lang w:val="nb-NO"/>
        </w:rPr>
        <w:t xml:space="preserve"> ved steady-state mellom 18,3 og 18,9</w:t>
      </w:r>
      <w:r w:rsidR="002E140C" w:rsidRPr="009B40A5">
        <w:rPr>
          <w:lang w:val="nb-NO"/>
        </w:rPr>
        <w:t> </w:t>
      </w:r>
      <w:r w:rsidRPr="00A942F6">
        <w:rPr>
          <w:lang w:val="nb-NO"/>
        </w:rPr>
        <w:t>dager ved behandling med 162 mg ukentlig, og mellom 4,2 og 7,9 dager ved behandling med</w:t>
      </w:r>
    </w:p>
    <w:p w14:paraId="2ECE6721" w14:textId="16BD36FC" w:rsidR="005A42A2" w:rsidRPr="00A942F6" w:rsidRDefault="005A42A2" w:rsidP="00641834">
      <w:pPr>
        <w:rPr>
          <w:lang w:val="nb-NO"/>
        </w:rPr>
      </w:pPr>
      <w:r w:rsidRPr="00A942F6">
        <w:rPr>
          <w:lang w:val="nb-NO"/>
        </w:rPr>
        <w:t xml:space="preserve">162 mg annenhver uke. Ved høye serumkonsentrasjoner, når total clearance av </w:t>
      </w:r>
      <w:r w:rsidR="00A17AD0" w:rsidRPr="00A942F6">
        <w:rPr>
          <w:lang w:val="nb-NO"/>
        </w:rPr>
        <w:t>tocilizumab</w:t>
      </w:r>
      <w:r w:rsidRPr="00A942F6">
        <w:rPr>
          <w:lang w:val="nb-NO"/>
        </w:rPr>
        <w:t xml:space="preserve"> domineres av lineær clearance, ble en effektiv t</w:t>
      </w:r>
      <w:r w:rsidR="00F36EEE" w:rsidRPr="00A942F6">
        <w:rPr>
          <w:rFonts w:cs="Times New Roman"/>
          <w:lang w:val="nb-NO"/>
        </w:rPr>
        <w:t>½</w:t>
      </w:r>
      <w:r w:rsidR="00F36EEE" w:rsidRPr="00A942F6">
        <w:rPr>
          <w:rFonts w:cs="Times New Roman"/>
          <w:vertAlign w:val="subscript"/>
          <w:lang w:val="nb-NO"/>
        </w:rPr>
        <w:t xml:space="preserve"> </w:t>
      </w:r>
      <w:r w:rsidRPr="00A942F6">
        <w:rPr>
          <w:lang w:val="nb-NO"/>
        </w:rPr>
        <w:t>på omtrent 32 dager estimert ut fra populasjonsparametere.</w:t>
      </w:r>
    </w:p>
    <w:p w14:paraId="3F573328" w14:textId="77777777" w:rsidR="00C23919" w:rsidRPr="00A942F6" w:rsidRDefault="00C23919" w:rsidP="00641834">
      <w:pPr>
        <w:rPr>
          <w:lang w:val="nb-NO"/>
        </w:rPr>
      </w:pPr>
    </w:p>
    <w:p w14:paraId="0F525B07" w14:textId="77777777" w:rsidR="005A42A2" w:rsidRPr="00A942F6" w:rsidRDefault="005A42A2" w:rsidP="00641834">
      <w:pPr>
        <w:pStyle w:val="Style1underline"/>
        <w:rPr>
          <w:lang w:val="nb-NO"/>
        </w:rPr>
      </w:pPr>
      <w:r w:rsidRPr="00A942F6">
        <w:rPr>
          <w:lang w:val="nb-NO"/>
        </w:rPr>
        <w:t>Spesielle populasjoner</w:t>
      </w:r>
    </w:p>
    <w:p w14:paraId="657AD8AF" w14:textId="4FC7F55C" w:rsidR="005A42A2" w:rsidRPr="00A942F6" w:rsidRDefault="005A42A2" w:rsidP="00641834">
      <w:pPr>
        <w:rPr>
          <w:lang w:val="nb-NO"/>
        </w:rPr>
      </w:pPr>
      <w:r w:rsidRPr="00A942F6">
        <w:rPr>
          <w:lang w:val="nb-NO"/>
        </w:rPr>
        <w:t xml:space="preserve">Nedsatt nyrefunksjon: Det er ikke utført formelle studier vedrørende effekten av nedsatt nyrefunksjon på farmakokinetikken til </w:t>
      </w:r>
      <w:r w:rsidR="00A17AD0" w:rsidRPr="00A942F6">
        <w:rPr>
          <w:lang w:val="nb-NO"/>
        </w:rPr>
        <w:t>tocilizumab</w:t>
      </w:r>
      <w:r w:rsidRPr="00A942F6">
        <w:rPr>
          <w:lang w:val="nb-NO"/>
        </w:rPr>
        <w:t xml:space="preserve">. De fleste pasientene i RA- og GCA-studiene i den populasjonsfarmakokinetiske analysen hadde normal eller lett nedsatt nyrefunksjon. Lett nedsatt nyrefunksjon (estimert kreatinin-clearance basert på Cockcroft-Gault-formel) hadde ingen innvirkning på farmakokinetikken til </w:t>
      </w:r>
      <w:r w:rsidR="00A17AD0" w:rsidRPr="00A942F6">
        <w:rPr>
          <w:lang w:val="nb-NO"/>
        </w:rPr>
        <w:t>tocilizumab</w:t>
      </w:r>
      <w:r w:rsidRPr="00A942F6">
        <w:rPr>
          <w:lang w:val="nb-NO"/>
        </w:rPr>
        <w:t>.</w:t>
      </w:r>
    </w:p>
    <w:p w14:paraId="34D793CE" w14:textId="77777777" w:rsidR="00C23919" w:rsidRPr="00A942F6" w:rsidRDefault="00C23919" w:rsidP="00641834">
      <w:pPr>
        <w:rPr>
          <w:lang w:val="nb-NO"/>
        </w:rPr>
      </w:pPr>
    </w:p>
    <w:p w14:paraId="4D4E24B2" w14:textId="451CA7B5" w:rsidR="005A42A2" w:rsidRPr="00A942F6" w:rsidRDefault="005A42A2" w:rsidP="00641834">
      <w:pPr>
        <w:rPr>
          <w:lang w:val="nb-NO"/>
        </w:rPr>
      </w:pPr>
      <w:r w:rsidRPr="00A942F6">
        <w:rPr>
          <w:lang w:val="nb-NO"/>
        </w:rPr>
        <w:t xml:space="preserve">Omtrent en tredjedel av pasientene i GCA-studien hadde moderat nedsatt nyrefunksjon ved "baseline" (estimert kreatinin-clearance på 30-59 ml/min). Det ble ikke sett noen påvirkning av </w:t>
      </w:r>
      <w:r w:rsidR="00A17AD0" w:rsidRPr="00A942F6">
        <w:rPr>
          <w:lang w:val="nb-NO"/>
        </w:rPr>
        <w:t>tocilizumab</w:t>
      </w:r>
      <w:r w:rsidRPr="00A942F6">
        <w:rPr>
          <w:lang w:val="nb-NO"/>
        </w:rPr>
        <w:t xml:space="preserve"> hos disse pasientene.</w:t>
      </w:r>
    </w:p>
    <w:p w14:paraId="49E298DB" w14:textId="77777777" w:rsidR="005A42A2" w:rsidRPr="00A942F6" w:rsidRDefault="005A42A2" w:rsidP="00641834">
      <w:pPr>
        <w:rPr>
          <w:lang w:val="nb-NO"/>
        </w:rPr>
      </w:pPr>
    </w:p>
    <w:p w14:paraId="150EDB62" w14:textId="77777777" w:rsidR="005A42A2" w:rsidRPr="00A942F6" w:rsidRDefault="005A42A2" w:rsidP="00641834">
      <w:pPr>
        <w:rPr>
          <w:lang w:val="nb-NO"/>
        </w:rPr>
      </w:pPr>
      <w:r w:rsidRPr="00A942F6">
        <w:rPr>
          <w:lang w:val="nb-NO"/>
        </w:rPr>
        <w:t>Det er ikke nødvendig med dosejustering hos pasienter med lett eller moderat nedsatt nyrefunksjon.</w:t>
      </w:r>
    </w:p>
    <w:p w14:paraId="7602FF90" w14:textId="77777777" w:rsidR="005A42A2" w:rsidRPr="00A942F6" w:rsidRDefault="005A42A2" w:rsidP="00641834">
      <w:pPr>
        <w:rPr>
          <w:lang w:val="nb-NO"/>
        </w:rPr>
      </w:pPr>
    </w:p>
    <w:p w14:paraId="6C1323A8" w14:textId="775AAA0F" w:rsidR="005A42A2" w:rsidRPr="00A942F6" w:rsidRDefault="005A42A2" w:rsidP="00641834">
      <w:pPr>
        <w:rPr>
          <w:lang w:val="nb-NO"/>
        </w:rPr>
      </w:pPr>
      <w:r w:rsidRPr="00A942F6">
        <w:rPr>
          <w:i/>
          <w:iCs/>
          <w:lang w:val="nb-NO"/>
        </w:rPr>
        <w:t>Nedsatt leverfunksjon:</w:t>
      </w:r>
      <w:r w:rsidRPr="00A942F6">
        <w:rPr>
          <w:lang w:val="nb-NO"/>
        </w:rPr>
        <w:t xml:space="preserve"> Det er ikke utført formelle studier vedrørende effekten av nedsatt leverfunksjon på farmakokinetikken til </w:t>
      </w:r>
      <w:r w:rsidR="00A17AD0" w:rsidRPr="00A942F6">
        <w:rPr>
          <w:lang w:val="nb-NO"/>
        </w:rPr>
        <w:t>tocilizumab</w:t>
      </w:r>
      <w:r w:rsidRPr="00A942F6">
        <w:rPr>
          <w:lang w:val="nb-NO"/>
        </w:rPr>
        <w:t>.</w:t>
      </w:r>
    </w:p>
    <w:p w14:paraId="354BD70C" w14:textId="77777777" w:rsidR="00C23919" w:rsidRPr="00A942F6" w:rsidRDefault="00C23919" w:rsidP="00641834">
      <w:pPr>
        <w:rPr>
          <w:lang w:val="nb-NO"/>
        </w:rPr>
      </w:pPr>
    </w:p>
    <w:p w14:paraId="3985BA4E" w14:textId="6C3B0373" w:rsidR="005A42A2" w:rsidRPr="00A942F6" w:rsidRDefault="005A42A2" w:rsidP="00641834">
      <w:pPr>
        <w:rPr>
          <w:lang w:val="nb-NO"/>
        </w:rPr>
      </w:pPr>
      <w:r w:rsidRPr="00A942F6">
        <w:rPr>
          <w:i/>
          <w:iCs/>
          <w:lang w:val="nb-NO"/>
        </w:rPr>
        <w:t>Alder, kjønn og etnisitet:</w:t>
      </w:r>
      <w:r w:rsidRPr="00A942F6">
        <w:rPr>
          <w:lang w:val="nb-NO"/>
        </w:rPr>
        <w:t xml:space="preserve"> Populasjonsfarmakokinetiske analyser hos voksne RA- og GCA-pasienter viste at alder, kjønn og etnisk opprinnelse ikke påvirket farmakokinetikken til </w:t>
      </w:r>
      <w:r w:rsidR="00A17AD0" w:rsidRPr="00A942F6">
        <w:rPr>
          <w:lang w:val="nb-NO"/>
        </w:rPr>
        <w:t>tocilizumab</w:t>
      </w:r>
      <w:r w:rsidRPr="00A942F6">
        <w:rPr>
          <w:lang w:val="nb-NO"/>
        </w:rPr>
        <w:t>.</w:t>
      </w:r>
    </w:p>
    <w:p w14:paraId="5A491F19" w14:textId="77777777" w:rsidR="00C23919" w:rsidRPr="00A942F6" w:rsidRDefault="00C23919" w:rsidP="00641834">
      <w:pPr>
        <w:rPr>
          <w:lang w:val="nb-NO"/>
        </w:rPr>
      </w:pPr>
    </w:p>
    <w:p w14:paraId="423AD6FA" w14:textId="2F003250" w:rsidR="005A42A2" w:rsidRPr="00A942F6" w:rsidRDefault="005A42A2" w:rsidP="00641834">
      <w:pPr>
        <w:rPr>
          <w:lang w:val="nb-NO"/>
        </w:rPr>
      </w:pPr>
      <w:r w:rsidRPr="00A942F6">
        <w:rPr>
          <w:lang w:val="nb-NO"/>
        </w:rPr>
        <w:t xml:space="preserve">Resultater fra den farmakokinetiske populasjonsanalysen for sJIA- og pJIA-pasienter bekreftet at kroppsstørrelse er det eneste kovariatet som har en nevneverdig effekt på farmakokinetikken til </w:t>
      </w:r>
      <w:r w:rsidR="00A17AD0" w:rsidRPr="00A942F6">
        <w:rPr>
          <w:lang w:val="nb-NO"/>
        </w:rPr>
        <w:t>tocilizumab</w:t>
      </w:r>
      <w:r w:rsidRPr="00A942F6">
        <w:rPr>
          <w:lang w:val="nb-NO"/>
        </w:rPr>
        <w:t>, inkludert eliminasjon og absorpsjon. Derfor bør kroppsvektbasert dosering tas i betraktning (se tabell 8 og 9).</w:t>
      </w:r>
    </w:p>
    <w:p w14:paraId="665606F1" w14:textId="77777777" w:rsidR="005A42A2" w:rsidRPr="00A942F6" w:rsidRDefault="005A42A2" w:rsidP="00641834">
      <w:pPr>
        <w:rPr>
          <w:lang w:val="nb-NO"/>
        </w:rPr>
      </w:pPr>
    </w:p>
    <w:p w14:paraId="0D552864" w14:textId="77777777" w:rsidR="005A42A2" w:rsidRPr="00A942F6" w:rsidRDefault="005A42A2" w:rsidP="00641834">
      <w:pPr>
        <w:pStyle w:val="H2"/>
        <w:rPr>
          <w:lang w:val="nb-NO"/>
        </w:rPr>
      </w:pPr>
      <w:r w:rsidRPr="00A942F6">
        <w:rPr>
          <w:lang w:val="nb-NO"/>
        </w:rPr>
        <w:t>5.3</w:t>
      </w:r>
      <w:r w:rsidRPr="00A942F6">
        <w:rPr>
          <w:lang w:val="nb-NO"/>
        </w:rPr>
        <w:tab/>
        <w:t>Prekliniske sikkerhetsdata</w:t>
      </w:r>
    </w:p>
    <w:p w14:paraId="16FB39D4" w14:textId="77777777" w:rsidR="00426296" w:rsidRPr="00A942F6" w:rsidRDefault="00426296" w:rsidP="00641834">
      <w:pPr>
        <w:rPr>
          <w:lang w:val="nb-NO"/>
        </w:rPr>
      </w:pPr>
    </w:p>
    <w:p w14:paraId="3EE64804" w14:textId="77777777" w:rsidR="005A42A2" w:rsidRPr="00A942F6" w:rsidRDefault="005A42A2" w:rsidP="00641834">
      <w:pPr>
        <w:rPr>
          <w:lang w:val="nb-NO"/>
        </w:rPr>
      </w:pPr>
      <w:r w:rsidRPr="00A942F6">
        <w:rPr>
          <w:lang w:val="nb-NO"/>
        </w:rPr>
        <w:t>Prekliniske data indikerer ingen spesiell fare for mennesker basert på konvensjonelle studier av sikkerhetsfarmakologi, toksisitetstester ved gjentatt dosering, gentoksisitet og toksisitet ved reproduksjon og utvikling.</w:t>
      </w:r>
    </w:p>
    <w:p w14:paraId="23659EAA" w14:textId="77777777" w:rsidR="005A42A2" w:rsidRPr="00A942F6" w:rsidRDefault="005A42A2" w:rsidP="00641834">
      <w:pPr>
        <w:rPr>
          <w:lang w:val="nb-NO"/>
        </w:rPr>
      </w:pPr>
    </w:p>
    <w:p w14:paraId="0C84B81A" w14:textId="77777777" w:rsidR="005A42A2" w:rsidRPr="00A942F6" w:rsidRDefault="005A42A2" w:rsidP="00641834">
      <w:pPr>
        <w:rPr>
          <w:lang w:val="nb-NO"/>
        </w:rPr>
      </w:pPr>
      <w:r w:rsidRPr="00A942F6">
        <w:rPr>
          <w:lang w:val="nb-NO"/>
        </w:rPr>
        <w:t>Karsinogenitets-studier er ikke utført på grunn av at IgG1-monoklonale antistoffer ikke er ansett å ha vesentlig karsinogent potensial.</w:t>
      </w:r>
    </w:p>
    <w:p w14:paraId="5A9776D7" w14:textId="77777777" w:rsidR="00C23919" w:rsidRPr="00A942F6" w:rsidRDefault="00C23919" w:rsidP="00641834">
      <w:pPr>
        <w:rPr>
          <w:lang w:val="nb-NO"/>
        </w:rPr>
      </w:pPr>
    </w:p>
    <w:p w14:paraId="7FB6F530" w14:textId="3596F151" w:rsidR="005A42A2" w:rsidRPr="00A942F6" w:rsidRDefault="005A42A2" w:rsidP="00641834">
      <w:pPr>
        <w:rPr>
          <w:lang w:val="nb-NO"/>
        </w:rPr>
      </w:pPr>
      <w:r w:rsidRPr="00A942F6">
        <w:rPr>
          <w:lang w:val="nb-NO"/>
        </w:rPr>
        <w:t xml:space="preserve">Tilgjengelige prekliniske data påviste effekt av IL-6 på malign progresjon og apoptoseresistens ved ulike krefttyper. Disse dataene antyder ingen relevant risiko for initiering eller progresjon av kreft ved behandling med </w:t>
      </w:r>
      <w:r w:rsidR="00A17AD0" w:rsidRPr="00A942F6">
        <w:rPr>
          <w:lang w:val="nb-NO"/>
        </w:rPr>
        <w:t>tocilizumab</w:t>
      </w:r>
      <w:r w:rsidRPr="00A942F6">
        <w:rPr>
          <w:lang w:val="nb-NO"/>
        </w:rPr>
        <w:t>. Det ble heller ikke observert vekst av maligne tumorer i en 6-måneders kronisk toksisitetsstudie hos cynomolgusape eller hos mus med IL-6 mangel.</w:t>
      </w:r>
    </w:p>
    <w:p w14:paraId="28E91F89" w14:textId="77777777" w:rsidR="005A42A2" w:rsidRPr="00A942F6" w:rsidRDefault="005A42A2" w:rsidP="00641834">
      <w:pPr>
        <w:rPr>
          <w:lang w:val="nb-NO"/>
        </w:rPr>
      </w:pPr>
    </w:p>
    <w:p w14:paraId="126B903B" w14:textId="3F388E03" w:rsidR="005A42A2" w:rsidRPr="00A942F6" w:rsidRDefault="005A42A2" w:rsidP="00641834">
      <w:pPr>
        <w:rPr>
          <w:lang w:val="nb-NO"/>
        </w:rPr>
      </w:pPr>
      <w:r w:rsidRPr="00A942F6">
        <w:rPr>
          <w:lang w:val="nb-NO"/>
        </w:rPr>
        <w:t xml:space="preserve">Tilgjengelige prekliniske data indikerer ikke noen påvirkning av fertilitet ved behandling med </w:t>
      </w:r>
      <w:r w:rsidR="00A17AD0" w:rsidRPr="00A942F6">
        <w:rPr>
          <w:lang w:val="nb-NO"/>
        </w:rPr>
        <w:t>tocilizumab</w:t>
      </w:r>
      <w:r w:rsidRPr="00A942F6">
        <w:rPr>
          <w:lang w:val="nb-NO"/>
        </w:rPr>
        <w:t xml:space="preserve">. Effekter på aktive endokrine organer og reproduksjonsorganer ble ikke observert i en kronisk toksisitetsstudie hos cynomolgusape, og reproduksjonsevnen ble ikke påvirket hos mus med IL-6-mangel. </w:t>
      </w:r>
      <w:r w:rsidR="00A17AD0" w:rsidRPr="00A942F6">
        <w:rPr>
          <w:lang w:val="nb-NO"/>
        </w:rPr>
        <w:t>Tocilizumab</w:t>
      </w:r>
      <w:r w:rsidRPr="00A942F6">
        <w:rPr>
          <w:lang w:val="nb-NO"/>
        </w:rPr>
        <w:t xml:space="preserve"> administrert til cynomolgusaper tidlig i drektighetsforløpet viste ingen direkte eller indirekte skadelig effekt på drektigheten eller fosterutviklingen. Imidlertid ble en liten økning i abort/fosterdød observert ved høy systemisk eksponering (&gt; 100 x høyere enn eksponering hos mennesker) hos gruppen som fikk 50 mg/kg/dag i forhold til gruppene som fikk placebo eller andre lave doser. Selv om IL-6 ikke ser ut til å være et kritisk cytokin for fostervekst eller </w:t>
      </w:r>
      <w:r w:rsidRPr="00A942F6">
        <w:rPr>
          <w:lang w:val="nb-NO"/>
        </w:rPr>
        <w:lastRenderedPageBreak/>
        <w:t xml:space="preserve">immunologisk kontroll av mor/foster-kontakt, kan man ikke utelukke at nevnte funn har en sammenheng med </w:t>
      </w:r>
      <w:r w:rsidR="00A17AD0" w:rsidRPr="00A942F6">
        <w:rPr>
          <w:lang w:val="nb-NO"/>
        </w:rPr>
        <w:t>tocilizumab</w:t>
      </w:r>
      <w:r w:rsidRPr="00A942F6">
        <w:rPr>
          <w:lang w:val="nb-NO"/>
        </w:rPr>
        <w:t>.</w:t>
      </w:r>
    </w:p>
    <w:p w14:paraId="4388E985" w14:textId="77777777" w:rsidR="005A42A2" w:rsidRPr="00A942F6" w:rsidRDefault="005A42A2" w:rsidP="00641834">
      <w:pPr>
        <w:rPr>
          <w:lang w:val="nb-NO"/>
        </w:rPr>
      </w:pPr>
    </w:p>
    <w:p w14:paraId="76737518" w14:textId="77777777" w:rsidR="005A42A2" w:rsidRPr="00A942F6" w:rsidRDefault="005A42A2" w:rsidP="00641834">
      <w:pPr>
        <w:rPr>
          <w:lang w:val="nb-NO"/>
        </w:rPr>
      </w:pPr>
      <w:r w:rsidRPr="00A942F6">
        <w:rPr>
          <w:lang w:val="nb-NO"/>
        </w:rPr>
        <w:t>Behandling med en murinanalog ga ikke toksisitet hos juvenile mus. Mer spesifikt forekom ikke svekket skjelettvekst, immunfunksjon eller kjønnsmodning.</w:t>
      </w:r>
    </w:p>
    <w:p w14:paraId="46601B7F" w14:textId="77ACDF7B" w:rsidR="005A42A2" w:rsidRPr="00A942F6" w:rsidRDefault="005A42A2" w:rsidP="00641834">
      <w:pPr>
        <w:rPr>
          <w:lang w:val="nb-NO"/>
        </w:rPr>
      </w:pPr>
      <w:r w:rsidRPr="00A942F6">
        <w:rPr>
          <w:lang w:val="nb-NO"/>
        </w:rPr>
        <w:t xml:space="preserve">Den ikke-kliniske sikkerhetsprofilen for </w:t>
      </w:r>
      <w:r w:rsidR="00A17AD0" w:rsidRPr="00A942F6">
        <w:rPr>
          <w:lang w:val="nb-NO"/>
        </w:rPr>
        <w:t>tocilizumab</w:t>
      </w:r>
      <w:r w:rsidRPr="00A942F6">
        <w:rPr>
          <w:lang w:val="nb-NO"/>
        </w:rPr>
        <w:t xml:space="preserve"> i cynomolgusaper indikerer ingen forskjell mellom intravenøse og subkutane administrasjonsveier.</w:t>
      </w:r>
    </w:p>
    <w:p w14:paraId="700BA1B0" w14:textId="77777777" w:rsidR="005A42A2" w:rsidRPr="00A942F6" w:rsidRDefault="005A42A2" w:rsidP="00641834">
      <w:pPr>
        <w:rPr>
          <w:lang w:val="nb-NO"/>
        </w:rPr>
      </w:pPr>
    </w:p>
    <w:p w14:paraId="0946D2E1" w14:textId="77777777" w:rsidR="005A42A2" w:rsidRPr="00A942F6" w:rsidRDefault="005A42A2" w:rsidP="00641834">
      <w:pPr>
        <w:rPr>
          <w:lang w:val="nb-NO"/>
        </w:rPr>
      </w:pPr>
    </w:p>
    <w:p w14:paraId="7D14B19D" w14:textId="77777777" w:rsidR="005A42A2" w:rsidRPr="00A942F6" w:rsidRDefault="005A42A2" w:rsidP="00641834">
      <w:pPr>
        <w:pStyle w:val="H1"/>
        <w:rPr>
          <w:lang w:val="nb-NO"/>
        </w:rPr>
      </w:pPr>
      <w:r w:rsidRPr="00A942F6">
        <w:rPr>
          <w:lang w:val="nb-NO"/>
        </w:rPr>
        <w:t>6.</w:t>
      </w:r>
      <w:r w:rsidRPr="00A942F6">
        <w:rPr>
          <w:lang w:val="nb-NO"/>
        </w:rPr>
        <w:tab/>
        <w:t>FARMASØYTISKE OPPLYSNINGER</w:t>
      </w:r>
    </w:p>
    <w:p w14:paraId="1DEED6DD" w14:textId="77777777" w:rsidR="005A42A2" w:rsidRPr="00A942F6" w:rsidRDefault="005A42A2" w:rsidP="00641834">
      <w:pPr>
        <w:rPr>
          <w:lang w:val="nb-NO"/>
        </w:rPr>
      </w:pPr>
    </w:p>
    <w:p w14:paraId="6EB59574" w14:textId="77777777" w:rsidR="005A42A2" w:rsidRPr="00A942F6" w:rsidRDefault="005A42A2" w:rsidP="00641834">
      <w:pPr>
        <w:pStyle w:val="H2"/>
        <w:rPr>
          <w:lang w:val="nb-NO"/>
        </w:rPr>
      </w:pPr>
      <w:r w:rsidRPr="00A942F6">
        <w:rPr>
          <w:lang w:val="nb-NO"/>
        </w:rPr>
        <w:t>6.1</w:t>
      </w:r>
      <w:r w:rsidRPr="00A942F6">
        <w:rPr>
          <w:lang w:val="nb-NO"/>
        </w:rPr>
        <w:tab/>
        <w:t>Hjelpestoffer</w:t>
      </w:r>
    </w:p>
    <w:p w14:paraId="473373AF" w14:textId="77777777" w:rsidR="00426296" w:rsidRPr="00A942F6" w:rsidRDefault="00426296" w:rsidP="00641834">
      <w:pPr>
        <w:rPr>
          <w:lang w:val="nb-NO"/>
        </w:rPr>
      </w:pPr>
    </w:p>
    <w:p w14:paraId="1BE9D3D2" w14:textId="77777777" w:rsidR="005A42A2" w:rsidRDefault="005A42A2" w:rsidP="00641834">
      <w:pPr>
        <w:rPr>
          <w:rFonts w:eastAsia="맑은 고딕"/>
          <w:lang w:val="nb-NO" w:eastAsia="ko-KR"/>
        </w:rPr>
      </w:pPr>
      <w:r w:rsidRPr="00A942F6">
        <w:rPr>
          <w:lang w:val="nb-NO"/>
        </w:rPr>
        <w:t>L-histidin</w:t>
      </w:r>
    </w:p>
    <w:p w14:paraId="12435606" w14:textId="6B80C356" w:rsidR="00CE3CFB" w:rsidRPr="00BD4D94" w:rsidRDefault="001B685D" w:rsidP="00641834">
      <w:pPr>
        <w:rPr>
          <w:rFonts w:eastAsia="맑은 고딕"/>
          <w:lang w:eastAsia="ko-KR"/>
        </w:rPr>
      </w:pPr>
      <w:r w:rsidRPr="001B685D">
        <w:rPr>
          <w:rFonts w:eastAsia="맑은 고딕"/>
          <w:lang w:eastAsia="ko-KR"/>
        </w:rPr>
        <w:t>L-histidin monohydroklorid monohydrat</w:t>
      </w:r>
    </w:p>
    <w:p w14:paraId="746FF18F" w14:textId="77777777" w:rsidR="00A17AD0" w:rsidRPr="00BD4D94" w:rsidRDefault="00A17AD0" w:rsidP="00641834">
      <w:pPr>
        <w:rPr>
          <w:lang w:val="en-GB"/>
        </w:rPr>
      </w:pPr>
      <w:r w:rsidRPr="00BD4D94">
        <w:rPr>
          <w:lang w:val="en-GB"/>
        </w:rPr>
        <w:t>L</w:t>
      </w:r>
      <w:r w:rsidR="005144DC" w:rsidRPr="00BD4D94">
        <w:rPr>
          <w:lang w:val="en-GB"/>
        </w:rPr>
        <w:noBreakHyphen/>
      </w:r>
      <w:r w:rsidRPr="00BD4D94">
        <w:rPr>
          <w:lang w:val="en-GB"/>
        </w:rPr>
        <w:t>treonin</w:t>
      </w:r>
    </w:p>
    <w:p w14:paraId="2C191CA3" w14:textId="77777777" w:rsidR="00C23919" w:rsidRPr="00BD4D94" w:rsidRDefault="00C23919" w:rsidP="00641834">
      <w:pPr>
        <w:rPr>
          <w:lang w:val="en-GB"/>
        </w:rPr>
      </w:pPr>
      <w:r w:rsidRPr="00BD4D94">
        <w:rPr>
          <w:lang w:val="en-GB"/>
        </w:rPr>
        <w:t>L-metionin</w:t>
      </w:r>
    </w:p>
    <w:p w14:paraId="5A6C6B43" w14:textId="77777777" w:rsidR="005A42A2" w:rsidRPr="00BD4D94" w:rsidRDefault="005A42A2" w:rsidP="00641834">
      <w:pPr>
        <w:rPr>
          <w:lang w:val="en-GB"/>
        </w:rPr>
      </w:pPr>
      <w:r w:rsidRPr="00BD4D94">
        <w:rPr>
          <w:lang w:val="en-GB"/>
        </w:rPr>
        <w:t>Polysorbat 80</w:t>
      </w:r>
    </w:p>
    <w:p w14:paraId="0C5BBF36" w14:textId="77777777" w:rsidR="005A42A2" w:rsidRPr="00A942F6" w:rsidRDefault="005A42A2" w:rsidP="00641834">
      <w:pPr>
        <w:rPr>
          <w:lang w:val="nb-NO"/>
        </w:rPr>
      </w:pPr>
      <w:r w:rsidRPr="00A942F6">
        <w:rPr>
          <w:lang w:val="nb-NO"/>
        </w:rPr>
        <w:t>Vann til injeksjonsvæsker</w:t>
      </w:r>
    </w:p>
    <w:p w14:paraId="36C3343D" w14:textId="77777777" w:rsidR="005A42A2" w:rsidRPr="00A942F6" w:rsidRDefault="005A42A2" w:rsidP="00641834">
      <w:pPr>
        <w:rPr>
          <w:lang w:val="nb-NO"/>
        </w:rPr>
      </w:pPr>
    </w:p>
    <w:p w14:paraId="79B7D5C8" w14:textId="77777777" w:rsidR="005A42A2" w:rsidRPr="00A942F6" w:rsidRDefault="005A42A2" w:rsidP="00641834">
      <w:pPr>
        <w:pStyle w:val="H2"/>
        <w:rPr>
          <w:lang w:val="nb-NO"/>
        </w:rPr>
      </w:pPr>
      <w:r w:rsidRPr="00A942F6">
        <w:rPr>
          <w:lang w:val="nb-NO"/>
        </w:rPr>
        <w:t>6.2</w:t>
      </w:r>
      <w:r w:rsidRPr="00A942F6">
        <w:rPr>
          <w:lang w:val="nb-NO"/>
        </w:rPr>
        <w:tab/>
        <w:t>Uforlikeligheter</w:t>
      </w:r>
    </w:p>
    <w:p w14:paraId="1C9160C1" w14:textId="77777777" w:rsidR="00426296" w:rsidRPr="00A942F6" w:rsidRDefault="00426296" w:rsidP="00641834">
      <w:pPr>
        <w:rPr>
          <w:lang w:val="nb-NO"/>
        </w:rPr>
      </w:pPr>
    </w:p>
    <w:p w14:paraId="103992C6" w14:textId="77777777" w:rsidR="005A42A2" w:rsidRPr="00A942F6" w:rsidRDefault="005A42A2" w:rsidP="00641834">
      <w:pPr>
        <w:rPr>
          <w:lang w:val="nb-NO"/>
        </w:rPr>
      </w:pPr>
      <w:r w:rsidRPr="00A942F6">
        <w:rPr>
          <w:lang w:val="nb-NO"/>
        </w:rPr>
        <w:t>Dette legemidlet skal ikke blandes med andre legemidler da det ikke er gjort studier på uforlikelighet.</w:t>
      </w:r>
    </w:p>
    <w:p w14:paraId="0BC0746C" w14:textId="77777777" w:rsidR="005A42A2" w:rsidRPr="00A942F6" w:rsidRDefault="005A42A2" w:rsidP="00641834">
      <w:pPr>
        <w:rPr>
          <w:lang w:val="nb-NO"/>
        </w:rPr>
      </w:pPr>
    </w:p>
    <w:p w14:paraId="713F1971" w14:textId="77777777" w:rsidR="005A42A2" w:rsidRPr="00A942F6" w:rsidRDefault="005A42A2" w:rsidP="00641834">
      <w:pPr>
        <w:pStyle w:val="H2"/>
        <w:rPr>
          <w:lang w:val="nb-NO"/>
        </w:rPr>
      </w:pPr>
      <w:r w:rsidRPr="00A942F6">
        <w:rPr>
          <w:lang w:val="nb-NO"/>
        </w:rPr>
        <w:t>6.3</w:t>
      </w:r>
      <w:r w:rsidRPr="00A942F6">
        <w:rPr>
          <w:lang w:val="nb-NO"/>
        </w:rPr>
        <w:tab/>
        <w:t>Holdbarhet</w:t>
      </w:r>
    </w:p>
    <w:p w14:paraId="1CBFE576" w14:textId="77777777" w:rsidR="00426296" w:rsidRPr="00A942F6" w:rsidRDefault="00426296" w:rsidP="00641834">
      <w:pPr>
        <w:rPr>
          <w:lang w:val="nb-NO"/>
        </w:rPr>
      </w:pPr>
    </w:p>
    <w:p w14:paraId="08D29871" w14:textId="45D2A22B" w:rsidR="005A42A2" w:rsidRPr="00A942F6" w:rsidRDefault="009E743D" w:rsidP="00641834">
      <w:pPr>
        <w:rPr>
          <w:lang w:val="nb-NO"/>
        </w:rPr>
      </w:pPr>
      <w:r>
        <w:rPr>
          <w:rFonts w:eastAsia="맑은 고딕" w:hint="eastAsia"/>
          <w:lang w:val="nb-NO" w:eastAsia="ko-KR"/>
        </w:rPr>
        <w:t>42</w:t>
      </w:r>
      <w:r w:rsidRPr="00A942F6">
        <w:rPr>
          <w:lang w:val="nb-NO"/>
        </w:rPr>
        <w:t xml:space="preserve"> </w:t>
      </w:r>
      <w:r w:rsidR="005A42A2" w:rsidRPr="00A942F6">
        <w:rPr>
          <w:lang w:val="nb-NO"/>
        </w:rPr>
        <w:t>måneder.</w:t>
      </w:r>
    </w:p>
    <w:p w14:paraId="122EDFD9" w14:textId="77777777" w:rsidR="005A42A2" w:rsidRPr="00A942F6" w:rsidRDefault="005A42A2" w:rsidP="00641834">
      <w:pPr>
        <w:rPr>
          <w:lang w:val="nb-NO"/>
        </w:rPr>
      </w:pPr>
    </w:p>
    <w:p w14:paraId="2B4E5589" w14:textId="77777777" w:rsidR="005A42A2" w:rsidRPr="00A942F6" w:rsidRDefault="005A42A2" w:rsidP="00641834">
      <w:pPr>
        <w:pStyle w:val="H2"/>
        <w:rPr>
          <w:lang w:val="nb-NO"/>
        </w:rPr>
      </w:pPr>
      <w:r w:rsidRPr="00A942F6">
        <w:rPr>
          <w:lang w:val="nb-NO"/>
        </w:rPr>
        <w:t>6.4</w:t>
      </w:r>
      <w:r w:rsidRPr="00A942F6">
        <w:rPr>
          <w:lang w:val="nb-NO"/>
        </w:rPr>
        <w:tab/>
        <w:t>Oppbevaringsbetingelser</w:t>
      </w:r>
    </w:p>
    <w:p w14:paraId="77342A1B" w14:textId="77777777" w:rsidR="00426296" w:rsidRPr="00A942F6" w:rsidRDefault="00426296" w:rsidP="00641834">
      <w:pPr>
        <w:rPr>
          <w:lang w:val="nb-NO"/>
        </w:rPr>
      </w:pPr>
    </w:p>
    <w:p w14:paraId="274036A3" w14:textId="57A0A207" w:rsidR="005A42A2" w:rsidRPr="00A942F6" w:rsidRDefault="005A42A2" w:rsidP="00641834">
      <w:pPr>
        <w:rPr>
          <w:lang w:val="nb-NO"/>
        </w:rPr>
      </w:pPr>
      <w:r w:rsidRPr="00A942F6">
        <w:rPr>
          <w:lang w:val="nb-NO"/>
        </w:rPr>
        <w:t xml:space="preserve">Oppbevares i kjøleskap (2 ºC – 8 ºC). Skal ikke fryses. Etter uttak fra kjøleskap kan den ferdigfylte sprøyten oppbevares i opptil </w:t>
      </w:r>
      <w:r w:rsidR="00A17AD0" w:rsidRPr="00A942F6">
        <w:rPr>
          <w:lang w:val="nb-NO"/>
        </w:rPr>
        <w:t>3</w:t>
      </w:r>
      <w:r w:rsidRPr="00A942F6">
        <w:rPr>
          <w:lang w:val="nb-NO"/>
        </w:rPr>
        <w:t xml:space="preserve"> uker ved høyst 30 °C.</w:t>
      </w:r>
    </w:p>
    <w:p w14:paraId="657CC32F" w14:textId="77777777" w:rsidR="005A42A2" w:rsidRPr="00A942F6" w:rsidRDefault="005A42A2" w:rsidP="00641834">
      <w:pPr>
        <w:rPr>
          <w:lang w:val="nb-NO"/>
        </w:rPr>
      </w:pPr>
    </w:p>
    <w:p w14:paraId="7E58D636" w14:textId="77777777" w:rsidR="005A42A2" w:rsidRPr="00A942F6" w:rsidRDefault="005A42A2" w:rsidP="00641834">
      <w:pPr>
        <w:rPr>
          <w:lang w:val="nb-NO"/>
        </w:rPr>
      </w:pPr>
      <w:r w:rsidRPr="00A942F6">
        <w:rPr>
          <w:lang w:val="nb-NO"/>
        </w:rPr>
        <w:t>Oppbevar ferdigfylt sprøyte i ytteremballasjen for å beskytte mot lys og fuktighet.</w:t>
      </w:r>
    </w:p>
    <w:p w14:paraId="311EC44A" w14:textId="77777777" w:rsidR="005A42A2" w:rsidRPr="00A942F6" w:rsidRDefault="005A42A2" w:rsidP="00641834">
      <w:pPr>
        <w:rPr>
          <w:lang w:val="nb-NO"/>
        </w:rPr>
      </w:pPr>
    </w:p>
    <w:p w14:paraId="045D094D" w14:textId="77777777" w:rsidR="005A42A2" w:rsidRPr="00A942F6" w:rsidRDefault="005A42A2" w:rsidP="00641834">
      <w:pPr>
        <w:pStyle w:val="H2"/>
        <w:rPr>
          <w:lang w:val="nb-NO"/>
        </w:rPr>
      </w:pPr>
      <w:r w:rsidRPr="00A942F6">
        <w:rPr>
          <w:lang w:val="nb-NO"/>
        </w:rPr>
        <w:t>6.5</w:t>
      </w:r>
      <w:r w:rsidRPr="00A942F6">
        <w:rPr>
          <w:lang w:val="nb-NO"/>
        </w:rPr>
        <w:tab/>
        <w:t>Emballasje (type og innhold)</w:t>
      </w:r>
    </w:p>
    <w:p w14:paraId="003A8E37" w14:textId="77777777" w:rsidR="00426296" w:rsidRPr="00A942F6" w:rsidRDefault="00426296" w:rsidP="00641834">
      <w:pPr>
        <w:rPr>
          <w:lang w:val="nb-NO"/>
        </w:rPr>
      </w:pPr>
    </w:p>
    <w:p w14:paraId="616E9325" w14:textId="44020A62" w:rsidR="005A42A2" w:rsidRPr="00A942F6" w:rsidRDefault="005A42A2" w:rsidP="00641834">
      <w:pPr>
        <w:rPr>
          <w:lang w:val="nb-NO"/>
        </w:rPr>
      </w:pPr>
      <w:r w:rsidRPr="00A942F6">
        <w:rPr>
          <w:lang w:val="nb-NO"/>
        </w:rPr>
        <w:t>0,9 ml oppløsning i en ferdigfylt sprøyte (type I glass) med kanyle. Kanylen er lukket med en stiv nålebeskytter (</w:t>
      </w:r>
      <w:r w:rsidR="00A17AD0" w:rsidRPr="00A942F6">
        <w:rPr>
          <w:lang w:val="nb-NO"/>
        </w:rPr>
        <w:t>polyisoprengummi og polypropylen</w:t>
      </w:r>
      <w:r w:rsidRPr="00A942F6">
        <w:rPr>
          <w:lang w:val="nb-NO"/>
        </w:rPr>
        <w:t>) og et stempel</w:t>
      </w:r>
      <w:r w:rsidR="00A17AD0" w:rsidRPr="00A942F6">
        <w:rPr>
          <w:lang w:val="nb-NO"/>
        </w:rPr>
        <w:t xml:space="preserve"> av steril fluortec</w:t>
      </w:r>
      <w:r w:rsidR="004E318C">
        <w:rPr>
          <w:lang w:val="nb-NO"/>
        </w:rPr>
        <w:noBreakHyphen/>
      </w:r>
      <w:r w:rsidR="00A17AD0" w:rsidRPr="00A942F6">
        <w:rPr>
          <w:lang w:val="nb-NO"/>
        </w:rPr>
        <w:t>belagt elastomer</w:t>
      </w:r>
      <w:r w:rsidRPr="00A942F6">
        <w:rPr>
          <w:lang w:val="nb-NO"/>
        </w:rPr>
        <w:t xml:space="preserve"> (</w:t>
      </w:r>
      <w:r w:rsidR="00A17AD0" w:rsidRPr="00A942F6">
        <w:rPr>
          <w:lang w:val="nb-NO"/>
        </w:rPr>
        <w:t>med silikon</w:t>
      </w:r>
      <w:r w:rsidRPr="00A942F6">
        <w:rPr>
          <w:lang w:val="nb-NO"/>
        </w:rPr>
        <w:t>).</w:t>
      </w:r>
    </w:p>
    <w:p w14:paraId="6A0FD100" w14:textId="77777777" w:rsidR="005A42A2" w:rsidRPr="00A942F6" w:rsidRDefault="005A42A2" w:rsidP="00641834">
      <w:pPr>
        <w:rPr>
          <w:lang w:val="nb-NO"/>
        </w:rPr>
      </w:pPr>
    </w:p>
    <w:p w14:paraId="7BD1DE10" w14:textId="77777777" w:rsidR="00A17AD0" w:rsidRPr="00A942F6" w:rsidRDefault="00A17AD0" w:rsidP="00A17AD0">
      <w:pPr>
        <w:rPr>
          <w:lang w:val="nb-NO"/>
        </w:rPr>
      </w:pPr>
      <w:r w:rsidRPr="00A942F6">
        <w:rPr>
          <w:lang w:val="nb-NO"/>
        </w:rPr>
        <w:t>Avtozma ferdigfylt sprøyte for pasientbruk er tilgjengelig i pakninger som inneholder:</w:t>
      </w:r>
    </w:p>
    <w:p w14:paraId="3D410FB0" w14:textId="77777777" w:rsidR="00A17AD0" w:rsidRPr="00A942F6" w:rsidRDefault="00A17AD0" w:rsidP="00434BCD">
      <w:pPr>
        <w:numPr>
          <w:ilvl w:val="0"/>
          <w:numId w:val="20"/>
        </w:numPr>
        <w:ind w:left="567" w:hanging="567"/>
        <w:rPr>
          <w:lang w:val="nb-NO"/>
        </w:rPr>
      </w:pPr>
      <w:r w:rsidRPr="00A942F6">
        <w:rPr>
          <w:lang w:val="nb-NO"/>
        </w:rPr>
        <w:t>1 ferdigfylt sprøyte</w:t>
      </w:r>
    </w:p>
    <w:p w14:paraId="5AD56282" w14:textId="77777777" w:rsidR="000603DA" w:rsidRPr="000603DA" w:rsidRDefault="000603DA" w:rsidP="00434BCD">
      <w:pPr>
        <w:numPr>
          <w:ilvl w:val="0"/>
          <w:numId w:val="20"/>
        </w:numPr>
        <w:ind w:left="567" w:hanging="567"/>
        <w:rPr>
          <w:ins w:id="5" w:author="만든 이"/>
          <w:lang w:val="nb-NO"/>
          <w:rPrChange w:id="6" w:author="만든 이">
            <w:rPr>
              <w:ins w:id="7" w:author="만든 이"/>
              <w:rFonts w:eastAsia="맑은 고딕"/>
              <w:lang w:val="nb-NO" w:eastAsia="ko-KR"/>
            </w:rPr>
          </w:rPrChange>
        </w:rPr>
      </w:pPr>
      <w:ins w:id="8" w:author="만든 이">
        <w:r>
          <w:rPr>
            <w:rFonts w:eastAsia="맑은 고딕" w:hint="eastAsia"/>
            <w:lang w:val="nb-NO" w:eastAsia="ko-KR"/>
          </w:rPr>
          <w:t>2</w:t>
        </w:r>
        <w:r w:rsidRPr="00A942F6">
          <w:rPr>
            <w:lang w:val="nb-NO"/>
          </w:rPr>
          <w:t xml:space="preserve"> ferdigfylte sprøyter </w:t>
        </w:r>
      </w:ins>
    </w:p>
    <w:p w14:paraId="0403A0CB" w14:textId="22DB86F6" w:rsidR="00A17AD0" w:rsidRPr="00A942F6" w:rsidRDefault="00A17AD0" w:rsidP="00434BCD">
      <w:pPr>
        <w:numPr>
          <w:ilvl w:val="0"/>
          <w:numId w:val="20"/>
        </w:numPr>
        <w:ind w:left="567" w:hanging="567"/>
        <w:rPr>
          <w:lang w:val="nb-NO"/>
        </w:rPr>
      </w:pPr>
      <w:r w:rsidRPr="00A942F6">
        <w:rPr>
          <w:lang w:val="nb-NO"/>
        </w:rPr>
        <w:t>4 ferdigfylte sprøyter</w:t>
      </w:r>
    </w:p>
    <w:p w14:paraId="1A3C34A9" w14:textId="77777777" w:rsidR="00A17AD0" w:rsidRPr="00A942F6" w:rsidRDefault="00A17AD0" w:rsidP="00434BCD">
      <w:pPr>
        <w:numPr>
          <w:ilvl w:val="0"/>
          <w:numId w:val="20"/>
        </w:numPr>
        <w:ind w:left="567" w:hanging="567"/>
        <w:rPr>
          <w:lang w:val="nb-NO"/>
        </w:rPr>
      </w:pPr>
      <w:r w:rsidRPr="00A942F6">
        <w:rPr>
          <w:lang w:val="nb-NO"/>
        </w:rPr>
        <w:t>12 (3 pak</w:t>
      </w:r>
      <w:r w:rsidR="009F29CD" w:rsidRPr="00A942F6">
        <w:rPr>
          <w:lang w:val="nb-NO"/>
        </w:rPr>
        <w:t>ning</w:t>
      </w:r>
      <w:r w:rsidRPr="00A942F6">
        <w:rPr>
          <w:lang w:val="nb-NO"/>
        </w:rPr>
        <w:t>er à 4) ferdigfylte sprøyter (multipakning)</w:t>
      </w:r>
    </w:p>
    <w:p w14:paraId="12BCF19E" w14:textId="77777777" w:rsidR="00A17AD0" w:rsidRPr="00A942F6" w:rsidRDefault="00A17AD0" w:rsidP="00641834">
      <w:pPr>
        <w:rPr>
          <w:lang w:val="nb-NO"/>
        </w:rPr>
      </w:pPr>
    </w:p>
    <w:p w14:paraId="758DF30B" w14:textId="1D552A78" w:rsidR="005A42A2" w:rsidRPr="00A942F6" w:rsidRDefault="005A42A2" w:rsidP="00641834">
      <w:pPr>
        <w:rPr>
          <w:lang w:val="nb-NO"/>
        </w:rPr>
      </w:pPr>
      <w:r w:rsidRPr="00A942F6">
        <w:rPr>
          <w:lang w:val="nb-NO"/>
        </w:rPr>
        <w:t>Ikke alle pakningsstørrelser vil nødvendigvis bli markedsført.</w:t>
      </w:r>
    </w:p>
    <w:p w14:paraId="61B1D31F" w14:textId="77777777" w:rsidR="005A42A2" w:rsidRPr="00A942F6" w:rsidRDefault="005A42A2" w:rsidP="00641834">
      <w:pPr>
        <w:rPr>
          <w:lang w:val="nb-NO"/>
        </w:rPr>
      </w:pPr>
    </w:p>
    <w:p w14:paraId="7DFD3C47" w14:textId="77777777" w:rsidR="005A42A2" w:rsidRPr="00A942F6" w:rsidRDefault="005A42A2" w:rsidP="00641834">
      <w:pPr>
        <w:pStyle w:val="H2"/>
        <w:rPr>
          <w:lang w:val="nb-NO"/>
        </w:rPr>
      </w:pPr>
      <w:r w:rsidRPr="00A942F6">
        <w:rPr>
          <w:lang w:val="nb-NO"/>
        </w:rPr>
        <w:t>6.6</w:t>
      </w:r>
      <w:r w:rsidRPr="00A942F6">
        <w:rPr>
          <w:lang w:val="nb-NO"/>
        </w:rPr>
        <w:tab/>
        <w:t>Spesielle forholdsregler for destruksjon og annen håndtering</w:t>
      </w:r>
    </w:p>
    <w:p w14:paraId="76FE5ED5" w14:textId="77777777" w:rsidR="00426296" w:rsidRPr="00A942F6" w:rsidRDefault="00426296" w:rsidP="00641834">
      <w:pPr>
        <w:rPr>
          <w:lang w:val="nb-NO"/>
        </w:rPr>
      </w:pPr>
    </w:p>
    <w:p w14:paraId="17891914" w14:textId="6CE4110E" w:rsidR="007000C3" w:rsidRPr="00A942F6" w:rsidRDefault="00923E68" w:rsidP="00641834">
      <w:pPr>
        <w:rPr>
          <w:lang w:val="nb-NO"/>
        </w:rPr>
      </w:pPr>
      <w:r w:rsidRPr="00A942F6">
        <w:rPr>
          <w:lang w:val="nb-NO"/>
        </w:rPr>
        <w:t>Avtozma</w:t>
      </w:r>
      <w:r w:rsidR="005A42A2" w:rsidRPr="00A942F6">
        <w:rPr>
          <w:lang w:val="nb-NO"/>
        </w:rPr>
        <w:t xml:space="preserve"> leveres i en ferdigfylt sprøyte til engangsbruk, montert i en sikkerhetsanordning. Etter å ha tatt den ferdigfylte pennen ut av kjøleskap må den romtempereres (</w:t>
      </w:r>
      <w:r w:rsidR="000B380A">
        <w:rPr>
          <w:rFonts w:eastAsia="맑은 고딕" w:hint="eastAsia"/>
          <w:lang w:val="nb-NO" w:eastAsia="ko-KR"/>
        </w:rPr>
        <w:t>18</w:t>
      </w:r>
      <w:r w:rsidR="000B380A" w:rsidRPr="00A942F6">
        <w:rPr>
          <w:lang w:val="nb-NO"/>
        </w:rPr>
        <w:t xml:space="preserve"> </w:t>
      </w:r>
      <w:r w:rsidR="005A42A2" w:rsidRPr="00A942F6">
        <w:rPr>
          <w:lang w:val="nb-NO"/>
        </w:rPr>
        <w:t xml:space="preserve">°C </w:t>
      </w:r>
      <w:r w:rsidR="004E318C">
        <w:rPr>
          <w:lang w:val="nb-NO"/>
        </w:rPr>
        <w:t>til</w:t>
      </w:r>
      <w:r w:rsidR="005A42A2" w:rsidRPr="00A942F6">
        <w:rPr>
          <w:lang w:val="nb-NO"/>
        </w:rPr>
        <w:t xml:space="preserve"> </w:t>
      </w:r>
      <w:r w:rsidR="000B380A" w:rsidRPr="00A942F6">
        <w:rPr>
          <w:lang w:val="nb-NO"/>
        </w:rPr>
        <w:t>2</w:t>
      </w:r>
      <w:r w:rsidR="000B380A">
        <w:rPr>
          <w:rFonts w:eastAsia="맑은 고딕" w:hint="eastAsia"/>
          <w:lang w:val="nb-NO" w:eastAsia="ko-KR"/>
        </w:rPr>
        <w:t>8</w:t>
      </w:r>
      <w:r w:rsidR="000B380A" w:rsidRPr="00A942F6">
        <w:rPr>
          <w:lang w:val="nb-NO"/>
        </w:rPr>
        <w:t xml:space="preserve"> </w:t>
      </w:r>
      <w:r w:rsidR="005A42A2" w:rsidRPr="00A942F6">
        <w:rPr>
          <w:lang w:val="nb-NO"/>
        </w:rPr>
        <w:t xml:space="preserve">°C) ved å vente i minst 30 minutter før injisering av </w:t>
      </w:r>
      <w:r w:rsidRPr="00A942F6">
        <w:rPr>
          <w:lang w:val="nb-NO"/>
        </w:rPr>
        <w:t>Avtozma</w:t>
      </w:r>
      <w:r w:rsidR="005A42A2" w:rsidRPr="00A942F6">
        <w:rPr>
          <w:lang w:val="nb-NO"/>
        </w:rPr>
        <w:t xml:space="preserve">. Den ferdigfylte sprøyten skal ikke ristes. </w:t>
      </w:r>
    </w:p>
    <w:p w14:paraId="0193C5F2" w14:textId="77777777" w:rsidR="005A42A2" w:rsidRPr="00A942F6" w:rsidRDefault="005A42A2" w:rsidP="00641834">
      <w:pPr>
        <w:rPr>
          <w:lang w:val="nb-NO"/>
        </w:rPr>
      </w:pPr>
      <w:r w:rsidRPr="00A942F6">
        <w:rPr>
          <w:lang w:val="nb-NO"/>
        </w:rPr>
        <w:t xml:space="preserve">Etter å ha tatt av hetten må injeksjonen startes innen 5 minutter, for å forhindre at medisinen tørker ut og blokkerer kanylen. Dersom den ferdigfylte sprøyten ikke brukes innen 5 minutter etter at hetten er </w:t>
      </w:r>
      <w:r w:rsidRPr="00A942F6">
        <w:rPr>
          <w:lang w:val="nb-NO"/>
        </w:rPr>
        <w:lastRenderedPageBreak/>
        <w:t>fjernet, må den kastes i en avfallsbeholder for skarpe gjenstander, og en ny ferdigfylt sprøyte må brukes.</w:t>
      </w:r>
    </w:p>
    <w:p w14:paraId="1D1D98CD" w14:textId="77777777" w:rsidR="005A42A2" w:rsidRPr="00A942F6" w:rsidRDefault="005A42A2" w:rsidP="00641834">
      <w:pPr>
        <w:rPr>
          <w:lang w:val="nb-NO"/>
        </w:rPr>
      </w:pPr>
    </w:p>
    <w:p w14:paraId="137BB9AF" w14:textId="77777777" w:rsidR="005A42A2" w:rsidRPr="00A942F6" w:rsidRDefault="005A42A2" w:rsidP="00641834">
      <w:pPr>
        <w:rPr>
          <w:lang w:val="nb-NO"/>
        </w:rPr>
      </w:pPr>
      <w:r w:rsidRPr="00A942F6">
        <w:rPr>
          <w:lang w:val="nb-NO"/>
        </w:rPr>
        <w:t>Hvis stempelet ikke kan trykkes ned når nålen er satt under huden, skal sprøyten kastes i en avfallsbeholder for skarpe gjenstander, og en ny ferdigfylt sprøyte må brukes.</w:t>
      </w:r>
    </w:p>
    <w:p w14:paraId="0C8F18F3" w14:textId="77777777" w:rsidR="00C23919" w:rsidRPr="00A942F6" w:rsidRDefault="00C23919" w:rsidP="00641834">
      <w:pPr>
        <w:rPr>
          <w:lang w:val="nb-NO"/>
        </w:rPr>
      </w:pPr>
    </w:p>
    <w:p w14:paraId="68BCDE1B" w14:textId="49D3C31E" w:rsidR="005A42A2" w:rsidRPr="00A942F6" w:rsidRDefault="005A42A2" w:rsidP="00641834">
      <w:pPr>
        <w:rPr>
          <w:lang w:val="nb-NO"/>
        </w:rPr>
      </w:pPr>
      <w:r w:rsidRPr="00A942F6">
        <w:rPr>
          <w:lang w:val="nb-NO"/>
        </w:rPr>
        <w:t>Legemidlet må ikke brukes hvis væsken er uklar eller inneholder partikler, hvis det har annen farge enn fargeløs til gul, eller hvis noen av delene av den ferdigfylte sprøyten ser ut til å være skadet.</w:t>
      </w:r>
    </w:p>
    <w:p w14:paraId="30A1A05E" w14:textId="77777777" w:rsidR="005A42A2" w:rsidRPr="00A942F6" w:rsidRDefault="005A42A2" w:rsidP="00641834">
      <w:pPr>
        <w:rPr>
          <w:lang w:val="nb-NO"/>
        </w:rPr>
      </w:pPr>
    </w:p>
    <w:p w14:paraId="4391FD2E" w14:textId="5BF140AB" w:rsidR="005A42A2" w:rsidRPr="00A942F6" w:rsidRDefault="005A42A2" w:rsidP="00641834">
      <w:pPr>
        <w:rPr>
          <w:lang w:val="nb-NO"/>
        </w:rPr>
      </w:pPr>
      <w:r w:rsidRPr="00A942F6">
        <w:rPr>
          <w:lang w:val="nb-NO"/>
        </w:rPr>
        <w:t xml:space="preserve">Detaljerte instruksjoner for tilberedning og administrering av </w:t>
      </w:r>
      <w:r w:rsidR="00923E68" w:rsidRPr="00A942F6">
        <w:rPr>
          <w:lang w:val="nb-NO"/>
        </w:rPr>
        <w:t>Avtozma</w:t>
      </w:r>
      <w:r w:rsidRPr="00A942F6">
        <w:rPr>
          <w:lang w:val="nb-NO"/>
        </w:rPr>
        <w:t xml:space="preserve"> med ferdigfylt sprøyte er gitt i pakningsvedlegget.</w:t>
      </w:r>
    </w:p>
    <w:p w14:paraId="52AAAF0B" w14:textId="77777777" w:rsidR="00C23919" w:rsidRPr="00A942F6" w:rsidRDefault="00C23919" w:rsidP="00641834">
      <w:pPr>
        <w:rPr>
          <w:lang w:val="nb-NO"/>
        </w:rPr>
      </w:pPr>
    </w:p>
    <w:p w14:paraId="790A10F5" w14:textId="77777777" w:rsidR="005A42A2" w:rsidRPr="00A942F6" w:rsidRDefault="005A42A2" w:rsidP="00641834">
      <w:pPr>
        <w:rPr>
          <w:lang w:val="nb-NO"/>
        </w:rPr>
      </w:pPr>
      <w:r w:rsidRPr="00A942F6">
        <w:rPr>
          <w:lang w:val="nb-NO"/>
        </w:rPr>
        <w:t>Ikke anvendt legemiddel samt avfall bør destrueres i overensstemmelse med lokale krav.</w:t>
      </w:r>
    </w:p>
    <w:p w14:paraId="123990A6" w14:textId="77777777" w:rsidR="005A42A2" w:rsidRPr="00A942F6" w:rsidRDefault="005A42A2" w:rsidP="00641834">
      <w:pPr>
        <w:rPr>
          <w:lang w:val="nb-NO"/>
        </w:rPr>
      </w:pPr>
    </w:p>
    <w:p w14:paraId="456EFDB5" w14:textId="77777777" w:rsidR="005A42A2" w:rsidRPr="00A942F6" w:rsidRDefault="005A42A2" w:rsidP="00641834">
      <w:pPr>
        <w:rPr>
          <w:lang w:val="nb-NO"/>
        </w:rPr>
      </w:pPr>
    </w:p>
    <w:p w14:paraId="4E07D495" w14:textId="77777777" w:rsidR="005A42A2" w:rsidRPr="00A942F6" w:rsidRDefault="005A42A2" w:rsidP="00641834">
      <w:pPr>
        <w:pStyle w:val="H1"/>
        <w:rPr>
          <w:lang w:val="nb-NO"/>
        </w:rPr>
      </w:pPr>
      <w:r w:rsidRPr="00A942F6">
        <w:rPr>
          <w:lang w:val="nb-NO"/>
        </w:rPr>
        <w:t>7.</w:t>
      </w:r>
      <w:r w:rsidRPr="00A942F6">
        <w:rPr>
          <w:lang w:val="nb-NO"/>
        </w:rPr>
        <w:tab/>
        <w:t>INNEHAVER AV MARKEDSFØRINGSTILLATELSEN</w:t>
      </w:r>
    </w:p>
    <w:p w14:paraId="1D732B14" w14:textId="77777777" w:rsidR="00426296" w:rsidRPr="00A942F6" w:rsidRDefault="00426296" w:rsidP="00641834">
      <w:pPr>
        <w:rPr>
          <w:lang w:val="nb-NO"/>
        </w:rPr>
      </w:pPr>
    </w:p>
    <w:p w14:paraId="664854A9" w14:textId="77777777" w:rsidR="00A17AD0" w:rsidRPr="00BD4D94" w:rsidRDefault="00A17AD0" w:rsidP="00A17AD0">
      <w:pPr>
        <w:rPr>
          <w:lang w:val="nb-NO"/>
        </w:rPr>
      </w:pPr>
      <w:r w:rsidRPr="00BD4D94">
        <w:rPr>
          <w:lang w:val="nb-NO"/>
        </w:rPr>
        <w:t xml:space="preserve">Celltrion Healthcare Hungary Kft. </w:t>
      </w:r>
    </w:p>
    <w:p w14:paraId="7FE4D2A6" w14:textId="77777777" w:rsidR="00A17AD0" w:rsidRPr="009B40A5" w:rsidRDefault="00A17AD0" w:rsidP="00A17AD0">
      <w:r w:rsidRPr="009B40A5">
        <w:t>1062 Budapest</w:t>
      </w:r>
    </w:p>
    <w:p w14:paraId="087222CB" w14:textId="77777777" w:rsidR="00A17AD0" w:rsidRPr="009B40A5" w:rsidRDefault="00A17AD0" w:rsidP="00A17AD0">
      <w:r w:rsidRPr="009B40A5">
        <w:t>Váci út 1</w:t>
      </w:r>
      <w:r w:rsidR="00E7673A" w:rsidRPr="009B40A5">
        <w:noBreakHyphen/>
      </w:r>
      <w:r w:rsidRPr="009B40A5">
        <w:t>3. WestEnd Office Building B torony</w:t>
      </w:r>
    </w:p>
    <w:p w14:paraId="1DAD7C39" w14:textId="77777777" w:rsidR="007000C3" w:rsidRPr="00BD4D94" w:rsidRDefault="00A17AD0" w:rsidP="00A17AD0">
      <w:pPr>
        <w:rPr>
          <w:lang w:val="nb-NO"/>
        </w:rPr>
      </w:pPr>
      <w:r w:rsidRPr="00BD4D94">
        <w:rPr>
          <w:lang w:val="nb-NO"/>
        </w:rPr>
        <w:t>Ungarn</w:t>
      </w:r>
    </w:p>
    <w:p w14:paraId="69B37F08" w14:textId="77777777" w:rsidR="005A42A2" w:rsidRPr="00BD4D94" w:rsidRDefault="005A42A2" w:rsidP="00641834">
      <w:pPr>
        <w:rPr>
          <w:lang w:val="nb-NO"/>
        </w:rPr>
      </w:pPr>
    </w:p>
    <w:p w14:paraId="261D34FE" w14:textId="77777777" w:rsidR="005A42A2" w:rsidRPr="00BD4D94" w:rsidRDefault="005A42A2" w:rsidP="00641834">
      <w:pPr>
        <w:rPr>
          <w:lang w:val="nb-NO"/>
        </w:rPr>
      </w:pPr>
    </w:p>
    <w:p w14:paraId="4986BB01" w14:textId="77777777" w:rsidR="005A42A2" w:rsidRPr="00A942F6" w:rsidRDefault="005A42A2" w:rsidP="00641834">
      <w:pPr>
        <w:pStyle w:val="H1"/>
        <w:rPr>
          <w:lang w:val="nb-NO"/>
        </w:rPr>
      </w:pPr>
      <w:r w:rsidRPr="00A942F6">
        <w:rPr>
          <w:lang w:val="nb-NO"/>
        </w:rPr>
        <w:t>8.</w:t>
      </w:r>
      <w:r w:rsidRPr="00A942F6">
        <w:rPr>
          <w:lang w:val="nb-NO"/>
        </w:rPr>
        <w:tab/>
        <w:t>MARKEDSFØRINGSTILLATELSESNUMMER (NUMRE)</w:t>
      </w:r>
    </w:p>
    <w:p w14:paraId="50C1012F" w14:textId="77777777" w:rsidR="00426296" w:rsidRPr="00A942F6" w:rsidRDefault="00426296" w:rsidP="00641834">
      <w:pPr>
        <w:rPr>
          <w:lang w:val="nb-NO"/>
        </w:rPr>
      </w:pPr>
    </w:p>
    <w:p w14:paraId="598288D9" w14:textId="77777777" w:rsidR="00BC5EC4" w:rsidRPr="00CD583D" w:rsidRDefault="00BC5EC4" w:rsidP="00BC5EC4">
      <w:pPr>
        <w:rPr>
          <w:lang w:val="nb-NO"/>
        </w:rPr>
      </w:pPr>
      <w:r w:rsidRPr="00CD583D">
        <w:rPr>
          <w:lang w:val="nb-NO"/>
        </w:rPr>
        <w:t>EU/</w:t>
      </w:r>
      <w:r w:rsidRPr="00CD583D">
        <w:rPr>
          <w:rFonts w:cs="Verdana"/>
          <w:color w:val="000000"/>
          <w:lang w:val="nb-NO"/>
        </w:rPr>
        <w:t>1/24/1896/007</w:t>
      </w:r>
    </w:p>
    <w:p w14:paraId="7FC8DF2B" w14:textId="77777777" w:rsidR="00BC5EC4" w:rsidRPr="00CD583D" w:rsidRDefault="00BC5EC4" w:rsidP="00BC5EC4">
      <w:pPr>
        <w:rPr>
          <w:lang w:val="nb-NO"/>
        </w:rPr>
      </w:pPr>
      <w:r w:rsidRPr="00CD583D">
        <w:rPr>
          <w:lang w:val="nb-NO"/>
        </w:rPr>
        <w:t>EU/</w:t>
      </w:r>
      <w:r w:rsidRPr="00CD583D">
        <w:rPr>
          <w:rFonts w:cs="Verdana"/>
          <w:color w:val="000000"/>
          <w:lang w:val="nb-NO"/>
        </w:rPr>
        <w:t>1/24/1896/00</w:t>
      </w:r>
      <w:r w:rsidRPr="00CD583D">
        <w:rPr>
          <w:rFonts w:eastAsia="맑은 고딕" w:cs="Verdana"/>
          <w:color w:val="000000"/>
          <w:lang w:val="nb-NO" w:eastAsia="ko-KR"/>
        </w:rPr>
        <w:t>8</w:t>
      </w:r>
    </w:p>
    <w:p w14:paraId="58267BDE" w14:textId="77777777" w:rsidR="00BC5EC4" w:rsidRPr="00CD583D" w:rsidRDefault="00BC5EC4" w:rsidP="00BC5EC4">
      <w:pPr>
        <w:rPr>
          <w:lang w:val="nb-NO"/>
        </w:rPr>
      </w:pPr>
      <w:r w:rsidRPr="00CD583D">
        <w:rPr>
          <w:lang w:val="nb-NO"/>
        </w:rPr>
        <w:t>EU/</w:t>
      </w:r>
      <w:r w:rsidRPr="00CD583D">
        <w:rPr>
          <w:rFonts w:cs="Verdana"/>
          <w:color w:val="000000"/>
          <w:lang w:val="nb-NO"/>
        </w:rPr>
        <w:t>1/24/1896/00</w:t>
      </w:r>
      <w:r w:rsidRPr="00CD583D">
        <w:rPr>
          <w:rFonts w:eastAsia="맑은 고딕" w:cs="Verdana"/>
          <w:color w:val="000000"/>
          <w:lang w:val="nb-NO" w:eastAsia="ko-KR"/>
        </w:rPr>
        <w:t>9</w:t>
      </w:r>
    </w:p>
    <w:p w14:paraId="76ED2A5D" w14:textId="09F04084" w:rsidR="000603DA" w:rsidRPr="000603DA" w:rsidRDefault="000603DA" w:rsidP="000603DA">
      <w:pPr>
        <w:rPr>
          <w:ins w:id="9" w:author="만든 이"/>
          <w:rFonts w:eastAsia="맑은 고딕" w:hint="eastAsia"/>
          <w:lang w:val="nb-NO" w:eastAsia="ko-KR"/>
          <w:rPrChange w:id="10" w:author="만든 이">
            <w:rPr>
              <w:ins w:id="11" w:author="만든 이"/>
              <w:lang w:val="nb-NO"/>
            </w:rPr>
          </w:rPrChange>
        </w:rPr>
      </w:pPr>
      <w:ins w:id="12" w:author="만든 이">
        <w:r w:rsidRPr="00CD583D">
          <w:rPr>
            <w:lang w:val="nb-NO"/>
          </w:rPr>
          <w:t>EU/</w:t>
        </w:r>
        <w:r w:rsidRPr="00CD583D">
          <w:rPr>
            <w:rFonts w:cs="Verdana"/>
            <w:color w:val="000000"/>
            <w:lang w:val="nb-NO"/>
          </w:rPr>
          <w:t>1/24/1896/</w:t>
        </w:r>
        <w:r w:rsidR="00235A56">
          <w:rPr>
            <w:rFonts w:eastAsia="맑은 고딕" w:cs="Verdana" w:hint="eastAsia"/>
            <w:color w:val="000000"/>
            <w:lang w:val="nb-NO" w:eastAsia="ko-KR"/>
          </w:rPr>
          <w:t>013</w:t>
        </w:r>
      </w:ins>
    </w:p>
    <w:p w14:paraId="78DA51B0" w14:textId="77777777" w:rsidR="005A42A2" w:rsidRPr="00A942F6" w:rsidRDefault="005A42A2" w:rsidP="00641834">
      <w:pPr>
        <w:rPr>
          <w:lang w:val="nb-NO"/>
        </w:rPr>
      </w:pPr>
    </w:p>
    <w:p w14:paraId="6A7CC964" w14:textId="77777777" w:rsidR="005A42A2" w:rsidRPr="00A942F6" w:rsidRDefault="005A42A2" w:rsidP="00641834">
      <w:pPr>
        <w:rPr>
          <w:lang w:val="nb-NO"/>
        </w:rPr>
      </w:pPr>
    </w:p>
    <w:p w14:paraId="5046F64A" w14:textId="77777777" w:rsidR="005A42A2" w:rsidRPr="00A942F6" w:rsidRDefault="005A42A2" w:rsidP="00641834">
      <w:pPr>
        <w:pStyle w:val="H1"/>
        <w:rPr>
          <w:lang w:val="nb-NO"/>
        </w:rPr>
      </w:pPr>
      <w:r w:rsidRPr="00A942F6">
        <w:rPr>
          <w:lang w:val="nb-NO"/>
        </w:rPr>
        <w:t>9.</w:t>
      </w:r>
      <w:r w:rsidRPr="00A942F6">
        <w:rPr>
          <w:lang w:val="nb-NO"/>
        </w:rPr>
        <w:tab/>
        <w:t>DATO FOR FØRSTE MARKEDSFØRINGSTILLATELSE / SISTE FORNYELSE</w:t>
      </w:r>
    </w:p>
    <w:p w14:paraId="4D63637A" w14:textId="77777777" w:rsidR="00426296" w:rsidRPr="00A942F6" w:rsidRDefault="00426296" w:rsidP="00641834">
      <w:pPr>
        <w:rPr>
          <w:lang w:val="nb-NO"/>
        </w:rPr>
      </w:pPr>
    </w:p>
    <w:p w14:paraId="152384D8" w14:textId="6F862EBF" w:rsidR="005A42A2" w:rsidRPr="00A942F6" w:rsidRDefault="005A42A2" w:rsidP="00A17AD0">
      <w:pPr>
        <w:rPr>
          <w:lang w:val="nb-NO"/>
        </w:rPr>
      </w:pPr>
      <w:r w:rsidRPr="00A942F6">
        <w:rPr>
          <w:lang w:val="nb-NO"/>
        </w:rPr>
        <w:t>Dato for første markedsfør</w:t>
      </w:r>
      <w:r w:rsidR="00C23919" w:rsidRPr="00A942F6">
        <w:rPr>
          <w:lang w:val="nb-NO"/>
        </w:rPr>
        <w:t>ingstillatelse:</w:t>
      </w:r>
      <w:r w:rsidR="004C38D0">
        <w:rPr>
          <w:rFonts w:eastAsia="맑은 고딕" w:hint="eastAsia"/>
          <w:lang w:val="nb-NO" w:eastAsia="ko-KR"/>
        </w:rPr>
        <w:t xml:space="preserve"> 14</w:t>
      </w:r>
      <w:r w:rsidR="00C23919" w:rsidRPr="00A942F6">
        <w:rPr>
          <w:lang w:val="nb-NO"/>
        </w:rPr>
        <w:t xml:space="preserve"> </w:t>
      </w:r>
      <w:r w:rsidR="004E4CE8" w:rsidRPr="00BD4D94">
        <w:rPr>
          <w:rFonts w:eastAsia="SimSun"/>
          <w:lang w:val="nb-NO"/>
        </w:rPr>
        <w:t>februar</w:t>
      </w:r>
      <w:r w:rsidR="004E4CE8" w:rsidRPr="00BD4D94">
        <w:rPr>
          <w:rFonts w:eastAsia="맑은 고딕"/>
          <w:lang w:val="nb-NO" w:eastAsia="ko-KR"/>
        </w:rPr>
        <w:t xml:space="preserve"> 2025</w:t>
      </w:r>
    </w:p>
    <w:p w14:paraId="0EAC1588" w14:textId="77777777" w:rsidR="005A42A2" w:rsidRPr="00A942F6" w:rsidRDefault="005A42A2" w:rsidP="00641834">
      <w:pPr>
        <w:rPr>
          <w:lang w:val="nb-NO"/>
        </w:rPr>
      </w:pPr>
    </w:p>
    <w:p w14:paraId="7AC2CBAF" w14:textId="77777777" w:rsidR="005A42A2" w:rsidRPr="00A942F6" w:rsidRDefault="005A42A2" w:rsidP="00641834">
      <w:pPr>
        <w:rPr>
          <w:lang w:val="nb-NO"/>
        </w:rPr>
      </w:pPr>
    </w:p>
    <w:p w14:paraId="1E0CEB24" w14:textId="77777777" w:rsidR="005A42A2" w:rsidRPr="00A942F6" w:rsidRDefault="005A42A2" w:rsidP="00641834">
      <w:pPr>
        <w:pStyle w:val="H1"/>
        <w:rPr>
          <w:lang w:val="nb-NO"/>
        </w:rPr>
      </w:pPr>
      <w:r w:rsidRPr="00A942F6">
        <w:rPr>
          <w:lang w:val="nb-NO"/>
        </w:rPr>
        <w:t>10.</w:t>
      </w:r>
      <w:r w:rsidRPr="00A942F6">
        <w:rPr>
          <w:lang w:val="nb-NO"/>
        </w:rPr>
        <w:tab/>
        <w:t>OPPDATERINGSDATO</w:t>
      </w:r>
    </w:p>
    <w:p w14:paraId="70A59393" w14:textId="77777777" w:rsidR="00426296" w:rsidRPr="00A942F6" w:rsidRDefault="00426296" w:rsidP="00641834">
      <w:pPr>
        <w:rPr>
          <w:lang w:val="nb-NO"/>
        </w:rPr>
      </w:pPr>
    </w:p>
    <w:p w14:paraId="1B1B63E4" w14:textId="19572D9C" w:rsidR="005A42A2" w:rsidRPr="00A942F6" w:rsidRDefault="005A42A2" w:rsidP="00641834">
      <w:pPr>
        <w:rPr>
          <w:lang w:val="nb-NO"/>
        </w:rPr>
      </w:pPr>
      <w:r w:rsidRPr="00A942F6">
        <w:rPr>
          <w:lang w:val="nb-NO"/>
        </w:rPr>
        <w:t xml:space="preserve">Detaljert informasjon om dette legemidlet er tilgjengelig på nettstedet til Det europeiske legemiddelkontoret (the European Medicines Agency): </w:t>
      </w:r>
      <w:hyperlink r:id="rId17" w:history="1">
        <w:r w:rsidR="00815D31">
          <w:rPr>
            <w:rStyle w:val="a6"/>
            <w:color w:val="0000FF"/>
            <w:lang w:val="nb-NO"/>
          </w:rPr>
          <w:t>https:</w:t>
        </w:r>
        <w:r w:rsidRPr="00A942F6">
          <w:rPr>
            <w:rStyle w:val="a6"/>
            <w:color w:val="0000FF"/>
            <w:lang w:val="nb-NO"/>
          </w:rPr>
          <w:t>//www.ema.europa.eu</w:t>
        </w:r>
      </w:hyperlink>
      <w:r w:rsidRPr="00A942F6">
        <w:rPr>
          <w:lang w:val="nb-NO"/>
        </w:rPr>
        <w:t>.</w:t>
      </w:r>
    </w:p>
    <w:p w14:paraId="04D3F47A" w14:textId="418D0C69" w:rsidR="00813939" w:rsidRPr="00A942F6" w:rsidRDefault="00130B24" w:rsidP="00813939">
      <w:pPr>
        <w:rPr>
          <w:b/>
          <w:bCs/>
          <w:lang w:val="nb-NO"/>
        </w:rPr>
      </w:pPr>
      <w:r w:rsidRPr="00A942F6">
        <w:rPr>
          <w:lang w:val="nb-NO"/>
        </w:rPr>
        <w:br w:type="page"/>
      </w:r>
      <w:r w:rsidR="00D94A8B">
        <w:rPr>
          <w:noProof/>
          <w:lang w:eastAsia="ko-KR"/>
        </w:rPr>
        <w:lastRenderedPageBreak/>
        <w:drawing>
          <wp:inline distT="0" distB="0" distL="0" distR="0" wp14:anchorId="36B12755" wp14:editId="65F9F731">
            <wp:extent cx="207010" cy="170815"/>
            <wp:effectExtent l="0" t="0" r="0" b="0"/>
            <wp:docPr id="3" name="Bild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70815"/>
                    </a:xfrm>
                    <a:prstGeom prst="rect">
                      <a:avLst/>
                    </a:prstGeom>
                    <a:noFill/>
                    <a:ln>
                      <a:noFill/>
                    </a:ln>
                  </pic:spPr>
                </pic:pic>
              </a:graphicData>
            </a:graphic>
          </wp:inline>
        </w:drawing>
      </w:r>
      <w:r w:rsidR="00813939" w:rsidRPr="00A942F6">
        <w:rPr>
          <w:lang w:val="nb-NO"/>
        </w:rPr>
        <w:t>Dette legemidlet er underlagt særlig overvåking for å oppdage ny sikkerhetsinformasjon så raskt som mulig. Helsepersonell oppfordres til å melde enhver mistenkt bivirkning. Se pkt. 4.8 for informasjon om bivirkningsrapportering.</w:t>
      </w:r>
    </w:p>
    <w:p w14:paraId="5256AD35" w14:textId="77777777" w:rsidR="00130B24" w:rsidRPr="00A942F6" w:rsidRDefault="00130B24" w:rsidP="00641834">
      <w:pPr>
        <w:rPr>
          <w:lang w:val="nb-NO"/>
        </w:rPr>
      </w:pPr>
    </w:p>
    <w:p w14:paraId="623FAFA1" w14:textId="77777777" w:rsidR="005A42A2" w:rsidRPr="00A942F6" w:rsidRDefault="005A42A2" w:rsidP="00641834">
      <w:pPr>
        <w:pStyle w:val="H1"/>
        <w:rPr>
          <w:lang w:val="nb-NO"/>
        </w:rPr>
      </w:pPr>
      <w:r w:rsidRPr="00A942F6">
        <w:rPr>
          <w:lang w:val="nb-NO"/>
        </w:rPr>
        <w:t>1.</w:t>
      </w:r>
      <w:r w:rsidRPr="00A942F6">
        <w:rPr>
          <w:lang w:val="nb-NO"/>
        </w:rPr>
        <w:tab/>
        <w:t>LEGEMIDLETS NAVN</w:t>
      </w:r>
    </w:p>
    <w:p w14:paraId="4041AA7A" w14:textId="77777777" w:rsidR="00426296" w:rsidRPr="00A942F6" w:rsidRDefault="00426296" w:rsidP="00641834">
      <w:pPr>
        <w:rPr>
          <w:lang w:val="nb-NO"/>
        </w:rPr>
      </w:pPr>
    </w:p>
    <w:p w14:paraId="3235CEE2" w14:textId="6C03ED8A" w:rsidR="005A42A2" w:rsidRPr="00A942F6" w:rsidRDefault="00923E68" w:rsidP="00641834">
      <w:pPr>
        <w:rPr>
          <w:lang w:val="nb-NO"/>
        </w:rPr>
      </w:pPr>
      <w:r w:rsidRPr="00A942F6">
        <w:rPr>
          <w:lang w:val="nb-NO"/>
        </w:rPr>
        <w:t>Avtozma</w:t>
      </w:r>
      <w:r w:rsidR="005A42A2" w:rsidRPr="00A942F6">
        <w:rPr>
          <w:lang w:val="nb-NO"/>
        </w:rPr>
        <w:t xml:space="preserve"> 162 mg injeksjonsvæske, oppløsning i ferdigfylt penn.</w:t>
      </w:r>
    </w:p>
    <w:p w14:paraId="554E6F4B" w14:textId="77777777" w:rsidR="005A42A2" w:rsidRPr="00A942F6" w:rsidRDefault="005A42A2" w:rsidP="00641834">
      <w:pPr>
        <w:rPr>
          <w:lang w:val="nb-NO"/>
        </w:rPr>
      </w:pPr>
    </w:p>
    <w:p w14:paraId="3D107D1E" w14:textId="77777777" w:rsidR="005A42A2" w:rsidRPr="00A942F6" w:rsidRDefault="005A42A2" w:rsidP="00641834">
      <w:pPr>
        <w:rPr>
          <w:lang w:val="nb-NO"/>
        </w:rPr>
      </w:pPr>
    </w:p>
    <w:p w14:paraId="3C9CBED1" w14:textId="77777777" w:rsidR="005A42A2" w:rsidRPr="00A942F6" w:rsidRDefault="005A42A2" w:rsidP="00641834">
      <w:pPr>
        <w:pStyle w:val="H1"/>
        <w:rPr>
          <w:lang w:val="nb-NO"/>
        </w:rPr>
      </w:pPr>
      <w:r w:rsidRPr="00A942F6">
        <w:rPr>
          <w:lang w:val="nb-NO"/>
        </w:rPr>
        <w:t>2.</w:t>
      </w:r>
      <w:r w:rsidRPr="00A942F6">
        <w:rPr>
          <w:lang w:val="nb-NO"/>
        </w:rPr>
        <w:tab/>
        <w:t>KVALITATIV OG KVANTITATIV SAMMENSETNING</w:t>
      </w:r>
    </w:p>
    <w:p w14:paraId="64512660" w14:textId="77777777" w:rsidR="00426296" w:rsidRPr="00A942F6" w:rsidRDefault="00426296" w:rsidP="00641834">
      <w:pPr>
        <w:rPr>
          <w:lang w:val="nb-NO"/>
        </w:rPr>
      </w:pPr>
    </w:p>
    <w:p w14:paraId="183A1189" w14:textId="7C211BED" w:rsidR="005A42A2" w:rsidRPr="00A942F6" w:rsidRDefault="005A42A2" w:rsidP="00641834">
      <w:pPr>
        <w:rPr>
          <w:lang w:val="nb-NO"/>
        </w:rPr>
      </w:pPr>
      <w:r w:rsidRPr="00A942F6">
        <w:rPr>
          <w:lang w:val="nb-NO"/>
        </w:rPr>
        <w:t>Hver ferdigfylte penn inneholder 162 mg tocilizumab i 0,9 ml.</w:t>
      </w:r>
    </w:p>
    <w:p w14:paraId="06BF7463" w14:textId="77777777" w:rsidR="005A42A2" w:rsidRPr="00A942F6" w:rsidRDefault="005A42A2" w:rsidP="00641834">
      <w:pPr>
        <w:rPr>
          <w:lang w:val="nb-NO"/>
        </w:rPr>
      </w:pPr>
    </w:p>
    <w:p w14:paraId="79E0B59B" w14:textId="1D39589F" w:rsidR="005A42A2" w:rsidRPr="00A942F6" w:rsidRDefault="00813939" w:rsidP="00641834">
      <w:pPr>
        <w:rPr>
          <w:lang w:val="nb-NO"/>
        </w:rPr>
      </w:pPr>
      <w:r w:rsidRPr="00A942F6">
        <w:rPr>
          <w:lang w:val="nb-NO"/>
        </w:rPr>
        <w:t>Tocilizumab</w:t>
      </w:r>
      <w:r w:rsidR="005A42A2" w:rsidRPr="00A942F6">
        <w:rPr>
          <w:lang w:val="nb-NO"/>
        </w:rPr>
        <w:t xml:space="preserve"> er et rekombinant humanisert, anti-humant monoklonalt antistoff i immunoglobulin G1 (IgG1)-sub-klassen mot løselige og membranbundne interleukin 6-reseptorer.</w:t>
      </w:r>
    </w:p>
    <w:p w14:paraId="3CA3EBA0" w14:textId="77777777" w:rsidR="00C23919" w:rsidRDefault="00C23919" w:rsidP="00641834">
      <w:pPr>
        <w:rPr>
          <w:lang w:val="nb-NO"/>
        </w:rPr>
      </w:pPr>
    </w:p>
    <w:p w14:paraId="32F65E65" w14:textId="49F52847" w:rsidR="00BC5EC4" w:rsidRPr="009B40A5" w:rsidRDefault="00BC5EC4" w:rsidP="00641834">
      <w:pPr>
        <w:rPr>
          <w:u w:val="single"/>
          <w:lang w:val="nb-NO"/>
        </w:rPr>
      </w:pPr>
      <w:r w:rsidRPr="009B40A5">
        <w:rPr>
          <w:u w:val="single"/>
          <w:lang w:val="nb-NO"/>
        </w:rPr>
        <w:t>Hjelpestoffer med kjent effekt:</w:t>
      </w:r>
    </w:p>
    <w:p w14:paraId="2FC7DD90" w14:textId="7BBEE1BF" w:rsidR="00BC5EC4" w:rsidRPr="009B40A5" w:rsidRDefault="00BC5EC4" w:rsidP="00641834">
      <w:pPr>
        <w:rPr>
          <w:i/>
          <w:iCs/>
          <w:lang w:val="nb-NO"/>
        </w:rPr>
      </w:pPr>
      <w:r w:rsidRPr="009B40A5">
        <w:rPr>
          <w:i/>
          <w:iCs/>
          <w:lang w:val="nb-NO"/>
        </w:rPr>
        <w:t>Polysorbat</w:t>
      </w:r>
    </w:p>
    <w:p w14:paraId="68BC5655" w14:textId="29C1B58A" w:rsidR="00BC5EC4" w:rsidRDefault="00BC5EC4" w:rsidP="00641834">
      <w:pPr>
        <w:rPr>
          <w:lang w:val="nb-NO"/>
        </w:rPr>
      </w:pPr>
      <w:r>
        <w:rPr>
          <w:lang w:val="nb-NO"/>
        </w:rPr>
        <w:t xml:space="preserve">Hver </w:t>
      </w:r>
      <w:r w:rsidR="00074714">
        <w:rPr>
          <w:lang w:val="nb-NO"/>
        </w:rPr>
        <w:t>f</w:t>
      </w:r>
      <w:r w:rsidR="00E17B0A">
        <w:rPr>
          <w:lang w:val="nb-NO"/>
        </w:rPr>
        <w:t>erdig</w:t>
      </w:r>
      <w:r w:rsidR="00074714">
        <w:rPr>
          <w:lang w:val="nb-NO"/>
        </w:rPr>
        <w:t>fylte penn med 162 mg inneholder 0,2 mg polysorbat</w:t>
      </w:r>
      <w:r w:rsidR="00437807">
        <w:rPr>
          <w:rFonts w:eastAsia="맑은 고딕" w:hint="eastAsia"/>
          <w:lang w:val="nb-NO" w:eastAsia="ko-KR"/>
        </w:rPr>
        <w:t xml:space="preserve"> 80</w:t>
      </w:r>
      <w:r w:rsidR="00074714">
        <w:rPr>
          <w:lang w:val="nb-NO"/>
        </w:rPr>
        <w:t>.</w:t>
      </w:r>
    </w:p>
    <w:p w14:paraId="0F81A8E6" w14:textId="77777777" w:rsidR="00BC5EC4" w:rsidRPr="00A942F6" w:rsidRDefault="00BC5EC4" w:rsidP="00641834">
      <w:pPr>
        <w:rPr>
          <w:lang w:val="nb-NO"/>
        </w:rPr>
      </w:pPr>
    </w:p>
    <w:p w14:paraId="77933DC0" w14:textId="77777777" w:rsidR="005A42A2" w:rsidRPr="00A942F6" w:rsidRDefault="005A42A2" w:rsidP="00641834">
      <w:pPr>
        <w:rPr>
          <w:lang w:val="nb-NO"/>
        </w:rPr>
      </w:pPr>
      <w:r w:rsidRPr="00A942F6">
        <w:rPr>
          <w:lang w:val="nb-NO"/>
        </w:rPr>
        <w:t>For fullstendig liste over hjelpestoffer, se pkt. 6.1.</w:t>
      </w:r>
    </w:p>
    <w:p w14:paraId="66B4ECC7" w14:textId="77777777" w:rsidR="005A42A2" w:rsidRPr="00A942F6" w:rsidRDefault="005A42A2" w:rsidP="00641834">
      <w:pPr>
        <w:rPr>
          <w:lang w:val="nb-NO"/>
        </w:rPr>
      </w:pPr>
    </w:p>
    <w:p w14:paraId="45EC7C36" w14:textId="77777777" w:rsidR="005A42A2" w:rsidRPr="00A942F6" w:rsidRDefault="005A42A2" w:rsidP="00641834">
      <w:pPr>
        <w:rPr>
          <w:lang w:val="nb-NO"/>
        </w:rPr>
      </w:pPr>
    </w:p>
    <w:p w14:paraId="1C660F5E" w14:textId="77777777" w:rsidR="005A42A2" w:rsidRPr="00A942F6" w:rsidRDefault="005A42A2" w:rsidP="00641834">
      <w:pPr>
        <w:pStyle w:val="H1"/>
        <w:rPr>
          <w:lang w:val="nb-NO"/>
        </w:rPr>
      </w:pPr>
      <w:r w:rsidRPr="00A942F6">
        <w:rPr>
          <w:lang w:val="nb-NO"/>
        </w:rPr>
        <w:t>3.</w:t>
      </w:r>
      <w:r w:rsidRPr="00A942F6">
        <w:rPr>
          <w:lang w:val="nb-NO"/>
        </w:rPr>
        <w:tab/>
        <w:t>LEGEMIDDELFORM</w:t>
      </w:r>
    </w:p>
    <w:p w14:paraId="12684445" w14:textId="77777777" w:rsidR="00426296" w:rsidRPr="00A942F6" w:rsidRDefault="00426296" w:rsidP="00641834">
      <w:pPr>
        <w:rPr>
          <w:lang w:val="nb-NO"/>
        </w:rPr>
      </w:pPr>
    </w:p>
    <w:p w14:paraId="3E23E1A6" w14:textId="3C8E1648" w:rsidR="00CE2B52" w:rsidRPr="00434BCD" w:rsidRDefault="00813939" w:rsidP="00641834">
      <w:pPr>
        <w:rPr>
          <w:lang w:val="ru-RU"/>
        </w:rPr>
      </w:pPr>
      <w:r w:rsidRPr="00A942F6">
        <w:rPr>
          <w:lang w:val="nb-NO"/>
        </w:rPr>
        <w:t xml:space="preserve">Injeksjonsvæske, oppløsning i ferdigfylt penn. Klar til lett opaliserende, fargeløs til gul </w:t>
      </w:r>
      <w:r w:rsidR="001A6111">
        <w:rPr>
          <w:lang w:val="nb-NO"/>
        </w:rPr>
        <w:t>opp</w:t>
      </w:r>
      <w:r w:rsidRPr="00A942F6">
        <w:rPr>
          <w:lang w:val="nb-NO"/>
        </w:rPr>
        <w:t>løsning med pH på 5,7–6,3 og en osmolalitet på 280–340 mmol/kg.</w:t>
      </w:r>
    </w:p>
    <w:p w14:paraId="1FE7FCF6" w14:textId="77777777" w:rsidR="005A42A2" w:rsidRPr="00A942F6" w:rsidRDefault="005A42A2" w:rsidP="00641834">
      <w:pPr>
        <w:rPr>
          <w:lang w:val="nb-NO"/>
        </w:rPr>
      </w:pPr>
    </w:p>
    <w:p w14:paraId="21E03D97" w14:textId="77777777" w:rsidR="00426296" w:rsidRPr="00A942F6" w:rsidRDefault="00426296" w:rsidP="00641834">
      <w:pPr>
        <w:pStyle w:val="H1"/>
        <w:rPr>
          <w:lang w:val="nb-NO"/>
        </w:rPr>
      </w:pPr>
    </w:p>
    <w:p w14:paraId="32A783A0" w14:textId="77777777" w:rsidR="005A42A2" w:rsidRPr="00A942F6" w:rsidRDefault="005A42A2" w:rsidP="00641834">
      <w:pPr>
        <w:pStyle w:val="H1"/>
        <w:rPr>
          <w:lang w:val="nb-NO"/>
        </w:rPr>
      </w:pPr>
      <w:r w:rsidRPr="00A942F6">
        <w:rPr>
          <w:lang w:val="nb-NO"/>
        </w:rPr>
        <w:t>4.</w:t>
      </w:r>
      <w:r w:rsidRPr="00A942F6">
        <w:rPr>
          <w:lang w:val="nb-NO"/>
        </w:rPr>
        <w:tab/>
        <w:t>KLINISKE OPPLYSNINGER</w:t>
      </w:r>
    </w:p>
    <w:p w14:paraId="5F716CB0" w14:textId="77777777" w:rsidR="005A42A2" w:rsidRPr="00A942F6" w:rsidRDefault="005A42A2" w:rsidP="00641834">
      <w:pPr>
        <w:rPr>
          <w:lang w:val="nb-NO"/>
        </w:rPr>
      </w:pPr>
    </w:p>
    <w:p w14:paraId="1D63746E" w14:textId="77777777" w:rsidR="005A42A2" w:rsidRPr="00A942F6" w:rsidRDefault="005A42A2" w:rsidP="00641834">
      <w:pPr>
        <w:pStyle w:val="H2"/>
        <w:rPr>
          <w:lang w:val="nb-NO"/>
        </w:rPr>
      </w:pPr>
      <w:r w:rsidRPr="00A942F6">
        <w:rPr>
          <w:lang w:val="nb-NO"/>
        </w:rPr>
        <w:t>4.1</w:t>
      </w:r>
      <w:r w:rsidRPr="00A942F6">
        <w:rPr>
          <w:lang w:val="nb-NO"/>
        </w:rPr>
        <w:tab/>
        <w:t>Indikasjoner</w:t>
      </w:r>
    </w:p>
    <w:p w14:paraId="0B76674C" w14:textId="77777777" w:rsidR="00426296" w:rsidRDefault="00426296" w:rsidP="00641834">
      <w:pPr>
        <w:rPr>
          <w:rFonts w:eastAsia="맑은 고딕"/>
          <w:lang w:val="nb-NO" w:eastAsia="ko-KR"/>
        </w:rPr>
      </w:pPr>
    </w:p>
    <w:p w14:paraId="65A3AEA5" w14:textId="1BE03738" w:rsidR="00437807" w:rsidRPr="00BD4D94" w:rsidRDefault="00437807" w:rsidP="00641834">
      <w:pPr>
        <w:rPr>
          <w:rFonts w:eastAsia="맑은 고딕"/>
          <w:u w:val="single"/>
          <w:lang w:val="nb-NO" w:eastAsia="ko-KR"/>
        </w:rPr>
      </w:pPr>
      <w:r w:rsidRPr="00BD4D94">
        <w:rPr>
          <w:rFonts w:eastAsia="맑은 고딕"/>
          <w:u w:val="single"/>
          <w:lang w:val="nb-NO" w:eastAsia="ko-KR"/>
        </w:rPr>
        <w:t>Revmatoid artritt (RA)</w:t>
      </w:r>
    </w:p>
    <w:p w14:paraId="58657F16" w14:textId="335B3B93" w:rsidR="005A42A2" w:rsidRPr="00A942F6" w:rsidRDefault="00923E68" w:rsidP="00641834">
      <w:pPr>
        <w:rPr>
          <w:lang w:val="nb-NO"/>
        </w:rPr>
      </w:pPr>
      <w:r w:rsidRPr="00A942F6">
        <w:rPr>
          <w:lang w:val="nb-NO"/>
        </w:rPr>
        <w:t>Avtozma</w:t>
      </w:r>
      <w:r w:rsidR="005A42A2" w:rsidRPr="00A942F6">
        <w:rPr>
          <w:lang w:val="nb-NO"/>
        </w:rPr>
        <w:t>, i kombinasjon med metotreksat, er indisert til</w:t>
      </w:r>
    </w:p>
    <w:p w14:paraId="48C95CD6" w14:textId="77777777" w:rsidR="005A42A2" w:rsidRPr="00A942F6" w:rsidRDefault="005A42A2" w:rsidP="00641834">
      <w:pPr>
        <w:pStyle w:val="BulletInd1cm1cm"/>
        <w:rPr>
          <w:lang w:val="nb-NO"/>
        </w:rPr>
      </w:pPr>
      <w:r w:rsidRPr="00A942F6">
        <w:rPr>
          <w:lang w:val="nb-NO"/>
        </w:rPr>
        <w:t>behandling av alvorlig, aktiv og progressiv revmatoid artritt (RA) hos voksne som ikke tidligere er behandlet med metotreksat.</w:t>
      </w:r>
    </w:p>
    <w:p w14:paraId="6FFB6285" w14:textId="77777777" w:rsidR="005A42A2" w:rsidRPr="00A942F6" w:rsidRDefault="005A42A2" w:rsidP="00641834">
      <w:pPr>
        <w:pStyle w:val="BulletInd1cm1cm"/>
        <w:rPr>
          <w:lang w:val="nb-NO"/>
        </w:rPr>
      </w:pPr>
      <w:r w:rsidRPr="00A942F6">
        <w:rPr>
          <w:lang w:val="nb-NO"/>
        </w:rPr>
        <w:t>behandling av moderat til alvorlig, aktiv RA hos voksne pasienter som enten ikke har respondert tilfredsstillende på eller som har vist intoleranse for tidligere terapi med ett eller flere sykdomsmodifiserende antirevmatiske legemidler (DMARD) eller tumornekrosefaktor (TNF)-antagonister.</w:t>
      </w:r>
    </w:p>
    <w:p w14:paraId="19FF6DEC" w14:textId="77777777" w:rsidR="00C23919" w:rsidRPr="00A942F6" w:rsidRDefault="00C23919" w:rsidP="00641834">
      <w:pPr>
        <w:rPr>
          <w:lang w:val="nb-NO"/>
        </w:rPr>
      </w:pPr>
    </w:p>
    <w:p w14:paraId="7728B5E5" w14:textId="4E09356B" w:rsidR="005A42A2" w:rsidRPr="00A942F6" w:rsidRDefault="005A42A2" w:rsidP="00641834">
      <w:pPr>
        <w:rPr>
          <w:lang w:val="nb-NO"/>
        </w:rPr>
      </w:pPr>
      <w:r w:rsidRPr="00A942F6">
        <w:rPr>
          <w:lang w:val="nb-NO"/>
        </w:rPr>
        <w:t xml:space="preserve">Hos disse pasientene kan </w:t>
      </w:r>
      <w:r w:rsidR="00923E68" w:rsidRPr="00A942F6">
        <w:rPr>
          <w:lang w:val="nb-NO"/>
        </w:rPr>
        <w:t>Avtozma</w:t>
      </w:r>
      <w:r w:rsidRPr="00A942F6">
        <w:rPr>
          <w:lang w:val="nb-NO"/>
        </w:rPr>
        <w:t xml:space="preserve"> gis som monoterapi ved intoleranse overfor metotreksat eller hvor fortsatt behandling med metotreksat ikke anses som egnet.</w:t>
      </w:r>
    </w:p>
    <w:p w14:paraId="6FD7171D" w14:textId="77777777" w:rsidR="00C23919" w:rsidRPr="00A942F6" w:rsidRDefault="00C23919" w:rsidP="00641834">
      <w:pPr>
        <w:rPr>
          <w:lang w:val="nb-NO"/>
        </w:rPr>
      </w:pPr>
    </w:p>
    <w:p w14:paraId="299E965E" w14:textId="52531A7E" w:rsidR="005A42A2" w:rsidRPr="00A942F6" w:rsidRDefault="005A42A2" w:rsidP="00641834">
      <w:pPr>
        <w:rPr>
          <w:lang w:val="nb-NO"/>
        </w:rPr>
      </w:pPr>
      <w:r w:rsidRPr="00A942F6">
        <w:rPr>
          <w:lang w:val="nb-NO"/>
        </w:rPr>
        <w:t xml:space="preserve">Målt med røntgen, har </w:t>
      </w:r>
      <w:r w:rsidR="00923E68" w:rsidRPr="00A942F6">
        <w:rPr>
          <w:lang w:val="nb-NO"/>
        </w:rPr>
        <w:t>Avtozma</w:t>
      </w:r>
      <w:r w:rsidRPr="00A942F6">
        <w:rPr>
          <w:lang w:val="nb-NO"/>
        </w:rPr>
        <w:t xml:space="preserve"> vist å redusere raten av leddskadeprogresjon og å forbedre fysisk funksjon når det er gitt i kombinasjon med metotreksat.</w:t>
      </w:r>
    </w:p>
    <w:p w14:paraId="43FB5E1A" w14:textId="77777777" w:rsidR="005A42A2" w:rsidRDefault="005A42A2" w:rsidP="00641834">
      <w:pPr>
        <w:rPr>
          <w:rFonts w:eastAsia="맑은 고딕"/>
          <w:lang w:val="nb-NO" w:eastAsia="ko-KR"/>
        </w:rPr>
      </w:pPr>
    </w:p>
    <w:p w14:paraId="740FE475" w14:textId="7E6CEB50" w:rsidR="00437807" w:rsidRPr="00BD4D94" w:rsidRDefault="00437807" w:rsidP="00641834">
      <w:pPr>
        <w:rPr>
          <w:rFonts w:eastAsia="맑은 고딕"/>
          <w:u w:val="single"/>
          <w:lang w:val="nb-NO" w:eastAsia="ko-KR"/>
        </w:rPr>
      </w:pPr>
      <w:r w:rsidRPr="00BD4D94">
        <w:rPr>
          <w:rFonts w:eastAsia="맑은 고딕"/>
          <w:u w:val="single"/>
          <w:lang w:val="nb-NO" w:eastAsia="ko-KR"/>
        </w:rPr>
        <w:t>Systemisk juvenil idiopatisk artritt (sJIA)</w:t>
      </w:r>
    </w:p>
    <w:p w14:paraId="1D55F000" w14:textId="592C3EB2" w:rsidR="005A42A2" w:rsidRPr="00A942F6" w:rsidRDefault="00923E68" w:rsidP="00641834">
      <w:pPr>
        <w:rPr>
          <w:lang w:val="nb-NO"/>
        </w:rPr>
      </w:pPr>
      <w:r w:rsidRPr="00A942F6">
        <w:rPr>
          <w:lang w:val="nb-NO"/>
        </w:rPr>
        <w:t>Avtozma</w:t>
      </w:r>
      <w:r w:rsidR="005A42A2" w:rsidRPr="00A942F6">
        <w:rPr>
          <w:lang w:val="nb-NO"/>
        </w:rPr>
        <w:t xml:space="preserve"> er indisert til behandling av aktiv systemisk juvenil idiopatisk artritt (sJIA) hos pasienter i alderen 12 år og eldre, som ikke har respondert adekvat på tidligere behandling med NSAIDs og systemiske kortikosteroider (se pkt. 4.2).</w:t>
      </w:r>
    </w:p>
    <w:p w14:paraId="04E500B4" w14:textId="116E1439" w:rsidR="005A42A2" w:rsidRPr="00A942F6" w:rsidRDefault="00923E68" w:rsidP="00641834">
      <w:pPr>
        <w:rPr>
          <w:lang w:val="nb-NO"/>
        </w:rPr>
      </w:pPr>
      <w:r w:rsidRPr="00A942F6">
        <w:rPr>
          <w:lang w:val="nb-NO"/>
        </w:rPr>
        <w:t>Avtozma</w:t>
      </w:r>
      <w:r w:rsidR="005A42A2" w:rsidRPr="00A942F6">
        <w:rPr>
          <w:lang w:val="nb-NO"/>
        </w:rPr>
        <w:t xml:space="preserve"> kan brukes som monoterapi (ved intoleranse overfor metotreksat eller når behandling med metotreksat ikke er egnet) eller i kombinasjon med metotreksat.</w:t>
      </w:r>
    </w:p>
    <w:p w14:paraId="60589E8E" w14:textId="77777777" w:rsidR="00C23919" w:rsidRDefault="00C23919" w:rsidP="00641834">
      <w:pPr>
        <w:rPr>
          <w:rFonts w:eastAsia="맑은 고딕"/>
          <w:lang w:val="nb-NO" w:eastAsia="ko-KR"/>
        </w:rPr>
      </w:pPr>
    </w:p>
    <w:p w14:paraId="6B291CB3" w14:textId="0392E5FC" w:rsidR="00437807" w:rsidRPr="00BD4D94" w:rsidRDefault="00437807" w:rsidP="00641834">
      <w:pPr>
        <w:rPr>
          <w:rFonts w:eastAsia="맑은 고딕"/>
          <w:u w:val="single"/>
          <w:lang w:val="nb-NO" w:eastAsia="ko-KR"/>
        </w:rPr>
      </w:pPr>
      <w:r w:rsidRPr="00BD4D94">
        <w:rPr>
          <w:rFonts w:eastAsia="맑은 고딕"/>
          <w:u w:val="single"/>
          <w:lang w:val="nb-NO" w:eastAsia="ko-KR"/>
        </w:rPr>
        <w:t>Polyartikulær juvenil idiopatisk artritt (pJIA)</w:t>
      </w:r>
    </w:p>
    <w:p w14:paraId="42C78B06" w14:textId="470A9537" w:rsidR="005A42A2" w:rsidRPr="00A942F6" w:rsidRDefault="00923E68" w:rsidP="00641834">
      <w:pPr>
        <w:rPr>
          <w:lang w:val="nb-NO"/>
        </w:rPr>
      </w:pPr>
      <w:r w:rsidRPr="00A942F6">
        <w:rPr>
          <w:lang w:val="nb-NO"/>
        </w:rPr>
        <w:lastRenderedPageBreak/>
        <w:t>Avtozma</w:t>
      </w:r>
      <w:r w:rsidR="005A42A2" w:rsidRPr="00A942F6">
        <w:rPr>
          <w:lang w:val="nb-NO"/>
        </w:rPr>
        <w:t xml:space="preserve"> i kombinasjon med metotreksat er indisert til behandling av polyartikulær juvenil idiopatisk artritt (pJIA; revmatoid faktor positiv eller negativ og utvidet oligoartritt) hos pasienter i alderen 12 år og eldre, som ikke har respondert adekvat på tidligere behandling med metotreksat (se pkt. 4.2.).</w:t>
      </w:r>
    </w:p>
    <w:p w14:paraId="7C2D2C0F" w14:textId="7C0B35E5" w:rsidR="005A42A2" w:rsidRPr="00A942F6" w:rsidRDefault="00923E68" w:rsidP="00641834">
      <w:pPr>
        <w:rPr>
          <w:lang w:val="nb-NO"/>
        </w:rPr>
      </w:pPr>
      <w:r w:rsidRPr="00A942F6">
        <w:rPr>
          <w:lang w:val="nb-NO"/>
        </w:rPr>
        <w:t>Avtozma</w:t>
      </w:r>
      <w:r w:rsidR="005A42A2" w:rsidRPr="00A942F6">
        <w:rPr>
          <w:lang w:val="nb-NO"/>
        </w:rPr>
        <w:t xml:space="preserve"> kan brukes som monoterapi ved intoleranse overfor metotreksat eller når fortsatt behandling med metotreksat ikke er egnet.</w:t>
      </w:r>
    </w:p>
    <w:p w14:paraId="3866660E" w14:textId="77777777" w:rsidR="00437807" w:rsidRDefault="00437807" w:rsidP="00641834">
      <w:pPr>
        <w:rPr>
          <w:rFonts w:eastAsia="맑은 고딕"/>
          <w:lang w:val="nb-NO" w:eastAsia="ko-KR"/>
        </w:rPr>
      </w:pPr>
    </w:p>
    <w:p w14:paraId="276C4D52" w14:textId="7F5FA63A" w:rsidR="00437807" w:rsidRPr="00BD4D94" w:rsidRDefault="00437807" w:rsidP="00641834">
      <w:pPr>
        <w:rPr>
          <w:rFonts w:eastAsia="맑은 고딕"/>
          <w:u w:val="single"/>
          <w:lang w:val="nb-NO" w:eastAsia="ko-KR"/>
        </w:rPr>
      </w:pPr>
      <w:r w:rsidRPr="00BD4D94">
        <w:rPr>
          <w:rFonts w:eastAsia="맑은 고딕"/>
          <w:u w:val="single"/>
          <w:lang w:val="nb-NO" w:eastAsia="ko-KR"/>
        </w:rPr>
        <w:t>Kjempecellearteritt (GCA)</w:t>
      </w:r>
    </w:p>
    <w:p w14:paraId="6C003535" w14:textId="77B6BC65" w:rsidR="005A42A2" w:rsidRPr="00A942F6" w:rsidRDefault="00923E68" w:rsidP="00641834">
      <w:pPr>
        <w:rPr>
          <w:lang w:val="nb-NO"/>
        </w:rPr>
      </w:pPr>
      <w:r w:rsidRPr="00A942F6">
        <w:rPr>
          <w:lang w:val="nb-NO"/>
        </w:rPr>
        <w:t>Avtozma</w:t>
      </w:r>
      <w:r w:rsidR="005A42A2" w:rsidRPr="00A942F6">
        <w:rPr>
          <w:lang w:val="nb-NO"/>
        </w:rPr>
        <w:t xml:space="preserve"> er indisert til behandling av kjempecellearteritt (GCA) hos voksne pasienter.</w:t>
      </w:r>
    </w:p>
    <w:p w14:paraId="5F061289" w14:textId="77777777" w:rsidR="005A42A2" w:rsidRPr="00A942F6" w:rsidRDefault="005A42A2" w:rsidP="00641834">
      <w:pPr>
        <w:rPr>
          <w:lang w:val="nb-NO"/>
        </w:rPr>
      </w:pPr>
    </w:p>
    <w:p w14:paraId="0701FB59" w14:textId="77777777" w:rsidR="005A42A2" w:rsidRPr="00A942F6" w:rsidRDefault="005A42A2" w:rsidP="00641834">
      <w:pPr>
        <w:pStyle w:val="H2"/>
        <w:rPr>
          <w:lang w:val="nb-NO"/>
        </w:rPr>
      </w:pPr>
      <w:r w:rsidRPr="00A942F6">
        <w:rPr>
          <w:lang w:val="nb-NO"/>
        </w:rPr>
        <w:t>4.2</w:t>
      </w:r>
      <w:r w:rsidRPr="00A942F6">
        <w:rPr>
          <w:lang w:val="nb-NO"/>
        </w:rPr>
        <w:tab/>
        <w:t>Dosering og administrasjonsmåte</w:t>
      </w:r>
    </w:p>
    <w:p w14:paraId="7214362F" w14:textId="77777777" w:rsidR="00426296" w:rsidRPr="00A942F6" w:rsidRDefault="00426296" w:rsidP="00641834">
      <w:pPr>
        <w:pStyle w:val="H2"/>
        <w:rPr>
          <w:lang w:val="nb-NO"/>
        </w:rPr>
      </w:pPr>
    </w:p>
    <w:p w14:paraId="7024F86A" w14:textId="33420FAA" w:rsidR="005A42A2" w:rsidRPr="00A942F6" w:rsidRDefault="005A42A2" w:rsidP="00641834">
      <w:pPr>
        <w:rPr>
          <w:lang w:val="nb-NO"/>
        </w:rPr>
      </w:pPr>
      <w:r w:rsidRPr="00A942F6">
        <w:rPr>
          <w:lang w:val="nb-NO"/>
        </w:rPr>
        <w:t>Subkutan formulering av tocilizumab administreres med en ferdigfylt penn til engangsbruk. Behandlingen skal initieres av lege med erfaring i diagnostikk og behandling av RA, sJIA, pJIA og/eller GCA.</w:t>
      </w:r>
      <w:r w:rsidR="00813939" w:rsidRPr="00A942F6">
        <w:rPr>
          <w:lang w:val="nb-NO"/>
        </w:rPr>
        <w:t xml:space="preserve"> </w:t>
      </w:r>
      <w:r w:rsidRPr="00A942F6">
        <w:rPr>
          <w:lang w:val="nb-NO"/>
        </w:rPr>
        <w:t>Den ferdigfylte pennen bør ikke brukes til å behandle pediatriske pasienter &lt; 12 år siden det er en potensiell risiko for intramuskulær injeksjon på grunn av tynnere lag med subkutant vev.</w:t>
      </w:r>
    </w:p>
    <w:p w14:paraId="555AF0AB" w14:textId="77777777" w:rsidR="005A42A2" w:rsidRPr="00A942F6" w:rsidRDefault="005A42A2" w:rsidP="00641834">
      <w:pPr>
        <w:rPr>
          <w:lang w:val="nb-NO"/>
        </w:rPr>
      </w:pPr>
    </w:p>
    <w:p w14:paraId="1CCFBB32" w14:textId="5DEDE645" w:rsidR="005A42A2" w:rsidRPr="00A942F6" w:rsidRDefault="005A42A2" w:rsidP="00641834">
      <w:pPr>
        <w:rPr>
          <w:lang w:val="nb-NO"/>
        </w:rPr>
      </w:pPr>
      <w:r w:rsidRPr="00A942F6">
        <w:rPr>
          <w:lang w:val="nb-NO"/>
        </w:rPr>
        <w:t xml:space="preserve">Den første injeksjonen bør utføres under tilsyn av kvalifisert helsepersonell. Pasienten eller foreldre/foresatte kan bare injisere </w:t>
      </w:r>
      <w:r w:rsidR="00923E68" w:rsidRPr="00A942F6">
        <w:rPr>
          <w:lang w:val="nb-NO"/>
        </w:rPr>
        <w:t>Avtozma</w:t>
      </w:r>
      <w:r w:rsidRPr="00A942F6">
        <w:rPr>
          <w:lang w:val="nb-NO"/>
        </w:rPr>
        <w:t xml:space="preserve"> selv dersom legen mener det er hensiktsmessig. Pasienten eller foreldre/foresatte som skal injisere </w:t>
      </w:r>
      <w:r w:rsidR="00923E68" w:rsidRPr="00A942F6">
        <w:rPr>
          <w:lang w:val="nb-NO"/>
        </w:rPr>
        <w:t>Avtozma</w:t>
      </w:r>
      <w:r w:rsidRPr="00A942F6">
        <w:rPr>
          <w:lang w:val="nb-NO"/>
        </w:rPr>
        <w:t xml:space="preserve"> selv må godta nødvendig medisinsk oppfølging og ha fått opplæring i riktig injeksjonsteknikk.</w:t>
      </w:r>
    </w:p>
    <w:p w14:paraId="684D364B" w14:textId="77777777" w:rsidR="00C23919" w:rsidRPr="00A942F6" w:rsidRDefault="00C23919" w:rsidP="00641834">
      <w:pPr>
        <w:rPr>
          <w:lang w:val="nb-NO"/>
        </w:rPr>
      </w:pPr>
    </w:p>
    <w:p w14:paraId="7528BFDF" w14:textId="77777777" w:rsidR="005A42A2" w:rsidRPr="00A942F6" w:rsidRDefault="005A42A2" w:rsidP="00641834">
      <w:pPr>
        <w:rPr>
          <w:lang w:val="nb-NO"/>
        </w:rPr>
      </w:pPr>
      <w:r w:rsidRPr="00A942F6">
        <w:rPr>
          <w:lang w:val="nb-NO"/>
        </w:rPr>
        <w:t>Pasienter som går over fra intravenøs tocilizumab-behandling til subkutan administrering bør administrere første subkutane dose til samme tid som neste planlagte intravenøse dose, under tilsyn av kvalifisert helsepersonell.</w:t>
      </w:r>
    </w:p>
    <w:p w14:paraId="3755CC0B" w14:textId="77777777" w:rsidR="005A42A2" w:rsidRPr="00A942F6" w:rsidRDefault="005A42A2" w:rsidP="00641834">
      <w:pPr>
        <w:rPr>
          <w:lang w:val="nb-NO"/>
        </w:rPr>
      </w:pPr>
    </w:p>
    <w:p w14:paraId="7181898D" w14:textId="0AA7C61A" w:rsidR="005A42A2" w:rsidRPr="00A942F6" w:rsidRDefault="005A42A2" w:rsidP="00641834">
      <w:pPr>
        <w:rPr>
          <w:lang w:val="nb-NO"/>
        </w:rPr>
      </w:pPr>
      <w:r w:rsidRPr="00A942F6">
        <w:rPr>
          <w:lang w:val="nb-NO"/>
        </w:rPr>
        <w:t xml:space="preserve">Alle pasienter som behandles med </w:t>
      </w:r>
      <w:r w:rsidR="00923E68" w:rsidRPr="00A942F6">
        <w:rPr>
          <w:lang w:val="nb-NO"/>
        </w:rPr>
        <w:t>Avtozma</w:t>
      </w:r>
      <w:r w:rsidRPr="00A942F6">
        <w:rPr>
          <w:lang w:val="nb-NO"/>
        </w:rPr>
        <w:t xml:space="preserve"> skal få utdelt pasientkortet.</w:t>
      </w:r>
    </w:p>
    <w:p w14:paraId="1186D1F9" w14:textId="77777777" w:rsidR="005A42A2" w:rsidRPr="00A942F6" w:rsidRDefault="005A42A2" w:rsidP="00641834">
      <w:pPr>
        <w:rPr>
          <w:lang w:val="nb-NO"/>
        </w:rPr>
      </w:pPr>
    </w:p>
    <w:p w14:paraId="7C31F8B9" w14:textId="77777777" w:rsidR="005A42A2" w:rsidRPr="00A942F6" w:rsidRDefault="005A42A2" w:rsidP="00641834">
      <w:pPr>
        <w:rPr>
          <w:lang w:val="nb-NO"/>
        </w:rPr>
      </w:pPr>
      <w:r w:rsidRPr="00A942F6">
        <w:rPr>
          <w:lang w:val="nb-NO"/>
        </w:rPr>
        <w:t>Pasientens eller foreldre/foresattes egnethet for subkutan bruk hjemme bør vurderes. Pasienter eller foreldre/foresatte bør instrueres til å snakke med lege før administrering av neste dose dersom de opplever symptomer på en allergisk reaksjon. Pasienter skal oppsøke lege umiddelbart hvis de utvikler symptomer på alvorlige allergiske reaksjoner (se pkt. 4.4).</w:t>
      </w:r>
    </w:p>
    <w:p w14:paraId="241FC50C" w14:textId="77777777" w:rsidR="005A42A2" w:rsidRPr="00A942F6" w:rsidRDefault="005A42A2" w:rsidP="00641834">
      <w:pPr>
        <w:rPr>
          <w:lang w:val="nb-NO"/>
        </w:rPr>
      </w:pPr>
    </w:p>
    <w:p w14:paraId="71D7304D" w14:textId="77777777" w:rsidR="005A42A2" w:rsidRPr="00A942F6" w:rsidRDefault="005A42A2" w:rsidP="00641834">
      <w:pPr>
        <w:pStyle w:val="Style1underline"/>
        <w:rPr>
          <w:lang w:val="nb-NO"/>
        </w:rPr>
      </w:pPr>
      <w:r w:rsidRPr="00A942F6">
        <w:rPr>
          <w:lang w:val="nb-NO"/>
        </w:rPr>
        <w:t>Dosering</w:t>
      </w:r>
    </w:p>
    <w:p w14:paraId="6764FD18" w14:textId="77777777" w:rsidR="005A42A2" w:rsidRPr="00A942F6" w:rsidRDefault="005A42A2" w:rsidP="00641834">
      <w:pPr>
        <w:pStyle w:val="Style1underline"/>
        <w:rPr>
          <w:lang w:val="nb-NO"/>
        </w:rPr>
      </w:pPr>
    </w:p>
    <w:p w14:paraId="284E7D21" w14:textId="77777777" w:rsidR="005A42A2" w:rsidRPr="00A942F6" w:rsidRDefault="005A42A2" w:rsidP="00641834">
      <w:pPr>
        <w:pStyle w:val="Style1underline"/>
        <w:rPr>
          <w:lang w:val="nb-NO"/>
        </w:rPr>
      </w:pPr>
      <w:r w:rsidRPr="00A942F6">
        <w:rPr>
          <w:lang w:val="nb-NO"/>
        </w:rPr>
        <w:t>RA</w:t>
      </w:r>
    </w:p>
    <w:p w14:paraId="662314AE" w14:textId="77777777" w:rsidR="005A42A2" w:rsidRPr="00A942F6" w:rsidRDefault="005A42A2" w:rsidP="00641834">
      <w:pPr>
        <w:rPr>
          <w:lang w:val="nb-NO"/>
        </w:rPr>
      </w:pPr>
      <w:r w:rsidRPr="00A942F6">
        <w:rPr>
          <w:lang w:val="nb-NO"/>
        </w:rPr>
        <w:t>Anbefalt dosering er 162 mg subkutant én gang hver uke.</w:t>
      </w:r>
    </w:p>
    <w:p w14:paraId="6ADD522A" w14:textId="77777777" w:rsidR="005A42A2" w:rsidRPr="00A942F6" w:rsidRDefault="005A42A2" w:rsidP="00641834">
      <w:pPr>
        <w:rPr>
          <w:lang w:val="nb-NO"/>
        </w:rPr>
      </w:pPr>
    </w:p>
    <w:p w14:paraId="47A6183B" w14:textId="5CFA6E88" w:rsidR="005A42A2" w:rsidRPr="00A942F6" w:rsidRDefault="005A42A2" w:rsidP="00641834">
      <w:pPr>
        <w:rPr>
          <w:lang w:val="nb-NO"/>
        </w:rPr>
      </w:pPr>
      <w:r w:rsidRPr="00A942F6">
        <w:rPr>
          <w:lang w:val="nb-NO"/>
        </w:rPr>
        <w:t xml:space="preserve">Begrenset informasjon er tilgjengelig angående bytte fra </w:t>
      </w:r>
      <w:r w:rsidR="00923E68" w:rsidRPr="00A942F6">
        <w:rPr>
          <w:lang w:val="nb-NO"/>
        </w:rPr>
        <w:t>Avtozma</w:t>
      </w:r>
      <w:r w:rsidRPr="00A942F6">
        <w:rPr>
          <w:lang w:val="nb-NO"/>
        </w:rPr>
        <w:t xml:space="preserve"> intravenøs formulering til </w:t>
      </w:r>
      <w:r w:rsidR="00923E68" w:rsidRPr="00A942F6">
        <w:rPr>
          <w:lang w:val="nb-NO"/>
        </w:rPr>
        <w:t>Avtozma</w:t>
      </w:r>
      <w:r w:rsidRPr="00A942F6">
        <w:rPr>
          <w:lang w:val="nb-NO"/>
        </w:rPr>
        <w:t xml:space="preserve"> subkutan fast dose-formulering. Doseringsintervallet «én gang hver uke» bør følges.</w:t>
      </w:r>
    </w:p>
    <w:p w14:paraId="49FC7CC1" w14:textId="77777777" w:rsidR="00C23919" w:rsidRPr="00A942F6" w:rsidRDefault="00C23919" w:rsidP="00641834">
      <w:pPr>
        <w:rPr>
          <w:lang w:val="nb-NO"/>
        </w:rPr>
      </w:pPr>
    </w:p>
    <w:p w14:paraId="764AD279" w14:textId="77777777" w:rsidR="005A42A2" w:rsidRPr="00A942F6" w:rsidRDefault="005A42A2" w:rsidP="00641834">
      <w:pPr>
        <w:rPr>
          <w:lang w:val="nb-NO"/>
        </w:rPr>
      </w:pPr>
      <w:r w:rsidRPr="00A942F6">
        <w:rPr>
          <w:lang w:val="nb-NO"/>
        </w:rPr>
        <w:t>Pasienter som går over fra intravenøs til subkutan formulering skal administrere sin første subkutane dose, i stedet for neste planlagte intravenøse dose, under oppsyn av kvalifisert helsepersonell.</w:t>
      </w:r>
    </w:p>
    <w:p w14:paraId="2F796E69" w14:textId="77777777" w:rsidR="005A42A2" w:rsidRPr="00A942F6" w:rsidRDefault="005A42A2" w:rsidP="00641834">
      <w:pPr>
        <w:rPr>
          <w:lang w:val="nb-NO"/>
        </w:rPr>
      </w:pPr>
    </w:p>
    <w:p w14:paraId="608D6EC3" w14:textId="77777777" w:rsidR="005A42A2" w:rsidRPr="00A942F6" w:rsidRDefault="005A42A2" w:rsidP="00641834">
      <w:pPr>
        <w:pStyle w:val="Style1underline"/>
        <w:rPr>
          <w:lang w:val="nb-NO"/>
        </w:rPr>
      </w:pPr>
      <w:r w:rsidRPr="00A942F6">
        <w:rPr>
          <w:lang w:val="nb-NO"/>
        </w:rPr>
        <w:t>GCA</w:t>
      </w:r>
    </w:p>
    <w:p w14:paraId="2CDF06A8" w14:textId="0E6F499A" w:rsidR="005A42A2" w:rsidRPr="00A942F6" w:rsidRDefault="005A42A2" w:rsidP="00641834">
      <w:pPr>
        <w:rPr>
          <w:lang w:val="nb-NO"/>
        </w:rPr>
      </w:pPr>
      <w:r w:rsidRPr="00A942F6">
        <w:rPr>
          <w:lang w:val="nb-NO"/>
        </w:rPr>
        <w:t xml:space="preserve">Anbefalt dose er 162 mg subkutant én gang hver uke, i kombinasjon med gradvis nedtrapping av glukokortikoider. </w:t>
      </w:r>
      <w:r w:rsidR="00923E68" w:rsidRPr="00A942F6">
        <w:rPr>
          <w:lang w:val="nb-NO"/>
        </w:rPr>
        <w:t>Avtozma</w:t>
      </w:r>
      <w:r w:rsidRPr="00A942F6">
        <w:rPr>
          <w:lang w:val="nb-NO"/>
        </w:rPr>
        <w:t xml:space="preserve"> kan brukes alene etter seponering av glukokortikoider.</w:t>
      </w:r>
    </w:p>
    <w:p w14:paraId="030F3061" w14:textId="77777777" w:rsidR="00C23919" w:rsidRPr="00A942F6" w:rsidRDefault="00C23919" w:rsidP="00641834">
      <w:pPr>
        <w:rPr>
          <w:lang w:val="nb-NO"/>
        </w:rPr>
      </w:pPr>
    </w:p>
    <w:p w14:paraId="78BFA871" w14:textId="5E674587" w:rsidR="005A42A2" w:rsidRPr="00A942F6" w:rsidRDefault="005A42A2" w:rsidP="00641834">
      <w:pPr>
        <w:rPr>
          <w:lang w:val="nb-NO"/>
        </w:rPr>
      </w:pPr>
      <w:r w:rsidRPr="00A942F6">
        <w:rPr>
          <w:lang w:val="nb-NO"/>
        </w:rPr>
        <w:t xml:space="preserve">Monoterapi med </w:t>
      </w:r>
      <w:r w:rsidR="00923E68" w:rsidRPr="00A942F6">
        <w:rPr>
          <w:lang w:val="nb-NO"/>
        </w:rPr>
        <w:t>Avtozma</w:t>
      </w:r>
      <w:r w:rsidRPr="00A942F6">
        <w:rPr>
          <w:lang w:val="nb-NO"/>
        </w:rPr>
        <w:t xml:space="preserve"> skal ikke brukes til behandling av akutt tilbakefall (se pkt. 4.4).</w:t>
      </w:r>
    </w:p>
    <w:p w14:paraId="6BADE186" w14:textId="77777777" w:rsidR="005A42A2" w:rsidRPr="00A942F6" w:rsidRDefault="005A42A2" w:rsidP="00641834">
      <w:pPr>
        <w:rPr>
          <w:lang w:val="nb-NO"/>
        </w:rPr>
      </w:pPr>
    </w:p>
    <w:p w14:paraId="08B1C6CC" w14:textId="77777777" w:rsidR="005A42A2" w:rsidRPr="00A942F6" w:rsidRDefault="005A42A2" w:rsidP="00641834">
      <w:pPr>
        <w:rPr>
          <w:lang w:val="nb-NO"/>
        </w:rPr>
      </w:pPr>
      <w:r w:rsidRPr="00A942F6">
        <w:rPr>
          <w:lang w:val="nb-NO"/>
        </w:rPr>
        <w:t>Basert på at GCA er en kronisk sykdom, bør behandling utover 52 uker bestemmes med hensyn på sykdomsaktivitet, legens skjønn og pasientens valg.</w:t>
      </w:r>
    </w:p>
    <w:p w14:paraId="27242FFE" w14:textId="77777777" w:rsidR="005A42A2" w:rsidRPr="00A942F6" w:rsidRDefault="005A42A2" w:rsidP="00641834">
      <w:pPr>
        <w:rPr>
          <w:lang w:val="nb-NO"/>
        </w:rPr>
      </w:pPr>
    </w:p>
    <w:p w14:paraId="3251D95F" w14:textId="77777777" w:rsidR="005A42A2" w:rsidRPr="00706993" w:rsidRDefault="005A42A2" w:rsidP="00641834">
      <w:pPr>
        <w:rPr>
          <w:u w:val="single"/>
          <w:lang w:val="nb-NO"/>
        </w:rPr>
      </w:pPr>
      <w:r w:rsidRPr="00706993">
        <w:rPr>
          <w:u w:val="single"/>
          <w:lang w:val="nb-NO"/>
        </w:rPr>
        <w:t>RA og GCA</w:t>
      </w:r>
    </w:p>
    <w:p w14:paraId="090CF0E6" w14:textId="77777777" w:rsidR="005A42A2" w:rsidRPr="00A942F6" w:rsidRDefault="005A42A2" w:rsidP="00641834">
      <w:pPr>
        <w:pStyle w:val="Style1underline"/>
        <w:rPr>
          <w:lang w:val="nb-NO"/>
        </w:rPr>
      </w:pPr>
      <w:r w:rsidRPr="00A942F6">
        <w:rPr>
          <w:lang w:val="nb-NO"/>
        </w:rPr>
        <w:t>Dosejustering på grunn av unormale laboratorieprøver (se pkt. 4.4.).</w:t>
      </w:r>
    </w:p>
    <w:p w14:paraId="508263CC" w14:textId="77777777" w:rsidR="005A42A2" w:rsidRPr="00A942F6" w:rsidRDefault="005A42A2" w:rsidP="00641834">
      <w:pPr>
        <w:rPr>
          <w:lang w:val="nb-NO"/>
        </w:rPr>
      </w:pPr>
    </w:p>
    <w:p w14:paraId="353B6473" w14:textId="77777777" w:rsidR="005A42A2" w:rsidRPr="00A942F6" w:rsidRDefault="005A42A2" w:rsidP="00641834">
      <w:pPr>
        <w:pStyle w:val="Bullet1cm"/>
        <w:keepNext/>
        <w:rPr>
          <w:lang w:val="nb-NO"/>
        </w:rPr>
      </w:pPr>
      <w:r w:rsidRPr="00A942F6">
        <w:rPr>
          <w:lang w:val="nb-NO"/>
        </w:rPr>
        <w:lastRenderedPageBreak/>
        <w:t>Unormale leverenzymverdier</w:t>
      </w:r>
    </w:p>
    <w:p w14:paraId="4289535D" w14:textId="77777777" w:rsidR="005A42A2" w:rsidRPr="00A942F6" w:rsidRDefault="005A42A2" w:rsidP="00641834">
      <w:pPr>
        <w:keepNext/>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5"/>
        <w:gridCol w:w="6300"/>
      </w:tblGrid>
      <w:tr w:rsidR="005A42A2" w:rsidRPr="00A942F6" w14:paraId="1F10AF77" w14:textId="77777777" w:rsidTr="00F45BFD">
        <w:trPr>
          <w:cantSplit/>
          <w:trHeight w:val="20"/>
          <w:tblHeader/>
        </w:trPr>
        <w:tc>
          <w:tcPr>
            <w:tcW w:w="2755" w:type="dxa"/>
          </w:tcPr>
          <w:p w14:paraId="294FEA7B" w14:textId="77777777" w:rsidR="005A42A2" w:rsidRPr="00A942F6" w:rsidRDefault="005A42A2" w:rsidP="00641834">
            <w:pPr>
              <w:pStyle w:val="TableParagraph"/>
              <w:jc w:val="center"/>
              <w:rPr>
                <w:sz w:val="20"/>
                <w:szCs w:val="20"/>
                <w:lang w:val="nb-NO"/>
              </w:rPr>
            </w:pPr>
            <w:r w:rsidRPr="00A942F6">
              <w:rPr>
                <w:sz w:val="20"/>
                <w:szCs w:val="20"/>
                <w:lang w:val="nb-NO"/>
              </w:rPr>
              <w:t>Laboratorieverdi</w:t>
            </w:r>
          </w:p>
        </w:tc>
        <w:tc>
          <w:tcPr>
            <w:tcW w:w="6300" w:type="dxa"/>
          </w:tcPr>
          <w:p w14:paraId="79E34666" w14:textId="77777777" w:rsidR="005A42A2" w:rsidRPr="00A942F6" w:rsidRDefault="005A42A2" w:rsidP="00641834">
            <w:pPr>
              <w:pStyle w:val="TableParagraph"/>
              <w:jc w:val="center"/>
              <w:rPr>
                <w:sz w:val="20"/>
                <w:szCs w:val="20"/>
                <w:lang w:val="nb-NO"/>
              </w:rPr>
            </w:pPr>
            <w:r w:rsidRPr="00A942F6">
              <w:rPr>
                <w:sz w:val="20"/>
                <w:szCs w:val="20"/>
                <w:lang w:val="nb-NO"/>
              </w:rPr>
              <w:t>Tiltak</w:t>
            </w:r>
          </w:p>
        </w:tc>
      </w:tr>
      <w:tr w:rsidR="005A42A2" w:rsidRPr="00B477E5" w14:paraId="545BBE34" w14:textId="77777777" w:rsidTr="00F45BFD">
        <w:trPr>
          <w:cantSplit/>
          <w:trHeight w:val="20"/>
        </w:trPr>
        <w:tc>
          <w:tcPr>
            <w:tcW w:w="2755" w:type="dxa"/>
          </w:tcPr>
          <w:p w14:paraId="5E283E2C" w14:textId="77777777" w:rsidR="005A42A2" w:rsidRPr="00A942F6" w:rsidRDefault="005A42A2" w:rsidP="00641834">
            <w:pPr>
              <w:pStyle w:val="TableParagraph"/>
              <w:rPr>
                <w:sz w:val="20"/>
                <w:szCs w:val="20"/>
                <w:lang w:val="nb-NO"/>
              </w:rPr>
            </w:pPr>
            <w:r w:rsidRPr="00A942F6">
              <w:rPr>
                <w:sz w:val="20"/>
                <w:szCs w:val="20"/>
                <w:lang w:val="nb-NO"/>
              </w:rPr>
              <w:t>&gt; 1 til 3 x øvre normalverdi (ULN)</w:t>
            </w:r>
          </w:p>
        </w:tc>
        <w:tc>
          <w:tcPr>
            <w:tcW w:w="6300" w:type="dxa"/>
          </w:tcPr>
          <w:p w14:paraId="48E604F0" w14:textId="77777777" w:rsidR="005A42A2" w:rsidRPr="00A942F6" w:rsidRDefault="005A42A2" w:rsidP="00641834">
            <w:pPr>
              <w:pStyle w:val="TableParagraph"/>
              <w:rPr>
                <w:sz w:val="20"/>
                <w:szCs w:val="20"/>
                <w:lang w:val="nb-NO"/>
              </w:rPr>
            </w:pPr>
            <w:r w:rsidRPr="00A942F6">
              <w:rPr>
                <w:sz w:val="20"/>
                <w:szCs w:val="20"/>
                <w:lang w:val="nb-NO"/>
              </w:rPr>
              <w:t>Juster dosen av samtidig DMARDs (RA) eller immunmodulerende midler (GCA) hvis nødvendig.</w:t>
            </w:r>
          </w:p>
          <w:p w14:paraId="3B5834B1" w14:textId="37A13BBB" w:rsidR="005A42A2" w:rsidRPr="00A942F6" w:rsidRDefault="005A42A2" w:rsidP="00641834">
            <w:pPr>
              <w:pStyle w:val="TableParagraph"/>
              <w:rPr>
                <w:sz w:val="20"/>
                <w:szCs w:val="20"/>
                <w:lang w:val="nb-NO"/>
              </w:rPr>
            </w:pPr>
            <w:r w:rsidRPr="00A942F6">
              <w:rPr>
                <w:sz w:val="20"/>
                <w:szCs w:val="20"/>
                <w:lang w:val="nb-NO"/>
              </w:rPr>
              <w:t xml:space="preserve">Ved vedvarende forhøyede verdier innenfor dette området, reduser frekvensen av </w:t>
            </w:r>
            <w:r w:rsidR="00923E68" w:rsidRPr="00A942F6">
              <w:rPr>
                <w:sz w:val="20"/>
                <w:szCs w:val="20"/>
                <w:lang w:val="nb-NO"/>
              </w:rPr>
              <w:t>Avtozma</w:t>
            </w:r>
            <w:r w:rsidRPr="00A942F6">
              <w:rPr>
                <w:sz w:val="20"/>
                <w:szCs w:val="20"/>
                <w:lang w:val="nb-NO"/>
              </w:rPr>
              <w:t xml:space="preserve">-behandling til injeksjoner annenhver uke eller avbryt </w:t>
            </w:r>
            <w:r w:rsidR="00923E68" w:rsidRPr="00A942F6">
              <w:rPr>
                <w:sz w:val="20"/>
                <w:szCs w:val="20"/>
                <w:lang w:val="nb-NO"/>
              </w:rPr>
              <w:t>Avtozma</w:t>
            </w:r>
            <w:r w:rsidRPr="00A942F6">
              <w:rPr>
                <w:sz w:val="20"/>
                <w:szCs w:val="20"/>
                <w:lang w:val="nb-NO"/>
              </w:rPr>
              <w:t xml:space="preserve"> til alaninaminotransferase (ALAT) eller aspartataminotransferase (ASAT) er normalisert.</w:t>
            </w:r>
          </w:p>
          <w:p w14:paraId="41EA4B68" w14:textId="77777777" w:rsidR="005A42A2" w:rsidRPr="00A942F6" w:rsidRDefault="005A42A2" w:rsidP="00641834">
            <w:pPr>
              <w:pStyle w:val="TableParagraph"/>
              <w:rPr>
                <w:sz w:val="20"/>
                <w:szCs w:val="20"/>
                <w:lang w:val="nb-NO"/>
              </w:rPr>
            </w:pPr>
            <w:r w:rsidRPr="00A942F6">
              <w:rPr>
                <w:sz w:val="20"/>
                <w:szCs w:val="20"/>
                <w:lang w:val="nb-NO"/>
              </w:rPr>
              <w:t>Start opp igjen med injisering ukentlig eller annenhver uke, dersom klinisk hensiktsmessig.</w:t>
            </w:r>
          </w:p>
        </w:tc>
      </w:tr>
      <w:tr w:rsidR="005A42A2" w:rsidRPr="00B477E5" w14:paraId="507ED442" w14:textId="77777777" w:rsidTr="00F45BFD">
        <w:trPr>
          <w:cantSplit/>
          <w:trHeight w:val="20"/>
        </w:trPr>
        <w:tc>
          <w:tcPr>
            <w:tcW w:w="2755" w:type="dxa"/>
          </w:tcPr>
          <w:p w14:paraId="5E9CC088" w14:textId="77777777" w:rsidR="005A42A2" w:rsidRPr="00A942F6" w:rsidRDefault="005A42A2" w:rsidP="00641834">
            <w:pPr>
              <w:pStyle w:val="TableParagraph"/>
              <w:rPr>
                <w:sz w:val="20"/>
                <w:szCs w:val="20"/>
                <w:lang w:val="nb-NO"/>
              </w:rPr>
            </w:pPr>
            <w:r w:rsidRPr="00A942F6">
              <w:rPr>
                <w:sz w:val="20"/>
                <w:szCs w:val="20"/>
                <w:lang w:val="nb-NO"/>
              </w:rPr>
              <w:t>&gt; 3 til 5 x ULN</w:t>
            </w:r>
          </w:p>
        </w:tc>
        <w:tc>
          <w:tcPr>
            <w:tcW w:w="6300" w:type="dxa"/>
          </w:tcPr>
          <w:p w14:paraId="3E9313F9" w14:textId="3F7D470E" w:rsidR="005A42A2" w:rsidRPr="00A942F6" w:rsidRDefault="005A42A2"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til &lt; 3 x ULN og følg anbefalinger over for &gt; 1 til 3 x ULN.</w:t>
            </w:r>
          </w:p>
          <w:p w14:paraId="2B7206E2" w14:textId="441BC0EC" w:rsidR="005A42A2" w:rsidRPr="00A942F6" w:rsidRDefault="005A42A2" w:rsidP="00641834">
            <w:pPr>
              <w:pStyle w:val="TableParagraph"/>
              <w:rPr>
                <w:sz w:val="20"/>
                <w:szCs w:val="20"/>
                <w:lang w:val="nb-NO"/>
              </w:rPr>
            </w:pPr>
            <w:r w:rsidRPr="00A942F6">
              <w:rPr>
                <w:sz w:val="20"/>
                <w:szCs w:val="20"/>
                <w:lang w:val="nb-NO"/>
              </w:rPr>
              <w:t xml:space="preserve">Ved vedvarende forhøyede verdier &gt; 3 x ULN (bekreftet ved gjentatt testing, se pkt. 4.4), seponer </w:t>
            </w:r>
            <w:r w:rsidR="00923E68" w:rsidRPr="00A942F6">
              <w:rPr>
                <w:sz w:val="20"/>
                <w:szCs w:val="20"/>
                <w:lang w:val="nb-NO"/>
              </w:rPr>
              <w:t>Avtozma</w:t>
            </w:r>
            <w:r w:rsidRPr="00A942F6">
              <w:rPr>
                <w:sz w:val="20"/>
                <w:szCs w:val="20"/>
                <w:lang w:val="nb-NO"/>
              </w:rPr>
              <w:t>.</w:t>
            </w:r>
          </w:p>
        </w:tc>
      </w:tr>
      <w:tr w:rsidR="005A42A2" w:rsidRPr="00A942F6" w14:paraId="53951174" w14:textId="77777777" w:rsidTr="00F45BFD">
        <w:trPr>
          <w:cantSplit/>
          <w:trHeight w:val="20"/>
        </w:trPr>
        <w:tc>
          <w:tcPr>
            <w:tcW w:w="2755" w:type="dxa"/>
          </w:tcPr>
          <w:p w14:paraId="2CA1BEBF" w14:textId="77777777" w:rsidR="005A42A2" w:rsidRPr="00A942F6" w:rsidRDefault="005A42A2" w:rsidP="00641834">
            <w:pPr>
              <w:pStyle w:val="TableParagraph"/>
              <w:rPr>
                <w:sz w:val="20"/>
                <w:szCs w:val="20"/>
                <w:lang w:val="nb-NO"/>
              </w:rPr>
            </w:pPr>
            <w:r w:rsidRPr="00A942F6">
              <w:rPr>
                <w:sz w:val="20"/>
                <w:szCs w:val="20"/>
                <w:lang w:val="nb-NO"/>
              </w:rPr>
              <w:t>&gt; 5 x ULN</w:t>
            </w:r>
          </w:p>
        </w:tc>
        <w:tc>
          <w:tcPr>
            <w:tcW w:w="6300" w:type="dxa"/>
          </w:tcPr>
          <w:p w14:paraId="541F65E6" w14:textId="77C4F998" w:rsidR="005A42A2" w:rsidRPr="00A942F6" w:rsidRDefault="005A42A2"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tc>
      </w:tr>
    </w:tbl>
    <w:p w14:paraId="18CB745F" w14:textId="77777777" w:rsidR="005A42A2" w:rsidRPr="00A942F6" w:rsidRDefault="005A42A2" w:rsidP="00641834">
      <w:pPr>
        <w:rPr>
          <w:lang w:val="nb-NO"/>
        </w:rPr>
      </w:pPr>
    </w:p>
    <w:p w14:paraId="503C2332" w14:textId="77777777" w:rsidR="005A42A2" w:rsidRPr="00A942F6" w:rsidRDefault="005A42A2" w:rsidP="00641834">
      <w:pPr>
        <w:pStyle w:val="Bullet1cm"/>
        <w:rPr>
          <w:lang w:val="nb-NO"/>
        </w:rPr>
      </w:pPr>
      <w:r w:rsidRPr="00A942F6">
        <w:rPr>
          <w:lang w:val="nb-NO"/>
        </w:rPr>
        <w:t>Lavt absolutt nøytrofiltall (ANC)</w:t>
      </w:r>
    </w:p>
    <w:p w14:paraId="2E1F2855" w14:textId="77777777" w:rsidR="005A42A2" w:rsidRPr="00A942F6" w:rsidRDefault="005A42A2" w:rsidP="00641834">
      <w:pPr>
        <w:rPr>
          <w:lang w:val="nb-NO"/>
        </w:rPr>
      </w:pPr>
    </w:p>
    <w:p w14:paraId="7C5AFF52" w14:textId="5AA83095" w:rsidR="005A42A2" w:rsidRPr="00A942F6" w:rsidRDefault="005A42A2" w:rsidP="00641834">
      <w:pPr>
        <w:rPr>
          <w:lang w:val="nb-NO"/>
        </w:rPr>
      </w:pPr>
      <w:r w:rsidRPr="00A942F6">
        <w:rPr>
          <w:lang w:val="nb-NO"/>
        </w:rPr>
        <w:t xml:space="preserve">For pasienter som ikke tidligere er behandlet med </w:t>
      </w:r>
      <w:r w:rsidR="00813939" w:rsidRPr="00A942F6">
        <w:rPr>
          <w:lang w:val="nb-NO" w:eastAsia="ko-KR"/>
        </w:rPr>
        <w:t>tocilizumab</w:t>
      </w:r>
      <w:r w:rsidRPr="00A942F6">
        <w:rPr>
          <w:lang w:val="nb-NO"/>
        </w:rPr>
        <w:t xml:space="preserve"> er initiering ikke anbefalt for pasienter med et absolutt nøytrofiltall (ANC) under 2 x 10</w:t>
      </w:r>
      <w:r w:rsidRPr="00A942F6">
        <w:rPr>
          <w:vertAlign w:val="superscript"/>
          <w:lang w:val="nb-NO"/>
        </w:rPr>
        <w:t>9</w:t>
      </w:r>
      <w:r w:rsidRPr="00A942F6">
        <w:rPr>
          <w:lang w:val="nb-NO"/>
        </w:rPr>
        <w:t>/l.</w:t>
      </w:r>
    </w:p>
    <w:p w14:paraId="4A01E0B4" w14:textId="77777777" w:rsidR="005A42A2" w:rsidRPr="00A942F6" w:rsidRDefault="005A42A2"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0"/>
        <w:gridCol w:w="6295"/>
      </w:tblGrid>
      <w:tr w:rsidR="005A42A2" w:rsidRPr="00A942F6" w14:paraId="054353D5" w14:textId="77777777" w:rsidTr="00F45BFD">
        <w:trPr>
          <w:cantSplit/>
          <w:trHeight w:val="20"/>
          <w:tblHeader/>
        </w:trPr>
        <w:tc>
          <w:tcPr>
            <w:tcW w:w="2760" w:type="dxa"/>
          </w:tcPr>
          <w:p w14:paraId="4516333B" w14:textId="77777777" w:rsidR="008A7022" w:rsidRPr="00A942F6" w:rsidRDefault="005A42A2" w:rsidP="00641834">
            <w:pPr>
              <w:pStyle w:val="TableParagraph"/>
              <w:jc w:val="center"/>
              <w:rPr>
                <w:sz w:val="20"/>
                <w:szCs w:val="20"/>
                <w:lang w:val="nb-NO"/>
              </w:rPr>
            </w:pPr>
            <w:r w:rsidRPr="00A942F6">
              <w:rPr>
                <w:sz w:val="20"/>
                <w:szCs w:val="20"/>
                <w:lang w:val="nb-NO"/>
              </w:rPr>
              <w:t>Laboratorieverdi</w:t>
            </w:r>
          </w:p>
          <w:p w14:paraId="7FB8301A" w14:textId="77777777" w:rsidR="005A42A2" w:rsidRPr="00A942F6" w:rsidRDefault="005A42A2" w:rsidP="00641834">
            <w:pPr>
              <w:pStyle w:val="TableParagraph"/>
              <w:jc w:val="center"/>
              <w:rPr>
                <w:sz w:val="20"/>
                <w:szCs w:val="20"/>
                <w:lang w:val="nb-NO"/>
              </w:rPr>
            </w:pPr>
            <w:r w:rsidRPr="00A942F6">
              <w:rPr>
                <w:sz w:val="20"/>
                <w:szCs w:val="20"/>
                <w:lang w:val="nb-NO"/>
              </w:rPr>
              <w:t>(celler x 10</w:t>
            </w:r>
            <w:r w:rsidRPr="00A942F6">
              <w:rPr>
                <w:sz w:val="20"/>
                <w:szCs w:val="20"/>
                <w:vertAlign w:val="superscript"/>
                <w:lang w:val="nb-NO"/>
              </w:rPr>
              <w:t>9</w:t>
            </w:r>
            <w:r w:rsidRPr="00A942F6">
              <w:rPr>
                <w:sz w:val="20"/>
                <w:szCs w:val="20"/>
                <w:lang w:val="nb-NO"/>
              </w:rPr>
              <w:t>/l)</w:t>
            </w:r>
          </w:p>
        </w:tc>
        <w:tc>
          <w:tcPr>
            <w:tcW w:w="6295" w:type="dxa"/>
          </w:tcPr>
          <w:p w14:paraId="581A5532" w14:textId="77777777" w:rsidR="005A42A2" w:rsidRPr="00A942F6" w:rsidRDefault="005A42A2" w:rsidP="00641834">
            <w:pPr>
              <w:pStyle w:val="TableParagraph"/>
              <w:jc w:val="center"/>
              <w:rPr>
                <w:sz w:val="20"/>
                <w:szCs w:val="20"/>
                <w:lang w:val="nb-NO"/>
              </w:rPr>
            </w:pPr>
            <w:r w:rsidRPr="00A942F6">
              <w:rPr>
                <w:sz w:val="20"/>
                <w:szCs w:val="20"/>
                <w:lang w:val="nb-NO"/>
              </w:rPr>
              <w:t>Tiltak</w:t>
            </w:r>
          </w:p>
        </w:tc>
      </w:tr>
      <w:tr w:rsidR="005A42A2" w:rsidRPr="00A942F6" w14:paraId="19914937" w14:textId="77777777" w:rsidTr="00F45BFD">
        <w:trPr>
          <w:cantSplit/>
          <w:trHeight w:val="20"/>
        </w:trPr>
        <w:tc>
          <w:tcPr>
            <w:tcW w:w="2760" w:type="dxa"/>
          </w:tcPr>
          <w:p w14:paraId="02F3BEBE" w14:textId="77777777" w:rsidR="005A42A2" w:rsidRPr="00A942F6" w:rsidRDefault="005A42A2" w:rsidP="00641834">
            <w:pPr>
              <w:pStyle w:val="TableParagraph"/>
              <w:rPr>
                <w:sz w:val="20"/>
                <w:szCs w:val="20"/>
                <w:lang w:val="nb-NO"/>
              </w:rPr>
            </w:pPr>
            <w:r w:rsidRPr="00A942F6">
              <w:rPr>
                <w:sz w:val="20"/>
                <w:szCs w:val="20"/>
                <w:lang w:val="nb-NO"/>
              </w:rPr>
              <w:t>ANC &gt; 1</w:t>
            </w:r>
          </w:p>
        </w:tc>
        <w:tc>
          <w:tcPr>
            <w:tcW w:w="6295" w:type="dxa"/>
          </w:tcPr>
          <w:p w14:paraId="5BE92084" w14:textId="77777777" w:rsidR="005A42A2" w:rsidRPr="00A942F6" w:rsidRDefault="005A42A2" w:rsidP="00641834">
            <w:pPr>
              <w:pStyle w:val="TableParagraph"/>
              <w:rPr>
                <w:sz w:val="20"/>
                <w:szCs w:val="20"/>
                <w:lang w:val="nb-NO"/>
              </w:rPr>
            </w:pPr>
            <w:r w:rsidRPr="00A942F6">
              <w:rPr>
                <w:sz w:val="20"/>
                <w:szCs w:val="20"/>
                <w:lang w:val="nb-NO"/>
              </w:rPr>
              <w:t>Oppretthold doseringen</w:t>
            </w:r>
          </w:p>
        </w:tc>
      </w:tr>
      <w:tr w:rsidR="005A42A2" w:rsidRPr="00B477E5" w14:paraId="58D581D9" w14:textId="77777777" w:rsidTr="00F45BFD">
        <w:trPr>
          <w:cantSplit/>
          <w:trHeight w:val="20"/>
        </w:trPr>
        <w:tc>
          <w:tcPr>
            <w:tcW w:w="2760" w:type="dxa"/>
          </w:tcPr>
          <w:p w14:paraId="75B2849D" w14:textId="77777777" w:rsidR="005A42A2" w:rsidRPr="00A942F6" w:rsidRDefault="005A42A2" w:rsidP="00641834">
            <w:pPr>
              <w:pStyle w:val="TableParagraph"/>
              <w:rPr>
                <w:sz w:val="20"/>
                <w:szCs w:val="20"/>
                <w:lang w:val="nb-NO"/>
              </w:rPr>
            </w:pPr>
            <w:r w:rsidRPr="00A942F6">
              <w:rPr>
                <w:sz w:val="20"/>
                <w:szCs w:val="20"/>
                <w:lang w:val="nb-NO"/>
              </w:rPr>
              <w:t>ANC 0,5 til 1</w:t>
            </w:r>
          </w:p>
        </w:tc>
        <w:tc>
          <w:tcPr>
            <w:tcW w:w="6295" w:type="dxa"/>
          </w:tcPr>
          <w:p w14:paraId="5C967FBB" w14:textId="015CA16B" w:rsidR="005A42A2" w:rsidRPr="00A942F6" w:rsidRDefault="005A42A2"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14AF1D26" w14:textId="59A93ED1" w:rsidR="005A42A2" w:rsidRPr="00A942F6" w:rsidRDefault="005A42A2" w:rsidP="00641834">
            <w:pPr>
              <w:pStyle w:val="TableParagraph"/>
              <w:rPr>
                <w:sz w:val="20"/>
                <w:szCs w:val="20"/>
                <w:lang w:val="nb-NO"/>
              </w:rPr>
            </w:pPr>
            <w:r w:rsidRPr="00A942F6">
              <w:rPr>
                <w:sz w:val="20"/>
                <w:szCs w:val="20"/>
                <w:lang w:val="nb-NO"/>
              </w:rPr>
              <w:t>Når ANC øker &gt; 1 x 10</w:t>
            </w:r>
            <w:r w:rsidRPr="00A942F6">
              <w:rPr>
                <w:sz w:val="20"/>
                <w:szCs w:val="20"/>
                <w:vertAlign w:val="superscript"/>
                <w:lang w:val="nb-NO"/>
              </w:rPr>
              <w:t>9</w:t>
            </w:r>
            <w:r w:rsidRPr="00A942F6">
              <w:rPr>
                <w:sz w:val="20"/>
                <w:szCs w:val="20"/>
                <w:lang w:val="nb-NO"/>
              </w:rPr>
              <w:t xml:space="preserve">/l, gjenoppta </w:t>
            </w:r>
            <w:r w:rsidR="00923E68" w:rsidRPr="00A942F6">
              <w:rPr>
                <w:sz w:val="20"/>
                <w:szCs w:val="20"/>
                <w:lang w:val="nb-NO"/>
              </w:rPr>
              <w:t>Avtozma</w:t>
            </w:r>
            <w:r w:rsidRPr="00A942F6">
              <w:rPr>
                <w:sz w:val="20"/>
                <w:szCs w:val="20"/>
                <w:lang w:val="nb-NO"/>
              </w:rPr>
              <w:t>-behandlingen</w:t>
            </w:r>
          </w:p>
          <w:p w14:paraId="1CFE0A15" w14:textId="77777777" w:rsidR="005A42A2" w:rsidRPr="00A942F6" w:rsidRDefault="005A42A2" w:rsidP="00641834">
            <w:pPr>
              <w:pStyle w:val="TableParagraph"/>
              <w:rPr>
                <w:sz w:val="20"/>
                <w:szCs w:val="20"/>
                <w:lang w:val="nb-NO"/>
              </w:rPr>
            </w:pPr>
            <w:r w:rsidRPr="00A942F6">
              <w:rPr>
                <w:sz w:val="20"/>
                <w:szCs w:val="20"/>
                <w:lang w:val="nb-NO"/>
              </w:rPr>
              <w:t>annenhver uke og øk til injisering hver uke, dersom klinisk hensiktsmessig.</w:t>
            </w:r>
          </w:p>
        </w:tc>
      </w:tr>
      <w:tr w:rsidR="005A42A2" w:rsidRPr="00A942F6" w14:paraId="3E9AED60" w14:textId="77777777" w:rsidTr="00F45BFD">
        <w:trPr>
          <w:cantSplit/>
          <w:trHeight w:val="20"/>
        </w:trPr>
        <w:tc>
          <w:tcPr>
            <w:tcW w:w="2760" w:type="dxa"/>
          </w:tcPr>
          <w:p w14:paraId="11E340D8" w14:textId="77777777" w:rsidR="005A42A2" w:rsidRPr="00A942F6" w:rsidRDefault="005A42A2" w:rsidP="00641834">
            <w:pPr>
              <w:pStyle w:val="TableParagraph"/>
              <w:rPr>
                <w:sz w:val="20"/>
                <w:szCs w:val="20"/>
                <w:lang w:val="nb-NO"/>
              </w:rPr>
            </w:pPr>
            <w:r w:rsidRPr="00A942F6">
              <w:rPr>
                <w:sz w:val="20"/>
                <w:szCs w:val="20"/>
                <w:lang w:val="nb-NO"/>
              </w:rPr>
              <w:t>ANC &lt; 0,5</w:t>
            </w:r>
          </w:p>
        </w:tc>
        <w:tc>
          <w:tcPr>
            <w:tcW w:w="6295" w:type="dxa"/>
          </w:tcPr>
          <w:p w14:paraId="563B5E3B" w14:textId="4CDBB390" w:rsidR="005A42A2" w:rsidRPr="00A942F6" w:rsidRDefault="005A42A2"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tc>
      </w:tr>
    </w:tbl>
    <w:p w14:paraId="589163F3" w14:textId="77777777" w:rsidR="005A42A2" w:rsidRPr="00A942F6" w:rsidRDefault="005A42A2" w:rsidP="00641834">
      <w:pPr>
        <w:rPr>
          <w:lang w:val="nb-NO"/>
        </w:rPr>
      </w:pPr>
    </w:p>
    <w:p w14:paraId="5CB44694" w14:textId="77777777" w:rsidR="00DF56D8" w:rsidRPr="00A942F6" w:rsidRDefault="00DF56D8" w:rsidP="00641834">
      <w:pPr>
        <w:pStyle w:val="Bullet1cm"/>
        <w:rPr>
          <w:lang w:val="nb-NO"/>
        </w:rPr>
      </w:pPr>
      <w:r w:rsidRPr="00A942F6">
        <w:rPr>
          <w:lang w:val="nb-NO"/>
        </w:rPr>
        <w:t>Lavt platetall</w:t>
      </w:r>
    </w:p>
    <w:p w14:paraId="0B048BC9" w14:textId="77777777" w:rsidR="00DF56D8" w:rsidRPr="00A942F6" w:rsidRDefault="00DF56D8" w:rsidP="00641834">
      <w:pPr>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0"/>
        <w:gridCol w:w="6295"/>
      </w:tblGrid>
      <w:tr w:rsidR="00DF56D8" w:rsidRPr="00A942F6" w14:paraId="1D22B477" w14:textId="77777777" w:rsidTr="00F45BFD">
        <w:trPr>
          <w:cantSplit/>
          <w:trHeight w:val="20"/>
          <w:tblHeader/>
        </w:trPr>
        <w:tc>
          <w:tcPr>
            <w:tcW w:w="2760" w:type="dxa"/>
          </w:tcPr>
          <w:p w14:paraId="487366B3" w14:textId="77777777" w:rsidR="00DF56D8" w:rsidRPr="00A942F6" w:rsidRDefault="00DF56D8" w:rsidP="00641834">
            <w:pPr>
              <w:pStyle w:val="TableParagraph"/>
              <w:jc w:val="center"/>
              <w:rPr>
                <w:sz w:val="20"/>
                <w:szCs w:val="20"/>
                <w:lang w:val="nb-NO"/>
              </w:rPr>
            </w:pPr>
            <w:r w:rsidRPr="00A942F6">
              <w:rPr>
                <w:sz w:val="20"/>
                <w:szCs w:val="20"/>
                <w:lang w:val="nb-NO"/>
              </w:rPr>
              <w:t>Laboratorieverdi</w:t>
            </w:r>
          </w:p>
          <w:p w14:paraId="0E37C236" w14:textId="77777777" w:rsidR="00DF56D8" w:rsidRPr="00A942F6" w:rsidRDefault="00DF56D8" w:rsidP="00641834">
            <w:pPr>
              <w:pStyle w:val="TableParagraph"/>
              <w:jc w:val="center"/>
              <w:rPr>
                <w:sz w:val="20"/>
                <w:szCs w:val="20"/>
                <w:lang w:val="nb-NO"/>
              </w:rPr>
            </w:pPr>
            <w:r w:rsidRPr="00A942F6">
              <w:rPr>
                <w:sz w:val="20"/>
                <w:szCs w:val="20"/>
                <w:lang w:val="nb-NO"/>
              </w:rPr>
              <w:t>(celler x 10</w:t>
            </w:r>
            <w:r w:rsidRPr="00A942F6">
              <w:rPr>
                <w:sz w:val="20"/>
                <w:szCs w:val="20"/>
                <w:vertAlign w:val="superscript"/>
                <w:lang w:val="nb-NO"/>
              </w:rPr>
              <w:t>3</w:t>
            </w:r>
            <w:r w:rsidRPr="00A942F6">
              <w:rPr>
                <w:sz w:val="20"/>
                <w:szCs w:val="20"/>
                <w:lang w:val="nb-NO"/>
              </w:rPr>
              <w:t>/μl)</w:t>
            </w:r>
          </w:p>
        </w:tc>
        <w:tc>
          <w:tcPr>
            <w:tcW w:w="6295" w:type="dxa"/>
          </w:tcPr>
          <w:p w14:paraId="0C225BA6" w14:textId="77777777" w:rsidR="00DF56D8" w:rsidRPr="00A942F6" w:rsidRDefault="00DF56D8" w:rsidP="00641834">
            <w:pPr>
              <w:pStyle w:val="TableParagraph"/>
              <w:jc w:val="center"/>
              <w:rPr>
                <w:sz w:val="20"/>
                <w:szCs w:val="20"/>
                <w:lang w:val="nb-NO"/>
              </w:rPr>
            </w:pPr>
            <w:r w:rsidRPr="00A942F6">
              <w:rPr>
                <w:sz w:val="20"/>
                <w:szCs w:val="20"/>
                <w:lang w:val="nb-NO"/>
              </w:rPr>
              <w:t>Tiltak</w:t>
            </w:r>
          </w:p>
        </w:tc>
      </w:tr>
      <w:tr w:rsidR="00DF56D8" w:rsidRPr="00B477E5" w14:paraId="7260370F" w14:textId="77777777" w:rsidTr="00F45BFD">
        <w:trPr>
          <w:cantSplit/>
          <w:trHeight w:val="20"/>
        </w:trPr>
        <w:tc>
          <w:tcPr>
            <w:tcW w:w="2760" w:type="dxa"/>
          </w:tcPr>
          <w:p w14:paraId="577205CE" w14:textId="77777777" w:rsidR="00DF56D8" w:rsidRPr="00A942F6" w:rsidRDefault="00DF56D8" w:rsidP="00641834">
            <w:pPr>
              <w:pStyle w:val="TableParagraph"/>
              <w:rPr>
                <w:sz w:val="20"/>
                <w:szCs w:val="20"/>
                <w:lang w:val="nb-NO"/>
              </w:rPr>
            </w:pPr>
            <w:r w:rsidRPr="00A942F6">
              <w:rPr>
                <w:sz w:val="20"/>
                <w:szCs w:val="20"/>
                <w:lang w:val="nb-NO"/>
              </w:rPr>
              <w:t>50 til 100</w:t>
            </w:r>
          </w:p>
        </w:tc>
        <w:tc>
          <w:tcPr>
            <w:tcW w:w="6295" w:type="dxa"/>
          </w:tcPr>
          <w:p w14:paraId="4C55A21A" w14:textId="2384863D" w:rsidR="00DF56D8" w:rsidRPr="00A942F6" w:rsidRDefault="00DF56D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w:t>
            </w:r>
          </w:p>
          <w:p w14:paraId="0C38995D" w14:textId="2E1E8D5B" w:rsidR="00DF56D8" w:rsidRPr="00A942F6" w:rsidRDefault="00DF56D8" w:rsidP="00641834">
            <w:pPr>
              <w:pStyle w:val="TableParagraph"/>
              <w:rPr>
                <w:sz w:val="20"/>
                <w:szCs w:val="20"/>
                <w:lang w:val="nb-NO"/>
              </w:rPr>
            </w:pPr>
            <w:r w:rsidRPr="00A942F6">
              <w:rPr>
                <w:sz w:val="20"/>
                <w:szCs w:val="20"/>
                <w:lang w:val="nb-NO"/>
              </w:rPr>
              <w:t>Når platetallet &gt; 100 x 10</w:t>
            </w:r>
            <w:r w:rsidRPr="00A942F6">
              <w:rPr>
                <w:sz w:val="20"/>
                <w:szCs w:val="20"/>
                <w:vertAlign w:val="superscript"/>
                <w:lang w:val="nb-NO"/>
              </w:rPr>
              <w:t>3</w:t>
            </w:r>
            <w:r w:rsidRPr="00A942F6">
              <w:rPr>
                <w:sz w:val="20"/>
                <w:szCs w:val="20"/>
                <w:lang w:val="nb-NO"/>
              </w:rPr>
              <w:t xml:space="preserve">/mikroliter, gjenoppta </w:t>
            </w:r>
            <w:r w:rsidR="00923E68" w:rsidRPr="00A942F6">
              <w:rPr>
                <w:sz w:val="20"/>
                <w:szCs w:val="20"/>
                <w:lang w:val="nb-NO"/>
              </w:rPr>
              <w:t>Avtozma</w:t>
            </w:r>
            <w:r w:rsidRPr="00A942F6">
              <w:rPr>
                <w:sz w:val="20"/>
                <w:szCs w:val="20"/>
                <w:lang w:val="nb-NO"/>
              </w:rPr>
              <w:t>- behandlingen annenhver uke og øk til injisering hver uke, dersom klinisk hensiktsmessig.</w:t>
            </w:r>
          </w:p>
        </w:tc>
      </w:tr>
      <w:tr w:rsidR="00DF56D8" w:rsidRPr="00A942F6" w14:paraId="0C7C697C" w14:textId="77777777" w:rsidTr="00F45BFD">
        <w:trPr>
          <w:cantSplit/>
          <w:trHeight w:val="20"/>
        </w:trPr>
        <w:tc>
          <w:tcPr>
            <w:tcW w:w="2760" w:type="dxa"/>
          </w:tcPr>
          <w:p w14:paraId="702D3614" w14:textId="77777777" w:rsidR="00DF56D8" w:rsidRPr="00A942F6" w:rsidRDefault="00DF56D8" w:rsidP="00641834">
            <w:pPr>
              <w:pStyle w:val="TableParagraph"/>
              <w:rPr>
                <w:sz w:val="20"/>
                <w:szCs w:val="20"/>
                <w:lang w:val="nb-NO"/>
              </w:rPr>
            </w:pPr>
            <w:r w:rsidRPr="00A942F6">
              <w:rPr>
                <w:sz w:val="20"/>
                <w:szCs w:val="20"/>
                <w:lang w:val="nb-NO"/>
              </w:rPr>
              <w:t>&lt; 50</w:t>
            </w:r>
          </w:p>
        </w:tc>
        <w:tc>
          <w:tcPr>
            <w:tcW w:w="6295" w:type="dxa"/>
          </w:tcPr>
          <w:p w14:paraId="11809262" w14:textId="6521A290" w:rsidR="00DF56D8" w:rsidRPr="00A942F6" w:rsidRDefault="00DF56D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tc>
      </w:tr>
    </w:tbl>
    <w:p w14:paraId="1BE77026" w14:textId="77777777" w:rsidR="00C23919" w:rsidRPr="00A942F6" w:rsidRDefault="00C23919" w:rsidP="00641834">
      <w:pPr>
        <w:rPr>
          <w:lang w:val="nb-NO"/>
        </w:rPr>
      </w:pPr>
    </w:p>
    <w:p w14:paraId="18C61AD4" w14:textId="77777777" w:rsidR="00DF56D8" w:rsidRPr="00A942F6" w:rsidRDefault="00DF56D8" w:rsidP="00641834">
      <w:pPr>
        <w:pStyle w:val="Style1underline"/>
        <w:rPr>
          <w:lang w:val="nb-NO"/>
        </w:rPr>
      </w:pPr>
      <w:r w:rsidRPr="00A942F6">
        <w:rPr>
          <w:lang w:val="nb-NO"/>
        </w:rPr>
        <w:t>RA og GCA</w:t>
      </w:r>
    </w:p>
    <w:p w14:paraId="02FFF343" w14:textId="77777777" w:rsidR="00DF56D8" w:rsidRPr="00706993" w:rsidRDefault="00DF56D8" w:rsidP="00641834">
      <w:pPr>
        <w:pStyle w:val="Style1underline"/>
        <w:rPr>
          <w:u w:val="none"/>
          <w:lang w:val="nb-NO"/>
        </w:rPr>
      </w:pPr>
      <w:r w:rsidRPr="00706993">
        <w:rPr>
          <w:u w:val="none"/>
          <w:lang w:val="nb-NO"/>
        </w:rPr>
        <w:t>Glemt dose</w:t>
      </w:r>
    </w:p>
    <w:p w14:paraId="30240651" w14:textId="323A74AB" w:rsidR="00DF56D8" w:rsidRPr="00A942F6" w:rsidRDefault="00DF56D8" w:rsidP="00641834">
      <w:pPr>
        <w:rPr>
          <w:lang w:val="nb-NO"/>
        </w:rPr>
      </w:pPr>
      <w:r w:rsidRPr="00A942F6">
        <w:rPr>
          <w:lang w:val="nb-NO"/>
        </w:rPr>
        <w:t xml:space="preserve">Hvis en pasient glemmer en subkutan, ukentlig injeksjon med </w:t>
      </w:r>
      <w:r w:rsidR="00923E68" w:rsidRPr="00A942F6">
        <w:rPr>
          <w:lang w:val="nb-NO"/>
        </w:rPr>
        <w:t>Avtozma</w:t>
      </w:r>
      <w:r w:rsidRPr="00A942F6">
        <w:rPr>
          <w:lang w:val="nb-NO"/>
        </w:rPr>
        <w:t xml:space="preserve"> innen 7 dager etter planlagt dose, bør han/hun instrueres til å ta den glemte dosen på neste planlagte dato. Hvis en pasient glemmer en subkutan, annenhver uke-injeksjon av </w:t>
      </w:r>
      <w:r w:rsidR="00923E68" w:rsidRPr="00A942F6">
        <w:rPr>
          <w:lang w:val="nb-NO"/>
        </w:rPr>
        <w:t>Avtozma</w:t>
      </w:r>
      <w:r w:rsidRPr="00A942F6">
        <w:rPr>
          <w:lang w:val="nb-NO"/>
        </w:rPr>
        <w:t xml:space="preserve"> innen 7 dager etter planlagt dose, bør han/hun instrueres til å ta den glemte dosen øyeblikkelig, og den neste dosen på neste planlagte dato.</w:t>
      </w:r>
    </w:p>
    <w:p w14:paraId="71131503" w14:textId="77777777" w:rsidR="00DF56D8" w:rsidRPr="00A942F6" w:rsidRDefault="00DF56D8" w:rsidP="00641834">
      <w:pPr>
        <w:rPr>
          <w:lang w:val="nb-NO"/>
        </w:rPr>
      </w:pPr>
    </w:p>
    <w:p w14:paraId="0419FECB" w14:textId="77777777" w:rsidR="00DF56D8" w:rsidRPr="00706993" w:rsidRDefault="00DF56D8" w:rsidP="00641834">
      <w:pPr>
        <w:pStyle w:val="Style1underline"/>
        <w:rPr>
          <w:u w:val="none"/>
          <w:lang w:val="nb-NO"/>
        </w:rPr>
      </w:pPr>
      <w:r w:rsidRPr="00706993">
        <w:rPr>
          <w:u w:val="none"/>
          <w:lang w:val="nb-NO"/>
        </w:rPr>
        <w:t>Spesielle populasjoner</w:t>
      </w:r>
    </w:p>
    <w:p w14:paraId="74505808" w14:textId="77777777" w:rsidR="00DF56D8" w:rsidRPr="00A942F6" w:rsidRDefault="00DF56D8" w:rsidP="00641834">
      <w:pPr>
        <w:rPr>
          <w:lang w:val="nb-NO"/>
        </w:rPr>
      </w:pPr>
    </w:p>
    <w:p w14:paraId="494E2424" w14:textId="77777777" w:rsidR="00DF56D8" w:rsidRPr="00A942F6" w:rsidRDefault="00DF56D8" w:rsidP="00641834">
      <w:pPr>
        <w:pStyle w:val="Style1Iitaic"/>
        <w:rPr>
          <w:lang w:val="nb-NO"/>
        </w:rPr>
      </w:pPr>
      <w:r w:rsidRPr="00A942F6">
        <w:rPr>
          <w:lang w:val="nb-NO"/>
        </w:rPr>
        <w:t>Eldre</w:t>
      </w:r>
    </w:p>
    <w:p w14:paraId="55CD4F05" w14:textId="77777777" w:rsidR="00DF56D8" w:rsidRPr="00A942F6" w:rsidRDefault="00DF56D8" w:rsidP="00641834">
      <w:pPr>
        <w:rPr>
          <w:lang w:val="nb-NO"/>
        </w:rPr>
      </w:pPr>
      <w:r w:rsidRPr="00A942F6">
        <w:rPr>
          <w:lang w:val="nb-NO"/>
        </w:rPr>
        <w:t>Dosejustering er ikke nødvendig hos eldre pasienter &gt; 65 år.</w:t>
      </w:r>
    </w:p>
    <w:p w14:paraId="405D59C5" w14:textId="77777777" w:rsidR="00DF56D8" w:rsidRPr="00A942F6" w:rsidRDefault="00DF56D8" w:rsidP="00641834">
      <w:pPr>
        <w:rPr>
          <w:lang w:val="nb-NO"/>
        </w:rPr>
      </w:pPr>
    </w:p>
    <w:p w14:paraId="5849A412" w14:textId="77777777" w:rsidR="00DF56D8" w:rsidRPr="00A942F6" w:rsidRDefault="00DF56D8" w:rsidP="00641834">
      <w:pPr>
        <w:pStyle w:val="Style1Iitaic"/>
        <w:rPr>
          <w:lang w:val="nb-NO"/>
        </w:rPr>
      </w:pPr>
      <w:r w:rsidRPr="00A942F6">
        <w:rPr>
          <w:lang w:val="nb-NO"/>
        </w:rPr>
        <w:t>Nedsatt nyrefunksjon</w:t>
      </w:r>
    </w:p>
    <w:p w14:paraId="1C2827A6" w14:textId="079AA4C8" w:rsidR="00DF56D8" w:rsidRPr="00A942F6" w:rsidRDefault="00DF56D8" w:rsidP="00641834">
      <w:pPr>
        <w:rPr>
          <w:lang w:val="nb-NO"/>
        </w:rPr>
      </w:pPr>
      <w:r w:rsidRPr="00A942F6">
        <w:rPr>
          <w:lang w:val="nb-NO"/>
        </w:rPr>
        <w:t xml:space="preserve">Dosejustering er ikke nødvendig hos pasienter med lett eller moderat nedsatt nyrefunksjon. </w:t>
      </w:r>
      <w:r w:rsidR="00923E68" w:rsidRPr="00A942F6">
        <w:rPr>
          <w:lang w:val="nb-NO"/>
        </w:rPr>
        <w:t>Avtozma</w:t>
      </w:r>
      <w:r w:rsidRPr="00A942F6">
        <w:rPr>
          <w:lang w:val="nb-NO"/>
        </w:rPr>
        <w:t xml:space="preserve"> er ikke undersøkt hos pasienter med alvorlig nedsatt nyrefunksjon (se pkt. 5.2). Nyrefunksjonen bør monitoreres nøye hos disse pasientene.</w:t>
      </w:r>
    </w:p>
    <w:p w14:paraId="4B85CE5D" w14:textId="77777777" w:rsidR="00DF56D8" w:rsidRPr="00A942F6" w:rsidRDefault="00DF56D8" w:rsidP="00641834">
      <w:pPr>
        <w:rPr>
          <w:lang w:val="nb-NO"/>
        </w:rPr>
      </w:pPr>
    </w:p>
    <w:p w14:paraId="674AB56D" w14:textId="77777777" w:rsidR="00DF56D8" w:rsidRPr="00A942F6" w:rsidRDefault="00DF56D8" w:rsidP="00641834">
      <w:pPr>
        <w:pStyle w:val="Style1Iitaic"/>
        <w:rPr>
          <w:lang w:val="nb-NO"/>
        </w:rPr>
      </w:pPr>
      <w:r w:rsidRPr="00A942F6">
        <w:rPr>
          <w:lang w:val="nb-NO"/>
        </w:rPr>
        <w:t>Nedsatt leverfunksjon</w:t>
      </w:r>
    </w:p>
    <w:p w14:paraId="381F092A" w14:textId="52B04C45" w:rsidR="00DF56D8" w:rsidRPr="00A942F6" w:rsidRDefault="00923E68" w:rsidP="00641834">
      <w:pPr>
        <w:rPr>
          <w:lang w:val="nb-NO"/>
        </w:rPr>
      </w:pPr>
      <w:r w:rsidRPr="00A942F6">
        <w:rPr>
          <w:lang w:val="nb-NO"/>
        </w:rPr>
        <w:t>Avtozma</w:t>
      </w:r>
      <w:r w:rsidR="00DF56D8" w:rsidRPr="00A942F6">
        <w:rPr>
          <w:lang w:val="nb-NO"/>
        </w:rPr>
        <w:t xml:space="preserve"> er ikke studert hos pasienter med nedsatt leverfunksjon. Doseanbefaling kan derfor ikke gis.</w:t>
      </w:r>
    </w:p>
    <w:p w14:paraId="19AF5FAF" w14:textId="77777777" w:rsidR="00DF56D8" w:rsidRPr="00A942F6" w:rsidRDefault="00DF56D8" w:rsidP="00641834">
      <w:pPr>
        <w:rPr>
          <w:lang w:val="nb-NO"/>
        </w:rPr>
      </w:pPr>
    </w:p>
    <w:p w14:paraId="77F684BA" w14:textId="77777777" w:rsidR="00DF56D8" w:rsidRPr="00A942F6" w:rsidRDefault="00DF56D8" w:rsidP="00641834">
      <w:pPr>
        <w:pStyle w:val="Style1Iitaic"/>
        <w:rPr>
          <w:lang w:val="nb-NO"/>
        </w:rPr>
      </w:pPr>
      <w:r w:rsidRPr="00A942F6">
        <w:rPr>
          <w:lang w:val="nb-NO"/>
        </w:rPr>
        <w:lastRenderedPageBreak/>
        <w:t>Pediatriske pasienter</w:t>
      </w:r>
    </w:p>
    <w:p w14:paraId="474ED0B3" w14:textId="506AD512" w:rsidR="00DF56D8" w:rsidRPr="00A942F6" w:rsidRDefault="00DF56D8" w:rsidP="00641834">
      <w:pPr>
        <w:rPr>
          <w:lang w:val="nb-NO"/>
        </w:rPr>
      </w:pPr>
      <w:r w:rsidRPr="00A942F6">
        <w:rPr>
          <w:lang w:val="nb-NO"/>
        </w:rPr>
        <w:t xml:space="preserve">Sikkerhet og effekt av </w:t>
      </w:r>
      <w:r w:rsidR="00923E68" w:rsidRPr="00A942F6">
        <w:rPr>
          <w:lang w:val="nb-NO"/>
        </w:rPr>
        <w:t>Avtozma</w:t>
      </w:r>
      <w:r w:rsidRPr="00A942F6">
        <w:rPr>
          <w:lang w:val="nb-NO"/>
        </w:rPr>
        <w:t xml:space="preserve"> subkutan formulering hos barn fra fødsel til under 1 år har ikke blitt fastslått. Det finnes ingen tilgjengelige data.</w:t>
      </w:r>
    </w:p>
    <w:p w14:paraId="35A94A0E" w14:textId="77777777" w:rsidR="00C23919" w:rsidRPr="00A942F6" w:rsidRDefault="00C23919" w:rsidP="00641834">
      <w:pPr>
        <w:rPr>
          <w:lang w:val="nb-NO"/>
        </w:rPr>
      </w:pPr>
    </w:p>
    <w:p w14:paraId="3A8ACB8F" w14:textId="2D7D03DC" w:rsidR="00DF56D8" w:rsidRPr="00A942F6" w:rsidRDefault="00DF56D8" w:rsidP="00641834">
      <w:pPr>
        <w:rPr>
          <w:lang w:val="nb-NO"/>
        </w:rPr>
      </w:pPr>
      <w:r w:rsidRPr="00A942F6">
        <w:rPr>
          <w:lang w:val="nb-NO"/>
        </w:rPr>
        <w:t xml:space="preserve">Endring av dosen skal bare skje på bakgrunn av en vedvarende endring av pasientens kroppsvekt over tid. </w:t>
      </w:r>
      <w:r w:rsidR="00923E68" w:rsidRPr="00A942F6">
        <w:rPr>
          <w:lang w:val="nb-NO"/>
        </w:rPr>
        <w:t>Avtozma</w:t>
      </w:r>
      <w:r w:rsidRPr="00A942F6">
        <w:rPr>
          <w:lang w:val="nb-NO"/>
        </w:rPr>
        <w:t xml:space="preserve"> kan brukes alene eller i kombinasjon med metotreksat.</w:t>
      </w:r>
    </w:p>
    <w:p w14:paraId="79B009EF" w14:textId="77777777" w:rsidR="00C23919" w:rsidRPr="00A942F6" w:rsidRDefault="00C23919" w:rsidP="00641834">
      <w:pPr>
        <w:rPr>
          <w:lang w:val="nb-NO"/>
        </w:rPr>
      </w:pPr>
    </w:p>
    <w:p w14:paraId="7179FF9F" w14:textId="77777777" w:rsidR="00DF56D8" w:rsidRPr="00A942F6" w:rsidRDefault="00DF56D8" w:rsidP="00641834">
      <w:pPr>
        <w:pStyle w:val="Style1Iitaic"/>
        <w:rPr>
          <w:lang w:val="nb-NO"/>
        </w:rPr>
      </w:pPr>
      <w:r w:rsidRPr="00A942F6">
        <w:rPr>
          <w:lang w:val="nb-NO"/>
        </w:rPr>
        <w:t>sJIA-pasienter:</w:t>
      </w:r>
    </w:p>
    <w:p w14:paraId="705062E1" w14:textId="77777777" w:rsidR="00DF56D8" w:rsidRPr="00A942F6" w:rsidRDefault="00DF56D8" w:rsidP="00641834">
      <w:pPr>
        <w:rPr>
          <w:lang w:val="nb-NO"/>
        </w:rPr>
      </w:pPr>
      <w:r w:rsidRPr="00A942F6">
        <w:rPr>
          <w:lang w:val="nb-NO"/>
        </w:rPr>
        <w:t>Anbefalt dose for pasienter over 12 år er 162 mg subkutant én gang per uke hos pasienter som veier 30</w:t>
      </w:r>
      <w:r w:rsidR="00C23919" w:rsidRPr="00A942F6">
        <w:rPr>
          <w:lang w:val="nb-NO"/>
        </w:rPr>
        <w:t> </w:t>
      </w:r>
      <w:r w:rsidRPr="00A942F6">
        <w:rPr>
          <w:lang w:val="nb-NO"/>
        </w:rPr>
        <w:t>kg eller mer, eller 162 mg subkutant én gang annenhver uke hos pasienter som veier mindre enn 30</w:t>
      </w:r>
      <w:r w:rsidR="00C23919" w:rsidRPr="00A942F6">
        <w:rPr>
          <w:lang w:val="nb-NO"/>
        </w:rPr>
        <w:t> </w:t>
      </w:r>
      <w:r w:rsidRPr="00A942F6">
        <w:rPr>
          <w:lang w:val="nb-NO"/>
        </w:rPr>
        <w:t>kg.</w:t>
      </w:r>
    </w:p>
    <w:p w14:paraId="56EE5623" w14:textId="77777777" w:rsidR="00DF56D8" w:rsidRPr="00A942F6" w:rsidRDefault="00DF56D8" w:rsidP="00641834">
      <w:pPr>
        <w:rPr>
          <w:lang w:val="nb-NO"/>
        </w:rPr>
      </w:pPr>
    </w:p>
    <w:p w14:paraId="106B550F" w14:textId="3009CD1D" w:rsidR="00DF56D8" w:rsidRPr="00A942F6" w:rsidRDefault="00DF56D8" w:rsidP="00641834">
      <w:pPr>
        <w:rPr>
          <w:lang w:val="nb-NO"/>
        </w:rPr>
      </w:pPr>
      <w:r w:rsidRPr="00A942F6">
        <w:rPr>
          <w:lang w:val="nb-NO"/>
        </w:rPr>
        <w:t xml:space="preserve">Den ferdigfylte pennen bør ikke brukes til å behandle pediatriske pasienter &lt; 12 år. Pasienter må ha en kroppsvekt på minimum 10 kg når de får </w:t>
      </w:r>
      <w:r w:rsidR="00923E68" w:rsidRPr="00A942F6">
        <w:rPr>
          <w:lang w:val="nb-NO"/>
        </w:rPr>
        <w:t>Avtozma</w:t>
      </w:r>
      <w:r w:rsidRPr="00A942F6">
        <w:rPr>
          <w:lang w:val="nb-NO"/>
        </w:rPr>
        <w:t xml:space="preserve"> subkutant.</w:t>
      </w:r>
    </w:p>
    <w:p w14:paraId="798BD4AF" w14:textId="77777777" w:rsidR="0090235C" w:rsidRDefault="0090235C" w:rsidP="00641834">
      <w:pPr>
        <w:rPr>
          <w:i/>
          <w:iCs/>
          <w:lang w:val="nb-NO"/>
        </w:rPr>
      </w:pPr>
    </w:p>
    <w:p w14:paraId="00AAD9D9" w14:textId="79EFA4A2" w:rsidR="00DF56D8" w:rsidRPr="00434BCD" w:rsidRDefault="00DF56D8" w:rsidP="00641834">
      <w:pPr>
        <w:rPr>
          <w:i/>
          <w:iCs/>
          <w:lang w:val="nb-NO"/>
        </w:rPr>
      </w:pPr>
      <w:r w:rsidRPr="00434BCD">
        <w:rPr>
          <w:i/>
          <w:iCs/>
          <w:lang w:val="nb-NO"/>
        </w:rPr>
        <w:t>pJIA-pasienter:</w:t>
      </w:r>
    </w:p>
    <w:p w14:paraId="3574128E" w14:textId="77777777" w:rsidR="00DF56D8" w:rsidRPr="00A942F6" w:rsidRDefault="00DF56D8" w:rsidP="00641834">
      <w:pPr>
        <w:rPr>
          <w:lang w:val="nb-NO"/>
        </w:rPr>
      </w:pPr>
      <w:r w:rsidRPr="00A942F6">
        <w:rPr>
          <w:lang w:val="nb-NO"/>
        </w:rPr>
        <w:t>Anbefalt dose for pasienter over 12 år er 162 mg subkutant én gang annenhver uke til pasienter som veier 30 kg eller mer, eller 162 mg subkutant én gang hver tredje uke til pasienter som veier mindre enn 30 kg.</w:t>
      </w:r>
    </w:p>
    <w:p w14:paraId="40F89852" w14:textId="77777777" w:rsidR="00C23919" w:rsidRPr="00A942F6" w:rsidRDefault="00C23919" w:rsidP="00641834">
      <w:pPr>
        <w:rPr>
          <w:lang w:val="nb-NO"/>
        </w:rPr>
      </w:pPr>
    </w:p>
    <w:p w14:paraId="1BF852B7" w14:textId="77777777" w:rsidR="00C23919" w:rsidRPr="00A942F6" w:rsidRDefault="00DF56D8" w:rsidP="00641834">
      <w:pPr>
        <w:rPr>
          <w:lang w:val="nb-NO"/>
        </w:rPr>
      </w:pPr>
      <w:r w:rsidRPr="00A942F6">
        <w:rPr>
          <w:lang w:val="nb-NO"/>
        </w:rPr>
        <w:t>Den ferdigfylte pennen bør ikke brukes til å behandle</w:t>
      </w:r>
      <w:r w:rsidR="00C23919" w:rsidRPr="00A942F6">
        <w:rPr>
          <w:lang w:val="nb-NO"/>
        </w:rPr>
        <w:t xml:space="preserve"> pediatriske pasienter &lt; 12 år.</w:t>
      </w:r>
    </w:p>
    <w:p w14:paraId="2089F08D" w14:textId="77777777" w:rsidR="00C23919" w:rsidRPr="00A942F6" w:rsidRDefault="00C23919" w:rsidP="00641834">
      <w:pPr>
        <w:rPr>
          <w:lang w:val="nb-NO"/>
        </w:rPr>
      </w:pPr>
    </w:p>
    <w:p w14:paraId="66DE224B" w14:textId="77777777" w:rsidR="00DF56D8" w:rsidRPr="00A942F6" w:rsidRDefault="00DF56D8" w:rsidP="00641834">
      <w:pPr>
        <w:pStyle w:val="Style1underline"/>
        <w:rPr>
          <w:lang w:val="nb-NO"/>
        </w:rPr>
      </w:pPr>
      <w:r w:rsidRPr="00A942F6">
        <w:rPr>
          <w:lang w:val="nb-NO"/>
        </w:rPr>
        <w:t>Dosejusteringer på grunn av unormale laboratorieprøver (sJIA og pJIA)</w:t>
      </w:r>
    </w:p>
    <w:p w14:paraId="72D6859D" w14:textId="77777777" w:rsidR="00C23919" w:rsidRPr="00A942F6" w:rsidRDefault="00C23919" w:rsidP="00641834">
      <w:pPr>
        <w:rPr>
          <w:lang w:val="nb-NO"/>
        </w:rPr>
      </w:pPr>
    </w:p>
    <w:p w14:paraId="2AD0C73B" w14:textId="77777777" w:rsidR="00DF56D8" w:rsidRPr="00A942F6" w:rsidRDefault="00DF56D8" w:rsidP="00641834">
      <w:pPr>
        <w:rPr>
          <w:lang w:val="nb-NO"/>
        </w:rPr>
      </w:pPr>
      <w:r w:rsidRPr="00A942F6">
        <w:rPr>
          <w:lang w:val="nb-NO"/>
        </w:rPr>
        <w:t>Dersom det er hensiktsmessig bør dosen av samtidig administrert metotreksat og/eller andre medikamenter justeres eller avbrytes, og administrasjonen av tocilizumab avbrytes, inntil den kliniske situasjonen er vurdert. Da det er mange komorbide tilstander som kan påvirke laboratorieverdiene ved sJIA eller pJIA, bør beslutningen om å seponere tocilizumab på grunn av unormale laboratorieverdier baseres på en medisinsk vurdering av den aktuelle pasienten.</w:t>
      </w:r>
    </w:p>
    <w:p w14:paraId="2677EB31" w14:textId="77777777" w:rsidR="00DF56D8" w:rsidRPr="00A942F6" w:rsidRDefault="00DF56D8" w:rsidP="00641834">
      <w:pPr>
        <w:rPr>
          <w:lang w:val="nb-NO"/>
        </w:rPr>
      </w:pPr>
    </w:p>
    <w:p w14:paraId="61867896" w14:textId="77777777" w:rsidR="00DF56D8" w:rsidRPr="00A942F6" w:rsidRDefault="00DF56D8" w:rsidP="00641834">
      <w:pPr>
        <w:pStyle w:val="Bullet1cm"/>
        <w:rPr>
          <w:lang w:val="nb-NO"/>
        </w:rPr>
      </w:pPr>
      <w:r w:rsidRPr="00A942F6">
        <w:rPr>
          <w:lang w:val="nb-NO"/>
        </w:rPr>
        <w:t>Unormale leverenzymverdier</w:t>
      </w:r>
    </w:p>
    <w:p w14:paraId="7ECCFEC3" w14:textId="77777777" w:rsidR="00DF56D8" w:rsidRPr="00A942F6" w:rsidRDefault="00DF56D8"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5"/>
        <w:gridCol w:w="5673"/>
      </w:tblGrid>
      <w:tr w:rsidR="00DF56D8" w:rsidRPr="00A942F6" w14:paraId="5A345324" w14:textId="77777777" w:rsidTr="00F45BFD">
        <w:trPr>
          <w:cantSplit/>
          <w:trHeight w:val="20"/>
          <w:tblHeader/>
        </w:trPr>
        <w:tc>
          <w:tcPr>
            <w:tcW w:w="2375" w:type="dxa"/>
          </w:tcPr>
          <w:p w14:paraId="19566ABD" w14:textId="77777777" w:rsidR="00DF56D8" w:rsidRPr="00A942F6" w:rsidRDefault="00DF56D8" w:rsidP="00641834">
            <w:pPr>
              <w:pStyle w:val="TableParagraph"/>
              <w:jc w:val="center"/>
              <w:rPr>
                <w:b/>
                <w:sz w:val="20"/>
                <w:szCs w:val="20"/>
                <w:lang w:val="nb-NO"/>
              </w:rPr>
            </w:pPr>
            <w:r w:rsidRPr="00A942F6">
              <w:rPr>
                <w:b/>
                <w:sz w:val="20"/>
                <w:szCs w:val="20"/>
                <w:lang w:val="nb-NO"/>
              </w:rPr>
              <w:t>Laboratorie- verdi</w:t>
            </w:r>
          </w:p>
        </w:tc>
        <w:tc>
          <w:tcPr>
            <w:tcW w:w="5673" w:type="dxa"/>
          </w:tcPr>
          <w:p w14:paraId="23499DB8" w14:textId="77777777" w:rsidR="00DF56D8" w:rsidRPr="00A942F6" w:rsidRDefault="00DF56D8" w:rsidP="00641834">
            <w:pPr>
              <w:pStyle w:val="TableParagraph"/>
              <w:jc w:val="center"/>
              <w:rPr>
                <w:b/>
                <w:sz w:val="20"/>
                <w:szCs w:val="20"/>
                <w:lang w:val="nb-NO"/>
              </w:rPr>
            </w:pPr>
            <w:r w:rsidRPr="00A942F6">
              <w:rPr>
                <w:b/>
                <w:sz w:val="20"/>
                <w:szCs w:val="20"/>
                <w:lang w:val="nb-NO"/>
              </w:rPr>
              <w:t>Tiltak</w:t>
            </w:r>
          </w:p>
        </w:tc>
      </w:tr>
      <w:tr w:rsidR="00DF56D8" w:rsidRPr="00B477E5" w14:paraId="7224F025" w14:textId="77777777" w:rsidTr="00F45BFD">
        <w:trPr>
          <w:cantSplit/>
          <w:trHeight w:val="20"/>
        </w:trPr>
        <w:tc>
          <w:tcPr>
            <w:tcW w:w="2375" w:type="dxa"/>
          </w:tcPr>
          <w:p w14:paraId="246667DE" w14:textId="77777777" w:rsidR="00DF56D8" w:rsidRPr="00A942F6" w:rsidRDefault="00DF56D8" w:rsidP="00641834">
            <w:pPr>
              <w:pStyle w:val="TableParagraph"/>
              <w:rPr>
                <w:sz w:val="20"/>
                <w:szCs w:val="20"/>
                <w:lang w:val="nb-NO"/>
              </w:rPr>
            </w:pPr>
            <w:r w:rsidRPr="00A942F6">
              <w:rPr>
                <w:sz w:val="20"/>
                <w:szCs w:val="20"/>
                <w:lang w:val="nb-NO"/>
              </w:rPr>
              <w:t>&gt; 1 til 3 x ULN</w:t>
            </w:r>
          </w:p>
        </w:tc>
        <w:tc>
          <w:tcPr>
            <w:tcW w:w="5673" w:type="dxa"/>
          </w:tcPr>
          <w:p w14:paraId="07AB76AF" w14:textId="77777777" w:rsidR="00DF56D8" w:rsidRPr="00A942F6" w:rsidRDefault="00DF56D8" w:rsidP="00641834">
            <w:pPr>
              <w:pStyle w:val="TableParagraph"/>
              <w:rPr>
                <w:sz w:val="20"/>
                <w:szCs w:val="20"/>
                <w:lang w:val="nb-NO"/>
              </w:rPr>
            </w:pPr>
            <w:r w:rsidRPr="00A942F6">
              <w:rPr>
                <w:sz w:val="20"/>
                <w:szCs w:val="20"/>
                <w:lang w:val="nb-NO"/>
              </w:rPr>
              <w:t>Juster dosen av samtidig metotreksat hvis nødvendig</w:t>
            </w:r>
          </w:p>
          <w:p w14:paraId="57F4D28B" w14:textId="77777777" w:rsidR="00DF56D8" w:rsidRPr="00A942F6" w:rsidRDefault="00DF56D8" w:rsidP="00641834">
            <w:pPr>
              <w:pStyle w:val="TableParagraph"/>
              <w:rPr>
                <w:sz w:val="20"/>
                <w:szCs w:val="20"/>
                <w:lang w:val="nb-NO"/>
              </w:rPr>
            </w:pPr>
          </w:p>
          <w:p w14:paraId="663DF676" w14:textId="030EA23D" w:rsidR="00DF56D8" w:rsidRPr="00A942F6" w:rsidRDefault="00DF56D8" w:rsidP="00641834">
            <w:pPr>
              <w:pStyle w:val="TableParagraph"/>
              <w:rPr>
                <w:sz w:val="20"/>
                <w:szCs w:val="20"/>
                <w:lang w:val="nb-NO"/>
              </w:rPr>
            </w:pPr>
            <w:r w:rsidRPr="00A942F6">
              <w:rPr>
                <w:sz w:val="20"/>
                <w:szCs w:val="20"/>
                <w:lang w:val="nb-NO"/>
              </w:rPr>
              <w:t xml:space="preserve">Ved vedvarende forhøyede verdier innenfor dette området, avbryt behandlingen med </w:t>
            </w:r>
            <w:r w:rsidR="00923E68" w:rsidRPr="00A942F6">
              <w:rPr>
                <w:sz w:val="20"/>
                <w:szCs w:val="20"/>
                <w:lang w:val="nb-NO"/>
              </w:rPr>
              <w:t>Avtozma</w:t>
            </w:r>
            <w:r w:rsidRPr="00A942F6">
              <w:rPr>
                <w:sz w:val="20"/>
                <w:szCs w:val="20"/>
                <w:lang w:val="nb-NO"/>
              </w:rPr>
              <w:t xml:space="preserve"> inntil ALAT eller ASAT er normalisert.</w:t>
            </w:r>
          </w:p>
        </w:tc>
      </w:tr>
      <w:tr w:rsidR="00DF56D8" w:rsidRPr="00B477E5" w14:paraId="094D64C9" w14:textId="77777777" w:rsidTr="00F45BFD">
        <w:trPr>
          <w:cantSplit/>
          <w:trHeight w:val="20"/>
        </w:trPr>
        <w:tc>
          <w:tcPr>
            <w:tcW w:w="2375" w:type="dxa"/>
          </w:tcPr>
          <w:p w14:paraId="0E1DAF22" w14:textId="77777777" w:rsidR="00DF56D8" w:rsidRPr="00A942F6" w:rsidRDefault="00DF56D8" w:rsidP="00641834">
            <w:pPr>
              <w:pStyle w:val="TableParagraph"/>
              <w:rPr>
                <w:sz w:val="20"/>
                <w:szCs w:val="20"/>
                <w:lang w:val="nb-NO"/>
              </w:rPr>
            </w:pPr>
            <w:r w:rsidRPr="00A942F6">
              <w:rPr>
                <w:sz w:val="20"/>
                <w:szCs w:val="20"/>
                <w:lang w:val="nb-NO"/>
              </w:rPr>
              <w:t>&gt; 3 til 5 x ULN</w:t>
            </w:r>
          </w:p>
        </w:tc>
        <w:tc>
          <w:tcPr>
            <w:tcW w:w="5673" w:type="dxa"/>
          </w:tcPr>
          <w:p w14:paraId="23D47036" w14:textId="77777777" w:rsidR="00DF56D8" w:rsidRPr="00A942F6" w:rsidRDefault="00DF56D8" w:rsidP="00641834">
            <w:pPr>
              <w:pStyle w:val="TableParagraph"/>
              <w:rPr>
                <w:sz w:val="20"/>
                <w:szCs w:val="20"/>
                <w:lang w:val="nb-NO"/>
              </w:rPr>
            </w:pPr>
            <w:r w:rsidRPr="00A942F6">
              <w:rPr>
                <w:sz w:val="20"/>
                <w:szCs w:val="20"/>
                <w:lang w:val="nb-NO"/>
              </w:rPr>
              <w:t>Juster dosen av samtidig metotreksat hvis nødvendig</w:t>
            </w:r>
          </w:p>
          <w:p w14:paraId="27E19EB0" w14:textId="77777777" w:rsidR="00DF56D8" w:rsidRPr="00A942F6" w:rsidRDefault="00DF56D8" w:rsidP="00641834">
            <w:pPr>
              <w:pStyle w:val="TableParagraph"/>
              <w:rPr>
                <w:sz w:val="20"/>
                <w:szCs w:val="20"/>
                <w:lang w:val="nb-NO"/>
              </w:rPr>
            </w:pPr>
          </w:p>
          <w:p w14:paraId="15917BF7" w14:textId="6372A353" w:rsidR="00DF56D8" w:rsidRPr="00A942F6" w:rsidRDefault="00DF56D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r w:rsidRPr="00A942F6">
              <w:rPr>
                <w:sz w:val="20"/>
                <w:szCs w:val="20"/>
                <w:lang w:val="nb-NO"/>
              </w:rPr>
              <w:t xml:space="preserve"> inntil &lt; 3 x ULN, og følg anbefalinger over for &gt; 1 x ULN til 3 x ULN</w:t>
            </w:r>
          </w:p>
        </w:tc>
      </w:tr>
      <w:tr w:rsidR="00DF56D8" w:rsidRPr="00B477E5" w14:paraId="3B0E5CC8" w14:textId="77777777" w:rsidTr="00F45BFD">
        <w:trPr>
          <w:cantSplit/>
          <w:trHeight w:val="20"/>
        </w:trPr>
        <w:tc>
          <w:tcPr>
            <w:tcW w:w="2375" w:type="dxa"/>
          </w:tcPr>
          <w:p w14:paraId="79203361" w14:textId="77777777" w:rsidR="00DF56D8" w:rsidRPr="00A942F6" w:rsidRDefault="00DF56D8" w:rsidP="00641834">
            <w:pPr>
              <w:pStyle w:val="TableParagraph"/>
              <w:rPr>
                <w:sz w:val="20"/>
                <w:szCs w:val="20"/>
                <w:lang w:val="nb-NO"/>
              </w:rPr>
            </w:pPr>
            <w:r w:rsidRPr="00A942F6">
              <w:rPr>
                <w:sz w:val="20"/>
                <w:szCs w:val="20"/>
                <w:lang w:val="nb-NO"/>
              </w:rPr>
              <w:t>&gt; 5 x ULN</w:t>
            </w:r>
          </w:p>
        </w:tc>
        <w:tc>
          <w:tcPr>
            <w:tcW w:w="5673" w:type="dxa"/>
          </w:tcPr>
          <w:p w14:paraId="63601190" w14:textId="3FF08497" w:rsidR="00DF56D8" w:rsidRPr="00A942F6" w:rsidRDefault="00DF56D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778EAEEE" w14:textId="77777777" w:rsidR="00C932B0" w:rsidRPr="00A942F6" w:rsidRDefault="00C932B0" w:rsidP="00641834">
            <w:pPr>
              <w:pStyle w:val="TableParagraph"/>
              <w:rPr>
                <w:sz w:val="20"/>
                <w:szCs w:val="20"/>
                <w:lang w:val="nb-NO"/>
              </w:rPr>
            </w:pPr>
          </w:p>
          <w:p w14:paraId="37D9D6B3" w14:textId="091B72BF" w:rsidR="00DF56D8" w:rsidRPr="00A942F6" w:rsidRDefault="00DF56D8"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eller pJIA på grunn av unormale laboratorieverdier skal baseres på medisinsk vurdering av hver enkelt pasient</w:t>
            </w:r>
          </w:p>
        </w:tc>
      </w:tr>
    </w:tbl>
    <w:p w14:paraId="310A30A3" w14:textId="77777777" w:rsidR="00DF56D8" w:rsidRPr="00A942F6" w:rsidRDefault="00DF56D8" w:rsidP="00641834">
      <w:pPr>
        <w:rPr>
          <w:lang w:val="nb-NO"/>
        </w:rPr>
      </w:pPr>
    </w:p>
    <w:p w14:paraId="6EF897BB" w14:textId="77777777" w:rsidR="00DF56D8" w:rsidRPr="00A942F6" w:rsidRDefault="00DF56D8" w:rsidP="00641834">
      <w:pPr>
        <w:pStyle w:val="Bullet1cm"/>
        <w:keepNext/>
        <w:rPr>
          <w:lang w:val="nb-NO"/>
        </w:rPr>
      </w:pPr>
      <w:r w:rsidRPr="00A942F6">
        <w:rPr>
          <w:lang w:val="nb-NO"/>
        </w:rPr>
        <w:t>Lavt absolutt nøytrofiltall (ANC)</w:t>
      </w:r>
    </w:p>
    <w:p w14:paraId="51E1DBD1" w14:textId="77777777" w:rsidR="00DF56D8" w:rsidRPr="00A942F6" w:rsidRDefault="00DF56D8" w:rsidP="00641834">
      <w:pPr>
        <w:pStyle w:val="Style1Iitaic"/>
        <w:rPr>
          <w:lang w:val="nb-NO"/>
        </w:rPr>
      </w:pPr>
    </w:p>
    <w:tbl>
      <w:tblPr>
        <w:tblW w:w="8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9"/>
        <w:gridCol w:w="5697"/>
      </w:tblGrid>
      <w:tr w:rsidR="00DF56D8" w:rsidRPr="00A942F6" w14:paraId="02967627" w14:textId="77777777" w:rsidTr="00E1582A">
        <w:trPr>
          <w:cantSplit/>
          <w:trHeight w:val="20"/>
          <w:tblHeader/>
        </w:trPr>
        <w:tc>
          <w:tcPr>
            <w:tcW w:w="2389" w:type="dxa"/>
          </w:tcPr>
          <w:p w14:paraId="60BAB691" w14:textId="77777777" w:rsidR="00DF56D8" w:rsidRPr="00A942F6" w:rsidRDefault="00DF56D8" w:rsidP="00641834">
            <w:pPr>
              <w:pStyle w:val="TableParagraph"/>
              <w:keepNext/>
              <w:jc w:val="center"/>
              <w:rPr>
                <w:b/>
                <w:sz w:val="20"/>
                <w:szCs w:val="20"/>
                <w:lang w:val="nb-NO"/>
              </w:rPr>
            </w:pPr>
            <w:r w:rsidRPr="00A942F6">
              <w:rPr>
                <w:b/>
                <w:sz w:val="20"/>
                <w:szCs w:val="20"/>
                <w:lang w:val="nb-NO"/>
              </w:rPr>
              <w:t>Laboratorie- verdi</w:t>
            </w:r>
          </w:p>
          <w:p w14:paraId="75FACA1D" w14:textId="77777777" w:rsidR="00DF56D8" w:rsidRPr="00A942F6" w:rsidRDefault="00DF56D8" w:rsidP="00641834">
            <w:pPr>
              <w:pStyle w:val="TableParagraph"/>
              <w:keepNext/>
              <w:jc w:val="center"/>
              <w:rPr>
                <w:b/>
                <w:sz w:val="20"/>
                <w:szCs w:val="20"/>
                <w:lang w:val="nb-NO"/>
              </w:rPr>
            </w:pPr>
            <w:r w:rsidRPr="00A942F6">
              <w:rPr>
                <w:b/>
                <w:sz w:val="20"/>
                <w:szCs w:val="20"/>
                <w:lang w:val="nb-NO"/>
              </w:rPr>
              <w:t>(celler x 10</w:t>
            </w:r>
            <w:r w:rsidRPr="00A942F6">
              <w:rPr>
                <w:b/>
                <w:sz w:val="20"/>
                <w:szCs w:val="20"/>
                <w:vertAlign w:val="superscript"/>
                <w:lang w:val="nb-NO"/>
              </w:rPr>
              <w:t>9</w:t>
            </w:r>
            <w:r w:rsidRPr="00A942F6">
              <w:rPr>
                <w:b/>
                <w:sz w:val="20"/>
                <w:szCs w:val="20"/>
                <w:lang w:val="nb-NO"/>
              </w:rPr>
              <w:t>/ liter )</w:t>
            </w:r>
          </w:p>
        </w:tc>
        <w:tc>
          <w:tcPr>
            <w:tcW w:w="5697" w:type="dxa"/>
          </w:tcPr>
          <w:p w14:paraId="3128BAE3" w14:textId="77777777" w:rsidR="00DF56D8" w:rsidRPr="00A942F6" w:rsidRDefault="00DF56D8" w:rsidP="00641834">
            <w:pPr>
              <w:pStyle w:val="TableParagraph"/>
              <w:keepNext/>
              <w:jc w:val="center"/>
              <w:rPr>
                <w:b/>
                <w:sz w:val="20"/>
                <w:szCs w:val="20"/>
                <w:lang w:val="nb-NO"/>
              </w:rPr>
            </w:pPr>
            <w:r w:rsidRPr="00A942F6">
              <w:rPr>
                <w:b/>
                <w:sz w:val="20"/>
                <w:szCs w:val="20"/>
                <w:lang w:val="nb-NO"/>
              </w:rPr>
              <w:t>Tiltak</w:t>
            </w:r>
          </w:p>
        </w:tc>
      </w:tr>
      <w:tr w:rsidR="00DF56D8" w:rsidRPr="00A942F6" w14:paraId="2464E3F2" w14:textId="77777777" w:rsidTr="00E1582A">
        <w:trPr>
          <w:cantSplit/>
          <w:trHeight w:val="20"/>
        </w:trPr>
        <w:tc>
          <w:tcPr>
            <w:tcW w:w="2389" w:type="dxa"/>
          </w:tcPr>
          <w:p w14:paraId="613F67EB" w14:textId="77777777" w:rsidR="00DF56D8" w:rsidRPr="00A942F6" w:rsidRDefault="00DF56D8" w:rsidP="00641834">
            <w:pPr>
              <w:pStyle w:val="TableParagraph"/>
              <w:keepNext/>
              <w:rPr>
                <w:sz w:val="20"/>
                <w:szCs w:val="20"/>
                <w:lang w:val="nb-NO"/>
              </w:rPr>
            </w:pPr>
            <w:r w:rsidRPr="00A942F6">
              <w:rPr>
                <w:sz w:val="20"/>
                <w:szCs w:val="20"/>
                <w:lang w:val="nb-NO"/>
              </w:rPr>
              <w:t>ANC &gt; 1</w:t>
            </w:r>
          </w:p>
        </w:tc>
        <w:tc>
          <w:tcPr>
            <w:tcW w:w="5697" w:type="dxa"/>
          </w:tcPr>
          <w:p w14:paraId="58829397" w14:textId="77777777" w:rsidR="00DF56D8" w:rsidRPr="00A942F6" w:rsidRDefault="00DF56D8" w:rsidP="00641834">
            <w:pPr>
              <w:pStyle w:val="TableParagraph"/>
              <w:keepNext/>
              <w:rPr>
                <w:sz w:val="20"/>
                <w:szCs w:val="20"/>
                <w:lang w:val="nb-NO"/>
              </w:rPr>
            </w:pPr>
            <w:r w:rsidRPr="00A942F6">
              <w:rPr>
                <w:sz w:val="20"/>
                <w:szCs w:val="20"/>
                <w:lang w:val="nb-NO"/>
              </w:rPr>
              <w:t>Oppretthold dosering</w:t>
            </w:r>
          </w:p>
        </w:tc>
      </w:tr>
      <w:tr w:rsidR="00DF56D8" w:rsidRPr="00B477E5" w14:paraId="397775FD" w14:textId="77777777" w:rsidTr="00E1582A">
        <w:trPr>
          <w:cantSplit/>
          <w:trHeight w:val="20"/>
        </w:trPr>
        <w:tc>
          <w:tcPr>
            <w:tcW w:w="2389" w:type="dxa"/>
          </w:tcPr>
          <w:p w14:paraId="4D897775" w14:textId="77777777" w:rsidR="00DF56D8" w:rsidRPr="00A942F6" w:rsidRDefault="00DF56D8" w:rsidP="00641834">
            <w:pPr>
              <w:pStyle w:val="TableParagraph"/>
              <w:rPr>
                <w:sz w:val="20"/>
                <w:szCs w:val="20"/>
                <w:lang w:val="nb-NO"/>
              </w:rPr>
            </w:pPr>
            <w:r w:rsidRPr="00A942F6">
              <w:rPr>
                <w:sz w:val="20"/>
                <w:szCs w:val="20"/>
                <w:lang w:val="nb-NO"/>
              </w:rPr>
              <w:t>ANC 0,5 til 1</w:t>
            </w:r>
          </w:p>
        </w:tc>
        <w:tc>
          <w:tcPr>
            <w:tcW w:w="5697" w:type="dxa"/>
          </w:tcPr>
          <w:p w14:paraId="2DB8945A" w14:textId="7D0DAD59" w:rsidR="00DF56D8" w:rsidRPr="00A942F6" w:rsidRDefault="00DF56D8" w:rsidP="00641834">
            <w:pPr>
              <w:pStyle w:val="TableParagraph"/>
              <w:rPr>
                <w:sz w:val="20"/>
                <w:szCs w:val="20"/>
                <w:lang w:val="nb-NO"/>
              </w:rPr>
            </w:pPr>
            <w:r w:rsidRPr="00A942F6">
              <w:rPr>
                <w:sz w:val="20"/>
                <w:szCs w:val="20"/>
                <w:lang w:val="nb-NO"/>
              </w:rPr>
              <w:t xml:space="preserve">Avbryt behandling med </w:t>
            </w:r>
            <w:r w:rsidR="00923E68" w:rsidRPr="00A942F6">
              <w:rPr>
                <w:sz w:val="20"/>
                <w:szCs w:val="20"/>
                <w:lang w:val="nb-NO"/>
              </w:rPr>
              <w:t>Avtozma</w:t>
            </w:r>
          </w:p>
          <w:p w14:paraId="1D201A2A" w14:textId="77777777" w:rsidR="00C932B0" w:rsidRPr="00A942F6" w:rsidRDefault="00C932B0" w:rsidP="00641834">
            <w:pPr>
              <w:pStyle w:val="TableParagraph"/>
              <w:rPr>
                <w:sz w:val="20"/>
                <w:szCs w:val="20"/>
                <w:lang w:val="nb-NO"/>
              </w:rPr>
            </w:pPr>
          </w:p>
          <w:p w14:paraId="73986C16" w14:textId="10C036BB" w:rsidR="00DF56D8" w:rsidRPr="00A942F6" w:rsidRDefault="00DF56D8" w:rsidP="00641834">
            <w:pPr>
              <w:pStyle w:val="TableParagraph"/>
              <w:rPr>
                <w:sz w:val="20"/>
                <w:szCs w:val="20"/>
                <w:lang w:val="nb-NO"/>
              </w:rPr>
            </w:pPr>
            <w:r w:rsidRPr="00A942F6">
              <w:rPr>
                <w:sz w:val="20"/>
                <w:szCs w:val="20"/>
                <w:lang w:val="nb-NO"/>
              </w:rPr>
              <w:t xml:space="preserve">Gjenoppta behandling med </w:t>
            </w:r>
            <w:r w:rsidR="00923E68" w:rsidRPr="00A942F6">
              <w:rPr>
                <w:sz w:val="20"/>
                <w:szCs w:val="20"/>
                <w:lang w:val="nb-NO"/>
              </w:rPr>
              <w:t>Avtozma</w:t>
            </w:r>
            <w:r w:rsidRPr="00A942F6">
              <w:rPr>
                <w:sz w:val="20"/>
                <w:szCs w:val="20"/>
                <w:lang w:val="nb-NO"/>
              </w:rPr>
              <w:t xml:space="preserve"> når ANC øker til &gt; 1 x 10</w:t>
            </w:r>
            <w:r w:rsidRPr="00A942F6">
              <w:rPr>
                <w:sz w:val="20"/>
                <w:szCs w:val="20"/>
                <w:vertAlign w:val="superscript"/>
                <w:lang w:val="nb-NO"/>
              </w:rPr>
              <w:t>9</w:t>
            </w:r>
            <w:r w:rsidRPr="00A942F6">
              <w:rPr>
                <w:sz w:val="20"/>
                <w:szCs w:val="20"/>
                <w:lang w:val="nb-NO"/>
              </w:rPr>
              <w:t>/liter</w:t>
            </w:r>
          </w:p>
        </w:tc>
      </w:tr>
      <w:tr w:rsidR="00DF56D8" w:rsidRPr="00B477E5" w14:paraId="63F44107" w14:textId="77777777" w:rsidTr="00E1582A">
        <w:trPr>
          <w:cantSplit/>
          <w:trHeight w:val="20"/>
        </w:trPr>
        <w:tc>
          <w:tcPr>
            <w:tcW w:w="2389" w:type="dxa"/>
          </w:tcPr>
          <w:p w14:paraId="36F63743" w14:textId="77777777" w:rsidR="00DF56D8" w:rsidRPr="00A942F6" w:rsidRDefault="00DF56D8" w:rsidP="00641834">
            <w:pPr>
              <w:pStyle w:val="TableParagraph"/>
              <w:rPr>
                <w:sz w:val="20"/>
                <w:szCs w:val="20"/>
                <w:lang w:val="nb-NO"/>
              </w:rPr>
            </w:pPr>
            <w:r w:rsidRPr="00A942F6">
              <w:rPr>
                <w:sz w:val="20"/>
                <w:szCs w:val="20"/>
                <w:lang w:val="nb-NO"/>
              </w:rPr>
              <w:lastRenderedPageBreak/>
              <w:t>ANC &lt; 0,5</w:t>
            </w:r>
          </w:p>
        </w:tc>
        <w:tc>
          <w:tcPr>
            <w:tcW w:w="5697" w:type="dxa"/>
          </w:tcPr>
          <w:p w14:paraId="1EB2E2B4" w14:textId="3900601A" w:rsidR="00DF56D8" w:rsidRPr="00A942F6" w:rsidRDefault="00DF56D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p>
          <w:p w14:paraId="4FAFD34E" w14:textId="77777777" w:rsidR="00C932B0" w:rsidRPr="00A942F6" w:rsidRDefault="00C932B0" w:rsidP="00641834">
            <w:pPr>
              <w:pStyle w:val="TableParagraph"/>
              <w:rPr>
                <w:sz w:val="20"/>
                <w:szCs w:val="20"/>
                <w:lang w:val="nb-NO"/>
              </w:rPr>
            </w:pPr>
          </w:p>
          <w:p w14:paraId="274A2EDB" w14:textId="5E7399D0" w:rsidR="00DF56D8" w:rsidRPr="00A942F6" w:rsidRDefault="00DF56D8"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eller pJIA på grunn av unormale laboratorieverdier skal baseres på medisinsk vurdering av hver enkelt pasient.</w:t>
            </w:r>
          </w:p>
        </w:tc>
      </w:tr>
    </w:tbl>
    <w:p w14:paraId="2C6F8F99" w14:textId="77777777" w:rsidR="00DF56D8" w:rsidRPr="00A942F6" w:rsidRDefault="00DF56D8" w:rsidP="00641834">
      <w:pPr>
        <w:rPr>
          <w:lang w:val="nb-NO"/>
        </w:rPr>
      </w:pPr>
    </w:p>
    <w:p w14:paraId="4EE4A331" w14:textId="77777777" w:rsidR="00DF56D8" w:rsidRPr="00A942F6" w:rsidRDefault="00DF56D8" w:rsidP="0036729A">
      <w:pPr>
        <w:pStyle w:val="Bullet1cm"/>
        <w:keepNext/>
        <w:rPr>
          <w:lang w:val="nb-NO"/>
        </w:rPr>
      </w:pPr>
      <w:r w:rsidRPr="00A942F6">
        <w:rPr>
          <w:lang w:val="nb-NO"/>
        </w:rPr>
        <w:t>Lavt platetall</w:t>
      </w:r>
    </w:p>
    <w:p w14:paraId="34557B00" w14:textId="77777777" w:rsidR="00DF56D8" w:rsidRPr="00A942F6" w:rsidRDefault="00DF56D8" w:rsidP="0036729A">
      <w:pPr>
        <w:keepNext/>
        <w:rPr>
          <w:lang w:val="nb-NO"/>
        </w:rPr>
      </w:pPr>
    </w:p>
    <w:tbl>
      <w:tblPr>
        <w:tblW w:w="8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5"/>
        <w:gridCol w:w="5801"/>
      </w:tblGrid>
      <w:tr w:rsidR="00DF56D8" w:rsidRPr="00A942F6" w14:paraId="5596D5FE" w14:textId="77777777" w:rsidTr="0099284D">
        <w:trPr>
          <w:cantSplit/>
          <w:trHeight w:val="20"/>
          <w:tblHeader/>
        </w:trPr>
        <w:tc>
          <w:tcPr>
            <w:tcW w:w="2375" w:type="dxa"/>
          </w:tcPr>
          <w:p w14:paraId="4E5C6D91" w14:textId="77777777" w:rsidR="00544E47" w:rsidRPr="00A942F6" w:rsidRDefault="00DF56D8" w:rsidP="0036729A">
            <w:pPr>
              <w:pStyle w:val="TableParagraph"/>
              <w:keepNext/>
              <w:jc w:val="center"/>
              <w:rPr>
                <w:b/>
                <w:sz w:val="20"/>
                <w:szCs w:val="20"/>
                <w:lang w:val="nb-NO"/>
              </w:rPr>
            </w:pPr>
            <w:r w:rsidRPr="00A942F6">
              <w:rPr>
                <w:b/>
                <w:sz w:val="20"/>
                <w:szCs w:val="20"/>
                <w:lang w:val="nb-NO"/>
              </w:rPr>
              <w:t>Laboratorie-verdi</w:t>
            </w:r>
          </w:p>
          <w:p w14:paraId="4AE420DA" w14:textId="77777777" w:rsidR="00DF56D8" w:rsidRPr="00A942F6" w:rsidRDefault="00DF56D8" w:rsidP="0036729A">
            <w:pPr>
              <w:pStyle w:val="TableParagraph"/>
              <w:keepNext/>
              <w:jc w:val="center"/>
              <w:rPr>
                <w:b/>
                <w:sz w:val="20"/>
                <w:szCs w:val="20"/>
                <w:lang w:val="nb-NO"/>
              </w:rPr>
            </w:pPr>
            <w:r w:rsidRPr="00A942F6">
              <w:rPr>
                <w:b/>
                <w:sz w:val="20"/>
                <w:szCs w:val="20"/>
                <w:lang w:val="nb-NO"/>
              </w:rPr>
              <w:t>(celler x 10</w:t>
            </w:r>
            <w:r w:rsidRPr="00A942F6">
              <w:rPr>
                <w:b/>
                <w:sz w:val="20"/>
                <w:szCs w:val="20"/>
                <w:vertAlign w:val="superscript"/>
                <w:lang w:val="nb-NO"/>
              </w:rPr>
              <w:t>3</w:t>
            </w:r>
            <w:r w:rsidRPr="00A942F6">
              <w:rPr>
                <w:b/>
                <w:sz w:val="20"/>
                <w:szCs w:val="20"/>
                <w:lang w:val="nb-NO"/>
              </w:rPr>
              <w:t>/mikroliter)</w:t>
            </w:r>
          </w:p>
        </w:tc>
        <w:tc>
          <w:tcPr>
            <w:tcW w:w="5801" w:type="dxa"/>
          </w:tcPr>
          <w:p w14:paraId="2CCD287C" w14:textId="77777777" w:rsidR="00DF56D8" w:rsidRPr="00A942F6" w:rsidRDefault="00DF56D8" w:rsidP="0036729A">
            <w:pPr>
              <w:pStyle w:val="TableParagraph"/>
              <w:keepNext/>
              <w:jc w:val="center"/>
              <w:rPr>
                <w:b/>
                <w:sz w:val="20"/>
                <w:szCs w:val="20"/>
                <w:lang w:val="nb-NO"/>
              </w:rPr>
            </w:pPr>
            <w:r w:rsidRPr="00A942F6">
              <w:rPr>
                <w:b/>
                <w:sz w:val="20"/>
                <w:szCs w:val="20"/>
                <w:lang w:val="nb-NO"/>
              </w:rPr>
              <w:t>Tiltak</w:t>
            </w:r>
          </w:p>
        </w:tc>
      </w:tr>
      <w:tr w:rsidR="00DF56D8" w:rsidRPr="00B477E5" w14:paraId="0A23D1A9" w14:textId="77777777" w:rsidTr="0099284D">
        <w:trPr>
          <w:cantSplit/>
          <w:trHeight w:val="20"/>
        </w:trPr>
        <w:tc>
          <w:tcPr>
            <w:tcW w:w="2375" w:type="dxa"/>
          </w:tcPr>
          <w:p w14:paraId="169C4CEA" w14:textId="77777777" w:rsidR="00DF56D8" w:rsidRPr="00A942F6" w:rsidRDefault="00DF56D8" w:rsidP="00641834">
            <w:pPr>
              <w:pStyle w:val="TableParagraph"/>
              <w:rPr>
                <w:sz w:val="20"/>
                <w:szCs w:val="20"/>
                <w:lang w:val="nb-NO"/>
              </w:rPr>
            </w:pPr>
            <w:r w:rsidRPr="00A942F6">
              <w:rPr>
                <w:sz w:val="20"/>
                <w:szCs w:val="20"/>
                <w:lang w:val="nb-NO"/>
              </w:rPr>
              <w:t>50 til 100</w:t>
            </w:r>
          </w:p>
        </w:tc>
        <w:tc>
          <w:tcPr>
            <w:tcW w:w="5801" w:type="dxa"/>
          </w:tcPr>
          <w:p w14:paraId="053F661B" w14:textId="77777777" w:rsidR="00C932B0" w:rsidRPr="00A942F6" w:rsidRDefault="00DF56D8" w:rsidP="00641834">
            <w:pPr>
              <w:pStyle w:val="TableParagraph"/>
              <w:rPr>
                <w:sz w:val="20"/>
                <w:szCs w:val="20"/>
                <w:lang w:val="nb-NO"/>
              </w:rPr>
            </w:pPr>
            <w:r w:rsidRPr="00A942F6">
              <w:rPr>
                <w:sz w:val="20"/>
                <w:szCs w:val="20"/>
                <w:lang w:val="nb-NO"/>
              </w:rPr>
              <w:t>Juster dosen av samtidig met</w:t>
            </w:r>
            <w:r w:rsidR="00C932B0" w:rsidRPr="00A942F6">
              <w:rPr>
                <w:sz w:val="20"/>
                <w:szCs w:val="20"/>
                <w:lang w:val="nb-NO"/>
              </w:rPr>
              <w:t>otreksat hvis nødvendig</w:t>
            </w:r>
          </w:p>
          <w:p w14:paraId="6C3CDD04" w14:textId="77777777" w:rsidR="00C932B0" w:rsidRPr="00A942F6" w:rsidRDefault="00C932B0" w:rsidP="00641834">
            <w:pPr>
              <w:pStyle w:val="TableParagraph"/>
              <w:rPr>
                <w:sz w:val="20"/>
                <w:szCs w:val="20"/>
                <w:lang w:val="nb-NO"/>
              </w:rPr>
            </w:pPr>
          </w:p>
          <w:p w14:paraId="75F7E008" w14:textId="13E0AEA3" w:rsidR="00DF56D8" w:rsidRPr="00A942F6" w:rsidRDefault="00DF56D8" w:rsidP="00641834">
            <w:pPr>
              <w:pStyle w:val="TableParagraph"/>
              <w:rPr>
                <w:sz w:val="20"/>
                <w:szCs w:val="20"/>
                <w:lang w:val="nb-NO"/>
              </w:rPr>
            </w:pPr>
            <w:r w:rsidRPr="00A942F6">
              <w:rPr>
                <w:sz w:val="20"/>
                <w:szCs w:val="20"/>
                <w:lang w:val="nb-NO"/>
              </w:rPr>
              <w:t xml:space="preserve">Avbryt behandlingen med </w:t>
            </w:r>
            <w:r w:rsidR="00923E68" w:rsidRPr="00A942F6">
              <w:rPr>
                <w:sz w:val="20"/>
                <w:szCs w:val="20"/>
                <w:lang w:val="nb-NO"/>
              </w:rPr>
              <w:t>Avtozma</w:t>
            </w:r>
          </w:p>
          <w:p w14:paraId="415A7D3B" w14:textId="77777777" w:rsidR="00C932B0" w:rsidRPr="00A942F6" w:rsidRDefault="00C932B0" w:rsidP="00641834">
            <w:pPr>
              <w:pStyle w:val="TableParagraph"/>
              <w:rPr>
                <w:sz w:val="20"/>
                <w:szCs w:val="20"/>
                <w:lang w:val="nb-NO"/>
              </w:rPr>
            </w:pPr>
          </w:p>
          <w:p w14:paraId="478310AF" w14:textId="2D98502C" w:rsidR="00DF56D8" w:rsidRPr="00A942F6" w:rsidRDefault="00DF56D8" w:rsidP="00641834">
            <w:pPr>
              <w:pStyle w:val="TableParagraph"/>
              <w:rPr>
                <w:sz w:val="20"/>
                <w:szCs w:val="20"/>
                <w:lang w:val="nb-NO"/>
              </w:rPr>
            </w:pPr>
            <w:r w:rsidRPr="00A942F6">
              <w:rPr>
                <w:sz w:val="20"/>
                <w:szCs w:val="20"/>
                <w:lang w:val="nb-NO"/>
              </w:rPr>
              <w:t xml:space="preserve">Gjenoppta behandlingen med </w:t>
            </w:r>
            <w:r w:rsidR="00923E68" w:rsidRPr="00A942F6">
              <w:rPr>
                <w:sz w:val="20"/>
                <w:szCs w:val="20"/>
                <w:lang w:val="nb-NO"/>
              </w:rPr>
              <w:t>Avtozma</w:t>
            </w:r>
            <w:r w:rsidRPr="00A942F6">
              <w:rPr>
                <w:sz w:val="20"/>
                <w:szCs w:val="20"/>
                <w:lang w:val="nb-NO"/>
              </w:rPr>
              <w:t xml:space="preserve"> når platetallet er</w:t>
            </w:r>
            <w:r w:rsidR="00C932B0" w:rsidRPr="00A942F6">
              <w:rPr>
                <w:sz w:val="20"/>
                <w:szCs w:val="20"/>
                <w:lang w:val="nb-NO"/>
              </w:rPr>
              <w:t xml:space="preserve"> </w:t>
            </w:r>
            <w:r w:rsidRPr="00A942F6">
              <w:rPr>
                <w:sz w:val="20"/>
                <w:szCs w:val="20"/>
                <w:lang w:val="nb-NO"/>
              </w:rPr>
              <w:t>&gt;</w:t>
            </w:r>
            <w:r w:rsidR="00C932B0" w:rsidRPr="00A942F6">
              <w:rPr>
                <w:sz w:val="20"/>
                <w:szCs w:val="20"/>
                <w:lang w:val="nb-NO"/>
              </w:rPr>
              <w:t> </w:t>
            </w:r>
            <w:r w:rsidRPr="00A942F6">
              <w:rPr>
                <w:sz w:val="20"/>
                <w:szCs w:val="20"/>
                <w:lang w:val="nb-NO"/>
              </w:rPr>
              <w:t>100 x 10</w:t>
            </w:r>
            <w:r w:rsidRPr="00A942F6">
              <w:rPr>
                <w:sz w:val="20"/>
                <w:szCs w:val="20"/>
                <w:vertAlign w:val="superscript"/>
                <w:lang w:val="nb-NO"/>
              </w:rPr>
              <w:t>3</w:t>
            </w:r>
            <w:r w:rsidRPr="00A942F6">
              <w:rPr>
                <w:sz w:val="20"/>
                <w:szCs w:val="20"/>
                <w:lang w:val="nb-NO"/>
              </w:rPr>
              <w:t>/mikroliter.</w:t>
            </w:r>
          </w:p>
        </w:tc>
      </w:tr>
      <w:tr w:rsidR="00DF56D8" w:rsidRPr="00B477E5" w14:paraId="10FA4543" w14:textId="77777777" w:rsidTr="0099284D">
        <w:trPr>
          <w:cantSplit/>
          <w:trHeight w:val="20"/>
        </w:trPr>
        <w:tc>
          <w:tcPr>
            <w:tcW w:w="2375" w:type="dxa"/>
          </w:tcPr>
          <w:p w14:paraId="1B2EE9D5" w14:textId="77777777" w:rsidR="00DF56D8" w:rsidRPr="00A942F6" w:rsidRDefault="00DF56D8" w:rsidP="00641834">
            <w:pPr>
              <w:pStyle w:val="TableParagraph"/>
              <w:rPr>
                <w:sz w:val="20"/>
                <w:szCs w:val="20"/>
                <w:lang w:val="nb-NO"/>
              </w:rPr>
            </w:pPr>
            <w:r w:rsidRPr="00A942F6">
              <w:rPr>
                <w:sz w:val="20"/>
                <w:szCs w:val="20"/>
                <w:lang w:val="nb-NO"/>
              </w:rPr>
              <w:t>&lt; 50</w:t>
            </w:r>
          </w:p>
        </w:tc>
        <w:tc>
          <w:tcPr>
            <w:tcW w:w="5801" w:type="dxa"/>
          </w:tcPr>
          <w:p w14:paraId="71CD5503" w14:textId="47488139" w:rsidR="00DF56D8" w:rsidRPr="00A942F6" w:rsidRDefault="00DF56D8" w:rsidP="00641834">
            <w:pPr>
              <w:pStyle w:val="TableParagraph"/>
              <w:rPr>
                <w:sz w:val="20"/>
                <w:szCs w:val="20"/>
                <w:lang w:val="nb-NO"/>
              </w:rPr>
            </w:pPr>
            <w:r w:rsidRPr="00A942F6">
              <w:rPr>
                <w:sz w:val="20"/>
                <w:szCs w:val="20"/>
                <w:lang w:val="nb-NO"/>
              </w:rPr>
              <w:t xml:space="preserve">Seponer </w:t>
            </w:r>
            <w:r w:rsidR="00923E68" w:rsidRPr="00A942F6">
              <w:rPr>
                <w:sz w:val="20"/>
                <w:szCs w:val="20"/>
                <w:lang w:val="nb-NO"/>
              </w:rPr>
              <w:t>Avtozma</w:t>
            </w:r>
            <w:r w:rsidRPr="00A942F6">
              <w:rPr>
                <w:sz w:val="20"/>
                <w:szCs w:val="20"/>
                <w:lang w:val="nb-NO"/>
              </w:rPr>
              <w:t>.</w:t>
            </w:r>
          </w:p>
          <w:p w14:paraId="6D433C9D" w14:textId="77777777" w:rsidR="00C932B0" w:rsidRPr="00A942F6" w:rsidRDefault="00C932B0" w:rsidP="00641834">
            <w:pPr>
              <w:pStyle w:val="TableParagraph"/>
              <w:rPr>
                <w:sz w:val="20"/>
                <w:szCs w:val="20"/>
                <w:lang w:val="nb-NO"/>
              </w:rPr>
            </w:pPr>
          </w:p>
          <w:p w14:paraId="47793BDC" w14:textId="43924E5C" w:rsidR="00DF56D8" w:rsidRPr="00A942F6" w:rsidRDefault="00DF56D8" w:rsidP="00641834">
            <w:pPr>
              <w:pStyle w:val="TableParagraph"/>
              <w:rPr>
                <w:sz w:val="20"/>
                <w:szCs w:val="20"/>
                <w:lang w:val="nb-NO"/>
              </w:rPr>
            </w:pPr>
            <w:r w:rsidRPr="00A942F6">
              <w:rPr>
                <w:sz w:val="20"/>
                <w:szCs w:val="20"/>
                <w:lang w:val="nb-NO"/>
              </w:rPr>
              <w:t xml:space="preserve">Avgjørelsen om å seponere </w:t>
            </w:r>
            <w:r w:rsidR="00923E68" w:rsidRPr="00A942F6">
              <w:rPr>
                <w:sz w:val="20"/>
                <w:szCs w:val="20"/>
                <w:lang w:val="nb-NO"/>
              </w:rPr>
              <w:t>Avtozma</w:t>
            </w:r>
            <w:r w:rsidRPr="00A942F6">
              <w:rPr>
                <w:sz w:val="20"/>
                <w:szCs w:val="20"/>
                <w:lang w:val="nb-NO"/>
              </w:rPr>
              <w:t xml:space="preserve"> ved sJIA eller pJIA på grunn av unormale laboratorieverdier skal baseres på medisinsk vurdering av hver enkelt pasient.</w:t>
            </w:r>
          </w:p>
        </w:tc>
      </w:tr>
    </w:tbl>
    <w:p w14:paraId="6C3FC2C0" w14:textId="77777777" w:rsidR="00C932B0" w:rsidRPr="00A942F6" w:rsidRDefault="00C932B0" w:rsidP="00641834">
      <w:pPr>
        <w:rPr>
          <w:lang w:val="nb-NO"/>
        </w:rPr>
      </w:pPr>
    </w:p>
    <w:p w14:paraId="651F2E6B" w14:textId="77777777" w:rsidR="00DF56D8" w:rsidRPr="00A942F6" w:rsidRDefault="00DF56D8" w:rsidP="00641834">
      <w:pPr>
        <w:rPr>
          <w:lang w:val="nb-NO"/>
        </w:rPr>
      </w:pPr>
      <w:r w:rsidRPr="00A942F6">
        <w:rPr>
          <w:lang w:val="nb-NO"/>
        </w:rPr>
        <w:t>Reduksjon av frekvens for tocilizumabdosering på grunn av unormale laboratorieverdier er ikke undersøkt hos sJIA- eller pJIA-pasienter.</w:t>
      </w:r>
    </w:p>
    <w:p w14:paraId="7844A3A6" w14:textId="77777777" w:rsidR="00DF56D8" w:rsidRPr="00A942F6" w:rsidRDefault="00DF56D8" w:rsidP="00641834">
      <w:pPr>
        <w:rPr>
          <w:lang w:val="nb-NO"/>
        </w:rPr>
      </w:pPr>
    </w:p>
    <w:p w14:paraId="7C46FCE7" w14:textId="5ED4F36A" w:rsidR="00DF56D8" w:rsidRPr="00A942F6" w:rsidRDefault="00DF56D8" w:rsidP="00641834">
      <w:pPr>
        <w:rPr>
          <w:lang w:val="nb-NO"/>
        </w:rPr>
      </w:pPr>
      <w:r w:rsidRPr="00A942F6">
        <w:rPr>
          <w:lang w:val="nb-NO"/>
        </w:rPr>
        <w:t xml:space="preserve">Sikkerhet og effekt av </w:t>
      </w:r>
      <w:r w:rsidR="00923E68" w:rsidRPr="00A942F6">
        <w:rPr>
          <w:lang w:val="nb-NO"/>
        </w:rPr>
        <w:t>Avtozma</w:t>
      </w:r>
      <w:r w:rsidRPr="00A942F6">
        <w:rPr>
          <w:lang w:val="nb-NO"/>
        </w:rPr>
        <w:t xml:space="preserve"> subkutan formulering hos barn med andre tilstander enn sJIA eller pJIA er ikke fastslått.</w:t>
      </w:r>
    </w:p>
    <w:p w14:paraId="4A6135CF" w14:textId="77777777" w:rsidR="00DF56D8" w:rsidRPr="00A942F6" w:rsidRDefault="00DF56D8" w:rsidP="00641834">
      <w:pPr>
        <w:rPr>
          <w:lang w:val="nb-NO"/>
        </w:rPr>
      </w:pPr>
    </w:p>
    <w:p w14:paraId="0E5A24D6" w14:textId="2A8B1B1A" w:rsidR="00DF56D8" w:rsidRPr="00A942F6" w:rsidRDefault="00DF56D8" w:rsidP="00641834">
      <w:pPr>
        <w:rPr>
          <w:lang w:val="nb-NO"/>
        </w:rPr>
      </w:pPr>
      <w:r w:rsidRPr="00A942F6">
        <w:rPr>
          <w:lang w:val="nb-NO"/>
        </w:rPr>
        <w:t>Tilgjengelige data for den intravenøse formuleringen viser at klinisk forbedring observeres innen 12</w:t>
      </w:r>
      <w:r w:rsidR="002E140C">
        <w:rPr>
          <w:lang w:val="nb-NO"/>
        </w:rPr>
        <w:t> </w:t>
      </w:r>
      <w:r w:rsidRPr="00A942F6">
        <w:rPr>
          <w:lang w:val="nb-NO"/>
        </w:rPr>
        <w:t xml:space="preserve">uker etter oppstart av behandling med </w:t>
      </w:r>
      <w:r w:rsidR="00813939" w:rsidRPr="00A942F6">
        <w:rPr>
          <w:lang w:val="nb-NO" w:eastAsia="ko-KR"/>
        </w:rPr>
        <w:t>tocilizumab</w:t>
      </w:r>
      <w:r w:rsidRPr="00A942F6">
        <w:rPr>
          <w:lang w:val="nb-NO"/>
        </w:rPr>
        <w:t>. Fortsatt behandling bør revurderes nøye hos pasienter som ikke viser bedring i løpet av denne tidsrammen.</w:t>
      </w:r>
    </w:p>
    <w:p w14:paraId="3343E907" w14:textId="77777777" w:rsidR="00C932B0" w:rsidRPr="00A942F6" w:rsidRDefault="00C932B0" w:rsidP="00641834">
      <w:pPr>
        <w:rPr>
          <w:lang w:val="nb-NO"/>
        </w:rPr>
      </w:pPr>
    </w:p>
    <w:p w14:paraId="4F4F8FBA" w14:textId="77777777" w:rsidR="00DF56D8" w:rsidRPr="00A942F6" w:rsidRDefault="00DF56D8" w:rsidP="00641834">
      <w:pPr>
        <w:pStyle w:val="Style1underline"/>
        <w:rPr>
          <w:lang w:val="nb-NO"/>
        </w:rPr>
      </w:pPr>
      <w:r w:rsidRPr="00A942F6">
        <w:rPr>
          <w:lang w:val="nb-NO"/>
        </w:rPr>
        <w:t>Glemt dose</w:t>
      </w:r>
    </w:p>
    <w:p w14:paraId="3A49B8C6" w14:textId="77777777" w:rsidR="00DF56D8" w:rsidRPr="00A942F6" w:rsidRDefault="00DF56D8" w:rsidP="00641834">
      <w:pPr>
        <w:rPr>
          <w:lang w:val="nb-NO"/>
        </w:rPr>
      </w:pPr>
    </w:p>
    <w:p w14:paraId="3942547A" w14:textId="359B7602" w:rsidR="00DF56D8" w:rsidRPr="00A942F6" w:rsidRDefault="00DF56D8" w:rsidP="00641834">
      <w:pPr>
        <w:rPr>
          <w:lang w:val="nb-NO"/>
        </w:rPr>
      </w:pPr>
      <w:r w:rsidRPr="00A942F6">
        <w:rPr>
          <w:lang w:val="nb-NO"/>
        </w:rPr>
        <w:t xml:space="preserve">Hvis en sJIA-pasient glemmer en subkutan ukentlig injeksjon med </w:t>
      </w:r>
      <w:r w:rsidR="00923E68" w:rsidRPr="00A942F6">
        <w:rPr>
          <w:lang w:val="nb-NO"/>
        </w:rPr>
        <w:t>Avtozma</w:t>
      </w:r>
      <w:r w:rsidRPr="00A942F6">
        <w:rPr>
          <w:lang w:val="nb-NO"/>
        </w:rPr>
        <w:t>, men husker det innen 7</w:t>
      </w:r>
      <w:r w:rsidR="002E140C">
        <w:rPr>
          <w:lang w:val="nb-NO"/>
        </w:rPr>
        <w:t> </w:t>
      </w:r>
      <w:r w:rsidRPr="00A942F6">
        <w:rPr>
          <w:lang w:val="nb-NO"/>
        </w:rPr>
        <w:t>dager etter planlagt dose, skal han/hun instrueres til å ta den glemte dosen på neste planlagte dag.</w:t>
      </w:r>
    </w:p>
    <w:p w14:paraId="40AFB046" w14:textId="280B0218" w:rsidR="00DF56D8" w:rsidRPr="00A942F6" w:rsidRDefault="00DF56D8" w:rsidP="00641834">
      <w:pPr>
        <w:rPr>
          <w:lang w:val="nb-NO"/>
        </w:rPr>
      </w:pPr>
      <w:r w:rsidRPr="00A942F6">
        <w:rPr>
          <w:lang w:val="nb-NO"/>
        </w:rPr>
        <w:t xml:space="preserve">Hvis en pasient glemmer en subkutan injeksjon av </w:t>
      </w:r>
      <w:r w:rsidR="00923E68" w:rsidRPr="00A942F6">
        <w:rPr>
          <w:lang w:val="nb-NO"/>
        </w:rPr>
        <w:t>Avtozma</w:t>
      </w:r>
      <w:r w:rsidRPr="00A942F6">
        <w:rPr>
          <w:lang w:val="nb-NO"/>
        </w:rPr>
        <w:t xml:space="preserve"> som tas annenhver uke, men husker det innen 7 dager etter planlagt dose, skal han/hun instrueres til å ta den glemte dosen umiddelbart. Neste dose tas på neste planlagte dag.</w:t>
      </w:r>
    </w:p>
    <w:p w14:paraId="2F0A531C" w14:textId="77777777" w:rsidR="00DF56D8" w:rsidRPr="00A942F6" w:rsidRDefault="00DF56D8" w:rsidP="00641834">
      <w:pPr>
        <w:rPr>
          <w:lang w:val="nb-NO"/>
        </w:rPr>
      </w:pPr>
    </w:p>
    <w:p w14:paraId="3A231F4E" w14:textId="5CA243BD" w:rsidR="00DF56D8" w:rsidRPr="00A942F6" w:rsidRDefault="00DF56D8" w:rsidP="00641834">
      <w:pPr>
        <w:rPr>
          <w:lang w:val="nb-NO"/>
        </w:rPr>
      </w:pPr>
      <w:r w:rsidRPr="00A942F6">
        <w:rPr>
          <w:lang w:val="nb-NO"/>
        </w:rPr>
        <w:t xml:space="preserve">Hvis en pJIA-pasient glemmer en subkutan injeksjon med </w:t>
      </w:r>
      <w:r w:rsidR="00923E68" w:rsidRPr="00A942F6">
        <w:rPr>
          <w:lang w:val="nb-NO"/>
        </w:rPr>
        <w:t>Avtozma</w:t>
      </w:r>
      <w:r w:rsidRPr="00A942F6">
        <w:rPr>
          <w:lang w:val="nb-NO"/>
        </w:rPr>
        <w:t xml:space="preserve">, men husker det innen 7 dager etter planlagt dose, bør han/hun ta den glemte dosen så snart den huskes. Neste dose tas til vanlig, planlagt tid. Hvis en pasient glemmer en subkutan injeksjon av </w:t>
      </w:r>
      <w:r w:rsidR="00923E68" w:rsidRPr="00A942F6">
        <w:rPr>
          <w:lang w:val="nb-NO"/>
        </w:rPr>
        <w:t>Avtozma</w:t>
      </w:r>
      <w:r w:rsidRPr="00A942F6">
        <w:rPr>
          <w:lang w:val="nb-NO"/>
        </w:rPr>
        <w:t xml:space="preserve"> i mer enn 7 dager etter planlagt dose eller er usikker på når </w:t>
      </w:r>
      <w:r w:rsidR="00923E68" w:rsidRPr="00A942F6">
        <w:rPr>
          <w:lang w:val="nb-NO"/>
        </w:rPr>
        <w:t>Avtozma</w:t>
      </w:r>
      <w:r w:rsidRPr="00A942F6">
        <w:rPr>
          <w:lang w:val="nb-NO"/>
        </w:rPr>
        <w:t xml:space="preserve"> skal injiseres, skal lege eller apotek kontaktes.</w:t>
      </w:r>
    </w:p>
    <w:p w14:paraId="7074CDC6" w14:textId="77777777" w:rsidR="00DF56D8" w:rsidRPr="00A942F6" w:rsidRDefault="00DF56D8" w:rsidP="00641834">
      <w:pPr>
        <w:rPr>
          <w:lang w:val="nb-NO"/>
        </w:rPr>
      </w:pPr>
    </w:p>
    <w:p w14:paraId="4C0707FC" w14:textId="77777777" w:rsidR="00DF56D8" w:rsidRPr="00A942F6" w:rsidRDefault="00DF56D8" w:rsidP="00641834">
      <w:pPr>
        <w:pStyle w:val="Style1underline"/>
        <w:rPr>
          <w:lang w:val="nb-NO"/>
        </w:rPr>
      </w:pPr>
      <w:r w:rsidRPr="00A942F6">
        <w:rPr>
          <w:lang w:val="nb-NO"/>
        </w:rPr>
        <w:t>Administrasjonsmåte</w:t>
      </w:r>
    </w:p>
    <w:p w14:paraId="44CA2D7B" w14:textId="77777777" w:rsidR="00C932B0" w:rsidRPr="00A942F6" w:rsidRDefault="00C932B0" w:rsidP="00641834">
      <w:pPr>
        <w:keepNext/>
        <w:rPr>
          <w:lang w:val="nb-NO"/>
        </w:rPr>
      </w:pPr>
    </w:p>
    <w:p w14:paraId="1B3FA6D8" w14:textId="580D9CF9" w:rsidR="00DF56D8" w:rsidRPr="00A942F6" w:rsidRDefault="00923E68" w:rsidP="00641834">
      <w:pPr>
        <w:keepNext/>
        <w:rPr>
          <w:lang w:val="nb-NO"/>
        </w:rPr>
      </w:pPr>
      <w:r w:rsidRPr="00A942F6">
        <w:rPr>
          <w:lang w:val="nb-NO"/>
        </w:rPr>
        <w:t>Avtozma</w:t>
      </w:r>
      <w:r w:rsidR="00DF56D8" w:rsidRPr="00A942F6">
        <w:rPr>
          <w:lang w:val="nb-NO"/>
        </w:rPr>
        <w:t xml:space="preserve"> er til subkutan bruk.</w:t>
      </w:r>
    </w:p>
    <w:p w14:paraId="73F07A2B" w14:textId="1D4BEB34" w:rsidR="00DF56D8" w:rsidRPr="00A942F6" w:rsidRDefault="00DF56D8" w:rsidP="00641834">
      <w:pPr>
        <w:rPr>
          <w:lang w:val="nb-NO"/>
        </w:rPr>
      </w:pPr>
      <w:r w:rsidRPr="00A942F6">
        <w:rPr>
          <w:lang w:val="nb-NO"/>
        </w:rPr>
        <w:t xml:space="preserve">Etter tilstrekkelig opplæring i injeksjonsteknikk kan pasientene selv injisere </w:t>
      </w:r>
      <w:r w:rsidR="00923E68" w:rsidRPr="00A942F6">
        <w:rPr>
          <w:lang w:val="nb-NO"/>
        </w:rPr>
        <w:t>Avtozma</w:t>
      </w:r>
      <w:r w:rsidRPr="00A942F6">
        <w:rPr>
          <w:lang w:val="nb-NO"/>
        </w:rPr>
        <w:t xml:space="preserve"> dersom legen mener det er hensiktsmessig. Det totale innholdet (0,9 ml) av den ferdigfylte pennen skal administreres som en subkutan injeksjon. Anbefalte injeksjonssteder (mage, lår og overarm) skal roteres og injeksjoner bør aldri gis i føflekker, arr, eller områder hvor huden er øm, har blåmerker, er rød, hard, eller ikke er intakt.</w:t>
      </w:r>
    </w:p>
    <w:p w14:paraId="6B8BAB52" w14:textId="77777777" w:rsidR="00C932B0" w:rsidRPr="00A942F6" w:rsidRDefault="00C932B0" w:rsidP="00641834">
      <w:pPr>
        <w:rPr>
          <w:lang w:val="nb-NO"/>
        </w:rPr>
      </w:pPr>
    </w:p>
    <w:p w14:paraId="6838519D" w14:textId="77777777" w:rsidR="00DF56D8" w:rsidRPr="00A942F6" w:rsidRDefault="00DF56D8" w:rsidP="00641834">
      <w:pPr>
        <w:rPr>
          <w:lang w:val="nb-NO"/>
        </w:rPr>
      </w:pPr>
      <w:r w:rsidRPr="00A942F6">
        <w:rPr>
          <w:lang w:val="nb-NO"/>
        </w:rPr>
        <w:t>Den ferdigfylte pennen skal ikke ristes.</w:t>
      </w:r>
    </w:p>
    <w:p w14:paraId="539FD25E" w14:textId="77777777" w:rsidR="00DF56D8" w:rsidRPr="00A942F6" w:rsidRDefault="00DF56D8" w:rsidP="00641834">
      <w:pPr>
        <w:rPr>
          <w:lang w:val="nb-NO"/>
        </w:rPr>
      </w:pPr>
    </w:p>
    <w:p w14:paraId="3556544A" w14:textId="048AEF34" w:rsidR="00DF56D8" w:rsidRPr="00A942F6" w:rsidRDefault="00DF56D8" w:rsidP="00641834">
      <w:pPr>
        <w:rPr>
          <w:lang w:val="nb-NO"/>
        </w:rPr>
      </w:pPr>
      <w:r w:rsidRPr="00A942F6">
        <w:rPr>
          <w:lang w:val="nb-NO"/>
        </w:rPr>
        <w:lastRenderedPageBreak/>
        <w:t xml:space="preserve">Pakningsvedlegget inneholder omfattende instruksjoner for administrering av </w:t>
      </w:r>
      <w:r w:rsidR="00923E68" w:rsidRPr="00A942F6">
        <w:rPr>
          <w:lang w:val="nb-NO"/>
        </w:rPr>
        <w:t>Avtozma</w:t>
      </w:r>
      <w:r w:rsidRPr="00A942F6">
        <w:rPr>
          <w:lang w:val="nb-NO"/>
        </w:rPr>
        <w:t xml:space="preserve"> i ferdigfylt penn, se pkt. 6.6.</w:t>
      </w:r>
    </w:p>
    <w:p w14:paraId="4BEC6330" w14:textId="77777777" w:rsidR="00DF56D8" w:rsidRPr="00A942F6" w:rsidRDefault="00DF56D8" w:rsidP="00641834">
      <w:pPr>
        <w:rPr>
          <w:lang w:val="nb-NO"/>
        </w:rPr>
      </w:pPr>
    </w:p>
    <w:p w14:paraId="46A60D24" w14:textId="77777777" w:rsidR="00DF56D8" w:rsidRPr="00A942F6" w:rsidRDefault="00DF56D8" w:rsidP="00641834">
      <w:pPr>
        <w:pStyle w:val="H2"/>
        <w:rPr>
          <w:lang w:val="nb-NO"/>
        </w:rPr>
      </w:pPr>
      <w:r w:rsidRPr="00A942F6">
        <w:rPr>
          <w:lang w:val="nb-NO"/>
        </w:rPr>
        <w:t>4.3</w:t>
      </w:r>
      <w:r w:rsidRPr="00A942F6">
        <w:rPr>
          <w:lang w:val="nb-NO"/>
        </w:rPr>
        <w:tab/>
        <w:t>Kontraindikasjoner</w:t>
      </w:r>
    </w:p>
    <w:p w14:paraId="6B52FCB6" w14:textId="77777777" w:rsidR="00426296" w:rsidRPr="00A942F6" w:rsidRDefault="00426296" w:rsidP="00641834">
      <w:pPr>
        <w:rPr>
          <w:lang w:val="nb-NO"/>
        </w:rPr>
      </w:pPr>
    </w:p>
    <w:p w14:paraId="69B5BBC4" w14:textId="77777777" w:rsidR="00C932B0" w:rsidRPr="00A942F6" w:rsidRDefault="00DF56D8" w:rsidP="00641834">
      <w:pPr>
        <w:rPr>
          <w:lang w:val="nb-NO"/>
        </w:rPr>
      </w:pPr>
      <w:r w:rsidRPr="00A942F6">
        <w:rPr>
          <w:lang w:val="nb-NO"/>
        </w:rPr>
        <w:t>Overfølsomhet overfor virkestoffet eller overfor noen av hjelpe</w:t>
      </w:r>
      <w:r w:rsidR="00C932B0" w:rsidRPr="00A942F6">
        <w:rPr>
          <w:lang w:val="nb-NO"/>
        </w:rPr>
        <w:t>stoffene listet opp i pkt. 6.1.</w:t>
      </w:r>
    </w:p>
    <w:p w14:paraId="7BF12C89" w14:textId="77777777" w:rsidR="00C932B0" w:rsidRPr="00A942F6" w:rsidRDefault="00C932B0" w:rsidP="00641834">
      <w:pPr>
        <w:rPr>
          <w:lang w:val="nb-NO"/>
        </w:rPr>
      </w:pPr>
    </w:p>
    <w:p w14:paraId="6E4677E8" w14:textId="77777777" w:rsidR="00DF56D8" w:rsidRPr="00A942F6" w:rsidRDefault="00DF56D8" w:rsidP="00641834">
      <w:pPr>
        <w:rPr>
          <w:lang w:val="nb-NO"/>
        </w:rPr>
      </w:pPr>
      <w:r w:rsidRPr="00A942F6">
        <w:rPr>
          <w:lang w:val="nb-NO"/>
        </w:rPr>
        <w:t>Aktive, alvorlige infeksjoner (se pkt. 4.4).</w:t>
      </w:r>
    </w:p>
    <w:p w14:paraId="2072EE1A" w14:textId="77777777" w:rsidR="002155E9" w:rsidRPr="00A942F6" w:rsidRDefault="002155E9" w:rsidP="00641834">
      <w:pPr>
        <w:pStyle w:val="H2"/>
        <w:rPr>
          <w:lang w:val="nb-NO"/>
        </w:rPr>
      </w:pPr>
    </w:p>
    <w:p w14:paraId="742527CB" w14:textId="77777777" w:rsidR="00DF56D8" w:rsidRPr="00A942F6" w:rsidRDefault="00DF56D8" w:rsidP="00641834">
      <w:pPr>
        <w:pStyle w:val="H2"/>
        <w:rPr>
          <w:lang w:val="nb-NO"/>
        </w:rPr>
      </w:pPr>
      <w:r w:rsidRPr="00A942F6">
        <w:rPr>
          <w:lang w:val="nb-NO"/>
        </w:rPr>
        <w:t>4.4</w:t>
      </w:r>
      <w:r w:rsidRPr="00A942F6">
        <w:rPr>
          <w:lang w:val="nb-NO"/>
        </w:rPr>
        <w:tab/>
        <w:t>Advarsler og forsiktighetsregler</w:t>
      </w:r>
    </w:p>
    <w:p w14:paraId="50749A78" w14:textId="77777777" w:rsidR="00426296" w:rsidRPr="00A942F6" w:rsidRDefault="00426296" w:rsidP="00641834">
      <w:pPr>
        <w:rPr>
          <w:lang w:val="nb-NO"/>
        </w:rPr>
      </w:pPr>
    </w:p>
    <w:p w14:paraId="2456D406" w14:textId="6107520A" w:rsidR="00DF56D8" w:rsidRPr="00A942F6" w:rsidRDefault="00DF56D8" w:rsidP="00641834">
      <w:pPr>
        <w:rPr>
          <w:lang w:val="nb-NO"/>
        </w:rPr>
      </w:pPr>
      <w:r w:rsidRPr="00A942F6">
        <w:rPr>
          <w:lang w:val="nb-NO"/>
        </w:rPr>
        <w:t xml:space="preserve">Subkutan formulering av </w:t>
      </w:r>
      <w:r w:rsidR="00923E68" w:rsidRPr="00A942F6">
        <w:rPr>
          <w:lang w:val="nb-NO"/>
        </w:rPr>
        <w:t>Avtozma</w:t>
      </w:r>
      <w:r w:rsidRPr="00A942F6">
        <w:rPr>
          <w:lang w:val="nb-NO"/>
        </w:rPr>
        <w:t xml:space="preserve"> skal ikke administreres intravenøst.</w:t>
      </w:r>
    </w:p>
    <w:p w14:paraId="3210A945" w14:textId="77777777" w:rsidR="00DF56D8" w:rsidRPr="00A942F6" w:rsidRDefault="00DF56D8" w:rsidP="00641834">
      <w:pPr>
        <w:rPr>
          <w:lang w:val="nb-NO"/>
        </w:rPr>
      </w:pPr>
    </w:p>
    <w:p w14:paraId="443A93A8" w14:textId="77777777" w:rsidR="00DF56D8" w:rsidRPr="00A942F6" w:rsidRDefault="00DF56D8" w:rsidP="00641834">
      <w:pPr>
        <w:pStyle w:val="Style1Iitaic"/>
        <w:rPr>
          <w:lang w:val="nb-NO"/>
        </w:rPr>
      </w:pPr>
      <w:r w:rsidRPr="00A942F6">
        <w:rPr>
          <w:lang w:val="nb-NO"/>
        </w:rPr>
        <w:t>Sporbarhet</w:t>
      </w:r>
    </w:p>
    <w:p w14:paraId="163F7AD6" w14:textId="77777777" w:rsidR="00DF56D8" w:rsidRPr="00A942F6" w:rsidRDefault="00DF56D8" w:rsidP="00641834">
      <w:pPr>
        <w:rPr>
          <w:lang w:val="nb-NO"/>
        </w:rPr>
      </w:pPr>
      <w:r w:rsidRPr="00A942F6">
        <w:rPr>
          <w:lang w:val="nb-NO"/>
        </w:rPr>
        <w:t>For å forbedre sporbarheten til biologiske legemidler skal navn og batchnummer til det administrerte legemidlet protokollføres.</w:t>
      </w:r>
    </w:p>
    <w:p w14:paraId="1C581F50" w14:textId="77777777" w:rsidR="00C932B0" w:rsidRPr="00A942F6" w:rsidRDefault="00C932B0" w:rsidP="00641834">
      <w:pPr>
        <w:rPr>
          <w:lang w:val="nb-NO"/>
        </w:rPr>
      </w:pPr>
    </w:p>
    <w:p w14:paraId="7BB6030C" w14:textId="77777777" w:rsidR="00DF56D8" w:rsidRPr="00A942F6" w:rsidRDefault="00DF56D8" w:rsidP="00641834">
      <w:pPr>
        <w:pStyle w:val="Style1Iitaic"/>
        <w:rPr>
          <w:lang w:val="nb-NO"/>
        </w:rPr>
      </w:pPr>
      <w:r w:rsidRPr="00A942F6">
        <w:rPr>
          <w:lang w:val="nb-NO"/>
        </w:rPr>
        <w:t>Infeksjoner</w:t>
      </w:r>
    </w:p>
    <w:p w14:paraId="109FCC0A" w14:textId="2F77E081" w:rsidR="00DF56D8" w:rsidRPr="00A942F6" w:rsidRDefault="00DF56D8" w:rsidP="00641834">
      <w:pPr>
        <w:rPr>
          <w:lang w:val="nb-NO"/>
        </w:rPr>
      </w:pPr>
      <w:r w:rsidRPr="00A942F6">
        <w:rPr>
          <w:lang w:val="nb-NO"/>
        </w:rPr>
        <w:t xml:space="preserve">Alvorlige og iblant dødelige infeksjoner har blitt rapportert hos pasienter som får immunsuppressive legemidler, inkludert </w:t>
      </w:r>
      <w:r w:rsidR="00813939" w:rsidRPr="00A942F6">
        <w:rPr>
          <w:lang w:val="nb-NO" w:eastAsia="ko-KR"/>
        </w:rPr>
        <w:t>tocilizumab</w:t>
      </w:r>
      <w:r w:rsidRPr="00A942F6">
        <w:rPr>
          <w:lang w:val="nb-NO"/>
        </w:rPr>
        <w:t xml:space="preserve"> (se pkt. 4.8). </w:t>
      </w:r>
      <w:r w:rsidR="00923E68" w:rsidRPr="00A942F6">
        <w:rPr>
          <w:lang w:val="nb-NO"/>
        </w:rPr>
        <w:t>Avtozma</w:t>
      </w:r>
      <w:r w:rsidRPr="00A942F6">
        <w:rPr>
          <w:lang w:val="nb-NO"/>
        </w:rPr>
        <w:t xml:space="preserve">-behandling skal ikke initieres hos pasienter med aktive infeksjoner (se pkt. 4.3). Dersom en pasient utvikler en alvorlig infeksjon bør behandling med </w:t>
      </w:r>
      <w:r w:rsidR="00813939" w:rsidRPr="00A942F6">
        <w:rPr>
          <w:lang w:val="nb-NO" w:eastAsia="ko-KR"/>
        </w:rPr>
        <w:t>tocilizumab</w:t>
      </w:r>
      <w:r w:rsidRPr="00A942F6">
        <w:rPr>
          <w:lang w:val="nb-NO"/>
        </w:rPr>
        <w:t xml:space="preserve"> avbrytes inntil infeksjonen er under kontroll (se pkt. 4.8). Helsepersonell bør utvise forsiktighet ved vurdering av bruk av </w:t>
      </w:r>
      <w:r w:rsidR="00923E68" w:rsidRPr="00A942F6">
        <w:rPr>
          <w:lang w:val="nb-NO"/>
        </w:rPr>
        <w:t>Avtozma</w:t>
      </w:r>
      <w:r w:rsidRPr="00A942F6">
        <w:rPr>
          <w:lang w:val="nb-NO"/>
        </w:rPr>
        <w:t xml:space="preserve"> hos pasienter med residiverende eller kroniske infeksjoner i anamnesen, eller underliggende tilstander (f.eks. divertikulitt, diabetes og interstitiell lungesykdom) som kan predisponere for infeksjoner.</w:t>
      </w:r>
    </w:p>
    <w:p w14:paraId="5D6345AB" w14:textId="77777777" w:rsidR="00C932B0" w:rsidRPr="00A942F6" w:rsidRDefault="00C932B0" w:rsidP="00641834">
      <w:pPr>
        <w:rPr>
          <w:lang w:val="nb-NO"/>
        </w:rPr>
      </w:pPr>
    </w:p>
    <w:p w14:paraId="44748724" w14:textId="1FCFBC39" w:rsidR="00DF56D8" w:rsidRPr="00A942F6" w:rsidRDefault="00DF56D8" w:rsidP="00641834">
      <w:pPr>
        <w:rPr>
          <w:lang w:val="nb-NO"/>
        </w:rPr>
      </w:pPr>
      <w:r w:rsidRPr="00A942F6">
        <w:rPr>
          <w:lang w:val="nb-NO"/>
        </w:rPr>
        <w:t xml:space="preserve">Overvåkning for snarlig diagnostisering av alvorlig infeksjon anbefales for pasienter som får immunsuppressiva som </w:t>
      </w:r>
      <w:r w:rsidR="00923E68" w:rsidRPr="00A942F6">
        <w:rPr>
          <w:lang w:val="nb-NO"/>
        </w:rPr>
        <w:t>Avtozma</w:t>
      </w:r>
      <w:r w:rsidRPr="00A942F6">
        <w:rPr>
          <w:lang w:val="nb-NO"/>
        </w:rPr>
        <w:t xml:space="preserve">, da tegn og symptomer på akutt inflammasjon kan reduseres på grunn av suppresjon av akuttfasereaksjonen. Effekten av </w:t>
      </w:r>
      <w:r w:rsidR="00923E68" w:rsidRPr="00A942F6">
        <w:rPr>
          <w:lang w:val="nb-NO"/>
        </w:rPr>
        <w:t>Avtozma</w:t>
      </w:r>
      <w:r w:rsidRPr="00A942F6">
        <w:rPr>
          <w:lang w:val="nb-NO"/>
        </w:rPr>
        <w:t xml:space="preserve"> på C-reaktivt protein (CRP), nøytrofiler og tegn og symptomer på infeksjon skal vurderes når en pasient evalueres for mulig infeksjon. Pasienter, og foreldre/foresatte til sJIA eller pJIA-pasienter, skal instrueres til å kontakte lege umiddelbart dersom symptomer på infeksjon oppstår, for å sikre rask undersøkelse og egnet behandling.</w:t>
      </w:r>
    </w:p>
    <w:p w14:paraId="457137A2" w14:textId="77777777" w:rsidR="00C932B0" w:rsidRPr="00A942F6" w:rsidRDefault="00C932B0" w:rsidP="00641834">
      <w:pPr>
        <w:rPr>
          <w:lang w:val="nb-NO"/>
        </w:rPr>
      </w:pPr>
    </w:p>
    <w:p w14:paraId="23702D9A" w14:textId="77777777" w:rsidR="00DF56D8" w:rsidRPr="00A942F6" w:rsidRDefault="00DF56D8" w:rsidP="00641834">
      <w:pPr>
        <w:pStyle w:val="Style1Iitaic"/>
        <w:rPr>
          <w:lang w:val="nb-NO"/>
        </w:rPr>
      </w:pPr>
      <w:r w:rsidRPr="00A942F6">
        <w:rPr>
          <w:lang w:val="nb-NO"/>
        </w:rPr>
        <w:t>Tuberkulose</w:t>
      </w:r>
    </w:p>
    <w:p w14:paraId="7F17D3B6" w14:textId="380ADA89" w:rsidR="00DF56D8" w:rsidRPr="00A942F6" w:rsidRDefault="00DF56D8" w:rsidP="007E4199">
      <w:pPr>
        <w:rPr>
          <w:lang w:val="nb-NO"/>
        </w:rPr>
      </w:pPr>
      <w:r w:rsidRPr="00A942F6">
        <w:rPr>
          <w:lang w:val="nb-NO"/>
        </w:rPr>
        <w:t xml:space="preserve">Som anbefalt for annen biologisk behandling, bør alle-pasienter screenes for latent tuberkulose (TB)-infeksjon før behandling med </w:t>
      </w:r>
      <w:r w:rsidR="00923E68" w:rsidRPr="00A942F6">
        <w:rPr>
          <w:lang w:val="nb-NO"/>
        </w:rPr>
        <w:t>Avtozma</w:t>
      </w:r>
      <w:r w:rsidRPr="00A942F6">
        <w:rPr>
          <w:lang w:val="nb-NO"/>
        </w:rPr>
        <w:t xml:space="preserve"> startes. Pasienter med latent TB bør behandles med</w:t>
      </w:r>
      <w:r w:rsidR="007E4199">
        <w:rPr>
          <w:lang w:val="nb-NO"/>
        </w:rPr>
        <w:t xml:space="preserve"> </w:t>
      </w:r>
      <w:r w:rsidRPr="00A942F6">
        <w:rPr>
          <w:lang w:val="nb-NO"/>
        </w:rPr>
        <w:t xml:space="preserve">standard antimykobakteriell terapi før </w:t>
      </w:r>
      <w:r w:rsidR="00923E68" w:rsidRPr="00A942F6">
        <w:rPr>
          <w:lang w:val="nb-NO"/>
        </w:rPr>
        <w:t>Avtozma</w:t>
      </w:r>
      <w:r w:rsidRPr="00A942F6">
        <w:rPr>
          <w:lang w:val="nb-NO"/>
        </w:rPr>
        <w:t xml:space="preserve"> initieres. Leger gjøres oppmerksom på risikoen for falske negative tuberkulintester og interferon-gamma-TB-blodprøveresultater, spesielt hos pasienter som er alvorlig syke eller immunsupprimerte.</w:t>
      </w:r>
    </w:p>
    <w:p w14:paraId="5021EE85" w14:textId="77777777" w:rsidR="00C932B0" w:rsidRPr="00A942F6" w:rsidRDefault="00C932B0" w:rsidP="00641834">
      <w:pPr>
        <w:rPr>
          <w:lang w:val="nb-NO"/>
        </w:rPr>
      </w:pPr>
    </w:p>
    <w:p w14:paraId="40C83278" w14:textId="136E9051" w:rsidR="00DF56D8" w:rsidRPr="00A942F6" w:rsidRDefault="00DF56D8" w:rsidP="00641834">
      <w:pPr>
        <w:rPr>
          <w:lang w:val="nb-NO"/>
        </w:rPr>
      </w:pPr>
      <w:r w:rsidRPr="00A942F6">
        <w:rPr>
          <w:lang w:val="nb-NO"/>
        </w:rPr>
        <w:t xml:space="preserve">Pasienter, og foreldre/foresatte til sJIA eller pJIA-pasienter, skal instrueres til å oppsøke lege dersom tegn og symptomer (f.eks. vedvarende hoste, tæring/vekttap, lavgradig feber) som kan tyde på at en tuberkuloseinfeksjon oppstår under eller etter behandling med </w:t>
      </w:r>
      <w:r w:rsidR="00923E68" w:rsidRPr="00A942F6">
        <w:rPr>
          <w:lang w:val="nb-NO"/>
        </w:rPr>
        <w:t>Avtozma</w:t>
      </w:r>
      <w:r w:rsidRPr="00A942F6">
        <w:rPr>
          <w:lang w:val="nb-NO"/>
        </w:rPr>
        <w:t>.</w:t>
      </w:r>
    </w:p>
    <w:p w14:paraId="5B44EA60" w14:textId="77777777" w:rsidR="00DF56D8" w:rsidRPr="00A942F6" w:rsidRDefault="00DF56D8" w:rsidP="00641834">
      <w:pPr>
        <w:rPr>
          <w:lang w:val="nb-NO"/>
        </w:rPr>
      </w:pPr>
    </w:p>
    <w:p w14:paraId="7DE05B55" w14:textId="77777777" w:rsidR="00DF56D8" w:rsidRPr="00A942F6" w:rsidRDefault="00DF56D8" w:rsidP="00641834">
      <w:pPr>
        <w:pStyle w:val="Style1Iitaic"/>
        <w:rPr>
          <w:lang w:val="nb-NO"/>
        </w:rPr>
      </w:pPr>
      <w:r w:rsidRPr="00A942F6">
        <w:rPr>
          <w:lang w:val="nb-NO"/>
        </w:rPr>
        <w:t>Viral reaktivering</w:t>
      </w:r>
    </w:p>
    <w:p w14:paraId="231CD2C0" w14:textId="13A31F09" w:rsidR="00DF56D8" w:rsidRPr="00A942F6" w:rsidRDefault="00DF56D8" w:rsidP="00641834">
      <w:pPr>
        <w:rPr>
          <w:lang w:val="nb-NO"/>
        </w:rPr>
      </w:pPr>
      <w:r w:rsidRPr="00A942F6">
        <w:rPr>
          <w:lang w:val="nb-NO"/>
        </w:rPr>
        <w:t xml:space="preserve">Viral reaktivering (f.eks. hepatitt B-virus) er blitt rapportert ved biologisk terapi for RA. I kliniske studier med </w:t>
      </w:r>
      <w:r w:rsidR="00813939" w:rsidRPr="00A942F6">
        <w:rPr>
          <w:lang w:val="nb-NO" w:eastAsia="ko-KR"/>
        </w:rPr>
        <w:t>tocilizumab</w:t>
      </w:r>
      <w:r w:rsidRPr="00A942F6">
        <w:rPr>
          <w:lang w:val="nb-NO"/>
        </w:rPr>
        <w:t xml:space="preserve"> ble pasienter som testet positivt for hepatitt ekskludert.</w:t>
      </w:r>
    </w:p>
    <w:p w14:paraId="23CDE7CB" w14:textId="77777777" w:rsidR="00C932B0" w:rsidRPr="00A942F6" w:rsidRDefault="00C932B0" w:rsidP="00641834">
      <w:pPr>
        <w:rPr>
          <w:lang w:val="nb-NO"/>
        </w:rPr>
      </w:pPr>
    </w:p>
    <w:p w14:paraId="2D421AA2" w14:textId="77777777" w:rsidR="00DF56D8" w:rsidRPr="00A942F6" w:rsidRDefault="00DF56D8" w:rsidP="00641834">
      <w:pPr>
        <w:pStyle w:val="Style1Iitaic"/>
        <w:rPr>
          <w:lang w:val="nb-NO"/>
        </w:rPr>
      </w:pPr>
      <w:r w:rsidRPr="00A942F6">
        <w:rPr>
          <w:lang w:val="nb-NO"/>
        </w:rPr>
        <w:t>Komplikasjoner ved divertikulitt</w:t>
      </w:r>
    </w:p>
    <w:p w14:paraId="5C04820E" w14:textId="031E34BB" w:rsidR="00DF56D8" w:rsidRPr="00A942F6" w:rsidRDefault="00DF56D8" w:rsidP="00641834">
      <w:pPr>
        <w:rPr>
          <w:lang w:val="nb-NO"/>
        </w:rPr>
      </w:pPr>
      <w:r w:rsidRPr="00A942F6">
        <w:rPr>
          <w:lang w:val="nb-NO"/>
        </w:rPr>
        <w:t xml:space="preserve">Sjeldne tilfeller av divertikulær perforasjon som komplikasjon ved divertikulitt har vært rapportert hos pasienter behandlet med </w:t>
      </w:r>
      <w:r w:rsidR="00923E68" w:rsidRPr="00A942F6">
        <w:rPr>
          <w:lang w:val="nb-NO"/>
        </w:rPr>
        <w:t>Avtozma</w:t>
      </w:r>
      <w:r w:rsidRPr="00A942F6">
        <w:rPr>
          <w:lang w:val="nb-NO"/>
        </w:rPr>
        <w:t xml:space="preserve">. (se pkt. 4.8). </w:t>
      </w:r>
      <w:r w:rsidR="00923E68" w:rsidRPr="00A942F6">
        <w:rPr>
          <w:lang w:val="nb-NO"/>
        </w:rPr>
        <w:t>Avtozma</w:t>
      </w:r>
      <w:r w:rsidRPr="00A942F6">
        <w:rPr>
          <w:lang w:val="nb-NO"/>
        </w:rPr>
        <w:t xml:space="preserve"> bør brukes med forsiktighet hos pasienter med intestinal ulcerasjon eller divertikulitt i anamnesen. Pasienter med symptomer på komplisert divertikulitt, f.eks. abdominale smerter, blødning og/eller uforklarlig endring i avføringsmønster med feber, skal undersøkes snarest med tanke på divertikulitt som kan være forbundet med gastrointestinal perforasjon.</w:t>
      </w:r>
    </w:p>
    <w:p w14:paraId="33FE3EAF" w14:textId="77777777" w:rsidR="00DF56D8" w:rsidRPr="00A942F6" w:rsidRDefault="00DF56D8" w:rsidP="00641834">
      <w:pPr>
        <w:rPr>
          <w:lang w:val="nb-NO"/>
        </w:rPr>
      </w:pPr>
    </w:p>
    <w:p w14:paraId="3BB7931F" w14:textId="77777777" w:rsidR="00DF56D8" w:rsidRPr="00A942F6" w:rsidRDefault="00DF56D8" w:rsidP="00641834">
      <w:pPr>
        <w:pStyle w:val="Style1Iitaic"/>
        <w:rPr>
          <w:lang w:val="nb-NO"/>
        </w:rPr>
      </w:pPr>
      <w:r w:rsidRPr="00A942F6">
        <w:rPr>
          <w:lang w:val="nb-NO"/>
        </w:rPr>
        <w:lastRenderedPageBreak/>
        <w:t>Hypersensitivitetsreaksjoner</w:t>
      </w:r>
    </w:p>
    <w:p w14:paraId="0C93D40C" w14:textId="78502CE1" w:rsidR="00DF56D8" w:rsidRPr="00A942F6" w:rsidRDefault="00DF56D8" w:rsidP="00641834">
      <w:pPr>
        <w:rPr>
          <w:lang w:val="nb-NO"/>
        </w:rPr>
      </w:pPr>
      <w:r w:rsidRPr="00A942F6">
        <w:rPr>
          <w:lang w:val="nb-NO"/>
        </w:rPr>
        <w:t xml:space="preserve">Alvorlige hypersensitivitetsreaksjoner, inkludert anafylakse, har blitt rapportert i forbindelse med </w:t>
      </w:r>
      <w:r w:rsidR="00813939" w:rsidRPr="00A942F6">
        <w:rPr>
          <w:lang w:val="nb-NO" w:eastAsia="ko-KR"/>
        </w:rPr>
        <w:t>tocilizumab</w:t>
      </w:r>
      <w:r w:rsidRPr="00A942F6">
        <w:rPr>
          <w:lang w:val="nb-NO"/>
        </w:rPr>
        <w:t xml:space="preserve"> (se pkt. 4.8). Slike reaksjoner kan være mer alvorlig og potensielt dødelige for pasienter som har opplevd hypersensitivitetsreaksjoner under tidligere behandling med </w:t>
      </w:r>
      <w:r w:rsidR="00923E68" w:rsidRPr="00A942F6">
        <w:rPr>
          <w:lang w:val="nb-NO"/>
        </w:rPr>
        <w:t>Avtozma</w:t>
      </w:r>
      <w:r w:rsidRPr="00A942F6">
        <w:rPr>
          <w:lang w:val="nb-NO"/>
        </w:rPr>
        <w:t xml:space="preserve">, selv om de har fått premedisinering med kortikosteroider og antihistaminer. Hvis en anafylaktisk reaksjon eller annen alvorlig hypersensitivitetsreaksjon inntreffer, skal behandling med </w:t>
      </w:r>
      <w:r w:rsidR="00923E68" w:rsidRPr="00A942F6">
        <w:rPr>
          <w:lang w:val="nb-NO"/>
        </w:rPr>
        <w:t>Avtozma</w:t>
      </w:r>
      <w:r w:rsidRPr="00A942F6">
        <w:rPr>
          <w:lang w:val="nb-NO"/>
        </w:rPr>
        <w:t xml:space="preserve"> stoppes umiddelbart, egnet behandling initieres, og </w:t>
      </w:r>
      <w:r w:rsidR="00923E68" w:rsidRPr="00A942F6">
        <w:rPr>
          <w:lang w:val="nb-NO"/>
        </w:rPr>
        <w:t>Avtozma</w:t>
      </w:r>
      <w:r w:rsidRPr="00A942F6">
        <w:rPr>
          <w:lang w:val="nb-NO"/>
        </w:rPr>
        <w:t xml:space="preserve"> skal seponeres permanent.</w:t>
      </w:r>
    </w:p>
    <w:p w14:paraId="1E3A8449" w14:textId="77777777" w:rsidR="00DF56D8" w:rsidRPr="00A942F6" w:rsidRDefault="00DF56D8" w:rsidP="00641834">
      <w:pPr>
        <w:rPr>
          <w:lang w:val="nb-NO"/>
        </w:rPr>
      </w:pPr>
    </w:p>
    <w:p w14:paraId="45F1B9A3" w14:textId="77777777" w:rsidR="00DF56D8" w:rsidRPr="00A942F6" w:rsidRDefault="00DF56D8" w:rsidP="00641834">
      <w:pPr>
        <w:pStyle w:val="Style1Iitaic"/>
        <w:rPr>
          <w:lang w:val="nb-NO"/>
        </w:rPr>
      </w:pPr>
      <w:r w:rsidRPr="00A942F6">
        <w:rPr>
          <w:lang w:val="nb-NO"/>
        </w:rPr>
        <w:t>Aktiv leversykdom og nedsatt leverfunksjon</w:t>
      </w:r>
    </w:p>
    <w:p w14:paraId="656B893D" w14:textId="36D6B6DD" w:rsidR="00DF56D8" w:rsidRPr="00A942F6" w:rsidRDefault="00DF56D8" w:rsidP="00641834">
      <w:pPr>
        <w:rPr>
          <w:lang w:val="nb-NO"/>
        </w:rPr>
      </w:pPr>
      <w:r w:rsidRPr="00A942F6">
        <w:rPr>
          <w:lang w:val="nb-NO"/>
        </w:rPr>
        <w:t xml:space="preserve">Behandling med </w:t>
      </w:r>
      <w:r w:rsidR="00923E68" w:rsidRPr="00A942F6">
        <w:rPr>
          <w:lang w:val="nb-NO"/>
        </w:rPr>
        <w:t>Avtozma</w:t>
      </w:r>
      <w:r w:rsidRPr="00A942F6">
        <w:rPr>
          <w:lang w:val="nb-NO"/>
        </w:rPr>
        <w:t>, spesielt ved samtidig bruk av metotreksat, kan være forbundet med forhøyede hepatiske transaminaser. Det bør derfor utvises forsiktighet når behandling av pasienter med aktiv leversykdom eller nedsatt leverfunksjon vurderes (se pkt. 4.2 og 4.8).</w:t>
      </w:r>
    </w:p>
    <w:p w14:paraId="697CDFFF" w14:textId="77777777" w:rsidR="00DF56D8" w:rsidRPr="00A942F6" w:rsidRDefault="00DF56D8" w:rsidP="00641834">
      <w:pPr>
        <w:rPr>
          <w:lang w:val="nb-NO"/>
        </w:rPr>
      </w:pPr>
    </w:p>
    <w:p w14:paraId="76AA169F" w14:textId="77777777" w:rsidR="00DF56D8" w:rsidRPr="00A942F6" w:rsidRDefault="00DF56D8" w:rsidP="00641834">
      <w:pPr>
        <w:pStyle w:val="Style1Iitaic"/>
        <w:rPr>
          <w:lang w:val="nb-NO"/>
        </w:rPr>
      </w:pPr>
      <w:r w:rsidRPr="00A942F6">
        <w:rPr>
          <w:lang w:val="nb-NO"/>
        </w:rPr>
        <w:t>Levertoksisitet</w:t>
      </w:r>
    </w:p>
    <w:p w14:paraId="7632BB8F" w14:textId="29CFA393" w:rsidR="00DF56D8" w:rsidRPr="00A942F6" w:rsidRDefault="00DF56D8" w:rsidP="00641834">
      <w:pPr>
        <w:rPr>
          <w:lang w:val="nb-NO"/>
        </w:rPr>
      </w:pPr>
      <w:r w:rsidRPr="00A942F6">
        <w:rPr>
          <w:lang w:val="nb-NO"/>
        </w:rPr>
        <w:t xml:space="preserve">I forbindelse med </w:t>
      </w:r>
      <w:r w:rsidR="00813939" w:rsidRPr="00A942F6">
        <w:rPr>
          <w:lang w:val="nb-NO" w:eastAsia="ko-KR"/>
        </w:rPr>
        <w:t>tocilizumab-</w:t>
      </w:r>
      <w:r w:rsidRPr="00A942F6">
        <w:rPr>
          <w:lang w:val="nb-NO"/>
        </w:rPr>
        <w:t xml:space="preserve">behandling har det ofte blitt rapportert forbigående eller intermitterende mild til moderat økning av hepatiske transaminaser (se pkt. 4.8). Økt frekvens av forhøyede verdier ble observert når potensielt hepatotoksiske legemidler (f.eks. metotreksat) ble gitt i kombinasjon med </w:t>
      </w:r>
      <w:r w:rsidR="00813939" w:rsidRPr="00A942F6">
        <w:rPr>
          <w:lang w:val="nb-NO" w:eastAsia="ko-KR"/>
        </w:rPr>
        <w:t>tocilizumab</w:t>
      </w:r>
      <w:r w:rsidRPr="00A942F6">
        <w:rPr>
          <w:lang w:val="nb-NO"/>
        </w:rPr>
        <w:t>. Når det er klinisk indisert bør andre leverfunksjonstester, inkludert bilirubin, vurderes.</w:t>
      </w:r>
    </w:p>
    <w:p w14:paraId="13524913" w14:textId="77777777" w:rsidR="00C932B0" w:rsidRPr="00A942F6" w:rsidRDefault="00C932B0" w:rsidP="00641834">
      <w:pPr>
        <w:rPr>
          <w:lang w:val="nb-NO"/>
        </w:rPr>
      </w:pPr>
    </w:p>
    <w:p w14:paraId="4C2A2D24" w14:textId="5FBC9D3F" w:rsidR="0090235C" w:rsidRDefault="00DF56D8" w:rsidP="00641834">
      <w:pPr>
        <w:rPr>
          <w:lang w:val="nb-NO"/>
        </w:rPr>
      </w:pPr>
      <w:r w:rsidRPr="00A942F6">
        <w:rPr>
          <w:lang w:val="nb-NO"/>
        </w:rPr>
        <w:t xml:space="preserve">Det er observert alvorlige tilfeller av legemiddelinduserte leverskader med </w:t>
      </w:r>
      <w:r w:rsidR="00813939" w:rsidRPr="00A942F6">
        <w:rPr>
          <w:lang w:val="nb-NO" w:eastAsia="ko-KR"/>
        </w:rPr>
        <w:t>tocilizumab</w:t>
      </w:r>
      <w:r w:rsidRPr="00A942F6">
        <w:rPr>
          <w:lang w:val="nb-NO"/>
        </w:rPr>
        <w:t xml:space="preserve">, inkludert akutt leversvikt, hepatitt og gulsott (se pkt.4.8). Alvorlig leverskade oppstod fra mellom 2 uker til mer enn 5 år etter oppstart av </w:t>
      </w:r>
      <w:r w:rsidR="00813939" w:rsidRPr="00A942F6">
        <w:rPr>
          <w:lang w:val="nb-NO" w:eastAsia="ko-KR"/>
        </w:rPr>
        <w:t>tocilizumab</w:t>
      </w:r>
      <w:r w:rsidRPr="00A942F6">
        <w:rPr>
          <w:lang w:val="nb-NO"/>
        </w:rPr>
        <w:t>. Tilfeller av leversvikt som resulterte i levertransplantasjon er rapportert. Pasientene skal rådes til å søke medisinsk hjelp øyeblikkelig ved tegn og symptomer på leverskade.</w:t>
      </w:r>
    </w:p>
    <w:p w14:paraId="15D3D20E" w14:textId="77777777" w:rsidR="0090235C" w:rsidRDefault="0090235C" w:rsidP="00641834">
      <w:pPr>
        <w:rPr>
          <w:lang w:val="nb-NO"/>
        </w:rPr>
      </w:pPr>
    </w:p>
    <w:p w14:paraId="56CA1593" w14:textId="61E96735" w:rsidR="00DF56D8" w:rsidRPr="00A942F6" w:rsidRDefault="00DF56D8" w:rsidP="00641834">
      <w:pPr>
        <w:rPr>
          <w:lang w:val="nb-NO"/>
        </w:rPr>
      </w:pPr>
      <w:r w:rsidRPr="00A942F6">
        <w:rPr>
          <w:lang w:val="nb-NO"/>
        </w:rPr>
        <w:t xml:space="preserve">Det bør utvises forsiktighet ved vurdering av initiering av </w:t>
      </w:r>
      <w:r w:rsidR="00923E68" w:rsidRPr="00A942F6">
        <w:rPr>
          <w:lang w:val="nb-NO"/>
        </w:rPr>
        <w:t>Avtozma</w:t>
      </w:r>
      <w:r w:rsidRPr="00A942F6">
        <w:rPr>
          <w:lang w:val="nb-NO"/>
        </w:rPr>
        <w:t>-behandling hos pasienter med forhøyet ALAT eller ASAT &gt; 1,5 x øvre normalverdi. Hos pasienter med forhøyet ALAT eller ASAT &gt; 5 x øvre normalverdi ved baseline anbefales ikke behandling.</w:t>
      </w:r>
    </w:p>
    <w:p w14:paraId="21AA80AC" w14:textId="77777777" w:rsidR="00DF56D8" w:rsidRPr="00A942F6" w:rsidRDefault="00DF56D8" w:rsidP="00641834">
      <w:pPr>
        <w:rPr>
          <w:lang w:val="nb-NO"/>
        </w:rPr>
      </w:pPr>
    </w:p>
    <w:p w14:paraId="3019A28E" w14:textId="1CF4A2F4" w:rsidR="00DF56D8" w:rsidRPr="00A942F6" w:rsidRDefault="00DF56D8" w:rsidP="0090235C">
      <w:pPr>
        <w:rPr>
          <w:lang w:val="nb-NO"/>
        </w:rPr>
      </w:pPr>
      <w:r w:rsidRPr="00A942F6">
        <w:rPr>
          <w:lang w:val="nb-NO"/>
        </w:rPr>
        <w:t>Hos RA-, GCA-, sJIA og pJIA-pasienter bør ALAT/ASAT måles hver 4. til 8. uke i de første</w:t>
      </w:r>
      <w:r w:rsidR="007E4199">
        <w:rPr>
          <w:lang w:val="nb-NO"/>
        </w:rPr>
        <w:t xml:space="preserve"> </w:t>
      </w:r>
      <w:r w:rsidRPr="00A942F6">
        <w:rPr>
          <w:lang w:val="nb-NO"/>
        </w:rPr>
        <w:t>6</w:t>
      </w:r>
      <w:r w:rsidR="007E4199">
        <w:rPr>
          <w:lang w:val="nb-NO"/>
        </w:rPr>
        <w:t> </w:t>
      </w:r>
      <w:r w:rsidRPr="00A942F6">
        <w:rPr>
          <w:lang w:val="nb-NO"/>
        </w:rPr>
        <w:t xml:space="preserve">månedene av behandlingen, og deretter hver 12. uke. Anbefalinger om dosejustering og seponering av </w:t>
      </w:r>
      <w:r w:rsidR="00923E68" w:rsidRPr="00A942F6">
        <w:rPr>
          <w:lang w:val="nb-NO"/>
        </w:rPr>
        <w:t>Avtozma</w:t>
      </w:r>
      <w:r w:rsidRPr="00A942F6">
        <w:rPr>
          <w:lang w:val="nb-NO"/>
        </w:rPr>
        <w:t xml:space="preserve"> basert på transaminaseverdier er gitt i pkt. 4.2. Ved ALAT- eller ASAT-forhøyelser&gt; 3-5 x øvre normalverdi, bør behandling med </w:t>
      </w:r>
      <w:r w:rsidR="00923E68" w:rsidRPr="00A942F6">
        <w:rPr>
          <w:lang w:val="nb-NO"/>
        </w:rPr>
        <w:t>Avtozma</w:t>
      </w:r>
      <w:r w:rsidRPr="00A942F6">
        <w:rPr>
          <w:lang w:val="nb-NO"/>
        </w:rPr>
        <w:t xml:space="preserve"> avbrytes.</w:t>
      </w:r>
    </w:p>
    <w:p w14:paraId="627DEAA4" w14:textId="77777777" w:rsidR="00DF56D8" w:rsidRPr="00A942F6" w:rsidRDefault="00DF56D8" w:rsidP="00641834">
      <w:pPr>
        <w:rPr>
          <w:lang w:val="nb-NO"/>
        </w:rPr>
      </w:pPr>
    </w:p>
    <w:p w14:paraId="139F733E" w14:textId="77777777" w:rsidR="00DF56D8" w:rsidRPr="00A942F6" w:rsidRDefault="00DF56D8" w:rsidP="00641834">
      <w:pPr>
        <w:pStyle w:val="Style1Iitaic"/>
        <w:rPr>
          <w:lang w:val="nb-NO"/>
        </w:rPr>
      </w:pPr>
      <w:r w:rsidRPr="00A942F6">
        <w:rPr>
          <w:lang w:val="nb-NO"/>
        </w:rPr>
        <w:t>Hematologiske forandringer</w:t>
      </w:r>
    </w:p>
    <w:p w14:paraId="6714C6F2" w14:textId="701C3B7C" w:rsidR="00DF56D8" w:rsidRPr="00A942F6" w:rsidRDefault="00DF56D8" w:rsidP="00641834">
      <w:pPr>
        <w:rPr>
          <w:lang w:val="nb-NO"/>
        </w:rPr>
      </w:pPr>
      <w:r w:rsidRPr="00A942F6">
        <w:rPr>
          <w:lang w:val="nb-NO"/>
        </w:rPr>
        <w:t xml:space="preserve">Reduserte verdier for nøytrofile granulocytter og trombocytter har oppstått ved behandling med </w:t>
      </w:r>
      <w:r w:rsidR="00813939" w:rsidRPr="00A942F6">
        <w:rPr>
          <w:lang w:val="nb-NO" w:eastAsia="ko-KR"/>
        </w:rPr>
        <w:t>tocilizumab</w:t>
      </w:r>
      <w:r w:rsidRPr="00A942F6">
        <w:rPr>
          <w:lang w:val="nb-NO"/>
        </w:rPr>
        <w:t xml:space="preserve"> 8 mg/kg i kombinasjon med metotreksat (se pkt. 4.8). Det kan være økt risiko for nøytropeni hos pasienter som tidligere er behandlet med en TNF-antagonist.</w:t>
      </w:r>
    </w:p>
    <w:p w14:paraId="23211F50" w14:textId="77777777" w:rsidR="00DF56D8" w:rsidRPr="00A942F6" w:rsidRDefault="00DF56D8" w:rsidP="00641834">
      <w:pPr>
        <w:rPr>
          <w:lang w:val="nb-NO"/>
        </w:rPr>
      </w:pPr>
    </w:p>
    <w:p w14:paraId="48BAFB08" w14:textId="45DBD169" w:rsidR="00DF56D8" w:rsidRPr="00A942F6" w:rsidRDefault="00DF56D8" w:rsidP="00641834">
      <w:pPr>
        <w:rPr>
          <w:lang w:val="nb-NO"/>
        </w:rPr>
      </w:pPr>
      <w:r w:rsidRPr="00A942F6">
        <w:rPr>
          <w:lang w:val="nb-NO"/>
        </w:rPr>
        <w:t xml:space="preserve">For pasienter som ikke tidligere er behandlet med </w:t>
      </w:r>
      <w:r w:rsidR="00813939" w:rsidRPr="00A942F6">
        <w:rPr>
          <w:lang w:val="nb-NO" w:eastAsia="ko-KR"/>
        </w:rPr>
        <w:t>tocilizumab</w:t>
      </w:r>
      <w:r w:rsidRPr="00A942F6">
        <w:rPr>
          <w:lang w:val="nb-NO"/>
        </w:rPr>
        <w:t xml:space="preserve"> er initiering ikke anbefalt for pasienter med ANC under 2 x 10</w:t>
      </w:r>
      <w:r w:rsidRPr="00A942F6">
        <w:rPr>
          <w:vertAlign w:val="superscript"/>
          <w:lang w:val="nb-NO"/>
        </w:rPr>
        <w:t>9</w:t>
      </w:r>
      <w:r w:rsidRPr="00A942F6">
        <w:rPr>
          <w:lang w:val="nb-NO"/>
        </w:rPr>
        <w:t xml:space="preserve">/l. Det bør utvises forsiktighet ved vurdering av initiering av </w:t>
      </w:r>
      <w:r w:rsidR="00813939" w:rsidRPr="00A942F6">
        <w:rPr>
          <w:lang w:val="nb-NO" w:eastAsia="ko-KR"/>
        </w:rPr>
        <w:t>tocilizumab</w:t>
      </w:r>
      <w:r w:rsidRPr="00A942F6">
        <w:rPr>
          <w:lang w:val="nb-NO"/>
        </w:rPr>
        <w:t>-behandling hos pasienter med lave verdier for trombocytter (trombocyttall &lt; 100 x 10</w:t>
      </w:r>
      <w:r w:rsidRPr="00A942F6">
        <w:rPr>
          <w:vertAlign w:val="superscript"/>
          <w:lang w:val="nb-NO"/>
        </w:rPr>
        <w:t>3</w:t>
      </w:r>
      <w:r w:rsidRPr="00A942F6">
        <w:rPr>
          <w:lang w:val="nb-NO"/>
        </w:rPr>
        <w:t>/µl). Uavbrutt behandling frarådes hos pasienter som utvikler ANC &lt; 0,5 x 10</w:t>
      </w:r>
      <w:r w:rsidRPr="00A942F6">
        <w:rPr>
          <w:vertAlign w:val="superscript"/>
          <w:lang w:val="nb-NO"/>
        </w:rPr>
        <w:t>9</w:t>
      </w:r>
      <w:r w:rsidRPr="00A942F6">
        <w:rPr>
          <w:lang w:val="nb-NO"/>
        </w:rPr>
        <w:t>/l eller trombocyttall &lt; 50 x 10</w:t>
      </w:r>
      <w:r w:rsidRPr="00A942F6">
        <w:rPr>
          <w:vertAlign w:val="superscript"/>
          <w:lang w:val="nb-NO"/>
        </w:rPr>
        <w:t>3</w:t>
      </w:r>
      <w:r w:rsidRPr="00A942F6">
        <w:rPr>
          <w:lang w:val="nb-NO"/>
        </w:rPr>
        <w:t>/µl.</w:t>
      </w:r>
    </w:p>
    <w:p w14:paraId="483D39DF" w14:textId="77777777" w:rsidR="00DF56D8" w:rsidRPr="00A942F6" w:rsidRDefault="00DF56D8" w:rsidP="00641834">
      <w:pPr>
        <w:rPr>
          <w:lang w:val="nb-NO"/>
        </w:rPr>
      </w:pPr>
    </w:p>
    <w:p w14:paraId="6FE2034A" w14:textId="1CFD939F" w:rsidR="00DF56D8" w:rsidRPr="00A942F6" w:rsidRDefault="00DF56D8" w:rsidP="00641834">
      <w:pPr>
        <w:rPr>
          <w:lang w:val="nb-NO"/>
        </w:rPr>
      </w:pPr>
      <w:r w:rsidRPr="00A942F6">
        <w:rPr>
          <w:lang w:val="nb-NO"/>
        </w:rPr>
        <w:t xml:space="preserve">Alvorlig nøytropeni kan være assosiert med økt risiko for alvorlige infeksjoner, selv om det hittil ikke har vært noen klar assosiasjon mellom nedgang i nøytrofiler og forekomst av alvorlige infeksjoner i kliniske studier med </w:t>
      </w:r>
      <w:r w:rsidR="00813939" w:rsidRPr="00A942F6">
        <w:rPr>
          <w:lang w:val="nb-NO" w:eastAsia="ko-KR"/>
        </w:rPr>
        <w:t>tocilizumab</w:t>
      </w:r>
      <w:r w:rsidRPr="00A942F6">
        <w:rPr>
          <w:lang w:val="nb-NO"/>
        </w:rPr>
        <w:t>.</w:t>
      </w:r>
    </w:p>
    <w:p w14:paraId="4CA52192" w14:textId="77777777" w:rsidR="00C932B0" w:rsidRPr="00A942F6" w:rsidRDefault="00C932B0" w:rsidP="00641834">
      <w:pPr>
        <w:rPr>
          <w:lang w:val="nb-NO"/>
        </w:rPr>
      </w:pPr>
    </w:p>
    <w:p w14:paraId="7605C942" w14:textId="77777777" w:rsidR="00DF56D8" w:rsidRPr="00A942F6" w:rsidRDefault="00DF56D8" w:rsidP="00641834">
      <w:pPr>
        <w:rPr>
          <w:lang w:val="nb-NO"/>
        </w:rPr>
      </w:pPr>
      <w:r w:rsidRPr="00A942F6">
        <w:rPr>
          <w:lang w:val="nb-NO"/>
        </w:rPr>
        <w:t>Hos RA- og GCA-pasienter bør nøytrofile granulocytter og trombocytter monitoreres 4 til 8 uker etter behandlingsstart og deretter i henhold til standard klinisk praksis. Anbefalinger om dosejustering basert på ANC og trombocyttall er gitt i pkt. 4.2.</w:t>
      </w:r>
    </w:p>
    <w:p w14:paraId="5706E668" w14:textId="77777777" w:rsidR="00DF56D8" w:rsidRPr="00A942F6" w:rsidRDefault="00DF56D8" w:rsidP="00641834">
      <w:pPr>
        <w:rPr>
          <w:lang w:val="nb-NO"/>
        </w:rPr>
      </w:pPr>
    </w:p>
    <w:p w14:paraId="3EC20051" w14:textId="77777777" w:rsidR="00DF56D8" w:rsidRPr="00A942F6" w:rsidRDefault="00DF56D8" w:rsidP="00641834">
      <w:pPr>
        <w:rPr>
          <w:lang w:val="nb-NO"/>
        </w:rPr>
      </w:pPr>
      <w:r w:rsidRPr="00A942F6">
        <w:rPr>
          <w:lang w:val="nb-NO"/>
        </w:rPr>
        <w:t>Hos sJIA- og pJIA-pasienter bør nøytrofile granulocytter og trombocytter monitoreres ved tidspunkt for andre administrering, og deretter i henhold til god klinisk praksis (se pkt. 4.2).</w:t>
      </w:r>
    </w:p>
    <w:p w14:paraId="339309C7" w14:textId="77777777" w:rsidR="00DF56D8" w:rsidRPr="00A942F6" w:rsidRDefault="00DF56D8" w:rsidP="00641834">
      <w:pPr>
        <w:rPr>
          <w:lang w:val="nb-NO"/>
        </w:rPr>
      </w:pPr>
    </w:p>
    <w:p w14:paraId="2AEAF5C7" w14:textId="77777777" w:rsidR="00DF56D8" w:rsidRPr="00A942F6" w:rsidRDefault="00DF56D8" w:rsidP="00641834">
      <w:pPr>
        <w:pStyle w:val="Style1Iitaic"/>
        <w:rPr>
          <w:lang w:val="nb-NO"/>
        </w:rPr>
      </w:pPr>
      <w:r w:rsidRPr="00A942F6">
        <w:rPr>
          <w:lang w:val="nb-NO"/>
        </w:rPr>
        <w:lastRenderedPageBreak/>
        <w:t>Lipidverdier</w:t>
      </w:r>
    </w:p>
    <w:p w14:paraId="12E3AF02" w14:textId="4714F282" w:rsidR="00DF56D8" w:rsidRPr="00A942F6" w:rsidRDefault="00DF56D8" w:rsidP="00641834">
      <w:pPr>
        <w:rPr>
          <w:lang w:val="nb-NO"/>
        </w:rPr>
      </w:pPr>
      <w:r w:rsidRPr="00A942F6">
        <w:rPr>
          <w:lang w:val="nb-NO"/>
        </w:rPr>
        <w:t xml:space="preserve">Økning i lipidverdier inkludert totalkolesterol, LDL-kolesterol, HDL-kolesterol og triglyserider har vært observert hos pasienter behandlet med </w:t>
      </w:r>
      <w:r w:rsidR="00813939" w:rsidRPr="00A942F6">
        <w:rPr>
          <w:lang w:val="nb-NO"/>
        </w:rPr>
        <w:t>tocilizumab</w:t>
      </w:r>
      <w:r w:rsidRPr="00A942F6">
        <w:rPr>
          <w:lang w:val="nb-NO"/>
        </w:rPr>
        <w:t xml:space="preserve"> (se pkt. 4.8). Hos flertallet av pasientene var det ikke tegn på økt forekomst av aterogenese, og pasienter med økt totalkolesterol responderte på behandling med lipidsenkende legemidler.</w:t>
      </w:r>
    </w:p>
    <w:p w14:paraId="43BD9FCA" w14:textId="77777777" w:rsidR="00C932B0" w:rsidRPr="00A942F6" w:rsidRDefault="00C932B0" w:rsidP="00641834">
      <w:pPr>
        <w:rPr>
          <w:lang w:val="nb-NO"/>
        </w:rPr>
      </w:pPr>
    </w:p>
    <w:p w14:paraId="5CA7EDD6" w14:textId="09A84477" w:rsidR="00DF56D8" w:rsidRPr="00A942F6" w:rsidRDefault="00DF56D8" w:rsidP="00641834">
      <w:pPr>
        <w:rPr>
          <w:lang w:val="nb-NO"/>
        </w:rPr>
      </w:pPr>
      <w:r w:rsidRPr="00A942F6">
        <w:rPr>
          <w:lang w:val="nb-NO"/>
        </w:rPr>
        <w:t xml:space="preserve">Hos RA- og GCA-pasienter bør måling av lipidverdier gjøres 4 til 8 uker etter at behandling med </w:t>
      </w:r>
      <w:r w:rsidR="00813939" w:rsidRPr="00A942F6">
        <w:rPr>
          <w:lang w:val="nb-NO"/>
        </w:rPr>
        <w:t>tocilizumab</w:t>
      </w:r>
      <w:r w:rsidRPr="00A942F6">
        <w:rPr>
          <w:lang w:val="nb-NO"/>
        </w:rPr>
        <w:t xml:space="preserve"> er startet. Pasienter bør behandles for hyperlipidemi i henhold til lokale kliniske retningslinjer.</w:t>
      </w:r>
    </w:p>
    <w:p w14:paraId="315C0256" w14:textId="77777777" w:rsidR="00DF56D8" w:rsidRPr="00A942F6" w:rsidRDefault="00DF56D8" w:rsidP="00641834">
      <w:pPr>
        <w:rPr>
          <w:lang w:val="nb-NO"/>
        </w:rPr>
      </w:pPr>
    </w:p>
    <w:p w14:paraId="31D25DAF" w14:textId="77777777" w:rsidR="00DF56D8" w:rsidRPr="00A942F6" w:rsidRDefault="00DF56D8" w:rsidP="00641834">
      <w:pPr>
        <w:pStyle w:val="Style1Iitaic"/>
        <w:rPr>
          <w:lang w:val="nb-NO"/>
        </w:rPr>
      </w:pPr>
      <w:r w:rsidRPr="00A942F6">
        <w:rPr>
          <w:lang w:val="nb-NO"/>
        </w:rPr>
        <w:t>Nevrologiske sykdommer</w:t>
      </w:r>
    </w:p>
    <w:p w14:paraId="6E60BE24" w14:textId="1757378A" w:rsidR="00DF56D8" w:rsidRPr="00A942F6" w:rsidRDefault="00DF56D8" w:rsidP="00641834">
      <w:pPr>
        <w:rPr>
          <w:lang w:val="nb-NO"/>
        </w:rPr>
      </w:pPr>
      <w:r w:rsidRPr="00A942F6">
        <w:rPr>
          <w:lang w:val="nb-NO"/>
        </w:rPr>
        <w:t xml:space="preserve">Behandlende lege bør være oppmerksom på symptomer på nyoppstått demyeliniserende sykdom i sentralnervesystemet. Risiko for slik demyeliniserende sykdom ved bruk av </w:t>
      </w:r>
      <w:r w:rsidR="00813939" w:rsidRPr="00A942F6">
        <w:rPr>
          <w:lang w:val="nb-NO"/>
        </w:rPr>
        <w:t>tocilizumab</w:t>
      </w:r>
      <w:r w:rsidRPr="00A942F6">
        <w:rPr>
          <w:lang w:val="nb-NO"/>
        </w:rPr>
        <w:t xml:space="preserve"> er ukjent på det nåværende tidspunkt.</w:t>
      </w:r>
    </w:p>
    <w:p w14:paraId="106B546E" w14:textId="77777777" w:rsidR="00DF56D8" w:rsidRPr="00A942F6" w:rsidRDefault="00DF56D8" w:rsidP="00641834">
      <w:pPr>
        <w:rPr>
          <w:lang w:val="nb-NO"/>
        </w:rPr>
      </w:pPr>
    </w:p>
    <w:p w14:paraId="0092C26D" w14:textId="77777777" w:rsidR="00DF56D8" w:rsidRPr="00A942F6" w:rsidRDefault="00DF56D8" w:rsidP="00641834">
      <w:pPr>
        <w:pStyle w:val="Style1Iitaic"/>
        <w:rPr>
          <w:lang w:val="nb-NO"/>
        </w:rPr>
      </w:pPr>
      <w:r w:rsidRPr="00A942F6">
        <w:rPr>
          <w:lang w:val="nb-NO"/>
        </w:rPr>
        <w:t>Maligne lidelser</w:t>
      </w:r>
    </w:p>
    <w:p w14:paraId="1939877F" w14:textId="77777777" w:rsidR="00DF56D8" w:rsidRPr="00A942F6" w:rsidRDefault="00DF56D8" w:rsidP="00641834">
      <w:pPr>
        <w:rPr>
          <w:lang w:val="nb-NO"/>
        </w:rPr>
      </w:pPr>
      <w:r w:rsidRPr="00A942F6">
        <w:rPr>
          <w:lang w:val="nb-NO"/>
        </w:rPr>
        <w:t>Pasienter med RA har økt risiko for maligne lidelser. Immunmodulerende legemidler kan øke risikoen for malignitet.</w:t>
      </w:r>
    </w:p>
    <w:p w14:paraId="4F0FD9F2" w14:textId="77777777" w:rsidR="00C932B0" w:rsidRPr="00A942F6" w:rsidRDefault="00C932B0" w:rsidP="00641834">
      <w:pPr>
        <w:rPr>
          <w:lang w:val="nb-NO"/>
        </w:rPr>
      </w:pPr>
    </w:p>
    <w:p w14:paraId="2E28F0D8" w14:textId="77777777" w:rsidR="00DF56D8" w:rsidRPr="00A942F6" w:rsidRDefault="00DF56D8" w:rsidP="00641834">
      <w:pPr>
        <w:pStyle w:val="Style1Iitaic"/>
        <w:rPr>
          <w:lang w:val="nb-NO"/>
        </w:rPr>
      </w:pPr>
      <w:r w:rsidRPr="00A942F6">
        <w:rPr>
          <w:lang w:val="nb-NO"/>
        </w:rPr>
        <w:t>Vaksinasjon</w:t>
      </w:r>
    </w:p>
    <w:p w14:paraId="73AC5B0B" w14:textId="67BFA501" w:rsidR="00DF56D8" w:rsidRPr="00A942F6" w:rsidRDefault="00DF56D8" w:rsidP="00641834">
      <w:pPr>
        <w:rPr>
          <w:lang w:val="nb-NO"/>
        </w:rPr>
      </w:pPr>
      <w:r w:rsidRPr="00A942F6">
        <w:rPr>
          <w:lang w:val="nb-NO"/>
        </w:rPr>
        <w:t xml:space="preserve">Levende og svekkede levende vaksiner bør ikke gis samtidig med </w:t>
      </w:r>
      <w:r w:rsidR="00813939" w:rsidRPr="00A942F6">
        <w:rPr>
          <w:lang w:val="nb-NO"/>
        </w:rPr>
        <w:t>tocilizumab</w:t>
      </w:r>
      <w:r w:rsidRPr="00A942F6">
        <w:rPr>
          <w:lang w:val="nb-NO"/>
        </w:rPr>
        <w:t xml:space="preserve">, da klinisk sikkerhet ikke er fastslått. I en randomisert, åpen studie, oppnådde voksne RA-pasienter behandlet med </w:t>
      </w:r>
      <w:r w:rsidR="00813939" w:rsidRPr="00A942F6">
        <w:rPr>
          <w:lang w:val="nb-NO"/>
        </w:rPr>
        <w:t>tocilizumab</w:t>
      </w:r>
      <w:r w:rsidRPr="00A942F6">
        <w:rPr>
          <w:lang w:val="nb-NO"/>
        </w:rPr>
        <w:t xml:space="preserve"> og metotreksat en effektiv responsrate mot vaksiner for både 23-verdig pneumokokkpolysakkarid og tetanustoksoid. Dette var sammenlignbart med responsen sett hos pasienter som kun fikk metotreksat. Det anbefales at alle pasienter, særlig eldre pasienter, er ajour med hensyn til all immunisering i samsvar med gjeldende retningslinjer for immunisering, før oppstart av </w:t>
      </w:r>
      <w:r w:rsidR="00813939" w:rsidRPr="00A942F6">
        <w:rPr>
          <w:lang w:val="nb-NO"/>
        </w:rPr>
        <w:t>tocilizumab</w:t>
      </w:r>
      <w:r w:rsidRPr="00A942F6">
        <w:rPr>
          <w:lang w:val="nb-NO"/>
        </w:rPr>
        <w:t xml:space="preserve">-behandling. Intervallet mellom levende vaksiner og oppstart av </w:t>
      </w:r>
      <w:r w:rsidR="00CB7EC4" w:rsidRPr="00A942F6">
        <w:rPr>
          <w:lang w:val="nb-NO"/>
        </w:rPr>
        <w:t>tocilizumab</w:t>
      </w:r>
      <w:r w:rsidRPr="00A942F6">
        <w:rPr>
          <w:lang w:val="nb-NO"/>
        </w:rPr>
        <w:t>-behandling bør være i samsvar med gjeldende retningslinjer for vaksinering og immunsuppressive midler.</w:t>
      </w:r>
    </w:p>
    <w:p w14:paraId="362DA743" w14:textId="77777777" w:rsidR="00C932B0" w:rsidRPr="00A942F6" w:rsidRDefault="00C932B0" w:rsidP="00641834">
      <w:pPr>
        <w:rPr>
          <w:lang w:val="nb-NO"/>
        </w:rPr>
      </w:pPr>
    </w:p>
    <w:p w14:paraId="10768F55" w14:textId="77777777" w:rsidR="00DF56D8" w:rsidRPr="00A942F6" w:rsidRDefault="00DF56D8" w:rsidP="00641834">
      <w:pPr>
        <w:pStyle w:val="Style1Iitaic"/>
        <w:rPr>
          <w:lang w:val="nb-NO"/>
        </w:rPr>
      </w:pPr>
      <w:r w:rsidRPr="00A942F6">
        <w:rPr>
          <w:lang w:val="nb-NO"/>
        </w:rPr>
        <w:t>Kardiovaskulær risiko</w:t>
      </w:r>
    </w:p>
    <w:p w14:paraId="2F656920" w14:textId="77777777" w:rsidR="00DF56D8" w:rsidRPr="00A942F6" w:rsidRDefault="00DF56D8" w:rsidP="00641834">
      <w:pPr>
        <w:rPr>
          <w:lang w:val="nb-NO"/>
        </w:rPr>
      </w:pPr>
      <w:r w:rsidRPr="00A942F6">
        <w:rPr>
          <w:lang w:val="nb-NO"/>
        </w:rPr>
        <w:t>Pasienter med RA har økt risiko for kardiovaskulære sykdommer og risikofaktorer (f.eks. hypertensjon, hyperlipidemi) bør håndteres i henhold til klinisk praksis.</w:t>
      </w:r>
    </w:p>
    <w:p w14:paraId="607EC1C5" w14:textId="77777777" w:rsidR="00C932B0" w:rsidRPr="00A942F6" w:rsidRDefault="00C932B0" w:rsidP="00641834">
      <w:pPr>
        <w:rPr>
          <w:lang w:val="nb-NO"/>
        </w:rPr>
      </w:pPr>
    </w:p>
    <w:p w14:paraId="79DC97E7" w14:textId="77777777" w:rsidR="00DF56D8" w:rsidRPr="00A942F6" w:rsidRDefault="00DF56D8" w:rsidP="00641834">
      <w:pPr>
        <w:pStyle w:val="Style1Iitaic"/>
        <w:rPr>
          <w:lang w:val="nb-NO"/>
        </w:rPr>
      </w:pPr>
      <w:r w:rsidRPr="00A942F6">
        <w:rPr>
          <w:lang w:val="nb-NO"/>
        </w:rPr>
        <w:t>Kombinasjon med TNF-antagonister</w:t>
      </w:r>
    </w:p>
    <w:p w14:paraId="1EBC63FE" w14:textId="6E1C3B43" w:rsidR="00DF56D8" w:rsidRPr="00A942F6" w:rsidRDefault="00DF56D8" w:rsidP="00641834">
      <w:pPr>
        <w:rPr>
          <w:lang w:val="nb-NO"/>
        </w:rPr>
      </w:pPr>
      <w:r w:rsidRPr="00A942F6">
        <w:rPr>
          <w:lang w:val="nb-NO"/>
        </w:rPr>
        <w:t xml:space="preserve">Det er ingen erfaring med bruk av </w:t>
      </w:r>
      <w:r w:rsidR="00923E68" w:rsidRPr="00A942F6">
        <w:rPr>
          <w:lang w:val="nb-NO"/>
        </w:rPr>
        <w:t>Avtozma</w:t>
      </w:r>
      <w:r w:rsidRPr="00A942F6">
        <w:rPr>
          <w:lang w:val="nb-NO"/>
        </w:rPr>
        <w:t xml:space="preserve"> kombinert med TNF-antagonister eller annen biologisk behandling for RA-pasienter. Det anbefales ikke å bruke </w:t>
      </w:r>
      <w:r w:rsidR="00923E68" w:rsidRPr="00A942F6">
        <w:rPr>
          <w:lang w:val="nb-NO"/>
        </w:rPr>
        <w:t>Avtozma</w:t>
      </w:r>
      <w:r w:rsidRPr="00A942F6">
        <w:rPr>
          <w:lang w:val="nb-NO"/>
        </w:rPr>
        <w:t xml:space="preserve"> sammen med andre biologiske legemidler.</w:t>
      </w:r>
    </w:p>
    <w:p w14:paraId="3C54D07B" w14:textId="77777777" w:rsidR="00DF56D8" w:rsidRPr="00A942F6" w:rsidRDefault="00DF56D8" w:rsidP="00641834">
      <w:pPr>
        <w:rPr>
          <w:lang w:val="nb-NO"/>
        </w:rPr>
      </w:pPr>
    </w:p>
    <w:p w14:paraId="1CCEC3EB" w14:textId="77777777" w:rsidR="00DF56D8" w:rsidRPr="00A942F6" w:rsidRDefault="00DF56D8" w:rsidP="00641834">
      <w:pPr>
        <w:pStyle w:val="Style1Iitaic"/>
        <w:rPr>
          <w:lang w:val="nb-NO"/>
        </w:rPr>
      </w:pPr>
      <w:r w:rsidRPr="00A942F6">
        <w:rPr>
          <w:lang w:val="nb-NO"/>
        </w:rPr>
        <w:t>GCA</w:t>
      </w:r>
    </w:p>
    <w:p w14:paraId="433EE1EB" w14:textId="4C1A678F" w:rsidR="00DF56D8" w:rsidRPr="00A942F6" w:rsidRDefault="00DF56D8" w:rsidP="00641834">
      <w:pPr>
        <w:rPr>
          <w:lang w:val="nb-NO"/>
        </w:rPr>
      </w:pPr>
      <w:r w:rsidRPr="00A942F6">
        <w:rPr>
          <w:lang w:val="nb-NO"/>
        </w:rPr>
        <w:t xml:space="preserve">Monoterapi med </w:t>
      </w:r>
      <w:r w:rsidR="00923E68" w:rsidRPr="00A942F6">
        <w:rPr>
          <w:lang w:val="nb-NO"/>
        </w:rPr>
        <w:t>Avtozma</w:t>
      </w:r>
      <w:r w:rsidRPr="00A942F6">
        <w:rPr>
          <w:lang w:val="nb-NO"/>
        </w:rPr>
        <w:t xml:space="preserve"> bør ikke brukes til behandling av akutt tilbakefall siden effekten av dette ikke er fastslått. Glukokortikoider bør gis i henhold til medisinsk vurdering og retningslinjer.</w:t>
      </w:r>
    </w:p>
    <w:p w14:paraId="5E6DBC27" w14:textId="77777777" w:rsidR="00DF56D8" w:rsidRPr="00A942F6" w:rsidRDefault="00DF56D8" w:rsidP="00641834">
      <w:pPr>
        <w:rPr>
          <w:lang w:val="nb-NO"/>
        </w:rPr>
      </w:pPr>
    </w:p>
    <w:p w14:paraId="32D7FE75" w14:textId="77777777" w:rsidR="00DF56D8" w:rsidRPr="00A942F6" w:rsidRDefault="00DF56D8" w:rsidP="00641834">
      <w:pPr>
        <w:pStyle w:val="Style1Iitaic"/>
        <w:rPr>
          <w:lang w:val="nb-NO"/>
        </w:rPr>
      </w:pPr>
      <w:r w:rsidRPr="00A942F6">
        <w:rPr>
          <w:lang w:val="nb-NO"/>
        </w:rPr>
        <w:t>sJIA</w:t>
      </w:r>
    </w:p>
    <w:p w14:paraId="2349A3A0" w14:textId="77777777" w:rsidR="00DF56D8" w:rsidRPr="00A942F6" w:rsidRDefault="00DF56D8" w:rsidP="00641834">
      <w:pPr>
        <w:rPr>
          <w:lang w:val="nb-NO"/>
        </w:rPr>
      </w:pPr>
      <w:r w:rsidRPr="00A942F6">
        <w:rPr>
          <w:lang w:val="nb-NO"/>
        </w:rPr>
        <w:t>Makrofagaktivering-syndrom (MAS) er en alvorlig, livstruende sykdom som kan utvikles hos sJIA- pasienter. Det er ikke utført kliniske forsøk med tocilizumab hos pasienter med aktiv MAS.</w:t>
      </w:r>
    </w:p>
    <w:p w14:paraId="5B16F1C9" w14:textId="77777777" w:rsidR="00DF56D8" w:rsidRPr="00A942F6" w:rsidRDefault="00DF56D8" w:rsidP="00641834">
      <w:pPr>
        <w:rPr>
          <w:lang w:val="nb-NO"/>
        </w:rPr>
      </w:pPr>
    </w:p>
    <w:p w14:paraId="1A46A2DC" w14:textId="77777777" w:rsidR="00813939" w:rsidRPr="00A942F6" w:rsidRDefault="00813939" w:rsidP="00813939">
      <w:pPr>
        <w:rPr>
          <w:u w:val="single"/>
          <w:lang w:val="nb-NO"/>
        </w:rPr>
      </w:pPr>
      <w:r w:rsidRPr="00A942F6">
        <w:rPr>
          <w:u w:val="single"/>
          <w:lang w:val="nb-NO"/>
        </w:rPr>
        <w:t>Hjelpestoffer med kjent effekt</w:t>
      </w:r>
    </w:p>
    <w:p w14:paraId="22E2888C" w14:textId="77777777" w:rsidR="00813939" w:rsidRPr="00A942F6" w:rsidRDefault="00813939" w:rsidP="00813939">
      <w:pPr>
        <w:rPr>
          <w:i/>
          <w:iCs/>
          <w:lang w:val="nb-NO"/>
        </w:rPr>
      </w:pPr>
      <w:r w:rsidRPr="00A942F6">
        <w:rPr>
          <w:i/>
          <w:iCs/>
          <w:lang w:val="nb-NO"/>
        </w:rPr>
        <w:t>Polysorbat</w:t>
      </w:r>
    </w:p>
    <w:p w14:paraId="679D264B" w14:textId="2EF11273" w:rsidR="00813939" w:rsidRPr="00A942F6" w:rsidRDefault="00813939" w:rsidP="00813939">
      <w:pPr>
        <w:rPr>
          <w:lang w:val="nb-NO"/>
        </w:rPr>
      </w:pPr>
      <w:r w:rsidRPr="00A942F6">
        <w:rPr>
          <w:lang w:val="nb-NO"/>
        </w:rPr>
        <w:t>Hver 162 mg ferdigfylt penn inneholder 0,2 mg polysorbat</w:t>
      </w:r>
      <w:r w:rsidR="00220441">
        <w:rPr>
          <w:rFonts w:eastAsia="맑은 고딕" w:hint="eastAsia"/>
          <w:lang w:val="nb-NO" w:eastAsia="ko-KR"/>
        </w:rPr>
        <w:t xml:space="preserve"> 80</w:t>
      </w:r>
      <w:r w:rsidRPr="00A942F6">
        <w:rPr>
          <w:lang w:val="nb-NO"/>
        </w:rPr>
        <w:t>.</w:t>
      </w:r>
    </w:p>
    <w:p w14:paraId="12D2F75F" w14:textId="77777777" w:rsidR="00813939" w:rsidRPr="00A942F6" w:rsidRDefault="00813939" w:rsidP="00813939">
      <w:pPr>
        <w:rPr>
          <w:lang w:val="nb-NO"/>
        </w:rPr>
      </w:pPr>
      <w:r w:rsidRPr="00A942F6">
        <w:rPr>
          <w:lang w:val="nb-NO"/>
        </w:rPr>
        <w:t>Polysorbater kan forårsake allergiske reaksjoner. P</w:t>
      </w:r>
      <w:r w:rsidR="007B428B">
        <w:rPr>
          <w:lang w:val="nb-NO"/>
        </w:rPr>
        <w:t>asienter med polysorbatallergi bør</w:t>
      </w:r>
      <w:r w:rsidRPr="00A942F6">
        <w:rPr>
          <w:lang w:val="nb-NO"/>
        </w:rPr>
        <w:t xml:space="preserve"> ikke ta dette legemidlet.</w:t>
      </w:r>
    </w:p>
    <w:p w14:paraId="4268AF1C" w14:textId="77777777" w:rsidR="00813939" w:rsidRPr="00A942F6" w:rsidRDefault="00813939" w:rsidP="00641834">
      <w:pPr>
        <w:rPr>
          <w:lang w:val="nb-NO"/>
        </w:rPr>
      </w:pPr>
    </w:p>
    <w:p w14:paraId="45129678" w14:textId="77777777" w:rsidR="00DF56D8" w:rsidRPr="00A942F6" w:rsidRDefault="00DF56D8" w:rsidP="00641834">
      <w:pPr>
        <w:pStyle w:val="H2"/>
        <w:rPr>
          <w:lang w:val="nb-NO"/>
        </w:rPr>
      </w:pPr>
      <w:r w:rsidRPr="00A942F6">
        <w:rPr>
          <w:lang w:val="nb-NO"/>
        </w:rPr>
        <w:t>4.5</w:t>
      </w:r>
      <w:r w:rsidRPr="00A942F6">
        <w:rPr>
          <w:lang w:val="nb-NO"/>
        </w:rPr>
        <w:tab/>
        <w:t>Interaksjon med andre legemidler og andre former for interaksjon</w:t>
      </w:r>
    </w:p>
    <w:p w14:paraId="75235680" w14:textId="77777777" w:rsidR="002155E9" w:rsidRPr="00A942F6" w:rsidRDefault="002155E9" w:rsidP="00641834">
      <w:pPr>
        <w:keepNext/>
        <w:rPr>
          <w:lang w:val="nb-NO"/>
        </w:rPr>
      </w:pPr>
    </w:p>
    <w:p w14:paraId="67BA75B1" w14:textId="77777777" w:rsidR="00DF56D8" w:rsidRPr="00A942F6" w:rsidRDefault="00DF56D8" w:rsidP="00641834">
      <w:pPr>
        <w:keepNext/>
        <w:rPr>
          <w:lang w:val="nb-NO"/>
        </w:rPr>
      </w:pPr>
      <w:r w:rsidRPr="00A942F6">
        <w:rPr>
          <w:lang w:val="nb-NO"/>
        </w:rPr>
        <w:t>Interaksjonsstudier har kun blitt utført hos voksne.</w:t>
      </w:r>
    </w:p>
    <w:p w14:paraId="7741F79E" w14:textId="77777777" w:rsidR="00DF56D8" w:rsidRPr="00A942F6" w:rsidRDefault="00DF56D8" w:rsidP="00641834">
      <w:pPr>
        <w:rPr>
          <w:lang w:val="nb-NO"/>
        </w:rPr>
      </w:pPr>
    </w:p>
    <w:p w14:paraId="38C54CF4" w14:textId="2C03BA48" w:rsidR="00DF56D8" w:rsidRPr="00A942F6" w:rsidRDefault="00DF56D8" w:rsidP="00641834">
      <w:pPr>
        <w:rPr>
          <w:lang w:val="nb-NO"/>
        </w:rPr>
      </w:pPr>
      <w:r w:rsidRPr="00A942F6">
        <w:rPr>
          <w:lang w:val="nb-NO"/>
        </w:rPr>
        <w:lastRenderedPageBreak/>
        <w:t xml:space="preserve">Samtidig administrering av en enkeltdose </w:t>
      </w:r>
      <w:r w:rsidR="00923E68" w:rsidRPr="00A942F6">
        <w:rPr>
          <w:lang w:val="nb-NO"/>
        </w:rPr>
        <w:t>Avtozma</w:t>
      </w:r>
      <w:r w:rsidRPr="00A942F6">
        <w:rPr>
          <w:lang w:val="nb-NO"/>
        </w:rPr>
        <w:t xml:space="preserve"> 10 mg/kg og metotreksat 10-25 mg én gang ukentlig hadde ingen klinisk signifikant effekt på metotreksateksponeringen.</w:t>
      </w:r>
    </w:p>
    <w:p w14:paraId="0425FD7E" w14:textId="77777777" w:rsidR="00C932B0" w:rsidRPr="00A942F6" w:rsidRDefault="00C932B0" w:rsidP="00641834">
      <w:pPr>
        <w:rPr>
          <w:lang w:val="nb-NO"/>
        </w:rPr>
      </w:pPr>
    </w:p>
    <w:p w14:paraId="407A7DE0" w14:textId="09F26C8C" w:rsidR="00DF56D8" w:rsidRPr="00A942F6" w:rsidRDefault="00DF56D8" w:rsidP="00641834">
      <w:pPr>
        <w:rPr>
          <w:lang w:val="nb-NO"/>
        </w:rPr>
      </w:pPr>
      <w:r w:rsidRPr="00A942F6">
        <w:rPr>
          <w:lang w:val="nb-NO"/>
        </w:rPr>
        <w:t xml:space="preserve">Farmakokinetiske populasjonsanalyser med samtidig bruk av metotreksat, ikke-steroide antiinflammatoriske legemidler (NSAIDs) eller kortikosteroider viste ingen påvirkning på clearance av </w:t>
      </w:r>
      <w:r w:rsidR="00813939" w:rsidRPr="00A942F6">
        <w:rPr>
          <w:lang w:val="nb-NO"/>
        </w:rPr>
        <w:t>tocilizumab</w:t>
      </w:r>
      <w:r w:rsidRPr="00A942F6">
        <w:rPr>
          <w:lang w:val="nb-NO"/>
        </w:rPr>
        <w:t xml:space="preserve"> hos RA-pasienter. Hos GCA-pasienter ble det ikke observert effekt av akkumulerende kortikosteroiddose på eksponering for </w:t>
      </w:r>
      <w:r w:rsidR="00813939" w:rsidRPr="00A942F6">
        <w:rPr>
          <w:lang w:val="nb-NO"/>
        </w:rPr>
        <w:t>tocilizumab</w:t>
      </w:r>
      <w:r w:rsidRPr="00A942F6">
        <w:rPr>
          <w:lang w:val="nb-NO"/>
        </w:rPr>
        <w:t>.</w:t>
      </w:r>
    </w:p>
    <w:p w14:paraId="363BCF92" w14:textId="77777777" w:rsidR="00DF56D8" w:rsidRPr="00A942F6" w:rsidRDefault="00DF56D8" w:rsidP="00641834">
      <w:pPr>
        <w:rPr>
          <w:lang w:val="nb-NO"/>
        </w:rPr>
      </w:pPr>
    </w:p>
    <w:p w14:paraId="2F96DBAC" w14:textId="343ADDD3" w:rsidR="00DF56D8" w:rsidRPr="00A942F6" w:rsidRDefault="00DF56D8" w:rsidP="00641834">
      <w:pPr>
        <w:rPr>
          <w:lang w:val="nb-NO"/>
        </w:rPr>
      </w:pPr>
      <w:r w:rsidRPr="00A942F6">
        <w:rPr>
          <w:lang w:val="nb-NO"/>
        </w:rPr>
        <w:t xml:space="preserve">Ekspresjon av hepatiske CYP450-enzymer hemmes av cytokiner, for eksempel IL-6, som stimulerer kronisk inflammasjon. Ekspresjon av CYP450 kan derfor reverseres når behandling med potent cytokinhemmende terapi, som </w:t>
      </w:r>
      <w:r w:rsidR="00923E68" w:rsidRPr="00A942F6">
        <w:rPr>
          <w:lang w:val="nb-NO"/>
        </w:rPr>
        <w:t>Avtozma</w:t>
      </w:r>
      <w:r w:rsidRPr="00A942F6">
        <w:rPr>
          <w:lang w:val="nb-NO"/>
        </w:rPr>
        <w:t>, iverksettes.</w:t>
      </w:r>
    </w:p>
    <w:p w14:paraId="497621D6" w14:textId="77777777" w:rsidR="00DF56D8" w:rsidRPr="00A942F6" w:rsidRDefault="00DF56D8" w:rsidP="00641834">
      <w:pPr>
        <w:rPr>
          <w:lang w:val="nb-NO"/>
        </w:rPr>
      </w:pPr>
    </w:p>
    <w:p w14:paraId="53FCEC1A" w14:textId="515CAC83" w:rsidR="00DF56D8" w:rsidRPr="00A942F6" w:rsidRDefault="00DF56D8" w:rsidP="00641834">
      <w:pPr>
        <w:rPr>
          <w:lang w:val="nb-NO"/>
        </w:rPr>
      </w:pPr>
      <w:r w:rsidRPr="00A942F6">
        <w:rPr>
          <w:i/>
          <w:iCs/>
          <w:lang w:val="nb-NO"/>
        </w:rPr>
        <w:t>In vitro</w:t>
      </w:r>
      <w:r w:rsidRPr="00A942F6">
        <w:rPr>
          <w:lang w:val="nb-NO"/>
        </w:rPr>
        <w:t xml:space="preserve">-studier med humane hepatocytter i kultur har vist at IL-6 forårsaket reduksjon av enzymene CYP1A2, CYP2C9, CYP2C19 og CYP3A4. </w:t>
      </w:r>
      <w:r w:rsidR="00813939" w:rsidRPr="00A942F6">
        <w:rPr>
          <w:lang w:val="nb-NO"/>
        </w:rPr>
        <w:t>tocilizumab</w:t>
      </w:r>
      <w:r w:rsidRPr="00A942F6">
        <w:rPr>
          <w:lang w:val="nb-NO"/>
        </w:rPr>
        <w:t xml:space="preserve"> normaliserer ekspresjonen av disse enzymene.</w:t>
      </w:r>
    </w:p>
    <w:p w14:paraId="28FA87B9" w14:textId="77777777" w:rsidR="00C932B0" w:rsidRPr="00A942F6" w:rsidRDefault="00C932B0" w:rsidP="00641834">
      <w:pPr>
        <w:rPr>
          <w:lang w:val="nb-NO"/>
        </w:rPr>
      </w:pPr>
    </w:p>
    <w:p w14:paraId="2E359BBA" w14:textId="6B52F4A7" w:rsidR="00DF56D8" w:rsidRPr="00A942F6" w:rsidRDefault="00DF56D8" w:rsidP="00641834">
      <w:pPr>
        <w:rPr>
          <w:lang w:val="nb-NO"/>
        </w:rPr>
      </w:pPr>
      <w:r w:rsidRPr="00A942F6">
        <w:rPr>
          <w:lang w:val="nb-NO"/>
        </w:rPr>
        <w:t xml:space="preserve">I en studie med RA-pasienter var nivåene for simvastatin (CYP3A4) redusert med 57 % én uke etter en enkeltdose </w:t>
      </w:r>
      <w:r w:rsidR="00813939" w:rsidRPr="00A942F6">
        <w:rPr>
          <w:lang w:val="nb-NO"/>
        </w:rPr>
        <w:t>tocilizumab</w:t>
      </w:r>
      <w:r w:rsidRPr="00A942F6">
        <w:rPr>
          <w:lang w:val="nb-NO"/>
        </w:rPr>
        <w:t>, til et tilsvarende eller litt høyere nivå enn det som var observert hos friske individer.</w:t>
      </w:r>
    </w:p>
    <w:p w14:paraId="59A3E80A" w14:textId="77777777" w:rsidR="00DF56D8" w:rsidRPr="00A942F6" w:rsidRDefault="00DF56D8" w:rsidP="00641834">
      <w:pPr>
        <w:rPr>
          <w:lang w:val="nb-NO"/>
        </w:rPr>
      </w:pPr>
    </w:p>
    <w:p w14:paraId="0009ADB0" w14:textId="2B89BA5D" w:rsidR="00DF56D8" w:rsidRPr="00A942F6" w:rsidRDefault="00DF56D8" w:rsidP="00641834">
      <w:pPr>
        <w:rPr>
          <w:lang w:val="nb-NO"/>
        </w:rPr>
      </w:pPr>
      <w:r w:rsidRPr="00A942F6">
        <w:rPr>
          <w:lang w:val="nb-NO"/>
        </w:rPr>
        <w:t xml:space="preserve">Ved oppstart eller seponering av behandling med </w:t>
      </w:r>
      <w:r w:rsidR="00813939" w:rsidRPr="00A942F6">
        <w:rPr>
          <w:lang w:val="nb-NO"/>
        </w:rPr>
        <w:t>tocilizumab</w:t>
      </w:r>
      <w:r w:rsidRPr="00A942F6">
        <w:rPr>
          <w:lang w:val="nb-NO"/>
        </w:rPr>
        <w:t xml:space="preserve"> bør pasienter som tar legemidler som justeres individuelt, og som metaboliseres via CYP450 3A4, 1A2 eller 2C9 (f.eks. metylprednisolon, deksametason, (med mulighet for seponeringssyndrom av oral glukokortikoid), atorvastatin, kalsiumkanalblokkere, teofyllin, warfarin, fenprokumon, fenytoin, ciklosporin eller benzodiazepiner), monitoreres da doseøkning kan bli nødvendig for å beholde terapeutisk effekt. På grunn av den lange halveringstiden (t</w:t>
      </w:r>
      <w:r w:rsidR="002D2136" w:rsidRPr="00A942F6">
        <w:rPr>
          <w:vertAlign w:val="subscript"/>
          <w:lang w:val="nb-NO"/>
        </w:rPr>
        <w:t>1/2</w:t>
      </w:r>
      <w:r w:rsidRPr="00A942F6">
        <w:rPr>
          <w:lang w:val="nb-NO"/>
        </w:rPr>
        <w:t xml:space="preserve">) kan effekten av </w:t>
      </w:r>
      <w:r w:rsidR="00813939" w:rsidRPr="00A942F6">
        <w:rPr>
          <w:lang w:val="nb-NO"/>
        </w:rPr>
        <w:t>tocilizumab</w:t>
      </w:r>
      <w:r w:rsidRPr="00A942F6">
        <w:rPr>
          <w:lang w:val="nb-NO"/>
        </w:rPr>
        <w:t xml:space="preserve"> på CYP450-enzymaktivitet vedvare i flere uker etter seponering.</w:t>
      </w:r>
    </w:p>
    <w:p w14:paraId="0E58FB8D" w14:textId="77777777" w:rsidR="00DF56D8" w:rsidRPr="00A942F6" w:rsidRDefault="00DF56D8" w:rsidP="00641834">
      <w:pPr>
        <w:rPr>
          <w:lang w:val="nb-NO"/>
        </w:rPr>
      </w:pPr>
    </w:p>
    <w:p w14:paraId="06B71610" w14:textId="77777777" w:rsidR="00DF56D8" w:rsidRPr="00A942F6" w:rsidRDefault="00DF56D8" w:rsidP="00641834">
      <w:pPr>
        <w:pStyle w:val="H2"/>
        <w:rPr>
          <w:lang w:val="nb-NO"/>
        </w:rPr>
      </w:pPr>
      <w:r w:rsidRPr="00A942F6">
        <w:rPr>
          <w:lang w:val="nb-NO"/>
        </w:rPr>
        <w:t>4.6</w:t>
      </w:r>
      <w:r w:rsidRPr="00A942F6">
        <w:rPr>
          <w:lang w:val="nb-NO"/>
        </w:rPr>
        <w:tab/>
        <w:t>Fertilitet, graviditet og amming</w:t>
      </w:r>
    </w:p>
    <w:p w14:paraId="38D609AC" w14:textId="77777777" w:rsidR="002155E9" w:rsidRPr="00A942F6" w:rsidRDefault="002155E9" w:rsidP="00641834">
      <w:pPr>
        <w:rPr>
          <w:lang w:val="nb-NO"/>
        </w:rPr>
      </w:pPr>
    </w:p>
    <w:p w14:paraId="063DD310" w14:textId="77777777" w:rsidR="00DF56D8" w:rsidRPr="00A942F6" w:rsidRDefault="00DF56D8" w:rsidP="00641834">
      <w:pPr>
        <w:pStyle w:val="Style1underline"/>
        <w:rPr>
          <w:lang w:val="nb-NO"/>
        </w:rPr>
      </w:pPr>
      <w:r w:rsidRPr="00A942F6">
        <w:rPr>
          <w:lang w:val="nb-NO"/>
        </w:rPr>
        <w:t>Kvinner i fertil alder</w:t>
      </w:r>
    </w:p>
    <w:p w14:paraId="0CD6CA55" w14:textId="77777777" w:rsidR="00DF56D8" w:rsidRPr="00A942F6" w:rsidRDefault="00DF56D8" w:rsidP="00641834">
      <w:pPr>
        <w:rPr>
          <w:lang w:val="nb-NO"/>
        </w:rPr>
      </w:pPr>
    </w:p>
    <w:p w14:paraId="271CD73A" w14:textId="77777777" w:rsidR="00C932B0" w:rsidRPr="00A942F6" w:rsidRDefault="00DF56D8" w:rsidP="00641834">
      <w:pPr>
        <w:rPr>
          <w:lang w:val="nb-NO"/>
        </w:rPr>
      </w:pPr>
      <w:r w:rsidRPr="00A942F6">
        <w:rPr>
          <w:lang w:val="nb-NO"/>
        </w:rPr>
        <w:t>Kvinner i fertil alder må bruke sikker prevensjon under og opptil 3 måneder etter behandling.</w:t>
      </w:r>
    </w:p>
    <w:p w14:paraId="18799654" w14:textId="77777777" w:rsidR="00C932B0" w:rsidRPr="00A942F6" w:rsidRDefault="00C932B0" w:rsidP="00641834">
      <w:pPr>
        <w:rPr>
          <w:lang w:val="nb-NO"/>
        </w:rPr>
      </w:pPr>
    </w:p>
    <w:p w14:paraId="0B88C838" w14:textId="77777777" w:rsidR="00DF56D8" w:rsidRPr="00A942F6" w:rsidRDefault="00DF56D8" w:rsidP="00641834">
      <w:pPr>
        <w:pStyle w:val="Style1underline"/>
        <w:rPr>
          <w:lang w:val="nb-NO"/>
        </w:rPr>
      </w:pPr>
      <w:r w:rsidRPr="00A942F6">
        <w:rPr>
          <w:lang w:val="nb-NO"/>
        </w:rPr>
        <w:t>Graviditet</w:t>
      </w:r>
    </w:p>
    <w:p w14:paraId="1975CC8F" w14:textId="77777777" w:rsidR="00C932B0" w:rsidRPr="00A942F6" w:rsidRDefault="00C932B0" w:rsidP="00641834">
      <w:pPr>
        <w:rPr>
          <w:lang w:val="nb-NO"/>
        </w:rPr>
      </w:pPr>
    </w:p>
    <w:p w14:paraId="573556F9" w14:textId="5DBF491E" w:rsidR="00DF56D8" w:rsidRPr="00A942F6" w:rsidRDefault="00DF56D8" w:rsidP="00641834">
      <w:pPr>
        <w:rPr>
          <w:lang w:val="nb-NO"/>
        </w:rPr>
      </w:pPr>
      <w:r w:rsidRPr="00A942F6">
        <w:rPr>
          <w:lang w:val="nb-NO"/>
        </w:rPr>
        <w:t xml:space="preserve">Det foreligger ikke tilstrekkelige data på bruk av </w:t>
      </w:r>
      <w:r w:rsidR="00923E68" w:rsidRPr="00A942F6">
        <w:rPr>
          <w:lang w:val="nb-NO"/>
        </w:rPr>
        <w:t>Avtozma</w:t>
      </w:r>
      <w:r w:rsidRPr="00A942F6">
        <w:rPr>
          <w:lang w:val="nb-NO"/>
        </w:rPr>
        <w:t xml:space="preserve"> hos gravide kvinner. En dyrestudie har vist en økt risiko for spontanabort/fosterdød ved høy dose (se pkt. 5.3). Potensiell risiko for mennesker er ukjent.</w:t>
      </w:r>
    </w:p>
    <w:p w14:paraId="3456842C" w14:textId="77777777" w:rsidR="00C932B0" w:rsidRPr="00A942F6" w:rsidRDefault="00C932B0" w:rsidP="00641834">
      <w:pPr>
        <w:rPr>
          <w:lang w:val="nb-NO"/>
        </w:rPr>
      </w:pPr>
    </w:p>
    <w:p w14:paraId="76194D2B" w14:textId="0E64DABE" w:rsidR="00C932B0" w:rsidRPr="00A942F6" w:rsidRDefault="00923E68" w:rsidP="00641834">
      <w:pPr>
        <w:rPr>
          <w:lang w:val="nb-NO"/>
        </w:rPr>
      </w:pPr>
      <w:r w:rsidRPr="00A942F6">
        <w:rPr>
          <w:lang w:val="nb-NO"/>
        </w:rPr>
        <w:t>Avtozma</w:t>
      </w:r>
      <w:r w:rsidR="00DF56D8" w:rsidRPr="00A942F6">
        <w:rPr>
          <w:lang w:val="nb-NO"/>
        </w:rPr>
        <w:t xml:space="preserve"> bør ikke brukes under gravidite</w:t>
      </w:r>
      <w:r w:rsidR="00C932B0" w:rsidRPr="00A942F6">
        <w:rPr>
          <w:lang w:val="nb-NO"/>
        </w:rPr>
        <w:t>t, hvis ikke strengt nødvendig.</w:t>
      </w:r>
    </w:p>
    <w:p w14:paraId="43B26BDF" w14:textId="77777777" w:rsidR="00C932B0" w:rsidRPr="00A942F6" w:rsidRDefault="00C932B0" w:rsidP="00641834">
      <w:pPr>
        <w:rPr>
          <w:lang w:val="nb-NO"/>
        </w:rPr>
      </w:pPr>
    </w:p>
    <w:p w14:paraId="2EE13097" w14:textId="77777777" w:rsidR="00DF56D8" w:rsidRPr="00A942F6" w:rsidRDefault="00DF56D8" w:rsidP="00641834">
      <w:pPr>
        <w:pStyle w:val="Style1underline"/>
        <w:rPr>
          <w:lang w:val="nb-NO"/>
        </w:rPr>
      </w:pPr>
      <w:r w:rsidRPr="00A942F6">
        <w:rPr>
          <w:lang w:val="nb-NO"/>
        </w:rPr>
        <w:t>Amming</w:t>
      </w:r>
    </w:p>
    <w:p w14:paraId="1011DDE3" w14:textId="77777777" w:rsidR="00C932B0" w:rsidRPr="00A942F6" w:rsidRDefault="00C932B0" w:rsidP="00641834">
      <w:pPr>
        <w:rPr>
          <w:lang w:val="nb-NO"/>
        </w:rPr>
      </w:pPr>
    </w:p>
    <w:p w14:paraId="1879F674" w14:textId="3AE2BA3E" w:rsidR="00DF56D8" w:rsidRPr="00A942F6" w:rsidRDefault="00DF56D8" w:rsidP="00641834">
      <w:pPr>
        <w:rPr>
          <w:lang w:val="nb-NO"/>
        </w:rPr>
      </w:pPr>
      <w:r w:rsidRPr="00A942F6">
        <w:rPr>
          <w:lang w:val="nb-NO"/>
        </w:rPr>
        <w:t xml:space="preserve">Det er ukjent hvorvidt </w:t>
      </w:r>
      <w:r w:rsidR="00923E68" w:rsidRPr="00A942F6">
        <w:rPr>
          <w:lang w:val="nb-NO"/>
        </w:rPr>
        <w:t>Avtozma</w:t>
      </w:r>
      <w:r w:rsidRPr="00A942F6">
        <w:rPr>
          <w:lang w:val="nb-NO"/>
        </w:rPr>
        <w:t xml:space="preserve"> skilles ut i morsmelk hos mennesker. Utskillelse av </w:t>
      </w:r>
      <w:r w:rsidR="00923E68" w:rsidRPr="00A942F6">
        <w:rPr>
          <w:lang w:val="nb-NO"/>
        </w:rPr>
        <w:t>Avtozma</w:t>
      </w:r>
      <w:r w:rsidRPr="00A942F6">
        <w:rPr>
          <w:lang w:val="nb-NO"/>
        </w:rPr>
        <w:t xml:space="preserve"> i melk er ikke undersøkt i dyr. Ved spørsmål om hvorvidt amming skal avbrytes eller fortsette, eller om behandling med </w:t>
      </w:r>
      <w:r w:rsidR="00923E68" w:rsidRPr="00A942F6">
        <w:rPr>
          <w:lang w:val="nb-NO"/>
        </w:rPr>
        <w:t>Avtozma</w:t>
      </w:r>
      <w:r w:rsidRPr="00A942F6">
        <w:rPr>
          <w:lang w:val="nb-NO"/>
        </w:rPr>
        <w:t xml:space="preserve"> skal avbrytes eller fortsette, bør nytten av amming for barnet vurderes mot nytten av behandling med </w:t>
      </w:r>
      <w:r w:rsidR="00923E68" w:rsidRPr="00A942F6">
        <w:rPr>
          <w:lang w:val="nb-NO"/>
        </w:rPr>
        <w:t>Avtozma</w:t>
      </w:r>
      <w:r w:rsidRPr="00A942F6">
        <w:rPr>
          <w:lang w:val="nb-NO"/>
        </w:rPr>
        <w:t xml:space="preserve"> for kvinnen.</w:t>
      </w:r>
    </w:p>
    <w:p w14:paraId="19F08155" w14:textId="77777777" w:rsidR="00DF56D8" w:rsidRPr="00A942F6" w:rsidRDefault="00DF56D8" w:rsidP="00641834">
      <w:pPr>
        <w:rPr>
          <w:lang w:val="nb-NO"/>
        </w:rPr>
      </w:pPr>
    </w:p>
    <w:p w14:paraId="3A9E4E68" w14:textId="77777777" w:rsidR="00DF56D8" w:rsidRPr="00A942F6" w:rsidRDefault="00DF56D8" w:rsidP="00641834">
      <w:pPr>
        <w:pStyle w:val="Style1underline"/>
        <w:rPr>
          <w:lang w:val="nb-NO"/>
        </w:rPr>
      </w:pPr>
      <w:r w:rsidRPr="00A942F6">
        <w:rPr>
          <w:lang w:val="nb-NO"/>
        </w:rPr>
        <w:t>Fertilitet</w:t>
      </w:r>
    </w:p>
    <w:p w14:paraId="6632ABEB" w14:textId="77777777" w:rsidR="00C932B0" w:rsidRPr="00A942F6" w:rsidRDefault="00C932B0" w:rsidP="00641834">
      <w:pPr>
        <w:rPr>
          <w:lang w:val="nb-NO"/>
        </w:rPr>
      </w:pPr>
    </w:p>
    <w:p w14:paraId="40FA42CB" w14:textId="270FA038" w:rsidR="00DF56D8" w:rsidRPr="00A942F6" w:rsidRDefault="00DF56D8" w:rsidP="00641834">
      <w:pPr>
        <w:rPr>
          <w:lang w:val="nb-NO"/>
        </w:rPr>
      </w:pPr>
      <w:r w:rsidRPr="00A942F6">
        <w:rPr>
          <w:lang w:val="nb-NO"/>
        </w:rPr>
        <w:t xml:space="preserve">Tilgjengelige ikke-kliniske data antyder ingen effekt av behandling med </w:t>
      </w:r>
      <w:r w:rsidR="00923E68" w:rsidRPr="00A942F6">
        <w:rPr>
          <w:lang w:val="nb-NO"/>
        </w:rPr>
        <w:t>Avtozma</w:t>
      </w:r>
      <w:r w:rsidRPr="00A942F6">
        <w:rPr>
          <w:lang w:val="nb-NO"/>
        </w:rPr>
        <w:t xml:space="preserve"> på fertilitet.</w:t>
      </w:r>
    </w:p>
    <w:p w14:paraId="5BE13937" w14:textId="77777777" w:rsidR="00DF56D8" w:rsidRPr="00A942F6" w:rsidRDefault="00DF56D8" w:rsidP="00641834">
      <w:pPr>
        <w:rPr>
          <w:lang w:val="nb-NO"/>
        </w:rPr>
      </w:pPr>
    </w:p>
    <w:p w14:paraId="6A5CDA28" w14:textId="77777777" w:rsidR="00DF56D8" w:rsidRPr="00A942F6" w:rsidRDefault="00DF56D8" w:rsidP="00641834">
      <w:pPr>
        <w:pStyle w:val="H2"/>
        <w:rPr>
          <w:lang w:val="nb-NO"/>
        </w:rPr>
      </w:pPr>
      <w:r w:rsidRPr="00A942F6">
        <w:rPr>
          <w:lang w:val="nb-NO"/>
        </w:rPr>
        <w:t>4.7</w:t>
      </w:r>
      <w:r w:rsidRPr="00A942F6">
        <w:rPr>
          <w:lang w:val="nb-NO"/>
        </w:rPr>
        <w:tab/>
        <w:t>Påvirkning av evnen til å kjøre bil og bruke maskiner</w:t>
      </w:r>
    </w:p>
    <w:p w14:paraId="072A0EF2" w14:textId="77777777" w:rsidR="002155E9" w:rsidRPr="00A942F6" w:rsidRDefault="002155E9" w:rsidP="00641834">
      <w:pPr>
        <w:rPr>
          <w:lang w:val="nb-NO"/>
        </w:rPr>
      </w:pPr>
    </w:p>
    <w:p w14:paraId="738C084B" w14:textId="1D8247B5" w:rsidR="00DF56D8" w:rsidRPr="00A942F6" w:rsidRDefault="00813939" w:rsidP="00641834">
      <w:pPr>
        <w:rPr>
          <w:lang w:val="nb-NO"/>
        </w:rPr>
      </w:pPr>
      <w:r w:rsidRPr="00A942F6">
        <w:rPr>
          <w:lang w:val="nb-NO"/>
        </w:rPr>
        <w:t>Tocilizumab</w:t>
      </w:r>
      <w:r w:rsidR="00DF56D8" w:rsidRPr="00A942F6">
        <w:rPr>
          <w:lang w:val="nb-NO"/>
        </w:rPr>
        <w:t xml:space="preserve"> har liten påvirkning på evnen til å kjøre bil og bruke maskiner (se pkt. 4.8, svimmelhet).</w:t>
      </w:r>
    </w:p>
    <w:p w14:paraId="5E270FCB" w14:textId="77777777" w:rsidR="00DF56D8" w:rsidRPr="00A942F6" w:rsidRDefault="00DF56D8" w:rsidP="00641834">
      <w:pPr>
        <w:rPr>
          <w:lang w:val="nb-NO"/>
        </w:rPr>
      </w:pPr>
    </w:p>
    <w:p w14:paraId="1B95C3FA" w14:textId="77777777" w:rsidR="00DF56D8" w:rsidRPr="00A942F6" w:rsidRDefault="00DF56D8" w:rsidP="00641834">
      <w:pPr>
        <w:pStyle w:val="H2"/>
        <w:rPr>
          <w:lang w:val="nb-NO"/>
        </w:rPr>
      </w:pPr>
      <w:r w:rsidRPr="00A942F6">
        <w:rPr>
          <w:lang w:val="nb-NO"/>
        </w:rPr>
        <w:lastRenderedPageBreak/>
        <w:t>4.8</w:t>
      </w:r>
      <w:r w:rsidRPr="00A942F6">
        <w:rPr>
          <w:lang w:val="nb-NO"/>
        </w:rPr>
        <w:tab/>
        <w:t>Bivirkninger</w:t>
      </w:r>
    </w:p>
    <w:p w14:paraId="5B8C1081" w14:textId="77777777" w:rsidR="002155E9" w:rsidRPr="00A942F6" w:rsidRDefault="002155E9" w:rsidP="00641834">
      <w:pPr>
        <w:rPr>
          <w:lang w:val="nb-NO"/>
        </w:rPr>
      </w:pPr>
    </w:p>
    <w:p w14:paraId="27621808" w14:textId="77777777" w:rsidR="00DF56D8" w:rsidRPr="00A942F6" w:rsidRDefault="00DF56D8" w:rsidP="00641834">
      <w:pPr>
        <w:pStyle w:val="Style1underline"/>
        <w:rPr>
          <w:lang w:val="nb-NO"/>
        </w:rPr>
      </w:pPr>
      <w:r w:rsidRPr="00A942F6">
        <w:rPr>
          <w:lang w:val="nb-NO"/>
        </w:rPr>
        <w:t>Oppsummering av sikkerhetsprofilen</w:t>
      </w:r>
    </w:p>
    <w:p w14:paraId="7940A559" w14:textId="77777777" w:rsidR="00DF56D8" w:rsidRPr="00A942F6" w:rsidRDefault="00DF56D8" w:rsidP="00641834">
      <w:pPr>
        <w:rPr>
          <w:lang w:val="nb-NO"/>
        </w:rPr>
      </w:pPr>
    </w:p>
    <w:p w14:paraId="6331B9B9" w14:textId="36461B94" w:rsidR="00DF56D8" w:rsidRPr="00A942F6" w:rsidRDefault="00DF56D8" w:rsidP="007E4199">
      <w:pPr>
        <w:rPr>
          <w:lang w:val="nb-NO"/>
        </w:rPr>
      </w:pPr>
      <w:r w:rsidRPr="00A942F6">
        <w:rPr>
          <w:lang w:val="nb-NO"/>
        </w:rPr>
        <w:t xml:space="preserve">Sikkerhetsprofilen kommer fra 4510 pasienter som fikk </w:t>
      </w:r>
      <w:r w:rsidR="00813939" w:rsidRPr="00A942F6">
        <w:rPr>
          <w:lang w:val="nb-NO"/>
        </w:rPr>
        <w:t>tocilizumab</w:t>
      </w:r>
      <w:r w:rsidRPr="00A942F6">
        <w:rPr>
          <w:lang w:val="nb-NO"/>
        </w:rPr>
        <w:t xml:space="preserve"> i kliniske studier. Størsteparten av disse pasientene deltok i RA-studier (n = 4009), mens de resterende erfaringene kommer fra</w:t>
      </w:r>
      <w:r w:rsidR="007E4199">
        <w:rPr>
          <w:lang w:val="nb-NO"/>
        </w:rPr>
        <w:t xml:space="preserve"> </w:t>
      </w:r>
      <w:r w:rsidRPr="00A942F6">
        <w:rPr>
          <w:lang w:val="nb-NO"/>
        </w:rPr>
        <w:t xml:space="preserve">GCA-studier (n = 149), pJIA-studier (n=240) og sJIA-studier (n=112). Sikkerhetsprofilen til </w:t>
      </w:r>
      <w:r w:rsidR="00813939" w:rsidRPr="00A942F6">
        <w:rPr>
          <w:lang w:val="nb-NO"/>
        </w:rPr>
        <w:t>tocilizumab</w:t>
      </w:r>
      <w:r w:rsidRPr="00A942F6">
        <w:rPr>
          <w:lang w:val="nb-NO"/>
        </w:rPr>
        <w:t xml:space="preserve"> på tvers av disse indikasjonene forblir lignende og udifferensiert.</w:t>
      </w:r>
    </w:p>
    <w:p w14:paraId="05AEE63F" w14:textId="77777777" w:rsidR="00C932B0" w:rsidRPr="00A942F6" w:rsidRDefault="00C932B0" w:rsidP="00641834">
      <w:pPr>
        <w:rPr>
          <w:lang w:val="nb-NO"/>
        </w:rPr>
      </w:pPr>
    </w:p>
    <w:p w14:paraId="21C3B1EA" w14:textId="77777777" w:rsidR="00DF56D8" w:rsidRPr="00A942F6" w:rsidRDefault="00DF56D8" w:rsidP="00641834">
      <w:pPr>
        <w:rPr>
          <w:lang w:val="nb-NO"/>
        </w:rPr>
      </w:pPr>
      <w:r w:rsidRPr="00A942F6">
        <w:rPr>
          <w:lang w:val="nb-NO"/>
        </w:rPr>
        <w:t>De hyppigst rapporterte bivirkningene var øvre luftveisinfeksjoner, nasofaryngitt, hodepine, hypertensjon og økt ALAT.</w:t>
      </w:r>
    </w:p>
    <w:p w14:paraId="6B8D2C3B" w14:textId="77777777" w:rsidR="00C932B0" w:rsidRPr="00A942F6" w:rsidRDefault="00C932B0" w:rsidP="00641834">
      <w:pPr>
        <w:rPr>
          <w:lang w:val="nb-NO"/>
        </w:rPr>
      </w:pPr>
    </w:p>
    <w:p w14:paraId="21E6C58D" w14:textId="77777777" w:rsidR="00DF56D8" w:rsidRPr="00A942F6" w:rsidRDefault="00DF56D8" w:rsidP="00641834">
      <w:pPr>
        <w:rPr>
          <w:lang w:val="nb-NO"/>
        </w:rPr>
      </w:pPr>
      <w:r w:rsidRPr="00A942F6">
        <w:rPr>
          <w:lang w:val="nb-NO"/>
        </w:rPr>
        <w:t>De mest alvorlige bivirkningene var alvorlige infeksjoner, komplikasjoner til divertikulitt, og overfølsomhetsreaksjoner.</w:t>
      </w:r>
    </w:p>
    <w:p w14:paraId="2D357E47" w14:textId="77777777" w:rsidR="00DF56D8" w:rsidRPr="00A942F6" w:rsidRDefault="00DF56D8" w:rsidP="00641834">
      <w:pPr>
        <w:rPr>
          <w:lang w:val="nb-NO"/>
        </w:rPr>
      </w:pPr>
    </w:p>
    <w:p w14:paraId="783A2B47" w14:textId="77777777" w:rsidR="00DF56D8" w:rsidRPr="00A942F6" w:rsidRDefault="00DF56D8" w:rsidP="00641834">
      <w:pPr>
        <w:pStyle w:val="Style1underline"/>
        <w:rPr>
          <w:lang w:val="nb-NO"/>
        </w:rPr>
      </w:pPr>
      <w:r w:rsidRPr="00A942F6">
        <w:rPr>
          <w:lang w:val="nb-NO"/>
        </w:rPr>
        <w:t>Liste over bivirkninger i tabellform</w:t>
      </w:r>
    </w:p>
    <w:p w14:paraId="6A9B398D" w14:textId="3A9CCDB0" w:rsidR="00DF56D8" w:rsidRPr="00A942F6" w:rsidRDefault="00DF56D8" w:rsidP="00641834">
      <w:pPr>
        <w:rPr>
          <w:lang w:val="nb-NO"/>
        </w:rPr>
      </w:pPr>
      <w:r w:rsidRPr="00A942F6">
        <w:rPr>
          <w:lang w:val="nb-NO"/>
        </w:rPr>
        <w:t xml:space="preserve">Tabell 1 viser bivirkninger fra kliniske studier og/eller erfaring etter markedsføring med </w:t>
      </w:r>
      <w:r w:rsidR="00813939" w:rsidRPr="00A942F6">
        <w:rPr>
          <w:lang w:val="nb-NO"/>
        </w:rPr>
        <w:t>tocilizumab</w:t>
      </w:r>
      <w:r w:rsidRPr="00A942F6">
        <w:rPr>
          <w:lang w:val="nb-NO"/>
        </w:rPr>
        <w:t xml:space="preserve"> basert på spontane kasuistikker, tilfeller fra litteraturen og tilfeller fra ikke-intervensjons- studieprogrammer. Bivirkningene er presentert etter MedDRA-organklassesystem. Tilhørende frekvenskategori for hver bivirkning er basert på følgende konvensjon: svært vanlige (</w:t>
      </w:r>
      <w:r w:rsidR="00F36EEE" w:rsidRPr="00A942F6">
        <w:rPr>
          <w:rFonts w:cs="Times New Roman"/>
          <w:lang w:val="nb-NO"/>
        </w:rPr>
        <w:t>≥</w:t>
      </w:r>
      <w:r w:rsidRPr="00A942F6">
        <w:rPr>
          <w:lang w:val="nb-NO"/>
        </w:rPr>
        <w:t xml:space="preserve"> 1/10); vanlige (</w:t>
      </w:r>
      <w:r w:rsidR="00F36EEE" w:rsidRPr="00A942F6">
        <w:rPr>
          <w:rFonts w:cs="Times New Roman"/>
          <w:lang w:val="nb-NO"/>
        </w:rPr>
        <w:t>≥</w:t>
      </w:r>
      <w:r w:rsidRPr="00A942F6">
        <w:rPr>
          <w:lang w:val="nb-NO"/>
        </w:rPr>
        <w:t xml:space="preserve"> 1/100 til &lt; 1/10), mindre vanlige (</w:t>
      </w:r>
      <w:r w:rsidR="00F36EEE" w:rsidRPr="00A942F6">
        <w:rPr>
          <w:rFonts w:cs="Times New Roman"/>
          <w:lang w:val="nb-NO"/>
        </w:rPr>
        <w:t>≥</w:t>
      </w:r>
      <w:r w:rsidRPr="00A942F6">
        <w:rPr>
          <w:lang w:val="nb-NO"/>
        </w:rPr>
        <w:t xml:space="preserve"> 1/1000 til &lt; 1/100), sjeldne (</w:t>
      </w:r>
      <w:r w:rsidR="00F36EEE" w:rsidRPr="00A942F6">
        <w:rPr>
          <w:rFonts w:cs="Times New Roman"/>
          <w:lang w:val="nb-NO"/>
        </w:rPr>
        <w:t>≥</w:t>
      </w:r>
      <w:r w:rsidRPr="00A942F6">
        <w:rPr>
          <w:lang w:val="nb-NO"/>
        </w:rPr>
        <w:t xml:space="preserve"> 1/10 000 til &lt; 1/1000) eller svært sjeldne (&lt; 1/10 000). Innenfor hver frekvensgruppe er bivirkningene presentert etter synkende alvorlighetsgrad.</w:t>
      </w:r>
    </w:p>
    <w:p w14:paraId="5FFBD2AD" w14:textId="77777777" w:rsidR="00DF56D8" w:rsidRPr="00A942F6" w:rsidRDefault="00DF56D8" w:rsidP="00641834">
      <w:pPr>
        <w:rPr>
          <w:lang w:val="nb-NO"/>
        </w:rPr>
      </w:pPr>
    </w:p>
    <w:p w14:paraId="5ACE2BBC" w14:textId="2C8BB95F" w:rsidR="00DF56D8" w:rsidRPr="00A942F6" w:rsidRDefault="00DF56D8" w:rsidP="00641834">
      <w:pPr>
        <w:pStyle w:val="Style1Iitaic"/>
        <w:rPr>
          <w:lang w:val="nb-NO"/>
        </w:rPr>
      </w:pPr>
      <w:r w:rsidRPr="00A942F6">
        <w:rPr>
          <w:lang w:val="nb-NO"/>
        </w:rPr>
        <w:t xml:space="preserve">Tabell 1. Liste over bivirkninger som oppstod hos pasienter behandlet med </w:t>
      </w:r>
      <w:r w:rsidR="00813939" w:rsidRPr="00A942F6">
        <w:rPr>
          <w:lang w:val="nb-NO"/>
        </w:rPr>
        <w:t>tocilizumab</w:t>
      </w:r>
      <w:r w:rsidRPr="00A942F6">
        <w:rPr>
          <w:lang w:val="nb-NO"/>
        </w:rPr>
        <w:t>.</w:t>
      </w:r>
    </w:p>
    <w:p w14:paraId="3270B2ED" w14:textId="77777777" w:rsidR="00DF56D8" w:rsidRPr="00A942F6" w:rsidRDefault="00DF56D8" w:rsidP="00641834">
      <w:pPr>
        <w:rPr>
          <w:lang w:val="nb-NO"/>
        </w:rPr>
      </w:pPr>
    </w:p>
    <w:tbl>
      <w:tblP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9"/>
        <w:gridCol w:w="1526"/>
        <w:gridCol w:w="2071"/>
        <w:gridCol w:w="1722"/>
        <w:gridCol w:w="1582"/>
      </w:tblGrid>
      <w:tr w:rsidR="00DF56D8" w:rsidRPr="00A942F6" w14:paraId="7334A144" w14:textId="77777777" w:rsidTr="00773AFE">
        <w:trPr>
          <w:cantSplit/>
          <w:trHeight w:val="20"/>
          <w:tblHeader/>
        </w:trPr>
        <w:tc>
          <w:tcPr>
            <w:tcW w:w="2179" w:type="dxa"/>
            <w:vMerge w:val="restart"/>
          </w:tcPr>
          <w:p w14:paraId="288CE998" w14:textId="77777777" w:rsidR="00DF56D8" w:rsidRPr="00A942F6" w:rsidRDefault="00DF56D8" w:rsidP="00641834">
            <w:pPr>
              <w:pStyle w:val="TableParagraph"/>
              <w:jc w:val="center"/>
              <w:rPr>
                <w:b/>
                <w:sz w:val="20"/>
                <w:szCs w:val="20"/>
                <w:lang w:val="nb-NO"/>
              </w:rPr>
            </w:pPr>
            <w:r w:rsidRPr="00A942F6">
              <w:rPr>
                <w:b/>
                <w:sz w:val="20"/>
                <w:szCs w:val="20"/>
                <w:lang w:val="nb-NO"/>
              </w:rPr>
              <w:t>MedDRA-</w:t>
            </w:r>
          </w:p>
          <w:p w14:paraId="40EA283D" w14:textId="77777777" w:rsidR="00DF56D8" w:rsidRPr="00A942F6" w:rsidRDefault="00FF7C6E" w:rsidP="00641834">
            <w:pPr>
              <w:pStyle w:val="TableParagraph"/>
              <w:jc w:val="center"/>
              <w:rPr>
                <w:b/>
                <w:sz w:val="20"/>
                <w:szCs w:val="20"/>
                <w:lang w:val="nb-NO"/>
              </w:rPr>
            </w:pPr>
            <w:r w:rsidRPr="00A942F6">
              <w:rPr>
                <w:b/>
                <w:sz w:val="20"/>
                <w:szCs w:val="20"/>
                <w:lang w:val="nb-NO"/>
              </w:rPr>
              <w:t>O</w:t>
            </w:r>
            <w:r w:rsidR="00DF56D8" w:rsidRPr="00A942F6">
              <w:rPr>
                <w:b/>
                <w:sz w:val="20"/>
                <w:szCs w:val="20"/>
                <w:lang w:val="nb-NO"/>
              </w:rPr>
              <w:t>rganklassesystem</w:t>
            </w:r>
          </w:p>
          <w:p w14:paraId="72167297" w14:textId="77777777" w:rsidR="00FF7C6E" w:rsidRPr="00A942F6" w:rsidRDefault="00FF7C6E" w:rsidP="00641834">
            <w:pPr>
              <w:pStyle w:val="TableParagraph"/>
              <w:jc w:val="center"/>
              <w:rPr>
                <w:b/>
                <w:sz w:val="20"/>
                <w:szCs w:val="20"/>
                <w:lang w:val="nb-NO"/>
              </w:rPr>
            </w:pPr>
          </w:p>
        </w:tc>
        <w:tc>
          <w:tcPr>
            <w:tcW w:w="6901" w:type="dxa"/>
            <w:gridSpan w:val="4"/>
          </w:tcPr>
          <w:p w14:paraId="6237012A" w14:textId="77777777" w:rsidR="00DF56D8" w:rsidRPr="00A942F6" w:rsidRDefault="00DF56D8" w:rsidP="00641834">
            <w:pPr>
              <w:pStyle w:val="TableParagraph"/>
              <w:jc w:val="center"/>
              <w:rPr>
                <w:b/>
                <w:sz w:val="20"/>
                <w:szCs w:val="20"/>
                <w:lang w:val="nb-NO"/>
              </w:rPr>
            </w:pPr>
            <w:r w:rsidRPr="00A942F6">
              <w:rPr>
                <w:b/>
                <w:sz w:val="20"/>
                <w:szCs w:val="20"/>
                <w:lang w:val="nb-NO"/>
              </w:rPr>
              <w:t>Frekvenskategori med foretrukket betegnelse</w:t>
            </w:r>
          </w:p>
        </w:tc>
      </w:tr>
      <w:tr w:rsidR="00DF56D8" w:rsidRPr="00A942F6" w14:paraId="76ACD03D" w14:textId="77777777" w:rsidTr="00773AFE">
        <w:trPr>
          <w:cantSplit/>
          <w:trHeight w:val="20"/>
          <w:tblHeader/>
        </w:trPr>
        <w:tc>
          <w:tcPr>
            <w:tcW w:w="2179" w:type="dxa"/>
            <w:vMerge/>
            <w:tcBorders>
              <w:top w:val="nil"/>
            </w:tcBorders>
          </w:tcPr>
          <w:p w14:paraId="451B94F4" w14:textId="77777777" w:rsidR="00DF56D8" w:rsidRPr="00A942F6" w:rsidRDefault="00DF56D8" w:rsidP="00641834">
            <w:pPr>
              <w:rPr>
                <w:sz w:val="20"/>
                <w:szCs w:val="20"/>
                <w:lang w:val="nb-NO"/>
              </w:rPr>
            </w:pPr>
          </w:p>
        </w:tc>
        <w:tc>
          <w:tcPr>
            <w:tcW w:w="1526" w:type="dxa"/>
          </w:tcPr>
          <w:p w14:paraId="4E2E3A2B" w14:textId="77777777" w:rsidR="00DF56D8" w:rsidRPr="00A942F6" w:rsidRDefault="00DF56D8" w:rsidP="00641834">
            <w:pPr>
              <w:pStyle w:val="TableParagraph"/>
              <w:rPr>
                <w:b/>
                <w:sz w:val="20"/>
                <w:szCs w:val="20"/>
                <w:lang w:val="nb-NO"/>
              </w:rPr>
            </w:pPr>
            <w:r w:rsidRPr="00A942F6">
              <w:rPr>
                <w:b/>
                <w:sz w:val="20"/>
                <w:szCs w:val="20"/>
                <w:lang w:val="nb-NO"/>
              </w:rPr>
              <w:t>Svært vanlige</w:t>
            </w:r>
          </w:p>
          <w:p w14:paraId="5E7A622E" w14:textId="77777777" w:rsidR="00FF7C6E" w:rsidRPr="00A942F6" w:rsidRDefault="00FF7C6E" w:rsidP="00641834">
            <w:pPr>
              <w:pStyle w:val="TableParagraph"/>
              <w:rPr>
                <w:b/>
                <w:sz w:val="20"/>
                <w:szCs w:val="20"/>
                <w:lang w:val="nb-NO"/>
              </w:rPr>
            </w:pPr>
          </w:p>
        </w:tc>
        <w:tc>
          <w:tcPr>
            <w:tcW w:w="2071" w:type="dxa"/>
          </w:tcPr>
          <w:p w14:paraId="18156165" w14:textId="77777777" w:rsidR="00DF56D8" w:rsidRPr="00A942F6" w:rsidRDefault="00DF56D8" w:rsidP="00641834">
            <w:pPr>
              <w:pStyle w:val="TableParagraph"/>
              <w:jc w:val="center"/>
              <w:rPr>
                <w:b/>
                <w:sz w:val="20"/>
                <w:szCs w:val="20"/>
                <w:lang w:val="nb-NO"/>
              </w:rPr>
            </w:pPr>
            <w:r w:rsidRPr="00A942F6">
              <w:rPr>
                <w:b/>
                <w:sz w:val="20"/>
                <w:szCs w:val="20"/>
                <w:lang w:val="nb-NO"/>
              </w:rPr>
              <w:t>Vanlige</w:t>
            </w:r>
          </w:p>
          <w:p w14:paraId="07461BA3" w14:textId="77777777" w:rsidR="00FF7C6E" w:rsidRPr="00A942F6" w:rsidRDefault="00FF7C6E" w:rsidP="00641834">
            <w:pPr>
              <w:pStyle w:val="TableParagraph"/>
              <w:jc w:val="center"/>
              <w:rPr>
                <w:b/>
                <w:sz w:val="20"/>
                <w:szCs w:val="20"/>
                <w:lang w:val="nb-NO"/>
              </w:rPr>
            </w:pPr>
          </w:p>
        </w:tc>
        <w:tc>
          <w:tcPr>
            <w:tcW w:w="1722" w:type="dxa"/>
          </w:tcPr>
          <w:p w14:paraId="279EFBAE" w14:textId="77777777" w:rsidR="00DF56D8" w:rsidRPr="00A942F6" w:rsidRDefault="00DF56D8" w:rsidP="00641834">
            <w:pPr>
              <w:pStyle w:val="TableParagraph"/>
              <w:rPr>
                <w:b/>
                <w:sz w:val="20"/>
                <w:szCs w:val="20"/>
                <w:lang w:val="nb-NO"/>
              </w:rPr>
            </w:pPr>
            <w:r w:rsidRPr="00A942F6">
              <w:rPr>
                <w:b/>
                <w:sz w:val="20"/>
                <w:szCs w:val="20"/>
                <w:lang w:val="nb-NO"/>
              </w:rPr>
              <w:t>Mindre vanlige</w:t>
            </w:r>
          </w:p>
          <w:p w14:paraId="192A1648" w14:textId="77777777" w:rsidR="00FF7C6E" w:rsidRPr="00A942F6" w:rsidRDefault="00FF7C6E" w:rsidP="00641834">
            <w:pPr>
              <w:pStyle w:val="TableParagraph"/>
              <w:rPr>
                <w:b/>
                <w:sz w:val="20"/>
                <w:szCs w:val="20"/>
                <w:lang w:val="nb-NO"/>
              </w:rPr>
            </w:pPr>
          </w:p>
        </w:tc>
        <w:tc>
          <w:tcPr>
            <w:tcW w:w="1582" w:type="dxa"/>
          </w:tcPr>
          <w:p w14:paraId="7EA59A59" w14:textId="77777777" w:rsidR="00DF56D8" w:rsidRPr="00A942F6" w:rsidRDefault="00DF56D8" w:rsidP="00641834">
            <w:pPr>
              <w:pStyle w:val="TableParagraph"/>
              <w:rPr>
                <w:b/>
                <w:sz w:val="20"/>
                <w:szCs w:val="20"/>
                <w:lang w:val="nb-NO"/>
              </w:rPr>
            </w:pPr>
            <w:r w:rsidRPr="00A942F6">
              <w:rPr>
                <w:b/>
                <w:sz w:val="20"/>
                <w:szCs w:val="20"/>
                <w:lang w:val="nb-NO"/>
              </w:rPr>
              <w:t>Sjeldne</w:t>
            </w:r>
          </w:p>
          <w:p w14:paraId="321F5280" w14:textId="77777777" w:rsidR="00FF7C6E" w:rsidRPr="00A942F6" w:rsidRDefault="00FF7C6E" w:rsidP="00641834">
            <w:pPr>
              <w:pStyle w:val="TableParagraph"/>
              <w:rPr>
                <w:b/>
                <w:sz w:val="20"/>
                <w:szCs w:val="20"/>
                <w:lang w:val="nb-NO"/>
              </w:rPr>
            </w:pPr>
          </w:p>
        </w:tc>
      </w:tr>
      <w:tr w:rsidR="00DF56D8" w:rsidRPr="00A942F6" w14:paraId="5773D31C" w14:textId="77777777" w:rsidTr="00773AFE">
        <w:trPr>
          <w:cantSplit/>
          <w:trHeight w:val="20"/>
        </w:trPr>
        <w:tc>
          <w:tcPr>
            <w:tcW w:w="2179" w:type="dxa"/>
          </w:tcPr>
          <w:p w14:paraId="5EBDA8E6" w14:textId="77777777" w:rsidR="00DF56D8" w:rsidRPr="00A942F6" w:rsidRDefault="00DF56D8" w:rsidP="00641834">
            <w:pPr>
              <w:pStyle w:val="TableParagraph"/>
              <w:rPr>
                <w:sz w:val="20"/>
                <w:szCs w:val="20"/>
                <w:lang w:val="nb-NO"/>
              </w:rPr>
            </w:pPr>
            <w:r w:rsidRPr="00A942F6">
              <w:rPr>
                <w:sz w:val="20"/>
                <w:szCs w:val="20"/>
                <w:lang w:val="nb-NO"/>
              </w:rPr>
              <w:t>Infeksiøse og parasittære</w:t>
            </w:r>
          </w:p>
          <w:p w14:paraId="2D055965" w14:textId="77777777" w:rsidR="00DF56D8" w:rsidRPr="00A942F6" w:rsidRDefault="00DF56D8" w:rsidP="00641834">
            <w:pPr>
              <w:pStyle w:val="TableParagraph"/>
              <w:rPr>
                <w:sz w:val="20"/>
                <w:szCs w:val="20"/>
                <w:lang w:val="nb-NO"/>
              </w:rPr>
            </w:pPr>
            <w:r w:rsidRPr="00A942F6">
              <w:rPr>
                <w:sz w:val="20"/>
                <w:szCs w:val="20"/>
                <w:lang w:val="nb-NO"/>
              </w:rPr>
              <w:t>sykdommer</w:t>
            </w:r>
          </w:p>
        </w:tc>
        <w:tc>
          <w:tcPr>
            <w:tcW w:w="1526" w:type="dxa"/>
          </w:tcPr>
          <w:p w14:paraId="4143495D" w14:textId="77777777" w:rsidR="00DF56D8" w:rsidRPr="00A942F6" w:rsidRDefault="00DF56D8" w:rsidP="00641834">
            <w:pPr>
              <w:pStyle w:val="TableParagraph"/>
              <w:rPr>
                <w:sz w:val="20"/>
                <w:szCs w:val="20"/>
                <w:lang w:val="nb-NO"/>
              </w:rPr>
            </w:pPr>
            <w:r w:rsidRPr="00A942F6">
              <w:rPr>
                <w:sz w:val="20"/>
                <w:szCs w:val="20"/>
                <w:lang w:val="nb-NO"/>
              </w:rPr>
              <w:t>Øvre luftveis- infeksjoner</w:t>
            </w:r>
          </w:p>
        </w:tc>
        <w:tc>
          <w:tcPr>
            <w:tcW w:w="2071" w:type="dxa"/>
          </w:tcPr>
          <w:p w14:paraId="4D624E2D" w14:textId="77777777" w:rsidR="00DF56D8" w:rsidRPr="00A942F6" w:rsidRDefault="00DF56D8" w:rsidP="00641834">
            <w:pPr>
              <w:pStyle w:val="TableParagraph"/>
              <w:rPr>
                <w:sz w:val="20"/>
                <w:szCs w:val="20"/>
                <w:lang w:val="nb-NO"/>
              </w:rPr>
            </w:pPr>
            <w:r w:rsidRPr="00A942F6">
              <w:rPr>
                <w:sz w:val="20"/>
                <w:szCs w:val="20"/>
                <w:lang w:val="nb-NO"/>
              </w:rPr>
              <w:t>Cellulitt, Pneumoni, Oral herpes simplex,</w:t>
            </w:r>
          </w:p>
          <w:p w14:paraId="4F5DE292" w14:textId="77777777" w:rsidR="00DF56D8" w:rsidRPr="00A942F6" w:rsidRDefault="00DF56D8" w:rsidP="00641834">
            <w:pPr>
              <w:pStyle w:val="TableParagraph"/>
              <w:rPr>
                <w:sz w:val="20"/>
                <w:szCs w:val="20"/>
                <w:lang w:val="nb-NO"/>
              </w:rPr>
            </w:pPr>
            <w:r w:rsidRPr="00A942F6">
              <w:rPr>
                <w:sz w:val="20"/>
                <w:szCs w:val="20"/>
                <w:lang w:val="nb-NO"/>
              </w:rPr>
              <w:t>Herpes zoster</w:t>
            </w:r>
          </w:p>
        </w:tc>
        <w:tc>
          <w:tcPr>
            <w:tcW w:w="1722" w:type="dxa"/>
          </w:tcPr>
          <w:p w14:paraId="5FC9ED27" w14:textId="77777777" w:rsidR="00DF56D8" w:rsidRPr="00A942F6" w:rsidRDefault="00DF56D8" w:rsidP="00641834">
            <w:pPr>
              <w:pStyle w:val="TableParagraph"/>
              <w:rPr>
                <w:sz w:val="20"/>
                <w:szCs w:val="20"/>
                <w:lang w:val="nb-NO"/>
              </w:rPr>
            </w:pPr>
            <w:r w:rsidRPr="00A942F6">
              <w:rPr>
                <w:sz w:val="20"/>
                <w:szCs w:val="20"/>
                <w:lang w:val="nb-NO"/>
              </w:rPr>
              <w:t>Divertikulitt</w:t>
            </w:r>
          </w:p>
        </w:tc>
        <w:tc>
          <w:tcPr>
            <w:tcW w:w="1582" w:type="dxa"/>
          </w:tcPr>
          <w:p w14:paraId="609BE382" w14:textId="77777777" w:rsidR="00DF56D8" w:rsidRPr="00A942F6" w:rsidRDefault="00DF56D8" w:rsidP="00641834">
            <w:pPr>
              <w:pStyle w:val="TableParagraph"/>
              <w:rPr>
                <w:sz w:val="20"/>
                <w:szCs w:val="20"/>
                <w:lang w:val="nb-NO"/>
              </w:rPr>
            </w:pPr>
          </w:p>
        </w:tc>
      </w:tr>
      <w:tr w:rsidR="00DF56D8" w:rsidRPr="00A942F6" w14:paraId="1514B3FC" w14:textId="77777777" w:rsidTr="00773AFE">
        <w:trPr>
          <w:cantSplit/>
          <w:trHeight w:val="20"/>
        </w:trPr>
        <w:tc>
          <w:tcPr>
            <w:tcW w:w="2179" w:type="dxa"/>
          </w:tcPr>
          <w:p w14:paraId="1176ADB2" w14:textId="77777777" w:rsidR="00DF56D8" w:rsidRPr="00A942F6" w:rsidRDefault="00DF56D8" w:rsidP="00641834">
            <w:pPr>
              <w:pStyle w:val="TableParagraph"/>
              <w:rPr>
                <w:sz w:val="20"/>
                <w:szCs w:val="20"/>
                <w:lang w:val="nb-NO"/>
              </w:rPr>
            </w:pPr>
            <w:r w:rsidRPr="00A942F6">
              <w:rPr>
                <w:sz w:val="20"/>
                <w:szCs w:val="20"/>
                <w:lang w:val="nb-NO"/>
              </w:rPr>
              <w:t>Sykdommer i blod og</w:t>
            </w:r>
          </w:p>
          <w:p w14:paraId="10F234F2" w14:textId="77777777" w:rsidR="00DF56D8" w:rsidRPr="00A942F6" w:rsidRDefault="00DF56D8" w:rsidP="00641834">
            <w:pPr>
              <w:pStyle w:val="TableParagraph"/>
              <w:rPr>
                <w:sz w:val="20"/>
                <w:szCs w:val="20"/>
                <w:lang w:val="nb-NO"/>
              </w:rPr>
            </w:pPr>
            <w:r w:rsidRPr="00A942F6">
              <w:rPr>
                <w:sz w:val="20"/>
                <w:szCs w:val="20"/>
                <w:lang w:val="nb-NO"/>
              </w:rPr>
              <w:t>lymfatiske organer</w:t>
            </w:r>
          </w:p>
        </w:tc>
        <w:tc>
          <w:tcPr>
            <w:tcW w:w="1526" w:type="dxa"/>
          </w:tcPr>
          <w:p w14:paraId="36E5F2FE" w14:textId="77777777" w:rsidR="00DF56D8" w:rsidRPr="00A942F6" w:rsidRDefault="00DF56D8" w:rsidP="00641834">
            <w:pPr>
              <w:pStyle w:val="TableParagraph"/>
              <w:rPr>
                <w:sz w:val="20"/>
                <w:szCs w:val="20"/>
                <w:lang w:val="nb-NO"/>
              </w:rPr>
            </w:pPr>
          </w:p>
        </w:tc>
        <w:tc>
          <w:tcPr>
            <w:tcW w:w="2071" w:type="dxa"/>
          </w:tcPr>
          <w:p w14:paraId="2EA7D444" w14:textId="77777777" w:rsidR="00DF56D8" w:rsidRPr="00A942F6" w:rsidRDefault="00DF56D8" w:rsidP="00641834">
            <w:pPr>
              <w:pStyle w:val="TableParagraph"/>
              <w:rPr>
                <w:sz w:val="20"/>
                <w:szCs w:val="20"/>
                <w:lang w:val="nb-NO"/>
              </w:rPr>
            </w:pPr>
            <w:r w:rsidRPr="00A942F6">
              <w:rPr>
                <w:sz w:val="20"/>
                <w:szCs w:val="20"/>
                <w:lang w:val="nb-NO"/>
              </w:rPr>
              <w:t>Leukopeni, Nøytropeni,</w:t>
            </w:r>
          </w:p>
          <w:p w14:paraId="7786EDF2" w14:textId="77777777" w:rsidR="00DF56D8" w:rsidRPr="00A942F6" w:rsidRDefault="00DF56D8" w:rsidP="00641834">
            <w:pPr>
              <w:pStyle w:val="TableParagraph"/>
              <w:rPr>
                <w:sz w:val="20"/>
                <w:szCs w:val="20"/>
                <w:lang w:val="nb-NO"/>
              </w:rPr>
            </w:pPr>
            <w:r w:rsidRPr="00A942F6">
              <w:rPr>
                <w:sz w:val="20"/>
                <w:szCs w:val="20"/>
                <w:lang w:val="nb-NO"/>
              </w:rPr>
              <w:t>Hypofibrinogenemi</w:t>
            </w:r>
          </w:p>
        </w:tc>
        <w:tc>
          <w:tcPr>
            <w:tcW w:w="1722" w:type="dxa"/>
          </w:tcPr>
          <w:p w14:paraId="0E63546E" w14:textId="77777777" w:rsidR="00DF56D8" w:rsidRPr="00A942F6" w:rsidRDefault="00DF56D8" w:rsidP="00641834">
            <w:pPr>
              <w:pStyle w:val="TableParagraph"/>
              <w:rPr>
                <w:sz w:val="20"/>
                <w:szCs w:val="20"/>
                <w:lang w:val="nb-NO"/>
              </w:rPr>
            </w:pPr>
          </w:p>
        </w:tc>
        <w:tc>
          <w:tcPr>
            <w:tcW w:w="1582" w:type="dxa"/>
          </w:tcPr>
          <w:p w14:paraId="13AAA8A6" w14:textId="77777777" w:rsidR="00DF56D8" w:rsidRPr="00A942F6" w:rsidRDefault="00DF56D8" w:rsidP="00641834">
            <w:pPr>
              <w:pStyle w:val="TableParagraph"/>
              <w:rPr>
                <w:sz w:val="20"/>
                <w:szCs w:val="20"/>
                <w:lang w:val="nb-NO"/>
              </w:rPr>
            </w:pPr>
          </w:p>
        </w:tc>
      </w:tr>
      <w:tr w:rsidR="00DF56D8" w:rsidRPr="00A942F6" w14:paraId="117ADAFA" w14:textId="77777777" w:rsidTr="00773AFE">
        <w:trPr>
          <w:cantSplit/>
          <w:trHeight w:val="20"/>
        </w:trPr>
        <w:tc>
          <w:tcPr>
            <w:tcW w:w="2179" w:type="dxa"/>
          </w:tcPr>
          <w:p w14:paraId="56498F8E" w14:textId="77777777" w:rsidR="00DF56D8" w:rsidRPr="00A942F6" w:rsidRDefault="00DF56D8" w:rsidP="00641834">
            <w:pPr>
              <w:pStyle w:val="TableParagraph"/>
              <w:rPr>
                <w:sz w:val="20"/>
                <w:szCs w:val="20"/>
                <w:lang w:val="nb-NO"/>
              </w:rPr>
            </w:pPr>
            <w:r w:rsidRPr="00A942F6">
              <w:rPr>
                <w:sz w:val="20"/>
                <w:szCs w:val="20"/>
                <w:lang w:val="nb-NO"/>
              </w:rPr>
              <w:t>Forstyrrelser i</w:t>
            </w:r>
          </w:p>
          <w:p w14:paraId="5F151F96" w14:textId="77777777" w:rsidR="00DF56D8" w:rsidRPr="00A942F6" w:rsidRDefault="00DF56D8" w:rsidP="00641834">
            <w:pPr>
              <w:pStyle w:val="TableParagraph"/>
              <w:rPr>
                <w:sz w:val="20"/>
                <w:szCs w:val="20"/>
                <w:lang w:val="nb-NO"/>
              </w:rPr>
            </w:pPr>
            <w:r w:rsidRPr="00A942F6">
              <w:rPr>
                <w:sz w:val="20"/>
                <w:szCs w:val="20"/>
                <w:lang w:val="nb-NO"/>
              </w:rPr>
              <w:t>immunsystemet</w:t>
            </w:r>
          </w:p>
        </w:tc>
        <w:tc>
          <w:tcPr>
            <w:tcW w:w="1526" w:type="dxa"/>
          </w:tcPr>
          <w:p w14:paraId="4869B800" w14:textId="77777777" w:rsidR="00DF56D8" w:rsidRPr="00A942F6" w:rsidRDefault="00DF56D8" w:rsidP="00641834">
            <w:pPr>
              <w:pStyle w:val="TableParagraph"/>
              <w:rPr>
                <w:sz w:val="20"/>
                <w:szCs w:val="20"/>
                <w:lang w:val="nb-NO"/>
              </w:rPr>
            </w:pPr>
          </w:p>
        </w:tc>
        <w:tc>
          <w:tcPr>
            <w:tcW w:w="2071" w:type="dxa"/>
          </w:tcPr>
          <w:p w14:paraId="1AC4B12B" w14:textId="77777777" w:rsidR="00DF56D8" w:rsidRPr="00A942F6" w:rsidRDefault="00DF56D8" w:rsidP="00641834">
            <w:pPr>
              <w:pStyle w:val="TableParagraph"/>
              <w:rPr>
                <w:sz w:val="20"/>
                <w:szCs w:val="20"/>
                <w:lang w:val="nb-NO"/>
              </w:rPr>
            </w:pPr>
          </w:p>
        </w:tc>
        <w:tc>
          <w:tcPr>
            <w:tcW w:w="1722" w:type="dxa"/>
          </w:tcPr>
          <w:p w14:paraId="06CD77F2" w14:textId="77777777" w:rsidR="00DF56D8" w:rsidRPr="00A942F6" w:rsidRDefault="00DF56D8" w:rsidP="00641834">
            <w:pPr>
              <w:pStyle w:val="TableParagraph"/>
              <w:rPr>
                <w:sz w:val="20"/>
                <w:szCs w:val="20"/>
                <w:lang w:val="nb-NO"/>
              </w:rPr>
            </w:pPr>
          </w:p>
        </w:tc>
        <w:tc>
          <w:tcPr>
            <w:tcW w:w="1582" w:type="dxa"/>
          </w:tcPr>
          <w:p w14:paraId="137F30AB" w14:textId="77777777" w:rsidR="00DF56D8" w:rsidRPr="00A942F6" w:rsidRDefault="00DF56D8" w:rsidP="00641834">
            <w:pPr>
              <w:pStyle w:val="TableParagraph"/>
              <w:rPr>
                <w:sz w:val="20"/>
                <w:szCs w:val="20"/>
                <w:lang w:val="nb-NO"/>
              </w:rPr>
            </w:pPr>
            <w:r w:rsidRPr="00A942F6">
              <w:rPr>
                <w:sz w:val="20"/>
                <w:szCs w:val="20"/>
                <w:lang w:val="nb-NO"/>
              </w:rPr>
              <w:t>Anafylaksi</w:t>
            </w:r>
            <w:r w:rsidR="00FD4E24" w:rsidRPr="00A942F6">
              <w:rPr>
                <w:sz w:val="20"/>
                <w:szCs w:val="20"/>
                <w:lang w:val="nb-NO"/>
              </w:rPr>
              <w:t xml:space="preserve"> </w:t>
            </w:r>
            <w:r w:rsidRPr="00A942F6">
              <w:rPr>
                <w:sz w:val="20"/>
                <w:szCs w:val="20"/>
                <w:lang w:val="nb-NO"/>
              </w:rPr>
              <w:t>(dødelig)</w:t>
            </w:r>
            <w:r w:rsidRPr="00A942F6">
              <w:rPr>
                <w:sz w:val="20"/>
                <w:szCs w:val="20"/>
                <w:vertAlign w:val="superscript"/>
                <w:lang w:val="nb-NO"/>
              </w:rPr>
              <w:t>1,</w:t>
            </w:r>
            <w:r w:rsidRPr="00A942F6">
              <w:rPr>
                <w:sz w:val="20"/>
                <w:szCs w:val="20"/>
                <w:lang w:val="nb-NO"/>
              </w:rPr>
              <w:t xml:space="preserve"> </w:t>
            </w:r>
            <w:r w:rsidRPr="00A942F6">
              <w:rPr>
                <w:sz w:val="20"/>
                <w:szCs w:val="20"/>
                <w:vertAlign w:val="superscript"/>
                <w:lang w:val="nb-NO"/>
              </w:rPr>
              <w:t>2</w:t>
            </w:r>
            <w:r w:rsidRPr="00A942F6">
              <w:rPr>
                <w:sz w:val="20"/>
                <w:szCs w:val="20"/>
                <w:lang w:val="nb-NO"/>
              </w:rPr>
              <w:t xml:space="preserve"> </w:t>
            </w:r>
            <w:r w:rsidRPr="00A942F6">
              <w:rPr>
                <w:sz w:val="20"/>
                <w:szCs w:val="20"/>
                <w:vertAlign w:val="superscript"/>
                <w:lang w:val="nb-NO"/>
              </w:rPr>
              <w:t>,</w:t>
            </w:r>
            <w:r w:rsidRPr="00A942F6">
              <w:rPr>
                <w:sz w:val="20"/>
                <w:szCs w:val="20"/>
                <w:lang w:val="nb-NO"/>
              </w:rPr>
              <w:t xml:space="preserve"> </w:t>
            </w:r>
            <w:r w:rsidRPr="00A942F6">
              <w:rPr>
                <w:sz w:val="20"/>
                <w:szCs w:val="20"/>
                <w:vertAlign w:val="superscript"/>
                <w:lang w:val="nb-NO"/>
              </w:rPr>
              <w:t>3</w:t>
            </w:r>
          </w:p>
        </w:tc>
      </w:tr>
      <w:tr w:rsidR="00DF56D8" w:rsidRPr="00A942F6" w14:paraId="2B868253" w14:textId="77777777" w:rsidTr="00773AFE">
        <w:trPr>
          <w:cantSplit/>
          <w:trHeight w:val="20"/>
        </w:trPr>
        <w:tc>
          <w:tcPr>
            <w:tcW w:w="2179" w:type="dxa"/>
          </w:tcPr>
          <w:p w14:paraId="312F6DE8" w14:textId="77777777" w:rsidR="00DF56D8" w:rsidRPr="00A942F6" w:rsidRDefault="00DF56D8" w:rsidP="00641834">
            <w:pPr>
              <w:pStyle w:val="TableParagraph"/>
              <w:rPr>
                <w:sz w:val="20"/>
                <w:szCs w:val="20"/>
                <w:lang w:val="nb-NO"/>
              </w:rPr>
            </w:pPr>
            <w:r w:rsidRPr="00A942F6">
              <w:rPr>
                <w:sz w:val="20"/>
                <w:szCs w:val="20"/>
                <w:lang w:val="nb-NO"/>
              </w:rPr>
              <w:t>Endokrine sykdommer</w:t>
            </w:r>
          </w:p>
        </w:tc>
        <w:tc>
          <w:tcPr>
            <w:tcW w:w="1526" w:type="dxa"/>
          </w:tcPr>
          <w:p w14:paraId="039822E5" w14:textId="77777777" w:rsidR="00DF56D8" w:rsidRPr="00A942F6" w:rsidRDefault="00DF56D8" w:rsidP="00641834">
            <w:pPr>
              <w:pStyle w:val="TableParagraph"/>
              <w:rPr>
                <w:sz w:val="20"/>
                <w:szCs w:val="20"/>
                <w:lang w:val="nb-NO"/>
              </w:rPr>
            </w:pPr>
          </w:p>
        </w:tc>
        <w:tc>
          <w:tcPr>
            <w:tcW w:w="2071" w:type="dxa"/>
          </w:tcPr>
          <w:p w14:paraId="7E7F54D9" w14:textId="77777777" w:rsidR="00DF56D8" w:rsidRPr="00A942F6" w:rsidRDefault="00DF56D8" w:rsidP="00641834">
            <w:pPr>
              <w:pStyle w:val="TableParagraph"/>
              <w:rPr>
                <w:sz w:val="20"/>
                <w:szCs w:val="20"/>
                <w:lang w:val="nb-NO"/>
              </w:rPr>
            </w:pPr>
          </w:p>
        </w:tc>
        <w:tc>
          <w:tcPr>
            <w:tcW w:w="1722" w:type="dxa"/>
          </w:tcPr>
          <w:p w14:paraId="75E708BB" w14:textId="77777777" w:rsidR="00DF56D8" w:rsidRPr="00A942F6" w:rsidRDefault="00DF56D8" w:rsidP="00641834">
            <w:pPr>
              <w:pStyle w:val="TableParagraph"/>
              <w:rPr>
                <w:sz w:val="20"/>
                <w:szCs w:val="20"/>
                <w:lang w:val="nb-NO"/>
              </w:rPr>
            </w:pPr>
            <w:r w:rsidRPr="00A942F6">
              <w:rPr>
                <w:sz w:val="20"/>
                <w:szCs w:val="20"/>
                <w:lang w:val="nb-NO"/>
              </w:rPr>
              <w:t>Hypotyreoidisme</w:t>
            </w:r>
          </w:p>
        </w:tc>
        <w:tc>
          <w:tcPr>
            <w:tcW w:w="1582" w:type="dxa"/>
          </w:tcPr>
          <w:p w14:paraId="3B46F089" w14:textId="77777777" w:rsidR="00DF56D8" w:rsidRPr="00A942F6" w:rsidRDefault="00DF56D8" w:rsidP="00641834">
            <w:pPr>
              <w:pStyle w:val="TableParagraph"/>
              <w:rPr>
                <w:sz w:val="20"/>
                <w:szCs w:val="20"/>
                <w:lang w:val="nb-NO"/>
              </w:rPr>
            </w:pPr>
          </w:p>
        </w:tc>
      </w:tr>
      <w:tr w:rsidR="00DF56D8" w:rsidRPr="00A942F6" w14:paraId="6C6B76E3" w14:textId="77777777" w:rsidTr="00773AFE">
        <w:trPr>
          <w:cantSplit/>
          <w:trHeight w:val="20"/>
        </w:trPr>
        <w:tc>
          <w:tcPr>
            <w:tcW w:w="2179" w:type="dxa"/>
          </w:tcPr>
          <w:p w14:paraId="624279B9" w14:textId="77777777" w:rsidR="00DF56D8" w:rsidRPr="00A942F6" w:rsidRDefault="00DF56D8" w:rsidP="00641834">
            <w:pPr>
              <w:pStyle w:val="TableParagraph"/>
              <w:rPr>
                <w:sz w:val="20"/>
                <w:szCs w:val="20"/>
                <w:lang w:val="nb-NO"/>
              </w:rPr>
            </w:pPr>
            <w:r w:rsidRPr="00A942F6">
              <w:rPr>
                <w:sz w:val="20"/>
                <w:szCs w:val="20"/>
                <w:lang w:val="nb-NO"/>
              </w:rPr>
              <w:t>Stoffskifte- og ernæringsbetingede</w:t>
            </w:r>
          </w:p>
          <w:p w14:paraId="2B44AAAA" w14:textId="77777777" w:rsidR="00DF56D8" w:rsidRPr="00A942F6" w:rsidRDefault="00DF56D8" w:rsidP="00641834">
            <w:pPr>
              <w:pStyle w:val="TableParagraph"/>
              <w:rPr>
                <w:sz w:val="20"/>
                <w:szCs w:val="20"/>
                <w:lang w:val="nb-NO"/>
              </w:rPr>
            </w:pPr>
            <w:r w:rsidRPr="00A942F6">
              <w:rPr>
                <w:sz w:val="20"/>
                <w:szCs w:val="20"/>
                <w:lang w:val="nb-NO"/>
              </w:rPr>
              <w:t>sykdommer</w:t>
            </w:r>
          </w:p>
        </w:tc>
        <w:tc>
          <w:tcPr>
            <w:tcW w:w="1526" w:type="dxa"/>
          </w:tcPr>
          <w:p w14:paraId="04540A49" w14:textId="77777777" w:rsidR="00DF56D8" w:rsidRPr="00A942F6" w:rsidRDefault="00DF56D8" w:rsidP="00641834">
            <w:pPr>
              <w:pStyle w:val="TableParagraph"/>
              <w:rPr>
                <w:sz w:val="20"/>
                <w:szCs w:val="20"/>
                <w:lang w:val="nb-NO"/>
              </w:rPr>
            </w:pPr>
            <w:r w:rsidRPr="00A942F6">
              <w:rPr>
                <w:sz w:val="20"/>
                <w:szCs w:val="20"/>
                <w:lang w:val="nb-NO"/>
              </w:rPr>
              <w:t>Hyper- kolesterolemi*</w:t>
            </w:r>
          </w:p>
        </w:tc>
        <w:tc>
          <w:tcPr>
            <w:tcW w:w="2071" w:type="dxa"/>
          </w:tcPr>
          <w:p w14:paraId="271B53C9" w14:textId="77777777" w:rsidR="00DF56D8" w:rsidRPr="00A942F6" w:rsidRDefault="00DF56D8" w:rsidP="00641834">
            <w:pPr>
              <w:pStyle w:val="TableParagraph"/>
              <w:rPr>
                <w:sz w:val="20"/>
                <w:szCs w:val="20"/>
                <w:lang w:val="nb-NO"/>
              </w:rPr>
            </w:pPr>
          </w:p>
        </w:tc>
        <w:tc>
          <w:tcPr>
            <w:tcW w:w="1722" w:type="dxa"/>
          </w:tcPr>
          <w:p w14:paraId="5E6A0183" w14:textId="77777777" w:rsidR="00DF56D8" w:rsidRPr="00A942F6" w:rsidRDefault="00DF56D8" w:rsidP="00641834">
            <w:pPr>
              <w:pStyle w:val="TableParagraph"/>
              <w:rPr>
                <w:sz w:val="20"/>
                <w:szCs w:val="20"/>
                <w:lang w:val="nb-NO"/>
              </w:rPr>
            </w:pPr>
            <w:r w:rsidRPr="00A942F6">
              <w:rPr>
                <w:sz w:val="20"/>
                <w:szCs w:val="20"/>
                <w:lang w:val="nb-NO"/>
              </w:rPr>
              <w:t>Hyper- triglyseridemi</w:t>
            </w:r>
          </w:p>
        </w:tc>
        <w:tc>
          <w:tcPr>
            <w:tcW w:w="1582" w:type="dxa"/>
          </w:tcPr>
          <w:p w14:paraId="23C8E0F9" w14:textId="77777777" w:rsidR="00DF56D8" w:rsidRPr="00A942F6" w:rsidRDefault="00DF56D8" w:rsidP="00641834">
            <w:pPr>
              <w:pStyle w:val="TableParagraph"/>
              <w:rPr>
                <w:sz w:val="20"/>
                <w:szCs w:val="20"/>
                <w:lang w:val="nb-NO"/>
              </w:rPr>
            </w:pPr>
          </w:p>
        </w:tc>
      </w:tr>
      <w:tr w:rsidR="00DF56D8" w:rsidRPr="00A942F6" w14:paraId="46E83B03" w14:textId="77777777" w:rsidTr="00773AFE">
        <w:trPr>
          <w:cantSplit/>
          <w:trHeight w:val="20"/>
        </w:trPr>
        <w:tc>
          <w:tcPr>
            <w:tcW w:w="2179" w:type="dxa"/>
          </w:tcPr>
          <w:p w14:paraId="71BCD8C6" w14:textId="77777777" w:rsidR="00DF56D8" w:rsidRPr="00A942F6" w:rsidRDefault="00DF56D8" w:rsidP="00641834">
            <w:pPr>
              <w:pStyle w:val="TableParagraph"/>
              <w:rPr>
                <w:sz w:val="20"/>
                <w:szCs w:val="20"/>
                <w:lang w:val="nb-NO"/>
              </w:rPr>
            </w:pPr>
            <w:r w:rsidRPr="00A942F6">
              <w:rPr>
                <w:sz w:val="20"/>
                <w:szCs w:val="20"/>
                <w:lang w:val="nb-NO"/>
              </w:rPr>
              <w:t>Nevrologiske</w:t>
            </w:r>
          </w:p>
          <w:p w14:paraId="74D51CF0" w14:textId="77777777" w:rsidR="00DF56D8" w:rsidRPr="00A942F6" w:rsidRDefault="00DF56D8" w:rsidP="00641834">
            <w:pPr>
              <w:pStyle w:val="TableParagraph"/>
              <w:rPr>
                <w:sz w:val="20"/>
                <w:szCs w:val="20"/>
                <w:lang w:val="nb-NO"/>
              </w:rPr>
            </w:pPr>
            <w:r w:rsidRPr="00A942F6">
              <w:rPr>
                <w:sz w:val="20"/>
                <w:szCs w:val="20"/>
                <w:lang w:val="nb-NO"/>
              </w:rPr>
              <w:t>sykdommer</w:t>
            </w:r>
          </w:p>
        </w:tc>
        <w:tc>
          <w:tcPr>
            <w:tcW w:w="1526" w:type="dxa"/>
          </w:tcPr>
          <w:p w14:paraId="2EC40A84" w14:textId="77777777" w:rsidR="00DF56D8" w:rsidRPr="00A942F6" w:rsidRDefault="00DF56D8" w:rsidP="00641834">
            <w:pPr>
              <w:pStyle w:val="TableParagraph"/>
              <w:rPr>
                <w:sz w:val="20"/>
                <w:szCs w:val="20"/>
                <w:lang w:val="nb-NO"/>
              </w:rPr>
            </w:pPr>
          </w:p>
        </w:tc>
        <w:tc>
          <w:tcPr>
            <w:tcW w:w="2071" w:type="dxa"/>
          </w:tcPr>
          <w:p w14:paraId="31D43003" w14:textId="77777777" w:rsidR="00DF56D8" w:rsidRPr="00A942F6" w:rsidRDefault="00DF56D8" w:rsidP="00641834">
            <w:pPr>
              <w:pStyle w:val="TableParagraph"/>
              <w:rPr>
                <w:sz w:val="20"/>
                <w:szCs w:val="20"/>
                <w:lang w:val="nb-NO"/>
              </w:rPr>
            </w:pPr>
            <w:r w:rsidRPr="00A942F6">
              <w:rPr>
                <w:sz w:val="20"/>
                <w:szCs w:val="20"/>
                <w:lang w:val="nb-NO"/>
              </w:rPr>
              <w:t>Hodepine,</w:t>
            </w:r>
            <w:r w:rsidR="00FD4E24" w:rsidRPr="00A942F6">
              <w:rPr>
                <w:sz w:val="20"/>
                <w:szCs w:val="20"/>
                <w:lang w:val="nb-NO"/>
              </w:rPr>
              <w:t xml:space="preserve"> </w:t>
            </w:r>
          </w:p>
          <w:p w14:paraId="3442B690" w14:textId="77777777" w:rsidR="00DF56D8" w:rsidRPr="00A942F6" w:rsidRDefault="00DF56D8" w:rsidP="00641834">
            <w:pPr>
              <w:pStyle w:val="TableParagraph"/>
              <w:rPr>
                <w:sz w:val="20"/>
                <w:szCs w:val="20"/>
                <w:lang w:val="nb-NO"/>
              </w:rPr>
            </w:pPr>
            <w:r w:rsidRPr="00A942F6">
              <w:rPr>
                <w:sz w:val="20"/>
                <w:szCs w:val="20"/>
                <w:lang w:val="nb-NO"/>
              </w:rPr>
              <w:t>Svimmelhet</w:t>
            </w:r>
          </w:p>
        </w:tc>
        <w:tc>
          <w:tcPr>
            <w:tcW w:w="1722" w:type="dxa"/>
          </w:tcPr>
          <w:p w14:paraId="7E62731F" w14:textId="77777777" w:rsidR="00DF56D8" w:rsidRPr="00A942F6" w:rsidRDefault="00DF56D8" w:rsidP="00641834">
            <w:pPr>
              <w:pStyle w:val="TableParagraph"/>
              <w:rPr>
                <w:sz w:val="20"/>
                <w:szCs w:val="20"/>
                <w:lang w:val="nb-NO"/>
              </w:rPr>
            </w:pPr>
          </w:p>
        </w:tc>
        <w:tc>
          <w:tcPr>
            <w:tcW w:w="1582" w:type="dxa"/>
          </w:tcPr>
          <w:p w14:paraId="21E77109" w14:textId="77777777" w:rsidR="00DF56D8" w:rsidRPr="00A942F6" w:rsidRDefault="00DF56D8" w:rsidP="00641834">
            <w:pPr>
              <w:pStyle w:val="TableParagraph"/>
              <w:rPr>
                <w:sz w:val="20"/>
                <w:szCs w:val="20"/>
                <w:lang w:val="nb-NO"/>
              </w:rPr>
            </w:pPr>
          </w:p>
        </w:tc>
      </w:tr>
      <w:tr w:rsidR="00DF56D8" w:rsidRPr="00A942F6" w14:paraId="39A3E059" w14:textId="77777777" w:rsidTr="00773AFE">
        <w:trPr>
          <w:cantSplit/>
          <w:trHeight w:val="20"/>
        </w:trPr>
        <w:tc>
          <w:tcPr>
            <w:tcW w:w="2179" w:type="dxa"/>
          </w:tcPr>
          <w:p w14:paraId="562CCCA3" w14:textId="77777777" w:rsidR="00DF56D8" w:rsidRPr="00A942F6" w:rsidRDefault="00DF56D8" w:rsidP="00641834">
            <w:pPr>
              <w:pStyle w:val="TableParagraph"/>
              <w:rPr>
                <w:sz w:val="20"/>
                <w:szCs w:val="20"/>
                <w:lang w:val="nb-NO"/>
              </w:rPr>
            </w:pPr>
            <w:r w:rsidRPr="00A942F6">
              <w:rPr>
                <w:sz w:val="20"/>
                <w:szCs w:val="20"/>
                <w:lang w:val="nb-NO"/>
              </w:rPr>
              <w:t>Øyesykdommer</w:t>
            </w:r>
          </w:p>
        </w:tc>
        <w:tc>
          <w:tcPr>
            <w:tcW w:w="1526" w:type="dxa"/>
          </w:tcPr>
          <w:p w14:paraId="0FB36E4C" w14:textId="77777777" w:rsidR="00DF56D8" w:rsidRPr="00A942F6" w:rsidRDefault="00DF56D8" w:rsidP="00641834">
            <w:pPr>
              <w:pStyle w:val="TableParagraph"/>
              <w:rPr>
                <w:sz w:val="20"/>
                <w:szCs w:val="20"/>
                <w:lang w:val="nb-NO"/>
              </w:rPr>
            </w:pPr>
          </w:p>
        </w:tc>
        <w:tc>
          <w:tcPr>
            <w:tcW w:w="2071" w:type="dxa"/>
          </w:tcPr>
          <w:p w14:paraId="719B0E5B" w14:textId="77777777" w:rsidR="00DF56D8" w:rsidRPr="00A942F6" w:rsidRDefault="00DF56D8" w:rsidP="00641834">
            <w:pPr>
              <w:pStyle w:val="TableParagraph"/>
              <w:rPr>
                <w:sz w:val="20"/>
                <w:szCs w:val="20"/>
                <w:lang w:val="nb-NO"/>
              </w:rPr>
            </w:pPr>
            <w:r w:rsidRPr="00A942F6">
              <w:rPr>
                <w:sz w:val="20"/>
                <w:szCs w:val="20"/>
                <w:lang w:val="nb-NO"/>
              </w:rPr>
              <w:t>Konjunktivitt</w:t>
            </w:r>
          </w:p>
        </w:tc>
        <w:tc>
          <w:tcPr>
            <w:tcW w:w="1722" w:type="dxa"/>
          </w:tcPr>
          <w:p w14:paraId="6482B477" w14:textId="77777777" w:rsidR="00DF56D8" w:rsidRPr="00A942F6" w:rsidRDefault="00DF56D8" w:rsidP="00641834">
            <w:pPr>
              <w:pStyle w:val="TableParagraph"/>
              <w:rPr>
                <w:sz w:val="20"/>
                <w:szCs w:val="20"/>
                <w:lang w:val="nb-NO"/>
              </w:rPr>
            </w:pPr>
          </w:p>
        </w:tc>
        <w:tc>
          <w:tcPr>
            <w:tcW w:w="1582" w:type="dxa"/>
          </w:tcPr>
          <w:p w14:paraId="0552195E" w14:textId="77777777" w:rsidR="00DF56D8" w:rsidRPr="00A942F6" w:rsidRDefault="00DF56D8" w:rsidP="00641834">
            <w:pPr>
              <w:pStyle w:val="TableParagraph"/>
              <w:rPr>
                <w:sz w:val="20"/>
                <w:szCs w:val="20"/>
                <w:lang w:val="nb-NO"/>
              </w:rPr>
            </w:pPr>
          </w:p>
        </w:tc>
      </w:tr>
      <w:tr w:rsidR="00DF56D8" w:rsidRPr="00A942F6" w14:paraId="29B3096D" w14:textId="77777777" w:rsidTr="00773AFE">
        <w:trPr>
          <w:cantSplit/>
          <w:trHeight w:val="20"/>
        </w:trPr>
        <w:tc>
          <w:tcPr>
            <w:tcW w:w="2179" w:type="dxa"/>
          </w:tcPr>
          <w:p w14:paraId="5EE28ED2" w14:textId="77777777" w:rsidR="00DF56D8" w:rsidRPr="00A942F6" w:rsidRDefault="00DF56D8" w:rsidP="00641834">
            <w:pPr>
              <w:pStyle w:val="TableParagraph"/>
              <w:rPr>
                <w:sz w:val="20"/>
                <w:szCs w:val="20"/>
                <w:lang w:val="nb-NO"/>
              </w:rPr>
            </w:pPr>
            <w:r w:rsidRPr="00A942F6">
              <w:rPr>
                <w:sz w:val="20"/>
                <w:szCs w:val="20"/>
                <w:lang w:val="nb-NO"/>
              </w:rPr>
              <w:t>Karsykdommer</w:t>
            </w:r>
          </w:p>
        </w:tc>
        <w:tc>
          <w:tcPr>
            <w:tcW w:w="1526" w:type="dxa"/>
          </w:tcPr>
          <w:p w14:paraId="348DFBFC" w14:textId="77777777" w:rsidR="00DF56D8" w:rsidRPr="00A942F6" w:rsidRDefault="00DF56D8" w:rsidP="00641834">
            <w:pPr>
              <w:pStyle w:val="TableParagraph"/>
              <w:rPr>
                <w:sz w:val="20"/>
                <w:szCs w:val="20"/>
                <w:lang w:val="nb-NO"/>
              </w:rPr>
            </w:pPr>
          </w:p>
        </w:tc>
        <w:tc>
          <w:tcPr>
            <w:tcW w:w="2071" w:type="dxa"/>
          </w:tcPr>
          <w:p w14:paraId="4608C964" w14:textId="77777777" w:rsidR="00DF56D8" w:rsidRPr="00A942F6" w:rsidRDefault="00DF56D8" w:rsidP="00641834">
            <w:pPr>
              <w:pStyle w:val="TableParagraph"/>
              <w:rPr>
                <w:sz w:val="20"/>
                <w:szCs w:val="20"/>
                <w:lang w:val="nb-NO"/>
              </w:rPr>
            </w:pPr>
            <w:r w:rsidRPr="00A942F6">
              <w:rPr>
                <w:sz w:val="20"/>
                <w:szCs w:val="20"/>
                <w:lang w:val="nb-NO"/>
              </w:rPr>
              <w:t>Hypertensjon</w:t>
            </w:r>
          </w:p>
        </w:tc>
        <w:tc>
          <w:tcPr>
            <w:tcW w:w="1722" w:type="dxa"/>
          </w:tcPr>
          <w:p w14:paraId="5A22C8CF" w14:textId="77777777" w:rsidR="00DF56D8" w:rsidRPr="00A942F6" w:rsidRDefault="00DF56D8" w:rsidP="00641834">
            <w:pPr>
              <w:pStyle w:val="TableParagraph"/>
              <w:rPr>
                <w:sz w:val="20"/>
                <w:szCs w:val="20"/>
                <w:lang w:val="nb-NO"/>
              </w:rPr>
            </w:pPr>
          </w:p>
        </w:tc>
        <w:tc>
          <w:tcPr>
            <w:tcW w:w="1582" w:type="dxa"/>
          </w:tcPr>
          <w:p w14:paraId="037E91FB" w14:textId="77777777" w:rsidR="00DF56D8" w:rsidRPr="00A942F6" w:rsidRDefault="00DF56D8" w:rsidP="00641834">
            <w:pPr>
              <w:pStyle w:val="TableParagraph"/>
              <w:rPr>
                <w:sz w:val="20"/>
                <w:szCs w:val="20"/>
                <w:lang w:val="nb-NO"/>
              </w:rPr>
            </w:pPr>
          </w:p>
        </w:tc>
      </w:tr>
      <w:tr w:rsidR="00DF56D8" w:rsidRPr="00A942F6" w14:paraId="71BC6C58" w14:textId="77777777" w:rsidTr="00773AFE">
        <w:trPr>
          <w:cantSplit/>
          <w:trHeight w:val="20"/>
        </w:trPr>
        <w:tc>
          <w:tcPr>
            <w:tcW w:w="2179" w:type="dxa"/>
          </w:tcPr>
          <w:p w14:paraId="547D59C3" w14:textId="77777777" w:rsidR="00DF56D8" w:rsidRPr="00A942F6" w:rsidRDefault="00DF56D8" w:rsidP="00641834">
            <w:pPr>
              <w:pStyle w:val="TableParagraph"/>
              <w:rPr>
                <w:sz w:val="20"/>
                <w:szCs w:val="20"/>
                <w:lang w:val="nb-NO"/>
              </w:rPr>
            </w:pPr>
            <w:r w:rsidRPr="00A942F6">
              <w:rPr>
                <w:sz w:val="20"/>
                <w:szCs w:val="20"/>
                <w:lang w:val="nb-NO"/>
              </w:rPr>
              <w:t>Sykdommer i respirasjonsorganer, thorax og</w:t>
            </w:r>
          </w:p>
          <w:p w14:paraId="67E96C66" w14:textId="77777777" w:rsidR="00DF56D8" w:rsidRPr="00A942F6" w:rsidRDefault="00DF56D8" w:rsidP="00641834">
            <w:pPr>
              <w:pStyle w:val="TableParagraph"/>
              <w:rPr>
                <w:sz w:val="20"/>
                <w:szCs w:val="20"/>
                <w:lang w:val="nb-NO"/>
              </w:rPr>
            </w:pPr>
            <w:r w:rsidRPr="00A942F6">
              <w:rPr>
                <w:sz w:val="20"/>
                <w:szCs w:val="20"/>
                <w:lang w:val="nb-NO"/>
              </w:rPr>
              <w:t>mediastinum</w:t>
            </w:r>
          </w:p>
        </w:tc>
        <w:tc>
          <w:tcPr>
            <w:tcW w:w="1526" w:type="dxa"/>
          </w:tcPr>
          <w:p w14:paraId="00F067BD" w14:textId="77777777" w:rsidR="00DF56D8" w:rsidRPr="00A942F6" w:rsidRDefault="00DF56D8" w:rsidP="00641834">
            <w:pPr>
              <w:pStyle w:val="TableParagraph"/>
              <w:rPr>
                <w:sz w:val="20"/>
                <w:szCs w:val="20"/>
                <w:lang w:val="nb-NO"/>
              </w:rPr>
            </w:pPr>
          </w:p>
        </w:tc>
        <w:tc>
          <w:tcPr>
            <w:tcW w:w="2071" w:type="dxa"/>
          </w:tcPr>
          <w:p w14:paraId="21C8799B" w14:textId="77777777" w:rsidR="00DF56D8" w:rsidRPr="00A942F6" w:rsidRDefault="00DF56D8" w:rsidP="00641834">
            <w:pPr>
              <w:pStyle w:val="TableParagraph"/>
              <w:rPr>
                <w:sz w:val="20"/>
                <w:szCs w:val="20"/>
                <w:lang w:val="nb-NO"/>
              </w:rPr>
            </w:pPr>
            <w:r w:rsidRPr="00A942F6">
              <w:rPr>
                <w:sz w:val="20"/>
                <w:szCs w:val="20"/>
                <w:lang w:val="nb-NO"/>
              </w:rPr>
              <w:t>Hoste, Dyspné</w:t>
            </w:r>
          </w:p>
        </w:tc>
        <w:tc>
          <w:tcPr>
            <w:tcW w:w="1722" w:type="dxa"/>
          </w:tcPr>
          <w:p w14:paraId="22EDEEC7" w14:textId="77777777" w:rsidR="00DF56D8" w:rsidRPr="00A942F6" w:rsidRDefault="00DF56D8" w:rsidP="00641834">
            <w:pPr>
              <w:pStyle w:val="TableParagraph"/>
              <w:rPr>
                <w:sz w:val="20"/>
                <w:szCs w:val="20"/>
                <w:lang w:val="nb-NO"/>
              </w:rPr>
            </w:pPr>
          </w:p>
        </w:tc>
        <w:tc>
          <w:tcPr>
            <w:tcW w:w="1582" w:type="dxa"/>
          </w:tcPr>
          <w:p w14:paraId="1CEE0181" w14:textId="77777777" w:rsidR="00DF56D8" w:rsidRPr="00A942F6" w:rsidRDefault="00DF56D8" w:rsidP="00641834">
            <w:pPr>
              <w:pStyle w:val="TableParagraph"/>
              <w:rPr>
                <w:sz w:val="20"/>
                <w:szCs w:val="20"/>
                <w:lang w:val="nb-NO"/>
              </w:rPr>
            </w:pPr>
          </w:p>
        </w:tc>
      </w:tr>
      <w:tr w:rsidR="00DF56D8" w:rsidRPr="00A942F6" w14:paraId="4B2737DE" w14:textId="77777777" w:rsidTr="00773AFE">
        <w:trPr>
          <w:cantSplit/>
          <w:trHeight w:val="20"/>
        </w:trPr>
        <w:tc>
          <w:tcPr>
            <w:tcW w:w="2179" w:type="dxa"/>
          </w:tcPr>
          <w:p w14:paraId="6495502F" w14:textId="77777777" w:rsidR="00DF56D8" w:rsidRPr="00A942F6" w:rsidRDefault="00DF56D8" w:rsidP="00641834">
            <w:pPr>
              <w:pStyle w:val="TableParagraph"/>
              <w:rPr>
                <w:sz w:val="20"/>
                <w:szCs w:val="20"/>
                <w:lang w:val="nb-NO"/>
              </w:rPr>
            </w:pPr>
            <w:r w:rsidRPr="00A942F6">
              <w:rPr>
                <w:sz w:val="20"/>
                <w:szCs w:val="20"/>
                <w:lang w:val="nb-NO"/>
              </w:rPr>
              <w:t>Gastrointestinale sykdommer</w:t>
            </w:r>
          </w:p>
        </w:tc>
        <w:tc>
          <w:tcPr>
            <w:tcW w:w="1526" w:type="dxa"/>
          </w:tcPr>
          <w:p w14:paraId="4F3205FF" w14:textId="77777777" w:rsidR="00DF56D8" w:rsidRPr="00A942F6" w:rsidRDefault="00DF56D8" w:rsidP="00641834">
            <w:pPr>
              <w:pStyle w:val="TableParagraph"/>
              <w:rPr>
                <w:sz w:val="20"/>
                <w:szCs w:val="20"/>
                <w:lang w:val="nb-NO"/>
              </w:rPr>
            </w:pPr>
          </w:p>
        </w:tc>
        <w:tc>
          <w:tcPr>
            <w:tcW w:w="2071" w:type="dxa"/>
          </w:tcPr>
          <w:p w14:paraId="4D1CE931" w14:textId="77777777" w:rsidR="00DF56D8" w:rsidRPr="00A942F6" w:rsidRDefault="00DF56D8" w:rsidP="00641834">
            <w:pPr>
              <w:pStyle w:val="TableParagraph"/>
              <w:rPr>
                <w:sz w:val="20"/>
                <w:szCs w:val="20"/>
                <w:lang w:val="nb-NO"/>
              </w:rPr>
            </w:pPr>
            <w:r w:rsidRPr="00A942F6">
              <w:rPr>
                <w:sz w:val="20"/>
                <w:szCs w:val="20"/>
                <w:lang w:val="nb-NO"/>
              </w:rPr>
              <w:t>Abdominale smerter,</w:t>
            </w:r>
            <w:r w:rsidR="00FD4E24" w:rsidRPr="00A942F6">
              <w:rPr>
                <w:sz w:val="20"/>
                <w:szCs w:val="20"/>
                <w:lang w:val="nb-NO"/>
              </w:rPr>
              <w:t xml:space="preserve"> </w:t>
            </w:r>
            <w:r w:rsidRPr="00A942F6">
              <w:rPr>
                <w:sz w:val="20"/>
                <w:szCs w:val="20"/>
                <w:lang w:val="nb-NO"/>
              </w:rPr>
              <w:t>Munnulcerasjon, Gastritt</w:t>
            </w:r>
          </w:p>
        </w:tc>
        <w:tc>
          <w:tcPr>
            <w:tcW w:w="1722" w:type="dxa"/>
          </w:tcPr>
          <w:p w14:paraId="692AE9AB" w14:textId="77777777" w:rsidR="00DF56D8" w:rsidRPr="00A942F6" w:rsidRDefault="00DF56D8" w:rsidP="00641834">
            <w:pPr>
              <w:pStyle w:val="TableParagraph"/>
              <w:rPr>
                <w:sz w:val="20"/>
                <w:szCs w:val="20"/>
                <w:lang w:val="nb-NO"/>
              </w:rPr>
            </w:pPr>
            <w:r w:rsidRPr="00A942F6">
              <w:rPr>
                <w:sz w:val="20"/>
                <w:szCs w:val="20"/>
                <w:lang w:val="nb-NO"/>
              </w:rPr>
              <w:t>Stomatitt, Magesår</w:t>
            </w:r>
          </w:p>
        </w:tc>
        <w:tc>
          <w:tcPr>
            <w:tcW w:w="1582" w:type="dxa"/>
          </w:tcPr>
          <w:p w14:paraId="2E534267" w14:textId="77777777" w:rsidR="00DF56D8" w:rsidRPr="00A942F6" w:rsidRDefault="00DF56D8" w:rsidP="00641834">
            <w:pPr>
              <w:pStyle w:val="TableParagraph"/>
              <w:rPr>
                <w:sz w:val="20"/>
                <w:szCs w:val="20"/>
                <w:lang w:val="nb-NO"/>
              </w:rPr>
            </w:pPr>
          </w:p>
        </w:tc>
      </w:tr>
      <w:tr w:rsidR="00DF56D8" w:rsidRPr="00A942F6" w14:paraId="439B6382" w14:textId="77777777" w:rsidTr="00773AFE">
        <w:trPr>
          <w:cantSplit/>
          <w:trHeight w:val="20"/>
        </w:trPr>
        <w:tc>
          <w:tcPr>
            <w:tcW w:w="2179" w:type="dxa"/>
          </w:tcPr>
          <w:p w14:paraId="3A97204E" w14:textId="77777777" w:rsidR="00DF56D8" w:rsidRPr="00A942F6" w:rsidRDefault="00DF56D8" w:rsidP="00641834">
            <w:pPr>
              <w:pStyle w:val="TableParagraph"/>
              <w:rPr>
                <w:sz w:val="20"/>
                <w:szCs w:val="20"/>
                <w:lang w:val="nb-NO"/>
              </w:rPr>
            </w:pPr>
            <w:r w:rsidRPr="00A942F6">
              <w:rPr>
                <w:sz w:val="20"/>
                <w:szCs w:val="20"/>
                <w:lang w:val="nb-NO"/>
              </w:rPr>
              <w:t>Sykdommer i lever og galleveier</w:t>
            </w:r>
          </w:p>
        </w:tc>
        <w:tc>
          <w:tcPr>
            <w:tcW w:w="1526" w:type="dxa"/>
          </w:tcPr>
          <w:p w14:paraId="52BF3650" w14:textId="77777777" w:rsidR="00DF56D8" w:rsidRPr="00A942F6" w:rsidRDefault="00DF56D8" w:rsidP="00641834">
            <w:pPr>
              <w:pStyle w:val="TableParagraph"/>
              <w:rPr>
                <w:sz w:val="20"/>
                <w:szCs w:val="20"/>
                <w:lang w:val="nb-NO"/>
              </w:rPr>
            </w:pPr>
          </w:p>
        </w:tc>
        <w:tc>
          <w:tcPr>
            <w:tcW w:w="2071" w:type="dxa"/>
          </w:tcPr>
          <w:p w14:paraId="0C937D12" w14:textId="77777777" w:rsidR="00DF56D8" w:rsidRPr="00A942F6" w:rsidRDefault="00DF56D8" w:rsidP="00641834">
            <w:pPr>
              <w:pStyle w:val="TableParagraph"/>
              <w:rPr>
                <w:sz w:val="20"/>
                <w:szCs w:val="20"/>
                <w:lang w:val="nb-NO"/>
              </w:rPr>
            </w:pPr>
          </w:p>
        </w:tc>
        <w:tc>
          <w:tcPr>
            <w:tcW w:w="1722" w:type="dxa"/>
          </w:tcPr>
          <w:p w14:paraId="1131E57F" w14:textId="77777777" w:rsidR="00DF56D8" w:rsidRPr="00A942F6" w:rsidRDefault="00DF56D8" w:rsidP="00641834">
            <w:pPr>
              <w:pStyle w:val="TableParagraph"/>
              <w:rPr>
                <w:sz w:val="20"/>
                <w:szCs w:val="20"/>
                <w:lang w:val="nb-NO"/>
              </w:rPr>
            </w:pPr>
          </w:p>
        </w:tc>
        <w:tc>
          <w:tcPr>
            <w:tcW w:w="1582" w:type="dxa"/>
          </w:tcPr>
          <w:p w14:paraId="423DF754" w14:textId="77777777" w:rsidR="00DF56D8" w:rsidRPr="00A942F6" w:rsidRDefault="00DF56D8" w:rsidP="00641834">
            <w:pPr>
              <w:pStyle w:val="TableParagraph"/>
              <w:rPr>
                <w:sz w:val="20"/>
                <w:szCs w:val="20"/>
                <w:lang w:val="nb-NO"/>
              </w:rPr>
            </w:pPr>
            <w:r w:rsidRPr="00A942F6">
              <w:rPr>
                <w:sz w:val="20"/>
                <w:szCs w:val="20"/>
                <w:lang w:val="nb-NO"/>
              </w:rPr>
              <w:t>Legemiddel- indusert leverskade, Hepatitt, Gulsott Svært sjeldne:</w:t>
            </w:r>
          </w:p>
          <w:p w14:paraId="5E462236" w14:textId="77777777" w:rsidR="00DF56D8" w:rsidRPr="00A942F6" w:rsidRDefault="00DF56D8" w:rsidP="00641834">
            <w:pPr>
              <w:pStyle w:val="TableParagraph"/>
              <w:rPr>
                <w:sz w:val="20"/>
                <w:szCs w:val="20"/>
                <w:lang w:val="nb-NO"/>
              </w:rPr>
            </w:pPr>
            <w:r w:rsidRPr="00A942F6">
              <w:rPr>
                <w:sz w:val="20"/>
                <w:szCs w:val="20"/>
                <w:lang w:val="nb-NO"/>
              </w:rPr>
              <w:t>Leversvikt</w:t>
            </w:r>
          </w:p>
        </w:tc>
      </w:tr>
      <w:tr w:rsidR="00DF56D8" w:rsidRPr="00A942F6" w14:paraId="6B6A9D85" w14:textId="77777777" w:rsidTr="00773AFE">
        <w:trPr>
          <w:cantSplit/>
          <w:trHeight w:val="20"/>
        </w:trPr>
        <w:tc>
          <w:tcPr>
            <w:tcW w:w="2179" w:type="dxa"/>
          </w:tcPr>
          <w:p w14:paraId="3B454FAA" w14:textId="77777777" w:rsidR="00DF56D8" w:rsidRPr="00A942F6" w:rsidRDefault="00DF56D8" w:rsidP="00641834">
            <w:pPr>
              <w:pStyle w:val="TableParagraph"/>
              <w:rPr>
                <w:sz w:val="20"/>
                <w:szCs w:val="20"/>
                <w:lang w:val="nb-NO"/>
              </w:rPr>
            </w:pPr>
            <w:r w:rsidRPr="00A942F6">
              <w:rPr>
                <w:sz w:val="20"/>
                <w:szCs w:val="20"/>
                <w:lang w:val="nb-NO"/>
              </w:rPr>
              <w:t>Hud- og underhuds- sykdommer</w:t>
            </w:r>
          </w:p>
        </w:tc>
        <w:tc>
          <w:tcPr>
            <w:tcW w:w="1526" w:type="dxa"/>
          </w:tcPr>
          <w:p w14:paraId="6D0DF3A3" w14:textId="77777777" w:rsidR="00DF56D8" w:rsidRPr="00A942F6" w:rsidRDefault="00DF56D8" w:rsidP="00641834">
            <w:pPr>
              <w:pStyle w:val="TableParagraph"/>
              <w:rPr>
                <w:sz w:val="20"/>
                <w:szCs w:val="20"/>
                <w:lang w:val="nb-NO"/>
              </w:rPr>
            </w:pPr>
          </w:p>
        </w:tc>
        <w:tc>
          <w:tcPr>
            <w:tcW w:w="2071" w:type="dxa"/>
          </w:tcPr>
          <w:p w14:paraId="4B48ADF9" w14:textId="77777777" w:rsidR="00DF56D8" w:rsidRPr="00A942F6" w:rsidRDefault="00DF56D8" w:rsidP="00641834">
            <w:pPr>
              <w:pStyle w:val="TableParagraph"/>
              <w:rPr>
                <w:sz w:val="20"/>
                <w:szCs w:val="20"/>
                <w:lang w:val="nb-NO"/>
              </w:rPr>
            </w:pPr>
            <w:r w:rsidRPr="00A942F6">
              <w:rPr>
                <w:sz w:val="20"/>
                <w:szCs w:val="20"/>
                <w:lang w:val="nb-NO"/>
              </w:rPr>
              <w:t>Utslett,</w:t>
            </w:r>
          </w:p>
          <w:p w14:paraId="3E4709BE" w14:textId="77777777" w:rsidR="00DF56D8" w:rsidRPr="00A942F6" w:rsidRDefault="00DF56D8" w:rsidP="00641834">
            <w:pPr>
              <w:pStyle w:val="TableParagraph"/>
              <w:rPr>
                <w:sz w:val="20"/>
                <w:szCs w:val="20"/>
                <w:lang w:val="nb-NO"/>
              </w:rPr>
            </w:pPr>
            <w:r w:rsidRPr="00A942F6">
              <w:rPr>
                <w:sz w:val="20"/>
                <w:szCs w:val="20"/>
                <w:lang w:val="nb-NO"/>
              </w:rPr>
              <w:t>Pruritus, Urtikaria</w:t>
            </w:r>
          </w:p>
        </w:tc>
        <w:tc>
          <w:tcPr>
            <w:tcW w:w="1722" w:type="dxa"/>
          </w:tcPr>
          <w:p w14:paraId="464D8129" w14:textId="77777777" w:rsidR="00DF56D8" w:rsidRPr="00A942F6" w:rsidRDefault="00DF56D8" w:rsidP="00641834">
            <w:pPr>
              <w:pStyle w:val="TableParagraph"/>
              <w:rPr>
                <w:sz w:val="20"/>
                <w:szCs w:val="20"/>
                <w:lang w:val="nb-NO"/>
              </w:rPr>
            </w:pPr>
          </w:p>
        </w:tc>
        <w:tc>
          <w:tcPr>
            <w:tcW w:w="1582" w:type="dxa"/>
          </w:tcPr>
          <w:p w14:paraId="2660D225" w14:textId="77777777" w:rsidR="00DF56D8" w:rsidRPr="00A942F6" w:rsidRDefault="00DF56D8" w:rsidP="00641834">
            <w:pPr>
              <w:pStyle w:val="TableParagraph"/>
              <w:rPr>
                <w:sz w:val="20"/>
                <w:szCs w:val="20"/>
                <w:lang w:val="nb-NO"/>
              </w:rPr>
            </w:pPr>
            <w:r w:rsidRPr="00A942F6">
              <w:rPr>
                <w:sz w:val="20"/>
                <w:szCs w:val="20"/>
                <w:lang w:val="nb-NO"/>
              </w:rPr>
              <w:t>Stevens-Johnson syndrom</w:t>
            </w:r>
            <w:r w:rsidRPr="00A942F6">
              <w:rPr>
                <w:sz w:val="20"/>
                <w:szCs w:val="20"/>
                <w:vertAlign w:val="superscript"/>
                <w:lang w:val="nb-NO"/>
              </w:rPr>
              <w:t>3</w:t>
            </w:r>
          </w:p>
        </w:tc>
      </w:tr>
      <w:tr w:rsidR="00DF56D8" w:rsidRPr="00A942F6" w14:paraId="134BC9F7" w14:textId="77777777" w:rsidTr="00773AFE">
        <w:trPr>
          <w:cantSplit/>
          <w:trHeight w:val="20"/>
        </w:trPr>
        <w:tc>
          <w:tcPr>
            <w:tcW w:w="2179" w:type="dxa"/>
          </w:tcPr>
          <w:p w14:paraId="7429ED7A" w14:textId="77777777" w:rsidR="00DF56D8" w:rsidRPr="00A942F6" w:rsidRDefault="00DF56D8" w:rsidP="00641834">
            <w:pPr>
              <w:pStyle w:val="TableParagraph"/>
              <w:rPr>
                <w:sz w:val="20"/>
                <w:szCs w:val="20"/>
                <w:lang w:val="nb-NO"/>
              </w:rPr>
            </w:pPr>
            <w:r w:rsidRPr="00A942F6">
              <w:rPr>
                <w:sz w:val="20"/>
                <w:szCs w:val="20"/>
                <w:lang w:val="nb-NO"/>
              </w:rPr>
              <w:lastRenderedPageBreak/>
              <w:t>Sykdommer i nyre og</w:t>
            </w:r>
          </w:p>
          <w:p w14:paraId="07884C66" w14:textId="77777777" w:rsidR="00DF56D8" w:rsidRPr="00A942F6" w:rsidRDefault="00DF56D8" w:rsidP="00641834">
            <w:pPr>
              <w:pStyle w:val="TableParagraph"/>
              <w:rPr>
                <w:sz w:val="20"/>
                <w:szCs w:val="20"/>
                <w:lang w:val="nb-NO"/>
              </w:rPr>
            </w:pPr>
            <w:r w:rsidRPr="00A942F6">
              <w:rPr>
                <w:sz w:val="20"/>
                <w:szCs w:val="20"/>
                <w:lang w:val="nb-NO"/>
              </w:rPr>
              <w:t>urinveier</w:t>
            </w:r>
          </w:p>
        </w:tc>
        <w:tc>
          <w:tcPr>
            <w:tcW w:w="1526" w:type="dxa"/>
          </w:tcPr>
          <w:p w14:paraId="12E787E6" w14:textId="77777777" w:rsidR="00DF56D8" w:rsidRPr="00A942F6" w:rsidRDefault="00DF56D8" w:rsidP="00641834">
            <w:pPr>
              <w:pStyle w:val="TableParagraph"/>
              <w:rPr>
                <w:sz w:val="20"/>
                <w:szCs w:val="20"/>
                <w:lang w:val="nb-NO"/>
              </w:rPr>
            </w:pPr>
          </w:p>
        </w:tc>
        <w:tc>
          <w:tcPr>
            <w:tcW w:w="2071" w:type="dxa"/>
          </w:tcPr>
          <w:p w14:paraId="575547CA" w14:textId="77777777" w:rsidR="00DF56D8" w:rsidRPr="00A942F6" w:rsidRDefault="00DF56D8" w:rsidP="00641834">
            <w:pPr>
              <w:pStyle w:val="TableParagraph"/>
              <w:rPr>
                <w:sz w:val="20"/>
                <w:szCs w:val="20"/>
                <w:lang w:val="nb-NO"/>
              </w:rPr>
            </w:pPr>
          </w:p>
        </w:tc>
        <w:tc>
          <w:tcPr>
            <w:tcW w:w="1722" w:type="dxa"/>
          </w:tcPr>
          <w:p w14:paraId="7DAFE3ED" w14:textId="77777777" w:rsidR="00DF56D8" w:rsidRPr="00A942F6" w:rsidRDefault="00DF56D8" w:rsidP="00641834">
            <w:pPr>
              <w:pStyle w:val="TableParagraph"/>
              <w:rPr>
                <w:sz w:val="20"/>
                <w:szCs w:val="20"/>
                <w:lang w:val="nb-NO"/>
              </w:rPr>
            </w:pPr>
            <w:r w:rsidRPr="00A942F6">
              <w:rPr>
                <w:sz w:val="20"/>
                <w:szCs w:val="20"/>
                <w:lang w:val="nb-NO"/>
              </w:rPr>
              <w:t>Nefrolitt</w:t>
            </w:r>
          </w:p>
        </w:tc>
        <w:tc>
          <w:tcPr>
            <w:tcW w:w="1582" w:type="dxa"/>
          </w:tcPr>
          <w:p w14:paraId="5FC7E93E" w14:textId="77777777" w:rsidR="00DF56D8" w:rsidRPr="00A942F6" w:rsidRDefault="00DF56D8" w:rsidP="00641834">
            <w:pPr>
              <w:pStyle w:val="TableParagraph"/>
              <w:rPr>
                <w:sz w:val="20"/>
                <w:szCs w:val="20"/>
                <w:lang w:val="nb-NO"/>
              </w:rPr>
            </w:pPr>
          </w:p>
        </w:tc>
      </w:tr>
      <w:tr w:rsidR="00DF56D8" w:rsidRPr="00A942F6" w14:paraId="33CC4390" w14:textId="77777777" w:rsidTr="00773AFE">
        <w:trPr>
          <w:cantSplit/>
          <w:trHeight w:val="20"/>
        </w:trPr>
        <w:tc>
          <w:tcPr>
            <w:tcW w:w="2179" w:type="dxa"/>
          </w:tcPr>
          <w:p w14:paraId="5D8FC56C" w14:textId="77777777" w:rsidR="00DF56D8" w:rsidRPr="00A942F6" w:rsidRDefault="00DF56D8" w:rsidP="00641834">
            <w:pPr>
              <w:pStyle w:val="TableParagraph"/>
              <w:rPr>
                <w:sz w:val="20"/>
                <w:szCs w:val="20"/>
                <w:lang w:val="nb-NO"/>
              </w:rPr>
            </w:pPr>
            <w:r w:rsidRPr="00A942F6">
              <w:rPr>
                <w:sz w:val="20"/>
                <w:szCs w:val="20"/>
                <w:lang w:val="nb-NO"/>
              </w:rPr>
              <w:t>Generelle lidelser og reaksjoner på administrasjonsstedet</w:t>
            </w:r>
          </w:p>
        </w:tc>
        <w:tc>
          <w:tcPr>
            <w:tcW w:w="1526" w:type="dxa"/>
          </w:tcPr>
          <w:p w14:paraId="6F959F04" w14:textId="77777777" w:rsidR="00DF56D8" w:rsidRPr="00A942F6" w:rsidRDefault="00DF56D8" w:rsidP="00641834">
            <w:pPr>
              <w:pStyle w:val="TableParagraph"/>
              <w:rPr>
                <w:sz w:val="20"/>
                <w:szCs w:val="20"/>
                <w:lang w:val="nb-NO"/>
              </w:rPr>
            </w:pPr>
            <w:r w:rsidRPr="00A942F6">
              <w:rPr>
                <w:sz w:val="20"/>
                <w:szCs w:val="20"/>
                <w:lang w:val="nb-NO"/>
              </w:rPr>
              <w:t>Reaksjoner på injeksjonssted et</w:t>
            </w:r>
          </w:p>
        </w:tc>
        <w:tc>
          <w:tcPr>
            <w:tcW w:w="2071" w:type="dxa"/>
          </w:tcPr>
          <w:p w14:paraId="5A02540A" w14:textId="77777777" w:rsidR="00DF56D8" w:rsidRPr="00A942F6" w:rsidRDefault="00DF56D8" w:rsidP="00641834">
            <w:pPr>
              <w:pStyle w:val="TableParagraph"/>
              <w:rPr>
                <w:sz w:val="20"/>
                <w:szCs w:val="20"/>
                <w:lang w:val="nb-NO"/>
              </w:rPr>
            </w:pPr>
            <w:r w:rsidRPr="00A942F6">
              <w:rPr>
                <w:sz w:val="20"/>
                <w:szCs w:val="20"/>
                <w:lang w:val="nb-NO"/>
              </w:rPr>
              <w:t>Perifert ødem, Hypersensitivitets- reaksjoner</w:t>
            </w:r>
          </w:p>
        </w:tc>
        <w:tc>
          <w:tcPr>
            <w:tcW w:w="1722" w:type="dxa"/>
          </w:tcPr>
          <w:p w14:paraId="265ED994" w14:textId="77777777" w:rsidR="00DF56D8" w:rsidRPr="00A942F6" w:rsidRDefault="00DF56D8" w:rsidP="00641834">
            <w:pPr>
              <w:pStyle w:val="TableParagraph"/>
              <w:rPr>
                <w:sz w:val="20"/>
                <w:szCs w:val="20"/>
                <w:lang w:val="nb-NO"/>
              </w:rPr>
            </w:pPr>
          </w:p>
        </w:tc>
        <w:tc>
          <w:tcPr>
            <w:tcW w:w="1582" w:type="dxa"/>
          </w:tcPr>
          <w:p w14:paraId="1FCDC35B" w14:textId="77777777" w:rsidR="00DF56D8" w:rsidRPr="00A942F6" w:rsidRDefault="00DF56D8" w:rsidP="00641834">
            <w:pPr>
              <w:pStyle w:val="TableParagraph"/>
              <w:rPr>
                <w:sz w:val="20"/>
                <w:szCs w:val="20"/>
                <w:lang w:val="nb-NO"/>
              </w:rPr>
            </w:pPr>
          </w:p>
        </w:tc>
      </w:tr>
      <w:tr w:rsidR="00DF56D8" w:rsidRPr="00B477E5" w14:paraId="053DC80A" w14:textId="77777777" w:rsidTr="00773AFE">
        <w:trPr>
          <w:cantSplit/>
          <w:trHeight w:val="20"/>
        </w:trPr>
        <w:tc>
          <w:tcPr>
            <w:tcW w:w="2179" w:type="dxa"/>
          </w:tcPr>
          <w:p w14:paraId="3E48CC6C" w14:textId="77777777" w:rsidR="00DF56D8" w:rsidRPr="00A942F6" w:rsidRDefault="00DF56D8" w:rsidP="00641834">
            <w:pPr>
              <w:pStyle w:val="TableParagraph"/>
              <w:keepNext/>
              <w:rPr>
                <w:sz w:val="20"/>
                <w:szCs w:val="20"/>
                <w:lang w:val="nb-NO"/>
              </w:rPr>
            </w:pPr>
            <w:r w:rsidRPr="00A942F6">
              <w:rPr>
                <w:sz w:val="20"/>
                <w:szCs w:val="20"/>
                <w:lang w:val="nb-NO"/>
              </w:rPr>
              <w:t>Undersøkelser</w:t>
            </w:r>
          </w:p>
        </w:tc>
        <w:tc>
          <w:tcPr>
            <w:tcW w:w="1526" w:type="dxa"/>
          </w:tcPr>
          <w:p w14:paraId="09D70E4D" w14:textId="77777777" w:rsidR="00DF56D8" w:rsidRPr="00A942F6" w:rsidRDefault="00DF56D8" w:rsidP="00641834">
            <w:pPr>
              <w:pStyle w:val="TableParagraph"/>
              <w:keepNext/>
              <w:rPr>
                <w:sz w:val="20"/>
                <w:szCs w:val="20"/>
                <w:lang w:val="nb-NO"/>
              </w:rPr>
            </w:pPr>
          </w:p>
        </w:tc>
        <w:tc>
          <w:tcPr>
            <w:tcW w:w="2071" w:type="dxa"/>
          </w:tcPr>
          <w:p w14:paraId="1A4C42E4" w14:textId="77777777" w:rsidR="00DF56D8" w:rsidRPr="00A942F6" w:rsidRDefault="00DF56D8" w:rsidP="00641834">
            <w:pPr>
              <w:pStyle w:val="TableParagraph"/>
              <w:keepNext/>
              <w:rPr>
                <w:sz w:val="20"/>
                <w:szCs w:val="20"/>
                <w:lang w:val="nb-NO"/>
              </w:rPr>
            </w:pPr>
            <w:r w:rsidRPr="00A942F6">
              <w:rPr>
                <w:sz w:val="20"/>
                <w:szCs w:val="20"/>
                <w:lang w:val="nb-NO"/>
              </w:rPr>
              <w:t>Forhøyede hepatiske transaminaser, Vektøkning, Forhøyet</w:t>
            </w:r>
          </w:p>
          <w:p w14:paraId="7AAEF107" w14:textId="77777777" w:rsidR="00DF56D8" w:rsidRPr="00A942F6" w:rsidRDefault="00DF56D8" w:rsidP="00641834">
            <w:pPr>
              <w:pStyle w:val="TableParagraph"/>
              <w:keepNext/>
              <w:rPr>
                <w:sz w:val="20"/>
                <w:szCs w:val="20"/>
                <w:lang w:val="nb-NO"/>
              </w:rPr>
            </w:pPr>
            <w:r w:rsidRPr="00A942F6">
              <w:rPr>
                <w:sz w:val="20"/>
                <w:szCs w:val="20"/>
                <w:lang w:val="nb-NO"/>
              </w:rPr>
              <w:t>totalbilirubin*</w:t>
            </w:r>
          </w:p>
        </w:tc>
        <w:tc>
          <w:tcPr>
            <w:tcW w:w="1722" w:type="dxa"/>
          </w:tcPr>
          <w:p w14:paraId="24618F55" w14:textId="77777777" w:rsidR="00DF56D8" w:rsidRPr="00A942F6" w:rsidRDefault="00DF56D8" w:rsidP="00641834">
            <w:pPr>
              <w:pStyle w:val="TableParagraph"/>
              <w:keepNext/>
              <w:rPr>
                <w:sz w:val="20"/>
                <w:szCs w:val="20"/>
                <w:lang w:val="nb-NO"/>
              </w:rPr>
            </w:pPr>
          </w:p>
        </w:tc>
        <w:tc>
          <w:tcPr>
            <w:tcW w:w="1582" w:type="dxa"/>
          </w:tcPr>
          <w:p w14:paraId="4DC47809" w14:textId="77777777" w:rsidR="00DF56D8" w:rsidRPr="00A942F6" w:rsidRDefault="00DF56D8" w:rsidP="00641834">
            <w:pPr>
              <w:pStyle w:val="TableParagraph"/>
              <w:keepNext/>
              <w:rPr>
                <w:sz w:val="20"/>
                <w:szCs w:val="20"/>
                <w:lang w:val="nb-NO"/>
              </w:rPr>
            </w:pPr>
          </w:p>
        </w:tc>
      </w:tr>
    </w:tbl>
    <w:p w14:paraId="2E2FE826" w14:textId="77777777" w:rsidR="00DF56D8" w:rsidRPr="00A942F6" w:rsidRDefault="00DF56D8" w:rsidP="00641834">
      <w:pPr>
        <w:pStyle w:val="tablenotestar"/>
        <w:rPr>
          <w:lang w:val="nb-NO"/>
        </w:rPr>
      </w:pPr>
      <w:r w:rsidRPr="00A942F6">
        <w:rPr>
          <w:lang w:val="nb-NO"/>
        </w:rPr>
        <w:t>Inkluderer økte verdier ved rutinemessige laboratoriekontroller (se tekst under)</w:t>
      </w:r>
    </w:p>
    <w:p w14:paraId="7EE9BC56" w14:textId="77777777" w:rsidR="00DF56D8" w:rsidRPr="00A942F6" w:rsidRDefault="00DF56D8" w:rsidP="00641834">
      <w:pPr>
        <w:pStyle w:val="tablenote"/>
        <w:numPr>
          <w:ilvl w:val="0"/>
          <w:numId w:val="10"/>
        </w:numPr>
        <w:ind w:left="284" w:hanging="284"/>
        <w:rPr>
          <w:lang w:val="nb-NO"/>
        </w:rPr>
      </w:pPr>
      <w:r w:rsidRPr="00A942F6">
        <w:rPr>
          <w:lang w:val="nb-NO"/>
        </w:rPr>
        <w:t>Se pkt 4.3</w:t>
      </w:r>
    </w:p>
    <w:p w14:paraId="67EB3AD5" w14:textId="77777777" w:rsidR="00DF56D8" w:rsidRPr="00A942F6" w:rsidRDefault="00DF56D8" w:rsidP="00641834">
      <w:pPr>
        <w:pStyle w:val="tablenote"/>
        <w:numPr>
          <w:ilvl w:val="0"/>
          <w:numId w:val="10"/>
        </w:numPr>
        <w:ind w:left="284" w:hanging="284"/>
        <w:rPr>
          <w:lang w:val="nb-NO"/>
        </w:rPr>
      </w:pPr>
      <w:r w:rsidRPr="00A942F6">
        <w:rPr>
          <w:lang w:val="nb-NO"/>
        </w:rPr>
        <w:t>Se pkt 4.4</w:t>
      </w:r>
    </w:p>
    <w:p w14:paraId="463CE681" w14:textId="77777777" w:rsidR="00DF56D8" w:rsidRPr="00A942F6" w:rsidRDefault="00DF56D8" w:rsidP="00641834">
      <w:pPr>
        <w:pStyle w:val="tablenote"/>
        <w:numPr>
          <w:ilvl w:val="0"/>
          <w:numId w:val="10"/>
        </w:numPr>
        <w:ind w:left="284" w:hanging="284"/>
        <w:rPr>
          <w:lang w:val="nb-NO"/>
        </w:rPr>
      </w:pPr>
      <w:r w:rsidRPr="00A942F6">
        <w:rPr>
          <w:lang w:val="nb-NO"/>
        </w:rPr>
        <w:t>Denne bivirkningen ble identifisert gjennom overvåkning etter markedsføring, men ikke observert i kontrollerte kliniske studier. Frekvenskategorien er anslått som den øvre grensen av 95% konfidensintervall, beregningen er basert på det totale antall pasienter som ble eksponert for tocilizumab i kliniske studier.</w:t>
      </w:r>
    </w:p>
    <w:p w14:paraId="2963B6A3" w14:textId="77777777" w:rsidR="00DF56D8" w:rsidRPr="00A942F6" w:rsidRDefault="00DF56D8" w:rsidP="00641834">
      <w:pPr>
        <w:rPr>
          <w:lang w:val="nb-NO"/>
        </w:rPr>
      </w:pPr>
    </w:p>
    <w:p w14:paraId="71624189" w14:textId="77777777" w:rsidR="00DF56D8" w:rsidRPr="00A942F6" w:rsidRDefault="00DF56D8" w:rsidP="00641834">
      <w:pPr>
        <w:pStyle w:val="Style1underline"/>
        <w:rPr>
          <w:lang w:val="nb-NO"/>
        </w:rPr>
      </w:pPr>
      <w:r w:rsidRPr="00A942F6">
        <w:rPr>
          <w:lang w:val="nb-NO"/>
        </w:rPr>
        <w:t>Subkutan bruk</w:t>
      </w:r>
    </w:p>
    <w:p w14:paraId="6179190E" w14:textId="77777777" w:rsidR="00DF56D8" w:rsidRPr="00AF2707" w:rsidRDefault="00DF56D8" w:rsidP="00641834">
      <w:pPr>
        <w:pStyle w:val="Style1underline"/>
        <w:rPr>
          <w:b/>
          <w:bCs/>
          <w:lang w:val="nb-NO"/>
        </w:rPr>
      </w:pPr>
      <w:r w:rsidRPr="00AF2707">
        <w:rPr>
          <w:b/>
          <w:bCs/>
          <w:lang w:val="nb-NO"/>
        </w:rPr>
        <w:t>RA</w:t>
      </w:r>
    </w:p>
    <w:p w14:paraId="7DC32AB0" w14:textId="5EF95CA2" w:rsidR="00DF56D8" w:rsidRPr="00A942F6" w:rsidRDefault="00DF56D8" w:rsidP="00641834">
      <w:pPr>
        <w:rPr>
          <w:lang w:val="nb-NO"/>
        </w:rPr>
      </w:pPr>
      <w:r w:rsidRPr="00A942F6">
        <w:rPr>
          <w:lang w:val="nb-NO"/>
        </w:rPr>
        <w:t xml:space="preserve">Sikkerheten av subkutan </w:t>
      </w:r>
      <w:r w:rsidR="00813939" w:rsidRPr="00A942F6">
        <w:rPr>
          <w:lang w:val="nb-NO"/>
        </w:rPr>
        <w:t>tocilizumab</w:t>
      </w:r>
      <w:r w:rsidRPr="00A942F6">
        <w:rPr>
          <w:lang w:val="nb-NO"/>
        </w:rPr>
        <w:t xml:space="preserve"> ved RA inkluderer en dobbelt-blind, kontrollert multisenterstudie, SC-I. SC-I var en non-inferioritets-studie som sammenlignet effekt og sikkerhet av </w:t>
      </w:r>
      <w:r w:rsidR="00813939" w:rsidRPr="00A942F6">
        <w:rPr>
          <w:lang w:val="nb-NO"/>
        </w:rPr>
        <w:t>tocilizumab</w:t>
      </w:r>
      <w:r w:rsidRPr="00A942F6">
        <w:rPr>
          <w:lang w:val="nb-NO"/>
        </w:rPr>
        <w:t xml:space="preserve"> 162</w:t>
      </w:r>
      <w:r w:rsidR="002E140C">
        <w:rPr>
          <w:lang w:val="nb-NO"/>
        </w:rPr>
        <w:t> </w:t>
      </w:r>
      <w:r w:rsidRPr="00A942F6">
        <w:rPr>
          <w:lang w:val="nb-NO"/>
        </w:rPr>
        <w:t xml:space="preserve">mg administrert hver uke versus 8 mg/kg intravenøst, hos 1262 pasienter med RA. Alle pasientene fikk bakgrunnsbehandling med ikke-biologiske DMARDs. Sikkerhet og immunogenisitet observert for </w:t>
      </w:r>
      <w:r w:rsidR="00813939" w:rsidRPr="00A942F6">
        <w:rPr>
          <w:lang w:val="nb-NO"/>
        </w:rPr>
        <w:t>tocilizumab</w:t>
      </w:r>
      <w:r w:rsidRPr="00A942F6">
        <w:rPr>
          <w:lang w:val="nb-NO"/>
        </w:rPr>
        <w:t xml:space="preserve"> administrert subkutant var i overensstemmelse med kjent sikkerhetsprofil for intravenøs </w:t>
      </w:r>
      <w:r w:rsidR="00813939" w:rsidRPr="00A942F6">
        <w:rPr>
          <w:lang w:val="nb-NO"/>
        </w:rPr>
        <w:t>tocilizumab</w:t>
      </w:r>
      <w:r w:rsidRPr="00A942F6">
        <w:rPr>
          <w:lang w:val="nb-NO"/>
        </w:rPr>
        <w:t>, og ingen nye eller uventede bivirkninger ble observert (se tabell 1). En høyere frekvens av reaksjoner på injeksjonsstedet ble observert i de subkutane armene sammenlignet med subkutane injeksjoner av placebo i de intravenøse armene.</w:t>
      </w:r>
    </w:p>
    <w:p w14:paraId="4349A4C3" w14:textId="77777777" w:rsidR="00C932B0" w:rsidRPr="00A942F6" w:rsidRDefault="00C932B0" w:rsidP="00641834">
      <w:pPr>
        <w:rPr>
          <w:lang w:val="nb-NO"/>
        </w:rPr>
      </w:pPr>
    </w:p>
    <w:p w14:paraId="7B42AC5F" w14:textId="77777777" w:rsidR="00DF56D8" w:rsidRPr="00A942F6" w:rsidRDefault="00DF56D8" w:rsidP="00641834">
      <w:pPr>
        <w:pStyle w:val="Style1Iitaic"/>
        <w:rPr>
          <w:lang w:val="nb-NO"/>
        </w:rPr>
      </w:pPr>
      <w:r w:rsidRPr="00A942F6">
        <w:rPr>
          <w:lang w:val="nb-NO"/>
        </w:rPr>
        <w:t>Reaksjoner på administrasjonsstedet</w:t>
      </w:r>
    </w:p>
    <w:p w14:paraId="47DBA90E" w14:textId="1F639B01" w:rsidR="00DF56D8" w:rsidRPr="00A942F6" w:rsidRDefault="00DF56D8" w:rsidP="00641834">
      <w:pPr>
        <w:rPr>
          <w:lang w:val="nb-NO"/>
        </w:rPr>
      </w:pPr>
      <w:r w:rsidRPr="00A942F6">
        <w:rPr>
          <w:lang w:val="nb-NO"/>
        </w:rPr>
        <w:t xml:space="preserve">I løpet av den 6-måneders kontrollperioden i SC-I var frekvensen av reaksjoner på injeksjonsstedet på henholdsvis 10,1 % (64/631) og 2,4 % (15/631) for ukentlige injeksjoner av subkutan </w:t>
      </w:r>
      <w:r w:rsidR="00813939" w:rsidRPr="00A942F6">
        <w:rPr>
          <w:lang w:val="nb-NO"/>
        </w:rPr>
        <w:t>tocilizumab</w:t>
      </w:r>
      <w:r w:rsidRPr="00A942F6">
        <w:rPr>
          <w:lang w:val="nb-NO"/>
        </w:rPr>
        <w:t xml:space="preserve"> og subkutan placebo (intravenøs gruppe). Disse reaksjonene på injeksjonsstedet (inkludert erytem, pruritus, smerter og hematom) var milde til moderate i alvorlighetsgrad. De fleste ble løst uten behandling og seponering var ikke nødvendig.</w:t>
      </w:r>
    </w:p>
    <w:p w14:paraId="50F15155" w14:textId="77777777" w:rsidR="00DF56D8" w:rsidRPr="00A942F6" w:rsidRDefault="00DF56D8" w:rsidP="00641834">
      <w:pPr>
        <w:rPr>
          <w:lang w:val="nb-NO"/>
        </w:rPr>
      </w:pPr>
    </w:p>
    <w:p w14:paraId="5C790A44" w14:textId="77777777" w:rsidR="00DF56D8" w:rsidRPr="00A942F6" w:rsidRDefault="00DF56D8" w:rsidP="00641834">
      <w:pPr>
        <w:pStyle w:val="Style1Iitaic"/>
        <w:rPr>
          <w:lang w:val="nb-NO"/>
        </w:rPr>
      </w:pPr>
      <w:r w:rsidRPr="00A942F6">
        <w:rPr>
          <w:lang w:val="nb-NO"/>
        </w:rPr>
        <w:t>Hematologiske forandringer:</w:t>
      </w:r>
    </w:p>
    <w:p w14:paraId="2A8BB190" w14:textId="77777777" w:rsidR="00C932B0" w:rsidRPr="00A942F6" w:rsidRDefault="00C932B0" w:rsidP="00641834">
      <w:pPr>
        <w:rPr>
          <w:lang w:val="nb-NO"/>
        </w:rPr>
      </w:pPr>
    </w:p>
    <w:p w14:paraId="4C27B981" w14:textId="77777777" w:rsidR="00DF56D8" w:rsidRPr="00A942F6" w:rsidRDefault="00DF56D8" w:rsidP="00641834">
      <w:pPr>
        <w:pStyle w:val="Style1Iitaic"/>
        <w:rPr>
          <w:lang w:val="nb-NO"/>
        </w:rPr>
      </w:pPr>
      <w:r w:rsidRPr="00A942F6">
        <w:rPr>
          <w:lang w:val="nb-NO"/>
        </w:rPr>
        <w:t>Nøytrofiler</w:t>
      </w:r>
    </w:p>
    <w:p w14:paraId="2B045BB0" w14:textId="0D4A31E3" w:rsidR="00DF56D8" w:rsidRPr="00A942F6" w:rsidRDefault="00DF56D8" w:rsidP="00641834">
      <w:pPr>
        <w:rPr>
          <w:lang w:val="nb-NO"/>
        </w:rPr>
      </w:pPr>
      <w:r w:rsidRPr="00A942F6">
        <w:rPr>
          <w:lang w:val="nb-NO"/>
        </w:rPr>
        <w:t xml:space="preserve">Under rutinemessig overvåking av laboratorieverdier i den 6-måneders, kontrollerte, kliniske </w:t>
      </w:r>
      <w:r w:rsidR="00813939" w:rsidRPr="00A942F6">
        <w:rPr>
          <w:lang w:val="nb-NO"/>
        </w:rPr>
        <w:t>tocilizumab</w:t>
      </w:r>
      <w:r w:rsidRPr="00A942F6">
        <w:rPr>
          <w:lang w:val="nb-NO"/>
        </w:rPr>
        <w:t>-studien SC-I, oppstod det reduksjon i antall nøytrofile til under 1 × 10</w:t>
      </w:r>
      <w:r w:rsidRPr="00A942F6">
        <w:rPr>
          <w:vertAlign w:val="superscript"/>
          <w:lang w:val="nb-NO"/>
        </w:rPr>
        <w:t>9</w:t>
      </w:r>
      <w:r w:rsidRPr="00A942F6">
        <w:rPr>
          <w:lang w:val="nb-NO"/>
        </w:rPr>
        <w:t>/l hos 2,9 % av pasientene ved subkutan ukentlig dose.</w:t>
      </w:r>
    </w:p>
    <w:p w14:paraId="613E2FE6" w14:textId="77777777" w:rsidR="00DF56D8" w:rsidRPr="00A942F6" w:rsidRDefault="00DF56D8" w:rsidP="00641834">
      <w:pPr>
        <w:rPr>
          <w:lang w:val="nb-NO"/>
        </w:rPr>
      </w:pPr>
    </w:p>
    <w:p w14:paraId="29C076E7" w14:textId="77777777" w:rsidR="00DF56D8" w:rsidRPr="00A942F6" w:rsidRDefault="00DF56D8" w:rsidP="00641834">
      <w:pPr>
        <w:rPr>
          <w:lang w:val="nb-NO"/>
        </w:rPr>
      </w:pPr>
      <w:r w:rsidRPr="00A942F6">
        <w:rPr>
          <w:lang w:val="nb-NO"/>
        </w:rPr>
        <w:t>Det var ingen klar sammenheng mellom reduksjon i nøytrofiler til under 1 x 10</w:t>
      </w:r>
      <w:r w:rsidRPr="00A942F6">
        <w:rPr>
          <w:vertAlign w:val="superscript"/>
          <w:lang w:val="nb-NO"/>
        </w:rPr>
        <w:t>9</w:t>
      </w:r>
      <w:r w:rsidRPr="00A942F6">
        <w:rPr>
          <w:lang w:val="nb-NO"/>
        </w:rPr>
        <w:t>/l og forekomsten av alvorlige infeksjoner.</w:t>
      </w:r>
    </w:p>
    <w:p w14:paraId="579E486B" w14:textId="77777777" w:rsidR="00DF56D8" w:rsidRPr="00A942F6" w:rsidRDefault="00DF56D8" w:rsidP="00641834">
      <w:pPr>
        <w:rPr>
          <w:lang w:val="nb-NO"/>
        </w:rPr>
      </w:pPr>
    </w:p>
    <w:p w14:paraId="6E4D1C2A" w14:textId="77777777" w:rsidR="00DF56D8" w:rsidRPr="00A942F6" w:rsidRDefault="00DF56D8" w:rsidP="00641834">
      <w:pPr>
        <w:pStyle w:val="Style1Iitaic"/>
        <w:rPr>
          <w:lang w:val="nb-NO"/>
        </w:rPr>
      </w:pPr>
      <w:r w:rsidRPr="00A942F6">
        <w:rPr>
          <w:lang w:val="nb-NO"/>
        </w:rPr>
        <w:t>Blodplater</w:t>
      </w:r>
    </w:p>
    <w:p w14:paraId="1F3E7BA9" w14:textId="726876B4" w:rsidR="00DF56D8" w:rsidRPr="00A942F6" w:rsidRDefault="00DF56D8" w:rsidP="00641834">
      <w:pPr>
        <w:rPr>
          <w:lang w:val="nb-NO"/>
        </w:rPr>
      </w:pPr>
      <w:r w:rsidRPr="00A942F6">
        <w:rPr>
          <w:lang w:val="nb-NO"/>
        </w:rPr>
        <w:t xml:space="preserve">Under rutinemessig overvåking av laboratorieverdier i den 6-måneders kliniske </w:t>
      </w:r>
      <w:r w:rsidR="00813939" w:rsidRPr="00A942F6">
        <w:rPr>
          <w:lang w:val="nb-NO"/>
        </w:rPr>
        <w:t>tocilizumab</w:t>
      </w:r>
      <w:r w:rsidRPr="00A942F6">
        <w:rPr>
          <w:lang w:val="nb-NO"/>
        </w:rPr>
        <w:t>-studien SC-I, hadde ingen av pasientene på subkutan ukentlig dose en reduksjon i blodplater til</w:t>
      </w:r>
    </w:p>
    <w:p w14:paraId="3B1AB45F" w14:textId="77777777" w:rsidR="00DF56D8" w:rsidRPr="00A942F6" w:rsidRDefault="00DF56D8" w:rsidP="00641834">
      <w:pPr>
        <w:rPr>
          <w:lang w:val="nb-NO"/>
        </w:rPr>
      </w:pPr>
      <w:r w:rsidRPr="00A942F6">
        <w:rPr>
          <w:rFonts w:cs="Times New Roman"/>
          <w:lang w:val="nb-NO"/>
        </w:rPr>
        <w:t>≤</w:t>
      </w:r>
      <w:r w:rsidRPr="00A942F6">
        <w:rPr>
          <w:lang w:val="nb-NO"/>
        </w:rPr>
        <w:t xml:space="preserve"> 50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/mikroliter.</w:t>
      </w:r>
    </w:p>
    <w:p w14:paraId="0A868046" w14:textId="77777777" w:rsidR="00DF56D8" w:rsidRPr="00A942F6" w:rsidRDefault="00DF56D8" w:rsidP="00641834">
      <w:pPr>
        <w:rPr>
          <w:lang w:val="nb-NO"/>
        </w:rPr>
      </w:pPr>
    </w:p>
    <w:p w14:paraId="64F3B626" w14:textId="77777777" w:rsidR="00DF56D8" w:rsidRPr="00A942F6" w:rsidRDefault="00DF56D8" w:rsidP="00641834">
      <w:pPr>
        <w:pStyle w:val="Style1Iitaic"/>
        <w:rPr>
          <w:lang w:val="nb-NO"/>
        </w:rPr>
      </w:pPr>
      <w:r w:rsidRPr="00A942F6">
        <w:rPr>
          <w:lang w:val="nb-NO"/>
        </w:rPr>
        <w:t>Økning av hepatiske transaminaser</w:t>
      </w:r>
    </w:p>
    <w:p w14:paraId="749FBCE6" w14:textId="2C9EBBCC" w:rsidR="00DF56D8" w:rsidRPr="00A942F6" w:rsidRDefault="00DF56D8" w:rsidP="00641834">
      <w:pPr>
        <w:rPr>
          <w:lang w:val="nb-NO"/>
        </w:rPr>
      </w:pPr>
      <w:r w:rsidRPr="00A942F6">
        <w:rPr>
          <w:lang w:val="nb-NO"/>
        </w:rPr>
        <w:t xml:space="preserve">Under rutinemessig overvåking av laboratorieverdier i den 6-måneders kontrollerte kliniske </w:t>
      </w:r>
      <w:r w:rsidR="00813939" w:rsidRPr="00A942F6">
        <w:rPr>
          <w:lang w:val="nb-NO"/>
        </w:rPr>
        <w:t>tocilizumab</w:t>
      </w:r>
      <w:r w:rsidRPr="00A942F6">
        <w:rPr>
          <w:lang w:val="nb-NO"/>
        </w:rPr>
        <w:t xml:space="preserve">-studien SC-I, forekom økning av ALAT og ASAT </w:t>
      </w:r>
      <w:r w:rsidRPr="00A942F6">
        <w:rPr>
          <w:rFonts w:cs="Times New Roman"/>
          <w:lang w:val="nb-NO"/>
        </w:rPr>
        <w:t>≥</w:t>
      </w:r>
      <w:r w:rsidRPr="00A942F6">
        <w:rPr>
          <w:lang w:val="nb-NO"/>
        </w:rPr>
        <w:t xml:space="preserve"> 3 x ULN hos henholdsvis 6,5 % og 1,4 % av pasientene på subkutan ukentlig dose.</w:t>
      </w:r>
    </w:p>
    <w:p w14:paraId="2F1EAF61" w14:textId="77777777" w:rsidR="00DF56D8" w:rsidRPr="00A942F6" w:rsidRDefault="00DF56D8" w:rsidP="00641834">
      <w:pPr>
        <w:rPr>
          <w:lang w:val="nb-NO"/>
        </w:rPr>
      </w:pPr>
    </w:p>
    <w:p w14:paraId="473ADE66" w14:textId="77777777" w:rsidR="00DF56D8" w:rsidRPr="00A942F6" w:rsidRDefault="00DF56D8" w:rsidP="00641834">
      <w:pPr>
        <w:pStyle w:val="Style1Iitaic"/>
        <w:rPr>
          <w:lang w:val="nb-NO"/>
        </w:rPr>
      </w:pPr>
      <w:r w:rsidRPr="00A942F6">
        <w:rPr>
          <w:lang w:val="nb-NO"/>
        </w:rPr>
        <w:lastRenderedPageBreak/>
        <w:t>Lipidparametere</w:t>
      </w:r>
    </w:p>
    <w:p w14:paraId="3872D7CE" w14:textId="609743DE" w:rsidR="00DF56D8" w:rsidRPr="00A942F6" w:rsidRDefault="00DF56D8" w:rsidP="00641834">
      <w:pPr>
        <w:rPr>
          <w:lang w:val="nb-NO"/>
        </w:rPr>
      </w:pPr>
      <w:r w:rsidRPr="00A942F6">
        <w:rPr>
          <w:lang w:val="nb-NO"/>
        </w:rPr>
        <w:t xml:space="preserve">Under rutinemessig overvåking av laboratorieverdier i den 6-måneders kontrollerte kliniske </w:t>
      </w:r>
      <w:r w:rsidR="00813939" w:rsidRPr="00A942F6">
        <w:rPr>
          <w:lang w:val="nb-NO"/>
        </w:rPr>
        <w:t>tocilizumab</w:t>
      </w:r>
      <w:r w:rsidRPr="00A942F6">
        <w:rPr>
          <w:lang w:val="nb-NO"/>
        </w:rPr>
        <w:t>-studien SC-I, opplevde 19 % av pasientene en vedvarende økning i</w:t>
      </w:r>
      <w:r w:rsidR="00F36EEE" w:rsidRPr="00A942F6">
        <w:rPr>
          <w:lang w:val="nb-NO"/>
        </w:rPr>
        <w:t xml:space="preserve"> </w:t>
      </w:r>
      <w:r w:rsidRPr="00A942F6">
        <w:rPr>
          <w:lang w:val="nb-NO"/>
        </w:rPr>
        <w:t>totalkolesterol &gt; 6,2</w:t>
      </w:r>
      <w:r w:rsidR="002E140C">
        <w:rPr>
          <w:lang w:val="nb-NO"/>
        </w:rPr>
        <w:t> </w:t>
      </w:r>
      <w:r w:rsidRPr="00A942F6">
        <w:rPr>
          <w:lang w:val="nb-NO"/>
        </w:rPr>
        <w:t>mmol/l (240 mg/dl), med 9 % som opplevde en vedvarende økning i LDL til</w:t>
      </w:r>
      <w:r w:rsidR="00F36EEE" w:rsidRPr="00A942F6">
        <w:rPr>
          <w:lang w:val="nb-NO"/>
        </w:rPr>
        <w:t xml:space="preserve"> </w:t>
      </w:r>
      <w:r w:rsidR="00F36EEE" w:rsidRPr="00A942F6">
        <w:rPr>
          <w:rFonts w:cs="Times New Roman"/>
          <w:lang w:val="nb-NO"/>
        </w:rPr>
        <w:t>≥</w:t>
      </w:r>
      <w:r w:rsidRPr="00A942F6">
        <w:rPr>
          <w:lang w:val="nb-NO"/>
        </w:rPr>
        <w:t xml:space="preserve"> 4,1 mmol/l (160</w:t>
      </w:r>
      <w:r w:rsidR="002E140C">
        <w:rPr>
          <w:lang w:val="nb-NO"/>
        </w:rPr>
        <w:t> </w:t>
      </w:r>
      <w:r w:rsidRPr="00A942F6">
        <w:rPr>
          <w:lang w:val="nb-NO"/>
        </w:rPr>
        <w:t>mg/dl) på subkutan ukentlig dose.</w:t>
      </w:r>
    </w:p>
    <w:p w14:paraId="28CDD121" w14:textId="77777777" w:rsidR="00DF56D8" w:rsidRPr="00A942F6" w:rsidRDefault="00DF56D8" w:rsidP="00641834">
      <w:pPr>
        <w:rPr>
          <w:lang w:val="nb-NO"/>
        </w:rPr>
      </w:pPr>
    </w:p>
    <w:p w14:paraId="7ADCA9EA" w14:textId="77777777" w:rsidR="00DF56D8" w:rsidRPr="00A942F6" w:rsidRDefault="00DF56D8" w:rsidP="00641834">
      <w:pPr>
        <w:pStyle w:val="Style1underline"/>
        <w:rPr>
          <w:lang w:val="nb-NO"/>
        </w:rPr>
      </w:pPr>
      <w:r w:rsidRPr="00A942F6">
        <w:rPr>
          <w:lang w:val="nb-NO"/>
        </w:rPr>
        <w:t>Subkutan bruk</w:t>
      </w:r>
    </w:p>
    <w:p w14:paraId="7E6F686B" w14:textId="77777777" w:rsidR="00DF56D8" w:rsidRPr="00A942F6" w:rsidRDefault="00DF56D8" w:rsidP="00641834">
      <w:pPr>
        <w:pStyle w:val="Style2underlinebold"/>
        <w:rPr>
          <w:lang w:val="nb-NO"/>
        </w:rPr>
      </w:pPr>
      <w:r w:rsidRPr="00A942F6">
        <w:rPr>
          <w:lang w:val="nb-NO"/>
        </w:rPr>
        <w:t>sJIA</w:t>
      </w:r>
    </w:p>
    <w:p w14:paraId="1305DF2A" w14:textId="261395C9" w:rsidR="00DF56D8" w:rsidRPr="00A942F6" w:rsidRDefault="00DF56D8" w:rsidP="00641834">
      <w:pPr>
        <w:rPr>
          <w:lang w:val="nb-NO"/>
        </w:rPr>
      </w:pPr>
      <w:r w:rsidRPr="00A942F6">
        <w:rPr>
          <w:lang w:val="nb-NO"/>
        </w:rPr>
        <w:t xml:space="preserve">Sikkerhetsprofilen til subkutan </w:t>
      </w:r>
      <w:r w:rsidR="00813939" w:rsidRPr="00A942F6">
        <w:rPr>
          <w:lang w:val="nb-NO"/>
        </w:rPr>
        <w:t>tocilizumab</w:t>
      </w:r>
      <w:r w:rsidRPr="00A942F6">
        <w:rPr>
          <w:lang w:val="nb-NO"/>
        </w:rPr>
        <w:t xml:space="preserve"> ble evaluert hos 51 pediatriske pasienter (i alderen 1 til 17 år) med sJIA. Generelt var bivirkningene hos pasienter med sJIA av lignende type som det som er sett hos RA-pasienter (se avsnitt «Bivirkninger» ovenfor).</w:t>
      </w:r>
    </w:p>
    <w:p w14:paraId="634EFF56" w14:textId="77777777" w:rsidR="00C932B0" w:rsidRPr="00A942F6" w:rsidRDefault="00C932B0" w:rsidP="00641834">
      <w:pPr>
        <w:rPr>
          <w:lang w:val="nb-NO"/>
        </w:rPr>
      </w:pPr>
    </w:p>
    <w:p w14:paraId="68A65F1B" w14:textId="77777777" w:rsidR="00DF56D8" w:rsidRPr="00A942F6" w:rsidRDefault="00DF56D8" w:rsidP="00641834">
      <w:pPr>
        <w:pStyle w:val="Style1Iitaic"/>
        <w:rPr>
          <w:lang w:val="nb-NO"/>
        </w:rPr>
      </w:pPr>
      <w:r w:rsidRPr="00A942F6">
        <w:rPr>
          <w:lang w:val="nb-NO"/>
        </w:rPr>
        <w:t>Infeksjoner</w:t>
      </w:r>
    </w:p>
    <w:p w14:paraId="519B78FB" w14:textId="5AA85BE5" w:rsidR="00DF56D8" w:rsidRPr="00A942F6" w:rsidRDefault="00DF56D8" w:rsidP="00641834">
      <w:pPr>
        <w:rPr>
          <w:lang w:val="nb-NO"/>
        </w:rPr>
      </w:pPr>
      <w:r w:rsidRPr="00A942F6">
        <w:rPr>
          <w:lang w:val="nb-NO"/>
        </w:rPr>
        <w:t xml:space="preserve">Forekomsten av infeksjoner hos sJIA-pasienter behandlet med subkutan </w:t>
      </w:r>
      <w:r w:rsidR="00813939" w:rsidRPr="00A942F6">
        <w:rPr>
          <w:lang w:val="nb-NO"/>
        </w:rPr>
        <w:t>tocilizumab</w:t>
      </w:r>
      <w:r w:rsidRPr="00A942F6">
        <w:rPr>
          <w:lang w:val="nb-NO"/>
        </w:rPr>
        <w:t xml:space="preserve"> var sammenlignbar med den som er sett hos sJIA-pasienter behandlet med intravenøs </w:t>
      </w:r>
      <w:r w:rsidR="00813939" w:rsidRPr="00A942F6">
        <w:rPr>
          <w:lang w:val="nb-NO"/>
        </w:rPr>
        <w:t>tocilizumab</w:t>
      </w:r>
      <w:r w:rsidRPr="00A942F6">
        <w:rPr>
          <w:lang w:val="nb-NO"/>
        </w:rPr>
        <w:t>.</w:t>
      </w:r>
    </w:p>
    <w:p w14:paraId="547D1DC8" w14:textId="77777777" w:rsidR="00C932B0" w:rsidRPr="00A942F6" w:rsidRDefault="00C932B0" w:rsidP="00641834">
      <w:pPr>
        <w:rPr>
          <w:lang w:val="nb-NO"/>
        </w:rPr>
      </w:pPr>
    </w:p>
    <w:p w14:paraId="5EEC715F" w14:textId="77777777" w:rsidR="00DF56D8" w:rsidRPr="00A942F6" w:rsidRDefault="00DF56D8" w:rsidP="00641834">
      <w:pPr>
        <w:pStyle w:val="Style1Iitaic"/>
        <w:rPr>
          <w:lang w:val="nb-NO"/>
        </w:rPr>
      </w:pPr>
      <w:r w:rsidRPr="00A942F6">
        <w:rPr>
          <w:lang w:val="nb-NO"/>
        </w:rPr>
        <w:t>Reaksjoner på injeksjonsstedet</w:t>
      </w:r>
    </w:p>
    <w:p w14:paraId="2FC6430C" w14:textId="07DA3670" w:rsidR="00DF56D8" w:rsidRPr="00A942F6" w:rsidRDefault="00DF56D8" w:rsidP="00641834">
      <w:pPr>
        <w:rPr>
          <w:lang w:val="nb-NO"/>
        </w:rPr>
      </w:pPr>
      <w:r w:rsidRPr="00A942F6">
        <w:rPr>
          <w:lang w:val="nb-NO"/>
        </w:rPr>
        <w:t xml:space="preserve">I studien med subkutan administrering (WA28118), opplevde totalt 41,2 % (21 av 51) av sJIA- pasientene reaksjoner på injeksjonsstedet med s.c. </w:t>
      </w:r>
      <w:r w:rsidR="00813939" w:rsidRPr="00A942F6">
        <w:rPr>
          <w:lang w:val="nb-NO"/>
        </w:rPr>
        <w:t>tocilizumab</w:t>
      </w:r>
      <w:r w:rsidRPr="00A942F6">
        <w:rPr>
          <w:lang w:val="nb-NO"/>
        </w:rPr>
        <w:t>. De vanligste reaksjonene på injeksjonsstedet var erytem, pruritus, smerte og hevelse. Majoriteten av de rapporterte reaksjonene på injeksjonsstedet var grad 1-hendelser. Alle de rapporterte reaksjonene var ikke-alvorlige. Ingen av reaksjonene krevde seponering eller avbrudd i behandlingen.</w:t>
      </w:r>
    </w:p>
    <w:p w14:paraId="6406EEA9" w14:textId="77777777" w:rsidR="00DF56D8" w:rsidRPr="00A942F6" w:rsidRDefault="00DF56D8" w:rsidP="00641834">
      <w:pPr>
        <w:rPr>
          <w:lang w:val="nb-NO"/>
        </w:rPr>
      </w:pPr>
    </w:p>
    <w:p w14:paraId="1BE8349F" w14:textId="77777777" w:rsidR="00DF56D8" w:rsidRPr="00A942F6" w:rsidRDefault="00DF56D8" w:rsidP="00641834">
      <w:pPr>
        <w:pStyle w:val="Style1Iitaic"/>
        <w:rPr>
          <w:lang w:val="nb-NO"/>
        </w:rPr>
      </w:pPr>
      <w:r w:rsidRPr="00A942F6">
        <w:rPr>
          <w:lang w:val="nb-NO"/>
        </w:rPr>
        <w:t>Unormale laboratorieprøver</w:t>
      </w:r>
    </w:p>
    <w:p w14:paraId="36378743" w14:textId="318D2B9D" w:rsidR="00DF56D8" w:rsidRPr="00A942F6" w:rsidRDefault="00DF56D8" w:rsidP="00641834">
      <w:pPr>
        <w:rPr>
          <w:lang w:val="nb-NO"/>
        </w:rPr>
      </w:pPr>
      <w:r w:rsidRPr="00A942F6">
        <w:rPr>
          <w:lang w:val="nb-NO"/>
        </w:rPr>
        <w:t xml:space="preserve">I den 52 uker lange åpne studien med subkutan administrering (WA28118), forekom reduksjon av nøytrofiltall til under 1 </w:t>
      </w:r>
      <w:r w:rsidRPr="00A942F6">
        <w:rPr>
          <w:rFonts w:cs="Times New Roman"/>
          <w:lang w:val="nb-NO"/>
        </w:rPr>
        <w:t>×</w:t>
      </w:r>
      <w:r w:rsidRPr="00A942F6">
        <w:rPr>
          <w:lang w:val="nb-NO"/>
        </w:rPr>
        <w:t xml:space="preserve"> 10</w:t>
      </w:r>
      <w:r w:rsidRPr="00A942F6">
        <w:rPr>
          <w:vertAlign w:val="superscript"/>
          <w:lang w:val="nb-NO"/>
        </w:rPr>
        <w:t>9</w:t>
      </w:r>
      <w:r w:rsidRPr="00A942F6">
        <w:rPr>
          <w:lang w:val="nb-NO"/>
        </w:rPr>
        <w:t xml:space="preserve">/liter hos 23,5 % av pasientene behandlet med subkutan </w:t>
      </w:r>
      <w:r w:rsidR="00813939" w:rsidRPr="00A942F6">
        <w:rPr>
          <w:lang w:val="nb-NO"/>
        </w:rPr>
        <w:t>tocilizumab</w:t>
      </w:r>
      <w:r w:rsidRPr="00A942F6">
        <w:rPr>
          <w:lang w:val="nb-NO"/>
        </w:rPr>
        <w:t xml:space="preserve">. Reduksjoner i platetall til under 100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 xml:space="preserve">/mikroliter forekom hos 2 % av pasientene behandlet med subkutan </w:t>
      </w:r>
      <w:r w:rsidR="00813939" w:rsidRPr="00A942F6">
        <w:rPr>
          <w:lang w:val="nb-NO"/>
        </w:rPr>
        <w:t>tocilizumab</w:t>
      </w:r>
      <w:r w:rsidRPr="00A942F6">
        <w:rPr>
          <w:lang w:val="nb-NO"/>
        </w:rPr>
        <w:t xml:space="preserve">. En økning av ALAT eller ASAT til </w:t>
      </w:r>
      <w:r w:rsidRPr="00A942F6">
        <w:rPr>
          <w:rFonts w:cs="Times New Roman"/>
          <w:lang w:val="nb-NO"/>
        </w:rPr>
        <w:t>≥</w:t>
      </w:r>
      <w:r w:rsidRPr="00A942F6">
        <w:rPr>
          <w:lang w:val="nb-NO"/>
        </w:rPr>
        <w:t xml:space="preserve"> 3 </w:t>
      </w:r>
      <w:r w:rsidRPr="00A942F6">
        <w:rPr>
          <w:rFonts w:cs="Times New Roman"/>
          <w:lang w:val="nb-NO"/>
        </w:rPr>
        <w:t>×</w:t>
      </w:r>
      <w:r w:rsidRPr="00A942F6">
        <w:rPr>
          <w:lang w:val="nb-NO"/>
        </w:rPr>
        <w:t xml:space="preserve"> ULN forekom hos henholdsvis 9,8 % og 4,0 % av pasientene behandlet med subkutan </w:t>
      </w:r>
      <w:r w:rsidR="00813939" w:rsidRPr="00A942F6">
        <w:rPr>
          <w:lang w:val="nb-NO"/>
        </w:rPr>
        <w:t>tocilizumab</w:t>
      </w:r>
      <w:r w:rsidRPr="00A942F6">
        <w:rPr>
          <w:lang w:val="nb-NO"/>
        </w:rPr>
        <w:t>.</w:t>
      </w:r>
    </w:p>
    <w:p w14:paraId="0B4CE478" w14:textId="77777777" w:rsidR="00DF56D8" w:rsidRPr="00A942F6" w:rsidRDefault="00DF56D8" w:rsidP="00641834">
      <w:pPr>
        <w:rPr>
          <w:lang w:val="nb-NO"/>
        </w:rPr>
      </w:pPr>
    </w:p>
    <w:p w14:paraId="1FE57BE1" w14:textId="77777777" w:rsidR="00DF56D8" w:rsidRPr="00A942F6" w:rsidRDefault="00DF56D8" w:rsidP="00641834">
      <w:pPr>
        <w:pStyle w:val="Style1Iitaic"/>
        <w:rPr>
          <w:lang w:val="nb-NO"/>
        </w:rPr>
      </w:pPr>
      <w:r w:rsidRPr="00A942F6">
        <w:rPr>
          <w:lang w:val="nb-NO"/>
        </w:rPr>
        <w:t>Lipidparametere</w:t>
      </w:r>
    </w:p>
    <w:p w14:paraId="41CE27A0" w14:textId="77777777" w:rsidR="00DF56D8" w:rsidRPr="00A942F6" w:rsidRDefault="00DF56D8" w:rsidP="00641834">
      <w:pPr>
        <w:rPr>
          <w:lang w:val="nb-NO"/>
        </w:rPr>
      </w:pPr>
      <w:r w:rsidRPr="00A942F6">
        <w:rPr>
          <w:lang w:val="nb-NO"/>
        </w:rPr>
        <w:t xml:space="preserve">I løpet av den 52 uker lange åpne studien med subkutan administrering (WA28118), opplevde henholdsvis 23,4 % og 35,4 % av pasientene en økning fra baseline av LDL-kolesterol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w:t>
      </w:r>
    </w:p>
    <w:p w14:paraId="1CD30A81" w14:textId="77777777" w:rsidR="00DF56D8" w:rsidRPr="00A942F6" w:rsidRDefault="00DF56D8" w:rsidP="00641834">
      <w:pPr>
        <w:rPr>
          <w:lang w:val="nb-NO"/>
        </w:rPr>
      </w:pPr>
    </w:p>
    <w:p w14:paraId="6746C77C" w14:textId="77777777" w:rsidR="00DF56D8" w:rsidRPr="00A942F6" w:rsidRDefault="00DF56D8" w:rsidP="00641834">
      <w:pPr>
        <w:pStyle w:val="Style1underline"/>
        <w:rPr>
          <w:lang w:val="nb-NO"/>
        </w:rPr>
      </w:pPr>
      <w:r w:rsidRPr="00A942F6">
        <w:rPr>
          <w:lang w:val="nb-NO"/>
        </w:rPr>
        <w:t>Subkutan bruk</w:t>
      </w:r>
    </w:p>
    <w:p w14:paraId="215FCAF9" w14:textId="77777777" w:rsidR="00DF56D8" w:rsidRPr="00A942F6" w:rsidRDefault="00DF56D8" w:rsidP="00641834">
      <w:pPr>
        <w:pStyle w:val="Style2underlinebold"/>
        <w:rPr>
          <w:lang w:val="nb-NO"/>
        </w:rPr>
      </w:pPr>
      <w:r w:rsidRPr="00A942F6">
        <w:rPr>
          <w:lang w:val="nb-NO"/>
        </w:rPr>
        <w:t>pJIA</w:t>
      </w:r>
    </w:p>
    <w:p w14:paraId="72FA6DA6" w14:textId="0D59FFD4" w:rsidR="00DF56D8" w:rsidRPr="00A942F6" w:rsidRDefault="00DF56D8" w:rsidP="00641834">
      <w:pPr>
        <w:rPr>
          <w:lang w:val="nb-NO"/>
        </w:rPr>
      </w:pPr>
      <w:r w:rsidRPr="00A942F6">
        <w:rPr>
          <w:lang w:val="nb-NO"/>
        </w:rPr>
        <w:t xml:space="preserve">Sikkerhetsprofilen til subkutan </w:t>
      </w:r>
      <w:r w:rsidR="00813939" w:rsidRPr="00A942F6">
        <w:rPr>
          <w:lang w:val="nb-NO"/>
        </w:rPr>
        <w:t>tocilizumab</w:t>
      </w:r>
      <w:r w:rsidRPr="00A942F6">
        <w:rPr>
          <w:lang w:val="nb-NO"/>
        </w:rPr>
        <w:t xml:space="preserve"> ble også evaluert hos 52 pediatriske pasienter med pJIA. Den totale pasienteksponeringen for </w:t>
      </w:r>
      <w:r w:rsidR="00813939" w:rsidRPr="00A942F6">
        <w:rPr>
          <w:lang w:val="nb-NO"/>
        </w:rPr>
        <w:t>tocilizumab</w:t>
      </w:r>
      <w:r w:rsidRPr="00A942F6">
        <w:rPr>
          <w:lang w:val="nb-NO"/>
        </w:rPr>
        <w:t xml:space="preserve"> i pJIA-populasjonen med alle som ble eksponert var 184,4 pasientår for intravenøs og 50,4 pasientår for subkutan tocilizumab. Generelt var den observerte sikkerhetsprofilen hos pasienter med pJIA tilsvarende den kjente sikkerhetsprofilen for </w:t>
      </w:r>
      <w:r w:rsidR="00813939" w:rsidRPr="00A942F6">
        <w:rPr>
          <w:lang w:val="nb-NO"/>
        </w:rPr>
        <w:t>tocilizumab</w:t>
      </w:r>
      <w:r w:rsidRPr="00A942F6">
        <w:rPr>
          <w:lang w:val="nb-NO"/>
        </w:rPr>
        <w:t xml:space="preserve">, med unntak av reaksjoner på injeksjonsstedet (se tabell 1). Reaksjoner på injeksjonsstedet etter subkutane </w:t>
      </w:r>
      <w:r w:rsidR="00813939" w:rsidRPr="00A942F6">
        <w:rPr>
          <w:lang w:val="nb-NO"/>
        </w:rPr>
        <w:t>tocilizumab</w:t>
      </w:r>
      <w:r w:rsidRPr="00A942F6">
        <w:rPr>
          <w:lang w:val="nb-NO"/>
        </w:rPr>
        <w:t>-injeksjoner forekom hyppigere blant pJIA-pasientene sammenlignet med voksne RA-pasienter.</w:t>
      </w:r>
    </w:p>
    <w:p w14:paraId="0C4D662E" w14:textId="77777777" w:rsidR="00C932B0" w:rsidRPr="00A942F6" w:rsidRDefault="00C932B0" w:rsidP="00641834">
      <w:pPr>
        <w:rPr>
          <w:lang w:val="nb-NO"/>
        </w:rPr>
      </w:pPr>
    </w:p>
    <w:p w14:paraId="1055A358" w14:textId="77777777" w:rsidR="00DF56D8" w:rsidRPr="00A942F6" w:rsidRDefault="00DF56D8" w:rsidP="00641834">
      <w:pPr>
        <w:pStyle w:val="Style1Iitaic"/>
        <w:rPr>
          <w:lang w:val="nb-NO"/>
        </w:rPr>
      </w:pPr>
      <w:r w:rsidRPr="00A942F6">
        <w:rPr>
          <w:lang w:val="nb-NO"/>
        </w:rPr>
        <w:t>Infeksjoner</w:t>
      </w:r>
    </w:p>
    <w:p w14:paraId="40681606" w14:textId="64DABCA0" w:rsidR="00DF56D8" w:rsidRPr="00A942F6" w:rsidRDefault="00DF56D8" w:rsidP="00641834">
      <w:pPr>
        <w:rPr>
          <w:lang w:val="nb-NO"/>
        </w:rPr>
      </w:pPr>
      <w:r w:rsidRPr="00A942F6">
        <w:rPr>
          <w:lang w:val="nb-NO"/>
        </w:rPr>
        <w:t xml:space="preserve">I studien med subkutan </w:t>
      </w:r>
      <w:r w:rsidR="00813939" w:rsidRPr="00A942F6">
        <w:rPr>
          <w:lang w:val="nb-NO"/>
        </w:rPr>
        <w:t>tocilizumab</w:t>
      </w:r>
      <w:r w:rsidRPr="00A942F6">
        <w:rPr>
          <w:lang w:val="nb-NO"/>
        </w:rPr>
        <w:t xml:space="preserve"> var forekomsten av infeksjoner hos pJIA-pasienter behandlet med subkutan </w:t>
      </w:r>
      <w:r w:rsidR="00813939" w:rsidRPr="00A942F6">
        <w:rPr>
          <w:lang w:val="nb-NO"/>
        </w:rPr>
        <w:t>tocilizumab</w:t>
      </w:r>
      <w:r w:rsidRPr="00A942F6">
        <w:rPr>
          <w:lang w:val="nb-NO"/>
        </w:rPr>
        <w:t xml:space="preserve"> sammenlignbar med den som er sett hos pJIA-pasienter behandlet med intravenøs </w:t>
      </w:r>
      <w:r w:rsidR="00813939" w:rsidRPr="00A942F6">
        <w:rPr>
          <w:lang w:val="nb-NO"/>
        </w:rPr>
        <w:t>tocilizumab</w:t>
      </w:r>
      <w:r w:rsidRPr="00A942F6">
        <w:rPr>
          <w:lang w:val="nb-NO"/>
        </w:rPr>
        <w:t>.</w:t>
      </w:r>
    </w:p>
    <w:p w14:paraId="7421C0B7" w14:textId="77777777" w:rsidR="00DF56D8" w:rsidRPr="00A942F6" w:rsidRDefault="00DF56D8" w:rsidP="00641834">
      <w:pPr>
        <w:rPr>
          <w:lang w:val="nb-NO"/>
        </w:rPr>
      </w:pPr>
    </w:p>
    <w:p w14:paraId="4DEB12D5" w14:textId="77777777" w:rsidR="00DF56D8" w:rsidRPr="00A942F6" w:rsidRDefault="00DF56D8" w:rsidP="00641834">
      <w:pPr>
        <w:pStyle w:val="Style1Iitaic"/>
        <w:rPr>
          <w:lang w:val="nb-NO"/>
        </w:rPr>
      </w:pPr>
      <w:r w:rsidRPr="00A942F6">
        <w:rPr>
          <w:lang w:val="nb-NO"/>
        </w:rPr>
        <w:t>Reaksjoner på injeksjonsstedet</w:t>
      </w:r>
    </w:p>
    <w:p w14:paraId="4E3E5403" w14:textId="36832403" w:rsidR="00DF56D8" w:rsidRPr="00A942F6" w:rsidRDefault="00DF56D8" w:rsidP="00641834">
      <w:pPr>
        <w:rPr>
          <w:lang w:val="nb-NO"/>
        </w:rPr>
      </w:pPr>
      <w:r w:rsidRPr="00A942F6">
        <w:rPr>
          <w:lang w:val="nb-NO"/>
        </w:rPr>
        <w:t xml:space="preserve">Totalt 28,8 % (15 av 52) pJIA-pasienter opplevde reaksjoner på injeksjonsstedet av subkutan </w:t>
      </w:r>
      <w:r w:rsidR="00813939" w:rsidRPr="00A942F6">
        <w:rPr>
          <w:lang w:val="nb-NO"/>
        </w:rPr>
        <w:t>tocilizumab</w:t>
      </w:r>
      <w:r w:rsidRPr="00A942F6">
        <w:rPr>
          <w:lang w:val="nb-NO"/>
        </w:rPr>
        <w:t xml:space="preserve">. Disse reaksjonene oppsto hos 44 % av pasientene </w:t>
      </w:r>
      <w:r w:rsidRPr="00A942F6">
        <w:rPr>
          <w:rFonts w:cs="Times New Roman"/>
          <w:lang w:val="nb-NO"/>
        </w:rPr>
        <w:t>≥</w:t>
      </w:r>
      <w:r w:rsidRPr="00A942F6">
        <w:rPr>
          <w:lang w:val="nb-NO"/>
        </w:rPr>
        <w:t xml:space="preserve"> 30 kg sammenlignet med 14,8 % av pasientene under 30 kg. De vanligste reaksjonene på injeksjonsstedet var erytem, hevelse, hematom, smerte og pruritus. Alle rapporterte reaksjoner på injeksjonsstedet var ikke-alvorlige grad 1-hendelser. Ingen av reaksjonene krevde seponering eller avbrudd i behandlingen.</w:t>
      </w:r>
    </w:p>
    <w:p w14:paraId="4829E0BD" w14:textId="77777777" w:rsidR="00DF56D8" w:rsidRPr="00A942F6" w:rsidRDefault="00DF56D8" w:rsidP="00641834">
      <w:pPr>
        <w:rPr>
          <w:lang w:val="nb-NO"/>
        </w:rPr>
      </w:pPr>
    </w:p>
    <w:p w14:paraId="38D925DD" w14:textId="77777777" w:rsidR="00DF56D8" w:rsidRPr="00A942F6" w:rsidRDefault="00DF56D8" w:rsidP="00641834">
      <w:pPr>
        <w:pStyle w:val="Style1Iitaic"/>
        <w:rPr>
          <w:lang w:val="nb-NO"/>
        </w:rPr>
      </w:pPr>
      <w:r w:rsidRPr="00A942F6">
        <w:rPr>
          <w:lang w:val="nb-NO"/>
        </w:rPr>
        <w:lastRenderedPageBreak/>
        <w:t>Unormale laboratorieprøver</w:t>
      </w:r>
    </w:p>
    <w:p w14:paraId="7D8E4EBF" w14:textId="6E503FA7" w:rsidR="00DF56D8" w:rsidRPr="00A942F6" w:rsidRDefault="00DF56D8" w:rsidP="00641834">
      <w:pPr>
        <w:rPr>
          <w:lang w:val="nb-NO"/>
        </w:rPr>
      </w:pPr>
      <w:r w:rsidRPr="00A942F6">
        <w:rPr>
          <w:lang w:val="nb-NO"/>
        </w:rPr>
        <w:t xml:space="preserve">Under rutinemessig laboratorieovervåking av populasjonen med alle som ble eksponert for </w:t>
      </w:r>
      <w:r w:rsidR="00813939" w:rsidRPr="00A942F6">
        <w:rPr>
          <w:lang w:val="nb-NO"/>
        </w:rPr>
        <w:t>tocilizumab</w:t>
      </w:r>
      <w:r w:rsidRPr="00A942F6">
        <w:rPr>
          <w:lang w:val="nb-NO"/>
        </w:rPr>
        <w:t xml:space="preserve">, forekom en reduksjon i antall nøytrofile til under 1 </w:t>
      </w:r>
      <w:r w:rsidRPr="00A942F6">
        <w:rPr>
          <w:rFonts w:cs="Times New Roman"/>
          <w:lang w:val="nb-NO"/>
        </w:rPr>
        <w:t>×</w:t>
      </w:r>
      <w:r w:rsidRPr="00A942F6">
        <w:rPr>
          <w:lang w:val="nb-NO"/>
        </w:rPr>
        <w:t xml:space="preserve"> 10</w:t>
      </w:r>
      <w:r w:rsidRPr="00A942F6">
        <w:rPr>
          <w:vertAlign w:val="superscript"/>
          <w:lang w:val="nb-NO"/>
        </w:rPr>
        <w:t>9</w:t>
      </w:r>
      <w:r w:rsidRPr="00A942F6">
        <w:rPr>
          <w:lang w:val="nb-NO"/>
        </w:rPr>
        <w:t xml:space="preserve">/liter hos 15,4 % av pasientene behandlet med subkutan </w:t>
      </w:r>
      <w:r w:rsidR="00813939" w:rsidRPr="00A942F6">
        <w:rPr>
          <w:lang w:val="nb-NO"/>
        </w:rPr>
        <w:t>tocilizumab</w:t>
      </w:r>
      <w:r w:rsidRPr="00A942F6">
        <w:rPr>
          <w:lang w:val="nb-NO"/>
        </w:rPr>
        <w:t xml:space="preserve">. Økning av ALAT eller ASAT </w:t>
      </w:r>
      <w:r w:rsidRPr="00A942F6">
        <w:rPr>
          <w:rFonts w:cs="Times New Roman"/>
          <w:lang w:val="nb-NO"/>
        </w:rPr>
        <w:t>≥</w:t>
      </w:r>
      <w:r w:rsidRPr="00A942F6">
        <w:rPr>
          <w:lang w:val="nb-NO"/>
        </w:rPr>
        <w:t xml:space="preserve"> 3 x ULN forekom hos henholdsvis 9,6 % og 3,8 % av pasientene behandlet med subkutan </w:t>
      </w:r>
      <w:r w:rsidR="00813939" w:rsidRPr="00A942F6">
        <w:rPr>
          <w:lang w:val="nb-NO"/>
        </w:rPr>
        <w:t>tocilizumab</w:t>
      </w:r>
      <w:r w:rsidRPr="00A942F6">
        <w:rPr>
          <w:lang w:val="nb-NO"/>
        </w:rPr>
        <w:t xml:space="preserve">. Ingen pasienter behandlet med subkutan </w:t>
      </w:r>
      <w:r w:rsidR="00813939" w:rsidRPr="00A942F6">
        <w:rPr>
          <w:lang w:val="nb-NO"/>
        </w:rPr>
        <w:t>tocilizumab</w:t>
      </w:r>
      <w:r w:rsidRPr="00A942F6">
        <w:rPr>
          <w:lang w:val="nb-NO"/>
        </w:rPr>
        <w:t xml:space="preserve"> opplevde reduksjon av platetallet til </w:t>
      </w:r>
      <w:r w:rsidRPr="00A942F6">
        <w:rPr>
          <w:rFonts w:cs="Times New Roman"/>
          <w:lang w:val="nb-NO"/>
        </w:rPr>
        <w:t>≤</w:t>
      </w:r>
      <w:r w:rsidRPr="00A942F6">
        <w:rPr>
          <w:lang w:val="nb-NO"/>
        </w:rPr>
        <w:t xml:space="preserve"> 50 </w:t>
      </w:r>
      <w:r w:rsidRPr="00A942F6">
        <w:rPr>
          <w:rFonts w:cs="Times New Roman"/>
          <w:lang w:val="nb-NO"/>
        </w:rPr>
        <w:t>×</w:t>
      </w:r>
      <w:r w:rsidRPr="00A942F6">
        <w:rPr>
          <w:lang w:val="nb-NO"/>
        </w:rPr>
        <w:t xml:space="preserve"> 10</w:t>
      </w:r>
      <w:r w:rsidRPr="00A942F6">
        <w:rPr>
          <w:vertAlign w:val="superscript"/>
          <w:lang w:val="nb-NO"/>
        </w:rPr>
        <w:t>3</w:t>
      </w:r>
      <w:r w:rsidRPr="00A942F6">
        <w:rPr>
          <w:lang w:val="nb-NO"/>
        </w:rPr>
        <w:t>/mikroliter.</w:t>
      </w:r>
    </w:p>
    <w:p w14:paraId="576FEFD2" w14:textId="77777777" w:rsidR="00DF56D8" w:rsidRPr="00A942F6" w:rsidRDefault="00DF56D8" w:rsidP="00641834">
      <w:pPr>
        <w:rPr>
          <w:lang w:val="nb-NO"/>
        </w:rPr>
      </w:pPr>
    </w:p>
    <w:p w14:paraId="7C501DA2" w14:textId="77777777" w:rsidR="00DF56D8" w:rsidRPr="00A942F6" w:rsidRDefault="00DF56D8" w:rsidP="00641834">
      <w:pPr>
        <w:pStyle w:val="Style1Iitaic"/>
        <w:rPr>
          <w:lang w:val="nb-NO"/>
        </w:rPr>
      </w:pPr>
      <w:r w:rsidRPr="00A942F6">
        <w:rPr>
          <w:lang w:val="nb-NO"/>
        </w:rPr>
        <w:t>Lipidparametere</w:t>
      </w:r>
    </w:p>
    <w:p w14:paraId="288DC198" w14:textId="77777777" w:rsidR="00DF56D8" w:rsidRPr="00A942F6" w:rsidRDefault="00DF56D8" w:rsidP="00641834">
      <w:pPr>
        <w:rPr>
          <w:lang w:val="nb-NO"/>
        </w:rPr>
      </w:pPr>
      <w:r w:rsidRPr="00A942F6">
        <w:rPr>
          <w:lang w:val="nb-NO"/>
        </w:rPr>
        <w:t xml:space="preserve">I løpet av studien med subkutan administrering opplevde henholdsvis 14,3 % og 12,8 % av pasientene en økning fra baseline i LDL-kolesterol til </w:t>
      </w:r>
      <w:r w:rsidRPr="00A942F6">
        <w:rPr>
          <w:rFonts w:cs="Times New Roman"/>
          <w:lang w:val="nb-NO"/>
        </w:rPr>
        <w:t>≥</w:t>
      </w:r>
      <w:r w:rsidRPr="00A942F6">
        <w:rPr>
          <w:lang w:val="nb-NO"/>
        </w:rPr>
        <w:t xml:space="preserve"> 130 mg/dl og totalkolesterol til </w:t>
      </w:r>
      <w:r w:rsidRPr="00A942F6">
        <w:rPr>
          <w:rFonts w:cs="Times New Roman"/>
          <w:lang w:val="nb-NO"/>
        </w:rPr>
        <w:t>≥</w:t>
      </w:r>
      <w:r w:rsidRPr="00A942F6">
        <w:rPr>
          <w:lang w:val="nb-NO"/>
        </w:rPr>
        <w:t xml:space="preserve"> 200 mg/dl.</w:t>
      </w:r>
    </w:p>
    <w:p w14:paraId="6148B3DE" w14:textId="77777777" w:rsidR="001F4B8A" w:rsidRPr="00A942F6" w:rsidRDefault="001F4B8A" w:rsidP="00641834">
      <w:pPr>
        <w:rPr>
          <w:lang w:val="nb-NO"/>
        </w:rPr>
      </w:pPr>
    </w:p>
    <w:p w14:paraId="3D2928B6" w14:textId="77777777" w:rsidR="00DF56D8" w:rsidRPr="00A942F6" w:rsidRDefault="00DF56D8" w:rsidP="00641834">
      <w:pPr>
        <w:pStyle w:val="Style1underline"/>
        <w:rPr>
          <w:lang w:val="nb-NO"/>
        </w:rPr>
      </w:pPr>
      <w:r w:rsidRPr="00A942F6">
        <w:rPr>
          <w:lang w:val="nb-NO"/>
        </w:rPr>
        <w:t>Subkutan bruk</w:t>
      </w:r>
    </w:p>
    <w:p w14:paraId="6F0B9885" w14:textId="77777777" w:rsidR="00DF56D8" w:rsidRPr="00A942F6" w:rsidRDefault="00DF56D8" w:rsidP="00641834">
      <w:pPr>
        <w:pStyle w:val="Style2underlinebold"/>
        <w:rPr>
          <w:lang w:val="nb-NO"/>
        </w:rPr>
      </w:pPr>
      <w:r w:rsidRPr="00A942F6">
        <w:rPr>
          <w:lang w:val="nb-NO"/>
        </w:rPr>
        <w:t>GCA</w:t>
      </w:r>
    </w:p>
    <w:p w14:paraId="7D1D17C2" w14:textId="4F46BCE7" w:rsidR="00DF56D8" w:rsidRPr="00A942F6" w:rsidRDefault="00DF56D8" w:rsidP="007E4199">
      <w:pPr>
        <w:rPr>
          <w:lang w:val="nb-NO"/>
        </w:rPr>
      </w:pPr>
      <w:r w:rsidRPr="00A942F6">
        <w:rPr>
          <w:lang w:val="nb-NO"/>
        </w:rPr>
        <w:t xml:space="preserve">Sikkerheten av subkutan </w:t>
      </w:r>
      <w:r w:rsidR="00813939" w:rsidRPr="00A942F6">
        <w:rPr>
          <w:lang w:val="nb-NO"/>
        </w:rPr>
        <w:t>tocilizumab</w:t>
      </w:r>
      <w:r w:rsidRPr="00A942F6">
        <w:rPr>
          <w:lang w:val="nb-NO"/>
        </w:rPr>
        <w:t xml:space="preserve"> har blitt studert i en fase III-studie (WA28119) med</w:t>
      </w:r>
      <w:r w:rsidR="007E4199">
        <w:rPr>
          <w:lang w:val="nb-NO"/>
        </w:rPr>
        <w:t xml:space="preserve"> </w:t>
      </w:r>
      <w:r w:rsidRPr="00A942F6">
        <w:rPr>
          <w:lang w:val="nb-NO"/>
        </w:rPr>
        <w:t xml:space="preserve">251 GCA-pasienter. Den totale varigheten i pasientår hos populasjonen som ble eksponert for </w:t>
      </w:r>
      <w:r w:rsidR="00813939" w:rsidRPr="00A942F6">
        <w:rPr>
          <w:lang w:val="nb-NO"/>
        </w:rPr>
        <w:t>tocilizumab</w:t>
      </w:r>
      <w:r w:rsidRPr="00A942F6">
        <w:rPr>
          <w:lang w:val="nb-NO"/>
        </w:rPr>
        <w:t xml:space="preserve"> var 138,5 pasientår i løpet av den 12-måneder lange dobbeltblinde, placebokontrollerte fasen av studien. Den samlede sikkerhetsprofilen som ble observert for behandlingsgruppen som fikk </w:t>
      </w:r>
      <w:r w:rsidR="00813939" w:rsidRPr="00A942F6">
        <w:rPr>
          <w:lang w:val="nb-NO"/>
        </w:rPr>
        <w:t>tocilizumab</w:t>
      </w:r>
      <w:r w:rsidRPr="00A942F6">
        <w:rPr>
          <w:lang w:val="nb-NO"/>
        </w:rPr>
        <w:t xml:space="preserve"> var i samsvar med den kjente sikkerhetsprofilen til </w:t>
      </w:r>
      <w:r w:rsidR="00813939" w:rsidRPr="00A942F6">
        <w:rPr>
          <w:lang w:val="nb-NO"/>
        </w:rPr>
        <w:t>tocilizumab</w:t>
      </w:r>
      <w:r w:rsidRPr="00A942F6">
        <w:rPr>
          <w:lang w:val="nb-NO"/>
        </w:rPr>
        <w:t xml:space="preserve"> (se tabell 1).</w:t>
      </w:r>
    </w:p>
    <w:p w14:paraId="6025619D" w14:textId="77777777" w:rsidR="00DF56D8" w:rsidRPr="00A942F6" w:rsidRDefault="00DF56D8" w:rsidP="00641834">
      <w:pPr>
        <w:rPr>
          <w:lang w:val="nb-NO"/>
        </w:rPr>
      </w:pPr>
    </w:p>
    <w:p w14:paraId="151EB2DB" w14:textId="77777777" w:rsidR="00DF56D8" w:rsidRPr="00A942F6" w:rsidRDefault="00DF56D8" w:rsidP="00641834">
      <w:pPr>
        <w:pStyle w:val="Style1Iitaic"/>
        <w:rPr>
          <w:lang w:val="nb-NO"/>
        </w:rPr>
      </w:pPr>
      <w:r w:rsidRPr="00A942F6">
        <w:rPr>
          <w:lang w:val="nb-NO"/>
        </w:rPr>
        <w:t>Infeksjoner</w:t>
      </w:r>
    </w:p>
    <w:p w14:paraId="55C047D6" w14:textId="67C9C0FC" w:rsidR="00DF56D8" w:rsidRPr="00A942F6" w:rsidRDefault="00DF56D8" w:rsidP="00641834">
      <w:pPr>
        <w:rPr>
          <w:lang w:val="nb-NO"/>
        </w:rPr>
      </w:pPr>
      <w:r w:rsidRPr="00A942F6">
        <w:rPr>
          <w:lang w:val="nb-NO"/>
        </w:rPr>
        <w:t xml:space="preserve">Hyppigheten av infeksjon/ alvorlig infeksjon var balansert mellom gruppen som fikk </w:t>
      </w:r>
      <w:r w:rsidR="00813939" w:rsidRPr="00A942F6">
        <w:rPr>
          <w:lang w:val="nb-NO"/>
        </w:rPr>
        <w:t>tocilizumab</w:t>
      </w:r>
      <w:r w:rsidRPr="00A942F6">
        <w:rPr>
          <w:lang w:val="nb-NO"/>
        </w:rPr>
        <w:t xml:space="preserve"> ukentlig (200,2/9,7 hendelser per 100 pasientår) versus gruppen som fikk placebo pluss 26 ukers nedtrapping av prednison (156,0/4,2 hendelser per 100 pasientår) og gruppen som fikk placebo pluss 52 ukers nedtrapping (210,2/12,5 hendelser per 100 pasientår).</w:t>
      </w:r>
    </w:p>
    <w:p w14:paraId="4C90B322" w14:textId="77777777" w:rsidR="001F4B8A" w:rsidRPr="00A942F6" w:rsidRDefault="001F4B8A" w:rsidP="00641834">
      <w:pPr>
        <w:rPr>
          <w:lang w:val="nb-NO"/>
        </w:rPr>
      </w:pPr>
    </w:p>
    <w:p w14:paraId="663509BF" w14:textId="77777777" w:rsidR="00DF56D8" w:rsidRPr="00A942F6" w:rsidRDefault="00DF56D8" w:rsidP="00641834">
      <w:pPr>
        <w:pStyle w:val="Style1Iitaic"/>
        <w:rPr>
          <w:lang w:val="nb-NO"/>
        </w:rPr>
      </w:pPr>
      <w:r w:rsidRPr="00A942F6">
        <w:rPr>
          <w:lang w:val="nb-NO"/>
        </w:rPr>
        <w:t>Reaksjoner på administrasjonsstedet</w:t>
      </w:r>
    </w:p>
    <w:p w14:paraId="1BC3E1E5" w14:textId="41FD5FEF" w:rsidR="00DF56D8" w:rsidRPr="00A942F6" w:rsidRDefault="00DF56D8" w:rsidP="00641834">
      <w:pPr>
        <w:rPr>
          <w:lang w:val="nb-NO"/>
        </w:rPr>
      </w:pPr>
      <w:r w:rsidRPr="00A942F6">
        <w:rPr>
          <w:lang w:val="nb-NO"/>
        </w:rPr>
        <w:t xml:space="preserve">I gruppen som fikk </w:t>
      </w:r>
      <w:r w:rsidR="00813939" w:rsidRPr="00A942F6">
        <w:rPr>
          <w:lang w:val="nb-NO"/>
        </w:rPr>
        <w:t>tocilizumab</w:t>
      </w:r>
      <w:r w:rsidRPr="00A942F6">
        <w:rPr>
          <w:lang w:val="nb-NO"/>
        </w:rPr>
        <w:t xml:space="preserve"> subkutant ukentlig, var det totalt 6 % (6/100) av pasientene som rapporterte om reaksjoner på administrasjonsstedet. Ingen av reaksjonene på administrasjonsstedet ble rapportert som alvorlig bivirkning eller krevde seponering av behandlingen.</w:t>
      </w:r>
    </w:p>
    <w:p w14:paraId="44BDCB2F" w14:textId="77777777" w:rsidR="001F4B8A" w:rsidRPr="00A942F6" w:rsidRDefault="001F4B8A" w:rsidP="00641834">
      <w:pPr>
        <w:rPr>
          <w:lang w:val="nb-NO"/>
        </w:rPr>
      </w:pPr>
    </w:p>
    <w:p w14:paraId="74D6103D" w14:textId="77777777" w:rsidR="00DF56D8" w:rsidRPr="00A942F6" w:rsidRDefault="00DF56D8" w:rsidP="00641834">
      <w:pPr>
        <w:pStyle w:val="Style1Iitaic"/>
        <w:rPr>
          <w:lang w:val="nb-NO"/>
        </w:rPr>
      </w:pPr>
      <w:r w:rsidRPr="00A942F6">
        <w:rPr>
          <w:lang w:val="nb-NO"/>
        </w:rPr>
        <w:t>Hematologiske forandringer:</w:t>
      </w:r>
    </w:p>
    <w:p w14:paraId="5339E54D" w14:textId="77777777" w:rsidR="00DF56D8" w:rsidRPr="00A942F6" w:rsidRDefault="00DF56D8" w:rsidP="00641834">
      <w:pPr>
        <w:pStyle w:val="Style1Iitaic"/>
        <w:rPr>
          <w:lang w:val="nb-NO"/>
        </w:rPr>
      </w:pPr>
      <w:r w:rsidRPr="00A942F6">
        <w:rPr>
          <w:lang w:val="nb-NO"/>
        </w:rPr>
        <w:t>Nøytrofiler</w:t>
      </w:r>
    </w:p>
    <w:p w14:paraId="6F1E9F99" w14:textId="4FBE0F55" w:rsidR="00DF56D8" w:rsidRPr="00A942F6" w:rsidRDefault="00DF56D8" w:rsidP="00641834">
      <w:pPr>
        <w:rPr>
          <w:lang w:val="nb-NO"/>
        </w:rPr>
      </w:pPr>
      <w:r w:rsidRPr="00A942F6">
        <w:rPr>
          <w:lang w:val="nb-NO"/>
        </w:rPr>
        <w:t xml:space="preserve">Under rutinemessig overvåking av laboratorieverdier i den 12–måneders kontrollerte kliniske </w:t>
      </w:r>
      <w:r w:rsidR="00813939" w:rsidRPr="00A942F6">
        <w:rPr>
          <w:lang w:val="nb-NO"/>
        </w:rPr>
        <w:t>tocilizumab</w:t>
      </w:r>
      <w:r w:rsidRPr="00A942F6">
        <w:rPr>
          <w:lang w:val="nb-NO"/>
        </w:rPr>
        <w:t xml:space="preserve">-studien, oppstod det reduksjon i antall nøytrofile til under 1 </w:t>
      </w:r>
      <w:r w:rsidRPr="00A942F6">
        <w:rPr>
          <w:rFonts w:cs="Times New Roman"/>
          <w:lang w:val="nb-NO"/>
        </w:rPr>
        <w:t>×</w:t>
      </w:r>
      <w:r w:rsidRPr="00A942F6">
        <w:rPr>
          <w:lang w:val="nb-NO"/>
        </w:rPr>
        <w:t xml:space="preserve"> 10</w:t>
      </w:r>
      <w:r w:rsidRPr="00A942F6">
        <w:rPr>
          <w:vertAlign w:val="superscript"/>
          <w:lang w:val="nb-NO"/>
        </w:rPr>
        <w:t>9</w:t>
      </w:r>
      <w:r w:rsidRPr="00A942F6">
        <w:rPr>
          <w:lang w:val="nb-NO"/>
        </w:rPr>
        <w:t xml:space="preserve">/l hos 4 % av pasientene som fikk </w:t>
      </w:r>
      <w:r w:rsidR="00813939" w:rsidRPr="00A942F6">
        <w:rPr>
          <w:lang w:val="nb-NO"/>
        </w:rPr>
        <w:t>tocilizumab</w:t>
      </w:r>
      <w:r w:rsidRPr="00A942F6">
        <w:rPr>
          <w:lang w:val="nb-NO"/>
        </w:rPr>
        <w:t xml:space="preserve"> subkutant ukentlig. Dette ble ikke observert i de to placebogruppene med nedtrapping av prednison.</w:t>
      </w:r>
    </w:p>
    <w:p w14:paraId="04DDAE9E" w14:textId="77777777" w:rsidR="00DF56D8" w:rsidRPr="00A942F6" w:rsidRDefault="00DF56D8" w:rsidP="00641834">
      <w:pPr>
        <w:rPr>
          <w:lang w:val="nb-NO"/>
        </w:rPr>
      </w:pPr>
    </w:p>
    <w:p w14:paraId="47808497" w14:textId="77777777" w:rsidR="00DF56D8" w:rsidRPr="00A942F6" w:rsidRDefault="00DF56D8" w:rsidP="00641834">
      <w:pPr>
        <w:pStyle w:val="Style1Iitaic"/>
        <w:rPr>
          <w:lang w:val="nb-NO"/>
        </w:rPr>
      </w:pPr>
      <w:r w:rsidRPr="00A942F6">
        <w:rPr>
          <w:lang w:val="nb-NO"/>
        </w:rPr>
        <w:t>Blodplater</w:t>
      </w:r>
    </w:p>
    <w:p w14:paraId="3F31756D" w14:textId="5D3B7291" w:rsidR="00DF56D8" w:rsidRPr="00A942F6" w:rsidRDefault="00DF56D8" w:rsidP="007E4199">
      <w:pPr>
        <w:rPr>
          <w:lang w:val="nb-NO"/>
        </w:rPr>
      </w:pPr>
      <w:r w:rsidRPr="00A942F6">
        <w:rPr>
          <w:lang w:val="nb-NO"/>
        </w:rPr>
        <w:t xml:space="preserve">Under rutinemessig overvåking av laboratorieverdier i den 12-måneders kontrollerte kliniske </w:t>
      </w:r>
      <w:r w:rsidR="00813939" w:rsidRPr="00A942F6">
        <w:rPr>
          <w:lang w:val="nb-NO"/>
        </w:rPr>
        <w:t>tocilizumab</w:t>
      </w:r>
      <w:r w:rsidRPr="00A942F6">
        <w:rPr>
          <w:lang w:val="nb-NO"/>
        </w:rPr>
        <w:t xml:space="preserve">-studien, var det én pasient (1 %, 1/100) i gruppen som fikk </w:t>
      </w:r>
      <w:r w:rsidR="00813939" w:rsidRPr="00A942F6">
        <w:rPr>
          <w:lang w:val="nb-NO"/>
        </w:rPr>
        <w:t>tocilizumab</w:t>
      </w:r>
      <w:r w:rsidRPr="00A942F6">
        <w:rPr>
          <w:lang w:val="nb-NO"/>
        </w:rPr>
        <w:t xml:space="preserve"> subkutant ukentlig som hadde en enkelt forbigående hendelse med reduksjon i blodplater til &lt;100 × 10</w:t>
      </w:r>
      <w:r w:rsidRPr="00A942F6">
        <w:rPr>
          <w:vertAlign w:val="superscript"/>
          <w:lang w:val="nb-NO"/>
        </w:rPr>
        <w:t>3</w:t>
      </w:r>
      <w:r w:rsidRPr="00A942F6">
        <w:rPr>
          <w:lang w:val="nb-NO"/>
        </w:rPr>
        <w:t>/mikroliter uten at det var tilknyttet en blødningshendelse. Det ble ikke observert reduksjon i blodplater under</w:t>
      </w:r>
      <w:r w:rsidR="007E4199">
        <w:rPr>
          <w:lang w:val="nb-NO"/>
        </w:rPr>
        <w:t xml:space="preserve"> </w:t>
      </w:r>
      <w:r w:rsidRPr="00A942F6">
        <w:rPr>
          <w:lang w:val="nb-NO"/>
        </w:rPr>
        <w:t>100 × 10</w:t>
      </w:r>
      <w:r w:rsidRPr="00A942F6">
        <w:rPr>
          <w:vertAlign w:val="superscript"/>
          <w:lang w:val="nb-NO"/>
        </w:rPr>
        <w:t>3</w:t>
      </w:r>
      <w:r w:rsidRPr="00A942F6">
        <w:rPr>
          <w:lang w:val="nb-NO"/>
        </w:rPr>
        <w:t>/mikroliter i de to placebogruppene med nedtrapping av prednison.</w:t>
      </w:r>
    </w:p>
    <w:p w14:paraId="6772BC80" w14:textId="77777777" w:rsidR="00DF56D8" w:rsidRPr="00A942F6" w:rsidRDefault="00DF56D8" w:rsidP="00641834">
      <w:pPr>
        <w:rPr>
          <w:lang w:val="nb-NO"/>
        </w:rPr>
      </w:pPr>
    </w:p>
    <w:p w14:paraId="37B6558A" w14:textId="77777777" w:rsidR="00DF56D8" w:rsidRPr="00A942F6" w:rsidRDefault="00DF56D8" w:rsidP="00641834">
      <w:pPr>
        <w:pStyle w:val="Style1Iitaic"/>
        <w:rPr>
          <w:lang w:val="nb-NO"/>
        </w:rPr>
      </w:pPr>
      <w:r w:rsidRPr="00A942F6">
        <w:rPr>
          <w:lang w:val="nb-NO"/>
        </w:rPr>
        <w:t>Økning av hepatiske transaminaser</w:t>
      </w:r>
    </w:p>
    <w:p w14:paraId="68FC5D35" w14:textId="46D96216" w:rsidR="00DF56D8" w:rsidRPr="00A942F6" w:rsidRDefault="00DF56D8" w:rsidP="00641834">
      <w:pPr>
        <w:rPr>
          <w:lang w:val="nb-NO"/>
        </w:rPr>
      </w:pPr>
      <w:r w:rsidRPr="00A942F6">
        <w:rPr>
          <w:lang w:val="nb-NO"/>
        </w:rPr>
        <w:t xml:space="preserve">Under rutinemessig overvåking av laboratorieverdier i den 12-måneders kontrollerte kliniske </w:t>
      </w:r>
      <w:r w:rsidR="00813939" w:rsidRPr="00A942F6">
        <w:rPr>
          <w:lang w:val="nb-NO"/>
        </w:rPr>
        <w:t>tocilizumab</w:t>
      </w:r>
      <w:r w:rsidRPr="00A942F6">
        <w:rPr>
          <w:lang w:val="nb-NO"/>
        </w:rPr>
        <w:t xml:space="preserve">-studien, forekom økning av ALAT </w:t>
      </w:r>
      <w:r w:rsidRPr="00A942F6">
        <w:rPr>
          <w:rFonts w:cs="Times New Roman"/>
          <w:lang w:val="nb-NO"/>
        </w:rPr>
        <w:t>≥</w:t>
      </w:r>
      <w:r w:rsidRPr="00A942F6">
        <w:rPr>
          <w:lang w:val="nb-NO"/>
        </w:rPr>
        <w:t xml:space="preserve"> 3 x ULN hos 3 % av pasientene i gruppen som fikk </w:t>
      </w:r>
      <w:r w:rsidR="00813939" w:rsidRPr="00A942F6">
        <w:rPr>
          <w:lang w:val="nb-NO"/>
        </w:rPr>
        <w:t>tocilizumab</w:t>
      </w:r>
      <w:r w:rsidRPr="00A942F6">
        <w:rPr>
          <w:lang w:val="nb-NO"/>
        </w:rPr>
        <w:t xml:space="preserve"> subkutant ukentlig, sammenlignet med 2 % i gruppen som fikk placebo pluss 52 ukers nedtrapping av prednison, og ingen i gruppen som fikk placebo pluss 26 ukers nedtrapping av prednison. Det forekom en økning av ASAT &gt;3 ULN hos 1 % av pasientene i gruppen som fikk </w:t>
      </w:r>
      <w:r w:rsidR="00813939" w:rsidRPr="00A942F6">
        <w:rPr>
          <w:lang w:val="nb-NO"/>
        </w:rPr>
        <w:t>tocilizumab</w:t>
      </w:r>
      <w:r w:rsidRPr="00A942F6">
        <w:rPr>
          <w:lang w:val="nb-NO"/>
        </w:rPr>
        <w:t xml:space="preserve"> subkutant ukentlig, sammenlignet med ingen pasienter i de to placebogruppene med nedtrapping av prednison.</w:t>
      </w:r>
    </w:p>
    <w:p w14:paraId="34909E6F" w14:textId="77777777" w:rsidR="001F4B8A" w:rsidRPr="00A942F6" w:rsidRDefault="001F4B8A" w:rsidP="00641834">
      <w:pPr>
        <w:rPr>
          <w:lang w:val="nb-NO"/>
        </w:rPr>
      </w:pPr>
    </w:p>
    <w:p w14:paraId="2B1ADC8C" w14:textId="77777777" w:rsidR="00DF56D8" w:rsidRPr="00A942F6" w:rsidRDefault="00DF56D8" w:rsidP="00641834">
      <w:pPr>
        <w:pStyle w:val="Style1Iitaic"/>
        <w:rPr>
          <w:lang w:val="nb-NO"/>
        </w:rPr>
      </w:pPr>
      <w:r w:rsidRPr="00A942F6">
        <w:rPr>
          <w:lang w:val="nb-NO"/>
        </w:rPr>
        <w:t>Lipidparametere</w:t>
      </w:r>
    </w:p>
    <w:p w14:paraId="408BA0A1" w14:textId="12EBF068" w:rsidR="00DF56D8" w:rsidRPr="00A942F6" w:rsidRDefault="00DF56D8" w:rsidP="00641834">
      <w:pPr>
        <w:rPr>
          <w:lang w:val="nb-NO"/>
        </w:rPr>
      </w:pPr>
      <w:r w:rsidRPr="00A942F6">
        <w:rPr>
          <w:lang w:val="nb-NO"/>
        </w:rPr>
        <w:t xml:space="preserve">Under rutinemessig overvåking av laboratorieverdier i den 12-måneders kontrollerte kliniske </w:t>
      </w:r>
      <w:r w:rsidR="00813939" w:rsidRPr="00A942F6">
        <w:rPr>
          <w:lang w:val="nb-NO"/>
        </w:rPr>
        <w:t>tocilizumab</w:t>
      </w:r>
      <w:r w:rsidRPr="00A942F6">
        <w:rPr>
          <w:lang w:val="nb-NO"/>
        </w:rPr>
        <w:t xml:space="preserve">-studien, opplevde 34 % av pasientene en vedvarende økning i totalkolesterol &gt; 6,2 mmol/l </w:t>
      </w:r>
      <w:r w:rsidRPr="00A942F6">
        <w:rPr>
          <w:lang w:val="nb-NO"/>
        </w:rPr>
        <w:lastRenderedPageBreak/>
        <w:t xml:space="preserve">(240 mg/dl), med 15 % som opplevde en vedvarende økning i LDL til </w:t>
      </w:r>
      <w:r w:rsidR="00F36EEE" w:rsidRPr="00A942F6">
        <w:rPr>
          <w:rFonts w:cs="Times New Roman"/>
          <w:lang w:val="nb-NO"/>
        </w:rPr>
        <w:t>≥</w:t>
      </w:r>
      <w:r w:rsidRPr="00A942F6">
        <w:rPr>
          <w:lang w:val="nb-NO"/>
        </w:rPr>
        <w:t xml:space="preserve"> 4,1 mmol/l (160 mg/dl) i gruppen som fikk </w:t>
      </w:r>
      <w:r w:rsidR="00813939" w:rsidRPr="00A942F6">
        <w:rPr>
          <w:lang w:val="nb-NO"/>
        </w:rPr>
        <w:t>tocilizumab</w:t>
      </w:r>
      <w:r w:rsidRPr="00A942F6">
        <w:rPr>
          <w:lang w:val="nb-NO"/>
        </w:rPr>
        <w:t xml:space="preserve"> subkutant ukentlig.</w:t>
      </w:r>
    </w:p>
    <w:p w14:paraId="479E1C0D" w14:textId="77777777" w:rsidR="00DF56D8" w:rsidRPr="00A942F6" w:rsidRDefault="00DF56D8" w:rsidP="00641834">
      <w:pPr>
        <w:rPr>
          <w:lang w:val="nb-NO"/>
        </w:rPr>
      </w:pPr>
    </w:p>
    <w:p w14:paraId="17A6F737" w14:textId="77777777" w:rsidR="00DF56D8" w:rsidRPr="00C72B66" w:rsidRDefault="00DF56D8" w:rsidP="00641834">
      <w:pPr>
        <w:pStyle w:val="Style1Iitaic"/>
        <w:rPr>
          <w:u w:val="single"/>
          <w:lang w:val="nb-NO"/>
        </w:rPr>
      </w:pPr>
      <w:r w:rsidRPr="00C72B66">
        <w:rPr>
          <w:u w:val="single"/>
          <w:lang w:val="nb-NO"/>
        </w:rPr>
        <w:t>Intravenøs bruk</w:t>
      </w:r>
    </w:p>
    <w:p w14:paraId="7B66C04F" w14:textId="77777777" w:rsidR="00DF56D8" w:rsidRPr="00A942F6" w:rsidRDefault="00DF56D8" w:rsidP="00641834">
      <w:pPr>
        <w:pStyle w:val="bold"/>
        <w:rPr>
          <w:lang w:val="nb-NO"/>
        </w:rPr>
      </w:pPr>
      <w:r w:rsidRPr="00A942F6">
        <w:rPr>
          <w:lang w:val="nb-NO"/>
        </w:rPr>
        <w:t>RA</w:t>
      </w:r>
    </w:p>
    <w:p w14:paraId="2FEC93E8" w14:textId="007278E3" w:rsidR="00DF56D8" w:rsidRPr="00A942F6" w:rsidRDefault="00DF56D8" w:rsidP="00641834">
      <w:pPr>
        <w:rPr>
          <w:lang w:val="nb-NO"/>
        </w:rPr>
      </w:pPr>
      <w:r w:rsidRPr="00A942F6">
        <w:rPr>
          <w:lang w:val="nb-NO"/>
        </w:rPr>
        <w:t xml:space="preserve">Sikkerhetsdata for </w:t>
      </w:r>
      <w:r w:rsidR="00813939" w:rsidRPr="00A942F6">
        <w:rPr>
          <w:lang w:val="nb-NO"/>
        </w:rPr>
        <w:t>tocilizumab</w:t>
      </w:r>
      <w:r w:rsidRPr="00A942F6">
        <w:rPr>
          <w:lang w:val="nb-NO"/>
        </w:rPr>
        <w:t xml:space="preserve"> har blitt studert i 4 placebokontrollerte studier (studie II, III, IV og V), 1 metotreksat-kontrollert studie (studie I) og deres forlengelsesperioder (se pkt. 5.1).</w:t>
      </w:r>
    </w:p>
    <w:p w14:paraId="21F2F2D7" w14:textId="77777777" w:rsidR="001F4B8A" w:rsidRPr="00A942F6" w:rsidRDefault="001F4B8A" w:rsidP="00641834">
      <w:pPr>
        <w:rPr>
          <w:lang w:val="nb-NO"/>
        </w:rPr>
      </w:pPr>
    </w:p>
    <w:p w14:paraId="005AE77E" w14:textId="400DA457" w:rsidR="00DF56D8" w:rsidRPr="00A942F6" w:rsidRDefault="00DF56D8" w:rsidP="00641834">
      <w:pPr>
        <w:rPr>
          <w:lang w:val="nb-NO"/>
        </w:rPr>
      </w:pPr>
      <w:r w:rsidRPr="00A942F6">
        <w:rPr>
          <w:lang w:val="nb-NO"/>
        </w:rPr>
        <w:t xml:space="preserve">Den dobbeltblinde kontrollperioden var 6 måneder i fire studier (studie I, III, IV og V) og var opp til 2 år i en studie (studie II). I de dobbeltblinde studiene fikk 774 pasienter </w:t>
      </w:r>
      <w:r w:rsidR="00813939" w:rsidRPr="00A942F6">
        <w:rPr>
          <w:lang w:val="nb-NO"/>
        </w:rPr>
        <w:t>tocilizumab</w:t>
      </w:r>
      <w:r w:rsidRPr="00A942F6">
        <w:rPr>
          <w:lang w:val="nb-NO"/>
        </w:rPr>
        <w:t xml:space="preserve"> 4 mg/kg i kombinasjon med metotreksat, 1870 pasienter fikk </w:t>
      </w:r>
      <w:r w:rsidR="00813939" w:rsidRPr="00A942F6">
        <w:rPr>
          <w:lang w:val="nb-NO"/>
        </w:rPr>
        <w:t>tocilizumab</w:t>
      </w:r>
      <w:r w:rsidRPr="00A942F6">
        <w:rPr>
          <w:lang w:val="nb-NO"/>
        </w:rPr>
        <w:t xml:space="preserve"> 8 mg/kg i kombinasjon med metotreksat eller andre DMARDs og 288 pasienter fikk </w:t>
      </w:r>
      <w:r w:rsidR="00813939" w:rsidRPr="00A942F6">
        <w:rPr>
          <w:lang w:val="nb-NO"/>
        </w:rPr>
        <w:t>tocilizumab</w:t>
      </w:r>
      <w:r w:rsidRPr="00A942F6">
        <w:rPr>
          <w:lang w:val="nb-NO"/>
        </w:rPr>
        <w:t xml:space="preserve"> 8 mg/kg som monoterapi.</w:t>
      </w:r>
    </w:p>
    <w:p w14:paraId="3A6F87E4" w14:textId="77777777" w:rsidR="00DF56D8" w:rsidRPr="00A942F6" w:rsidRDefault="00DF56D8" w:rsidP="00641834">
      <w:pPr>
        <w:rPr>
          <w:lang w:val="nb-NO"/>
        </w:rPr>
      </w:pPr>
    </w:p>
    <w:p w14:paraId="68DDBE5B" w14:textId="666672F2" w:rsidR="00DF56D8" w:rsidRPr="00A942F6" w:rsidRDefault="00DF56D8" w:rsidP="007E4199">
      <w:pPr>
        <w:rPr>
          <w:lang w:val="nb-NO"/>
        </w:rPr>
      </w:pPr>
      <w:r w:rsidRPr="00A942F6">
        <w:rPr>
          <w:lang w:val="nb-NO"/>
        </w:rPr>
        <w:t xml:space="preserve">Populasjonen med langtidseksponering inkluderer alle pasienter som fikk minst én dose </w:t>
      </w:r>
      <w:r w:rsidR="00813939" w:rsidRPr="00A942F6">
        <w:rPr>
          <w:lang w:val="nb-NO"/>
        </w:rPr>
        <w:t>tocilizumab</w:t>
      </w:r>
      <w:r w:rsidRPr="00A942F6">
        <w:rPr>
          <w:lang w:val="nb-NO"/>
        </w:rPr>
        <w:t xml:space="preserve"> enten i den dobbeltblinde kontrollperioden eller i den åpne forlengelsesfasen av studiene. Av de</w:t>
      </w:r>
      <w:r w:rsidR="007E4199">
        <w:rPr>
          <w:lang w:val="nb-NO"/>
        </w:rPr>
        <w:t xml:space="preserve"> </w:t>
      </w:r>
      <w:r w:rsidRPr="00A942F6">
        <w:rPr>
          <w:lang w:val="nb-NO"/>
        </w:rPr>
        <w:t>4009</w:t>
      </w:r>
      <w:r w:rsidR="007E4199">
        <w:rPr>
          <w:lang w:val="nb-NO"/>
        </w:rPr>
        <w:t> </w:t>
      </w:r>
      <w:r w:rsidRPr="00A942F6">
        <w:rPr>
          <w:lang w:val="nb-NO"/>
        </w:rPr>
        <w:t>pasientene i denne populasjonen, fikk 3577 pasienter behandling i minst 6 måneder, 3296 i minst 1 år, 2806 fikk behandling i minst 2 år og 1222 i 3 år.</w:t>
      </w:r>
    </w:p>
    <w:p w14:paraId="1DDC98B4" w14:textId="77777777" w:rsidR="001F4B8A" w:rsidRPr="00A942F6" w:rsidRDefault="001F4B8A" w:rsidP="00641834">
      <w:pPr>
        <w:rPr>
          <w:lang w:val="nb-NO"/>
        </w:rPr>
      </w:pPr>
    </w:p>
    <w:p w14:paraId="32DAFD98" w14:textId="77777777" w:rsidR="00DF56D8" w:rsidRPr="00A942F6" w:rsidRDefault="00DF56D8" w:rsidP="00641834">
      <w:pPr>
        <w:pStyle w:val="Style1underline"/>
        <w:rPr>
          <w:lang w:val="nb-NO"/>
        </w:rPr>
      </w:pPr>
      <w:r w:rsidRPr="00A942F6">
        <w:rPr>
          <w:lang w:val="nb-NO"/>
        </w:rPr>
        <w:t>Beskrivelse av utvalgte bivirkninger</w:t>
      </w:r>
    </w:p>
    <w:p w14:paraId="163F7FA5" w14:textId="77777777" w:rsidR="001F4B8A" w:rsidRPr="00A942F6" w:rsidRDefault="001F4B8A" w:rsidP="00641834">
      <w:pPr>
        <w:rPr>
          <w:lang w:val="nb-NO"/>
        </w:rPr>
      </w:pPr>
    </w:p>
    <w:p w14:paraId="1D10A51A" w14:textId="77777777" w:rsidR="00DF56D8" w:rsidRPr="00A942F6" w:rsidRDefault="00DF56D8" w:rsidP="00641834">
      <w:pPr>
        <w:pStyle w:val="Style1Iitaic"/>
        <w:rPr>
          <w:lang w:val="nb-NO"/>
        </w:rPr>
      </w:pPr>
      <w:r w:rsidRPr="00A942F6">
        <w:rPr>
          <w:lang w:val="nb-NO"/>
        </w:rPr>
        <w:t>Infeksjoner</w:t>
      </w:r>
    </w:p>
    <w:p w14:paraId="1D3419B6" w14:textId="6204ADF1" w:rsidR="00DF56D8" w:rsidRPr="00A942F6" w:rsidRDefault="00DF56D8" w:rsidP="007E4199">
      <w:pPr>
        <w:rPr>
          <w:lang w:val="nb-NO"/>
        </w:rPr>
      </w:pPr>
      <w:r w:rsidRPr="00A942F6">
        <w:rPr>
          <w:lang w:val="nb-NO"/>
        </w:rPr>
        <w:t xml:space="preserve">I de 6-måneders kontrollerte studiene var hyppigheten av rapporterte infeksjoner med </w:t>
      </w:r>
      <w:r w:rsidR="00813939" w:rsidRPr="00A942F6">
        <w:rPr>
          <w:lang w:val="nb-NO"/>
        </w:rPr>
        <w:t>tocilizumab</w:t>
      </w:r>
      <w:r w:rsidRPr="00A942F6">
        <w:rPr>
          <w:lang w:val="nb-NO"/>
        </w:rPr>
        <w:t xml:space="preserve"> 8</w:t>
      </w:r>
      <w:r w:rsidR="002E140C">
        <w:rPr>
          <w:lang w:val="nb-NO"/>
        </w:rPr>
        <w:t> </w:t>
      </w:r>
      <w:r w:rsidRPr="00A942F6">
        <w:rPr>
          <w:lang w:val="nb-NO"/>
        </w:rPr>
        <w:t>mg/kg pluss DMARD-behandling 127 hendelser per 100 pasientår mot 112 hendelser per</w:t>
      </w:r>
      <w:r w:rsidR="007E4199">
        <w:rPr>
          <w:lang w:val="nb-NO"/>
        </w:rPr>
        <w:t xml:space="preserve"> </w:t>
      </w:r>
      <w:r w:rsidRPr="00A942F6">
        <w:rPr>
          <w:lang w:val="nb-NO"/>
        </w:rPr>
        <w:t>100</w:t>
      </w:r>
      <w:r w:rsidR="007E4199">
        <w:rPr>
          <w:lang w:val="nb-NO"/>
        </w:rPr>
        <w:t> </w:t>
      </w:r>
      <w:r w:rsidRPr="00A942F6">
        <w:rPr>
          <w:lang w:val="nb-NO"/>
        </w:rPr>
        <w:t xml:space="preserve">pasientår i gruppen som fikk placebo pluss DMARD. I populasjonen med langtidseksponering var den totale hyppigheten av infeksjoner med </w:t>
      </w:r>
      <w:r w:rsidR="00813939" w:rsidRPr="00A942F6">
        <w:rPr>
          <w:lang w:val="nb-NO"/>
        </w:rPr>
        <w:t>tocilizumab</w:t>
      </w:r>
      <w:r w:rsidRPr="00A942F6">
        <w:rPr>
          <w:lang w:val="nb-NO"/>
        </w:rPr>
        <w:t xml:space="preserve"> 108 hendelser per 100 pasientår med eksponering.</w:t>
      </w:r>
    </w:p>
    <w:p w14:paraId="72CB1DA7" w14:textId="77777777" w:rsidR="001F4B8A" w:rsidRPr="00A942F6" w:rsidRDefault="001F4B8A" w:rsidP="00641834">
      <w:pPr>
        <w:rPr>
          <w:lang w:val="nb-NO"/>
        </w:rPr>
      </w:pPr>
    </w:p>
    <w:p w14:paraId="51BA5E51" w14:textId="3D984DA2" w:rsidR="00DF56D8" w:rsidRPr="00A942F6" w:rsidRDefault="00DF56D8" w:rsidP="007E4199">
      <w:pPr>
        <w:rPr>
          <w:lang w:val="nb-NO"/>
        </w:rPr>
      </w:pPr>
      <w:r w:rsidRPr="00A942F6">
        <w:rPr>
          <w:lang w:val="nb-NO"/>
        </w:rPr>
        <w:t xml:space="preserve">I 6-måneders kontrollerte kliniske studier var hyppigheten av alvorlige infeksjoner med </w:t>
      </w:r>
      <w:r w:rsidR="00813939" w:rsidRPr="00A942F6">
        <w:rPr>
          <w:lang w:val="nb-NO"/>
        </w:rPr>
        <w:t>tocilizumab</w:t>
      </w:r>
      <w:r w:rsidRPr="00A942F6">
        <w:rPr>
          <w:lang w:val="nb-NO"/>
        </w:rPr>
        <w:t xml:space="preserve"> 8</w:t>
      </w:r>
      <w:r w:rsidR="002E140C">
        <w:rPr>
          <w:lang w:val="nb-NO"/>
        </w:rPr>
        <w:t> </w:t>
      </w:r>
      <w:r w:rsidRPr="00A942F6">
        <w:rPr>
          <w:lang w:val="nb-NO"/>
        </w:rPr>
        <w:t>mg/kg pluss DMARDs 5,3 hendelser per 100 pasientår med eksponering sammenlignet med</w:t>
      </w:r>
      <w:r w:rsidR="007E4199">
        <w:rPr>
          <w:lang w:val="nb-NO"/>
        </w:rPr>
        <w:t xml:space="preserve"> </w:t>
      </w:r>
      <w:r w:rsidRPr="00A942F6">
        <w:rPr>
          <w:lang w:val="nb-NO"/>
        </w:rPr>
        <w:t>3,9</w:t>
      </w:r>
      <w:r w:rsidR="007E4199">
        <w:rPr>
          <w:lang w:val="nb-NO"/>
        </w:rPr>
        <w:t> </w:t>
      </w:r>
      <w:r w:rsidRPr="00A942F6">
        <w:rPr>
          <w:lang w:val="nb-NO"/>
        </w:rPr>
        <w:t xml:space="preserve">hendelser per 100 pasientår med eksponering i gruppen som fikk placebo pluss DMARD. I monoterapistudien var hyppigheten av alvorlige infeksjoner 3,6 hendelser per 100 pasientår med eksponering i gruppen som fikk </w:t>
      </w:r>
      <w:r w:rsidR="00813939" w:rsidRPr="00A942F6">
        <w:rPr>
          <w:lang w:val="nb-NO"/>
        </w:rPr>
        <w:t>tocilizumab</w:t>
      </w:r>
      <w:r w:rsidRPr="00A942F6">
        <w:rPr>
          <w:lang w:val="nb-NO"/>
        </w:rPr>
        <w:t xml:space="preserve"> og 1,5 hendelser per 100 pasientår med eksponering i gruppen som fikk metotreksat.</w:t>
      </w:r>
    </w:p>
    <w:p w14:paraId="75C11D45" w14:textId="77777777" w:rsidR="001F4B8A" w:rsidRPr="00A942F6" w:rsidRDefault="001F4B8A" w:rsidP="00641834">
      <w:pPr>
        <w:rPr>
          <w:lang w:val="nb-NO"/>
        </w:rPr>
      </w:pPr>
    </w:p>
    <w:p w14:paraId="0C8CC3B9" w14:textId="77777777" w:rsidR="0068598B" w:rsidRPr="00A942F6" w:rsidRDefault="00DF56D8" w:rsidP="00641834">
      <w:pPr>
        <w:rPr>
          <w:lang w:val="nb-NO"/>
        </w:rPr>
      </w:pPr>
      <w:r w:rsidRPr="00A942F6">
        <w:rPr>
          <w:lang w:val="nb-NO"/>
        </w:rPr>
        <w:t xml:space="preserve">I populasjonen med langtidseksponering var den totale hyppigheten av alvorlige infeksjoner (bakterielle, virale og sopp) 4,7 hendelser per 100 pasientår. Rapporterte alvorlige infeksjoner, noen dødelige, inkluderte aktiv tuberkulose, som kan utarte seg som intrapulmonal eller ekstrapulmonal sykdom, invasive pulmonale infeksjoner inkludert candidiasis, aspergillose, koksidioidomykose og pneumosystisinfeksjon (pneumocystis jirovecii), pneumoni, cellulitt, herpes zoster, gastroenteritt, divertikulitt, sepsis og bakteriell artritt. </w:t>
      </w:r>
    </w:p>
    <w:p w14:paraId="0F3D5A2A" w14:textId="77777777" w:rsidR="0068598B" w:rsidRPr="00A942F6" w:rsidRDefault="0068598B" w:rsidP="00641834">
      <w:pPr>
        <w:rPr>
          <w:lang w:val="nb-NO"/>
        </w:rPr>
      </w:pPr>
    </w:p>
    <w:p w14:paraId="3FB8BB73" w14:textId="77777777" w:rsidR="00DF56D8" w:rsidRPr="00A942F6" w:rsidRDefault="00DF56D8" w:rsidP="00641834">
      <w:pPr>
        <w:rPr>
          <w:lang w:val="nb-NO"/>
        </w:rPr>
      </w:pPr>
      <w:r w:rsidRPr="00A942F6">
        <w:rPr>
          <w:lang w:val="nb-NO"/>
        </w:rPr>
        <w:t>Tilfeller av opportunistiske infeksjoner er rapportert.</w:t>
      </w:r>
    </w:p>
    <w:p w14:paraId="2CFBFB7A" w14:textId="77777777" w:rsidR="00DF56D8" w:rsidRPr="00A942F6" w:rsidRDefault="00DF56D8" w:rsidP="00641834">
      <w:pPr>
        <w:rPr>
          <w:lang w:val="nb-NO"/>
        </w:rPr>
      </w:pPr>
    </w:p>
    <w:p w14:paraId="59EB42D9" w14:textId="77777777" w:rsidR="00DF56D8" w:rsidRPr="00A942F6" w:rsidRDefault="00DF56D8" w:rsidP="00641834">
      <w:pPr>
        <w:pStyle w:val="Style1Iitaic"/>
        <w:rPr>
          <w:lang w:val="nb-NO"/>
        </w:rPr>
      </w:pPr>
      <w:r w:rsidRPr="00A942F6">
        <w:rPr>
          <w:lang w:val="nb-NO"/>
        </w:rPr>
        <w:t>Interstitiell lungesykdom</w:t>
      </w:r>
    </w:p>
    <w:p w14:paraId="31705C45" w14:textId="77777777" w:rsidR="00DF56D8" w:rsidRPr="00A942F6" w:rsidRDefault="00DF56D8" w:rsidP="00641834">
      <w:pPr>
        <w:rPr>
          <w:lang w:val="nb-NO"/>
        </w:rPr>
      </w:pPr>
      <w:r w:rsidRPr="00A942F6">
        <w:rPr>
          <w:lang w:val="nb-NO"/>
        </w:rPr>
        <w:t>Nedsatt lungefunksjon kan øke risikoen for å utvikle infeksjoner. Det har blitt rapportert tilfeller av interstitiell lungesykdom etter markedsføring (inkludert pneumonitt og pulmonal fibrose), noen hadde dødelig utgang.</w:t>
      </w:r>
    </w:p>
    <w:p w14:paraId="3E9089F3" w14:textId="77777777" w:rsidR="00DF56D8" w:rsidRPr="00A942F6" w:rsidRDefault="00DF56D8" w:rsidP="00641834">
      <w:pPr>
        <w:rPr>
          <w:lang w:val="nb-NO"/>
        </w:rPr>
      </w:pPr>
    </w:p>
    <w:p w14:paraId="4A0902AC" w14:textId="77777777" w:rsidR="00DF56D8" w:rsidRPr="00A942F6" w:rsidRDefault="00DF56D8" w:rsidP="00641834">
      <w:pPr>
        <w:pStyle w:val="Style1Iitaic"/>
        <w:rPr>
          <w:lang w:val="nb-NO"/>
        </w:rPr>
      </w:pPr>
      <w:r w:rsidRPr="00A942F6">
        <w:rPr>
          <w:lang w:val="nb-NO"/>
        </w:rPr>
        <w:t>Gastrointestinale perforasjoner</w:t>
      </w:r>
    </w:p>
    <w:p w14:paraId="56B860B1" w14:textId="38AF458C" w:rsidR="00DF56D8" w:rsidRPr="00A942F6" w:rsidRDefault="00DF56D8" w:rsidP="00641834">
      <w:pPr>
        <w:rPr>
          <w:lang w:val="nb-NO"/>
        </w:rPr>
      </w:pPr>
      <w:r w:rsidRPr="00A942F6">
        <w:rPr>
          <w:lang w:val="nb-NO"/>
        </w:rPr>
        <w:t xml:space="preserve">I løpet av de kontrollerte 6-måneders kliniske studiene var hyppigheten av gastrointestinale perforasjoner 0,26 tilfeller per 100 pasientår med </w:t>
      </w:r>
      <w:r w:rsidR="00813939" w:rsidRPr="00A942F6">
        <w:rPr>
          <w:lang w:val="nb-NO"/>
        </w:rPr>
        <w:t>tocilizumab</w:t>
      </w:r>
      <w:r w:rsidRPr="00A942F6">
        <w:rPr>
          <w:lang w:val="nb-NO"/>
        </w:rPr>
        <w:t xml:space="preserve">-behandling. I populasjonen med langtidseksponering var den totale hyppigheten av gastrointestinale perforasjoner 0,28 tilfeller per 100 pasientår. Rapporter om gastrointestinale perforasjoner under bruk av </w:t>
      </w:r>
      <w:r w:rsidR="00813939" w:rsidRPr="00A942F6">
        <w:rPr>
          <w:lang w:val="nb-NO"/>
        </w:rPr>
        <w:t>tocilizumab</w:t>
      </w:r>
      <w:r w:rsidRPr="00A942F6">
        <w:rPr>
          <w:lang w:val="nb-NO"/>
        </w:rPr>
        <w:t xml:space="preserve"> ble primært rapportert som komplikasjoner av divertikulitt, inkludert generalisert purulent peritonitt, nedre gastrointestinale perforasjoner, fistler og abscesser.</w:t>
      </w:r>
    </w:p>
    <w:p w14:paraId="7A6248D4" w14:textId="77777777" w:rsidR="001F4B8A" w:rsidRPr="00A942F6" w:rsidRDefault="001F4B8A" w:rsidP="00641834">
      <w:pPr>
        <w:rPr>
          <w:lang w:val="nb-NO"/>
        </w:rPr>
      </w:pPr>
    </w:p>
    <w:p w14:paraId="2790E7C0" w14:textId="77777777" w:rsidR="00DF56D8" w:rsidRPr="00A942F6" w:rsidRDefault="00DF56D8" w:rsidP="00641834">
      <w:pPr>
        <w:pStyle w:val="Style1Iitaic"/>
        <w:rPr>
          <w:lang w:val="nb-NO"/>
        </w:rPr>
      </w:pPr>
      <w:r w:rsidRPr="00A942F6">
        <w:rPr>
          <w:lang w:val="nb-NO"/>
        </w:rPr>
        <w:lastRenderedPageBreak/>
        <w:t>Infusjonsrelaterte reaksjoner</w:t>
      </w:r>
    </w:p>
    <w:p w14:paraId="7D17789A" w14:textId="370BCE9F" w:rsidR="00DF56D8" w:rsidRPr="00A942F6" w:rsidRDefault="00DF56D8" w:rsidP="00641834">
      <w:pPr>
        <w:rPr>
          <w:lang w:val="nb-NO"/>
        </w:rPr>
      </w:pPr>
      <w:r w:rsidRPr="00A942F6">
        <w:rPr>
          <w:lang w:val="nb-NO"/>
        </w:rPr>
        <w:t xml:space="preserve">I de 6-måneders kontrollerte studiene ble bivirkninger forbundet med infusjon (utvalgte hendelser som oppstod i løpet av eller innen 24 timer etter infusjon) rapportert hos 6,9 % av pasientene i gruppen som fikk </w:t>
      </w:r>
      <w:r w:rsidR="00813939" w:rsidRPr="00A942F6">
        <w:rPr>
          <w:lang w:val="nb-NO"/>
        </w:rPr>
        <w:t>tocilizumab</w:t>
      </w:r>
      <w:r w:rsidRPr="00A942F6">
        <w:rPr>
          <w:lang w:val="nb-NO"/>
        </w:rPr>
        <w:t xml:space="preserve"> 8 mg/kg pluss DMARD og hos 5,1 % i gruppen som ble fikk placebo pluss DMARD. Hendelser rapportert i løpet av infusjonen var primært hypertensjon. Hendelser som ble rapportert innen 24 timer etter avsluttet infusjon var hodepine og hudreaksjoner (utslett, urtikaria). Disse hendelsene begrenset ikke behandlingen.</w:t>
      </w:r>
    </w:p>
    <w:p w14:paraId="087AB392" w14:textId="77777777" w:rsidR="001F4B8A" w:rsidRPr="00A942F6" w:rsidRDefault="001F4B8A" w:rsidP="00641834">
      <w:pPr>
        <w:rPr>
          <w:lang w:val="nb-NO"/>
        </w:rPr>
      </w:pPr>
    </w:p>
    <w:p w14:paraId="664792D2" w14:textId="38D2BD2F" w:rsidR="00DF56D8" w:rsidRPr="00A942F6" w:rsidRDefault="00DF56D8" w:rsidP="00641834">
      <w:pPr>
        <w:rPr>
          <w:lang w:val="nb-NO"/>
        </w:rPr>
      </w:pPr>
      <w:r w:rsidRPr="00A942F6">
        <w:rPr>
          <w:lang w:val="nb-NO"/>
        </w:rPr>
        <w:t xml:space="preserve">Hyppigheten av anafylaktiske reaksjoner (oppstod hos totalt 8 av 4409 pasienter, 0,2 %) var flere ganger høyere med dosering 4 mg/kg enn med dosering 8 mg/kg. Klinisk signifikante hypersensitivitetsreaksjoner som var forbundet med </w:t>
      </w:r>
      <w:r w:rsidR="00813939" w:rsidRPr="00A942F6">
        <w:rPr>
          <w:lang w:val="nb-NO"/>
        </w:rPr>
        <w:t>tocilizumab</w:t>
      </w:r>
      <w:r w:rsidRPr="00A942F6">
        <w:rPr>
          <w:lang w:val="nb-NO"/>
        </w:rPr>
        <w:t xml:space="preserve">, og som nødvendiggjorde behandlingsstans, ble rapportert hos totalt 56 av 4009 pasienter (1,4 %) behandlet med </w:t>
      </w:r>
      <w:r w:rsidR="00813939" w:rsidRPr="00A942F6">
        <w:rPr>
          <w:lang w:val="nb-NO"/>
        </w:rPr>
        <w:t>tocilizumab</w:t>
      </w:r>
      <w:r w:rsidRPr="00A942F6">
        <w:rPr>
          <w:lang w:val="nb-NO"/>
        </w:rPr>
        <w:t xml:space="preserve"> i de kontrollerte og åpne, kliniske studiene. Disse reaksjonene ble hovedsakelig observert i løpet av andre til femte infusjon med </w:t>
      </w:r>
      <w:r w:rsidR="00813939" w:rsidRPr="00A942F6">
        <w:rPr>
          <w:lang w:val="nb-NO"/>
        </w:rPr>
        <w:t>tocilizumab</w:t>
      </w:r>
      <w:r w:rsidRPr="00A942F6">
        <w:rPr>
          <w:lang w:val="nb-NO"/>
        </w:rPr>
        <w:t xml:space="preserve"> (se pkt. 4.4). Etter markedsføring har fatal anafylaksi blitt rapportert under behandling med intravenøs </w:t>
      </w:r>
      <w:r w:rsidR="00813939" w:rsidRPr="00A942F6">
        <w:rPr>
          <w:lang w:val="nb-NO"/>
        </w:rPr>
        <w:t>tocilizumab</w:t>
      </w:r>
      <w:r w:rsidRPr="00A942F6">
        <w:rPr>
          <w:lang w:val="nb-NO"/>
        </w:rPr>
        <w:t xml:space="preserve"> (se pkt. 4.4).</w:t>
      </w:r>
    </w:p>
    <w:p w14:paraId="62D877A0" w14:textId="77777777" w:rsidR="00DF56D8" w:rsidRPr="00A942F6" w:rsidRDefault="00DF56D8" w:rsidP="00641834">
      <w:pPr>
        <w:rPr>
          <w:lang w:val="nb-NO"/>
        </w:rPr>
      </w:pPr>
    </w:p>
    <w:p w14:paraId="0D3D8D10" w14:textId="77777777" w:rsidR="00DF56D8" w:rsidRPr="00A942F6" w:rsidRDefault="00DF56D8" w:rsidP="00641834">
      <w:pPr>
        <w:pStyle w:val="Style1Iitaic"/>
        <w:rPr>
          <w:lang w:val="nb-NO"/>
        </w:rPr>
      </w:pPr>
      <w:r w:rsidRPr="00A942F6">
        <w:rPr>
          <w:lang w:val="nb-NO"/>
        </w:rPr>
        <w:t>Hematologiske forandringer:</w:t>
      </w:r>
    </w:p>
    <w:p w14:paraId="0D59663A" w14:textId="77777777" w:rsidR="00DF56D8" w:rsidRPr="00A942F6" w:rsidRDefault="00DF56D8" w:rsidP="00641834">
      <w:pPr>
        <w:pStyle w:val="Style1Iitaic"/>
        <w:rPr>
          <w:lang w:val="nb-NO"/>
        </w:rPr>
      </w:pPr>
      <w:r w:rsidRPr="00A942F6">
        <w:rPr>
          <w:lang w:val="nb-NO"/>
        </w:rPr>
        <w:t>Nøytrofiler</w:t>
      </w:r>
    </w:p>
    <w:p w14:paraId="39B36726" w14:textId="746B6455" w:rsidR="00DF56D8" w:rsidRPr="00A942F6" w:rsidRDefault="00DF56D8" w:rsidP="00641834">
      <w:pPr>
        <w:rPr>
          <w:lang w:val="nb-NO"/>
        </w:rPr>
      </w:pPr>
      <w:r w:rsidRPr="00A942F6">
        <w:rPr>
          <w:lang w:val="nb-NO"/>
        </w:rPr>
        <w:t>I de 6-måneders kontrollerte studiene oppstod reduksjon i antall nøytrofile granulocytter &lt; 1 x 10</w:t>
      </w:r>
      <w:r w:rsidRPr="00A942F6">
        <w:rPr>
          <w:vertAlign w:val="superscript"/>
          <w:lang w:val="nb-NO"/>
        </w:rPr>
        <w:t>9</w:t>
      </w:r>
      <w:r w:rsidRPr="00A942F6">
        <w:rPr>
          <w:lang w:val="nb-NO"/>
        </w:rPr>
        <w:t xml:space="preserve">/l hos 3,4 % av pasientene som fikk </w:t>
      </w:r>
      <w:r w:rsidR="00813939" w:rsidRPr="00A942F6">
        <w:rPr>
          <w:lang w:val="nb-NO"/>
        </w:rPr>
        <w:t>tocilizumab</w:t>
      </w:r>
      <w:r w:rsidRPr="00A942F6">
        <w:rPr>
          <w:lang w:val="nb-NO"/>
        </w:rPr>
        <w:t xml:space="preserve"> 8 mg/kg pluss DMARDs sammenlignet med &lt; 0,1 % av pasientene som fikk placebo pluss DMARDs. Omtrent halvparten av pasientene som utviklet ANC &lt; 1</w:t>
      </w:r>
      <w:r w:rsidR="002E140C">
        <w:rPr>
          <w:lang w:val="nb-NO"/>
        </w:rPr>
        <w:t> </w:t>
      </w:r>
      <w:r w:rsidRPr="00A942F6">
        <w:rPr>
          <w:lang w:val="nb-NO"/>
        </w:rPr>
        <w:t>x 10</w:t>
      </w:r>
      <w:r w:rsidRPr="00A942F6">
        <w:rPr>
          <w:vertAlign w:val="superscript"/>
          <w:lang w:val="nb-NO"/>
        </w:rPr>
        <w:t>9</w:t>
      </w:r>
      <w:r w:rsidRPr="00A942F6">
        <w:rPr>
          <w:lang w:val="nb-NO"/>
        </w:rPr>
        <w:t>/l gjorde det innen 8 uker etter terapistart. Reduksjon til &lt; 0,5 x 10</w:t>
      </w:r>
      <w:r w:rsidRPr="00A942F6">
        <w:rPr>
          <w:vertAlign w:val="superscript"/>
          <w:lang w:val="nb-NO"/>
        </w:rPr>
        <w:t>9</w:t>
      </w:r>
      <w:r w:rsidRPr="00A942F6">
        <w:rPr>
          <w:lang w:val="nb-NO"/>
        </w:rPr>
        <w:t xml:space="preserve">/l ble rapportert hos 0,3 % av pasientene som fikk </w:t>
      </w:r>
      <w:r w:rsidR="00813939" w:rsidRPr="00A942F6">
        <w:rPr>
          <w:lang w:val="nb-NO"/>
        </w:rPr>
        <w:t>tocilizumab</w:t>
      </w:r>
      <w:r w:rsidRPr="00A942F6">
        <w:rPr>
          <w:lang w:val="nb-NO"/>
        </w:rPr>
        <w:t xml:space="preserve"> 8 mg/kg pluss DMARDs. Infeksjoner med nøytropeni har vært rapportert.</w:t>
      </w:r>
    </w:p>
    <w:p w14:paraId="3288EE37" w14:textId="77777777" w:rsidR="00DF56D8" w:rsidRPr="00A942F6" w:rsidRDefault="00DF56D8" w:rsidP="00641834">
      <w:pPr>
        <w:rPr>
          <w:lang w:val="nb-NO"/>
        </w:rPr>
      </w:pPr>
    </w:p>
    <w:p w14:paraId="4A278833" w14:textId="77777777" w:rsidR="00DF56D8" w:rsidRPr="00A942F6" w:rsidRDefault="00DF56D8" w:rsidP="00641834">
      <w:pPr>
        <w:rPr>
          <w:lang w:val="nb-NO"/>
        </w:rPr>
      </w:pPr>
      <w:r w:rsidRPr="00A942F6">
        <w:rPr>
          <w:lang w:val="nb-NO"/>
        </w:rPr>
        <w:t>I løpet av den dobbeltblinde kontrollerte perioden og med langtidseksponering, var det tendens og tilfeller av reduksjon i antall nøytrofile som var konsekvent med det som var sett i de 6-måneders kontrollerte kliniske studiene.</w:t>
      </w:r>
    </w:p>
    <w:p w14:paraId="69A0ECA8" w14:textId="77777777" w:rsidR="001F4B8A" w:rsidRPr="00A942F6" w:rsidRDefault="001F4B8A" w:rsidP="00641834">
      <w:pPr>
        <w:rPr>
          <w:lang w:val="nb-NO"/>
        </w:rPr>
      </w:pPr>
    </w:p>
    <w:p w14:paraId="5DA3EAF5" w14:textId="77777777" w:rsidR="00DF56D8" w:rsidRPr="00A942F6" w:rsidRDefault="00DF56D8" w:rsidP="00641834">
      <w:pPr>
        <w:pStyle w:val="Style1Iitaic"/>
        <w:rPr>
          <w:lang w:val="nb-NO"/>
        </w:rPr>
      </w:pPr>
      <w:r w:rsidRPr="00A942F6">
        <w:rPr>
          <w:lang w:val="nb-NO"/>
        </w:rPr>
        <w:t>Blodplater</w:t>
      </w:r>
    </w:p>
    <w:p w14:paraId="7479917E" w14:textId="56F5016C" w:rsidR="00DF56D8" w:rsidRPr="00A942F6" w:rsidRDefault="00DF56D8" w:rsidP="00641834">
      <w:pPr>
        <w:rPr>
          <w:lang w:val="nb-NO"/>
        </w:rPr>
      </w:pPr>
      <w:r w:rsidRPr="00A942F6">
        <w:rPr>
          <w:lang w:val="nb-NO"/>
        </w:rPr>
        <w:t>I de 6-måneders kontrollerte studiene oppstod det reduksjon i platetall til &lt; 100 x 10</w:t>
      </w:r>
      <w:r w:rsidRPr="00A942F6">
        <w:rPr>
          <w:vertAlign w:val="superscript"/>
          <w:lang w:val="nb-NO"/>
        </w:rPr>
        <w:t>3</w:t>
      </w:r>
      <w:r w:rsidRPr="00A942F6">
        <w:rPr>
          <w:lang w:val="nb-NO"/>
        </w:rPr>
        <w:t xml:space="preserve">/µl hos 1,7 % av pasientene som fikk </w:t>
      </w:r>
      <w:r w:rsidR="00813939" w:rsidRPr="00A942F6">
        <w:rPr>
          <w:lang w:val="nb-NO"/>
        </w:rPr>
        <w:t>tocilizumab</w:t>
      </w:r>
      <w:r w:rsidRPr="00A942F6">
        <w:rPr>
          <w:lang w:val="nb-NO"/>
        </w:rPr>
        <w:t xml:space="preserve"> 8 mg/kg pluss DMARDs sammenlignet med &lt; 1 % av de som fikk placebo pluss DMARDs. Disse reduksjonene oppstod uten at blødninger var forbundet med det.</w:t>
      </w:r>
    </w:p>
    <w:p w14:paraId="76CF7C77" w14:textId="77777777" w:rsidR="001F4B8A" w:rsidRPr="00A942F6" w:rsidRDefault="001F4B8A" w:rsidP="00641834">
      <w:pPr>
        <w:rPr>
          <w:lang w:val="nb-NO"/>
        </w:rPr>
      </w:pPr>
    </w:p>
    <w:p w14:paraId="10E6DE70" w14:textId="77777777" w:rsidR="00DF56D8" w:rsidRPr="00A942F6" w:rsidRDefault="00DF56D8" w:rsidP="00641834">
      <w:pPr>
        <w:rPr>
          <w:lang w:val="nb-NO"/>
        </w:rPr>
      </w:pPr>
      <w:r w:rsidRPr="00A942F6">
        <w:rPr>
          <w:lang w:val="nb-NO"/>
        </w:rPr>
        <w:t>I løpet av den dobbeltblinde kontrollerte perioden og med langtidseksponering, var det tendens og tilfeller av reduksjon i antall blodplater som var samsvarende med det som var sett i de 6-måneders kliniske kontrollerte studiene.</w:t>
      </w:r>
    </w:p>
    <w:p w14:paraId="03F0363F" w14:textId="77777777" w:rsidR="00DF56D8" w:rsidRPr="00A942F6" w:rsidRDefault="00DF56D8" w:rsidP="00641834">
      <w:pPr>
        <w:rPr>
          <w:lang w:val="nb-NO"/>
        </w:rPr>
      </w:pPr>
    </w:p>
    <w:p w14:paraId="315DD446" w14:textId="77777777" w:rsidR="00DF56D8" w:rsidRPr="00A942F6" w:rsidRDefault="00DF56D8" w:rsidP="00641834">
      <w:pPr>
        <w:rPr>
          <w:lang w:val="nb-NO"/>
        </w:rPr>
      </w:pPr>
      <w:r w:rsidRPr="00A942F6">
        <w:rPr>
          <w:lang w:val="nb-NO"/>
        </w:rPr>
        <w:t>Svært sjeldne tilfeller av pancytopeni er rapportert etter markedsføring.</w:t>
      </w:r>
    </w:p>
    <w:p w14:paraId="77A53C8C" w14:textId="77777777" w:rsidR="00DF56D8" w:rsidRPr="00A942F6" w:rsidRDefault="00DF56D8" w:rsidP="00641834">
      <w:pPr>
        <w:rPr>
          <w:lang w:val="nb-NO"/>
        </w:rPr>
      </w:pPr>
    </w:p>
    <w:p w14:paraId="1910ACC4" w14:textId="77777777" w:rsidR="00DF56D8" w:rsidRPr="00A942F6" w:rsidRDefault="00DF56D8" w:rsidP="00641834">
      <w:pPr>
        <w:pStyle w:val="Style1Iitaic"/>
        <w:rPr>
          <w:lang w:val="nb-NO"/>
        </w:rPr>
      </w:pPr>
      <w:r w:rsidRPr="00A942F6">
        <w:rPr>
          <w:lang w:val="nb-NO"/>
        </w:rPr>
        <w:t>Økning av hepatiske transaminaser</w:t>
      </w:r>
    </w:p>
    <w:p w14:paraId="2FC08FE1" w14:textId="2A0FC3F5" w:rsidR="00DF56D8" w:rsidRPr="00A942F6" w:rsidRDefault="00DF56D8" w:rsidP="00641834">
      <w:pPr>
        <w:rPr>
          <w:lang w:val="nb-NO"/>
        </w:rPr>
      </w:pPr>
      <w:r w:rsidRPr="00A942F6">
        <w:rPr>
          <w:lang w:val="nb-NO"/>
        </w:rPr>
        <w:t xml:space="preserve">I løpet av de 6-måneders kontrollerte studiene ble det observert forbigående forhøyelser av ALAT/ASAT &gt; 3 x øvre normalverdi hos 2,1 % av pasientene som fikk </w:t>
      </w:r>
      <w:r w:rsidR="00813939" w:rsidRPr="00A942F6">
        <w:rPr>
          <w:lang w:val="nb-NO"/>
        </w:rPr>
        <w:t>tocilizumab</w:t>
      </w:r>
      <w:r w:rsidRPr="00A942F6">
        <w:rPr>
          <w:lang w:val="nb-NO"/>
        </w:rPr>
        <w:t xml:space="preserve"> 8 mg/kg mot 4,9 % av pasientene som fikk metotreksat og hos 6,5 % av pasientene som fikk </w:t>
      </w:r>
      <w:r w:rsidR="00813939" w:rsidRPr="00A942F6">
        <w:rPr>
          <w:lang w:val="nb-NO"/>
        </w:rPr>
        <w:t>tocilizumab</w:t>
      </w:r>
      <w:r w:rsidRPr="00A942F6">
        <w:rPr>
          <w:lang w:val="nb-NO"/>
        </w:rPr>
        <w:t xml:space="preserve"> 8 mg/kg pluss DMARDs mot 1,5 % av pasientene som fikk placebo pluss DMARDs.</w:t>
      </w:r>
    </w:p>
    <w:p w14:paraId="095C78D1" w14:textId="77777777" w:rsidR="001F4B8A" w:rsidRPr="00A942F6" w:rsidRDefault="001F4B8A" w:rsidP="00641834">
      <w:pPr>
        <w:rPr>
          <w:lang w:val="nb-NO"/>
        </w:rPr>
      </w:pPr>
    </w:p>
    <w:p w14:paraId="3B93A7BE" w14:textId="32304261" w:rsidR="00DF56D8" w:rsidRPr="00A942F6" w:rsidRDefault="00DF56D8" w:rsidP="00641834">
      <w:pPr>
        <w:rPr>
          <w:lang w:val="nb-NO"/>
        </w:rPr>
      </w:pPr>
      <w:r w:rsidRPr="00A942F6">
        <w:rPr>
          <w:lang w:val="nb-NO"/>
        </w:rPr>
        <w:t xml:space="preserve">Samtidig bruk av potensielt hepatotoksiske legemidler (f. eks. metotreksat) og </w:t>
      </w:r>
      <w:r w:rsidR="00813939" w:rsidRPr="00A942F6">
        <w:rPr>
          <w:lang w:val="nb-NO"/>
        </w:rPr>
        <w:t>tocilizumab</w:t>
      </w:r>
      <w:r w:rsidRPr="00A942F6">
        <w:rPr>
          <w:lang w:val="nb-NO"/>
        </w:rPr>
        <w:t xml:space="preserve"> resulterte i økt hyppighet av forhøyede leverenzymer. Forhøyelser av ALAT/ASAT &gt; 5 x øvre normalverdi ble observert hos 0,7 % av pasienter som fikk </w:t>
      </w:r>
      <w:r w:rsidR="00813939" w:rsidRPr="00A942F6">
        <w:rPr>
          <w:lang w:val="nb-NO"/>
        </w:rPr>
        <w:t>tocilizumab</w:t>
      </w:r>
      <w:r w:rsidRPr="00A942F6">
        <w:rPr>
          <w:lang w:val="nb-NO"/>
        </w:rPr>
        <w:t xml:space="preserve"> som monoterapi og hos 1,4 % av pasienter som fikk </w:t>
      </w:r>
      <w:r w:rsidR="00813939" w:rsidRPr="00A942F6">
        <w:rPr>
          <w:lang w:val="nb-NO"/>
        </w:rPr>
        <w:t>tocilizumab</w:t>
      </w:r>
      <w:r w:rsidRPr="00A942F6">
        <w:rPr>
          <w:lang w:val="nb-NO"/>
        </w:rPr>
        <w:t xml:space="preserve"> pluss DMARD. For de fleste av sistnevnte pasienter ble behandlingen med </w:t>
      </w:r>
      <w:r w:rsidR="00813939" w:rsidRPr="00A942F6">
        <w:rPr>
          <w:lang w:val="nb-NO"/>
        </w:rPr>
        <w:t>tocilizumab</w:t>
      </w:r>
      <w:r w:rsidRPr="00A942F6">
        <w:rPr>
          <w:lang w:val="nb-NO"/>
        </w:rPr>
        <w:t xml:space="preserve"> permanent seponert. Insidens av indirekte bilirubinverdier over øvre normalgrense, påvist i rutineprøver, er 6,2 % hos pasienter behandlet med 8 mg/kg </w:t>
      </w:r>
      <w:r w:rsidR="00813939" w:rsidRPr="00A942F6">
        <w:rPr>
          <w:lang w:val="nb-NO"/>
        </w:rPr>
        <w:t>tocilizumab</w:t>
      </w:r>
      <w:r w:rsidRPr="00A942F6">
        <w:rPr>
          <w:lang w:val="nb-NO"/>
        </w:rPr>
        <w:t xml:space="preserve"> + DMARD i løpet av den dobbeltblinde kontrollperioden. Totalt 5,8 % av pasientene fikk forhøyede verdier for indirekte bilirubin på &gt; 1 til 2 x ULN og 0,4 % hadde en økning på &gt; 2 x ULN.</w:t>
      </w:r>
    </w:p>
    <w:p w14:paraId="2A96F83F" w14:textId="77777777" w:rsidR="00DF56D8" w:rsidRPr="00A942F6" w:rsidRDefault="00DF56D8" w:rsidP="00641834">
      <w:pPr>
        <w:rPr>
          <w:lang w:val="nb-NO"/>
        </w:rPr>
      </w:pPr>
    </w:p>
    <w:p w14:paraId="7CBE42A7" w14:textId="77777777" w:rsidR="00DF56D8" w:rsidRPr="00A942F6" w:rsidRDefault="00DF56D8" w:rsidP="00641834">
      <w:pPr>
        <w:rPr>
          <w:lang w:val="nb-NO"/>
        </w:rPr>
      </w:pPr>
      <w:r w:rsidRPr="00A942F6">
        <w:rPr>
          <w:lang w:val="nb-NO"/>
        </w:rPr>
        <w:lastRenderedPageBreak/>
        <w:t>I løpet av den dobbeltblinde kontrollerte perioden og med langtidseksponering, var det tendens og tilfeller av forhøyelser av ALAT/ASAT samsvarende med det som var sett i de 6-måneders kliniske kontrollerte studiene.</w:t>
      </w:r>
    </w:p>
    <w:p w14:paraId="2A100298" w14:textId="77777777" w:rsidR="001F4B8A" w:rsidRPr="00A942F6" w:rsidRDefault="001F4B8A" w:rsidP="00641834">
      <w:pPr>
        <w:rPr>
          <w:lang w:val="nb-NO"/>
        </w:rPr>
      </w:pPr>
    </w:p>
    <w:p w14:paraId="434059DC" w14:textId="77777777" w:rsidR="00DF56D8" w:rsidRPr="00A942F6" w:rsidRDefault="00DF56D8" w:rsidP="00641834">
      <w:pPr>
        <w:pStyle w:val="Style1Iitaic"/>
        <w:rPr>
          <w:lang w:val="nb-NO"/>
        </w:rPr>
      </w:pPr>
      <w:r w:rsidRPr="00A942F6">
        <w:rPr>
          <w:lang w:val="nb-NO"/>
        </w:rPr>
        <w:t>Lipidparametere</w:t>
      </w:r>
    </w:p>
    <w:p w14:paraId="7D608066" w14:textId="006F62C7" w:rsidR="00DF56D8" w:rsidRPr="00A942F6" w:rsidRDefault="00DF56D8" w:rsidP="007E4199">
      <w:pPr>
        <w:rPr>
          <w:lang w:val="nb-NO"/>
        </w:rPr>
      </w:pPr>
      <w:r w:rsidRPr="00A942F6">
        <w:rPr>
          <w:lang w:val="nb-NO"/>
        </w:rPr>
        <w:t xml:space="preserve">I de kontrollerte 6-måneders-studiene ble økning av lipidparametere som totalkolesterol, triglyserider, LDL-kolesterol og/eller HDL-kolesterol ofte observert. Ved rutinemonitorering fikk ca. 24 % av pasientene som fikk </w:t>
      </w:r>
      <w:r w:rsidR="00813939" w:rsidRPr="00A942F6">
        <w:rPr>
          <w:lang w:val="nb-NO"/>
        </w:rPr>
        <w:t>tocilizumab</w:t>
      </w:r>
      <w:r w:rsidRPr="00A942F6">
        <w:rPr>
          <w:lang w:val="nb-NO"/>
        </w:rPr>
        <w:t xml:space="preserve"> i kliniske studier påvist vedvarende økning i totalkolesterol </w:t>
      </w:r>
      <w:r w:rsidRPr="00A942F6">
        <w:rPr>
          <w:rFonts w:cs="Times New Roman"/>
          <w:lang w:val="nb-NO"/>
        </w:rPr>
        <w:t>≥</w:t>
      </w:r>
      <w:r w:rsidR="007E4199">
        <w:rPr>
          <w:rFonts w:cs="Times New Roman"/>
          <w:lang w:val="nb-NO"/>
        </w:rPr>
        <w:t> </w:t>
      </w:r>
      <w:r w:rsidRPr="00A942F6">
        <w:rPr>
          <w:lang w:val="nb-NO"/>
        </w:rPr>
        <w:t>6,2</w:t>
      </w:r>
      <w:r w:rsidR="007E4199">
        <w:rPr>
          <w:lang w:val="nb-NO"/>
        </w:rPr>
        <w:t> </w:t>
      </w:r>
      <w:r w:rsidRPr="00A942F6">
        <w:rPr>
          <w:lang w:val="nb-NO"/>
        </w:rPr>
        <w:t xml:space="preserve">mmol/l, og 15 % opplevde en vedvarende økning i LDL til </w:t>
      </w:r>
      <w:r w:rsidRPr="00A942F6">
        <w:rPr>
          <w:rFonts w:cs="Times New Roman"/>
          <w:lang w:val="nb-NO"/>
        </w:rPr>
        <w:t>≥</w:t>
      </w:r>
      <w:r w:rsidRPr="00A942F6">
        <w:rPr>
          <w:lang w:val="nb-NO"/>
        </w:rPr>
        <w:t xml:space="preserve"> 4,1 mmol/l. Forhøyede lipidparametere responderte på behandling med lipidsenkende legemidler.</w:t>
      </w:r>
    </w:p>
    <w:p w14:paraId="7A2AB7A5" w14:textId="77777777" w:rsidR="001F4B8A" w:rsidRPr="00A942F6" w:rsidRDefault="001F4B8A" w:rsidP="00641834">
      <w:pPr>
        <w:rPr>
          <w:lang w:val="nb-NO"/>
        </w:rPr>
      </w:pPr>
    </w:p>
    <w:p w14:paraId="53D4390A" w14:textId="77777777" w:rsidR="00DF56D8" w:rsidRPr="00A942F6" w:rsidRDefault="00DF56D8" w:rsidP="00641834">
      <w:pPr>
        <w:rPr>
          <w:lang w:val="nb-NO"/>
        </w:rPr>
      </w:pPr>
      <w:r w:rsidRPr="00A942F6">
        <w:rPr>
          <w:lang w:val="nb-NO"/>
        </w:rPr>
        <w:t>I løpet av den dobbeltblinde kontrollerte perioden og med langtidseksponering, var det tendens og tilfeller av økning i lipidparameterne som var samsvarende med det som var sett i de 6-måneders kontrollerte studiene.</w:t>
      </w:r>
    </w:p>
    <w:p w14:paraId="0F9D1777" w14:textId="77777777" w:rsidR="00DF56D8" w:rsidRPr="00A942F6" w:rsidRDefault="00DF56D8" w:rsidP="00641834">
      <w:pPr>
        <w:rPr>
          <w:lang w:val="nb-NO"/>
        </w:rPr>
      </w:pPr>
    </w:p>
    <w:p w14:paraId="1899FA1D" w14:textId="77777777" w:rsidR="00DF56D8" w:rsidRPr="00A942F6" w:rsidRDefault="00DF56D8" w:rsidP="00641834">
      <w:pPr>
        <w:pStyle w:val="Style1Iitaic"/>
        <w:rPr>
          <w:lang w:val="nb-NO"/>
        </w:rPr>
      </w:pPr>
      <w:r w:rsidRPr="00A942F6">
        <w:rPr>
          <w:lang w:val="nb-NO"/>
        </w:rPr>
        <w:t>Maligniteter</w:t>
      </w:r>
    </w:p>
    <w:p w14:paraId="661CE1C1" w14:textId="4C2D101C" w:rsidR="00DF56D8" w:rsidRPr="00A942F6" w:rsidRDefault="00DF56D8" w:rsidP="00641834">
      <w:pPr>
        <w:rPr>
          <w:lang w:val="nb-NO"/>
        </w:rPr>
      </w:pPr>
      <w:r w:rsidRPr="00A942F6">
        <w:rPr>
          <w:lang w:val="nb-NO"/>
        </w:rPr>
        <w:t xml:space="preserve">De kliniske data er utilstrekkelige for å fastslå insidens av malign sykdom etter eksponering for </w:t>
      </w:r>
      <w:r w:rsidR="00813939" w:rsidRPr="00A942F6">
        <w:rPr>
          <w:lang w:val="nb-NO"/>
        </w:rPr>
        <w:t>tocilizumab</w:t>
      </w:r>
      <w:r w:rsidRPr="00A942F6">
        <w:rPr>
          <w:lang w:val="nb-NO"/>
        </w:rPr>
        <w:t>. Langvarige sikkerhetsstudier pågår.</w:t>
      </w:r>
    </w:p>
    <w:p w14:paraId="7D0DA44B" w14:textId="77777777" w:rsidR="001F4B8A" w:rsidRPr="00A942F6" w:rsidRDefault="001F4B8A" w:rsidP="00641834">
      <w:pPr>
        <w:rPr>
          <w:lang w:val="nb-NO"/>
        </w:rPr>
      </w:pPr>
    </w:p>
    <w:p w14:paraId="0F64C2C4" w14:textId="77777777" w:rsidR="00DF56D8" w:rsidRPr="00A942F6" w:rsidRDefault="00DF56D8" w:rsidP="00641834">
      <w:pPr>
        <w:pStyle w:val="Style1Iitaic"/>
        <w:rPr>
          <w:lang w:val="nb-NO"/>
        </w:rPr>
      </w:pPr>
      <w:r w:rsidRPr="00A942F6">
        <w:rPr>
          <w:lang w:val="nb-NO"/>
        </w:rPr>
        <w:t>Hudreaksjoner</w:t>
      </w:r>
    </w:p>
    <w:p w14:paraId="279093E0" w14:textId="77777777" w:rsidR="00DF56D8" w:rsidRPr="00A942F6" w:rsidRDefault="00DF56D8" w:rsidP="00641834">
      <w:pPr>
        <w:rPr>
          <w:lang w:val="nb-NO"/>
        </w:rPr>
      </w:pPr>
      <w:r w:rsidRPr="00A942F6">
        <w:rPr>
          <w:lang w:val="nb-NO"/>
        </w:rPr>
        <w:t>Sjeldne tilfeller av Stevens-Johnson syndrom er rapportert etter markedsføring.</w:t>
      </w:r>
    </w:p>
    <w:p w14:paraId="7085B477" w14:textId="77777777" w:rsidR="00DF56D8" w:rsidRPr="00A942F6" w:rsidRDefault="00DF56D8" w:rsidP="00641834">
      <w:pPr>
        <w:rPr>
          <w:lang w:val="nb-NO"/>
        </w:rPr>
      </w:pPr>
    </w:p>
    <w:p w14:paraId="54692CFE" w14:textId="77777777" w:rsidR="00813939" w:rsidRPr="00A942F6" w:rsidRDefault="00813939" w:rsidP="00813939">
      <w:pPr>
        <w:rPr>
          <w:u w:val="single"/>
          <w:lang w:val="nb-NO"/>
        </w:rPr>
      </w:pPr>
      <w:r w:rsidRPr="00A942F6">
        <w:rPr>
          <w:u w:val="single"/>
          <w:lang w:val="nb-NO"/>
        </w:rPr>
        <w:t>Immunogenisitet</w:t>
      </w:r>
    </w:p>
    <w:p w14:paraId="61EFFE8A" w14:textId="77777777" w:rsidR="00813939" w:rsidRPr="00A942F6" w:rsidRDefault="00813939" w:rsidP="00813939">
      <w:pPr>
        <w:rPr>
          <w:lang w:val="nb-NO"/>
        </w:rPr>
      </w:pPr>
      <w:r w:rsidRPr="00A942F6">
        <w:rPr>
          <w:lang w:val="nb-NO"/>
        </w:rPr>
        <w:t>Anti</w:t>
      </w:r>
      <w:r w:rsidR="00C324B2">
        <w:rPr>
          <w:lang w:val="nb-NO"/>
        </w:rPr>
        <w:noBreakHyphen/>
      </w:r>
      <w:r w:rsidRPr="00A942F6">
        <w:rPr>
          <w:lang w:val="nb-NO"/>
        </w:rPr>
        <w:t>tocilizumab</w:t>
      </w:r>
      <w:r w:rsidR="00C324B2">
        <w:rPr>
          <w:lang w:val="nb-NO"/>
        </w:rPr>
        <w:noBreakHyphen/>
      </w:r>
      <w:r w:rsidRPr="00A942F6">
        <w:rPr>
          <w:lang w:val="nb-NO"/>
        </w:rPr>
        <w:t>antistoffer kan utvikles under tocilizumab</w:t>
      </w:r>
      <w:r w:rsidR="00C324B2">
        <w:rPr>
          <w:lang w:val="nb-NO"/>
        </w:rPr>
        <w:noBreakHyphen/>
      </w:r>
      <w:r w:rsidRPr="00A942F6">
        <w:rPr>
          <w:lang w:val="nb-NO"/>
        </w:rPr>
        <w:t xml:space="preserve">behandling. Korrelasjon mellom </w:t>
      </w:r>
      <w:r w:rsidR="003B0D84" w:rsidRPr="00A942F6">
        <w:rPr>
          <w:lang w:val="nb-NO"/>
        </w:rPr>
        <w:t xml:space="preserve">utvikling av </w:t>
      </w:r>
      <w:r w:rsidRPr="00A942F6">
        <w:rPr>
          <w:lang w:val="nb-NO"/>
        </w:rPr>
        <w:t>antistoff</w:t>
      </w:r>
      <w:r w:rsidR="003B0D84" w:rsidRPr="00A942F6">
        <w:rPr>
          <w:lang w:val="nb-NO"/>
        </w:rPr>
        <w:t xml:space="preserve">er </w:t>
      </w:r>
      <w:r w:rsidRPr="00A942F6">
        <w:rPr>
          <w:lang w:val="nb-NO"/>
        </w:rPr>
        <w:t>og klinisk respons eller bivirkninger kan observeres.</w:t>
      </w:r>
    </w:p>
    <w:p w14:paraId="4F04CE0C" w14:textId="77777777" w:rsidR="00813939" w:rsidRPr="00A942F6" w:rsidRDefault="00813939" w:rsidP="00641834">
      <w:pPr>
        <w:rPr>
          <w:lang w:val="nb-NO"/>
        </w:rPr>
      </w:pPr>
    </w:p>
    <w:p w14:paraId="06617B01" w14:textId="77777777" w:rsidR="00DF56D8" w:rsidRPr="00A942F6" w:rsidRDefault="00DF56D8" w:rsidP="00641834">
      <w:pPr>
        <w:pStyle w:val="Style1underline"/>
        <w:rPr>
          <w:lang w:val="nb-NO"/>
        </w:rPr>
      </w:pPr>
      <w:r w:rsidRPr="00A942F6">
        <w:rPr>
          <w:lang w:val="nb-NO"/>
        </w:rPr>
        <w:t>Melding av mistenkte bivirkninger</w:t>
      </w:r>
    </w:p>
    <w:p w14:paraId="64B88444" w14:textId="77777777" w:rsidR="00DF56D8" w:rsidRPr="00A942F6" w:rsidRDefault="00DF56D8" w:rsidP="00641834">
      <w:pPr>
        <w:rPr>
          <w:lang w:val="nb-NO"/>
        </w:rPr>
      </w:pPr>
      <w:r w:rsidRPr="00A942F6">
        <w:rPr>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CB45D2">
        <w:rPr>
          <w:highlight w:val="lightGray"/>
          <w:shd w:val="pct35" w:color="auto" w:fill="auto"/>
          <w:lang w:val="nb-NO"/>
        </w:rPr>
        <w:t xml:space="preserve">det nasjonale meldesystemet som beskrevet i </w:t>
      </w:r>
      <w:hyperlink r:id="rId18" w:history="1">
        <w:r w:rsidRPr="00CB45D2">
          <w:rPr>
            <w:rStyle w:val="a6"/>
            <w:color w:val="0000FF"/>
            <w:highlight w:val="lightGray"/>
            <w:shd w:val="pct35" w:color="auto" w:fill="auto"/>
            <w:lang w:val="nb-NO"/>
          </w:rPr>
          <w:t>Appendix V</w:t>
        </w:r>
      </w:hyperlink>
      <w:r w:rsidRPr="00A942F6">
        <w:rPr>
          <w:lang w:val="nb-NO"/>
        </w:rPr>
        <w:t>.</w:t>
      </w:r>
    </w:p>
    <w:p w14:paraId="15B719AB" w14:textId="77777777" w:rsidR="00DF56D8" w:rsidRPr="00A942F6" w:rsidRDefault="00DF56D8" w:rsidP="00641834">
      <w:pPr>
        <w:rPr>
          <w:lang w:val="nb-NO"/>
        </w:rPr>
      </w:pPr>
    </w:p>
    <w:p w14:paraId="2C607D5A" w14:textId="77777777" w:rsidR="00DF56D8" w:rsidRPr="00A942F6" w:rsidRDefault="00DF56D8" w:rsidP="00641834">
      <w:pPr>
        <w:pStyle w:val="H2"/>
        <w:rPr>
          <w:lang w:val="nb-NO"/>
        </w:rPr>
      </w:pPr>
      <w:r w:rsidRPr="00A942F6">
        <w:rPr>
          <w:lang w:val="nb-NO"/>
        </w:rPr>
        <w:t>4.9</w:t>
      </w:r>
      <w:r w:rsidRPr="00A942F6">
        <w:rPr>
          <w:lang w:val="nb-NO"/>
        </w:rPr>
        <w:tab/>
        <w:t>Overdosering</w:t>
      </w:r>
    </w:p>
    <w:p w14:paraId="0CB5C36F" w14:textId="77777777" w:rsidR="002155E9" w:rsidRPr="00A942F6" w:rsidRDefault="002155E9" w:rsidP="00641834">
      <w:pPr>
        <w:keepNext/>
        <w:rPr>
          <w:lang w:val="nb-NO"/>
        </w:rPr>
      </w:pPr>
    </w:p>
    <w:p w14:paraId="341735B8" w14:textId="77CFD544" w:rsidR="00DF56D8" w:rsidRPr="00A942F6" w:rsidRDefault="00DF56D8" w:rsidP="00641834">
      <w:pPr>
        <w:rPr>
          <w:lang w:val="nb-NO"/>
        </w:rPr>
      </w:pPr>
      <w:r w:rsidRPr="00A942F6">
        <w:rPr>
          <w:lang w:val="nb-NO"/>
        </w:rPr>
        <w:t xml:space="preserve">Det er begrensede data tilgjengelig vedrørende overdosering av </w:t>
      </w:r>
      <w:r w:rsidR="00813939" w:rsidRPr="00A942F6">
        <w:rPr>
          <w:lang w:val="nb-NO"/>
        </w:rPr>
        <w:t>tocilizumab</w:t>
      </w:r>
      <w:r w:rsidRPr="00A942F6">
        <w:rPr>
          <w:lang w:val="nb-NO"/>
        </w:rPr>
        <w:t>. Et tilfelle av utilsiktet overdosering ble rapportert der en pasient med multippelt myelom fikk en enkeltdose på 40 mg/kg administrert intravenøst. Ingen bivirkninger ble observert.</w:t>
      </w:r>
    </w:p>
    <w:p w14:paraId="797496C0" w14:textId="77777777" w:rsidR="001F4B8A" w:rsidRPr="00A942F6" w:rsidRDefault="001F4B8A" w:rsidP="00641834">
      <w:pPr>
        <w:rPr>
          <w:lang w:val="nb-NO"/>
        </w:rPr>
      </w:pPr>
    </w:p>
    <w:p w14:paraId="08C84BD3" w14:textId="77777777" w:rsidR="00DF56D8" w:rsidRPr="00A942F6" w:rsidRDefault="00DF56D8" w:rsidP="00641834">
      <w:pPr>
        <w:rPr>
          <w:lang w:val="nb-NO"/>
        </w:rPr>
      </w:pPr>
      <w:r w:rsidRPr="00A942F6">
        <w:rPr>
          <w:lang w:val="nb-NO"/>
        </w:rPr>
        <w:t>Ingen alvorlige bivirkninger ble observert hos friske frivillige som fikk enkeltdoser på opptil 28 mg/kg, selv om doseavhengig nøytropeni ble observert.</w:t>
      </w:r>
    </w:p>
    <w:p w14:paraId="07118BBD" w14:textId="77777777" w:rsidR="00DF56D8" w:rsidRPr="00A942F6" w:rsidRDefault="00DF56D8" w:rsidP="00641834">
      <w:pPr>
        <w:rPr>
          <w:lang w:val="nb-NO"/>
        </w:rPr>
      </w:pPr>
    </w:p>
    <w:p w14:paraId="472A79F9" w14:textId="77777777" w:rsidR="002155E9" w:rsidRPr="00A942F6" w:rsidRDefault="002155E9" w:rsidP="00641834">
      <w:pPr>
        <w:rPr>
          <w:lang w:val="nb-NO"/>
        </w:rPr>
      </w:pPr>
    </w:p>
    <w:p w14:paraId="439614A8" w14:textId="77777777" w:rsidR="00DF56D8" w:rsidRPr="00A942F6" w:rsidRDefault="00DF56D8" w:rsidP="00641834">
      <w:pPr>
        <w:pStyle w:val="H1"/>
        <w:rPr>
          <w:lang w:val="nb-NO"/>
        </w:rPr>
      </w:pPr>
      <w:r w:rsidRPr="00A942F6">
        <w:rPr>
          <w:lang w:val="nb-NO"/>
        </w:rPr>
        <w:t>5.</w:t>
      </w:r>
      <w:r w:rsidRPr="00A942F6">
        <w:rPr>
          <w:lang w:val="nb-NO"/>
        </w:rPr>
        <w:tab/>
        <w:t>FARMAKOLOGISKE EGENSKAPER</w:t>
      </w:r>
    </w:p>
    <w:p w14:paraId="6FA34AA5" w14:textId="77777777" w:rsidR="00DF56D8" w:rsidRPr="00A942F6" w:rsidRDefault="00DF56D8" w:rsidP="00641834">
      <w:pPr>
        <w:rPr>
          <w:lang w:val="nb-NO"/>
        </w:rPr>
      </w:pPr>
    </w:p>
    <w:p w14:paraId="66737F12" w14:textId="77777777" w:rsidR="00DF56D8" w:rsidRPr="00A942F6" w:rsidRDefault="00DF56D8" w:rsidP="00641834">
      <w:pPr>
        <w:pStyle w:val="H2"/>
        <w:rPr>
          <w:lang w:val="nb-NO"/>
        </w:rPr>
      </w:pPr>
      <w:r w:rsidRPr="00A942F6">
        <w:rPr>
          <w:lang w:val="nb-NO"/>
        </w:rPr>
        <w:t>5.1</w:t>
      </w:r>
      <w:r w:rsidRPr="00A942F6">
        <w:rPr>
          <w:lang w:val="nb-NO"/>
        </w:rPr>
        <w:tab/>
        <w:t>Farmakodynamiske egenskaper</w:t>
      </w:r>
    </w:p>
    <w:p w14:paraId="77DEBB5D" w14:textId="77777777" w:rsidR="002155E9" w:rsidRPr="00A942F6" w:rsidRDefault="002155E9" w:rsidP="00641834">
      <w:pPr>
        <w:rPr>
          <w:lang w:val="nb-NO"/>
        </w:rPr>
      </w:pPr>
    </w:p>
    <w:p w14:paraId="36C6D938" w14:textId="77777777" w:rsidR="001F4B8A" w:rsidRPr="00A942F6" w:rsidRDefault="00DF56D8" w:rsidP="00641834">
      <w:pPr>
        <w:rPr>
          <w:lang w:val="nb-NO"/>
        </w:rPr>
      </w:pPr>
      <w:r w:rsidRPr="00A942F6">
        <w:rPr>
          <w:lang w:val="nb-NO"/>
        </w:rPr>
        <w:t>Farmakoterapeutisk gruppe: Immunsuppressiver, interleukinhemmere. ATC-kode: L04AC07</w:t>
      </w:r>
    </w:p>
    <w:p w14:paraId="05880BB2" w14:textId="77777777" w:rsidR="001F4B8A" w:rsidRPr="00A942F6" w:rsidRDefault="001F4B8A" w:rsidP="00641834">
      <w:pPr>
        <w:rPr>
          <w:lang w:val="nb-NO"/>
        </w:rPr>
      </w:pPr>
    </w:p>
    <w:p w14:paraId="4F3550AE" w14:textId="77777777" w:rsidR="00813939" w:rsidRPr="00A942F6" w:rsidRDefault="00813939" w:rsidP="00813939">
      <w:pPr>
        <w:rPr>
          <w:lang w:val="nb-NO"/>
        </w:rPr>
      </w:pPr>
      <w:r w:rsidRPr="00A942F6">
        <w:rPr>
          <w:lang w:val="nb-NO"/>
        </w:rPr>
        <w:t xml:space="preserve">Avtozma er et biotilsvarende (”biosimilar”) legemiddel. Detaljert informasjon er tilgjengelig på nettstedet til Det europeiske legemiddelkontoret (the European Medicines Agency) </w:t>
      </w:r>
      <w:hyperlink r:id="rId19" w:history="1">
        <w:r w:rsidRPr="00434BCD">
          <w:rPr>
            <w:rStyle w:val="a6"/>
            <w:color w:val="0000FF"/>
            <w:lang w:val="nb-NO"/>
          </w:rPr>
          <w:t>https://www.ema.europa.eu</w:t>
        </w:r>
      </w:hyperlink>
      <w:r w:rsidRPr="00A942F6">
        <w:rPr>
          <w:lang w:val="nb-NO"/>
        </w:rPr>
        <w:t>.</w:t>
      </w:r>
    </w:p>
    <w:p w14:paraId="4B64F2B6" w14:textId="77777777" w:rsidR="00813939" w:rsidRPr="00A942F6" w:rsidRDefault="00813939" w:rsidP="00641834">
      <w:pPr>
        <w:rPr>
          <w:lang w:val="nb-NO"/>
        </w:rPr>
      </w:pPr>
    </w:p>
    <w:p w14:paraId="7ABFFF3D" w14:textId="77777777" w:rsidR="00DF56D8" w:rsidRPr="00A942F6" w:rsidRDefault="00DF56D8" w:rsidP="00641834">
      <w:pPr>
        <w:pStyle w:val="Style1underline"/>
        <w:rPr>
          <w:lang w:val="nb-NO"/>
        </w:rPr>
      </w:pPr>
      <w:r w:rsidRPr="00A942F6">
        <w:rPr>
          <w:lang w:val="nb-NO"/>
        </w:rPr>
        <w:t>Virkningsmekanisme</w:t>
      </w:r>
    </w:p>
    <w:p w14:paraId="32AFC02C" w14:textId="7B3587DD" w:rsidR="00DF56D8" w:rsidRPr="00A942F6" w:rsidRDefault="00813939" w:rsidP="00641834">
      <w:pPr>
        <w:rPr>
          <w:lang w:val="nb-NO"/>
        </w:rPr>
      </w:pPr>
      <w:r w:rsidRPr="00A942F6">
        <w:rPr>
          <w:lang w:val="nb-NO"/>
        </w:rPr>
        <w:t>Tocilizumab</w:t>
      </w:r>
      <w:r w:rsidR="00DF56D8" w:rsidRPr="00A942F6">
        <w:rPr>
          <w:lang w:val="nb-NO"/>
        </w:rPr>
        <w:t xml:space="preserve"> binder spesifikt til både løselige og membranbundne IL-6-reseptorer (sIL-6R og mIL-6R).</w:t>
      </w:r>
    </w:p>
    <w:p w14:paraId="1B6C18F3" w14:textId="4FAA145B" w:rsidR="00DF56D8" w:rsidRPr="00A942F6" w:rsidRDefault="00DF56D8" w:rsidP="00641834">
      <w:pPr>
        <w:rPr>
          <w:lang w:val="nb-NO"/>
        </w:rPr>
      </w:pPr>
      <w:r w:rsidRPr="00A942F6">
        <w:rPr>
          <w:lang w:val="nb-NO"/>
        </w:rPr>
        <w:t xml:space="preserve">Det er vist at </w:t>
      </w:r>
      <w:r w:rsidR="00813939" w:rsidRPr="00A942F6">
        <w:rPr>
          <w:lang w:val="nb-NO"/>
        </w:rPr>
        <w:t>tocilizumab</w:t>
      </w:r>
      <w:r w:rsidRPr="00A942F6">
        <w:rPr>
          <w:lang w:val="nb-NO"/>
        </w:rPr>
        <w:t xml:space="preserve"> inhiberer sIL-6R- og mIL-6R-mediert signalisering. IL-6 er et pleiotropisk proinflammatorisk cytokin som produseres av en rekke celletyper, inkludert T- og B-celler, monocytter </w:t>
      </w:r>
      <w:r w:rsidRPr="00A942F6">
        <w:rPr>
          <w:lang w:val="nb-NO"/>
        </w:rPr>
        <w:lastRenderedPageBreak/>
        <w:t>og fibroblaster. IL-6 er involvert i forskjellige fysiologiske prosesser som T- celleaktivering, induksjon av immunglobulinsekresjon, induksjon av hepatisk akuttfaseprotein-syntese og stimulering av hematopoese. IL-6 synes å være medvirkende i patogenesen av sykdommer som inflammasjonssykdommer, osteoporose og neoplasi.</w:t>
      </w:r>
    </w:p>
    <w:p w14:paraId="1D05E843" w14:textId="77777777" w:rsidR="00DF56D8" w:rsidRPr="00A942F6" w:rsidRDefault="00DF56D8" w:rsidP="00641834">
      <w:pPr>
        <w:rPr>
          <w:lang w:val="nb-NO"/>
        </w:rPr>
      </w:pPr>
    </w:p>
    <w:p w14:paraId="06AC1ED8" w14:textId="77777777" w:rsidR="00DF56D8" w:rsidRPr="00A942F6" w:rsidRDefault="00DF56D8" w:rsidP="00641834">
      <w:pPr>
        <w:pStyle w:val="Style1underline"/>
        <w:rPr>
          <w:lang w:val="nb-NO"/>
        </w:rPr>
      </w:pPr>
      <w:r w:rsidRPr="00A942F6">
        <w:rPr>
          <w:lang w:val="nb-NO"/>
        </w:rPr>
        <w:t>Farmakodynamiske effekter</w:t>
      </w:r>
    </w:p>
    <w:p w14:paraId="14280968" w14:textId="7D308AF7" w:rsidR="00DF56D8" w:rsidRPr="00A942F6" w:rsidRDefault="00DF56D8" w:rsidP="00641834">
      <w:pPr>
        <w:rPr>
          <w:lang w:val="nb-NO"/>
        </w:rPr>
      </w:pPr>
      <w:r w:rsidRPr="00A942F6">
        <w:rPr>
          <w:lang w:val="nb-NO"/>
        </w:rPr>
        <w:t xml:space="preserve">Kliniske RA-studier med </w:t>
      </w:r>
      <w:r w:rsidR="00813939" w:rsidRPr="00A942F6">
        <w:rPr>
          <w:lang w:val="nb-NO"/>
        </w:rPr>
        <w:t>tocilizumab</w:t>
      </w:r>
      <w:r w:rsidRPr="00A942F6">
        <w:rPr>
          <w:lang w:val="nb-NO"/>
        </w:rPr>
        <w:t xml:space="preserve"> viser rask reduksjon av CRP, senkningsreaksjon (SR), serumamyloid A (SAA) og fibrinogen. Behandling med </w:t>
      </w:r>
      <w:r w:rsidR="00813939" w:rsidRPr="00A942F6">
        <w:rPr>
          <w:lang w:val="nb-NO"/>
        </w:rPr>
        <w:t>tocilizumab</w:t>
      </w:r>
      <w:r w:rsidRPr="00A942F6">
        <w:rPr>
          <w:lang w:val="nb-NO"/>
        </w:rPr>
        <w:t xml:space="preserve"> er forbundet med reduksjon i platetall innenfor normalverdiene, som er forenlig med effekten på akuttfase-reaktanter. Økning i hemoglobinnivå er sett. Dette skyldes at </w:t>
      </w:r>
      <w:r w:rsidR="00813939" w:rsidRPr="00A942F6">
        <w:rPr>
          <w:lang w:val="nb-NO"/>
        </w:rPr>
        <w:t>tocilizumab</w:t>
      </w:r>
      <w:r w:rsidRPr="00A942F6">
        <w:rPr>
          <w:lang w:val="nb-NO"/>
        </w:rPr>
        <w:t xml:space="preserve"> reduserer IL-6-drevede effekter på hepcidinproduksjon som øker tilgjengeligheten av jern. Hos pasienter behandlet med </w:t>
      </w:r>
      <w:r w:rsidR="00813939" w:rsidRPr="00A942F6">
        <w:rPr>
          <w:lang w:val="nb-NO"/>
        </w:rPr>
        <w:t>tocilizumab</w:t>
      </w:r>
      <w:r w:rsidRPr="00A942F6">
        <w:rPr>
          <w:lang w:val="nb-NO"/>
        </w:rPr>
        <w:t xml:space="preserve"> ble det sett reduksjon i CRP-nivå til normalverdier så tidlig som i uke 2. Reduksjonen ble opprettholdt mens behandlingen pågikk.</w:t>
      </w:r>
    </w:p>
    <w:p w14:paraId="5EFD9274" w14:textId="77777777" w:rsidR="001F4B8A" w:rsidRPr="00A942F6" w:rsidRDefault="001F4B8A" w:rsidP="00641834">
      <w:pPr>
        <w:rPr>
          <w:lang w:val="nb-NO"/>
        </w:rPr>
      </w:pPr>
    </w:p>
    <w:p w14:paraId="40E84468" w14:textId="77777777" w:rsidR="00DF56D8" w:rsidRPr="00A942F6" w:rsidRDefault="00DF56D8" w:rsidP="00641834">
      <w:pPr>
        <w:rPr>
          <w:lang w:val="nb-NO"/>
        </w:rPr>
      </w:pPr>
      <w:r w:rsidRPr="00A942F6">
        <w:rPr>
          <w:lang w:val="nb-NO"/>
        </w:rPr>
        <w:t>I den kliniske GCA-studien WA28119 ble det observert tilsvarende rask reduksjon av CRP og SR, samtidig med en liten økning i gjennomsnittlig konsentrasjon av korpuskulært hemoglobin.</w:t>
      </w:r>
    </w:p>
    <w:p w14:paraId="29952293" w14:textId="00E8A6D9" w:rsidR="00DF56D8" w:rsidRPr="00A942F6" w:rsidRDefault="00DF56D8" w:rsidP="00641834">
      <w:pPr>
        <w:rPr>
          <w:lang w:val="nb-NO"/>
        </w:rPr>
      </w:pPr>
      <w:r w:rsidRPr="00A942F6">
        <w:rPr>
          <w:lang w:val="nb-NO"/>
        </w:rPr>
        <w:t xml:space="preserve">Hos friske individer som ble gitt </w:t>
      </w:r>
      <w:r w:rsidR="00813939" w:rsidRPr="00A942F6">
        <w:rPr>
          <w:lang w:val="nb-NO"/>
        </w:rPr>
        <w:t>tocilizumab</w:t>
      </w:r>
      <w:r w:rsidRPr="00A942F6">
        <w:rPr>
          <w:lang w:val="nb-NO"/>
        </w:rPr>
        <w:t xml:space="preserve"> i doser fra 2 til 28 mg/kg intravenøst og 81 til 162 mg subkutant, avtok absolutt nøytrofiltall til sitt laveste antall 2 til 5 dager etter administrering. Deretter ble antall nøytrofile doseavhengig forbedret til utgangspunktet. Pasienter med RA og GCA viste en tilsvarende (sammenlignet med friske frivillige) reduksjon av absolutt nøytrofiltall etter administrering av </w:t>
      </w:r>
      <w:r w:rsidR="00813939" w:rsidRPr="00A942F6">
        <w:rPr>
          <w:lang w:val="nb-NO"/>
        </w:rPr>
        <w:t>tocilizumab</w:t>
      </w:r>
      <w:r w:rsidRPr="00A942F6">
        <w:rPr>
          <w:lang w:val="nb-NO"/>
        </w:rPr>
        <w:t xml:space="preserve"> (se pkt. 4.8).</w:t>
      </w:r>
    </w:p>
    <w:p w14:paraId="595C1E3E" w14:textId="77777777" w:rsidR="00DF56D8" w:rsidRPr="00A942F6" w:rsidRDefault="00DF56D8" w:rsidP="00641834">
      <w:pPr>
        <w:rPr>
          <w:lang w:val="nb-NO"/>
        </w:rPr>
      </w:pPr>
    </w:p>
    <w:p w14:paraId="3E011D3F" w14:textId="77777777" w:rsidR="00DF56D8" w:rsidRPr="00A942F6" w:rsidRDefault="00DF56D8" w:rsidP="00641834">
      <w:pPr>
        <w:pStyle w:val="Style1underline"/>
        <w:rPr>
          <w:lang w:val="nb-NO"/>
        </w:rPr>
      </w:pPr>
      <w:r w:rsidRPr="00A942F6">
        <w:rPr>
          <w:lang w:val="nb-NO"/>
        </w:rPr>
        <w:t>Subkutan bruk</w:t>
      </w:r>
    </w:p>
    <w:p w14:paraId="4BCBC2DE" w14:textId="77777777" w:rsidR="00DF56D8" w:rsidRPr="00A942F6" w:rsidRDefault="00DF56D8" w:rsidP="00641834">
      <w:pPr>
        <w:pStyle w:val="Style2underlinebold"/>
        <w:rPr>
          <w:lang w:val="nb-NO"/>
        </w:rPr>
      </w:pPr>
      <w:r w:rsidRPr="00A942F6">
        <w:rPr>
          <w:lang w:val="nb-NO"/>
        </w:rPr>
        <w:t>RA</w:t>
      </w:r>
    </w:p>
    <w:p w14:paraId="62FF9557" w14:textId="77777777" w:rsidR="00DF56D8" w:rsidRPr="00A942F6" w:rsidRDefault="00DF56D8" w:rsidP="00641834">
      <w:pPr>
        <w:pStyle w:val="Style1underline"/>
        <w:rPr>
          <w:lang w:val="nb-NO"/>
        </w:rPr>
      </w:pPr>
      <w:r w:rsidRPr="00A942F6">
        <w:rPr>
          <w:lang w:val="nb-NO"/>
        </w:rPr>
        <w:t>Klinisk effekt</w:t>
      </w:r>
    </w:p>
    <w:p w14:paraId="02110A85" w14:textId="78557B71" w:rsidR="00DF56D8" w:rsidRPr="00A942F6" w:rsidRDefault="00DF56D8" w:rsidP="00641834">
      <w:pPr>
        <w:rPr>
          <w:lang w:val="nb-NO"/>
        </w:rPr>
      </w:pPr>
      <w:r w:rsidRPr="00A942F6">
        <w:rPr>
          <w:lang w:val="nb-NO"/>
        </w:rPr>
        <w:t xml:space="preserve">Effekten av </w:t>
      </w:r>
      <w:r w:rsidR="00813939" w:rsidRPr="00A942F6">
        <w:rPr>
          <w:lang w:val="nb-NO"/>
        </w:rPr>
        <w:t>tocilizumab</w:t>
      </w:r>
      <w:r w:rsidRPr="00A942F6">
        <w:rPr>
          <w:lang w:val="nb-NO"/>
        </w:rPr>
        <w:t xml:space="preserve"> administrert subkutant ved lindring av tegn og symptomer på RA og radiografisk respons, ble vurdert i to randomiserte, dobbeltblinde, kontrollerte multisenterstudier. For studie I (SC-I) var pasientene nødt til å være &gt; 18 år med moderat til alvorlig aktiv RA diagnostisert i henhold til ACR-kriterier, og som hadde minst 4 ømme og 4 hovne ledd ved baseline. Alle pasientene fikk bakgrunnsbehandling med ikke-biologiske DMARD(s). For studie II (SC-II), var pasientene nødt til å være &gt; 18 år med moderat til alvorlig aktiv RA diagnostisert i henhold til ACR-kriterier, og som hadde minst 8 ømme og 6 hovne ledd ved baseline.</w:t>
      </w:r>
    </w:p>
    <w:p w14:paraId="62CD309C" w14:textId="77777777" w:rsidR="001F4B8A" w:rsidRPr="00A942F6" w:rsidRDefault="001F4B8A" w:rsidP="00641834">
      <w:pPr>
        <w:rPr>
          <w:lang w:val="nb-NO"/>
        </w:rPr>
      </w:pPr>
    </w:p>
    <w:p w14:paraId="74CEB586" w14:textId="77777777" w:rsidR="00DF56D8" w:rsidRPr="00A942F6" w:rsidRDefault="00DF56D8" w:rsidP="00641834">
      <w:pPr>
        <w:rPr>
          <w:lang w:val="nb-NO"/>
        </w:rPr>
      </w:pPr>
      <w:r w:rsidRPr="00A942F6">
        <w:rPr>
          <w:lang w:val="nb-NO"/>
        </w:rPr>
        <w:t>Å bytte fra 8 mg/kg intravenøst én gang hver 4. uke til 162 mg subkutant hver uke vil endre ekponeringen hos pasienten. Utstrekningen varierer med pasientens kroppsvekt (økning hos pasienter med lett kroppsvekt og reduksjon hos pasienter med tung kroppsvekt), men klinisk utfall er sammenlignbart med det som er observert hos pasienter behandlet intravenøst.</w:t>
      </w:r>
    </w:p>
    <w:p w14:paraId="3916D941" w14:textId="77777777" w:rsidR="00DF56D8" w:rsidRPr="00A942F6" w:rsidRDefault="00DF56D8" w:rsidP="00641834">
      <w:pPr>
        <w:rPr>
          <w:lang w:val="nb-NO"/>
        </w:rPr>
      </w:pPr>
    </w:p>
    <w:p w14:paraId="3C996AF4" w14:textId="77777777" w:rsidR="00DF56D8" w:rsidRPr="00A942F6" w:rsidRDefault="00DF56D8" w:rsidP="00641834">
      <w:pPr>
        <w:pStyle w:val="Style1underline"/>
        <w:rPr>
          <w:lang w:val="nb-NO"/>
        </w:rPr>
      </w:pPr>
      <w:r w:rsidRPr="00A942F6">
        <w:rPr>
          <w:lang w:val="nb-NO"/>
        </w:rPr>
        <w:t>Klinisk respons</w:t>
      </w:r>
    </w:p>
    <w:p w14:paraId="64A8F266" w14:textId="3F32655F" w:rsidR="00355121" w:rsidRPr="00A942F6" w:rsidRDefault="00DF56D8" w:rsidP="00641834">
      <w:pPr>
        <w:rPr>
          <w:lang w:val="nb-NO"/>
        </w:rPr>
      </w:pPr>
      <w:r w:rsidRPr="00A942F6">
        <w:rPr>
          <w:lang w:val="nb-NO"/>
        </w:rPr>
        <w:t xml:space="preserve">Studie SC-I evaluerte pasienter med moderat til alvorlig aktiv RA som hadde en utilstrekkelig klinisk respons på eksisterende revmatologisk behandling, inkludert en eller flere DMARDs, der ca. 20 % hadde en historie med utilstrekkelig respons på minst én TNF-hemmer. I SC-I ble 1262 pasienter randomisert 1:1 til å få </w:t>
      </w:r>
      <w:r w:rsidR="00813939" w:rsidRPr="00A942F6">
        <w:rPr>
          <w:lang w:val="nb-NO"/>
        </w:rPr>
        <w:t>tocilizumab</w:t>
      </w:r>
      <w:r w:rsidRPr="00A942F6">
        <w:rPr>
          <w:lang w:val="nb-NO"/>
        </w:rPr>
        <w:t xml:space="preserve"> 162 mg subkutant hver uke eller </w:t>
      </w:r>
      <w:r w:rsidR="00813939" w:rsidRPr="00A942F6">
        <w:rPr>
          <w:lang w:val="nb-NO"/>
        </w:rPr>
        <w:t>tocilizumab</w:t>
      </w:r>
      <w:r w:rsidRPr="00A942F6">
        <w:rPr>
          <w:lang w:val="nb-NO"/>
        </w:rPr>
        <w:t xml:space="preserve"> 8 mg/kg intravenøst hver fjerde uke i kombinasjon med ikke-biologiske DMARD(s). Det primære endepunktet i studien var forskjellen i andel pasienter som oppnådde en ACR20-respons ved uke 24. </w:t>
      </w:r>
    </w:p>
    <w:p w14:paraId="40681224" w14:textId="77777777" w:rsidR="00355121" w:rsidRPr="00A942F6" w:rsidRDefault="00355121" w:rsidP="00641834">
      <w:pPr>
        <w:rPr>
          <w:lang w:val="nb-NO"/>
        </w:rPr>
      </w:pPr>
    </w:p>
    <w:p w14:paraId="7827B205" w14:textId="15AC1591" w:rsidR="00DF56D8" w:rsidRPr="00A942F6" w:rsidRDefault="00DF56D8" w:rsidP="00B928BE">
      <w:pPr>
        <w:rPr>
          <w:lang w:val="nb-NO"/>
        </w:rPr>
      </w:pPr>
      <w:r w:rsidRPr="00A942F6">
        <w:rPr>
          <w:lang w:val="nb-NO"/>
        </w:rPr>
        <w:t>Resultatene fra</w:t>
      </w:r>
      <w:r w:rsidR="00B928BE">
        <w:rPr>
          <w:lang w:val="nb-NO"/>
        </w:rPr>
        <w:t xml:space="preserve"> </w:t>
      </w:r>
      <w:r w:rsidRPr="00A942F6">
        <w:rPr>
          <w:lang w:val="nb-NO"/>
        </w:rPr>
        <w:t>studie SC-I er vist i tabell 2.</w:t>
      </w:r>
    </w:p>
    <w:p w14:paraId="25E55258" w14:textId="77777777" w:rsidR="00DF56D8" w:rsidRPr="00A942F6" w:rsidRDefault="00DF56D8" w:rsidP="00641834">
      <w:pPr>
        <w:rPr>
          <w:lang w:val="nb-NO"/>
        </w:rPr>
      </w:pPr>
    </w:p>
    <w:p w14:paraId="6994BC6E" w14:textId="77777777" w:rsidR="00DF56D8" w:rsidRPr="00A942F6" w:rsidRDefault="00DF56D8" w:rsidP="00641834">
      <w:pPr>
        <w:pStyle w:val="Style1Iitaic"/>
        <w:rPr>
          <w:lang w:val="nb-NO"/>
        </w:rPr>
      </w:pPr>
      <w:r w:rsidRPr="00A942F6">
        <w:rPr>
          <w:lang w:val="nb-NO"/>
        </w:rPr>
        <w:t>Tabell 2. ACR-respons i studie SC-I (% av pasientene) ved uke 24</w:t>
      </w:r>
    </w:p>
    <w:p w14:paraId="0A0DA639" w14:textId="77777777" w:rsidR="00DF56D8" w:rsidRPr="00A942F6" w:rsidRDefault="00DF56D8"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9"/>
        <w:gridCol w:w="2208"/>
        <w:gridCol w:w="2695"/>
      </w:tblGrid>
      <w:tr w:rsidR="00DF56D8" w:rsidRPr="00A942F6" w14:paraId="69670891" w14:textId="77777777" w:rsidTr="00F45BFD">
        <w:trPr>
          <w:trHeight w:val="280"/>
        </w:trPr>
        <w:tc>
          <w:tcPr>
            <w:tcW w:w="2719" w:type="dxa"/>
          </w:tcPr>
          <w:p w14:paraId="48AE9F84" w14:textId="77777777" w:rsidR="00DF56D8" w:rsidRPr="00A942F6" w:rsidRDefault="00DF56D8" w:rsidP="00641834">
            <w:pPr>
              <w:pStyle w:val="TableParagraph"/>
              <w:rPr>
                <w:sz w:val="20"/>
                <w:szCs w:val="20"/>
                <w:lang w:val="nb-NO"/>
              </w:rPr>
            </w:pPr>
          </w:p>
        </w:tc>
        <w:tc>
          <w:tcPr>
            <w:tcW w:w="4903" w:type="dxa"/>
            <w:gridSpan w:val="2"/>
          </w:tcPr>
          <w:p w14:paraId="6E2A5761" w14:textId="77777777" w:rsidR="00DF56D8" w:rsidRPr="00A942F6" w:rsidRDefault="00DF56D8" w:rsidP="00641834">
            <w:pPr>
              <w:pStyle w:val="TableParagraph"/>
              <w:jc w:val="center"/>
              <w:rPr>
                <w:sz w:val="20"/>
                <w:szCs w:val="20"/>
                <w:lang w:val="nb-NO"/>
              </w:rPr>
            </w:pPr>
            <w:r w:rsidRPr="00A942F6">
              <w:rPr>
                <w:sz w:val="20"/>
                <w:szCs w:val="20"/>
                <w:lang w:val="nb-NO"/>
              </w:rPr>
              <w:t>SC-I</w:t>
            </w:r>
            <w:r w:rsidRPr="00A942F6">
              <w:rPr>
                <w:sz w:val="20"/>
                <w:szCs w:val="20"/>
                <w:vertAlign w:val="superscript"/>
                <w:lang w:val="nb-NO"/>
              </w:rPr>
              <w:t>a</w:t>
            </w:r>
          </w:p>
        </w:tc>
      </w:tr>
      <w:tr w:rsidR="00DF56D8" w:rsidRPr="00A942F6" w14:paraId="6043B6E3" w14:textId="77777777" w:rsidTr="00DB0F71">
        <w:tc>
          <w:tcPr>
            <w:tcW w:w="2719" w:type="dxa"/>
          </w:tcPr>
          <w:p w14:paraId="30C084E8" w14:textId="77777777" w:rsidR="00DF56D8" w:rsidRPr="00A942F6" w:rsidRDefault="00DF56D8" w:rsidP="00641834">
            <w:pPr>
              <w:pStyle w:val="TableParagraph"/>
              <w:rPr>
                <w:sz w:val="20"/>
                <w:szCs w:val="20"/>
                <w:lang w:val="nb-NO"/>
              </w:rPr>
            </w:pPr>
          </w:p>
        </w:tc>
        <w:tc>
          <w:tcPr>
            <w:tcW w:w="2208" w:type="dxa"/>
          </w:tcPr>
          <w:p w14:paraId="64B79723" w14:textId="77777777" w:rsidR="00DF56D8" w:rsidRPr="00A942F6" w:rsidRDefault="00DF56D8" w:rsidP="00641834">
            <w:pPr>
              <w:pStyle w:val="TableParagraph"/>
              <w:jc w:val="center"/>
              <w:rPr>
                <w:sz w:val="20"/>
                <w:szCs w:val="20"/>
                <w:lang w:val="nb-NO"/>
              </w:rPr>
            </w:pPr>
            <w:r w:rsidRPr="00A942F6">
              <w:rPr>
                <w:sz w:val="20"/>
                <w:szCs w:val="20"/>
                <w:lang w:val="nb-NO"/>
              </w:rPr>
              <w:t>TCZ subkutant 162 mg hver uke</w:t>
            </w:r>
          </w:p>
          <w:p w14:paraId="722E1844" w14:textId="77777777" w:rsidR="00250260" w:rsidRPr="00A942F6" w:rsidRDefault="00DF56D8" w:rsidP="00641834">
            <w:pPr>
              <w:pStyle w:val="TableParagraph"/>
              <w:jc w:val="center"/>
              <w:rPr>
                <w:sz w:val="20"/>
                <w:szCs w:val="20"/>
                <w:lang w:val="nb-NO"/>
              </w:rPr>
            </w:pPr>
            <w:r w:rsidRPr="00A942F6">
              <w:rPr>
                <w:sz w:val="20"/>
                <w:szCs w:val="20"/>
                <w:lang w:val="nb-NO"/>
              </w:rPr>
              <w:t>+ DMARD</w:t>
            </w:r>
          </w:p>
          <w:p w14:paraId="6D65E0E3" w14:textId="77777777" w:rsidR="00DF56D8" w:rsidRPr="00A942F6" w:rsidRDefault="00DF56D8" w:rsidP="00641834">
            <w:pPr>
              <w:pStyle w:val="TableParagraph"/>
              <w:jc w:val="center"/>
              <w:rPr>
                <w:sz w:val="20"/>
                <w:szCs w:val="20"/>
                <w:lang w:val="nb-NO"/>
              </w:rPr>
            </w:pPr>
            <w:r w:rsidRPr="00A942F6">
              <w:rPr>
                <w:sz w:val="20"/>
                <w:szCs w:val="20"/>
                <w:lang w:val="nb-NO"/>
              </w:rPr>
              <w:t>N = 558</w:t>
            </w:r>
          </w:p>
        </w:tc>
        <w:tc>
          <w:tcPr>
            <w:tcW w:w="2695" w:type="dxa"/>
          </w:tcPr>
          <w:p w14:paraId="78714BCA" w14:textId="77777777" w:rsidR="00DF56D8" w:rsidRPr="00A942F6" w:rsidRDefault="00DF56D8" w:rsidP="00641834">
            <w:pPr>
              <w:pStyle w:val="TableParagraph"/>
              <w:jc w:val="center"/>
              <w:rPr>
                <w:sz w:val="20"/>
                <w:szCs w:val="20"/>
                <w:lang w:val="nb-NO"/>
              </w:rPr>
            </w:pPr>
            <w:r w:rsidRPr="00A942F6">
              <w:rPr>
                <w:sz w:val="20"/>
                <w:szCs w:val="20"/>
                <w:lang w:val="nb-NO"/>
              </w:rPr>
              <w:t>TCZ intravenøst 8 mg/kg</w:t>
            </w:r>
          </w:p>
          <w:p w14:paraId="2D7570CE" w14:textId="77777777" w:rsidR="00DF56D8" w:rsidRPr="00A942F6" w:rsidRDefault="00DF56D8" w:rsidP="00641834">
            <w:pPr>
              <w:pStyle w:val="TableParagraph"/>
              <w:jc w:val="center"/>
              <w:rPr>
                <w:sz w:val="20"/>
                <w:szCs w:val="20"/>
                <w:lang w:val="nb-NO"/>
              </w:rPr>
            </w:pPr>
            <w:r w:rsidRPr="00A942F6">
              <w:rPr>
                <w:sz w:val="20"/>
                <w:szCs w:val="20"/>
                <w:lang w:val="nb-NO"/>
              </w:rPr>
              <w:t>+ DMARD</w:t>
            </w:r>
          </w:p>
          <w:p w14:paraId="0D756262" w14:textId="77777777" w:rsidR="00DF56D8" w:rsidRPr="00A942F6" w:rsidRDefault="00DF56D8" w:rsidP="00641834">
            <w:pPr>
              <w:pStyle w:val="TableParagraph"/>
              <w:jc w:val="center"/>
              <w:rPr>
                <w:i/>
                <w:sz w:val="20"/>
                <w:szCs w:val="20"/>
                <w:lang w:val="nb-NO"/>
              </w:rPr>
            </w:pPr>
          </w:p>
          <w:p w14:paraId="6B4C1161" w14:textId="77777777" w:rsidR="00DF56D8" w:rsidRPr="00A942F6" w:rsidRDefault="00DF56D8" w:rsidP="00641834">
            <w:pPr>
              <w:pStyle w:val="TableParagraph"/>
              <w:jc w:val="center"/>
              <w:rPr>
                <w:sz w:val="20"/>
                <w:szCs w:val="20"/>
                <w:lang w:val="nb-NO"/>
              </w:rPr>
            </w:pPr>
            <w:r w:rsidRPr="00A942F6">
              <w:rPr>
                <w:sz w:val="20"/>
                <w:szCs w:val="20"/>
                <w:lang w:val="nb-NO"/>
              </w:rPr>
              <w:t>N = 537</w:t>
            </w:r>
          </w:p>
        </w:tc>
      </w:tr>
      <w:tr w:rsidR="00DF56D8" w:rsidRPr="00A942F6" w14:paraId="3FB5145E" w14:textId="77777777" w:rsidTr="00F45BFD">
        <w:trPr>
          <w:trHeight w:val="261"/>
        </w:trPr>
        <w:tc>
          <w:tcPr>
            <w:tcW w:w="2719" w:type="dxa"/>
          </w:tcPr>
          <w:p w14:paraId="20CC1E06" w14:textId="77777777" w:rsidR="00DF56D8" w:rsidRPr="00A942F6" w:rsidRDefault="00DF56D8" w:rsidP="00641834">
            <w:pPr>
              <w:pStyle w:val="TableParagraph"/>
              <w:jc w:val="right"/>
              <w:rPr>
                <w:sz w:val="20"/>
                <w:szCs w:val="20"/>
                <w:lang w:val="nb-NO"/>
              </w:rPr>
            </w:pPr>
            <w:r w:rsidRPr="00A942F6">
              <w:rPr>
                <w:sz w:val="20"/>
                <w:szCs w:val="20"/>
                <w:lang w:val="nb-NO"/>
              </w:rPr>
              <w:t>ACR20 Uke 24</w:t>
            </w:r>
          </w:p>
        </w:tc>
        <w:tc>
          <w:tcPr>
            <w:tcW w:w="2208" w:type="dxa"/>
          </w:tcPr>
          <w:p w14:paraId="51A893CF" w14:textId="77777777" w:rsidR="00DF56D8" w:rsidRPr="00A942F6" w:rsidRDefault="00DF56D8" w:rsidP="00641834">
            <w:pPr>
              <w:pStyle w:val="TableParagraph"/>
              <w:jc w:val="center"/>
              <w:rPr>
                <w:sz w:val="20"/>
                <w:szCs w:val="20"/>
                <w:lang w:val="nb-NO"/>
              </w:rPr>
            </w:pPr>
            <w:r w:rsidRPr="00A942F6">
              <w:rPr>
                <w:sz w:val="20"/>
                <w:szCs w:val="20"/>
                <w:lang w:val="nb-NO"/>
              </w:rPr>
              <w:t>69,4 %</w:t>
            </w:r>
          </w:p>
        </w:tc>
        <w:tc>
          <w:tcPr>
            <w:tcW w:w="2695" w:type="dxa"/>
          </w:tcPr>
          <w:p w14:paraId="4B3B5EEA" w14:textId="77777777" w:rsidR="00DF56D8" w:rsidRPr="00A942F6" w:rsidRDefault="00DF56D8" w:rsidP="00641834">
            <w:pPr>
              <w:pStyle w:val="TableParagraph"/>
              <w:jc w:val="center"/>
              <w:rPr>
                <w:sz w:val="20"/>
                <w:szCs w:val="20"/>
                <w:lang w:val="nb-NO"/>
              </w:rPr>
            </w:pPr>
            <w:r w:rsidRPr="00A942F6">
              <w:rPr>
                <w:sz w:val="20"/>
                <w:szCs w:val="20"/>
                <w:lang w:val="nb-NO"/>
              </w:rPr>
              <w:t>73,4 %</w:t>
            </w:r>
          </w:p>
        </w:tc>
      </w:tr>
      <w:tr w:rsidR="00DF56D8" w:rsidRPr="00A942F6" w14:paraId="33BDD15F" w14:textId="77777777" w:rsidTr="00F45BFD">
        <w:trPr>
          <w:trHeight w:val="258"/>
        </w:trPr>
        <w:tc>
          <w:tcPr>
            <w:tcW w:w="2719" w:type="dxa"/>
          </w:tcPr>
          <w:p w14:paraId="20DB406E" w14:textId="77777777" w:rsidR="00DF56D8" w:rsidRPr="00A942F6" w:rsidRDefault="00DF56D8" w:rsidP="00641834">
            <w:pPr>
              <w:pStyle w:val="TableParagraph"/>
              <w:jc w:val="right"/>
              <w:rPr>
                <w:sz w:val="20"/>
                <w:szCs w:val="20"/>
                <w:lang w:val="nb-NO"/>
              </w:rPr>
            </w:pPr>
            <w:r w:rsidRPr="00A942F6">
              <w:rPr>
                <w:sz w:val="20"/>
                <w:szCs w:val="20"/>
                <w:lang w:val="nb-NO"/>
              </w:rPr>
              <w:t>Vektet forskjell (95 % KI)</w:t>
            </w:r>
          </w:p>
        </w:tc>
        <w:tc>
          <w:tcPr>
            <w:tcW w:w="4903" w:type="dxa"/>
            <w:gridSpan w:val="2"/>
          </w:tcPr>
          <w:p w14:paraId="16436D1E" w14:textId="77777777" w:rsidR="00DF56D8" w:rsidRPr="00A942F6" w:rsidRDefault="00DF56D8" w:rsidP="00641834">
            <w:pPr>
              <w:pStyle w:val="TableParagraph"/>
              <w:jc w:val="center"/>
              <w:rPr>
                <w:sz w:val="20"/>
                <w:szCs w:val="20"/>
                <w:lang w:val="nb-NO"/>
              </w:rPr>
            </w:pPr>
            <w:r w:rsidRPr="00A942F6">
              <w:rPr>
                <w:sz w:val="20"/>
                <w:szCs w:val="20"/>
                <w:lang w:val="nb-NO"/>
              </w:rPr>
              <w:t>-4,0 (-9,2, 1,2)</w:t>
            </w:r>
          </w:p>
        </w:tc>
      </w:tr>
      <w:tr w:rsidR="00DF56D8" w:rsidRPr="00A942F6" w14:paraId="695E4597" w14:textId="77777777" w:rsidTr="00F45BFD">
        <w:trPr>
          <w:trHeight w:val="261"/>
        </w:trPr>
        <w:tc>
          <w:tcPr>
            <w:tcW w:w="2719" w:type="dxa"/>
          </w:tcPr>
          <w:p w14:paraId="1415E934" w14:textId="77777777" w:rsidR="00DF56D8" w:rsidRPr="00A942F6" w:rsidRDefault="00DF56D8" w:rsidP="00641834">
            <w:pPr>
              <w:pStyle w:val="TableParagraph"/>
              <w:jc w:val="right"/>
              <w:rPr>
                <w:sz w:val="20"/>
                <w:szCs w:val="20"/>
                <w:lang w:val="nb-NO"/>
              </w:rPr>
            </w:pPr>
            <w:r w:rsidRPr="00A942F6">
              <w:rPr>
                <w:sz w:val="20"/>
                <w:szCs w:val="20"/>
                <w:lang w:val="nb-NO"/>
              </w:rPr>
              <w:lastRenderedPageBreak/>
              <w:t>ACR50 Uke 24</w:t>
            </w:r>
          </w:p>
        </w:tc>
        <w:tc>
          <w:tcPr>
            <w:tcW w:w="2208" w:type="dxa"/>
          </w:tcPr>
          <w:p w14:paraId="27A03281" w14:textId="77777777" w:rsidR="00DF56D8" w:rsidRPr="00A942F6" w:rsidRDefault="00DF56D8" w:rsidP="00641834">
            <w:pPr>
              <w:pStyle w:val="TableParagraph"/>
              <w:jc w:val="center"/>
              <w:rPr>
                <w:sz w:val="20"/>
                <w:szCs w:val="20"/>
                <w:lang w:val="nb-NO"/>
              </w:rPr>
            </w:pPr>
            <w:r w:rsidRPr="00A942F6">
              <w:rPr>
                <w:sz w:val="20"/>
                <w:szCs w:val="20"/>
                <w:lang w:val="nb-NO"/>
              </w:rPr>
              <w:t>47,0 %</w:t>
            </w:r>
          </w:p>
        </w:tc>
        <w:tc>
          <w:tcPr>
            <w:tcW w:w="2695" w:type="dxa"/>
          </w:tcPr>
          <w:p w14:paraId="47BE44B2" w14:textId="77777777" w:rsidR="00DF56D8" w:rsidRPr="00A942F6" w:rsidRDefault="00DF56D8" w:rsidP="00641834">
            <w:pPr>
              <w:pStyle w:val="TableParagraph"/>
              <w:jc w:val="center"/>
              <w:rPr>
                <w:sz w:val="20"/>
                <w:szCs w:val="20"/>
                <w:lang w:val="nb-NO"/>
              </w:rPr>
            </w:pPr>
            <w:r w:rsidRPr="00A942F6">
              <w:rPr>
                <w:sz w:val="20"/>
                <w:szCs w:val="20"/>
                <w:lang w:val="nb-NO"/>
              </w:rPr>
              <w:t>48,6 %</w:t>
            </w:r>
          </w:p>
        </w:tc>
      </w:tr>
      <w:tr w:rsidR="00DF56D8" w:rsidRPr="00A942F6" w14:paraId="2F2A8621" w14:textId="77777777" w:rsidTr="00F45BFD">
        <w:trPr>
          <w:trHeight w:val="258"/>
        </w:trPr>
        <w:tc>
          <w:tcPr>
            <w:tcW w:w="2719" w:type="dxa"/>
          </w:tcPr>
          <w:p w14:paraId="60A0A565" w14:textId="77777777" w:rsidR="00DF56D8" w:rsidRPr="00A942F6" w:rsidRDefault="00DF56D8" w:rsidP="00641834">
            <w:pPr>
              <w:pStyle w:val="TableParagraph"/>
              <w:jc w:val="right"/>
              <w:rPr>
                <w:sz w:val="20"/>
                <w:szCs w:val="20"/>
                <w:lang w:val="nb-NO"/>
              </w:rPr>
            </w:pPr>
            <w:r w:rsidRPr="00A942F6">
              <w:rPr>
                <w:sz w:val="20"/>
                <w:szCs w:val="20"/>
                <w:lang w:val="nb-NO"/>
              </w:rPr>
              <w:t>Vektet forskjell (95 % KI)</w:t>
            </w:r>
          </w:p>
        </w:tc>
        <w:tc>
          <w:tcPr>
            <w:tcW w:w="4903" w:type="dxa"/>
            <w:gridSpan w:val="2"/>
          </w:tcPr>
          <w:p w14:paraId="0DF5F0FB" w14:textId="77777777" w:rsidR="00DF56D8" w:rsidRPr="00A942F6" w:rsidRDefault="00DF56D8" w:rsidP="00641834">
            <w:pPr>
              <w:pStyle w:val="TableParagraph"/>
              <w:jc w:val="center"/>
              <w:rPr>
                <w:sz w:val="20"/>
                <w:szCs w:val="20"/>
                <w:lang w:val="nb-NO"/>
              </w:rPr>
            </w:pPr>
            <w:r w:rsidRPr="00A942F6">
              <w:rPr>
                <w:sz w:val="20"/>
                <w:szCs w:val="20"/>
                <w:lang w:val="nb-NO"/>
              </w:rPr>
              <w:t>-1,8 (-7,5, 4,0)</w:t>
            </w:r>
          </w:p>
        </w:tc>
      </w:tr>
      <w:tr w:rsidR="00DF56D8" w:rsidRPr="00A942F6" w14:paraId="6148C1AE" w14:textId="77777777" w:rsidTr="00F45BFD">
        <w:trPr>
          <w:trHeight w:val="261"/>
        </w:trPr>
        <w:tc>
          <w:tcPr>
            <w:tcW w:w="2719" w:type="dxa"/>
          </w:tcPr>
          <w:p w14:paraId="0D687BA1" w14:textId="77777777" w:rsidR="00DF56D8" w:rsidRPr="00A942F6" w:rsidRDefault="00DF56D8" w:rsidP="00641834">
            <w:pPr>
              <w:pStyle w:val="TableParagraph"/>
              <w:jc w:val="right"/>
              <w:rPr>
                <w:sz w:val="20"/>
                <w:szCs w:val="20"/>
                <w:lang w:val="nb-NO"/>
              </w:rPr>
            </w:pPr>
            <w:r w:rsidRPr="00A942F6">
              <w:rPr>
                <w:sz w:val="20"/>
                <w:szCs w:val="20"/>
                <w:lang w:val="nb-NO"/>
              </w:rPr>
              <w:t>ACR70 Uke 24</w:t>
            </w:r>
          </w:p>
        </w:tc>
        <w:tc>
          <w:tcPr>
            <w:tcW w:w="2208" w:type="dxa"/>
          </w:tcPr>
          <w:p w14:paraId="7C5B8895" w14:textId="77777777" w:rsidR="00DF56D8" w:rsidRPr="00A942F6" w:rsidRDefault="00DF56D8" w:rsidP="00641834">
            <w:pPr>
              <w:pStyle w:val="TableParagraph"/>
              <w:jc w:val="center"/>
              <w:rPr>
                <w:sz w:val="20"/>
                <w:szCs w:val="20"/>
                <w:lang w:val="nb-NO"/>
              </w:rPr>
            </w:pPr>
            <w:r w:rsidRPr="00A942F6">
              <w:rPr>
                <w:sz w:val="20"/>
                <w:szCs w:val="20"/>
                <w:lang w:val="nb-NO"/>
              </w:rPr>
              <w:t>24,0 %</w:t>
            </w:r>
          </w:p>
        </w:tc>
        <w:tc>
          <w:tcPr>
            <w:tcW w:w="2695" w:type="dxa"/>
          </w:tcPr>
          <w:p w14:paraId="5E93A5B4" w14:textId="77777777" w:rsidR="00DF56D8" w:rsidRPr="00A942F6" w:rsidRDefault="00DF56D8" w:rsidP="00641834">
            <w:pPr>
              <w:pStyle w:val="TableParagraph"/>
              <w:jc w:val="center"/>
              <w:rPr>
                <w:sz w:val="20"/>
                <w:szCs w:val="20"/>
                <w:lang w:val="nb-NO"/>
              </w:rPr>
            </w:pPr>
            <w:r w:rsidRPr="00A942F6">
              <w:rPr>
                <w:sz w:val="20"/>
                <w:szCs w:val="20"/>
                <w:lang w:val="nb-NO"/>
              </w:rPr>
              <w:t>27,9 %</w:t>
            </w:r>
          </w:p>
        </w:tc>
      </w:tr>
      <w:tr w:rsidR="00DF56D8" w:rsidRPr="00A942F6" w14:paraId="266581DC" w14:textId="77777777" w:rsidTr="00F45BFD">
        <w:trPr>
          <w:trHeight w:val="258"/>
        </w:trPr>
        <w:tc>
          <w:tcPr>
            <w:tcW w:w="2719" w:type="dxa"/>
          </w:tcPr>
          <w:p w14:paraId="3F3B2181" w14:textId="77777777" w:rsidR="00DF56D8" w:rsidRPr="00A942F6" w:rsidRDefault="00DF56D8" w:rsidP="00641834">
            <w:pPr>
              <w:pStyle w:val="TableParagraph"/>
              <w:jc w:val="right"/>
              <w:rPr>
                <w:sz w:val="20"/>
                <w:szCs w:val="20"/>
                <w:lang w:val="nb-NO"/>
              </w:rPr>
            </w:pPr>
            <w:r w:rsidRPr="00A942F6">
              <w:rPr>
                <w:sz w:val="20"/>
                <w:szCs w:val="20"/>
                <w:lang w:val="nb-NO"/>
              </w:rPr>
              <w:t>Vektet forskjell (95 % KI)</w:t>
            </w:r>
          </w:p>
        </w:tc>
        <w:tc>
          <w:tcPr>
            <w:tcW w:w="4903" w:type="dxa"/>
            <w:gridSpan w:val="2"/>
          </w:tcPr>
          <w:p w14:paraId="5A811DEA" w14:textId="77777777" w:rsidR="00DF56D8" w:rsidRPr="00A942F6" w:rsidRDefault="00DF56D8" w:rsidP="00641834">
            <w:pPr>
              <w:pStyle w:val="TableParagraph"/>
              <w:jc w:val="center"/>
              <w:rPr>
                <w:sz w:val="20"/>
                <w:szCs w:val="20"/>
                <w:lang w:val="nb-NO"/>
              </w:rPr>
            </w:pPr>
            <w:r w:rsidRPr="00A942F6">
              <w:rPr>
                <w:sz w:val="20"/>
                <w:szCs w:val="20"/>
                <w:lang w:val="nb-NO"/>
              </w:rPr>
              <w:t>-3,8 (-9,0, 1,3)</w:t>
            </w:r>
          </w:p>
        </w:tc>
      </w:tr>
    </w:tbl>
    <w:p w14:paraId="1F33A552" w14:textId="77777777" w:rsidR="00DF56D8" w:rsidRPr="00A942F6" w:rsidRDefault="00DF56D8" w:rsidP="00641834">
      <w:pPr>
        <w:rPr>
          <w:sz w:val="18"/>
          <w:szCs w:val="18"/>
          <w:lang w:val="nb-NO"/>
        </w:rPr>
      </w:pPr>
      <w:r w:rsidRPr="00A942F6">
        <w:rPr>
          <w:sz w:val="18"/>
          <w:szCs w:val="18"/>
          <w:lang w:val="nb-NO"/>
        </w:rPr>
        <w:t>TCZ = tocilizumab</w:t>
      </w:r>
    </w:p>
    <w:p w14:paraId="1B5A10CF" w14:textId="77777777" w:rsidR="00DF56D8" w:rsidRPr="00A942F6" w:rsidRDefault="00DF56D8" w:rsidP="00641834">
      <w:pPr>
        <w:rPr>
          <w:sz w:val="18"/>
          <w:szCs w:val="18"/>
          <w:lang w:val="nb-NO"/>
        </w:rPr>
      </w:pPr>
      <w:r w:rsidRPr="00A942F6">
        <w:rPr>
          <w:sz w:val="18"/>
          <w:szCs w:val="18"/>
          <w:lang w:val="nb-NO"/>
        </w:rPr>
        <w:t>a = Per protokollpopulasjon</w:t>
      </w:r>
    </w:p>
    <w:p w14:paraId="69439CC1" w14:textId="77777777" w:rsidR="00DF56D8" w:rsidRPr="00A942F6" w:rsidRDefault="00DF56D8" w:rsidP="00641834">
      <w:pPr>
        <w:rPr>
          <w:lang w:val="nb-NO"/>
        </w:rPr>
      </w:pPr>
    </w:p>
    <w:p w14:paraId="61E183DC" w14:textId="77777777" w:rsidR="00DF56D8" w:rsidRPr="00A942F6" w:rsidRDefault="00DF56D8" w:rsidP="00641834">
      <w:pPr>
        <w:rPr>
          <w:lang w:val="nb-NO"/>
        </w:rPr>
      </w:pPr>
      <w:r w:rsidRPr="00A942F6">
        <w:rPr>
          <w:lang w:val="nb-NO"/>
        </w:rPr>
        <w:t>Pasientene i studie SC-I hadde en gjennomsnittlig DAS28 (Disease Activity Score) ved baseline på 6,6 og 6,7 i henholdsvis subkutane og intravenøse armer. Ved uke 24 ble en betydelig reduksjon i DAS28 fra utgangspunktet (gjennomsnittlig forbedring) på 3,5 observert for begge behandlingsgruppene, og en tilsvarende andel av pasientene hadde oppnådd DAS28 klinisk remisjon (DAS28 &lt; 2,6) i subkutan- (38,4 %) og intravenøs- (36,9 %) armene.</w:t>
      </w:r>
    </w:p>
    <w:p w14:paraId="238C7068" w14:textId="77777777" w:rsidR="00DF56D8" w:rsidRPr="00A942F6" w:rsidRDefault="00DF56D8" w:rsidP="00641834">
      <w:pPr>
        <w:rPr>
          <w:lang w:val="nb-NO"/>
        </w:rPr>
      </w:pPr>
    </w:p>
    <w:p w14:paraId="5DC10552" w14:textId="77777777" w:rsidR="00DF56D8" w:rsidRPr="00A942F6" w:rsidRDefault="00DF56D8" w:rsidP="00641834">
      <w:pPr>
        <w:pStyle w:val="Style1Iitaic"/>
        <w:rPr>
          <w:lang w:val="nb-NO"/>
        </w:rPr>
      </w:pPr>
      <w:r w:rsidRPr="00A942F6">
        <w:rPr>
          <w:lang w:val="nb-NO"/>
        </w:rPr>
        <w:t>Radiografisk respons</w:t>
      </w:r>
    </w:p>
    <w:p w14:paraId="50F5F5D4" w14:textId="2418F5BF" w:rsidR="00DF56D8" w:rsidRPr="00A942F6" w:rsidRDefault="00DF56D8" w:rsidP="00641834">
      <w:pPr>
        <w:rPr>
          <w:lang w:val="nb-NO"/>
        </w:rPr>
      </w:pPr>
      <w:r w:rsidRPr="00A942F6">
        <w:rPr>
          <w:lang w:val="nb-NO"/>
        </w:rPr>
        <w:t xml:space="preserve">Radiografisk respons på subkutant administrert </w:t>
      </w:r>
      <w:r w:rsidR="00813939" w:rsidRPr="00A942F6">
        <w:rPr>
          <w:lang w:val="nb-NO"/>
        </w:rPr>
        <w:t>tocilizumab</w:t>
      </w:r>
      <w:r w:rsidRPr="00A942F6">
        <w:rPr>
          <w:lang w:val="nb-NO"/>
        </w:rPr>
        <w:t xml:space="preserve"> ble undersøkt i en dobbeltblind, kontrollert multisenterstudie hos pasienter med aktiv RA (SC-II). Studie SC-II evaluerte pasienter med moderat til alvorlig aktiv RA som hadde utilstrekkelig klinisk respons på eksisterende behandling, inkludert en eller flere DMARDs hvor ca. 20 % hadde en historie med utilstrekkelig respons på minst én TNF- hemmer. Pasientene måtte være &gt; 18 år med aktiv RA diagnostisert i henhold til ACR-kriterier som hadde minst 8 ømme og 6 hovne ledd ved baseline. I SC-II ble 656 pasienter randomisert 2:1 til </w:t>
      </w:r>
      <w:r w:rsidR="00813939" w:rsidRPr="00A942F6">
        <w:rPr>
          <w:lang w:val="nb-NO"/>
        </w:rPr>
        <w:t>tocilizumab</w:t>
      </w:r>
      <w:r w:rsidRPr="00A942F6">
        <w:rPr>
          <w:lang w:val="nb-NO"/>
        </w:rPr>
        <w:t xml:space="preserve"> 162 mg subkutant annenhver uke eller placebo i kombinasjon med ikke-biologiske DMARDs.</w:t>
      </w:r>
    </w:p>
    <w:p w14:paraId="06E49418" w14:textId="77777777" w:rsidR="001F4B8A" w:rsidRPr="00A942F6" w:rsidRDefault="001F4B8A" w:rsidP="00641834">
      <w:pPr>
        <w:rPr>
          <w:lang w:val="nb-NO"/>
        </w:rPr>
      </w:pPr>
    </w:p>
    <w:p w14:paraId="0A121A8A" w14:textId="2F6AE232" w:rsidR="00DF56D8" w:rsidRPr="00A942F6" w:rsidRDefault="00DF56D8" w:rsidP="00641834">
      <w:pPr>
        <w:rPr>
          <w:lang w:val="nb-NO"/>
        </w:rPr>
      </w:pPr>
      <w:r w:rsidRPr="00A942F6">
        <w:rPr>
          <w:lang w:val="nb-NO"/>
        </w:rPr>
        <w:t xml:space="preserve">I studie SC-II ble hemming av strukturelle leddskader vurdert radiografisk og uttrykt som endring fra utgangspunktet etter mTSS (van der Heijde modifisert gjennomsnittlig total Sharpscore). Ved uke 24 ble hemming av strukturell skade vist med signifikant mindre radiografisk progresjon hos pasienter som fikk </w:t>
      </w:r>
      <w:r w:rsidR="00813939" w:rsidRPr="00A942F6">
        <w:rPr>
          <w:lang w:val="nb-NO"/>
        </w:rPr>
        <w:t>tocilizumab</w:t>
      </w:r>
      <w:r w:rsidRPr="00A942F6">
        <w:rPr>
          <w:lang w:val="nb-NO"/>
        </w:rPr>
        <w:t xml:space="preserve"> subkutant sammenlignet med placebo (gjennomsnittlig mTSS på 0,62 vs. 1,23, p</w:t>
      </w:r>
      <w:r w:rsidR="00B928BE">
        <w:rPr>
          <w:lang w:val="nb-NO"/>
        </w:rPr>
        <w:t> </w:t>
      </w:r>
      <w:r w:rsidRPr="00A942F6">
        <w:rPr>
          <w:lang w:val="nb-NO"/>
        </w:rPr>
        <w:t xml:space="preserve">= 0,0149 (van Elteren)). Disse resultatene er i samsvar med det som ble observert hos pasienter behandlet med intravenøs </w:t>
      </w:r>
      <w:r w:rsidR="00813939" w:rsidRPr="00A942F6">
        <w:rPr>
          <w:lang w:val="nb-NO"/>
        </w:rPr>
        <w:t>tocilizumab</w:t>
      </w:r>
      <w:r w:rsidRPr="00A942F6">
        <w:rPr>
          <w:lang w:val="nb-NO"/>
        </w:rPr>
        <w:t>.</w:t>
      </w:r>
    </w:p>
    <w:p w14:paraId="7390CDFC" w14:textId="77777777" w:rsidR="00DF56D8" w:rsidRPr="00A942F6" w:rsidRDefault="00DF56D8" w:rsidP="00641834">
      <w:pPr>
        <w:rPr>
          <w:lang w:val="nb-NO"/>
        </w:rPr>
      </w:pPr>
    </w:p>
    <w:p w14:paraId="153B430C" w14:textId="327451EF" w:rsidR="00DF56D8" w:rsidRPr="00A942F6" w:rsidRDefault="00DF56D8" w:rsidP="00641834">
      <w:pPr>
        <w:rPr>
          <w:lang w:val="nb-NO"/>
        </w:rPr>
      </w:pPr>
      <w:r w:rsidRPr="00A942F6">
        <w:rPr>
          <w:lang w:val="nb-NO"/>
        </w:rPr>
        <w:t xml:space="preserve">Ved uke 24 i studie SC-II var ACR20 på 60,9 %, ACR50 på 39,8 % og ACR70 på 19,7 % for pasienter behandlet med </w:t>
      </w:r>
      <w:r w:rsidR="00813939" w:rsidRPr="00A942F6">
        <w:rPr>
          <w:lang w:val="nb-NO"/>
        </w:rPr>
        <w:t>tocilizumab</w:t>
      </w:r>
      <w:r w:rsidRPr="00A942F6">
        <w:rPr>
          <w:lang w:val="nb-NO"/>
        </w:rPr>
        <w:t xml:space="preserve"> subkutant annenhver uke, versus placebo hvor ACR20 var på 31,5 %, ACR50 på 12,3 % og ACR70 på 5,0 %. Pasientene hadde gjennomsnittlig DAS28 ved utgangspunktet på 6,7 på subkutan- og 6,6 i placebo-armene. I uke 24 ble en betydelig reduksjon i DAS28 fra utgangspunktet observert, 3,1 på subkutan- og 1,7 i placebo-armen, og for DAS28 &lt; 2,6, ble 32,0 % observert på subkutan- og 4,0 % i placebo-armen.</w:t>
      </w:r>
    </w:p>
    <w:p w14:paraId="1D87D8A3" w14:textId="77777777" w:rsidR="00DF56D8" w:rsidRPr="00A942F6" w:rsidRDefault="00DF56D8" w:rsidP="00641834">
      <w:pPr>
        <w:rPr>
          <w:lang w:val="nb-NO"/>
        </w:rPr>
      </w:pPr>
    </w:p>
    <w:p w14:paraId="7F8E9E4F" w14:textId="77777777" w:rsidR="00DF56D8" w:rsidRPr="00A942F6" w:rsidRDefault="00DF56D8" w:rsidP="00641834">
      <w:pPr>
        <w:pStyle w:val="Style1Iitaic"/>
        <w:rPr>
          <w:lang w:val="nb-NO"/>
        </w:rPr>
      </w:pPr>
      <w:r w:rsidRPr="00A942F6">
        <w:rPr>
          <w:lang w:val="nb-NO"/>
        </w:rPr>
        <w:t>Helserelaterte effekter og livskvalitet</w:t>
      </w:r>
    </w:p>
    <w:p w14:paraId="1D5C2647" w14:textId="77777777" w:rsidR="00DF56D8" w:rsidRPr="00A942F6" w:rsidRDefault="00DF56D8" w:rsidP="00641834">
      <w:pPr>
        <w:rPr>
          <w:lang w:val="nb-NO"/>
        </w:rPr>
      </w:pPr>
      <w:r w:rsidRPr="00A942F6">
        <w:rPr>
          <w:lang w:val="nb-NO"/>
        </w:rPr>
        <w:t xml:space="preserve">I studie SC-I var gjennomsnittlig reduksjon i HAQ-DI fra utgangspunktet til uke 24 på 0,6 på både subkutane og intravenøse armer. Andelen pasienter som oppnådde en klinisk relevant bedring i HAQ-DI ved uke 24 (endring fra utgangspunktet på </w:t>
      </w:r>
      <w:r w:rsidRPr="00A942F6">
        <w:rPr>
          <w:rFonts w:cs="Times New Roman"/>
          <w:lang w:val="nb-NO"/>
        </w:rPr>
        <w:t>≥</w:t>
      </w:r>
      <w:r w:rsidRPr="00A942F6">
        <w:rPr>
          <w:lang w:val="nb-NO"/>
        </w:rPr>
        <w:t xml:space="preserve"> 0,3 enheter) var også sammenlignbar for subkutane (65,2 %) versus intravenøse (67,4 %) armer, med en vektet forskjell i andelen på -2,3 % (95 % KI -8,1, 3,4). Gjennomsnittlig endring av SF-36 fra utgangspunktet ved uke 24 var for den mentale komponenten 6,22 for den subkutane armen og 6,54 for den intravenøse armen. For den</w:t>
      </w:r>
      <w:r w:rsidR="001F4B8A" w:rsidRPr="00A942F6">
        <w:rPr>
          <w:lang w:val="nb-NO"/>
        </w:rPr>
        <w:t xml:space="preserve"> </w:t>
      </w:r>
      <w:r w:rsidRPr="00A942F6">
        <w:rPr>
          <w:lang w:val="nb-NO"/>
        </w:rPr>
        <w:t>fysiske komponenten var også score lik med 9,49 for den subkutane armen og 9,65 for den intravenøse armen.</w:t>
      </w:r>
    </w:p>
    <w:p w14:paraId="733522B8" w14:textId="77777777" w:rsidR="00DF56D8" w:rsidRPr="00A942F6" w:rsidRDefault="00DF56D8" w:rsidP="00641834">
      <w:pPr>
        <w:rPr>
          <w:lang w:val="nb-NO"/>
        </w:rPr>
      </w:pPr>
    </w:p>
    <w:p w14:paraId="5881DE22" w14:textId="4AC126D6" w:rsidR="00DF56D8" w:rsidRPr="00A942F6" w:rsidRDefault="00DF56D8" w:rsidP="00641834">
      <w:pPr>
        <w:rPr>
          <w:lang w:val="nb-NO"/>
        </w:rPr>
      </w:pPr>
      <w:r w:rsidRPr="00A942F6">
        <w:rPr>
          <w:lang w:val="nb-NO"/>
        </w:rPr>
        <w:t xml:space="preserve">I studie SC-II var gjennomsnittlig reduksjon i HAQ-DI fra utgangspunktet til uke 24 signifikant større for pasienter behandlet med </w:t>
      </w:r>
      <w:r w:rsidR="00813939" w:rsidRPr="00A942F6">
        <w:rPr>
          <w:lang w:val="nb-NO"/>
        </w:rPr>
        <w:t>tocilizumab</w:t>
      </w:r>
      <w:r w:rsidRPr="00A942F6">
        <w:rPr>
          <w:lang w:val="nb-NO"/>
        </w:rPr>
        <w:t xml:space="preserve"> subkutant annenhver uke (0,4) versus placebo (0,3). Andelen pasienter som oppnådde en klinisk relevant bedring i HAQ-DI ved uke 24 (endring fra utgangspunktet på </w:t>
      </w:r>
      <w:r w:rsidRPr="00A942F6">
        <w:rPr>
          <w:rFonts w:cs="Times New Roman"/>
          <w:lang w:val="nb-NO"/>
        </w:rPr>
        <w:t>≥</w:t>
      </w:r>
      <w:r w:rsidRPr="00A942F6">
        <w:rPr>
          <w:lang w:val="nb-NO"/>
        </w:rPr>
        <w:t xml:space="preserve"> 0,3 enheter) var høyere for </w:t>
      </w:r>
      <w:r w:rsidR="00813939" w:rsidRPr="00A942F6">
        <w:rPr>
          <w:lang w:val="nb-NO"/>
        </w:rPr>
        <w:t>tocilizumab</w:t>
      </w:r>
      <w:r w:rsidRPr="00A942F6">
        <w:rPr>
          <w:lang w:val="nb-NO"/>
        </w:rPr>
        <w:t xml:space="preserve"> subkutant annenhver uke (58 %) versus placebo (46,8 %). SF-36 (gjennomsnittlig endring i psykiske og fysiske komponentskår) var signifikant større for gruppen med </w:t>
      </w:r>
      <w:r w:rsidR="00813939" w:rsidRPr="00A942F6">
        <w:rPr>
          <w:lang w:val="nb-NO"/>
        </w:rPr>
        <w:t>tocilizumab</w:t>
      </w:r>
      <w:r w:rsidRPr="00A942F6">
        <w:rPr>
          <w:lang w:val="nb-NO"/>
        </w:rPr>
        <w:t xml:space="preserve"> subkutant (6,5 og 5,3) versus placebo (3,8 og 2,9).</w:t>
      </w:r>
    </w:p>
    <w:p w14:paraId="0933B0C5" w14:textId="77777777" w:rsidR="00DF56D8" w:rsidRPr="00A942F6" w:rsidRDefault="00DF56D8" w:rsidP="00641834">
      <w:pPr>
        <w:rPr>
          <w:lang w:val="nb-NO"/>
        </w:rPr>
      </w:pPr>
    </w:p>
    <w:p w14:paraId="1F11370E" w14:textId="77777777" w:rsidR="00DF56D8" w:rsidRPr="00A942F6" w:rsidRDefault="00DF56D8" w:rsidP="00641834">
      <w:pPr>
        <w:pStyle w:val="Style1underline"/>
        <w:rPr>
          <w:lang w:val="nb-NO"/>
        </w:rPr>
      </w:pPr>
      <w:r w:rsidRPr="00A942F6">
        <w:rPr>
          <w:lang w:val="nb-NO"/>
        </w:rPr>
        <w:lastRenderedPageBreak/>
        <w:t>Subkutan bruk</w:t>
      </w:r>
    </w:p>
    <w:p w14:paraId="7279E47B" w14:textId="77777777" w:rsidR="00DF56D8" w:rsidRPr="00A942F6" w:rsidRDefault="00DF56D8" w:rsidP="00641834">
      <w:pPr>
        <w:pStyle w:val="Style2underlinebold"/>
        <w:rPr>
          <w:lang w:val="nb-NO"/>
        </w:rPr>
      </w:pPr>
      <w:r w:rsidRPr="00A942F6">
        <w:rPr>
          <w:lang w:val="nb-NO"/>
        </w:rPr>
        <w:t>sJIA</w:t>
      </w:r>
    </w:p>
    <w:p w14:paraId="493F3F10" w14:textId="77777777" w:rsidR="00DF56D8" w:rsidRPr="00A942F6" w:rsidRDefault="00DF56D8" w:rsidP="00641834">
      <w:pPr>
        <w:pStyle w:val="Style1underline"/>
        <w:rPr>
          <w:lang w:val="nb-NO"/>
        </w:rPr>
      </w:pPr>
      <w:r w:rsidRPr="00A942F6">
        <w:rPr>
          <w:lang w:val="nb-NO"/>
        </w:rPr>
        <w:t>Klinisk effekt</w:t>
      </w:r>
    </w:p>
    <w:p w14:paraId="1A6336BC" w14:textId="6EFBB695" w:rsidR="00DF56D8" w:rsidRPr="00A942F6" w:rsidRDefault="00DF56D8" w:rsidP="00641834">
      <w:pPr>
        <w:rPr>
          <w:lang w:val="nb-NO"/>
        </w:rPr>
      </w:pPr>
      <w:r w:rsidRPr="00A942F6">
        <w:rPr>
          <w:lang w:val="nb-NO"/>
        </w:rPr>
        <w:t xml:space="preserve">Det ble utført en 52 uker lang åpen multisenterstudie på farmakokinetikk/farmakodynamikk og sikkerhet (WA28118) hos pediatriske pasienter med sJIA i alderen 1 til 17 år, for å bestemme en subkutan dose med </w:t>
      </w:r>
      <w:r w:rsidR="00813939" w:rsidRPr="00A942F6">
        <w:rPr>
          <w:lang w:val="nb-NO"/>
        </w:rPr>
        <w:t>tocilizumab</w:t>
      </w:r>
      <w:r w:rsidRPr="00A942F6">
        <w:rPr>
          <w:lang w:val="nb-NO"/>
        </w:rPr>
        <w:t xml:space="preserve"> som oppnådde sammenlignbar farmakokinetikk/farmakodynamikk og sikkerhetsprofil som det intravenøse behandlingsregimet.</w:t>
      </w:r>
    </w:p>
    <w:p w14:paraId="6B378FAE" w14:textId="77777777" w:rsidR="001F4B8A" w:rsidRPr="00A942F6" w:rsidRDefault="001F4B8A" w:rsidP="00641834">
      <w:pPr>
        <w:rPr>
          <w:lang w:val="nb-NO"/>
        </w:rPr>
      </w:pPr>
    </w:p>
    <w:p w14:paraId="24B85748" w14:textId="5E2AB423" w:rsidR="00DF56D8" w:rsidRPr="00A942F6" w:rsidRDefault="00DF56D8" w:rsidP="00B928BE">
      <w:pPr>
        <w:rPr>
          <w:lang w:val="nb-NO"/>
        </w:rPr>
      </w:pPr>
      <w:r w:rsidRPr="00A942F6">
        <w:rPr>
          <w:lang w:val="nb-NO"/>
        </w:rPr>
        <w:t xml:space="preserve">De aktuelle pasientene fikk </w:t>
      </w:r>
      <w:r w:rsidR="00813939" w:rsidRPr="00A942F6">
        <w:rPr>
          <w:lang w:val="nb-NO"/>
        </w:rPr>
        <w:t>tocilizumab</w:t>
      </w:r>
      <w:r w:rsidRPr="00A942F6">
        <w:rPr>
          <w:lang w:val="nb-NO"/>
        </w:rPr>
        <w:t xml:space="preserve">-doser i henhold til kroppsvekt. Pasienter som veide </w:t>
      </w:r>
      <w:r w:rsidRPr="00A942F6">
        <w:rPr>
          <w:rFonts w:cs="Times New Roman"/>
          <w:lang w:val="nb-NO"/>
        </w:rPr>
        <w:t>≥</w:t>
      </w:r>
      <w:r w:rsidRPr="00A942F6">
        <w:rPr>
          <w:lang w:val="nb-NO"/>
        </w:rPr>
        <w:t xml:space="preserve"> 30 kg (n</w:t>
      </w:r>
      <w:r w:rsidR="007C4FF9">
        <w:rPr>
          <w:lang w:val="nb-NO"/>
        </w:rPr>
        <w:t> </w:t>
      </w:r>
      <w:r w:rsidRPr="00A942F6">
        <w:rPr>
          <w:lang w:val="nb-NO"/>
        </w:rPr>
        <w:t xml:space="preserve">= 26) fikk 162 mg </w:t>
      </w:r>
      <w:r w:rsidR="00813939" w:rsidRPr="00A942F6">
        <w:rPr>
          <w:lang w:val="nb-NO"/>
        </w:rPr>
        <w:t>tocilizumab</w:t>
      </w:r>
      <w:r w:rsidRPr="00A942F6">
        <w:rPr>
          <w:lang w:val="nb-NO"/>
        </w:rPr>
        <w:t xml:space="preserve"> hver uke og pasienter som veide under 30 kg (n = 25) fikk 162 mg </w:t>
      </w:r>
      <w:r w:rsidR="00813939" w:rsidRPr="00A942F6">
        <w:rPr>
          <w:lang w:val="nb-NO"/>
        </w:rPr>
        <w:t>tocilizumab</w:t>
      </w:r>
      <w:r w:rsidRPr="00A942F6">
        <w:rPr>
          <w:lang w:val="nb-NO"/>
        </w:rPr>
        <w:t xml:space="preserve"> hver 10. dag (n = 8) eller annenhver uke (n = 17) i 52 uker. Av disse 51 pasientene var</w:t>
      </w:r>
      <w:r w:rsidR="00B928BE">
        <w:rPr>
          <w:lang w:val="nb-NO"/>
        </w:rPr>
        <w:t xml:space="preserve"> </w:t>
      </w:r>
      <w:r w:rsidRPr="00A942F6">
        <w:rPr>
          <w:lang w:val="nb-NO"/>
        </w:rPr>
        <w:t>26</w:t>
      </w:r>
      <w:r w:rsidR="00012510">
        <w:rPr>
          <w:lang w:val="nb-NO"/>
        </w:rPr>
        <w:t> </w:t>
      </w:r>
      <w:r w:rsidRPr="00A942F6">
        <w:rPr>
          <w:lang w:val="nb-NO"/>
        </w:rPr>
        <w:t xml:space="preserve">(51 %) behandlingsnaive for </w:t>
      </w:r>
      <w:r w:rsidR="00813939" w:rsidRPr="00A942F6">
        <w:rPr>
          <w:lang w:val="nb-NO"/>
        </w:rPr>
        <w:t>tocilizumab</w:t>
      </w:r>
      <w:r w:rsidRPr="00A942F6">
        <w:rPr>
          <w:lang w:val="nb-NO"/>
        </w:rPr>
        <w:t xml:space="preserve">. 25 pasienter (49 %) hadde fått </w:t>
      </w:r>
      <w:r w:rsidR="00813939" w:rsidRPr="00A942F6">
        <w:rPr>
          <w:lang w:val="nb-NO"/>
        </w:rPr>
        <w:t>tocilizumab</w:t>
      </w:r>
      <w:r w:rsidRPr="00A942F6">
        <w:rPr>
          <w:lang w:val="nb-NO"/>
        </w:rPr>
        <w:t xml:space="preserve"> intravenøst og ble overført til subkutan </w:t>
      </w:r>
      <w:r w:rsidR="00813939" w:rsidRPr="00A942F6">
        <w:rPr>
          <w:lang w:val="nb-NO"/>
        </w:rPr>
        <w:t>tocilizumab</w:t>
      </w:r>
      <w:r w:rsidRPr="00A942F6">
        <w:rPr>
          <w:lang w:val="nb-NO"/>
        </w:rPr>
        <w:t xml:space="preserve"> ved baseline.</w:t>
      </w:r>
    </w:p>
    <w:p w14:paraId="4EF920CC" w14:textId="77777777" w:rsidR="001F4B8A" w:rsidRPr="00A942F6" w:rsidRDefault="001F4B8A" w:rsidP="00641834">
      <w:pPr>
        <w:rPr>
          <w:lang w:val="nb-NO"/>
        </w:rPr>
      </w:pPr>
    </w:p>
    <w:p w14:paraId="466C226D" w14:textId="63A47A43" w:rsidR="00DF56D8" w:rsidRPr="00A942F6" w:rsidRDefault="00DF56D8" w:rsidP="00641834">
      <w:pPr>
        <w:rPr>
          <w:lang w:val="nb-NO"/>
        </w:rPr>
      </w:pPr>
      <w:r w:rsidRPr="00A942F6">
        <w:rPr>
          <w:lang w:val="nb-NO"/>
        </w:rPr>
        <w:t xml:space="preserve">Eksplorative effektresultater viste at subkutan </w:t>
      </w:r>
      <w:r w:rsidR="00813939" w:rsidRPr="00A942F6">
        <w:rPr>
          <w:lang w:val="nb-NO"/>
        </w:rPr>
        <w:t>tocilizumab</w:t>
      </w:r>
      <w:r w:rsidRPr="00A942F6">
        <w:rPr>
          <w:lang w:val="nb-NO"/>
        </w:rPr>
        <w:t xml:space="preserve"> forbedret alle eksplorative effektparametere, inkludert juvenil artritt sykdomsaktivitet-skår (Juvenile Arthritis Disease Activity Score, JADAS)-71 for tocilizumab-naive pasienter. Alle eksplorative effektparametere ble opprettholdt for pasienter som byttet fra intravenøs til subkutan </w:t>
      </w:r>
      <w:r w:rsidR="00813939" w:rsidRPr="00A942F6">
        <w:rPr>
          <w:lang w:val="nb-NO"/>
        </w:rPr>
        <w:t>tocilizumab</w:t>
      </w:r>
      <w:r w:rsidRPr="00A942F6">
        <w:rPr>
          <w:lang w:val="nb-NO"/>
        </w:rPr>
        <w:t xml:space="preserve">-behandling gjennom hele studien for pasienter i begge kroppsvektgrupper (under 30 kg og </w:t>
      </w:r>
      <w:r w:rsidRPr="00A942F6">
        <w:rPr>
          <w:rFonts w:cs="Times New Roman"/>
          <w:lang w:val="nb-NO"/>
        </w:rPr>
        <w:t>≥</w:t>
      </w:r>
      <w:r w:rsidRPr="00A942F6">
        <w:rPr>
          <w:lang w:val="nb-NO"/>
        </w:rPr>
        <w:t xml:space="preserve"> 30 kg).</w:t>
      </w:r>
    </w:p>
    <w:p w14:paraId="3D719427" w14:textId="77777777" w:rsidR="00DF56D8" w:rsidRPr="00A942F6" w:rsidRDefault="00DF56D8" w:rsidP="00641834">
      <w:pPr>
        <w:rPr>
          <w:lang w:val="nb-NO"/>
        </w:rPr>
      </w:pPr>
    </w:p>
    <w:p w14:paraId="494D6CDE" w14:textId="77777777" w:rsidR="00DF56D8" w:rsidRPr="00A942F6" w:rsidRDefault="00DF56D8" w:rsidP="00641834">
      <w:pPr>
        <w:pStyle w:val="Style1underline"/>
        <w:rPr>
          <w:lang w:val="nb-NO"/>
        </w:rPr>
      </w:pPr>
      <w:r w:rsidRPr="00A942F6">
        <w:rPr>
          <w:lang w:val="nb-NO"/>
        </w:rPr>
        <w:t>Subkutan bruk</w:t>
      </w:r>
    </w:p>
    <w:p w14:paraId="3A564C2D" w14:textId="77777777" w:rsidR="00DF56D8" w:rsidRPr="00A942F6" w:rsidRDefault="00DF56D8" w:rsidP="00641834">
      <w:pPr>
        <w:pStyle w:val="Style2underlinebold"/>
        <w:rPr>
          <w:lang w:val="nb-NO"/>
        </w:rPr>
      </w:pPr>
      <w:r w:rsidRPr="00A942F6">
        <w:rPr>
          <w:lang w:val="nb-NO"/>
        </w:rPr>
        <w:t>pJIA</w:t>
      </w:r>
    </w:p>
    <w:p w14:paraId="1BB537C9" w14:textId="77777777" w:rsidR="00DF56D8" w:rsidRPr="00A942F6" w:rsidRDefault="00DF56D8" w:rsidP="00641834">
      <w:pPr>
        <w:pStyle w:val="Style2underlinebold"/>
        <w:rPr>
          <w:lang w:val="nb-NO"/>
        </w:rPr>
      </w:pPr>
      <w:r w:rsidRPr="00A942F6">
        <w:rPr>
          <w:lang w:val="nb-NO"/>
        </w:rPr>
        <w:t>Klinisk effekt</w:t>
      </w:r>
    </w:p>
    <w:p w14:paraId="1229E0E8" w14:textId="37F35713" w:rsidR="00DF56D8" w:rsidRPr="00A942F6" w:rsidRDefault="00DF56D8" w:rsidP="00641834">
      <w:pPr>
        <w:rPr>
          <w:lang w:val="nb-NO"/>
        </w:rPr>
      </w:pPr>
      <w:r w:rsidRPr="00A942F6">
        <w:rPr>
          <w:lang w:val="nb-NO"/>
        </w:rPr>
        <w:t xml:space="preserve">Det ble utført en 52 uker lang åpen multisenterstudie på farmakokinetikk/farmakodynamikk og sikkerhet hos pediatriske pasienter med pJIA i alderen 1 til 17 år, for å bestemme en subkutan dose med </w:t>
      </w:r>
      <w:r w:rsidR="00813939" w:rsidRPr="00A942F6">
        <w:rPr>
          <w:lang w:val="nb-NO"/>
        </w:rPr>
        <w:t>tocilizumab</w:t>
      </w:r>
      <w:r w:rsidRPr="00A942F6">
        <w:rPr>
          <w:lang w:val="nb-NO"/>
        </w:rPr>
        <w:t xml:space="preserve"> som oppnådde sammenlignbar farmakokinetikk/farmakodynamikk og sikkerhetsprofil som det intravenøse behandlingsregimet.</w:t>
      </w:r>
    </w:p>
    <w:p w14:paraId="6BA5D150" w14:textId="77777777" w:rsidR="001F4B8A" w:rsidRPr="00A942F6" w:rsidRDefault="001F4B8A" w:rsidP="00641834">
      <w:pPr>
        <w:rPr>
          <w:lang w:val="nb-NO"/>
        </w:rPr>
      </w:pPr>
    </w:p>
    <w:p w14:paraId="535BCA45" w14:textId="6DEFA184" w:rsidR="00DF56D8" w:rsidRPr="00A942F6" w:rsidRDefault="00DF56D8" w:rsidP="00641834">
      <w:pPr>
        <w:rPr>
          <w:lang w:val="nb-NO"/>
        </w:rPr>
      </w:pPr>
      <w:r w:rsidRPr="00A942F6">
        <w:rPr>
          <w:lang w:val="nb-NO"/>
        </w:rPr>
        <w:t xml:space="preserve">De aktuelle pasientene fikk tocilizumab-doser i henhold til kroppsvekt. Pasienter som veide </w:t>
      </w:r>
      <w:r w:rsidRPr="00A942F6">
        <w:rPr>
          <w:rFonts w:cs="Times New Roman"/>
          <w:lang w:val="nb-NO"/>
        </w:rPr>
        <w:t>≥</w:t>
      </w:r>
      <w:r w:rsidRPr="00A942F6">
        <w:rPr>
          <w:lang w:val="nb-NO"/>
        </w:rPr>
        <w:t xml:space="preserve"> 30 kg (n</w:t>
      </w:r>
      <w:r w:rsidR="007C4FF9">
        <w:rPr>
          <w:lang w:val="nb-NO"/>
        </w:rPr>
        <w:t> </w:t>
      </w:r>
      <w:r w:rsidRPr="00A942F6">
        <w:rPr>
          <w:lang w:val="nb-NO"/>
        </w:rPr>
        <w:t xml:space="preserve">= 25) fikk 162 mg </w:t>
      </w:r>
      <w:r w:rsidR="00813939" w:rsidRPr="00A942F6">
        <w:rPr>
          <w:lang w:val="nb-NO"/>
        </w:rPr>
        <w:t>tocilizumab</w:t>
      </w:r>
      <w:r w:rsidRPr="00A942F6">
        <w:rPr>
          <w:lang w:val="nb-NO"/>
        </w:rPr>
        <w:t xml:space="preserve"> annenhver uke, og pasienter som veide under 30 kg (n = 27) fikk 162 mg </w:t>
      </w:r>
      <w:r w:rsidR="00813939" w:rsidRPr="00A942F6">
        <w:rPr>
          <w:lang w:val="nb-NO"/>
        </w:rPr>
        <w:t>tocilizumab</w:t>
      </w:r>
      <w:r w:rsidRPr="00A942F6">
        <w:rPr>
          <w:lang w:val="nb-NO"/>
        </w:rPr>
        <w:t xml:space="preserve"> hver tredje uke, i 52 uker. Av disse 52 pasientene var 37 (71 %) behandlingsnaive for </w:t>
      </w:r>
      <w:r w:rsidR="00813939" w:rsidRPr="00A942F6">
        <w:rPr>
          <w:lang w:val="nb-NO"/>
        </w:rPr>
        <w:t>tocilizumab</w:t>
      </w:r>
      <w:r w:rsidRPr="00A942F6">
        <w:rPr>
          <w:lang w:val="nb-NO"/>
        </w:rPr>
        <w:t xml:space="preserve">. 15 pasienter (29 %) hadde fått </w:t>
      </w:r>
      <w:r w:rsidR="00813939" w:rsidRPr="00A942F6">
        <w:rPr>
          <w:lang w:val="nb-NO"/>
        </w:rPr>
        <w:t>tocilizumab</w:t>
      </w:r>
      <w:r w:rsidRPr="00A942F6">
        <w:rPr>
          <w:lang w:val="nb-NO"/>
        </w:rPr>
        <w:t xml:space="preserve"> intravenøst og ble overført til subkutan </w:t>
      </w:r>
      <w:r w:rsidR="00813939" w:rsidRPr="00A942F6">
        <w:rPr>
          <w:lang w:val="nb-NO"/>
        </w:rPr>
        <w:t>tocilizumab</w:t>
      </w:r>
      <w:r w:rsidRPr="00A942F6">
        <w:rPr>
          <w:lang w:val="nb-NO"/>
        </w:rPr>
        <w:t xml:space="preserve"> ved baseline.</w:t>
      </w:r>
    </w:p>
    <w:p w14:paraId="036B9B9A" w14:textId="77777777" w:rsidR="001F4B8A" w:rsidRPr="00A942F6" w:rsidRDefault="001F4B8A" w:rsidP="00641834">
      <w:pPr>
        <w:rPr>
          <w:lang w:val="nb-NO"/>
        </w:rPr>
      </w:pPr>
    </w:p>
    <w:p w14:paraId="523D10F3" w14:textId="2B7D5A6C" w:rsidR="00DF56D8" w:rsidRPr="00A942F6" w:rsidRDefault="00DF56D8" w:rsidP="00641834">
      <w:pPr>
        <w:rPr>
          <w:lang w:val="nb-NO"/>
        </w:rPr>
      </w:pPr>
      <w:r w:rsidRPr="00A942F6">
        <w:rPr>
          <w:u w:val="single"/>
          <w:lang w:val="nb-NO"/>
        </w:rPr>
        <w:t>Subkutan</w:t>
      </w:r>
      <w:r w:rsidRPr="00A942F6">
        <w:rPr>
          <w:lang w:val="nb-NO"/>
        </w:rPr>
        <w:t xml:space="preserve"> dosering av </w:t>
      </w:r>
      <w:r w:rsidR="00813939" w:rsidRPr="00A942F6">
        <w:rPr>
          <w:lang w:val="nb-NO"/>
        </w:rPr>
        <w:t>tocilizumab</w:t>
      </w:r>
      <w:r w:rsidRPr="00A942F6">
        <w:rPr>
          <w:lang w:val="nb-NO"/>
        </w:rPr>
        <w:t xml:space="preserve"> med henholdsvis 162 mg hver tredje uke for pasienter som veier under 30 kg og 162 mg annenhver uke for pasienter som veier </w:t>
      </w:r>
      <w:r w:rsidRPr="00A942F6">
        <w:rPr>
          <w:rFonts w:cs="Times New Roman"/>
          <w:lang w:val="nb-NO"/>
        </w:rPr>
        <w:t>≥</w:t>
      </w:r>
      <w:r w:rsidRPr="00A942F6">
        <w:rPr>
          <w:lang w:val="nb-NO"/>
        </w:rPr>
        <w:t xml:space="preserve"> 30 kg, viser en farmakokinetisk eksponering og farmakodynamisk respons som støtter effekt- og sikkerhetsresultater tilsvarende det som er vist med de godkjente doseringene med intravenøs </w:t>
      </w:r>
      <w:r w:rsidR="00813939" w:rsidRPr="00A942F6">
        <w:rPr>
          <w:lang w:val="nb-NO"/>
        </w:rPr>
        <w:t>tocilizumab</w:t>
      </w:r>
      <w:r w:rsidRPr="00A942F6">
        <w:rPr>
          <w:lang w:val="nb-NO"/>
        </w:rPr>
        <w:t xml:space="preserve"> ved pJIA.</w:t>
      </w:r>
    </w:p>
    <w:p w14:paraId="0BC0285A" w14:textId="77777777" w:rsidR="001F4B8A" w:rsidRPr="00A942F6" w:rsidRDefault="001F4B8A" w:rsidP="00641834">
      <w:pPr>
        <w:rPr>
          <w:lang w:val="nb-NO"/>
        </w:rPr>
      </w:pPr>
    </w:p>
    <w:p w14:paraId="65D8B1A6" w14:textId="722FCF66" w:rsidR="00DF56D8" w:rsidRPr="00A942F6" w:rsidRDefault="00DF56D8" w:rsidP="00641834">
      <w:pPr>
        <w:rPr>
          <w:lang w:val="nb-NO"/>
        </w:rPr>
      </w:pPr>
      <w:r w:rsidRPr="00A942F6">
        <w:rPr>
          <w:lang w:val="nb-NO"/>
        </w:rPr>
        <w:t xml:space="preserve">Eksplorative effektresultater viste at </w:t>
      </w:r>
      <w:r w:rsidR="00813939" w:rsidRPr="00A942F6">
        <w:rPr>
          <w:lang w:val="nb-NO"/>
        </w:rPr>
        <w:t>tocilizumab</w:t>
      </w:r>
      <w:r w:rsidRPr="00A942F6">
        <w:rPr>
          <w:lang w:val="nb-NO"/>
        </w:rPr>
        <w:t xml:space="preserve"> subkutant forbedret median juvenil artritt sykdomsaktivitet-skår (Juvenile Arthritis Disease Activity Score, JADAS)-71 for </w:t>
      </w:r>
      <w:r w:rsidR="00813939" w:rsidRPr="00A942F6">
        <w:rPr>
          <w:lang w:val="nb-NO"/>
        </w:rPr>
        <w:t>tocilizumab</w:t>
      </w:r>
      <w:r w:rsidRPr="00A942F6">
        <w:rPr>
          <w:lang w:val="nb-NO"/>
        </w:rPr>
        <w:t xml:space="preserve">-naive pasienter og opprettholdt median JADAS-71 gjennom hele studien for pasienter som byttet fra intravenøs til subkutan </w:t>
      </w:r>
      <w:r w:rsidR="00813939" w:rsidRPr="00A942F6">
        <w:rPr>
          <w:lang w:val="nb-NO"/>
        </w:rPr>
        <w:t>tocilizumab</w:t>
      </w:r>
      <w:r w:rsidRPr="00A942F6">
        <w:rPr>
          <w:lang w:val="nb-NO"/>
        </w:rPr>
        <w:t xml:space="preserve">-behandling, for pasienter i begge kroppsvektgrupper (under 30 kg og </w:t>
      </w:r>
      <w:r w:rsidRPr="00A942F6">
        <w:rPr>
          <w:rFonts w:cs="Times New Roman"/>
          <w:lang w:val="nb-NO"/>
        </w:rPr>
        <w:t>≥</w:t>
      </w:r>
      <w:r w:rsidRPr="00A942F6">
        <w:rPr>
          <w:lang w:val="nb-NO"/>
        </w:rPr>
        <w:t xml:space="preserve"> 30 kg).</w:t>
      </w:r>
    </w:p>
    <w:p w14:paraId="45242CE8" w14:textId="77777777" w:rsidR="00DF56D8" w:rsidRPr="00A942F6" w:rsidRDefault="00DF56D8" w:rsidP="00641834">
      <w:pPr>
        <w:rPr>
          <w:lang w:val="nb-NO"/>
        </w:rPr>
      </w:pPr>
    </w:p>
    <w:p w14:paraId="17DBA6F0" w14:textId="77777777" w:rsidR="00DF56D8" w:rsidRPr="00A942F6" w:rsidRDefault="00DF56D8" w:rsidP="00641834">
      <w:pPr>
        <w:pStyle w:val="Style1underline"/>
        <w:rPr>
          <w:lang w:val="nb-NO"/>
        </w:rPr>
      </w:pPr>
      <w:r w:rsidRPr="00A942F6">
        <w:rPr>
          <w:lang w:val="nb-NO"/>
        </w:rPr>
        <w:t>Subkutan bruk</w:t>
      </w:r>
    </w:p>
    <w:p w14:paraId="609FF2D1" w14:textId="77777777" w:rsidR="00DF56D8" w:rsidRPr="00A942F6" w:rsidRDefault="00DF56D8" w:rsidP="00641834">
      <w:pPr>
        <w:pStyle w:val="Style2underlinebold"/>
        <w:rPr>
          <w:lang w:val="nb-NO"/>
        </w:rPr>
      </w:pPr>
      <w:r w:rsidRPr="00A942F6">
        <w:rPr>
          <w:lang w:val="nb-NO"/>
        </w:rPr>
        <w:t>GCA</w:t>
      </w:r>
    </w:p>
    <w:p w14:paraId="73332D84" w14:textId="77777777" w:rsidR="00DF56D8" w:rsidRPr="00A942F6" w:rsidRDefault="00DF56D8" w:rsidP="00641834">
      <w:pPr>
        <w:pStyle w:val="Style1underline"/>
        <w:rPr>
          <w:lang w:val="nb-NO"/>
        </w:rPr>
      </w:pPr>
      <w:r w:rsidRPr="00A942F6">
        <w:rPr>
          <w:lang w:val="nb-NO"/>
        </w:rPr>
        <w:t>Klinisk effekt</w:t>
      </w:r>
    </w:p>
    <w:p w14:paraId="0D6608E2" w14:textId="2F347B49" w:rsidR="00DF56D8" w:rsidRPr="00A942F6" w:rsidRDefault="00DF56D8" w:rsidP="00641834">
      <w:pPr>
        <w:rPr>
          <w:lang w:val="nb-NO"/>
        </w:rPr>
      </w:pPr>
      <w:r w:rsidRPr="00A942F6">
        <w:rPr>
          <w:lang w:val="nb-NO"/>
        </w:rPr>
        <w:t xml:space="preserve">Studie WA28119 var en randomisert, multisenter, dobbeltblind, placebokontrollert fase III overlegenhetsstudie, utført for å vurdere effekt og sikkerhet av </w:t>
      </w:r>
      <w:r w:rsidR="00813939" w:rsidRPr="00A942F6">
        <w:rPr>
          <w:lang w:val="nb-NO"/>
        </w:rPr>
        <w:t>tocilizumab</w:t>
      </w:r>
      <w:r w:rsidRPr="00A942F6">
        <w:rPr>
          <w:lang w:val="nb-NO"/>
        </w:rPr>
        <w:t xml:space="preserve"> hos pasienter med GCA.</w:t>
      </w:r>
    </w:p>
    <w:p w14:paraId="1E6F772F" w14:textId="77777777" w:rsidR="00DF56D8" w:rsidRPr="00A942F6" w:rsidRDefault="00DF56D8" w:rsidP="00641834">
      <w:pPr>
        <w:rPr>
          <w:lang w:val="nb-NO"/>
        </w:rPr>
      </w:pPr>
    </w:p>
    <w:p w14:paraId="353BF894" w14:textId="7759FA08" w:rsidR="00DF56D8" w:rsidRPr="00A942F6" w:rsidRDefault="00DF56D8" w:rsidP="00641834">
      <w:pPr>
        <w:rPr>
          <w:lang w:val="nb-NO"/>
        </w:rPr>
      </w:pPr>
      <w:r w:rsidRPr="00A942F6">
        <w:rPr>
          <w:lang w:val="nb-NO"/>
        </w:rPr>
        <w:t xml:space="preserve">To hundre og femti-én (251) pasienter med nyoppstått eller tilbakevendende GCA ble inkludert og tildelt én av fire behandlingsarmer. Studien bestod av en 52-ukers blindet periode (del 1), etterfulgt av en 104-ukers åpen forlengelse (del 2). Hensikten med del 2 var å beskrive langtidssikkerheten og vedvarende effekt etter 52 ukers behandling med </w:t>
      </w:r>
      <w:r w:rsidR="00813939" w:rsidRPr="00A942F6">
        <w:rPr>
          <w:lang w:val="nb-NO"/>
        </w:rPr>
        <w:t>tocilizumab</w:t>
      </w:r>
      <w:r w:rsidRPr="00A942F6">
        <w:rPr>
          <w:lang w:val="nb-NO"/>
        </w:rPr>
        <w:t xml:space="preserve">, undersøke tilbakefallsfrekvens og behovet for </w:t>
      </w:r>
      <w:r w:rsidR="00813939" w:rsidRPr="00A942F6">
        <w:rPr>
          <w:lang w:val="nb-NO"/>
        </w:rPr>
        <w:t>tocilizumab</w:t>
      </w:r>
      <w:r w:rsidRPr="00A942F6">
        <w:rPr>
          <w:lang w:val="nb-NO"/>
        </w:rPr>
        <w:t xml:space="preserve">-behandling utover 52 uker, samt å få innsikt i den potensielle langsiktige steroidsparende effekten av </w:t>
      </w:r>
      <w:r w:rsidR="00813939" w:rsidRPr="00A942F6">
        <w:rPr>
          <w:lang w:val="nb-NO"/>
        </w:rPr>
        <w:t>tocilizumab</w:t>
      </w:r>
      <w:r w:rsidRPr="00A942F6">
        <w:rPr>
          <w:lang w:val="nb-NO"/>
        </w:rPr>
        <w:t>.</w:t>
      </w:r>
    </w:p>
    <w:p w14:paraId="58BC0993" w14:textId="77777777" w:rsidR="00DF56D8" w:rsidRPr="00A942F6" w:rsidRDefault="00DF56D8" w:rsidP="00641834">
      <w:pPr>
        <w:rPr>
          <w:lang w:val="nb-NO"/>
        </w:rPr>
      </w:pPr>
    </w:p>
    <w:p w14:paraId="40C83501" w14:textId="51D9FF30" w:rsidR="00DF56D8" w:rsidRPr="00A942F6" w:rsidRDefault="00DF56D8" w:rsidP="00641834">
      <w:pPr>
        <w:rPr>
          <w:lang w:val="nb-NO"/>
        </w:rPr>
      </w:pPr>
      <w:r w:rsidRPr="00A942F6">
        <w:rPr>
          <w:lang w:val="nb-NO"/>
        </w:rPr>
        <w:t xml:space="preserve">To subkutane doser med </w:t>
      </w:r>
      <w:r w:rsidR="00813939" w:rsidRPr="00A942F6">
        <w:rPr>
          <w:lang w:val="nb-NO"/>
        </w:rPr>
        <w:t>tocilizumab</w:t>
      </w:r>
      <w:r w:rsidRPr="00A942F6">
        <w:rPr>
          <w:lang w:val="nb-NO"/>
        </w:rPr>
        <w:t xml:space="preserve"> (162 mg ukentlig og 162 mg annenhver uke) ble sammenlignet med to ulike placebo-kontrollgrupper, randomisert 2:1:1:1.</w:t>
      </w:r>
    </w:p>
    <w:p w14:paraId="5BA630B7" w14:textId="77777777" w:rsidR="001F4B8A" w:rsidRPr="00A942F6" w:rsidRDefault="001F4B8A" w:rsidP="00641834">
      <w:pPr>
        <w:rPr>
          <w:lang w:val="nb-NO"/>
        </w:rPr>
      </w:pPr>
    </w:p>
    <w:p w14:paraId="11A7D604" w14:textId="331FBF10" w:rsidR="00DF56D8" w:rsidRPr="00A942F6" w:rsidRDefault="00DF56D8" w:rsidP="00641834">
      <w:pPr>
        <w:rPr>
          <w:lang w:val="nb-NO"/>
        </w:rPr>
      </w:pPr>
      <w:r w:rsidRPr="00A942F6">
        <w:rPr>
          <w:lang w:val="nb-NO"/>
        </w:rPr>
        <w:t xml:space="preserve">Alle pasientene fikk bakgrunnsbehandling med glukokortikoider (prednison). Begge gruppene som ble behandlet med </w:t>
      </w:r>
      <w:r w:rsidR="00813939" w:rsidRPr="00A942F6">
        <w:rPr>
          <w:lang w:val="nb-NO"/>
        </w:rPr>
        <w:t>tocilizumab</w:t>
      </w:r>
      <w:r w:rsidRPr="00A942F6">
        <w:rPr>
          <w:lang w:val="nb-NO"/>
        </w:rPr>
        <w:t xml:space="preserve"> og én av placebogruppene fulgte en forhåndsbestemt nedtrappingsplan for prednison som gikk over 26 uker. Den andre placebogruppen fulgte en forhåndsbestemt nedtrappingsplan for prednison som gikk over 52 uker, satt opp for å passe med standard praksis.</w:t>
      </w:r>
    </w:p>
    <w:p w14:paraId="6ECA22C1" w14:textId="77777777" w:rsidR="00DF56D8" w:rsidRPr="00A942F6" w:rsidRDefault="00DF56D8" w:rsidP="00641834">
      <w:pPr>
        <w:rPr>
          <w:lang w:val="nb-NO"/>
        </w:rPr>
      </w:pPr>
    </w:p>
    <w:p w14:paraId="5BA43501" w14:textId="63F18E7E" w:rsidR="00DF56D8" w:rsidRPr="00A942F6" w:rsidRDefault="00DF56D8" w:rsidP="00641834">
      <w:pPr>
        <w:rPr>
          <w:lang w:val="nb-NO"/>
        </w:rPr>
      </w:pPr>
      <w:r w:rsidRPr="00A942F6">
        <w:rPr>
          <w:lang w:val="nb-NO"/>
        </w:rPr>
        <w:t xml:space="preserve">Varigheten av behandling med glukokortikoider under screening og før </w:t>
      </w:r>
      <w:r w:rsidR="00813939" w:rsidRPr="00A942F6">
        <w:rPr>
          <w:lang w:val="nb-NO"/>
        </w:rPr>
        <w:t>tocilizumab</w:t>
      </w:r>
      <w:r w:rsidRPr="00A942F6">
        <w:rPr>
          <w:lang w:val="nb-NO"/>
        </w:rPr>
        <w:t xml:space="preserve"> (eller placebo) ble initiert, var lignende i alle 4 behandlingsgruppene (se tabell 3).</w:t>
      </w:r>
    </w:p>
    <w:p w14:paraId="459260F9" w14:textId="77777777" w:rsidR="00DF56D8" w:rsidRPr="00A942F6" w:rsidRDefault="00DF56D8" w:rsidP="00641834">
      <w:pPr>
        <w:rPr>
          <w:lang w:val="nb-NO"/>
        </w:rPr>
      </w:pPr>
    </w:p>
    <w:p w14:paraId="1B9F02BB" w14:textId="77777777" w:rsidR="00DF56D8" w:rsidRPr="00A942F6" w:rsidRDefault="00DF56D8" w:rsidP="00641834">
      <w:pPr>
        <w:pStyle w:val="Style1Iitaic"/>
        <w:rPr>
          <w:lang w:val="nb-NO"/>
        </w:rPr>
      </w:pPr>
      <w:r w:rsidRPr="00A942F6">
        <w:rPr>
          <w:lang w:val="nb-NO"/>
        </w:rPr>
        <w:t>Tabell 3. Varighet av behandling med kortikosteroid under screening i studie WA28119</w:t>
      </w:r>
    </w:p>
    <w:p w14:paraId="3E388458" w14:textId="77777777" w:rsidR="001F4B8A" w:rsidRPr="00A942F6" w:rsidRDefault="001F4B8A" w:rsidP="00641834">
      <w:pPr>
        <w:pStyle w:val="Style1Iitaic"/>
        <w:rPr>
          <w:lang w:val="nb-NO"/>
        </w:rPr>
      </w:pPr>
    </w:p>
    <w:tbl>
      <w:tblPr>
        <w:tblW w:w="0" w:type="auto"/>
        <w:tblLayout w:type="fixed"/>
        <w:tblLook w:val="01E0" w:firstRow="1" w:lastRow="1" w:firstColumn="1" w:lastColumn="1" w:noHBand="0" w:noVBand="0"/>
      </w:tblPr>
      <w:tblGrid>
        <w:gridCol w:w="1668"/>
        <w:gridCol w:w="1446"/>
        <w:gridCol w:w="1417"/>
        <w:gridCol w:w="2268"/>
        <w:gridCol w:w="2249"/>
      </w:tblGrid>
      <w:tr w:rsidR="00DF56D8" w:rsidRPr="00A942F6" w14:paraId="735414D7" w14:textId="77777777" w:rsidTr="007C576F">
        <w:trPr>
          <w:cantSplit/>
          <w:trHeight w:val="20"/>
        </w:trPr>
        <w:tc>
          <w:tcPr>
            <w:tcW w:w="1668" w:type="dxa"/>
            <w:tcBorders>
              <w:top w:val="single" w:sz="8" w:space="0" w:color="000000"/>
              <w:left w:val="single" w:sz="4" w:space="0" w:color="000000"/>
              <w:bottom w:val="single" w:sz="8" w:space="0" w:color="000000"/>
            </w:tcBorders>
          </w:tcPr>
          <w:p w14:paraId="1939F797" w14:textId="77777777" w:rsidR="00DF56D8" w:rsidRPr="00A942F6" w:rsidRDefault="00DF56D8" w:rsidP="0036729A">
            <w:pPr>
              <w:pStyle w:val="TableParagraph"/>
              <w:keepNext/>
              <w:rPr>
                <w:sz w:val="20"/>
                <w:szCs w:val="20"/>
                <w:lang w:val="nb-NO"/>
              </w:rPr>
            </w:pPr>
          </w:p>
        </w:tc>
        <w:tc>
          <w:tcPr>
            <w:tcW w:w="1446" w:type="dxa"/>
            <w:tcBorders>
              <w:top w:val="single" w:sz="8" w:space="0" w:color="000000"/>
              <w:bottom w:val="single" w:sz="8" w:space="0" w:color="000000"/>
            </w:tcBorders>
          </w:tcPr>
          <w:p w14:paraId="5FDC2A9A" w14:textId="77777777" w:rsidR="00DF56D8" w:rsidRPr="00A942F6" w:rsidRDefault="00DF56D8" w:rsidP="0036729A">
            <w:pPr>
              <w:pStyle w:val="TableParagraph"/>
              <w:keepNext/>
              <w:jc w:val="center"/>
              <w:rPr>
                <w:b/>
                <w:sz w:val="20"/>
                <w:szCs w:val="20"/>
                <w:lang w:val="nb-NO"/>
              </w:rPr>
            </w:pPr>
            <w:r w:rsidRPr="00A942F6">
              <w:rPr>
                <w:b/>
                <w:sz w:val="20"/>
                <w:szCs w:val="20"/>
                <w:lang w:val="nb-NO"/>
              </w:rPr>
              <w:t>Placebo + 26 uker nedtrapping</w:t>
            </w:r>
          </w:p>
          <w:p w14:paraId="1C5B527B" w14:textId="77777777" w:rsidR="00DF56D8" w:rsidRPr="00A942F6" w:rsidRDefault="00DF56D8" w:rsidP="0036729A">
            <w:pPr>
              <w:pStyle w:val="TableParagraph"/>
              <w:keepNext/>
              <w:jc w:val="center"/>
              <w:rPr>
                <w:b/>
                <w:sz w:val="20"/>
                <w:szCs w:val="20"/>
                <w:lang w:val="nb-NO"/>
              </w:rPr>
            </w:pPr>
            <w:r w:rsidRPr="00A942F6">
              <w:rPr>
                <w:b/>
                <w:sz w:val="20"/>
                <w:szCs w:val="20"/>
                <w:lang w:val="nb-NO"/>
              </w:rPr>
              <w:t>av prednison N=50</w:t>
            </w:r>
          </w:p>
        </w:tc>
        <w:tc>
          <w:tcPr>
            <w:tcW w:w="1417" w:type="dxa"/>
            <w:tcBorders>
              <w:top w:val="single" w:sz="8" w:space="0" w:color="000000"/>
              <w:bottom w:val="single" w:sz="8" w:space="0" w:color="000000"/>
            </w:tcBorders>
          </w:tcPr>
          <w:p w14:paraId="7677E7CF" w14:textId="77777777" w:rsidR="00DF56D8" w:rsidRPr="00A942F6" w:rsidRDefault="00DF56D8" w:rsidP="0036729A">
            <w:pPr>
              <w:pStyle w:val="TableParagraph"/>
              <w:keepNext/>
              <w:jc w:val="center"/>
              <w:rPr>
                <w:b/>
                <w:sz w:val="20"/>
                <w:szCs w:val="20"/>
                <w:lang w:val="nb-NO"/>
              </w:rPr>
            </w:pPr>
            <w:r w:rsidRPr="00A942F6">
              <w:rPr>
                <w:b/>
                <w:sz w:val="20"/>
                <w:szCs w:val="20"/>
                <w:lang w:val="nb-NO"/>
              </w:rPr>
              <w:t>Placebo + 52 uker nedtrapping</w:t>
            </w:r>
          </w:p>
          <w:p w14:paraId="7104FA11" w14:textId="77777777" w:rsidR="00DF56D8" w:rsidRPr="00A942F6" w:rsidRDefault="00DF56D8" w:rsidP="0036729A">
            <w:pPr>
              <w:pStyle w:val="TableParagraph"/>
              <w:keepNext/>
              <w:jc w:val="center"/>
              <w:rPr>
                <w:b/>
                <w:sz w:val="20"/>
                <w:szCs w:val="20"/>
                <w:lang w:val="nb-NO"/>
              </w:rPr>
            </w:pPr>
            <w:r w:rsidRPr="00A942F6">
              <w:rPr>
                <w:b/>
                <w:sz w:val="20"/>
                <w:szCs w:val="20"/>
                <w:lang w:val="nb-NO"/>
              </w:rPr>
              <w:t>av prednison N=51</w:t>
            </w:r>
          </w:p>
        </w:tc>
        <w:tc>
          <w:tcPr>
            <w:tcW w:w="2268" w:type="dxa"/>
            <w:tcBorders>
              <w:top w:val="single" w:sz="8" w:space="0" w:color="000000"/>
              <w:bottom w:val="single" w:sz="8" w:space="0" w:color="000000"/>
            </w:tcBorders>
          </w:tcPr>
          <w:p w14:paraId="66FA4068" w14:textId="44F47521" w:rsidR="00DF56D8" w:rsidRPr="00A942F6" w:rsidRDefault="00813939" w:rsidP="0036729A">
            <w:pPr>
              <w:pStyle w:val="TableParagraph"/>
              <w:keepNext/>
              <w:jc w:val="center"/>
              <w:rPr>
                <w:b/>
                <w:sz w:val="20"/>
                <w:szCs w:val="20"/>
                <w:lang w:val="nb-NO"/>
              </w:rPr>
            </w:pPr>
            <w:r w:rsidRPr="00A942F6">
              <w:rPr>
                <w:b/>
                <w:sz w:val="20"/>
                <w:szCs w:val="20"/>
                <w:lang w:val="nb-NO"/>
              </w:rPr>
              <w:t>Tocilizumab</w:t>
            </w:r>
            <w:r w:rsidR="00DF56D8" w:rsidRPr="00A942F6">
              <w:rPr>
                <w:b/>
                <w:sz w:val="20"/>
                <w:szCs w:val="20"/>
                <w:lang w:val="nb-NO"/>
              </w:rPr>
              <w:t xml:space="preserve"> 162 mg s.c.</w:t>
            </w:r>
          </w:p>
          <w:p w14:paraId="2985B4B8" w14:textId="77777777" w:rsidR="00DF56D8" w:rsidRPr="00A942F6" w:rsidRDefault="00DF56D8" w:rsidP="0036729A">
            <w:pPr>
              <w:pStyle w:val="TableParagraph"/>
              <w:keepNext/>
              <w:jc w:val="center"/>
              <w:rPr>
                <w:b/>
                <w:sz w:val="20"/>
                <w:szCs w:val="20"/>
                <w:lang w:val="nb-NO"/>
              </w:rPr>
            </w:pPr>
            <w:r w:rsidRPr="00A942F6">
              <w:rPr>
                <w:b/>
                <w:sz w:val="20"/>
                <w:szCs w:val="20"/>
                <w:lang w:val="nb-NO"/>
              </w:rPr>
              <w:t>ukentlig + 26 uker nedtrapping av prednison</w:t>
            </w:r>
          </w:p>
          <w:p w14:paraId="0972AFA5" w14:textId="77777777" w:rsidR="00DF56D8" w:rsidRPr="00A942F6" w:rsidRDefault="00DF56D8" w:rsidP="0036729A">
            <w:pPr>
              <w:pStyle w:val="TableParagraph"/>
              <w:keepNext/>
              <w:jc w:val="center"/>
              <w:rPr>
                <w:b/>
                <w:sz w:val="20"/>
                <w:szCs w:val="20"/>
                <w:lang w:val="nb-NO"/>
              </w:rPr>
            </w:pPr>
            <w:r w:rsidRPr="00A942F6">
              <w:rPr>
                <w:b/>
                <w:sz w:val="20"/>
                <w:szCs w:val="20"/>
                <w:lang w:val="nb-NO"/>
              </w:rPr>
              <w:t>N=100</w:t>
            </w:r>
          </w:p>
        </w:tc>
        <w:tc>
          <w:tcPr>
            <w:tcW w:w="2249" w:type="dxa"/>
            <w:tcBorders>
              <w:top w:val="single" w:sz="8" w:space="0" w:color="000000"/>
              <w:bottom w:val="single" w:sz="8" w:space="0" w:color="000000"/>
              <w:right w:val="single" w:sz="8" w:space="0" w:color="000000"/>
            </w:tcBorders>
          </w:tcPr>
          <w:p w14:paraId="0FC8F448" w14:textId="713E4867" w:rsidR="00DF56D8" w:rsidRPr="00A942F6" w:rsidRDefault="00813939" w:rsidP="0036729A">
            <w:pPr>
              <w:pStyle w:val="TableParagraph"/>
              <w:keepNext/>
              <w:jc w:val="center"/>
              <w:rPr>
                <w:b/>
                <w:sz w:val="20"/>
                <w:szCs w:val="20"/>
                <w:lang w:val="nb-NO"/>
              </w:rPr>
            </w:pPr>
            <w:r w:rsidRPr="00A942F6">
              <w:rPr>
                <w:b/>
                <w:sz w:val="20"/>
                <w:szCs w:val="20"/>
                <w:lang w:val="nb-NO"/>
              </w:rPr>
              <w:t>Tocilizumab</w:t>
            </w:r>
            <w:r w:rsidR="00DF56D8" w:rsidRPr="00A942F6">
              <w:rPr>
                <w:b/>
                <w:sz w:val="20"/>
                <w:szCs w:val="20"/>
                <w:lang w:val="nb-NO"/>
              </w:rPr>
              <w:t xml:space="preserve"> 162 mg s.c.</w:t>
            </w:r>
          </w:p>
          <w:p w14:paraId="2B502F7F" w14:textId="77777777" w:rsidR="00DF56D8" w:rsidRPr="00A942F6" w:rsidRDefault="00DF56D8" w:rsidP="0036729A">
            <w:pPr>
              <w:pStyle w:val="TableParagraph"/>
              <w:keepNext/>
              <w:jc w:val="center"/>
              <w:rPr>
                <w:b/>
                <w:sz w:val="20"/>
                <w:szCs w:val="20"/>
                <w:lang w:val="nb-NO"/>
              </w:rPr>
            </w:pPr>
            <w:r w:rsidRPr="00A942F6">
              <w:rPr>
                <w:b/>
                <w:sz w:val="20"/>
                <w:szCs w:val="20"/>
                <w:lang w:val="nb-NO"/>
              </w:rPr>
              <w:t>annenhver uke + 26 uker nedtrapping av prednison</w:t>
            </w:r>
          </w:p>
          <w:p w14:paraId="3E3ADD99" w14:textId="77777777" w:rsidR="00DF56D8" w:rsidRPr="00A942F6" w:rsidRDefault="00DF56D8" w:rsidP="0036729A">
            <w:pPr>
              <w:pStyle w:val="TableParagraph"/>
              <w:keepNext/>
              <w:jc w:val="center"/>
              <w:rPr>
                <w:b/>
                <w:sz w:val="20"/>
                <w:szCs w:val="20"/>
                <w:lang w:val="nb-NO"/>
              </w:rPr>
            </w:pPr>
            <w:r w:rsidRPr="00A942F6">
              <w:rPr>
                <w:b/>
                <w:sz w:val="20"/>
                <w:szCs w:val="20"/>
                <w:lang w:val="nb-NO"/>
              </w:rPr>
              <w:t>N=49</w:t>
            </w:r>
          </w:p>
        </w:tc>
      </w:tr>
      <w:tr w:rsidR="00DF56D8" w:rsidRPr="00A942F6" w14:paraId="3C31D38D" w14:textId="77777777" w:rsidTr="007C576F">
        <w:trPr>
          <w:cantSplit/>
          <w:trHeight w:val="20"/>
        </w:trPr>
        <w:tc>
          <w:tcPr>
            <w:tcW w:w="1668" w:type="dxa"/>
            <w:tcBorders>
              <w:top w:val="single" w:sz="8" w:space="0" w:color="000000"/>
              <w:left w:val="single" w:sz="4" w:space="0" w:color="000000"/>
              <w:bottom w:val="single" w:sz="4" w:space="0" w:color="auto"/>
            </w:tcBorders>
          </w:tcPr>
          <w:p w14:paraId="7BB06946" w14:textId="77777777" w:rsidR="00DF56D8" w:rsidRPr="007C576F" w:rsidRDefault="00DF56D8" w:rsidP="0036729A">
            <w:pPr>
              <w:pStyle w:val="TableParagraph"/>
              <w:keepNext/>
              <w:rPr>
                <w:b/>
                <w:bCs/>
                <w:sz w:val="20"/>
                <w:szCs w:val="20"/>
                <w:lang w:val="nb-NO"/>
              </w:rPr>
            </w:pPr>
            <w:r w:rsidRPr="007C576F">
              <w:rPr>
                <w:b/>
                <w:bCs/>
                <w:sz w:val="20"/>
                <w:szCs w:val="20"/>
                <w:lang w:val="nb-NO"/>
              </w:rPr>
              <w:t>Varighet (dager)</w:t>
            </w:r>
          </w:p>
        </w:tc>
        <w:tc>
          <w:tcPr>
            <w:tcW w:w="1446" w:type="dxa"/>
            <w:tcBorders>
              <w:top w:val="single" w:sz="8" w:space="0" w:color="000000"/>
              <w:bottom w:val="single" w:sz="4" w:space="0" w:color="auto"/>
            </w:tcBorders>
          </w:tcPr>
          <w:p w14:paraId="39C3954C" w14:textId="77777777" w:rsidR="00DF56D8" w:rsidRPr="00A942F6" w:rsidRDefault="00DF56D8" w:rsidP="0036729A">
            <w:pPr>
              <w:pStyle w:val="TableParagraph"/>
              <w:keepNext/>
              <w:rPr>
                <w:sz w:val="20"/>
                <w:szCs w:val="20"/>
                <w:lang w:val="nb-NO"/>
              </w:rPr>
            </w:pPr>
          </w:p>
        </w:tc>
        <w:tc>
          <w:tcPr>
            <w:tcW w:w="1417" w:type="dxa"/>
            <w:tcBorders>
              <w:top w:val="single" w:sz="8" w:space="0" w:color="000000"/>
              <w:bottom w:val="single" w:sz="4" w:space="0" w:color="auto"/>
            </w:tcBorders>
          </w:tcPr>
          <w:p w14:paraId="1F43499F" w14:textId="77777777" w:rsidR="00DF56D8" w:rsidRPr="00A942F6" w:rsidRDefault="00DF56D8" w:rsidP="0036729A">
            <w:pPr>
              <w:pStyle w:val="TableParagraph"/>
              <w:keepNext/>
              <w:rPr>
                <w:sz w:val="20"/>
                <w:szCs w:val="20"/>
                <w:lang w:val="nb-NO"/>
              </w:rPr>
            </w:pPr>
          </w:p>
        </w:tc>
        <w:tc>
          <w:tcPr>
            <w:tcW w:w="2268" w:type="dxa"/>
            <w:tcBorders>
              <w:top w:val="single" w:sz="8" w:space="0" w:color="000000"/>
              <w:bottom w:val="single" w:sz="4" w:space="0" w:color="auto"/>
            </w:tcBorders>
          </w:tcPr>
          <w:p w14:paraId="736C1766" w14:textId="77777777" w:rsidR="00DF56D8" w:rsidRPr="00A942F6" w:rsidRDefault="00DF56D8" w:rsidP="0036729A">
            <w:pPr>
              <w:pStyle w:val="TableParagraph"/>
              <w:keepNext/>
              <w:rPr>
                <w:sz w:val="20"/>
                <w:szCs w:val="20"/>
                <w:lang w:val="nb-NO"/>
              </w:rPr>
            </w:pPr>
          </w:p>
        </w:tc>
        <w:tc>
          <w:tcPr>
            <w:tcW w:w="2249" w:type="dxa"/>
            <w:tcBorders>
              <w:top w:val="single" w:sz="8" w:space="0" w:color="000000"/>
              <w:bottom w:val="single" w:sz="4" w:space="0" w:color="auto"/>
              <w:right w:val="single" w:sz="8" w:space="0" w:color="000000"/>
            </w:tcBorders>
          </w:tcPr>
          <w:p w14:paraId="14CA9E91" w14:textId="77777777" w:rsidR="00DF56D8" w:rsidRPr="00A942F6" w:rsidRDefault="00DF56D8" w:rsidP="0036729A">
            <w:pPr>
              <w:pStyle w:val="TableParagraph"/>
              <w:keepNext/>
              <w:rPr>
                <w:sz w:val="20"/>
                <w:szCs w:val="20"/>
                <w:lang w:val="nb-NO"/>
              </w:rPr>
            </w:pPr>
          </w:p>
        </w:tc>
      </w:tr>
      <w:tr w:rsidR="00DF56D8" w:rsidRPr="00A942F6" w14:paraId="7CAD6ED1" w14:textId="77777777" w:rsidTr="007C576F">
        <w:trPr>
          <w:cantSplit/>
          <w:trHeight w:val="20"/>
        </w:trPr>
        <w:tc>
          <w:tcPr>
            <w:tcW w:w="1668" w:type="dxa"/>
            <w:tcBorders>
              <w:top w:val="single" w:sz="4" w:space="0" w:color="auto"/>
              <w:left w:val="single" w:sz="4" w:space="0" w:color="auto"/>
              <w:bottom w:val="single" w:sz="4" w:space="0" w:color="auto"/>
              <w:right w:val="single" w:sz="4" w:space="0" w:color="auto"/>
            </w:tcBorders>
          </w:tcPr>
          <w:p w14:paraId="5E8DAEDF" w14:textId="77777777" w:rsidR="00DF56D8" w:rsidRPr="00A942F6" w:rsidRDefault="00DF56D8" w:rsidP="00641834">
            <w:pPr>
              <w:pStyle w:val="TableParagraph"/>
              <w:ind w:left="284"/>
              <w:rPr>
                <w:sz w:val="20"/>
                <w:szCs w:val="20"/>
                <w:lang w:val="nb-NO"/>
              </w:rPr>
            </w:pPr>
            <w:r w:rsidRPr="00A942F6">
              <w:rPr>
                <w:sz w:val="20"/>
                <w:szCs w:val="20"/>
                <w:lang w:val="nb-NO"/>
              </w:rPr>
              <w:t>Gjennomsnitt (SD)</w:t>
            </w:r>
          </w:p>
        </w:tc>
        <w:tc>
          <w:tcPr>
            <w:tcW w:w="1446" w:type="dxa"/>
            <w:tcBorders>
              <w:top w:val="single" w:sz="4" w:space="0" w:color="auto"/>
              <w:left w:val="single" w:sz="4" w:space="0" w:color="auto"/>
              <w:bottom w:val="single" w:sz="4" w:space="0" w:color="auto"/>
              <w:right w:val="single" w:sz="4" w:space="0" w:color="auto"/>
            </w:tcBorders>
          </w:tcPr>
          <w:p w14:paraId="7C7A9B5E" w14:textId="77777777" w:rsidR="00DF56D8" w:rsidRPr="00A942F6" w:rsidRDefault="00DF56D8" w:rsidP="00641834">
            <w:pPr>
              <w:pStyle w:val="TableParagraph"/>
              <w:jc w:val="center"/>
              <w:rPr>
                <w:sz w:val="20"/>
                <w:szCs w:val="20"/>
                <w:lang w:val="nb-NO"/>
              </w:rPr>
            </w:pPr>
            <w:r w:rsidRPr="00A942F6">
              <w:rPr>
                <w:sz w:val="20"/>
                <w:szCs w:val="20"/>
                <w:lang w:val="nb-NO"/>
              </w:rPr>
              <w:t>35,7 (11,5)</w:t>
            </w:r>
          </w:p>
        </w:tc>
        <w:tc>
          <w:tcPr>
            <w:tcW w:w="1417" w:type="dxa"/>
            <w:tcBorders>
              <w:top w:val="single" w:sz="4" w:space="0" w:color="auto"/>
              <w:left w:val="single" w:sz="4" w:space="0" w:color="auto"/>
              <w:bottom w:val="single" w:sz="4" w:space="0" w:color="auto"/>
              <w:right w:val="single" w:sz="4" w:space="0" w:color="auto"/>
            </w:tcBorders>
          </w:tcPr>
          <w:p w14:paraId="06A756BE" w14:textId="77777777" w:rsidR="00DF56D8" w:rsidRPr="00A942F6" w:rsidRDefault="00DF56D8" w:rsidP="00641834">
            <w:pPr>
              <w:pStyle w:val="TableParagraph"/>
              <w:jc w:val="center"/>
              <w:rPr>
                <w:sz w:val="20"/>
                <w:szCs w:val="20"/>
                <w:lang w:val="nb-NO"/>
              </w:rPr>
            </w:pPr>
            <w:r w:rsidRPr="00A942F6">
              <w:rPr>
                <w:sz w:val="20"/>
                <w:szCs w:val="20"/>
                <w:lang w:val="nb-NO"/>
              </w:rPr>
              <w:t>36,3 (12,5)</w:t>
            </w:r>
          </w:p>
        </w:tc>
        <w:tc>
          <w:tcPr>
            <w:tcW w:w="2268" w:type="dxa"/>
            <w:tcBorders>
              <w:top w:val="single" w:sz="4" w:space="0" w:color="auto"/>
              <w:left w:val="single" w:sz="4" w:space="0" w:color="auto"/>
              <w:bottom w:val="single" w:sz="4" w:space="0" w:color="auto"/>
              <w:right w:val="single" w:sz="4" w:space="0" w:color="auto"/>
            </w:tcBorders>
          </w:tcPr>
          <w:p w14:paraId="5CB77896" w14:textId="77777777" w:rsidR="00DF56D8" w:rsidRPr="00A942F6" w:rsidRDefault="00DF56D8" w:rsidP="00641834">
            <w:pPr>
              <w:pStyle w:val="TableParagraph"/>
              <w:jc w:val="center"/>
              <w:rPr>
                <w:sz w:val="20"/>
                <w:szCs w:val="20"/>
                <w:lang w:val="nb-NO"/>
              </w:rPr>
            </w:pPr>
            <w:r w:rsidRPr="00A942F6">
              <w:rPr>
                <w:sz w:val="20"/>
                <w:szCs w:val="20"/>
                <w:lang w:val="nb-NO"/>
              </w:rPr>
              <w:t>35,6 (13,2)</w:t>
            </w:r>
          </w:p>
        </w:tc>
        <w:tc>
          <w:tcPr>
            <w:tcW w:w="2249" w:type="dxa"/>
            <w:tcBorders>
              <w:top w:val="single" w:sz="4" w:space="0" w:color="auto"/>
              <w:left w:val="single" w:sz="4" w:space="0" w:color="auto"/>
              <w:bottom w:val="single" w:sz="4" w:space="0" w:color="auto"/>
              <w:right w:val="single" w:sz="4" w:space="0" w:color="auto"/>
            </w:tcBorders>
          </w:tcPr>
          <w:p w14:paraId="0599E9DD" w14:textId="77777777" w:rsidR="00DF56D8" w:rsidRPr="00A942F6" w:rsidRDefault="00DF56D8" w:rsidP="00641834">
            <w:pPr>
              <w:pStyle w:val="TableParagraph"/>
              <w:jc w:val="center"/>
              <w:rPr>
                <w:sz w:val="20"/>
                <w:szCs w:val="20"/>
                <w:lang w:val="nb-NO"/>
              </w:rPr>
            </w:pPr>
            <w:r w:rsidRPr="00A942F6">
              <w:rPr>
                <w:sz w:val="20"/>
                <w:szCs w:val="20"/>
                <w:lang w:val="nb-NO"/>
              </w:rPr>
              <w:t>37,4 (14,4)</w:t>
            </w:r>
          </w:p>
        </w:tc>
      </w:tr>
      <w:tr w:rsidR="00DF56D8" w:rsidRPr="00A942F6" w14:paraId="69FC60DC" w14:textId="77777777" w:rsidTr="007C576F">
        <w:trPr>
          <w:cantSplit/>
          <w:trHeight w:val="20"/>
        </w:trPr>
        <w:tc>
          <w:tcPr>
            <w:tcW w:w="1668" w:type="dxa"/>
            <w:tcBorders>
              <w:top w:val="single" w:sz="4" w:space="0" w:color="auto"/>
              <w:left w:val="single" w:sz="4" w:space="0" w:color="auto"/>
              <w:bottom w:val="single" w:sz="4" w:space="0" w:color="auto"/>
              <w:right w:val="single" w:sz="4" w:space="0" w:color="auto"/>
            </w:tcBorders>
          </w:tcPr>
          <w:p w14:paraId="24813639" w14:textId="77777777" w:rsidR="00DF56D8" w:rsidRPr="00A942F6" w:rsidRDefault="00DF56D8" w:rsidP="00641834">
            <w:pPr>
              <w:pStyle w:val="TableParagraph"/>
              <w:ind w:left="284"/>
              <w:rPr>
                <w:sz w:val="20"/>
                <w:szCs w:val="20"/>
                <w:lang w:val="nb-NO"/>
              </w:rPr>
            </w:pPr>
            <w:r w:rsidRPr="00A942F6">
              <w:rPr>
                <w:sz w:val="20"/>
                <w:szCs w:val="20"/>
                <w:lang w:val="nb-NO"/>
              </w:rPr>
              <w:t>Median</w:t>
            </w:r>
          </w:p>
        </w:tc>
        <w:tc>
          <w:tcPr>
            <w:tcW w:w="1446" w:type="dxa"/>
            <w:tcBorders>
              <w:top w:val="single" w:sz="4" w:space="0" w:color="auto"/>
              <w:left w:val="single" w:sz="4" w:space="0" w:color="auto"/>
              <w:bottom w:val="single" w:sz="4" w:space="0" w:color="auto"/>
              <w:right w:val="single" w:sz="4" w:space="0" w:color="auto"/>
            </w:tcBorders>
          </w:tcPr>
          <w:p w14:paraId="0C09EA93" w14:textId="77777777" w:rsidR="00DF56D8" w:rsidRPr="00A942F6" w:rsidRDefault="00DF56D8" w:rsidP="00641834">
            <w:pPr>
              <w:pStyle w:val="TableParagraph"/>
              <w:jc w:val="center"/>
              <w:rPr>
                <w:sz w:val="20"/>
                <w:szCs w:val="20"/>
                <w:lang w:val="nb-NO"/>
              </w:rPr>
            </w:pPr>
            <w:r w:rsidRPr="00A942F6">
              <w:rPr>
                <w:sz w:val="20"/>
                <w:szCs w:val="20"/>
                <w:lang w:val="nb-NO"/>
              </w:rPr>
              <w:t>42,0</w:t>
            </w:r>
          </w:p>
        </w:tc>
        <w:tc>
          <w:tcPr>
            <w:tcW w:w="1417" w:type="dxa"/>
            <w:tcBorders>
              <w:top w:val="single" w:sz="4" w:space="0" w:color="auto"/>
              <w:left w:val="single" w:sz="4" w:space="0" w:color="auto"/>
              <w:bottom w:val="single" w:sz="4" w:space="0" w:color="auto"/>
              <w:right w:val="single" w:sz="4" w:space="0" w:color="auto"/>
            </w:tcBorders>
          </w:tcPr>
          <w:p w14:paraId="7378AFEA" w14:textId="77777777" w:rsidR="00DF56D8" w:rsidRPr="00A942F6" w:rsidRDefault="00DF56D8" w:rsidP="00641834">
            <w:pPr>
              <w:pStyle w:val="TableParagraph"/>
              <w:jc w:val="center"/>
              <w:rPr>
                <w:sz w:val="20"/>
                <w:szCs w:val="20"/>
                <w:lang w:val="nb-NO"/>
              </w:rPr>
            </w:pPr>
            <w:r w:rsidRPr="00A942F6">
              <w:rPr>
                <w:sz w:val="20"/>
                <w:szCs w:val="20"/>
                <w:lang w:val="nb-NO"/>
              </w:rPr>
              <w:t>41,0</w:t>
            </w:r>
          </w:p>
        </w:tc>
        <w:tc>
          <w:tcPr>
            <w:tcW w:w="2268" w:type="dxa"/>
            <w:tcBorders>
              <w:top w:val="single" w:sz="4" w:space="0" w:color="auto"/>
              <w:left w:val="single" w:sz="4" w:space="0" w:color="auto"/>
              <w:bottom w:val="single" w:sz="4" w:space="0" w:color="auto"/>
              <w:right w:val="single" w:sz="4" w:space="0" w:color="auto"/>
            </w:tcBorders>
          </w:tcPr>
          <w:p w14:paraId="78018BC8" w14:textId="77777777" w:rsidR="00DF56D8" w:rsidRPr="00A942F6" w:rsidRDefault="00DF56D8" w:rsidP="00641834">
            <w:pPr>
              <w:pStyle w:val="TableParagraph"/>
              <w:jc w:val="center"/>
              <w:rPr>
                <w:sz w:val="20"/>
                <w:szCs w:val="20"/>
                <w:lang w:val="nb-NO"/>
              </w:rPr>
            </w:pPr>
            <w:r w:rsidRPr="00A942F6">
              <w:rPr>
                <w:sz w:val="20"/>
                <w:szCs w:val="20"/>
                <w:lang w:val="nb-NO"/>
              </w:rPr>
              <w:t>41,0</w:t>
            </w:r>
          </w:p>
        </w:tc>
        <w:tc>
          <w:tcPr>
            <w:tcW w:w="2249" w:type="dxa"/>
            <w:tcBorders>
              <w:top w:val="single" w:sz="4" w:space="0" w:color="auto"/>
              <w:left w:val="single" w:sz="4" w:space="0" w:color="auto"/>
              <w:bottom w:val="single" w:sz="4" w:space="0" w:color="auto"/>
              <w:right w:val="single" w:sz="4" w:space="0" w:color="auto"/>
            </w:tcBorders>
          </w:tcPr>
          <w:p w14:paraId="6E5C6786" w14:textId="77777777" w:rsidR="00DF56D8" w:rsidRPr="00A942F6" w:rsidRDefault="00DF56D8" w:rsidP="00641834">
            <w:pPr>
              <w:pStyle w:val="TableParagraph"/>
              <w:jc w:val="center"/>
              <w:rPr>
                <w:sz w:val="20"/>
                <w:szCs w:val="20"/>
                <w:lang w:val="nb-NO"/>
              </w:rPr>
            </w:pPr>
            <w:r w:rsidRPr="00A942F6">
              <w:rPr>
                <w:sz w:val="20"/>
                <w:szCs w:val="20"/>
                <w:lang w:val="nb-NO"/>
              </w:rPr>
              <w:t>42,0</w:t>
            </w:r>
          </w:p>
        </w:tc>
      </w:tr>
      <w:tr w:rsidR="00DF56D8" w:rsidRPr="00A942F6" w14:paraId="60EB122B" w14:textId="77777777" w:rsidTr="007C576F">
        <w:trPr>
          <w:cantSplit/>
          <w:trHeight w:val="20"/>
        </w:trPr>
        <w:tc>
          <w:tcPr>
            <w:tcW w:w="1668" w:type="dxa"/>
            <w:tcBorders>
              <w:top w:val="single" w:sz="4" w:space="0" w:color="auto"/>
              <w:left w:val="single" w:sz="4" w:space="0" w:color="auto"/>
              <w:bottom w:val="single" w:sz="4" w:space="0" w:color="auto"/>
              <w:right w:val="single" w:sz="4" w:space="0" w:color="auto"/>
            </w:tcBorders>
          </w:tcPr>
          <w:p w14:paraId="121CC864" w14:textId="77777777" w:rsidR="00DF56D8" w:rsidRPr="00A942F6" w:rsidRDefault="00DF56D8" w:rsidP="00641834">
            <w:pPr>
              <w:pStyle w:val="TableParagraph"/>
              <w:ind w:left="284"/>
              <w:rPr>
                <w:sz w:val="20"/>
                <w:szCs w:val="20"/>
                <w:lang w:val="nb-NO"/>
              </w:rPr>
            </w:pPr>
            <w:r w:rsidRPr="00A942F6">
              <w:rPr>
                <w:sz w:val="20"/>
                <w:szCs w:val="20"/>
                <w:lang w:val="nb-NO"/>
              </w:rPr>
              <w:t>Min – Max</w:t>
            </w:r>
          </w:p>
        </w:tc>
        <w:tc>
          <w:tcPr>
            <w:tcW w:w="1446" w:type="dxa"/>
            <w:tcBorders>
              <w:top w:val="single" w:sz="4" w:space="0" w:color="auto"/>
              <w:left w:val="single" w:sz="4" w:space="0" w:color="auto"/>
              <w:bottom w:val="single" w:sz="4" w:space="0" w:color="auto"/>
              <w:right w:val="single" w:sz="4" w:space="0" w:color="auto"/>
            </w:tcBorders>
          </w:tcPr>
          <w:p w14:paraId="75407074" w14:textId="77777777" w:rsidR="00DF56D8" w:rsidRPr="00A942F6" w:rsidRDefault="00DF56D8" w:rsidP="00641834">
            <w:pPr>
              <w:pStyle w:val="TableParagraph"/>
              <w:jc w:val="center"/>
              <w:rPr>
                <w:sz w:val="20"/>
                <w:szCs w:val="20"/>
                <w:lang w:val="nb-NO"/>
              </w:rPr>
            </w:pPr>
            <w:r w:rsidRPr="00A942F6">
              <w:rPr>
                <w:sz w:val="20"/>
                <w:szCs w:val="20"/>
                <w:lang w:val="nb-NO"/>
              </w:rPr>
              <w:t>6 – 63</w:t>
            </w:r>
          </w:p>
        </w:tc>
        <w:tc>
          <w:tcPr>
            <w:tcW w:w="1417" w:type="dxa"/>
            <w:tcBorders>
              <w:top w:val="single" w:sz="4" w:space="0" w:color="auto"/>
              <w:left w:val="single" w:sz="4" w:space="0" w:color="auto"/>
              <w:bottom w:val="single" w:sz="4" w:space="0" w:color="auto"/>
              <w:right w:val="single" w:sz="4" w:space="0" w:color="auto"/>
            </w:tcBorders>
          </w:tcPr>
          <w:p w14:paraId="442700F6" w14:textId="77777777" w:rsidR="00DF56D8" w:rsidRPr="00A942F6" w:rsidRDefault="00DF56D8" w:rsidP="00641834">
            <w:pPr>
              <w:pStyle w:val="TableParagraph"/>
              <w:jc w:val="center"/>
              <w:rPr>
                <w:sz w:val="20"/>
                <w:szCs w:val="20"/>
                <w:lang w:val="nb-NO"/>
              </w:rPr>
            </w:pPr>
            <w:r w:rsidRPr="00A942F6">
              <w:rPr>
                <w:sz w:val="20"/>
                <w:szCs w:val="20"/>
                <w:lang w:val="nb-NO"/>
              </w:rPr>
              <w:t>12 – 82</w:t>
            </w:r>
          </w:p>
        </w:tc>
        <w:tc>
          <w:tcPr>
            <w:tcW w:w="2268" w:type="dxa"/>
            <w:tcBorders>
              <w:top w:val="single" w:sz="4" w:space="0" w:color="auto"/>
              <w:left w:val="single" w:sz="4" w:space="0" w:color="auto"/>
              <w:bottom w:val="single" w:sz="4" w:space="0" w:color="auto"/>
              <w:right w:val="single" w:sz="4" w:space="0" w:color="auto"/>
            </w:tcBorders>
          </w:tcPr>
          <w:p w14:paraId="275CA9B9" w14:textId="77777777" w:rsidR="00DF56D8" w:rsidRPr="00A942F6" w:rsidRDefault="00DF56D8" w:rsidP="00641834">
            <w:pPr>
              <w:pStyle w:val="TableParagraph"/>
              <w:jc w:val="center"/>
              <w:rPr>
                <w:sz w:val="20"/>
                <w:szCs w:val="20"/>
                <w:lang w:val="nb-NO"/>
              </w:rPr>
            </w:pPr>
            <w:r w:rsidRPr="00A942F6">
              <w:rPr>
                <w:sz w:val="20"/>
                <w:szCs w:val="20"/>
                <w:lang w:val="nb-NO"/>
              </w:rPr>
              <w:t>1 – 87</w:t>
            </w:r>
          </w:p>
        </w:tc>
        <w:tc>
          <w:tcPr>
            <w:tcW w:w="2249" w:type="dxa"/>
            <w:tcBorders>
              <w:top w:val="single" w:sz="4" w:space="0" w:color="auto"/>
              <w:left w:val="single" w:sz="4" w:space="0" w:color="auto"/>
              <w:bottom w:val="single" w:sz="4" w:space="0" w:color="auto"/>
              <w:right w:val="single" w:sz="4" w:space="0" w:color="auto"/>
            </w:tcBorders>
          </w:tcPr>
          <w:p w14:paraId="28E7D535" w14:textId="77777777" w:rsidR="00DF56D8" w:rsidRPr="00A942F6" w:rsidRDefault="00DF56D8" w:rsidP="00641834">
            <w:pPr>
              <w:pStyle w:val="TableParagraph"/>
              <w:jc w:val="center"/>
              <w:rPr>
                <w:sz w:val="20"/>
                <w:szCs w:val="20"/>
                <w:lang w:val="nb-NO"/>
              </w:rPr>
            </w:pPr>
            <w:r w:rsidRPr="00A942F6">
              <w:rPr>
                <w:sz w:val="20"/>
                <w:szCs w:val="20"/>
                <w:lang w:val="nb-NO"/>
              </w:rPr>
              <w:t>9 - 87</w:t>
            </w:r>
          </w:p>
        </w:tc>
      </w:tr>
    </w:tbl>
    <w:p w14:paraId="3524D323" w14:textId="77777777" w:rsidR="00DF56D8" w:rsidRPr="00A942F6" w:rsidRDefault="00DF56D8" w:rsidP="00641834">
      <w:pPr>
        <w:rPr>
          <w:lang w:val="nb-NO"/>
        </w:rPr>
      </w:pPr>
    </w:p>
    <w:p w14:paraId="60C4C58C" w14:textId="7D6C9A50" w:rsidR="00DF56D8" w:rsidRPr="00A942F6" w:rsidRDefault="00DF56D8" w:rsidP="00641834">
      <w:pPr>
        <w:rPr>
          <w:lang w:val="nb-NO"/>
        </w:rPr>
      </w:pPr>
      <w:r w:rsidRPr="00A942F6">
        <w:rPr>
          <w:lang w:val="nb-NO"/>
        </w:rPr>
        <w:t xml:space="preserve">Det primære effektmålet, som ble vurdert ut fra andel pasienter som oppnådde stereoidfri, vedvarende remisjon ved uke 52 på </w:t>
      </w:r>
      <w:r w:rsidR="00813939" w:rsidRPr="00A942F6">
        <w:rPr>
          <w:lang w:val="nb-NO"/>
        </w:rPr>
        <w:t>tocilizumab</w:t>
      </w:r>
      <w:r w:rsidRPr="00A942F6">
        <w:rPr>
          <w:lang w:val="nb-NO"/>
        </w:rPr>
        <w:t xml:space="preserve"> pluss 26 ukers nedtrapping av prednison, sammenlignet med placebo pluss 26 ukers nedtrapping av prednison, ble oppfylt (tabell 4).</w:t>
      </w:r>
    </w:p>
    <w:p w14:paraId="77DB71E9" w14:textId="77777777" w:rsidR="00DF56D8" w:rsidRPr="00A942F6" w:rsidRDefault="00DF56D8" w:rsidP="00641834">
      <w:pPr>
        <w:rPr>
          <w:lang w:val="nb-NO"/>
        </w:rPr>
      </w:pPr>
    </w:p>
    <w:p w14:paraId="38ADE09F" w14:textId="77777777" w:rsidR="00DF56D8" w:rsidRPr="00A942F6" w:rsidRDefault="00DF56D8" w:rsidP="00641834">
      <w:pPr>
        <w:rPr>
          <w:lang w:val="nb-NO"/>
        </w:rPr>
      </w:pPr>
      <w:r w:rsidRPr="00A942F6">
        <w:rPr>
          <w:lang w:val="nb-NO"/>
        </w:rPr>
        <w:t>Det viktigste sekundære effektmålet, som også var basert på andel pasienter som oppnådde vedvarende remisjon ved uke 52, sammenlignet tocilizumab pluss 26 ukers nedtrapping av prednison med placebo pluss 52 ukers nedtrapping av prednison, ble også oppfylt (tabell 4).</w:t>
      </w:r>
    </w:p>
    <w:p w14:paraId="018EF9AD" w14:textId="77777777" w:rsidR="001F4B8A" w:rsidRPr="00A942F6" w:rsidRDefault="001F4B8A" w:rsidP="00641834">
      <w:pPr>
        <w:rPr>
          <w:lang w:val="nb-NO"/>
        </w:rPr>
      </w:pPr>
    </w:p>
    <w:p w14:paraId="650D0104" w14:textId="4A68FBDA" w:rsidR="00DF56D8" w:rsidRPr="00A942F6" w:rsidRDefault="00DF56D8" w:rsidP="00641834">
      <w:pPr>
        <w:rPr>
          <w:lang w:val="nb-NO"/>
        </w:rPr>
      </w:pPr>
      <w:r w:rsidRPr="00A942F6">
        <w:rPr>
          <w:lang w:val="nb-NO"/>
        </w:rPr>
        <w:t xml:space="preserve">Statistisk signifikant forbedring av behandlingseffekt, i form av vedvarende remisjon uten steroider ved uke 52, ble vist ved behandling med </w:t>
      </w:r>
      <w:r w:rsidR="00813939" w:rsidRPr="00A942F6">
        <w:rPr>
          <w:lang w:val="nb-NO"/>
        </w:rPr>
        <w:t>tocilizumab</w:t>
      </w:r>
      <w:r w:rsidRPr="00A942F6">
        <w:rPr>
          <w:lang w:val="nb-NO"/>
        </w:rPr>
        <w:t xml:space="preserve"> pluss 26 ukers nedtrapping av prednison, sammenlignet med placebo pluss 26 ukers nedtrappping av prednison og placebo pluss 52 ukers nedtrapping av prednison.</w:t>
      </w:r>
    </w:p>
    <w:p w14:paraId="3EECE5E0" w14:textId="77777777" w:rsidR="001F4B8A" w:rsidRPr="00A942F6" w:rsidRDefault="001F4B8A" w:rsidP="00641834">
      <w:pPr>
        <w:rPr>
          <w:lang w:val="nb-NO"/>
        </w:rPr>
      </w:pPr>
    </w:p>
    <w:p w14:paraId="213B8523" w14:textId="77777777" w:rsidR="00DF56D8" w:rsidRPr="00A942F6" w:rsidRDefault="00DF56D8" w:rsidP="00641834">
      <w:pPr>
        <w:rPr>
          <w:lang w:val="nb-NO"/>
        </w:rPr>
      </w:pPr>
      <w:r w:rsidRPr="00A942F6">
        <w:rPr>
          <w:lang w:val="nb-NO"/>
        </w:rPr>
        <w:t>Prosentandelen pasienter som oppnådde vedvarende remisjon ved uke 52, er vist i tabell 4.</w:t>
      </w:r>
    </w:p>
    <w:p w14:paraId="036F637D" w14:textId="77777777" w:rsidR="00DF56D8" w:rsidRPr="00A942F6" w:rsidRDefault="00DF56D8" w:rsidP="00641834">
      <w:pPr>
        <w:rPr>
          <w:lang w:val="nb-NO"/>
        </w:rPr>
      </w:pPr>
    </w:p>
    <w:p w14:paraId="634868BB" w14:textId="77777777" w:rsidR="00DF56D8" w:rsidRPr="00A942F6" w:rsidRDefault="00DF56D8" w:rsidP="00641834">
      <w:pPr>
        <w:pStyle w:val="Style1Iitaic"/>
        <w:rPr>
          <w:lang w:val="nb-NO"/>
        </w:rPr>
      </w:pPr>
      <w:r w:rsidRPr="00A942F6">
        <w:rPr>
          <w:lang w:val="nb-NO"/>
        </w:rPr>
        <w:t>Sekundære endepunkter</w:t>
      </w:r>
    </w:p>
    <w:p w14:paraId="6BE6C238" w14:textId="428E13E2" w:rsidR="00DF56D8" w:rsidRPr="00A942F6" w:rsidRDefault="00DF56D8" w:rsidP="00641834">
      <w:pPr>
        <w:rPr>
          <w:lang w:val="nb-NO"/>
        </w:rPr>
      </w:pPr>
      <w:r w:rsidRPr="00A942F6">
        <w:rPr>
          <w:lang w:val="nb-NO"/>
        </w:rPr>
        <w:t xml:space="preserve">Evaluering av tid til første oppbluss av GCA viste en signifikant lavere risiko for oppbluss hos gruppen som fikk </w:t>
      </w:r>
      <w:r w:rsidR="00813939" w:rsidRPr="00A942F6">
        <w:rPr>
          <w:lang w:val="nb-NO"/>
        </w:rPr>
        <w:t>tocilizumab</w:t>
      </w:r>
      <w:r w:rsidRPr="00A942F6">
        <w:rPr>
          <w:lang w:val="nb-NO"/>
        </w:rPr>
        <w:t xml:space="preserve"> subkutant ukentlig, sammenlignet med gruppen som fikk placebo pluss 26 ukers nedtrapping av prednison og gruppen som fikk placebo pluss 52 ukers nedtrapping av prednison og for gruppen som fikk </w:t>
      </w:r>
      <w:r w:rsidR="00813939" w:rsidRPr="00A942F6">
        <w:rPr>
          <w:lang w:val="nb-NO"/>
        </w:rPr>
        <w:t>tocilizumab</w:t>
      </w:r>
      <w:r w:rsidRPr="00A942F6">
        <w:rPr>
          <w:lang w:val="nb-NO"/>
        </w:rPr>
        <w:t xml:space="preserve"> subkutant annenhver uke, sammenlignet med gruppen som fikk placebo pluss 26 uker med prednison (sammenlignet på signifikansnivå 0,01). Gruppen som fikk </w:t>
      </w:r>
      <w:r w:rsidR="00813939" w:rsidRPr="00A942F6">
        <w:rPr>
          <w:lang w:val="nb-NO"/>
        </w:rPr>
        <w:t>tocilizumab</w:t>
      </w:r>
      <w:r w:rsidRPr="00A942F6">
        <w:rPr>
          <w:lang w:val="nb-NO"/>
        </w:rPr>
        <w:t xml:space="preserve"> subkutant ukentlig viste en klinisk betydningsfull reduksjon i risiko for oppbluss, sammenlignet med gruppen som fikk placebo pluss 26 uker med prednison hos pasienter som gikk inn i studien med tilbakevendende GCA, samt de med nyoppstartet sykdom (tabell 4).</w:t>
      </w:r>
    </w:p>
    <w:p w14:paraId="0EB5DAF4" w14:textId="77777777" w:rsidR="00DF56D8" w:rsidRPr="00A942F6" w:rsidRDefault="00DF56D8" w:rsidP="00641834">
      <w:pPr>
        <w:rPr>
          <w:lang w:val="nb-NO"/>
        </w:rPr>
      </w:pPr>
    </w:p>
    <w:p w14:paraId="719D78D0" w14:textId="77777777" w:rsidR="00DF56D8" w:rsidRPr="00A942F6" w:rsidRDefault="00DF56D8" w:rsidP="00641834">
      <w:pPr>
        <w:pStyle w:val="Style1Iitaic"/>
        <w:rPr>
          <w:lang w:val="nb-NO"/>
        </w:rPr>
      </w:pPr>
      <w:r w:rsidRPr="00A942F6">
        <w:rPr>
          <w:lang w:val="nb-NO"/>
        </w:rPr>
        <w:t>Akkumulerte doser av glukokortikoider</w:t>
      </w:r>
    </w:p>
    <w:p w14:paraId="4130A9EA" w14:textId="3E2F067B" w:rsidR="00DF56D8" w:rsidRPr="00A942F6" w:rsidRDefault="00DF56D8" w:rsidP="00641834">
      <w:pPr>
        <w:rPr>
          <w:lang w:val="nb-NO"/>
        </w:rPr>
      </w:pPr>
      <w:r w:rsidRPr="00A942F6">
        <w:rPr>
          <w:lang w:val="nb-NO"/>
        </w:rPr>
        <w:t xml:space="preserve">Den akkumulerte dosen prednison ved uke 52 var signifikant lavere i de to gruppene som fikk </w:t>
      </w:r>
      <w:r w:rsidR="00813939" w:rsidRPr="00A942F6">
        <w:rPr>
          <w:lang w:val="nb-NO"/>
        </w:rPr>
        <w:t>tocilizumab</w:t>
      </w:r>
      <w:r w:rsidRPr="00A942F6">
        <w:rPr>
          <w:lang w:val="nb-NO"/>
        </w:rPr>
        <w:t xml:space="preserve"> sammenlignet med de to placebogruppene (tabell 4). I en separat analyse av pasientene som fikk prednison i tillegg for å behandle oppbluss av GCA i løpet av de første 52 ukene, var det stor variasjon i mengde akkumulert prednison. Mediandosen hos pasienter som fikk tillegg av prednison i gruppen som fikk </w:t>
      </w:r>
      <w:r w:rsidR="00813939" w:rsidRPr="00A942F6">
        <w:rPr>
          <w:lang w:val="nb-NO"/>
        </w:rPr>
        <w:t>tocilizumab</w:t>
      </w:r>
      <w:r w:rsidRPr="00A942F6">
        <w:rPr>
          <w:lang w:val="nb-NO"/>
        </w:rPr>
        <w:t xml:space="preserve"> ukentlig og annenhver uke var henholdsvis 3129,75 mg og 3847 mg.</w:t>
      </w:r>
    </w:p>
    <w:p w14:paraId="02F354A5" w14:textId="77777777" w:rsidR="00DF56D8" w:rsidRPr="00A942F6" w:rsidRDefault="00DF56D8" w:rsidP="00641834">
      <w:pPr>
        <w:rPr>
          <w:lang w:val="nb-NO"/>
        </w:rPr>
      </w:pPr>
      <w:r w:rsidRPr="00A942F6">
        <w:rPr>
          <w:lang w:val="nb-NO"/>
        </w:rPr>
        <w:lastRenderedPageBreak/>
        <w:t>Begge var betydelig lavere enn i gruppene som fikk placebo pluss 26 uker og placebo pluss 52 uker nedtrapping av prednison, henholdsvis 4023,5 mg og 5389,5 mg.</w:t>
      </w:r>
    </w:p>
    <w:p w14:paraId="4C03013A" w14:textId="77777777" w:rsidR="00DF56D8" w:rsidRPr="00A942F6" w:rsidRDefault="00DF56D8" w:rsidP="00641834">
      <w:pPr>
        <w:rPr>
          <w:lang w:val="nb-NO"/>
        </w:rPr>
      </w:pPr>
    </w:p>
    <w:p w14:paraId="2A52EC42" w14:textId="77777777" w:rsidR="00DF56D8" w:rsidRPr="00A942F6" w:rsidRDefault="00DF56D8" w:rsidP="00641834">
      <w:pPr>
        <w:pStyle w:val="Style1Iitaic"/>
        <w:rPr>
          <w:lang w:val="nb-NO"/>
        </w:rPr>
      </w:pPr>
      <w:r w:rsidRPr="00A942F6">
        <w:rPr>
          <w:lang w:val="nb-NO"/>
        </w:rPr>
        <w:t>Tabell 4. Effektresultater fra studie WA28119</w:t>
      </w:r>
    </w:p>
    <w:p w14:paraId="4A3E76D1" w14:textId="77777777" w:rsidR="001F4B8A" w:rsidRPr="00A942F6" w:rsidRDefault="001F4B8A" w:rsidP="00641834">
      <w:pPr>
        <w:pStyle w:val="Style1Iitaic"/>
        <w:rPr>
          <w:lang w:val="nb-NO"/>
        </w:rPr>
      </w:pPr>
    </w:p>
    <w:tbl>
      <w:tblPr>
        <w:tblOverlap w:val="never"/>
        <w:tblW w:w="5000" w:type="pct"/>
        <w:tblLayout w:type="fixed"/>
        <w:tblCellMar>
          <w:top w:w="28" w:type="dxa"/>
          <w:left w:w="28" w:type="dxa"/>
          <w:bottom w:w="28" w:type="dxa"/>
          <w:right w:w="28" w:type="dxa"/>
        </w:tblCellMar>
        <w:tblLook w:val="04A0" w:firstRow="1" w:lastRow="0" w:firstColumn="1" w:lastColumn="0" w:noHBand="0" w:noVBand="1"/>
      </w:tblPr>
      <w:tblGrid>
        <w:gridCol w:w="3682"/>
        <w:gridCol w:w="1558"/>
        <w:gridCol w:w="1279"/>
        <w:gridCol w:w="1249"/>
        <w:gridCol w:w="1293"/>
      </w:tblGrid>
      <w:tr w:rsidR="00BB4253" w:rsidRPr="00A942F6" w14:paraId="6CA32CDD" w14:textId="77777777" w:rsidTr="00C42B2C">
        <w:trPr>
          <w:cantSplit/>
          <w:tblHeader/>
        </w:trPr>
        <w:tc>
          <w:tcPr>
            <w:tcW w:w="3682" w:type="dxa"/>
            <w:tcBorders>
              <w:top w:val="single" w:sz="4" w:space="0" w:color="auto"/>
              <w:left w:val="single" w:sz="4" w:space="0" w:color="auto"/>
            </w:tcBorders>
          </w:tcPr>
          <w:p w14:paraId="59611DC5" w14:textId="77777777" w:rsidR="00BB4253" w:rsidRPr="00A942F6" w:rsidRDefault="00BB4253" w:rsidP="0036729A">
            <w:pPr>
              <w:keepNext/>
              <w:suppressAutoHyphens/>
              <w:rPr>
                <w:sz w:val="20"/>
                <w:szCs w:val="20"/>
                <w:lang w:val="nb-NO"/>
              </w:rPr>
            </w:pPr>
          </w:p>
        </w:tc>
        <w:tc>
          <w:tcPr>
            <w:tcW w:w="1558" w:type="dxa"/>
            <w:tcBorders>
              <w:top w:val="single" w:sz="4" w:space="0" w:color="auto"/>
              <w:left w:val="single" w:sz="4" w:space="0" w:color="auto"/>
            </w:tcBorders>
          </w:tcPr>
          <w:p w14:paraId="7DBFF357" w14:textId="77777777" w:rsidR="00BB4253" w:rsidRPr="00A942F6" w:rsidRDefault="00BB4253" w:rsidP="0036729A">
            <w:pPr>
              <w:pStyle w:val="TableParagraph"/>
              <w:keepNext/>
              <w:jc w:val="center"/>
              <w:rPr>
                <w:b/>
                <w:sz w:val="20"/>
                <w:szCs w:val="20"/>
                <w:lang w:val="nb-NO"/>
              </w:rPr>
            </w:pPr>
            <w:r w:rsidRPr="00A942F6">
              <w:rPr>
                <w:b/>
                <w:sz w:val="20"/>
                <w:szCs w:val="20"/>
                <w:lang w:val="nb-NO"/>
              </w:rPr>
              <w:t>Placebo + 26 uker</w:t>
            </w:r>
          </w:p>
          <w:p w14:paraId="47E75C92" w14:textId="77777777" w:rsidR="00BB4253" w:rsidRPr="00A942F6" w:rsidRDefault="00BB4253" w:rsidP="0036729A">
            <w:pPr>
              <w:pStyle w:val="TableParagraph"/>
              <w:keepNext/>
              <w:jc w:val="center"/>
              <w:rPr>
                <w:b/>
                <w:sz w:val="20"/>
                <w:szCs w:val="20"/>
                <w:lang w:val="nb-NO"/>
              </w:rPr>
            </w:pPr>
            <w:r w:rsidRPr="00A942F6">
              <w:rPr>
                <w:b/>
                <w:sz w:val="20"/>
                <w:szCs w:val="20"/>
                <w:lang w:val="nb-NO"/>
              </w:rPr>
              <w:t>nedtrapping av prednison</w:t>
            </w:r>
          </w:p>
          <w:p w14:paraId="11D73292" w14:textId="77777777" w:rsidR="00BB4253" w:rsidRPr="00A942F6" w:rsidRDefault="00BB4253" w:rsidP="0036729A">
            <w:pPr>
              <w:pStyle w:val="TableParagraph"/>
              <w:keepNext/>
              <w:jc w:val="center"/>
              <w:rPr>
                <w:b/>
                <w:sz w:val="20"/>
                <w:szCs w:val="20"/>
                <w:lang w:val="nb-NO"/>
              </w:rPr>
            </w:pPr>
            <w:r w:rsidRPr="00A942F6">
              <w:rPr>
                <w:b/>
                <w:sz w:val="20"/>
                <w:szCs w:val="20"/>
                <w:lang w:val="nb-NO"/>
              </w:rPr>
              <w:t>N=50</w:t>
            </w:r>
          </w:p>
        </w:tc>
        <w:tc>
          <w:tcPr>
            <w:tcW w:w="1279" w:type="dxa"/>
            <w:tcBorders>
              <w:top w:val="single" w:sz="4" w:space="0" w:color="auto"/>
              <w:left w:val="single" w:sz="4" w:space="0" w:color="auto"/>
            </w:tcBorders>
          </w:tcPr>
          <w:p w14:paraId="07BBC33D" w14:textId="77777777" w:rsidR="00BB4253" w:rsidRPr="00A942F6" w:rsidRDefault="00BB4253" w:rsidP="0036729A">
            <w:pPr>
              <w:pStyle w:val="TableParagraph"/>
              <w:keepNext/>
              <w:jc w:val="center"/>
              <w:rPr>
                <w:b/>
                <w:sz w:val="20"/>
                <w:szCs w:val="20"/>
                <w:lang w:val="nb-NO"/>
              </w:rPr>
            </w:pPr>
            <w:r w:rsidRPr="00A942F6">
              <w:rPr>
                <w:b/>
                <w:sz w:val="20"/>
                <w:szCs w:val="20"/>
                <w:lang w:val="nb-NO"/>
              </w:rPr>
              <w:t>Placebo + 52 uker nedtrapping av prednison</w:t>
            </w:r>
          </w:p>
          <w:p w14:paraId="493DB77A" w14:textId="77777777" w:rsidR="00BB4253" w:rsidRPr="00A942F6" w:rsidRDefault="00BB4253" w:rsidP="0036729A">
            <w:pPr>
              <w:pStyle w:val="TableParagraph"/>
              <w:keepNext/>
              <w:jc w:val="center"/>
              <w:rPr>
                <w:b/>
                <w:sz w:val="20"/>
                <w:szCs w:val="20"/>
                <w:lang w:val="nb-NO"/>
              </w:rPr>
            </w:pPr>
            <w:r w:rsidRPr="00A942F6">
              <w:rPr>
                <w:b/>
                <w:sz w:val="20"/>
                <w:szCs w:val="20"/>
                <w:lang w:val="nb-NO"/>
              </w:rPr>
              <w:t>N=51</w:t>
            </w:r>
          </w:p>
        </w:tc>
        <w:tc>
          <w:tcPr>
            <w:tcW w:w="1249" w:type="dxa"/>
            <w:tcBorders>
              <w:top w:val="single" w:sz="4" w:space="0" w:color="auto"/>
              <w:left w:val="single" w:sz="4" w:space="0" w:color="auto"/>
            </w:tcBorders>
          </w:tcPr>
          <w:p w14:paraId="5FB4A5A0" w14:textId="2D186CA2" w:rsidR="00BB4253" w:rsidRPr="00A942F6" w:rsidRDefault="00813939" w:rsidP="0036729A">
            <w:pPr>
              <w:pStyle w:val="TableParagraph"/>
              <w:keepNext/>
              <w:jc w:val="center"/>
              <w:rPr>
                <w:b/>
                <w:sz w:val="20"/>
                <w:szCs w:val="20"/>
                <w:lang w:val="nb-NO"/>
              </w:rPr>
            </w:pPr>
            <w:r w:rsidRPr="00A942F6">
              <w:rPr>
                <w:b/>
                <w:sz w:val="20"/>
                <w:szCs w:val="20"/>
                <w:lang w:val="nb-NO"/>
              </w:rPr>
              <w:t>Tocilizumab</w:t>
            </w:r>
            <w:r w:rsidR="00BB4253" w:rsidRPr="00A942F6">
              <w:rPr>
                <w:b/>
                <w:sz w:val="20"/>
                <w:szCs w:val="20"/>
                <w:lang w:val="nb-NO"/>
              </w:rPr>
              <w:t xml:space="preserve"> 162 mg s.c. ukentlig + 26 uker nedtrapping av prednison</w:t>
            </w:r>
          </w:p>
          <w:p w14:paraId="3042D0F4" w14:textId="77777777" w:rsidR="00BB4253" w:rsidRPr="00A942F6" w:rsidRDefault="00BB4253" w:rsidP="0036729A">
            <w:pPr>
              <w:pStyle w:val="TableParagraph"/>
              <w:keepNext/>
              <w:jc w:val="center"/>
              <w:rPr>
                <w:b/>
                <w:sz w:val="20"/>
                <w:szCs w:val="20"/>
                <w:lang w:val="nb-NO"/>
              </w:rPr>
            </w:pPr>
            <w:r w:rsidRPr="00A942F6">
              <w:rPr>
                <w:b/>
                <w:sz w:val="20"/>
                <w:szCs w:val="20"/>
                <w:lang w:val="nb-NO"/>
              </w:rPr>
              <w:t>N=100</w:t>
            </w:r>
          </w:p>
        </w:tc>
        <w:tc>
          <w:tcPr>
            <w:tcW w:w="1293" w:type="dxa"/>
            <w:tcBorders>
              <w:top w:val="single" w:sz="4" w:space="0" w:color="auto"/>
              <w:left w:val="single" w:sz="4" w:space="0" w:color="auto"/>
              <w:right w:val="single" w:sz="4" w:space="0" w:color="auto"/>
            </w:tcBorders>
          </w:tcPr>
          <w:p w14:paraId="0E56F4B7" w14:textId="1D0C556D" w:rsidR="00BB4253" w:rsidRPr="00A942F6" w:rsidRDefault="00813939" w:rsidP="0036729A">
            <w:pPr>
              <w:pStyle w:val="TableParagraph"/>
              <w:keepNext/>
              <w:jc w:val="center"/>
              <w:rPr>
                <w:b/>
                <w:sz w:val="20"/>
                <w:szCs w:val="20"/>
                <w:lang w:val="nb-NO"/>
              </w:rPr>
            </w:pPr>
            <w:r w:rsidRPr="00A942F6">
              <w:rPr>
                <w:b/>
                <w:sz w:val="20"/>
                <w:szCs w:val="20"/>
                <w:lang w:val="nb-NO"/>
              </w:rPr>
              <w:t>Tocilizumab</w:t>
            </w:r>
            <w:r w:rsidR="00BB4253" w:rsidRPr="00A942F6">
              <w:rPr>
                <w:b/>
                <w:sz w:val="20"/>
                <w:szCs w:val="20"/>
                <w:lang w:val="nb-NO"/>
              </w:rPr>
              <w:t xml:space="preserve"> 162 mg s.c. annenhver uke + 26 uker nedtrapping av prednison</w:t>
            </w:r>
          </w:p>
          <w:p w14:paraId="38F6BC50" w14:textId="77777777" w:rsidR="00BB4253" w:rsidRPr="00A942F6" w:rsidRDefault="00BB4253" w:rsidP="0036729A">
            <w:pPr>
              <w:pStyle w:val="TableParagraph"/>
              <w:keepNext/>
              <w:jc w:val="center"/>
              <w:rPr>
                <w:b/>
                <w:sz w:val="20"/>
                <w:szCs w:val="20"/>
                <w:lang w:val="nb-NO"/>
              </w:rPr>
            </w:pPr>
            <w:r w:rsidRPr="00A942F6">
              <w:rPr>
                <w:b/>
                <w:sz w:val="20"/>
                <w:szCs w:val="20"/>
                <w:lang w:val="nb-NO"/>
              </w:rPr>
              <w:t>N=49</w:t>
            </w:r>
          </w:p>
        </w:tc>
      </w:tr>
      <w:tr w:rsidR="00BB4253" w:rsidRPr="00A942F6" w14:paraId="6A9D82C7" w14:textId="77777777" w:rsidTr="00C42B2C">
        <w:trPr>
          <w:cantSplit/>
        </w:trPr>
        <w:tc>
          <w:tcPr>
            <w:tcW w:w="9061" w:type="dxa"/>
            <w:gridSpan w:val="5"/>
            <w:tcBorders>
              <w:top w:val="single" w:sz="4" w:space="0" w:color="auto"/>
              <w:left w:val="single" w:sz="4" w:space="0" w:color="auto"/>
              <w:right w:val="single" w:sz="4" w:space="0" w:color="auto"/>
            </w:tcBorders>
          </w:tcPr>
          <w:p w14:paraId="4AFD1864" w14:textId="77777777" w:rsidR="00BB4253" w:rsidRPr="00A942F6" w:rsidRDefault="00BB4253" w:rsidP="0036729A">
            <w:pPr>
              <w:pStyle w:val="TableParagraph"/>
              <w:keepNext/>
              <w:rPr>
                <w:b/>
                <w:sz w:val="20"/>
                <w:szCs w:val="20"/>
                <w:lang w:val="nb-NO"/>
              </w:rPr>
            </w:pPr>
            <w:r w:rsidRPr="00A942F6">
              <w:rPr>
                <w:b/>
                <w:sz w:val="20"/>
                <w:szCs w:val="20"/>
                <w:lang w:val="nb-NO"/>
              </w:rPr>
              <w:t>Primært Endepunkt</w:t>
            </w:r>
          </w:p>
        </w:tc>
      </w:tr>
      <w:tr w:rsidR="00BB4253" w:rsidRPr="00B477E5" w14:paraId="4CC50C41" w14:textId="77777777" w:rsidTr="00C42B2C">
        <w:trPr>
          <w:cantSplit/>
        </w:trPr>
        <w:tc>
          <w:tcPr>
            <w:tcW w:w="9061" w:type="dxa"/>
            <w:gridSpan w:val="5"/>
            <w:tcBorders>
              <w:top w:val="single" w:sz="4" w:space="0" w:color="auto"/>
              <w:left w:val="single" w:sz="4" w:space="0" w:color="auto"/>
              <w:right w:val="single" w:sz="4" w:space="0" w:color="auto"/>
            </w:tcBorders>
          </w:tcPr>
          <w:p w14:paraId="37AEECF4" w14:textId="77777777" w:rsidR="00BB4253" w:rsidRPr="00A942F6" w:rsidRDefault="00BB4253" w:rsidP="00641834">
            <w:pPr>
              <w:pStyle w:val="TableParagraph"/>
              <w:rPr>
                <w:sz w:val="20"/>
                <w:szCs w:val="20"/>
                <w:lang w:val="nb-NO"/>
              </w:rPr>
            </w:pPr>
            <w:r w:rsidRPr="00A942F6">
              <w:rPr>
                <w:sz w:val="20"/>
                <w:szCs w:val="20"/>
                <w:lang w:val="nb-NO"/>
              </w:rPr>
              <w:t>****Vedvarende remisjon (tocilizumab-grupper versus placebo+26)</w:t>
            </w:r>
          </w:p>
        </w:tc>
      </w:tr>
      <w:tr w:rsidR="00BB4253" w:rsidRPr="00A942F6" w14:paraId="19527C7F" w14:textId="77777777" w:rsidTr="00C42B2C">
        <w:trPr>
          <w:cantSplit/>
        </w:trPr>
        <w:tc>
          <w:tcPr>
            <w:tcW w:w="3682" w:type="dxa"/>
            <w:tcBorders>
              <w:top w:val="single" w:sz="4" w:space="0" w:color="auto"/>
              <w:left w:val="single" w:sz="4" w:space="0" w:color="auto"/>
            </w:tcBorders>
          </w:tcPr>
          <w:p w14:paraId="3E73FB9F" w14:textId="77777777" w:rsidR="00BB4253" w:rsidRPr="00A942F6" w:rsidRDefault="00BB4253" w:rsidP="00641834">
            <w:pPr>
              <w:pStyle w:val="TableParagraph"/>
              <w:rPr>
                <w:sz w:val="20"/>
                <w:szCs w:val="20"/>
                <w:lang w:val="nb-NO"/>
              </w:rPr>
            </w:pPr>
            <w:r w:rsidRPr="00A942F6">
              <w:rPr>
                <w:sz w:val="20"/>
                <w:szCs w:val="20"/>
                <w:lang w:val="nb-NO"/>
              </w:rPr>
              <w:t>Respondere ved uke 52, n (%)</w:t>
            </w:r>
          </w:p>
        </w:tc>
        <w:tc>
          <w:tcPr>
            <w:tcW w:w="1558" w:type="dxa"/>
            <w:tcBorders>
              <w:top w:val="single" w:sz="4" w:space="0" w:color="auto"/>
              <w:left w:val="single" w:sz="4" w:space="0" w:color="auto"/>
            </w:tcBorders>
          </w:tcPr>
          <w:p w14:paraId="0288CCB8" w14:textId="77777777" w:rsidR="00BB4253" w:rsidRPr="00A942F6" w:rsidRDefault="00BB4253" w:rsidP="00641834">
            <w:pPr>
              <w:pStyle w:val="TableParagraph"/>
              <w:jc w:val="center"/>
              <w:rPr>
                <w:sz w:val="20"/>
                <w:szCs w:val="20"/>
                <w:lang w:val="nb-NO"/>
              </w:rPr>
            </w:pPr>
            <w:r w:rsidRPr="00A942F6">
              <w:rPr>
                <w:sz w:val="20"/>
                <w:szCs w:val="20"/>
                <w:lang w:val="nb-NO"/>
              </w:rPr>
              <w:t>7 (14%)</w:t>
            </w:r>
          </w:p>
        </w:tc>
        <w:tc>
          <w:tcPr>
            <w:tcW w:w="1279" w:type="dxa"/>
            <w:tcBorders>
              <w:top w:val="single" w:sz="4" w:space="0" w:color="auto"/>
              <w:left w:val="single" w:sz="4" w:space="0" w:color="auto"/>
            </w:tcBorders>
          </w:tcPr>
          <w:p w14:paraId="55226D09" w14:textId="77777777" w:rsidR="00BB4253" w:rsidRPr="00A942F6" w:rsidRDefault="00BB4253" w:rsidP="00641834">
            <w:pPr>
              <w:pStyle w:val="TableParagraph"/>
              <w:jc w:val="center"/>
              <w:rPr>
                <w:sz w:val="20"/>
                <w:szCs w:val="20"/>
                <w:lang w:val="nb-NO"/>
              </w:rPr>
            </w:pPr>
            <w:r w:rsidRPr="00A942F6">
              <w:rPr>
                <w:sz w:val="20"/>
                <w:szCs w:val="20"/>
                <w:lang w:val="nb-NO"/>
              </w:rPr>
              <w:t>9 (17,6%)</w:t>
            </w:r>
          </w:p>
        </w:tc>
        <w:tc>
          <w:tcPr>
            <w:tcW w:w="1249" w:type="dxa"/>
            <w:tcBorders>
              <w:top w:val="single" w:sz="4" w:space="0" w:color="auto"/>
              <w:left w:val="single" w:sz="4" w:space="0" w:color="auto"/>
            </w:tcBorders>
          </w:tcPr>
          <w:p w14:paraId="24BDC2F9" w14:textId="77777777" w:rsidR="00BB4253" w:rsidRPr="00A942F6" w:rsidRDefault="00BB4253" w:rsidP="00641834">
            <w:pPr>
              <w:pStyle w:val="TableParagraph"/>
              <w:jc w:val="center"/>
              <w:rPr>
                <w:sz w:val="20"/>
                <w:szCs w:val="20"/>
                <w:lang w:val="nb-NO"/>
              </w:rPr>
            </w:pPr>
            <w:r w:rsidRPr="00A942F6">
              <w:rPr>
                <w:sz w:val="20"/>
                <w:szCs w:val="20"/>
                <w:lang w:val="nb-NO"/>
              </w:rPr>
              <w:t>56 (56%)</w:t>
            </w:r>
          </w:p>
        </w:tc>
        <w:tc>
          <w:tcPr>
            <w:tcW w:w="1293" w:type="dxa"/>
            <w:tcBorders>
              <w:top w:val="single" w:sz="4" w:space="0" w:color="auto"/>
              <w:left w:val="single" w:sz="4" w:space="0" w:color="auto"/>
              <w:right w:val="single" w:sz="4" w:space="0" w:color="auto"/>
            </w:tcBorders>
          </w:tcPr>
          <w:p w14:paraId="1EED86A0" w14:textId="77777777" w:rsidR="00BB4253" w:rsidRPr="00A942F6" w:rsidRDefault="00BB4253" w:rsidP="00641834">
            <w:pPr>
              <w:pStyle w:val="TableParagraph"/>
              <w:jc w:val="center"/>
              <w:rPr>
                <w:sz w:val="20"/>
                <w:szCs w:val="20"/>
                <w:lang w:val="nb-NO"/>
              </w:rPr>
            </w:pPr>
            <w:r w:rsidRPr="00A942F6">
              <w:rPr>
                <w:sz w:val="20"/>
                <w:szCs w:val="20"/>
                <w:lang w:val="nb-NO"/>
              </w:rPr>
              <w:t>26 (53,1%)</w:t>
            </w:r>
          </w:p>
        </w:tc>
      </w:tr>
      <w:tr w:rsidR="00BB4253" w:rsidRPr="00A942F6" w14:paraId="2BC106E4" w14:textId="77777777" w:rsidTr="00C42B2C">
        <w:trPr>
          <w:cantSplit/>
        </w:trPr>
        <w:tc>
          <w:tcPr>
            <w:tcW w:w="3682" w:type="dxa"/>
            <w:tcBorders>
              <w:top w:val="single" w:sz="4" w:space="0" w:color="auto"/>
              <w:left w:val="single" w:sz="4" w:space="0" w:color="auto"/>
            </w:tcBorders>
          </w:tcPr>
          <w:p w14:paraId="0C7EDBD9" w14:textId="77777777" w:rsidR="00BB4253" w:rsidRPr="00A942F6" w:rsidRDefault="00BB4253" w:rsidP="00641834">
            <w:pPr>
              <w:pStyle w:val="TableParagraph"/>
              <w:rPr>
                <w:sz w:val="20"/>
                <w:szCs w:val="20"/>
                <w:lang w:val="nb-NO"/>
              </w:rPr>
            </w:pPr>
            <w:r w:rsidRPr="00A942F6">
              <w:rPr>
                <w:sz w:val="20"/>
                <w:szCs w:val="20"/>
                <w:lang w:val="nb-NO"/>
              </w:rPr>
              <w:t>Ujustert differanse i proporsjonene</w:t>
            </w:r>
          </w:p>
          <w:p w14:paraId="79C4C0C9" w14:textId="77777777" w:rsidR="00BB4253" w:rsidRPr="00A942F6" w:rsidRDefault="00BB4253" w:rsidP="00641834">
            <w:pPr>
              <w:pStyle w:val="TableParagraph"/>
              <w:rPr>
                <w:sz w:val="20"/>
                <w:szCs w:val="20"/>
                <w:lang w:val="nb-NO"/>
              </w:rPr>
            </w:pPr>
            <w:r w:rsidRPr="00A942F6">
              <w:rPr>
                <w:sz w:val="20"/>
                <w:szCs w:val="20"/>
                <w:lang w:val="nb-NO"/>
              </w:rPr>
              <w:t>(99,5% KI)</w:t>
            </w:r>
          </w:p>
        </w:tc>
        <w:tc>
          <w:tcPr>
            <w:tcW w:w="1558" w:type="dxa"/>
            <w:tcBorders>
              <w:top w:val="single" w:sz="4" w:space="0" w:color="auto"/>
              <w:left w:val="single" w:sz="4" w:space="0" w:color="auto"/>
            </w:tcBorders>
          </w:tcPr>
          <w:p w14:paraId="0C24DEA0" w14:textId="77777777" w:rsidR="00BB4253" w:rsidRPr="00A942F6" w:rsidRDefault="00BB4253" w:rsidP="00641834">
            <w:pPr>
              <w:pStyle w:val="TableParagraph"/>
              <w:jc w:val="center"/>
              <w:rPr>
                <w:sz w:val="20"/>
                <w:szCs w:val="20"/>
                <w:lang w:val="nb-NO"/>
              </w:rPr>
            </w:pPr>
            <w:r w:rsidRPr="00A942F6">
              <w:rPr>
                <w:sz w:val="20"/>
                <w:szCs w:val="20"/>
                <w:lang w:val="nb-NO"/>
              </w:rPr>
              <w:t>N/A</w:t>
            </w:r>
          </w:p>
        </w:tc>
        <w:tc>
          <w:tcPr>
            <w:tcW w:w="1279" w:type="dxa"/>
            <w:tcBorders>
              <w:top w:val="single" w:sz="4" w:space="0" w:color="auto"/>
              <w:left w:val="single" w:sz="4" w:space="0" w:color="auto"/>
            </w:tcBorders>
          </w:tcPr>
          <w:p w14:paraId="7D7D607C" w14:textId="77777777" w:rsidR="00BB4253" w:rsidRPr="00A942F6" w:rsidRDefault="00BB4253" w:rsidP="00641834">
            <w:pPr>
              <w:pStyle w:val="TableParagraph"/>
              <w:jc w:val="center"/>
              <w:rPr>
                <w:sz w:val="20"/>
                <w:szCs w:val="20"/>
                <w:lang w:val="nb-NO"/>
              </w:rPr>
            </w:pPr>
            <w:r w:rsidRPr="00A942F6">
              <w:rPr>
                <w:sz w:val="20"/>
                <w:szCs w:val="20"/>
                <w:lang w:val="nb-NO"/>
              </w:rPr>
              <w:t>N/A</w:t>
            </w:r>
          </w:p>
        </w:tc>
        <w:tc>
          <w:tcPr>
            <w:tcW w:w="1249" w:type="dxa"/>
            <w:tcBorders>
              <w:top w:val="single" w:sz="4" w:space="0" w:color="auto"/>
              <w:left w:val="single" w:sz="4" w:space="0" w:color="auto"/>
            </w:tcBorders>
          </w:tcPr>
          <w:p w14:paraId="4DEB765F" w14:textId="77777777" w:rsidR="00BB4253" w:rsidRPr="00A942F6" w:rsidRDefault="00BB4253" w:rsidP="00641834">
            <w:pPr>
              <w:pStyle w:val="TableParagraph"/>
              <w:jc w:val="center"/>
              <w:rPr>
                <w:sz w:val="20"/>
                <w:szCs w:val="20"/>
                <w:lang w:val="nb-NO"/>
              </w:rPr>
            </w:pPr>
            <w:r w:rsidRPr="00A942F6">
              <w:rPr>
                <w:sz w:val="20"/>
                <w:szCs w:val="20"/>
                <w:lang w:val="nb-NO"/>
              </w:rPr>
              <w:t>42%*</w:t>
            </w:r>
          </w:p>
          <w:p w14:paraId="5D290821" w14:textId="77777777" w:rsidR="00BB4253" w:rsidRPr="00A942F6" w:rsidRDefault="00BB4253" w:rsidP="00641834">
            <w:pPr>
              <w:pStyle w:val="TableParagraph"/>
              <w:jc w:val="center"/>
              <w:rPr>
                <w:sz w:val="20"/>
                <w:szCs w:val="20"/>
                <w:lang w:val="nb-NO"/>
              </w:rPr>
            </w:pPr>
            <w:r w:rsidRPr="00A942F6">
              <w:rPr>
                <w:sz w:val="20"/>
                <w:szCs w:val="20"/>
                <w:lang w:val="nb-NO"/>
              </w:rPr>
              <w:t>(18,00, 66,00)</w:t>
            </w:r>
          </w:p>
        </w:tc>
        <w:tc>
          <w:tcPr>
            <w:tcW w:w="1293" w:type="dxa"/>
            <w:tcBorders>
              <w:top w:val="single" w:sz="4" w:space="0" w:color="auto"/>
              <w:left w:val="single" w:sz="4" w:space="0" w:color="auto"/>
              <w:right w:val="single" w:sz="4" w:space="0" w:color="auto"/>
            </w:tcBorders>
          </w:tcPr>
          <w:p w14:paraId="0A29D03B" w14:textId="77777777" w:rsidR="00BB4253" w:rsidRPr="00A942F6" w:rsidRDefault="00BB4253" w:rsidP="00641834">
            <w:pPr>
              <w:pStyle w:val="TableParagraph"/>
              <w:jc w:val="center"/>
              <w:rPr>
                <w:sz w:val="20"/>
                <w:szCs w:val="20"/>
                <w:lang w:val="nb-NO"/>
              </w:rPr>
            </w:pPr>
            <w:r w:rsidRPr="00A942F6">
              <w:rPr>
                <w:sz w:val="20"/>
                <w:szCs w:val="20"/>
                <w:lang w:val="nb-NO"/>
              </w:rPr>
              <w:t>39,06%*</w:t>
            </w:r>
          </w:p>
          <w:p w14:paraId="01260CAD" w14:textId="77777777" w:rsidR="00BB4253" w:rsidRPr="00A942F6" w:rsidRDefault="00BB4253" w:rsidP="00641834">
            <w:pPr>
              <w:pStyle w:val="TableParagraph"/>
              <w:jc w:val="center"/>
              <w:rPr>
                <w:sz w:val="20"/>
                <w:szCs w:val="20"/>
                <w:lang w:val="nb-NO"/>
              </w:rPr>
            </w:pPr>
            <w:r w:rsidRPr="00A942F6">
              <w:rPr>
                <w:sz w:val="20"/>
                <w:szCs w:val="20"/>
                <w:lang w:val="nb-NO"/>
              </w:rPr>
              <w:t>(12,46, 65,66)</w:t>
            </w:r>
          </w:p>
        </w:tc>
      </w:tr>
      <w:tr w:rsidR="00BB4253" w:rsidRPr="00A942F6" w14:paraId="48594F20" w14:textId="77777777" w:rsidTr="00C42B2C">
        <w:trPr>
          <w:cantSplit/>
        </w:trPr>
        <w:tc>
          <w:tcPr>
            <w:tcW w:w="9061" w:type="dxa"/>
            <w:gridSpan w:val="5"/>
            <w:tcBorders>
              <w:top w:val="single" w:sz="4" w:space="0" w:color="auto"/>
              <w:left w:val="single" w:sz="4" w:space="0" w:color="auto"/>
              <w:right w:val="single" w:sz="4" w:space="0" w:color="auto"/>
            </w:tcBorders>
          </w:tcPr>
          <w:p w14:paraId="27321B98" w14:textId="77777777" w:rsidR="00BB4253" w:rsidRPr="00A942F6" w:rsidRDefault="00BB4253" w:rsidP="00641834">
            <w:pPr>
              <w:pStyle w:val="TableParagraph"/>
              <w:rPr>
                <w:b/>
                <w:sz w:val="20"/>
                <w:szCs w:val="20"/>
                <w:lang w:val="nb-NO"/>
              </w:rPr>
            </w:pPr>
            <w:r w:rsidRPr="00A942F6">
              <w:rPr>
                <w:b/>
                <w:sz w:val="20"/>
                <w:szCs w:val="20"/>
                <w:lang w:val="nb-NO"/>
              </w:rPr>
              <w:t>Sentrale Sekundære Endepunkter</w:t>
            </w:r>
          </w:p>
        </w:tc>
      </w:tr>
      <w:tr w:rsidR="00BB4253" w:rsidRPr="00B477E5" w14:paraId="4016D0BE" w14:textId="77777777" w:rsidTr="00C42B2C">
        <w:trPr>
          <w:cantSplit/>
        </w:trPr>
        <w:tc>
          <w:tcPr>
            <w:tcW w:w="9061" w:type="dxa"/>
            <w:gridSpan w:val="5"/>
            <w:tcBorders>
              <w:top w:val="single" w:sz="4" w:space="0" w:color="auto"/>
              <w:left w:val="single" w:sz="4" w:space="0" w:color="auto"/>
              <w:right w:val="single" w:sz="4" w:space="0" w:color="auto"/>
            </w:tcBorders>
          </w:tcPr>
          <w:p w14:paraId="253D69F6" w14:textId="77777777" w:rsidR="00BB4253" w:rsidRPr="00A942F6" w:rsidRDefault="00BB4253" w:rsidP="00641834">
            <w:pPr>
              <w:pStyle w:val="TableParagraph"/>
              <w:rPr>
                <w:sz w:val="20"/>
                <w:szCs w:val="20"/>
                <w:lang w:val="nb-NO"/>
              </w:rPr>
            </w:pPr>
            <w:r w:rsidRPr="00A942F6">
              <w:rPr>
                <w:sz w:val="20"/>
                <w:szCs w:val="20"/>
                <w:lang w:val="nb-NO"/>
              </w:rPr>
              <w:t>Langvarig remisjon (tocilizumab-grupper versus placebo+52)</w:t>
            </w:r>
          </w:p>
        </w:tc>
      </w:tr>
      <w:tr w:rsidR="00BB4253" w:rsidRPr="00A942F6" w14:paraId="03650B8E" w14:textId="77777777" w:rsidTr="00C42B2C">
        <w:trPr>
          <w:cantSplit/>
        </w:trPr>
        <w:tc>
          <w:tcPr>
            <w:tcW w:w="3682" w:type="dxa"/>
            <w:tcBorders>
              <w:top w:val="single" w:sz="4" w:space="0" w:color="auto"/>
              <w:left w:val="single" w:sz="4" w:space="0" w:color="auto"/>
            </w:tcBorders>
          </w:tcPr>
          <w:p w14:paraId="4652E2B6" w14:textId="77777777" w:rsidR="00BB4253" w:rsidRPr="00A942F6" w:rsidRDefault="00BB4253" w:rsidP="00641834">
            <w:pPr>
              <w:pStyle w:val="TableParagraph"/>
              <w:rPr>
                <w:sz w:val="20"/>
                <w:szCs w:val="20"/>
                <w:lang w:val="nb-NO"/>
              </w:rPr>
            </w:pPr>
            <w:r w:rsidRPr="00A942F6">
              <w:rPr>
                <w:sz w:val="20"/>
                <w:szCs w:val="20"/>
                <w:lang w:val="nb-NO"/>
              </w:rPr>
              <w:t>Respondere ved uke 52, n (%)</w:t>
            </w:r>
          </w:p>
        </w:tc>
        <w:tc>
          <w:tcPr>
            <w:tcW w:w="1558" w:type="dxa"/>
            <w:tcBorders>
              <w:top w:val="single" w:sz="4" w:space="0" w:color="auto"/>
              <w:left w:val="single" w:sz="4" w:space="0" w:color="auto"/>
            </w:tcBorders>
          </w:tcPr>
          <w:p w14:paraId="74D04A36" w14:textId="77777777" w:rsidR="00BB4253" w:rsidRPr="00A942F6" w:rsidRDefault="00BB4253" w:rsidP="00641834">
            <w:pPr>
              <w:suppressAutoHyphens/>
              <w:jc w:val="center"/>
              <w:rPr>
                <w:sz w:val="20"/>
                <w:szCs w:val="20"/>
                <w:lang w:val="nb-NO"/>
              </w:rPr>
            </w:pPr>
            <w:r w:rsidRPr="00A942F6">
              <w:rPr>
                <w:sz w:val="20"/>
                <w:szCs w:val="20"/>
                <w:lang w:val="nb-NO"/>
              </w:rPr>
              <w:t>7 (14%)</w:t>
            </w:r>
          </w:p>
        </w:tc>
        <w:tc>
          <w:tcPr>
            <w:tcW w:w="1279" w:type="dxa"/>
            <w:tcBorders>
              <w:top w:val="single" w:sz="4" w:space="0" w:color="auto"/>
              <w:left w:val="single" w:sz="4" w:space="0" w:color="auto"/>
            </w:tcBorders>
          </w:tcPr>
          <w:p w14:paraId="75BC019C" w14:textId="77777777" w:rsidR="00BB4253" w:rsidRPr="00A942F6" w:rsidRDefault="00BB4253" w:rsidP="00641834">
            <w:pPr>
              <w:suppressAutoHyphens/>
              <w:jc w:val="center"/>
              <w:rPr>
                <w:sz w:val="20"/>
                <w:szCs w:val="20"/>
                <w:lang w:val="nb-NO"/>
              </w:rPr>
            </w:pPr>
            <w:r w:rsidRPr="00A942F6">
              <w:rPr>
                <w:sz w:val="20"/>
                <w:szCs w:val="20"/>
                <w:lang w:val="nb-NO"/>
              </w:rPr>
              <w:t>9 (17.6%)</w:t>
            </w:r>
          </w:p>
        </w:tc>
        <w:tc>
          <w:tcPr>
            <w:tcW w:w="1249" w:type="dxa"/>
            <w:tcBorders>
              <w:top w:val="single" w:sz="4" w:space="0" w:color="auto"/>
              <w:left w:val="single" w:sz="4" w:space="0" w:color="auto"/>
            </w:tcBorders>
          </w:tcPr>
          <w:p w14:paraId="4896B196" w14:textId="77777777" w:rsidR="00BB4253" w:rsidRPr="00A942F6" w:rsidRDefault="00BB4253" w:rsidP="00641834">
            <w:pPr>
              <w:suppressAutoHyphens/>
              <w:jc w:val="center"/>
              <w:rPr>
                <w:sz w:val="20"/>
                <w:szCs w:val="20"/>
                <w:lang w:val="nb-NO"/>
              </w:rPr>
            </w:pPr>
            <w:r w:rsidRPr="00A942F6">
              <w:rPr>
                <w:sz w:val="20"/>
                <w:szCs w:val="20"/>
                <w:lang w:val="nb-NO"/>
              </w:rPr>
              <w:t>56 (56%)</w:t>
            </w:r>
          </w:p>
        </w:tc>
        <w:tc>
          <w:tcPr>
            <w:tcW w:w="1293" w:type="dxa"/>
            <w:tcBorders>
              <w:top w:val="single" w:sz="4" w:space="0" w:color="auto"/>
              <w:left w:val="single" w:sz="4" w:space="0" w:color="auto"/>
              <w:right w:val="single" w:sz="4" w:space="0" w:color="auto"/>
            </w:tcBorders>
          </w:tcPr>
          <w:p w14:paraId="5827A154" w14:textId="77777777" w:rsidR="00BB4253" w:rsidRPr="00A942F6" w:rsidRDefault="00BB4253" w:rsidP="00641834">
            <w:pPr>
              <w:suppressAutoHyphens/>
              <w:jc w:val="center"/>
              <w:rPr>
                <w:sz w:val="20"/>
                <w:szCs w:val="20"/>
                <w:lang w:val="nb-NO"/>
              </w:rPr>
            </w:pPr>
            <w:r w:rsidRPr="00A942F6">
              <w:rPr>
                <w:sz w:val="20"/>
                <w:szCs w:val="20"/>
                <w:lang w:val="nb-NO"/>
              </w:rPr>
              <w:t>26 (53.1%)</w:t>
            </w:r>
          </w:p>
        </w:tc>
      </w:tr>
      <w:tr w:rsidR="00BB4253" w:rsidRPr="00A942F6" w14:paraId="78E6689A" w14:textId="77777777" w:rsidTr="00C42B2C">
        <w:trPr>
          <w:cantSplit/>
        </w:trPr>
        <w:tc>
          <w:tcPr>
            <w:tcW w:w="3682" w:type="dxa"/>
            <w:tcBorders>
              <w:top w:val="single" w:sz="4" w:space="0" w:color="auto"/>
              <w:left w:val="single" w:sz="4" w:space="0" w:color="auto"/>
            </w:tcBorders>
          </w:tcPr>
          <w:p w14:paraId="5678F99C" w14:textId="77777777" w:rsidR="00BB4253" w:rsidRPr="00A942F6" w:rsidRDefault="00BB4253" w:rsidP="00641834">
            <w:pPr>
              <w:pStyle w:val="TableParagraph"/>
              <w:rPr>
                <w:sz w:val="20"/>
                <w:szCs w:val="20"/>
                <w:lang w:val="nb-NO"/>
              </w:rPr>
            </w:pPr>
            <w:r w:rsidRPr="00A942F6">
              <w:rPr>
                <w:sz w:val="20"/>
                <w:szCs w:val="20"/>
                <w:lang w:val="nb-NO"/>
              </w:rPr>
              <w:t>Ujustert differanse i proporsjonene</w:t>
            </w:r>
          </w:p>
          <w:p w14:paraId="7A0CCA42" w14:textId="77777777" w:rsidR="00BB4253" w:rsidRPr="00A942F6" w:rsidRDefault="00BB4253" w:rsidP="00641834">
            <w:pPr>
              <w:pStyle w:val="TableParagraph"/>
              <w:rPr>
                <w:sz w:val="20"/>
                <w:szCs w:val="20"/>
                <w:lang w:val="nb-NO"/>
              </w:rPr>
            </w:pPr>
            <w:r w:rsidRPr="00A942F6">
              <w:rPr>
                <w:sz w:val="20"/>
                <w:szCs w:val="20"/>
                <w:lang w:val="nb-NO"/>
              </w:rPr>
              <w:t>(99,5% KI)</w:t>
            </w:r>
          </w:p>
        </w:tc>
        <w:tc>
          <w:tcPr>
            <w:tcW w:w="1558" w:type="dxa"/>
            <w:tcBorders>
              <w:top w:val="single" w:sz="4" w:space="0" w:color="auto"/>
              <w:left w:val="single" w:sz="4" w:space="0" w:color="auto"/>
            </w:tcBorders>
          </w:tcPr>
          <w:p w14:paraId="57B83817" w14:textId="77777777" w:rsidR="00BB4253" w:rsidRPr="00A942F6" w:rsidRDefault="00BB4253" w:rsidP="00641834">
            <w:pPr>
              <w:pStyle w:val="TableParagraph"/>
              <w:jc w:val="center"/>
              <w:rPr>
                <w:sz w:val="20"/>
                <w:szCs w:val="20"/>
                <w:lang w:val="nb-NO"/>
              </w:rPr>
            </w:pPr>
            <w:r w:rsidRPr="00A942F6">
              <w:rPr>
                <w:sz w:val="20"/>
                <w:szCs w:val="20"/>
                <w:lang w:val="nb-NO"/>
              </w:rPr>
              <w:t>N/A</w:t>
            </w:r>
          </w:p>
        </w:tc>
        <w:tc>
          <w:tcPr>
            <w:tcW w:w="1279" w:type="dxa"/>
            <w:tcBorders>
              <w:top w:val="single" w:sz="4" w:space="0" w:color="auto"/>
              <w:left w:val="single" w:sz="4" w:space="0" w:color="auto"/>
            </w:tcBorders>
          </w:tcPr>
          <w:p w14:paraId="514CBCC5" w14:textId="77777777" w:rsidR="00BB4253" w:rsidRPr="00A942F6" w:rsidRDefault="00BB4253" w:rsidP="00641834">
            <w:pPr>
              <w:pStyle w:val="TableParagraph"/>
              <w:jc w:val="center"/>
              <w:rPr>
                <w:sz w:val="20"/>
                <w:szCs w:val="20"/>
                <w:lang w:val="nb-NO"/>
              </w:rPr>
            </w:pPr>
            <w:r w:rsidRPr="00A942F6">
              <w:rPr>
                <w:sz w:val="20"/>
                <w:szCs w:val="20"/>
                <w:lang w:val="nb-NO"/>
              </w:rPr>
              <w:t>N/A</w:t>
            </w:r>
          </w:p>
        </w:tc>
        <w:tc>
          <w:tcPr>
            <w:tcW w:w="1249" w:type="dxa"/>
            <w:tcBorders>
              <w:top w:val="single" w:sz="4" w:space="0" w:color="auto"/>
              <w:left w:val="single" w:sz="4" w:space="0" w:color="auto"/>
            </w:tcBorders>
          </w:tcPr>
          <w:p w14:paraId="07F2B96C" w14:textId="77777777" w:rsidR="00BB4253" w:rsidRPr="00A942F6" w:rsidRDefault="00BB4253" w:rsidP="00641834">
            <w:pPr>
              <w:pStyle w:val="TableParagraph"/>
              <w:jc w:val="center"/>
              <w:rPr>
                <w:sz w:val="20"/>
                <w:szCs w:val="20"/>
                <w:lang w:val="nb-NO"/>
              </w:rPr>
            </w:pPr>
            <w:r w:rsidRPr="00A942F6">
              <w:rPr>
                <w:sz w:val="20"/>
                <w:szCs w:val="20"/>
                <w:lang w:val="nb-NO"/>
              </w:rPr>
              <w:t>38,35%*</w:t>
            </w:r>
          </w:p>
          <w:p w14:paraId="05C00E46" w14:textId="77777777" w:rsidR="00BB4253" w:rsidRPr="00A942F6" w:rsidRDefault="00BB4253" w:rsidP="00641834">
            <w:pPr>
              <w:pStyle w:val="TableParagraph"/>
              <w:jc w:val="center"/>
              <w:rPr>
                <w:sz w:val="20"/>
                <w:szCs w:val="20"/>
                <w:lang w:val="nb-NO"/>
              </w:rPr>
            </w:pPr>
            <w:r w:rsidRPr="00A942F6">
              <w:rPr>
                <w:sz w:val="20"/>
                <w:szCs w:val="20"/>
                <w:lang w:val="nb-NO"/>
              </w:rPr>
              <w:t>(17,89, 58,81)</w:t>
            </w:r>
          </w:p>
        </w:tc>
        <w:tc>
          <w:tcPr>
            <w:tcW w:w="1293" w:type="dxa"/>
            <w:tcBorders>
              <w:top w:val="single" w:sz="4" w:space="0" w:color="auto"/>
              <w:left w:val="single" w:sz="4" w:space="0" w:color="auto"/>
              <w:right w:val="single" w:sz="4" w:space="0" w:color="auto"/>
            </w:tcBorders>
          </w:tcPr>
          <w:p w14:paraId="33F04316" w14:textId="77777777" w:rsidR="00BB4253" w:rsidRPr="00A942F6" w:rsidRDefault="00BB4253" w:rsidP="00641834">
            <w:pPr>
              <w:pStyle w:val="TableParagraph"/>
              <w:jc w:val="center"/>
              <w:rPr>
                <w:sz w:val="20"/>
                <w:szCs w:val="20"/>
                <w:lang w:val="nb-NO"/>
              </w:rPr>
            </w:pPr>
            <w:r w:rsidRPr="00A942F6">
              <w:rPr>
                <w:sz w:val="20"/>
                <w:szCs w:val="20"/>
                <w:lang w:val="nb-NO"/>
              </w:rPr>
              <w:t>35,41%**</w:t>
            </w:r>
          </w:p>
          <w:p w14:paraId="234A6A8D" w14:textId="77777777" w:rsidR="00BB4253" w:rsidRPr="00A942F6" w:rsidRDefault="00BB4253" w:rsidP="00641834">
            <w:pPr>
              <w:pStyle w:val="TableParagraph"/>
              <w:jc w:val="center"/>
              <w:rPr>
                <w:sz w:val="20"/>
                <w:szCs w:val="20"/>
                <w:lang w:val="nb-NO"/>
              </w:rPr>
            </w:pPr>
            <w:r w:rsidRPr="00A942F6">
              <w:rPr>
                <w:sz w:val="20"/>
                <w:szCs w:val="20"/>
                <w:lang w:val="nb-NO"/>
              </w:rPr>
              <w:t>(17,89, 58,81)</w:t>
            </w:r>
          </w:p>
        </w:tc>
      </w:tr>
      <w:tr w:rsidR="00BB4253" w:rsidRPr="00A942F6" w14:paraId="72FAA25C" w14:textId="77777777" w:rsidTr="00405456">
        <w:trPr>
          <w:cantSplit/>
        </w:trPr>
        <w:tc>
          <w:tcPr>
            <w:tcW w:w="9061" w:type="dxa"/>
            <w:gridSpan w:val="5"/>
            <w:tcBorders>
              <w:top w:val="single" w:sz="4" w:space="0" w:color="auto"/>
              <w:left w:val="single" w:sz="4" w:space="0" w:color="auto"/>
              <w:bottom w:val="single" w:sz="4" w:space="0" w:color="auto"/>
              <w:right w:val="single" w:sz="4" w:space="0" w:color="auto"/>
            </w:tcBorders>
          </w:tcPr>
          <w:p w14:paraId="3A47E3CA" w14:textId="77777777" w:rsidR="00BB4253" w:rsidRPr="00A942F6" w:rsidRDefault="00BB4253" w:rsidP="00641834">
            <w:pPr>
              <w:pStyle w:val="TableParagraph"/>
              <w:rPr>
                <w:b/>
                <w:sz w:val="20"/>
                <w:szCs w:val="20"/>
                <w:lang w:val="nb-NO"/>
              </w:rPr>
            </w:pPr>
            <w:r w:rsidRPr="00A942F6">
              <w:rPr>
                <w:b/>
                <w:sz w:val="20"/>
                <w:szCs w:val="20"/>
                <w:lang w:val="nb-NO"/>
              </w:rPr>
              <w:t>Andre Sekundære Endepunkter</w:t>
            </w:r>
          </w:p>
        </w:tc>
      </w:tr>
      <w:tr w:rsidR="00BB4253" w:rsidRPr="00A942F6" w14:paraId="7E3DFDD1" w14:textId="77777777" w:rsidTr="00405456">
        <w:trPr>
          <w:cantSplit/>
        </w:trPr>
        <w:tc>
          <w:tcPr>
            <w:tcW w:w="3682" w:type="dxa"/>
            <w:tcBorders>
              <w:top w:val="single" w:sz="4" w:space="0" w:color="auto"/>
              <w:left w:val="single" w:sz="4" w:space="0" w:color="auto"/>
              <w:bottom w:val="single" w:sz="4" w:space="0" w:color="auto"/>
            </w:tcBorders>
          </w:tcPr>
          <w:p w14:paraId="1433856E" w14:textId="77777777" w:rsidR="00BB4253" w:rsidRPr="00BD4D94" w:rsidRDefault="00BB4253" w:rsidP="00641834">
            <w:pPr>
              <w:suppressAutoHyphens/>
              <w:rPr>
                <w:sz w:val="20"/>
                <w:szCs w:val="20"/>
                <w:lang w:val="nb-NO"/>
              </w:rPr>
            </w:pPr>
            <w:r w:rsidRPr="00BD4D94">
              <w:rPr>
                <w:sz w:val="20"/>
                <w:szCs w:val="20"/>
                <w:lang w:val="nb-NO"/>
              </w:rPr>
              <w:t>Tid til første GCA-oppbluss¹ (tocilizumab-grupper versus placebo+26)</w:t>
            </w:r>
          </w:p>
          <w:p w14:paraId="179296EB" w14:textId="77777777" w:rsidR="00BB4253" w:rsidRPr="00BD4D94" w:rsidRDefault="00BB4253" w:rsidP="00641834">
            <w:pPr>
              <w:suppressAutoHyphens/>
              <w:jc w:val="center"/>
              <w:rPr>
                <w:sz w:val="20"/>
                <w:szCs w:val="20"/>
                <w:lang w:val="nb-NO"/>
              </w:rPr>
            </w:pPr>
            <w:r w:rsidRPr="00BD4D94">
              <w:rPr>
                <w:sz w:val="20"/>
                <w:szCs w:val="20"/>
                <w:lang w:val="nb-NO"/>
              </w:rPr>
              <w:t>HR (99% KI)</w:t>
            </w:r>
          </w:p>
          <w:p w14:paraId="6DB4738F" w14:textId="77777777" w:rsidR="00BB4253" w:rsidRPr="00BD4D94" w:rsidRDefault="00BB4253" w:rsidP="00641834">
            <w:pPr>
              <w:pStyle w:val="TableParagraph"/>
              <w:rPr>
                <w:sz w:val="20"/>
                <w:szCs w:val="20"/>
                <w:lang w:val="nb-NO"/>
              </w:rPr>
            </w:pPr>
            <w:r w:rsidRPr="00BD4D94">
              <w:rPr>
                <w:sz w:val="20"/>
                <w:szCs w:val="20"/>
                <w:lang w:val="nb-NO"/>
              </w:rPr>
              <w:t>Tid til første GCA-oppbluss¹ (tocilizumab-grupper versus placebo+52)</w:t>
            </w:r>
          </w:p>
          <w:p w14:paraId="3EC22C03" w14:textId="77777777" w:rsidR="00BB4253" w:rsidRPr="00A942F6" w:rsidRDefault="00BB4253" w:rsidP="00641834">
            <w:pPr>
              <w:pStyle w:val="TableParagraph"/>
              <w:jc w:val="center"/>
              <w:rPr>
                <w:sz w:val="20"/>
                <w:szCs w:val="20"/>
                <w:lang w:val="nb-NO"/>
              </w:rPr>
            </w:pPr>
            <w:r w:rsidRPr="00A942F6">
              <w:rPr>
                <w:sz w:val="20"/>
                <w:szCs w:val="20"/>
                <w:lang w:val="nb-NO"/>
              </w:rPr>
              <w:t>HR (99% KI)</w:t>
            </w:r>
          </w:p>
          <w:p w14:paraId="3A1F3AB1" w14:textId="77777777" w:rsidR="00BB4253" w:rsidRPr="00A942F6" w:rsidRDefault="00BB4253" w:rsidP="00641834">
            <w:pPr>
              <w:suppressAutoHyphens/>
              <w:rPr>
                <w:sz w:val="20"/>
                <w:szCs w:val="20"/>
                <w:lang w:val="nb-NO"/>
              </w:rPr>
            </w:pPr>
            <w:r w:rsidRPr="00A942F6">
              <w:rPr>
                <w:sz w:val="20"/>
                <w:szCs w:val="20"/>
                <w:lang w:val="nb-NO"/>
              </w:rPr>
              <w:t>Tid til første GCA-oppbluss¹ (pasienter med tilbakefall; tocilizumab-grupper versus placebo +26) HR (99% KI)</w:t>
            </w:r>
          </w:p>
          <w:p w14:paraId="5B1B7CB4" w14:textId="77777777" w:rsidR="00BB4253" w:rsidRPr="00A942F6" w:rsidRDefault="00BB4253" w:rsidP="00641834">
            <w:pPr>
              <w:suppressAutoHyphens/>
              <w:rPr>
                <w:sz w:val="20"/>
                <w:szCs w:val="20"/>
                <w:lang w:val="nb-NO"/>
              </w:rPr>
            </w:pPr>
            <w:r w:rsidRPr="00A942F6">
              <w:rPr>
                <w:sz w:val="20"/>
                <w:szCs w:val="20"/>
                <w:lang w:val="nb-NO"/>
              </w:rPr>
              <w:t>Tid til første GCA-oppbluss¹ (pasienter med tilbakefall; tocilizumab-grupper versus placebo + 52) HR (99% KI)</w:t>
            </w:r>
          </w:p>
          <w:p w14:paraId="488BEE84" w14:textId="77777777" w:rsidR="00BB4253" w:rsidRPr="00A942F6" w:rsidRDefault="00BB4253" w:rsidP="00641834">
            <w:pPr>
              <w:suppressAutoHyphens/>
              <w:rPr>
                <w:sz w:val="20"/>
                <w:szCs w:val="20"/>
                <w:lang w:val="nb-NO"/>
              </w:rPr>
            </w:pPr>
            <w:r w:rsidRPr="00A942F6">
              <w:rPr>
                <w:sz w:val="20"/>
                <w:szCs w:val="20"/>
                <w:lang w:val="nb-NO"/>
              </w:rPr>
              <w:t>Tid til første GCA-oppbluss¹ (pasienter med nyoppstått sykdom; tocilizumab-grupper versus placebo +26) HR (99% KI)</w:t>
            </w:r>
          </w:p>
          <w:p w14:paraId="3B4A11B9" w14:textId="77777777" w:rsidR="00BB4253" w:rsidRPr="00A942F6" w:rsidRDefault="00BB4253" w:rsidP="00641834">
            <w:pPr>
              <w:suppressAutoHyphens/>
              <w:rPr>
                <w:sz w:val="20"/>
                <w:szCs w:val="20"/>
                <w:lang w:val="nb-NO"/>
              </w:rPr>
            </w:pPr>
            <w:r w:rsidRPr="00A942F6">
              <w:rPr>
                <w:sz w:val="20"/>
                <w:szCs w:val="20"/>
                <w:lang w:val="nb-NO"/>
              </w:rPr>
              <w:t>Tid til første GCA-oppbluss¹ (pasienter med nyoppstått sykdom; tocilizumab-grupper versus placebo + 52) HR (99% KI)</w:t>
            </w:r>
          </w:p>
        </w:tc>
        <w:tc>
          <w:tcPr>
            <w:tcW w:w="1558" w:type="dxa"/>
            <w:tcBorders>
              <w:top w:val="single" w:sz="4" w:space="0" w:color="auto"/>
              <w:bottom w:val="single" w:sz="4" w:space="0" w:color="auto"/>
            </w:tcBorders>
          </w:tcPr>
          <w:p w14:paraId="2396C2E5" w14:textId="77777777" w:rsidR="00BB4253" w:rsidRPr="009B40A5" w:rsidRDefault="00BB4253" w:rsidP="00641834">
            <w:pPr>
              <w:suppressAutoHyphens/>
              <w:jc w:val="center"/>
              <w:rPr>
                <w:sz w:val="20"/>
                <w:szCs w:val="20"/>
              </w:rPr>
            </w:pPr>
            <w:r w:rsidRPr="009B40A5">
              <w:rPr>
                <w:sz w:val="20"/>
                <w:szCs w:val="20"/>
              </w:rPr>
              <w:t>N/A</w:t>
            </w:r>
          </w:p>
          <w:p w14:paraId="69BF991D" w14:textId="77777777" w:rsidR="00BB4253" w:rsidRPr="009B40A5" w:rsidRDefault="00BB4253" w:rsidP="00641834">
            <w:pPr>
              <w:suppressAutoHyphens/>
              <w:jc w:val="center"/>
              <w:rPr>
                <w:sz w:val="20"/>
                <w:szCs w:val="20"/>
              </w:rPr>
            </w:pPr>
          </w:p>
          <w:p w14:paraId="7661EA23" w14:textId="77777777" w:rsidR="00BB4253" w:rsidRPr="009B40A5" w:rsidRDefault="00BB4253" w:rsidP="00641834">
            <w:pPr>
              <w:suppressAutoHyphens/>
              <w:jc w:val="center"/>
              <w:rPr>
                <w:sz w:val="20"/>
                <w:szCs w:val="20"/>
              </w:rPr>
            </w:pPr>
          </w:p>
          <w:p w14:paraId="2560438B" w14:textId="77777777" w:rsidR="00BB4253" w:rsidRPr="009B40A5" w:rsidRDefault="00BB4253" w:rsidP="00641834">
            <w:pPr>
              <w:suppressAutoHyphens/>
              <w:jc w:val="center"/>
              <w:rPr>
                <w:sz w:val="20"/>
                <w:szCs w:val="20"/>
              </w:rPr>
            </w:pPr>
            <w:r w:rsidRPr="009B40A5">
              <w:rPr>
                <w:sz w:val="20"/>
                <w:szCs w:val="20"/>
              </w:rPr>
              <w:t>N/A</w:t>
            </w:r>
          </w:p>
          <w:p w14:paraId="790BE4AA" w14:textId="77777777" w:rsidR="00BB4253" w:rsidRPr="009B40A5" w:rsidRDefault="00BB4253" w:rsidP="00641834">
            <w:pPr>
              <w:suppressAutoHyphens/>
              <w:jc w:val="center"/>
              <w:rPr>
                <w:sz w:val="20"/>
                <w:szCs w:val="20"/>
              </w:rPr>
            </w:pPr>
          </w:p>
          <w:p w14:paraId="58503E4D" w14:textId="77777777" w:rsidR="00BB4253" w:rsidRPr="009B40A5" w:rsidRDefault="00BB4253" w:rsidP="00641834">
            <w:pPr>
              <w:suppressAutoHyphens/>
              <w:jc w:val="center"/>
              <w:rPr>
                <w:sz w:val="20"/>
                <w:szCs w:val="20"/>
              </w:rPr>
            </w:pPr>
          </w:p>
          <w:p w14:paraId="1972E338" w14:textId="77777777" w:rsidR="00BB4253" w:rsidRPr="009B40A5" w:rsidRDefault="00BB4253" w:rsidP="00641834">
            <w:pPr>
              <w:suppressAutoHyphens/>
              <w:jc w:val="center"/>
              <w:rPr>
                <w:sz w:val="20"/>
                <w:szCs w:val="20"/>
              </w:rPr>
            </w:pPr>
            <w:r w:rsidRPr="009B40A5">
              <w:rPr>
                <w:sz w:val="20"/>
                <w:szCs w:val="20"/>
              </w:rPr>
              <w:t>N/A</w:t>
            </w:r>
          </w:p>
          <w:p w14:paraId="6783AD9D" w14:textId="77777777" w:rsidR="00BB4253" w:rsidRPr="009B40A5" w:rsidRDefault="00BB4253" w:rsidP="00641834">
            <w:pPr>
              <w:suppressAutoHyphens/>
              <w:jc w:val="center"/>
              <w:rPr>
                <w:sz w:val="20"/>
                <w:szCs w:val="20"/>
              </w:rPr>
            </w:pPr>
          </w:p>
          <w:p w14:paraId="41A84ACF" w14:textId="77777777" w:rsidR="00BB4253" w:rsidRPr="009B40A5" w:rsidRDefault="00BB4253" w:rsidP="00641834">
            <w:pPr>
              <w:suppressAutoHyphens/>
              <w:jc w:val="center"/>
              <w:rPr>
                <w:sz w:val="20"/>
                <w:szCs w:val="20"/>
              </w:rPr>
            </w:pPr>
            <w:r w:rsidRPr="009B40A5">
              <w:rPr>
                <w:sz w:val="20"/>
                <w:szCs w:val="20"/>
              </w:rPr>
              <w:t>N/A</w:t>
            </w:r>
          </w:p>
          <w:p w14:paraId="704ABAD1" w14:textId="77777777" w:rsidR="00BB4253" w:rsidRPr="009B40A5" w:rsidRDefault="00BB4253" w:rsidP="00641834">
            <w:pPr>
              <w:suppressAutoHyphens/>
              <w:jc w:val="center"/>
              <w:rPr>
                <w:sz w:val="20"/>
                <w:szCs w:val="20"/>
              </w:rPr>
            </w:pPr>
          </w:p>
          <w:p w14:paraId="7DEDD909" w14:textId="77777777" w:rsidR="00BB4253" w:rsidRPr="009B40A5" w:rsidRDefault="00BB4253" w:rsidP="00641834">
            <w:pPr>
              <w:suppressAutoHyphens/>
              <w:jc w:val="center"/>
              <w:rPr>
                <w:sz w:val="20"/>
                <w:szCs w:val="20"/>
              </w:rPr>
            </w:pPr>
            <w:r w:rsidRPr="009B40A5">
              <w:rPr>
                <w:sz w:val="20"/>
                <w:szCs w:val="20"/>
              </w:rPr>
              <w:t>N/A</w:t>
            </w:r>
          </w:p>
          <w:p w14:paraId="28AC2AE1" w14:textId="77777777" w:rsidR="00BB4253" w:rsidRPr="009B40A5" w:rsidRDefault="00BB4253" w:rsidP="00641834">
            <w:pPr>
              <w:suppressAutoHyphens/>
              <w:jc w:val="center"/>
              <w:rPr>
                <w:sz w:val="20"/>
                <w:szCs w:val="20"/>
              </w:rPr>
            </w:pPr>
          </w:p>
          <w:p w14:paraId="6FF5AFE9" w14:textId="77777777" w:rsidR="00BB4253" w:rsidRPr="009B40A5" w:rsidRDefault="00BB4253" w:rsidP="00641834">
            <w:pPr>
              <w:suppressAutoHyphens/>
              <w:jc w:val="center"/>
              <w:rPr>
                <w:sz w:val="20"/>
                <w:szCs w:val="20"/>
              </w:rPr>
            </w:pPr>
            <w:r w:rsidRPr="009B40A5">
              <w:rPr>
                <w:sz w:val="20"/>
                <w:szCs w:val="20"/>
              </w:rPr>
              <w:t>N/A</w:t>
            </w:r>
          </w:p>
        </w:tc>
        <w:tc>
          <w:tcPr>
            <w:tcW w:w="1279" w:type="dxa"/>
            <w:tcBorders>
              <w:top w:val="single" w:sz="4" w:space="0" w:color="auto"/>
              <w:bottom w:val="single" w:sz="4" w:space="0" w:color="auto"/>
            </w:tcBorders>
          </w:tcPr>
          <w:p w14:paraId="3F6A63FF" w14:textId="77777777" w:rsidR="00BB4253" w:rsidRPr="009B40A5" w:rsidRDefault="00BB4253" w:rsidP="00641834">
            <w:pPr>
              <w:suppressAutoHyphens/>
              <w:jc w:val="center"/>
              <w:rPr>
                <w:sz w:val="20"/>
                <w:szCs w:val="20"/>
              </w:rPr>
            </w:pPr>
            <w:r w:rsidRPr="009B40A5">
              <w:rPr>
                <w:sz w:val="20"/>
                <w:szCs w:val="20"/>
              </w:rPr>
              <w:t>N/A</w:t>
            </w:r>
          </w:p>
          <w:p w14:paraId="6F8B0C45" w14:textId="77777777" w:rsidR="00BB4253" w:rsidRPr="009B40A5" w:rsidRDefault="00BB4253" w:rsidP="00641834">
            <w:pPr>
              <w:suppressAutoHyphens/>
              <w:jc w:val="center"/>
              <w:rPr>
                <w:sz w:val="20"/>
                <w:szCs w:val="20"/>
              </w:rPr>
            </w:pPr>
          </w:p>
          <w:p w14:paraId="44629CB7" w14:textId="77777777" w:rsidR="00BB4253" w:rsidRPr="009B40A5" w:rsidRDefault="00BB4253" w:rsidP="00641834">
            <w:pPr>
              <w:suppressAutoHyphens/>
              <w:jc w:val="center"/>
              <w:rPr>
                <w:sz w:val="20"/>
                <w:szCs w:val="20"/>
              </w:rPr>
            </w:pPr>
          </w:p>
          <w:p w14:paraId="1622F6D1" w14:textId="77777777" w:rsidR="00BB4253" w:rsidRPr="009B40A5" w:rsidRDefault="00BB4253" w:rsidP="00641834">
            <w:pPr>
              <w:suppressAutoHyphens/>
              <w:jc w:val="center"/>
              <w:rPr>
                <w:sz w:val="20"/>
                <w:szCs w:val="20"/>
              </w:rPr>
            </w:pPr>
            <w:r w:rsidRPr="009B40A5">
              <w:rPr>
                <w:sz w:val="20"/>
                <w:szCs w:val="20"/>
              </w:rPr>
              <w:t>N/A</w:t>
            </w:r>
          </w:p>
          <w:p w14:paraId="56637DB3" w14:textId="77777777" w:rsidR="00BB4253" w:rsidRPr="009B40A5" w:rsidRDefault="00BB4253" w:rsidP="00641834">
            <w:pPr>
              <w:suppressAutoHyphens/>
              <w:jc w:val="center"/>
              <w:rPr>
                <w:sz w:val="20"/>
                <w:szCs w:val="20"/>
              </w:rPr>
            </w:pPr>
          </w:p>
          <w:p w14:paraId="41DA2AB2" w14:textId="77777777" w:rsidR="00BB4253" w:rsidRPr="009B40A5" w:rsidRDefault="00BB4253" w:rsidP="00641834">
            <w:pPr>
              <w:suppressAutoHyphens/>
              <w:jc w:val="center"/>
              <w:rPr>
                <w:sz w:val="20"/>
                <w:szCs w:val="20"/>
              </w:rPr>
            </w:pPr>
          </w:p>
          <w:p w14:paraId="69A4D35E" w14:textId="77777777" w:rsidR="00BB4253" w:rsidRPr="009B40A5" w:rsidRDefault="00BB4253" w:rsidP="00641834">
            <w:pPr>
              <w:suppressAutoHyphens/>
              <w:jc w:val="center"/>
              <w:rPr>
                <w:sz w:val="20"/>
                <w:szCs w:val="20"/>
              </w:rPr>
            </w:pPr>
            <w:r w:rsidRPr="009B40A5">
              <w:rPr>
                <w:sz w:val="20"/>
                <w:szCs w:val="20"/>
              </w:rPr>
              <w:t>N/A</w:t>
            </w:r>
          </w:p>
          <w:p w14:paraId="734D9BC8" w14:textId="77777777" w:rsidR="00BB4253" w:rsidRPr="009B40A5" w:rsidRDefault="00BB4253" w:rsidP="00641834">
            <w:pPr>
              <w:suppressAutoHyphens/>
              <w:jc w:val="center"/>
              <w:rPr>
                <w:sz w:val="20"/>
                <w:szCs w:val="20"/>
              </w:rPr>
            </w:pPr>
          </w:p>
          <w:p w14:paraId="035E314F" w14:textId="77777777" w:rsidR="00BB4253" w:rsidRPr="009B40A5" w:rsidRDefault="00BB4253" w:rsidP="00641834">
            <w:pPr>
              <w:suppressAutoHyphens/>
              <w:jc w:val="center"/>
              <w:rPr>
                <w:sz w:val="20"/>
                <w:szCs w:val="20"/>
              </w:rPr>
            </w:pPr>
            <w:r w:rsidRPr="009B40A5">
              <w:rPr>
                <w:sz w:val="20"/>
                <w:szCs w:val="20"/>
              </w:rPr>
              <w:t>N/A</w:t>
            </w:r>
          </w:p>
          <w:p w14:paraId="4F965BAC" w14:textId="77777777" w:rsidR="00BB4253" w:rsidRPr="009B40A5" w:rsidRDefault="00BB4253" w:rsidP="00641834">
            <w:pPr>
              <w:suppressAutoHyphens/>
              <w:jc w:val="center"/>
              <w:rPr>
                <w:sz w:val="20"/>
                <w:szCs w:val="20"/>
              </w:rPr>
            </w:pPr>
          </w:p>
          <w:p w14:paraId="5647A342" w14:textId="77777777" w:rsidR="00BB4253" w:rsidRPr="009B40A5" w:rsidRDefault="00BB4253" w:rsidP="00641834">
            <w:pPr>
              <w:suppressAutoHyphens/>
              <w:jc w:val="center"/>
              <w:rPr>
                <w:sz w:val="20"/>
                <w:szCs w:val="20"/>
              </w:rPr>
            </w:pPr>
            <w:r w:rsidRPr="009B40A5">
              <w:rPr>
                <w:sz w:val="20"/>
                <w:szCs w:val="20"/>
              </w:rPr>
              <w:t>N/A</w:t>
            </w:r>
          </w:p>
          <w:p w14:paraId="154F09A6" w14:textId="77777777" w:rsidR="00BB4253" w:rsidRPr="009B40A5" w:rsidRDefault="00BB4253" w:rsidP="00641834">
            <w:pPr>
              <w:suppressAutoHyphens/>
              <w:jc w:val="center"/>
              <w:rPr>
                <w:sz w:val="20"/>
                <w:szCs w:val="20"/>
              </w:rPr>
            </w:pPr>
          </w:p>
          <w:p w14:paraId="1431E3A6" w14:textId="77777777" w:rsidR="00BB4253" w:rsidRPr="009B40A5" w:rsidRDefault="00BB4253" w:rsidP="00641834">
            <w:pPr>
              <w:suppressAutoHyphens/>
              <w:jc w:val="center"/>
              <w:rPr>
                <w:sz w:val="20"/>
                <w:szCs w:val="20"/>
              </w:rPr>
            </w:pPr>
            <w:r w:rsidRPr="009B40A5">
              <w:rPr>
                <w:sz w:val="20"/>
                <w:szCs w:val="20"/>
              </w:rPr>
              <w:t>N/A</w:t>
            </w:r>
          </w:p>
        </w:tc>
        <w:tc>
          <w:tcPr>
            <w:tcW w:w="1249" w:type="dxa"/>
            <w:tcBorders>
              <w:top w:val="single" w:sz="4" w:space="0" w:color="auto"/>
              <w:bottom w:val="single" w:sz="4" w:space="0" w:color="auto"/>
            </w:tcBorders>
          </w:tcPr>
          <w:p w14:paraId="58F70F93" w14:textId="77777777" w:rsidR="00BB4253" w:rsidRPr="00A942F6" w:rsidRDefault="00BB4253" w:rsidP="00641834">
            <w:pPr>
              <w:suppressAutoHyphens/>
              <w:jc w:val="center"/>
              <w:rPr>
                <w:sz w:val="20"/>
                <w:szCs w:val="20"/>
                <w:lang w:val="nb-NO"/>
              </w:rPr>
            </w:pPr>
            <w:r w:rsidRPr="00A942F6">
              <w:rPr>
                <w:sz w:val="20"/>
                <w:szCs w:val="20"/>
                <w:lang w:val="nb-NO"/>
              </w:rPr>
              <w:t xml:space="preserve">0,23* </w:t>
            </w:r>
            <w:r w:rsidRPr="00A942F6">
              <w:rPr>
                <w:sz w:val="20"/>
                <w:szCs w:val="20"/>
                <w:lang w:val="nb-NO"/>
              </w:rPr>
              <w:br/>
              <w:t>(0,11, 0,46)</w:t>
            </w:r>
          </w:p>
          <w:p w14:paraId="191D640E" w14:textId="77777777" w:rsidR="00BB4253" w:rsidRPr="00A942F6" w:rsidRDefault="00BB4253" w:rsidP="00641834">
            <w:pPr>
              <w:suppressAutoHyphens/>
              <w:jc w:val="center"/>
              <w:rPr>
                <w:sz w:val="20"/>
                <w:szCs w:val="20"/>
                <w:lang w:val="nb-NO"/>
              </w:rPr>
            </w:pPr>
          </w:p>
          <w:p w14:paraId="179424E9" w14:textId="77777777" w:rsidR="00BB4253" w:rsidRPr="00A942F6" w:rsidRDefault="00BB4253" w:rsidP="00641834">
            <w:pPr>
              <w:suppressAutoHyphens/>
              <w:jc w:val="center"/>
              <w:rPr>
                <w:sz w:val="20"/>
                <w:szCs w:val="20"/>
                <w:lang w:val="nb-NO"/>
              </w:rPr>
            </w:pPr>
            <w:r w:rsidRPr="00A942F6">
              <w:rPr>
                <w:sz w:val="20"/>
                <w:szCs w:val="20"/>
                <w:lang w:val="nb-NO"/>
              </w:rPr>
              <w:t xml:space="preserve">0,39** </w:t>
            </w:r>
            <w:r w:rsidRPr="00A942F6">
              <w:rPr>
                <w:sz w:val="20"/>
                <w:szCs w:val="20"/>
                <w:lang w:val="nb-NO"/>
              </w:rPr>
              <w:br/>
              <w:t>(0,18, 0,82)</w:t>
            </w:r>
          </w:p>
          <w:p w14:paraId="2958BE7C" w14:textId="77777777" w:rsidR="00BB4253" w:rsidRPr="00A942F6" w:rsidRDefault="00BB4253" w:rsidP="00641834">
            <w:pPr>
              <w:suppressAutoHyphens/>
              <w:jc w:val="center"/>
              <w:rPr>
                <w:sz w:val="20"/>
                <w:szCs w:val="20"/>
                <w:lang w:val="nb-NO"/>
              </w:rPr>
            </w:pPr>
          </w:p>
          <w:p w14:paraId="4C906B98" w14:textId="77777777" w:rsidR="00BB4253" w:rsidRPr="00A942F6" w:rsidRDefault="00BB4253" w:rsidP="00641834">
            <w:pPr>
              <w:suppressAutoHyphens/>
              <w:jc w:val="center"/>
              <w:rPr>
                <w:sz w:val="20"/>
                <w:szCs w:val="20"/>
                <w:lang w:val="nb-NO"/>
              </w:rPr>
            </w:pPr>
            <w:r w:rsidRPr="00A942F6">
              <w:rPr>
                <w:sz w:val="20"/>
                <w:szCs w:val="20"/>
                <w:lang w:val="nb-NO"/>
              </w:rPr>
              <w:t xml:space="preserve">0,23*** </w:t>
            </w:r>
            <w:r w:rsidRPr="00A942F6">
              <w:rPr>
                <w:sz w:val="20"/>
                <w:szCs w:val="20"/>
                <w:lang w:val="nb-NO"/>
              </w:rPr>
              <w:br/>
              <w:t xml:space="preserve">(0,09,0,61) </w:t>
            </w:r>
          </w:p>
          <w:p w14:paraId="5B7C8A2C" w14:textId="77777777" w:rsidR="00BB4253" w:rsidRPr="00A942F6" w:rsidRDefault="00BB4253" w:rsidP="00641834">
            <w:pPr>
              <w:suppressAutoHyphens/>
              <w:jc w:val="center"/>
              <w:rPr>
                <w:sz w:val="20"/>
                <w:szCs w:val="20"/>
                <w:lang w:val="nb-NO"/>
              </w:rPr>
            </w:pPr>
            <w:r w:rsidRPr="00A942F6">
              <w:rPr>
                <w:sz w:val="20"/>
                <w:szCs w:val="20"/>
                <w:lang w:val="nb-NO"/>
              </w:rPr>
              <w:t xml:space="preserve">0,36 </w:t>
            </w:r>
            <w:r w:rsidRPr="00A942F6">
              <w:rPr>
                <w:sz w:val="20"/>
                <w:szCs w:val="20"/>
                <w:lang w:val="nb-NO"/>
              </w:rPr>
              <w:br/>
              <w:t>(0,13, 1,00)</w:t>
            </w:r>
          </w:p>
          <w:p w14:paraId="53CD9FA9" w14:textId="77777777" w:rsidR="00BB4253" w:rsidRPr="00A942F6" w:rsidRDefault="00BB4253" w:rsidP="00641834">
            <w:pPr>
              <w:suppressAutoHyphens/>
              <w:jc w:val="center"/>
              <w:rPr>
                <w:sz w:val="20"/>
                <w:szCs w:val="20"/>
                <w:lang w:val="nb-NO"/>
              </w:rPr>
            </w:pPr>
            <w:r w:rsidRPr="00A942F6">
              <w:rPr>
                <w:sz w:val="20"/>
                <w:szCs w:val="20"/>
                <w:lang w:val="nb-NO"/>
              </w:rPr>
              <w:t xml:space="preserve">0,25*** </w:t>
            </w:r>
            <w:r w:rsidRPr="00A942F6">
              <w:rPr>
                <w:sz w:val="20"/>
                <w:szCs w:val="20"/>
                <w:lang w:val="nb-NO"/>
              </w:rPr>
              <w:br/>
              <w:t xml:space="preserve">(0,09, 0,70) </w:t>
            </w:r>
          </w:p>
          <w:p w14:paraId="127302E5" w14:textId="77777777" w:rsidR="00BB4253" w:rsidRPr="00A942F6" w:rsidRDefault="00BB4253" w:rsidP="00641834">
            <w:pPr>
              <w:suppressAutoHyphens/>
              <w:jc w:val="center"/>
              <w:rPr>
                <w:sz w:val="20"/>
                <w:szCs w:val="20"/>
                <w:lang w:val="nb-NO"/>
              </w:rPr>
            </w:pPr>
            <w:r w:rsidRPr="00A942F6">
              <w:rPr>
                <w:sz w:val="20"/>
                <w:szCs w:val="20"/>
                <w:lang w:val="nb-NO"/>
              </w:rPr>
              <w:t xml:space="preserve">0,44 </w:t>
            </w:r>
            <w:r w:rsidRPr="00A942F6">
              <w:rPr>
                <w:sz w:val="20"/>
                <w:szCs w:val="20"/>
                <w:lang w:val="nb-NO"/>
              </w:rPr>
              <w:br/>
              <w:t>(0,14, 1,32)</w:t>
            </w:r>
          </w:p>
        </w:tc>
        <w:tc>
          <w:tcPr>
            <w:tcW w:w="1293" w:type="dxa"/>
            <w:tcBorders>
              <w:top w:val="single" w:sz="4" w:space="0" w:color="auto"/>
              <w:bottom w:val="single" w:sz="4" w:space="0" w:color="auto"/>
              <w:right w:val="single" w:sz="4" w:space="0" w:color="auto"/>
            </w:tcBorders>
          </w:tcPr>
          <w:p w14:paraId="6142BF44" w14:textId="77777777" w:rsidR="00BB4253" w:rsidRPr="00A942F6" w:rsidRDefault="00BB4253" w:rsidP="00641834">
            <w:pPr>
              <w:suppressAutoHyphens/>
              <w:jc w:val="center"/>
              <w:rPr>
                <w:sz w:val="20"/>
                <w:szCs w:val="20"/>
                <w:lang w:val="nb-NO"/>
              </w:rPr>
            </w:pPr>
            <w:r w:rsidRPr="00A942F6">
              <w:rPr>
                <w:sz w:val="20"/>
                <w:szCs w:val="20"/>
                <w:lang w:val="nb-NO"/>
              </w:rPr>
              <w:t xml:space="preserve">0,28** </w:t>
            </w:r>
            <w:r w:rsidRPr="00A942F6">
              <w:rPr>
                <w:sz w:val="20"/>
                <w:szCs w:val="20"/>
                <w:lang w:val="nb-NO"/>
              </w:rPr>
              <w:br/>
              <w:t>(0,12, 0,66)</w:t>
            </w:r>
          </w:p>
          <w:p w14:paraId="58B076C2" w14:textId="77777777" w:rsidR="00BB4253" w:rsidRPr="00A942F6" w:rsidRDefault="00BB4253" w:rsidP="00641834">
            <w:pPr>
              <w:suppressAutoHyphens/>
              <w:jc w:val="center"/>
              <w:rPr>
                <w:sz w:val="20"/>
                <w:szCs w:val="20"/>
                <w:lang w:val="nb-NO"/>
              </w:rPr>
            </w:pPr>
          </w:p>
          <w:p w14:paraId="04C8CF44" w14:textId="77777777" w:rsidR="00BB4253" w:rsidRPr="00A942F6" w:rsidRDefault="00BB4253" w:rsidP="00641834">
            <w:pPr>
              <w:suppressAutoHyphens/>
              <w:jc w:val="center"/>
              <w:rPr>
                <w:sz w:val="20"/>
                <w:szCs w:val="20"/>
                <w:lang w:val="nb-NO"/>
              </w:rPr>
            </w:pPr>
            <w:r w:rsidRPr="00A942F6">
              <w:rPr>
                <w:sz w:val="20"/>
                <w:szCs w:val="20"/>
                <w:lang w:val="nb-NO"/>
              </w:rPr>
              <w:t xml:space="preserve">0,48 </w:t>
            </w:r>
            <w:r w:rsidRPr="00A942F6">
              <w:rPr>
                <w:sz w:val="20"/>
                <w:szCs w:val="20"/>
                <w:lang w:val="nb-NO"/>
              </w:rPr>
              <w:br/>
              <w:t>(0,20, 1,16)</w:t>
            </w:r>
          </w:p>
          <w:p w14:paraId="26C40E90" w14:textId="77777777" w:rsidR="00BB4253" w:rsidRPr="00A942F6" w:rsidRDefault="00BB4253" w:rsidP="00641834">
            <w:pPr>
              <w:suppressAutoHyphens/>
              <w:jc w:val="center"/>
              <w:rPr>
                <w:sz w:val="20"/>
                <w:szCs w:val="20"/>
                <w:lang w:val="nb-NO"/>
              </w:rPr>
            </w:pPr>
          </w:p>
          <w:p w14:paraId="4A6F8041" w14:textId="77777777" w:rsidR="00BB4253" w:rsidRPr="00A942F6" w:rsidRDefault="00BB4253" w:rsidP="00641834">
            <w:pPr>
              <w:suppressAutoHyphens/>
              <w:jc w:val="center"/>
              <w:rPr>
                <w:sz w:val="20"/>
                <w:szCs w:val="20"/>
                <w:lang w:val="nb-NO"/>
              </w:rPr>
            </w:pPr>
            <w:r w:rsidRPr="00A942F6">
              <w:rPr>
                <w:sz w:val="20"/>
                <w:szCs w:val="20"/>
                <w:lang w:val="nb-NO"/>
              </w:rPr>
              <w:t xml:space="preserve">0,42 </w:t>
            </w:r>
            <w:r w:rsidRPr="00A942F6">
              <w:rPr>
                <w:sz w:val="20"/>
                <w:szCs w:val="20"/>
                <w:lang w:val="nb-NO"/>
              </w:rPr>
              <w:br/>
              <w:t>(0,14, 1,28)</w:t>
            </w:r>
          </w:p>
          <w:p w14:paraId="32982491" w14:textId="77777777" w:rsidR="00BB4253" w:rsidRPr="00A942F6" w:rsidRDefault="00BB4253" w:rsidP="00641834">
            <w:pPr>
              <w:suppressAutoHyphens/>
              <w:jc w:val="center"/>
              <w:rPr>
                <w:sz w:val="20"/>
                <w:szCs w:val="20"/>
                <w:lang w:val="nb-NO"/>
              </w:rPr>
            </w:pPr>
            <w:r w:rsidRPr="00A942F6">
              <w:rPr>
                <w:sz w:val="20"/>
                <w:szCs w:val="20"/>
                <w:lang w:val="nb-NO"/>
              </w:rPr>
              <w:t xml:space="preserve">0,67 </w:t>
            </w:r>
            <w:r w:rsidRPr="00A942F6">
              <w:rPr>
                <w:sz w:val="20"/>
                <w:szCs w:val="20"/>
                <w:lang w:val="nb-NO"/>
              </w:rPr>
              <w:br/>
              <w:t xml:space="preserve">(0,21,2,10) 0,20*** </w:t>
            </w:r>
            <w:r w:rsidRPr="00A942F6">
              <w:rPr>
                <w:sz w:val="20"/>
                <w:szCs w:val="20"/>
                <w:lang w:val="nb-NO"/>
              </w:rPr>
              <w:br/>
              <w:t>(0,05, 0,76)</w:t>
            </w:r>
          </w:p>
          <w:p w14:paraId="11BF982F" w14:textId="77777777" w:rsidR="00BB4253" w:rsidRPr="00A942F6" w:rsidRDefault="00BB4253" w:rsidP="00641834">
            <w:pPr>
              <w:suppressAutoHyphens/>
              <w:jc w:val="center"/>
              <w:rPr>
                <w:sz w:val="20"/>
                <w:szCs w:val="20"/>
                <w:lang w:val="nb-NO"/>
              </w:rPr>
            </w:pPr>
            <w:r w:rsidRPr="00A942F6">
              <w:rPr>
                <w:sz w:val="20"/>
                <w:szCs w:val="20"/>
                <w:lang w:val="nb-NO"/>
              </w:rPr>
              <w:t xml:space="preserve">0,35 </w:t>
            </w:r>
            <w:r w:rsidRPr="00A942F6">
              <w:rPr>
                <w:sz w:val="20"/>
                <w:szCs w:val="20"/>
                <w:lang w:val="nb-NO"/>
              </w:rPr>
              <w:br/>
              <w:t>(0,09, 1,42)</w:t>
            </w:r>
          </w:p>
        </w:tc>
      </w:tr>
      <w:tr w:rsidR="00BB4253" w:rsidRPr="00A942F6" w14:paraId="77A8D55F" w14:textId="77777777" w:rsidTr="00405456">
        <w:trPr>
          <w:cantSplit/>
        </w:trPr>
        <w:tc>
          <w:tcPr>
            <w:tcW w:w="3682" w:type="dxa"/>
            <w:tcBorders>
              <w:top w:val="single" w:sz="4" w:space="0" w:color="auto"/>
              <w:left w:val="single" w:sz="4" w:space="0" w:color="auto"/>
            </w:tcBorders>
          </w:tcPr>
          <w:p w14:paraId="2B3F245A" w14:textId="77777777" w:rsidR="00BB4253" w:rsidRPr="00BD4D94" w:rsidRDefault="00BB4253" w:rsidP="00641834">
            <w:pPr>
              <w:suppressAutoHyphens/>
              <w:rPr>
                <w:i/>
                <w:sz w:val="20"/>
                <w:szCs w:val="20"/>
                <w:lang w:val="nb-NO"/>
              </w:rPr>
            </w:pPr>
            <w:r w:rsidRPr="00BD4D94">
              <w:rPr>
                <w:i/>
                <w:sz w:val="20"/>
                <w:szCs w:val="20"/>
                <w:lang w:val="nb-NO"/>
              </w:rPr>
              <w:t>Akkumulerte glukokortikoid-doser (mg)</w:t>
            </w:r>
          </w:p>
          <w:p w14:paraId="30625A0D" w14:textId="77777777" w:rsidR="00BB4253" w:rsidRPr="00BD4D94" w:rsidRDefault="00BB4253" w:rsidP="00641834">
            <w:pPr>
              <w:suppressAutoHyphens/>
              <w:ind w:left="283"/>
              <w:rPr>
                <w:i/>
                <w:sz w:val="20"/>
                <w:szCs w:val="20"/>
                <w:lang w:val="nb-NO"/>
              </w:rPr>
            </w:pPr>
            <w:r w:rsidRPr="00BD4D94">
              <w:rPr>
                <w:i/>
                <w:sz w:val="20"/>
                <w:szCs w:val="20"/>
                <w:lang w:val="nb-NO"/>
              </w:rPr>
              <w:t>median ved uke 52 (tocilizumab-grupper versus placebo+26</w:t>
            </w:r>
            <w:r w:rsidRPr="00BD4D94">
              <w:rPr>
                <w:i/>
                <w:sz w:val="20"/>
                <w:szCs w:val="20"/>
                <w:vertAlign w:val="superscript"/>
                <w:lang w:val="nb-NO"/>
              </w:rPr>
              <w:t>2</w:t>
            </w:r>
            <w:r w:rsidRPr="00BD4D94">
              <w:rPr>
                <w:i/>
                <w:sz w:val="20"/>
                <w:szCs w:val="20"/>
                <w:lang w:val="nb-NO"/>
              </w:rPr>
              <w:t>)</w:t>
            </w:r>
          </w:p>
          <w:p w14:paraId="482577E5" w14:textId="77777777" w:rsidR="00BB4253" w:rsidRPr="00A942F6" w:rsidRDefault="00BB4253" w:rsidP="00641834">
            <w:pPr>
              <w:suppressAutoHyphens/>
              <w:ind w:left="283"/>
              <w:rPr>
                <w:i/>
                <w:iCs/>
                <w:sz w:val="20"/>
                <w:szCs w:val="20"/>
                <w:lang w:val="nb-NO"/>
              </w:rPr>
            </w:pPr>
            <w:r w:rsidRPr="00A942F6">
              <w:rPr>
                <w:i/>
                <w:sz w:val="20"/>
                <w:szCs w:val="20"/>
                <w:lang w:val="nb-NO"/>
              </w:rPr>
              <w:t>median ved uke 52 (tocilizumab-grupper versus placebo +52</w:t>
            </w:r>
            <w:r w:rsidRPr="00A942F6">
              <w:rPr>
                <w:i/>
                <w:sz w:val="20"/>
                <w:szCs w:val="20"/>
                <w:vertAlign w:val="superscript"/>
                <w:lang w:val="nb-NO"/>
              </w:rPr>
              <w:t>2</w:t>
            </w:r>
            <w:r w:rsidRPr="00A942F6">
              <w:rPr>
                <w:i/>
                <w:sz w:val="20"/>
                <w:szCs w:val="20"/>
                <w:lang w:val="nb-NO"/>
              </w:rPr>
              <w:t>)</w:t>
            </w:r>
          </w:p>
        </w:tc>
        <w:tc>
          <w:tcPr>
            <w:tcW w:w="1558" w:type="dxa"/>
            <w:tcBorders>
              <w:top w:val="single" w:sz="4" w:space="0" w:color="auto"/>
              <w:left w:val="single" w:sz="4" w:space="0" w:color="auto"/>
            </w:tcBorders>
          </w:tcPr>
          <w:p w14:paraId="6075577E" w14:textId="77777777" w:rsidR="00BB4253" w:rsidRPr="00A942F6" w:rsidRDefault="00BB4253" w:rsidP="00641834">
            <w:pPr>
              <w:suppressAutoHyphens/>
              <w:jc w:val="center"/>
              <w:rPr>
                <w:sz w:val="20"/>
                <w:szCs w:val="20"/>
                <w:lang w:val="nb-NO"/>
              </w:rPr>
            </w:pPr>
          </w:p>
          <w:p w14:paraId="10AA6BAC" w14:textId="77777777" w:rsidR="00BB4253" w:rsidRPr="00A942F6" w:rsidRDefault="00BB4253" w:rsidP="00641834">
            <w:pPr>
              <w:suppressAutoHyphens/>
              <w:jc w:val="center"/>
              <w:rPr>
                <w:sz w:val="20"/>
                <w:szCs w:val="20"/>
                <w:lang w:val="nb-NO"/>
              </w:rPr>
            </w:pPr>
            <w:r w:rsidRPr="00A942F6">
              <w:rPr>
                <w:sz w:val="20"/>
                <w:szCs w:val="20"/>
                <w:lang w:val="nb-NO"/>
              </w:rPr>
              <w:t>3296,00</w:t>
            </w:r>
          </w:p>
          <w:p w14:paraId="74F1525D" w14:textId="77777777" w:rsidR="00BB4253" w:rsidRPr="00A942F6" w:rsidRDefault="00BB4253" w:rsidP="00641834">
            <w:pPr>
              <w:suppressAutoHyphens/>
              <w:jc w:val="center"/>
              <w:rPr>
                <w:sz w:val="20"/>
                <w:szCs w:val="20"/>
                <w:lang w:val="nb-NO"/>
              </w:rPr>
            </w:pPr>
          </w:p>
          <w:p w14:paraId="68F1B26B" w14:textId="77777777" w:rsidR="00BB4253" w:rsidRPr="00A942F6" w:rsidRDefault="00BB4253" w:rsidP="00641834">
            <w:pPr>
              <w:suppressAutoHyphens/>
              <w:jc w:val="center"/>
              <w:rPr>
                <w:sz w:val="20"/>
                <w:szCs w:val="20"/>
                <w:lang w:val="nb-NO"/>
              </w:rPr>
            </w:pPr>
            <w:r w:rsidRPr="00A942F6">
              <w:rPr>
                <w:sz w:val="20"/>
                <w:szCs w:val="20"/>
                <w:lang w:val="nb-NO"/>
              </w:rPr>
              <w:t>N/A</w:t>
            </w:r>
          </w:p>
        </w:tc>
        <w:tc>
          <w:tcPr>
            <w:tcW w:w="1279" w:type="dxa"/>
            <w:tcBorders>
              <w:top w:val="single" w:sz="4" w:space="0" w:color="auto"/>
              <w:left w:val="single" w:sz="4" w:space="0" w:color="auto"/>
            </w:tcBorders>
          </w:tcPr>
          <w:p w14:paraId="1B569DCC" w14:textId="77777777" w:rsidR="00BB4253" w:rsidRPr="00A942F6" w:rsidRDefault="00BB4253" w:rsidP="00641834">
            <w:pPr>
              <w:suppressAutoHyphens/>
              <w:jc w:val="center"/>
              <w:rPr>
                <w:sz w:val="20"/>
                <w:szCs w:val="20"/>
                <w:lang w:val="nb-NO"/>
              </w:rPr>
            </w:pPr>
          </w:p>
          <w:p w14:paraId="64F0564D" w14:textId="77777777" w:rsidR="00BB4253" w:rsidRPr="00A942F6" w:rsidRDefault="00BB4253" w:rsidP="00641834">
            <w:pPr>
              <w:suppressAutoHyphens/>
              <w:jc w:val="center"/>
              <w:rPr>
                <w:sz w:val="20"/>
                <w:szCs w:val="20"/>
                <w:lang w:val="nb-NO"/>
              </w:rPr>
            </w:pPr>
            <w:r w:rsidRPr="00A942F6">
              <w:rPr>
                <w:sz w:val="20"/>
                <w:szCs w:val="20"/>
                <w:lang w:val="nb-NO"/>
              </w:rPr>
              <w:t>N/A</w:t>
            </w:r>
          </w:p>
          <w:p w14:paraId="732BB4D7" w14:textId="77777777" w:rsidR="00BB4253" w:rsidRPr="00A942F6" w:rsidRDefault="00BB4253" w:rsidP="00641834">
            <w:pPr>
              <w:suppressAutoHyphens/>
              <w:jc w:val="center"/>
              <w:rPr>
                <w:sz w:val="20"/>
                <w:szCs w:val="20"/>
                <w:lang w:val="nb-NO"/>
              </w:rPr>
            </w:pPr>
          </w:p>
          <w:p w14:paraId="6EC59962" w14:textId="77777777" w:rsidR="00BB4253" w:rsidRPr="00A942F6" w:rsidRDefault="00BB4253" w:rsidP="00641834">
            <w:pPr>
              <w:suppressAutoHyphens/>
              <w:jc w:val="center"/>
              <w:rPr>
                <w:sz w:val="20"/>
                <w:szCs w:val="20"/>
                <w:lang w:val="nb-NO"/>
              </w:rPr>
            </w:pPr>
            <w:r w:rsidRPr="00A942F6">
              <w:rPr>
                <w:sz w:val="20"/>
                <w:szCs w:val="20"/>
                <w:lang w:val="nb-NO"/>
              </w:rPr>
              <w:t>3817,50</w:t>
            </w:r>
          </w:p>
        </w:tc>
        <w:tc>
          <w:tcPr>
            <w:tcW w:w="1249" w:type="dxa"/>
            <w:tcBorders>
              <w:top w:val="single" w:sz="4" w:space="0" w:color="auto"/>
              <w:left w:val="single" w:sz="4" w:space="0" w:color="auto"/>
            </w:tcBorders>
          </w:tcPr>
          <w:p w14:paraId="2D9A396B" w14:textId="77777777" w:rsidR="00BB4253" w:rsidRPr="00A942F6" w:rsidRDefault="00BB4253" w:rsidP="00641834">
            <w:pPr>
              <w:suppressAutoHyphens/>
              <w:jc w:val="center"/>
              <w:rPr>
                <w:sz w:val="20"/>
                <w:szCs w:val="20"/>
                <w:lang w:val="nb-NO"/>
              </w:rPr>
            </w:pPr>
          </w:p>
          <w:p w14:paraId="1099783E" w14:textId="77777777" w:rsidR="00BB4253" w:rsidRPr="00A942F6" w:rsidRDefault="00BB4253" w:rsidP="00641834">
            <w:pPr>
              <w:suppressAutoHyphens/>
              <w:jc w:val="center"/>
              <w:rPr>
                <w:sz w:val="20"/>
                <w:szCs w:val="20"/>
                <w:lang w:val="nb-NO"/>
              </w:rPr>
            </w:pPr>
            <w:r w:rsidRPr="00A942F6">
              <w:rPr>
                <w:sz w:val="20"/>
                <w:szCs w:val="20"/>
                <w:lang w:val="nb-NO"/>
              </w:rPr>
              <w:t>1862,00*</w:t>
            </w:r>
          </w:p>
          <w:p w14:paraId="6AA6A91B" w14:textId="77777777" w:rsidR="00BB4253" w:rsidRPr="00A942F6" w:rsidRDefault="00BB4253" w:rsidP="00641834">
            <w:pPr>
              <w:suppressAutoHyphens/>
              <w:jc w:val="center"/>
              <w:rPr>
                <w:sz w:val="20"/>
                <w:szCs w:val="20"/>
                <w:lang w:val="nb-NO"/>
              </w:rPr>
            </w:pPr>
          </w:p>
          <w:p w14:paraId="16B24EB2" w14:textId="77777777" w:rsidR="00BB4253" w:rsidRPr="00A942F6" w:rsidRDefault="00BB4253" w:rsidP="00641834">
            <w:pPr>
              <w:suppressAutoHyphens/>
              <w:jc w:val="center"/>
              <w:rPr>
                <w:sz w:val="20"/>
                <w:szCs w:val="20"/>
                <w:lang w:val="nb-NO"/>
              </w:rPr>
            </w:pPr>
            <w:r w:rsidRPr="00A942F6">
              <w:rPr>
                <w:sz w:val="20"/>
                <w:szCs w:val="20"/>
                <w:lang w:val="nb-NO"/>
              </w:rPr>
              <w:t>1862,00*</w:t>
            </w:r>
          </w:p>
        </w:tc>
        <w:tc>
          <w:tcPr>
            <w:tcW w:w="1293" w:type="dxa"/>
            <w:tcBorders>
              <w:top w:val="single" w:sz="4" w:space="0" w:color="auto"/>
              <w:left w:val="single" w:sz="4" w:space="0" w:color="auto"/>
              <w:right w:val="single" w:sz="4" w:space="0" w:color="auto"/>
            </w:tcBorders>
          </w:tcPr>
          <w:p w14:paraId="5181CCFE" w14:textId="77777777" w:rsidR="00BB4253" w:rsidRPr="00A942F6" w:rsidRDefault="00BB4253" w:rsidP="00641834">
            <w:pPr>
              <w:suppressAutoHyphens/>
              <w:jc w:val="center"/>
              <w:rPr>
                <w:sz w:val="20"/>
                <w:szCs w:val="20"/>
                <w:lang w:val="nb-NO"/>
              </w:rPr>
            </w:pPr>
          </w:p>
          <w:p w14:paraId="7BA20D4D" w14:textId="77777777" w:rsidR="00BB4253" w:rsidRPr="00A942F6" w:rsidRDefault="00BB4253" w:rsidP="00641834">
            <w:pPr>
              <w:suppressAutoHyphens/>
              <w:jc w:val="center"/>
              <w:rPr>
                <w:sz w:val="20"/>
                <w:szCs w:val="20"/>
                <w:lang w:val="nb-NO"/>
              </w:rPr>
            </w:pPr>
            <w:r w:rsidRPr="00A942F6">
              <w:rPr>
                <w:sz w:val="20"/>
                <w:szCs w:val="20"/>
                <w:lang w:val="nb-NO"/>
              </w:rPr>
              <w:t>1862,00*</w:t>
            </w:r>
          </w:p>
          <w:p w14:paraId="12E54BCB" w14:textId="77777777" w:rsidR="00BB4253" w:rsidRPr="00A942F6" w:rsidRDefault="00BB4253" w:rsidP="00641834">
            <w:pPr>
              <w:suppressAutoHyphens/>
              <w:jc w:val="center"/>
              <w:rPr>
                <w:sz w:val="20"/>
                <w:szCs w:val="20"/>
                <w:lang w:val="nb-NO"/>
              </w:rPr>
            </w:pPr>
          </w:p>
          <w:p w14:paraId="0199784D" w14:textId="77777777" w:rsidR="00BB4253" w:rsidRPr="00A942F6" w:rsidRDefault="00BB4253" w:rsidP="00641834">
            <w:pPr>
              <w:suppressAutoHyphens/>
              <w:jc w:val="center"/>
              <w:rPr>
                <w:sz w:val="20"/>
                <w:szCs w:val="20"/>
                <w:lang w:val="nb-NO"/>
              </w:rPr>
            </w:pPr>
            <w:r w:rsidRPr="00A942F6">
              <w:rPr>
                <w:sz w:val="20"/>
                <w:szCs w:val="20"/>
                <w:lang w:val="nb-NO"/>
              </w:rPr>
              <w:t>1862,00*</w:t>
            </w:r>
          </w:p>
        </w:tc>
      </w:tr>
      <w:tr w:rsidR="00BB4253" w:rsidRPr="00A942F6" w14:paraId="0080ACE5" w14:textId="77777777" w:rsidTr="00C42B2C">
        <w:trPr>
          <w:cantSplit/>
        </w:trPr>
        <w:tc>
          <w:tcPr>
            <w:tcW w:w="9061" w:type="dxa"/>
            <w:gridSpan w:val="5"/>
            <w:tcBorders>
              <w:top w:val="single" w:sz="4" w:space="0" w:color="auto"/>
              <w:left w:val="single" w:sz="4" w:space="0" w:color="auto"/>
              <w:right w:val="single" w:sz="4" w:space="0" w:color="auto"/>
            </w:tcBorders>
          </w:tcPr>
          <w:p w14:paraId="230E8E95" w14:textId="77777777" w:rsidR="00BB4253" w:rsidRPr="00A942F6" w:rsidRDefault="00BB4253" w:rsidP="00641834">
            <w:pPr>
              <w:keepNext/>
              <w:suppressAutoHyphens/>
              <w:rPr>
                <w:b/>
                <w:bCs/>
                <w:sz w:val="20"/>
                <w:szCs w:val="20"/>
                <w:lang w:val="nb-NO"/>
              </w:rPr>
            </w:pPr>
            <w:r w:rsidRPr="00A942F6">
              <w:rPr>
                <w:b/>
                <w:sz w:val="20"/>
                <w:szCs w:val="20"/>
                <w:lang w:val="nb-NO"/>
              </w:rPr>
              <w:t>Eksplorative Endepunkter</w:t>
            </w:r>
          </w:p>
        </w:tc>
      </w:tr>
      <w:tr w:rsidR="00BB4253" w:rsidRPr="00A942F6" w14:paraId="2EDA6237" w14:textId="77777777" w:rsidTr="00C42B2C">
        <w:trPr>
          <w:cantSplit/>
        </w:trPr>
        <w:tc>
          <w:tcPr>
            <w:tcW w:w="3682" w:type="dxa"/>
            <w:tcBorders>
              <w:top w:val="single" w:sz="4" w:space="0" w:color="auto"/>
              <w:left w:val="single" w:sz="4" w:space="0" w:color="auto"/>
              <w:bottom w:val="single" w:sz="4" w:space="0" w:color="auto"/>
            </w:tcBorders>
          </w:tcPr>
          <w:p w14:paraId="63757A99" w14:textId="77777777" w:rsidR="00BB4253" w:rsidRPr="00A942F6" w:rsidRDefault="00BB4253" w:rsidP="00641834">
            <w:pPr>
              <w:pStyle w:val="TableParagraph"/>
              <w:rPr>
                <w:sz w:val="20"/>
                <w:szCs w:val="20"/>
                <w:lang w:val="nb-NO"/>
              </w:rPr>
            </w:pPr>
            <w:r w:rsidRPr="00A942F6">
              <w:rPr>
                <w:sz w:val="20"/>
                <w:szCs w:val="20"/>
                <w:lang w:val="nb-NO"/>
              </w:rPr>
              <w:t>Årlig frekvens for tilbakefall, uke 52</w:t>
            </w:r>
            <w:r w:rsidRPr="00A942F6">
              <w:rPr>
                <w:sz w:val="20"/>
                <w:szCs w:val="20"/>
                <w:vertAlign w:val="superscript"/>
                <w:lang w:val="nb-NO"/>
              </w:rPr>
              <w:t>§</w:t>
            </w:r>
          </w:p>
          <w:p w14:paraId="2CED1C45" w14:textId="77777777" w:rsidR="00BB4253" w:rsidRPr="00A942F6" w:rsidRDefault="00BB4253" w:rsidP="00641834">
            <w:pPr>
              <w:suppressAutoHyphens/>
              <w:ind w:left="283"/>
              <w:rPr>
                <w:sz w:val="20"/>
                <w:szCs w:val="20"/>
                <w:lang w:val="nb-NO"/>
              </w:rPr>
            </w:pPr>
            <w:r w:rsidRPr="00A942F6">
              <w:rPr>
                <w:sz w:val="20"/>
                <w:szCs w:val="20"/>
                <w:lang w:val="nb-NO"/>
              </w:rPr>
              <w:t>Gjennomsnitt (SD)</w:t>
            </w:r>
          </w:p>
        </w:tc>
        <w:tc>
          <w:tcPr>
            <w:tcW w:w="1558" w:type="dxa"/>
            <w:tcBorders>
              <w:top w:val="single" w:sz="4" w:space="0" w:color="auto"/>
              <w:left w:val="single" w:sz="4" w:space="0" w:color="auto"/>
              <w:bottom w:val="single" w:sz="4" w:space="0" w:color="auto"/>
            </w:tcBorders>
          </w:tcPr>
          <w:p w14:paraId="1F625C75" w14:textId="77777777" w:rsidR="00BB4253" w:rsidRPr="00A942F6" w:rsidRDefault="00BB4253" w:rsidP="00641834">
            <w:pPr>
              <w:suppressAutoHyphens/>
              <w:jc w:val="center"/>
              <w:rPr>
                <w:sz w:val="20"/>
                <w:szCs w:val="20"/>
                <w:lang w:val="nb-NO"/>
              </w:rPr>
            </w:pPr>
          </w:p>
          <w:p w14:paraId="1B81C2BB" w14:textId="77777777" w:rsidR="00BB4253" w:rsidRPr="00A942F6" w:rsidRDefault="00BB4253" w:rsidP="00641834">
            <w:pPr>
              <w:suppressAutoHyphens/>
              <w:jc w:val="center"/>
              <w:rPr>
                <w:sz w:val="20"/>
                <w:szCs w:val="20"/>
                <w:lang w:val="nb-NO"/>
              </w:rPr>
            </w:pPr>
            <w:r w:rsidRPr="00A942F6">
              <w:rPr>
                <w:sz w:val="20"/>
                <w:szCs w:val="20"/>
                <w:lang w:val="nb-NO"/>
              </w:rPr>
              <w:t>1,74</w:t>
            </w:r>
          </w:p>
          <w:p w14:paraId="5C184BAF" w14:textId="77777777" w:rsidR="00BB4253" w:rsidRPr="00A942F6" w:rsidRDefault="00BB4253" w:rsidP="00641834">
            <w:pPr>
              <w:suppressAutoHyphens/>
              <w:jc w:val="center"/>
              <w:rPr>
                <w:sz w:val="20"/>
                <w:szCs w:val="20"/>
                <w:lang w:val="nb-NO"/>
              </w:rPr>
            </w:pPr>
            <w:r w:rsidRPr="00A942F6">
              <w:rPr>
                <w:sz w:val="20"/>
                <w:szCs w:val="20"/>
                <w:lang w:val="nb-NO"/>
              </w:rPr>
              <w:t>(2,18)</w:t>
            </w:r>
          </w:p>
        </w:tc>
        <w:tc>
          <w:tcPr>
            <w:tcW w:w="1279" w:type="dxa"/>
            <w:tcBorders>
              <w:top w:val="single" w:sz="4" w:space="0" w:color="auto"/>
              <w:left w:val="single" w:sz="4" w:space="0" w:color="auto"/>
              <w:bottom w:val="single" w:sz="4" w:space="0" w:color="auto"/>
            </w:tcBorders>
          </w:tcPr>
          <w:p w14:paraId="2B1C6AEB" w14:textId="77777777" w:rsidR="00BB4253" w:rsidRPr="00A942F6" w:rsidRDefault="00BB4253" w:rsidP="00641834">
            <w:pPr>
              <w:suppressAutoHyphens/>
              <w:jc w:val="center"/>
              <w:rPr>
                <w:sz w:val="20"/>
                <w:szCs w:val="20"/>
                <w:lang w:val="nb-NO"/>
              </w:rPr>
            </w:pPr>
          </w:p>
          <w:p w14:paraId="7C3E73E3" w14:textId="77777777" w:rsidR="00BB4253" w:rsidRPr="00A942F6" w:rsidRDefault="00BB4253" w:rsidP="00641834">
            <w:pPr>
              <w:suppressAutoHyphens/>
              <w:jc w:val="center"/>
              <w:rPr>
                <w:sz w:val="20"/>
                <w:szCs w:val="20"/>
                <w:lang w:val="nb-NO"/>
              </w:rPr>
            </w:pPr>
            <w:r w:rsidRPr="00A942F6">
              <w:rPr>
                <w:sz w:val="20"/>
                <w:szCs w:val="20"/>
                <w:lang w:val="nb-NO"/>
              </w:rPr>
              <w:t xml:space="preserve">1,30 </w:t>
            </w:r>
          </w:p>
          <w:p w14:paraId="02F0C65A" w14:textId="77777777" w:rsidR="00BB4253" w:rsidRPr="00A942F6" w:rsidRDefault="00BB4253" w:rsidP="00641834">
            <w:pPr>
              <w:suppressAutoHyphens/>
              <w:jc w:val="center"/>
              <w:rPr>
                <w:sz w:val="20"/>
                <w:szCs w:val="20"/>
                <w:lang w:val="nb-NO"/>
              </w:rPr>
            </w:pPr>
            <w:r w:rsidRPr="00A942F6">
              <w:rPr>
                <w:sz w:val="20"/>
                <w:szCs w:val="20"/>
                <w:lang w:val="nb-NO"/>
              </w:rPr>
              <w:t>(1,84)</w:t>
            </w:r>
          </w:p>
        </w:tc>
        <w:tc>
          <w:tcPr>
            <w:tcW w:w="1249" w:type="dxa"/>
            <w:tcBorders>
              <w:top w:val="single" w:sz="4" w:space="0" w:color="auto"/>
              <w:left w:val="single" w:sz="4" w:space="0" w:color="auto"/>
              <w:bottom w:val="single" w:sz="4" w:space="0" w:color="auto"/>
            </w:tcBorders>
          </w:tcPr>
          <w:p w14:paraId="69F619F9" w14:textId="77777777" w:rsidR="00BB4253" w:rsidRPr="00A942F6" w:rsidRDefault="00BB4253" w:rsidP="00641834">
            <w:pPr>
              <w:suppressAutoHyphens/>
              <w:jc w:val="center"/>
              <w:rPr>
                <w:sz w:val="20"/>
                <w:szCs w:val="20"/>
                <w:lang w:val="nb-NO"/>
              </w:rPr>
            </w:pPr>
          </w:p>
          <w:p w14:paraId="214F56E7" w14:textId="77777777" w:rsidR="00BB4253" w:rsidRPr="00A942F6" w:rsidRDefault="00BB4253" w:rsidP="00641834">
            <w:pPr>
              <w:suppressAutoHyphens/>
              <w:jc w:val="center"/>
              <w:rPr>
                <w:sz w:val="20"/>
                <w:szCs w:val="20"/>
                <w:lang w:val="nb-NO"/>
              </w:rPr>
            </w:pPr>
            <w:r w:rsidRPr="00A942F6">
              <w:rPr>
                <w:sz w:val="20"/>
                <w:szCs w:val="20"/>
                <w:lang w:val="nb-NO"/>
              </w:rPr>
              <w:t xml:space="preserve">0,41 </w:t>
            </w:r>
          </w:p>
          <w:p w14:paraId="7BC5A68B" w14:textId="77777777" w:rsidR="00BB4253" w:rsidRPr="00A942F6" w:rsidRDefault="00BB4253" w:rsidP="00641834">
            <w:pPr>
              <w:suppressAutoHyphens/>
              <w:jc w:val="center"/>
              <w:rPr>
                <w:sz w:val="20"/>
                <w:szCs w:val="20"/>
                <w:lang w:val="nb-NO"/>
              </w:rPr>
            </w:pPr>
            <w:r w:rsidRPr="00A942F6">
              <w:rPr>
                <w:sz w:val="20"/>
                <w:szCs w:val="20"/>
                <w:lang w:val="nb-NO"/>
              </w:rPr>
              <w:t>(0,78)</w:t>
            </w:r>
          </w:p>
        </w:tc>
        <w:tc>
          <w:tcPr>
            <w:tcW w:w="1293" w:type="dxa"/>
            <w:tcBorders>
              <w:top w:val="single" w:sz="4" w:space="0" w:color="auto"/>
              <w:left w:val="single" w:sz="4" w:space="0" w:color="auto"/>
              <w:bottom w:val="single" w:sz="4" w:space="0" w:color="auto"/>
              <w:right w:val="single" w:sz="4" w:space="0" w:color="auto"/>
            </w:tcBorders>
          </w:tcPr>
          <w:p w14:paraId="68931F66" w14:textId="77777777" w:rsidR="00BB4253" w:rsidRPr="00A942F6" w:rsidRDefault="00BB4253" w:rsidP="00641834">
            <w:pPr>
              <w:suppressAutoHyphens/>
              <w:jc w:val="center"/>
              <w:rPr>
                <w:sz w:val="20"/>
                <w:szCs w:val="20"/>
                <w:lang w:val="nb-NO"/>
              </w:rPr>
            </w:pPr>
          </w:p>
          <w:p w14:paraId="6F288476" w14:textId="77777777" w:rsidR="00BB4253" w:rsidRPr="00A942F6" w:rsidRDefault="00BB4253" w:rsidP="00641834">
            <w:pPr>
              <w:suppressAutoHyphens/>
              <w:jc w:val="center"/>
              <w:rPr>
                <w:sz w:val="20"/>
                <w:szCs w:val="20"/>
                <w:lang w:val="nb-NO"/>
              </w:rPr>
            </w:pPr>
            <w:r w:rsidRPr="00A942F6">
              <w:rPr>
                <w:sz w:val="20"/>
                <w:szCs w:val="20"/>
                <w:lang w:val="nb-NO"/>
              </w:rPr>
              <w:t>0,67</w:t>
            </w:r>
          </w:p>
          <w:p w14:paraId="006E9F1A" w14:textId="77777777" w:rsidR="00BB4253" w:rsidRPr="00A942F6" w:rsidRDefault="00BB4253" w:rsidP="00641834">
            <w:pPr>
              <w:suppressAutoHyphens/>
              <w:jc w:val="center"/>
              <w:rPr>
                <w:sz w:val="20"/>
                <w:szCs w:val="20"/>
                <w:lang w:val="nb-NO"/>
              </w:rPr>
            </w:pPr>
            <w:r w:rsidRPr="00A942F6">
              <w:rPr>
                <w:sz w:val="20"/>
                <w:szCs w:val="20"/>
                <w:lang w:val="nb-NO"/>
              </w:rPr>
              <w:t>(1,10)</w:t>
            </w:r>
          </w:p>
        </w:tc>
      </w:tr>
    </w:tbl>
    <w:p w14:paraId="0AF6B38C" w14:textId="77777777" w:rsidR="00DF56D8" w:rsidRPr="00A942F6" w:rsidRDefault="00DF56D8" w:rsidP="00641834">
      <w:pPr>
        <w:rPr>
          <w:sz w:val="18"/>
          <w:szCs w:val="18"/>
          <w:lang w:val="nb-NO"/>
        </w:rPr>
      </w:pPr>
      <w:r w:rsidRPr="00A942F6">
        <w:rPr>
          <w:sz w:val="18"/>
          <w:szCs w:val="18"/>
          <w:lang w:val="nb-NO"/>
        </w:rPr>
        <w:t>* p&lt;0,0001</w:t>
      </w:r>
    </w:p>
    <w:p w14:paraId="3552BF7D" w14:textId="77777777" w:rsidR="00DF56D8" w:rsidRPr="00A942F6" w:rsidRDefault="00DF56D8" w:rsidP="00641834">
      <w:pPr>
        <w:rPr>
          <w:sz w:val="18"/>
          <w:szCs w:val="18"/>
          <w:lang w:val="nb-NO"/>
        </w:rPr>
      </w:pPr>
      <w:r w:rsidRPr="00A942F6">
        <w:rPr>
          <w:sz w:val="18"/>
          <w:szCs w:val="18"/>
          <w:lang w:val="nb-NO"/>
        </w:rPr>
        <w:t>** p&lt;0,005 (terskel for signifikans for primære og sentrale sekundære tester for superioritet)</w:t>
      </w:r>
    </w:p>
    <w:p w14:paraId="4288F464" w14:textId="77777777" w:rsidR="00DF56D8" w:rsidRPr="00A942F6" w:rsidRDefault="00DF56D8" w:rsidP="00641834">
      <w:pPr>
        <w:rPr>
          <w:sz w:val="18"/>
          <w:szCs w:val="18"/>
          <w:lang w:val="nb-NO"/>
        </w:rPr>
      </w:pPr>
      <w:r w:rsidRPr="00A942F6">
        <w:rPr>
          <w:sz w:val="18"/>
          <w:szCs w:val="18"/>
          <w:lang w:val="nb-NO"/>
        </w:rPr>
        <w:t>***</w:t>
      </w:r>
      <w:r w:rsidR="001F4B8A" w:rsidRPr="00A942F6">
        <w:rPr>
          <w:sz w:val="18"/>
          <w:szCs w:val="18"/>
          <w:lang w:val="nb-NO"/>
        </w:rPr>
        <w:t xml:space="preserve"> </w:t>
      </w:r>
      <w:r w:rsidRPr="00A942F6">
        <w:rPr>
          <w:sz w:val="18"/>
          <w:szCs w:val="18"/>
          <w:lang w:val="nb-NO"/>
        </w:rPr>
        <w:t>Beskrivende p-verdi &lt;</w:t>
      </w:r>
      <w:r w:rsidRPr="00A942F6">
        <w:rPr>
          <w:sz w:val="18"/>
          <w:szCs w:val="18"/>
          <w:u w:val="single"/>
          <w:lang w:val="nb-NO"/>
        </w:rPr>
        <w:t>0,005</w:t>
      </w:r>
    </w:p>
    <w:p w14:paraId="1B147796" w14:textId="77777777" w:rsidR="00DF56D8" w:rsidRPr="00A942F6" w:rsidRDefault="00DF56D8" w:rsidP="00641834">
      <w:pPr>
        <w:rPr>
          <w:sz w:val="18"/>
          <w:szCs w:val="18"/>
          <w:lang w:val="nb-NO"/>
        </w:rPr>
      </w:pPr>
      <w:r w:rsidRPr="00A942F6">
        <w:rPr>
          <w:sz w:val="18"/>
          <w:szCs w:val="18"/>
          <w:u w:val="single"/>
          <w:lang w:val="nb-NO"/>
        </w:rPr>
        <w:t>****</w:t>
      </w:r>
      <w:r w:rsidR="001F4B8A" w:rsidRPr="00A942F6">
        <w:rPr>
          <w:sz w:val="18"/>
          <w:szCs w:val="18"/>
          <w:u w:val="single"/>
          <w:lang w:val="nb-NO"/>
        </w:rPr>
        <w:t xml:space="preserve"> </w:t>
      </w:r>
      <w:r w:rsidRPr="00A942F6">
        <w:rPr>
          <w:b/>
          <w:bCs/>
          <w:sz w:val="18"/>
          <w:szCs w:val="18"/>
          <w:lang w:val="nb-NO"/>
        </w:rPr>
        <w:t xml:space="preserve">Oppbluss: tilbakefall med tegn eller symptomer på GCA og/eller SR &gt;30mm/t </w:t>
      </w:r>
      <w:r w:rsidRPr="00A942F6">
        <w:rPr>
          <w:sz w:val="18"/>
          <w:szCs w:val="18"/>
          <w:lang w:val="nb-NO"/>
        </w:rPr>
        <w:t>– økning av prednisondosen kreves</w:t>
      </w:r>
    </w:p>
    <w:p w14:paraId="7B3C69CA" w14:textId="77777777" w:rsidR="00DF56D8" w:rsidRPr="00A942F6" w:rsidRDefault="00DF56D8" w:rsidP="00641834">
      <w:pPr>
        <w:rPr>
          <w:b/>
          <w:bCs/>
          <w:sz w:val="18"/>
          <w:szCs w:val="18"/>
          <w:lang w:val="nb-NO"/>
        </w:rPr>
      </w:pPr>
      <w:r w:rsidRPr="00A942F6">
        <w:rPr>
          <w:b/>
          <w:bCs/>
          <w:sz w:val="18"/>
          <w:szCs w:val="18"/>
          <w:lang w:val="nb-NO"/>
        </w:rPr>
        <w:t>Remisjon: fravær av oppbluss og normalisering av CRP</w:t>
      </w:r>
    </w:p>
    <w:p w14:paraId="57B36258" w14:textId="77777777" w:rsidR="00DF56D8" w:rsidRPr="00A942F6" w:rsidRDefault="00DF56D8" w:rsidP="00641834">
      <w:pPr>
        <w:rPr>
          <w:sz w:val="18"/>
          <w:szCs w:val="18"/>
          <w:lang w:val="nb-NO"/>
        </w:rPr>
      </w:pPr>
      <w:r w:rsidRPr="00A942F6">
        <w:rPr>
          <w:b/>
          <w:bCs/>
          <w:sz w:val="18"/>
          <w:szCs w:val="18"/>
          <w:lang w:val="nb-NO"/>
        </w:rPr>
        <w:t xml:space="preserve">Vedvarende remisjon: remisjon fra uke 12 til uke 52 </w:t>
      </w:r>
      <w:r w:rsidRPr="00A942F6">
        <w:rPr>
          <w:sz w:val="18"/>
          <w:szCs w:val="18"/>
          <w:lang w:val="nb-NO"/>
        </w:rPr>
        <w:t>– pasienter må følge den protokoll-definerte nedtrappingen av prednison</w:t>
      </w:r>
    </w:p>
    <w:p w14:paraId="17D09C78" w14:textId="77777777" w:rsidR="00DF56D8" w:rsidRPr="00A942F6" w:rsidRDefault="00DF56D8" w:rsidP="00641834">
      <w:pPr>
        <w:pStyle w:val="tablenote"/>
        <w:numPr>
          <w:ilvl w:val="0"/>
          <w:numId w:val="12"/>
        </w:numPr>
        <w:ind w:left="284" w:hanging="284"/>
        <w:rPr>
          <w:lang w:val="nb-NO"/>
        </w:rPr>
      </w:pPr>
      <w:r w:rsidRPr="00A942F6">
        <w:rPr>
          <w:lang w:val="nb-NO"/>
        </w:rPr>
        <w:t>analyse av tid (i dager) mellom klinisk remisjon og første oppbluss av sykdom</w:t>
      </w:r>
    </w:p>
    <w:p w14:paraId="390F5A8C" w14:textId="77777777" w:rsidR="00DF56D8" w:rsidRPr="00A942F6" w:rsidRDefault="00DF56D8" w:rsidP="00641834">
      <w:pPr>
        <w:pStyle w:val="tablenote"/>
        <w:ind w:left="284" w:hanging="284"/>
        <w:rPr>
          <w:lang w:val="nb-NO"/>
        </w:rPr>
      </w:pPr>
      <w:r w:rsidRPr="00A942F6">
        <w:rPr>
          <w:lang w:val="nb-NO"/>
        </w:rPr>
        <w:t>p-verdier er bestemt ved bruk av Van Elterens analyse for ikke-parametriske data</w:t>
      </w:r>
    </w:p>
    <w:p w14:paraId="1D11741E" w14:textId="77777777" w:rsidR="00DF56D8" w:rsidRPr="00A942F6" w:rsidRDefault="00DF56D8" w:rsidP="00641834">
      <w:pPr>
        <w:ind w:left="284" w:hanging="284"/>
        <w:rPr>
          <w:sz w:val="18"/>
          <w:szCs w:val="18"/>
          <w:lang w:val="nb-NO"/>
        </w:rPr>
      </w:pPr>
      <w:r w:rsidRPr="00A942F6">
        <w:rPr>
          <w:sz w:val="18"/>
          <w:szCs w:val="18"/>
          <w:lang w:val="nb-NO"/>
        </w:rPr>
        <w:lastRenderedPageBreak/>
        <w:t>§</w:t>
      </w:r>
      <w:r w:rsidR="00CD5548" w:rsidRPr="00A942F6">
        <w:rPr>
          <w:sz w:val="18"/>
          <w:szCs w:val="18"/>
          <w:lang w:val="nb-NO"/>
        </w:rPr>
        <w:tab/>
      </w:r>
      <w:r w:rsidRPr="00A942F6">
        <w:rPr>
          <w:sz w:val="18"/>
          <w:szCs w:val="18"/>
          <w:lang w:val="nb-NO"/>
        </w:rPr>
        <w:t>statistiske analyser er ikke gjennomført N/A= ikke relevant</w:t>
      </w:r>
    </w:p>
    <w:p w14:paraId="41A072C6" w14:textId="77777777" w:rsidR="00DF56D8" w:rsidRPr="00A942F6" w:rsidRDefault="00DF56D8" w:rsidP="00641834">
      <w:pPr>
        <w:rPr>
          <w:sz w:val="18"/>
          <w:szCs w:val="18"/>
          <w:lang w:val="nb-NO"/>
        </w:rPr>
      </w:pPr>
      <w:r w:rsidRPr="00A942F6">
        <w:rPr>
          <w:sz w:val="18"/>
          <w:szCs w:val="18"/>
          <w:lang w:val="nb-NO"/>
        </w:rPr>
        <w:t>HR = hazard ratio</w:t>
      </w:r>
    </w:p>
    <w:p w14:paraId="435FE188" w14:textId="77777777" w:rsidR="00DF56D8" w:rsidRPr="00A942F6" w:rsidRDefault="00DF56D8" w:rsidP="00641834">
      <w:pPr>
        <w:rPr>
          <w:sz w:val="18"/>
          <w:szCs w:val="18"/>
          <w:lang w:val="nb-NO"/>
        </w:rPr>
      </w:pPr>
      <w:r w:rsidRPr="00A942F6">
        <w:rPr>
          <w:sz w:val="18"/>
          <w:szCs w:val="18"/>
          <w:lang w:val="nb-NO"/>
        </w:rPr>
        <w:t>KI = konfidensintervall</w:t>
      </w:r>
    </w:p>
    <w:p w14:paraId="505C02CF" w14:textId="77777777" w:rsidR="00DF56D8" w:rsidRPr="00A942F6" w:rsidRDefault="00DF56D8" w:rsidP="00641834">
      <w:pPr>
        <w:rPr>
          <w:lang w:val="nb-NO"/>
        </w:rPr>
      </w:pPr>
    </w:p>
    <w:p w14:paraId="74E4A852" w14:textId="77777777" w:rsidR="00DF56D8" w:rsidRPr="00A942F6" w:rsidRDefault="00DF56D8" w:rsidP="00641834">
      <w:pPr>
        <w:pStyle w:val="Style1Iitaic"/>
        <w:rPr>
          <w:lang w:val="nb-NO"/>
        </w:rPr>
      </w:pPr>
      <w:r w:rsidRPr="00A942F6">
        <w:rPr>
          <w:lang w:val="nb-NO"/>
        </w:rPr>
        <w:t>Resultater med hensyn til livskvalitet</w:t>
      </w:r>
    </w:p>
    <w:p w14:paraId="031A4BED" w14:textId="77777777" w:rsidR="00DF56D8" w:rsidRPr="00A942F6" w:rsidRDefault="00DF56D8" w:rsidP="00641834">
      <w:pPr>
        <w:rPr>
          <w:lang w:val="nb-NO"/>
        </w:rPr>
      </w:pPr>
    </w:p>
    <w:p w14:paraId="22DF7993" w14:textId="01CDEF65" w:rsidR="00DF56D8" w:rsidRPr="00A942F6" w:rsidRDefault="00DF56D8" w:rsidP="00641834">
      <w:pPr>
        <w:rPr>
          <w:lang w:val="nb-NO"/>
        </w:rPr>
      </w:pPr>
      <w:r w:rsidRPr="00A942F6">
        <w:rPr>
          <w:lang w:val="nb-NO"/>
        </w:rPr>
        <w:t xml:space="preserve">I studie WA28119 ble SF-36-resultatene oppdelt i fysisk og mental samlet komponentscore for livskvalitet (henholdsvis Physical Component Summary, PCS og Mental Component Summary, MCS). Den gjennomsnittlige endringen i PCS fra baseline til uke 52 var høyere (viste mer forbedring) i gruppene som fikk </w:t>
      </w:r>
      <w:r w:rsidR="00813939" w:rsidRPr="00A942F6">
        <w:rPr>
          <w:lang w:val="nb-NO"/>
        </w:rPr>
        <w:t>tocilizumab</w:t>
      </w:r>
      <w:r w:rsidRPr="00A942F6">
        <w:rPr>
          <w:lang w:val="nb-NO"/>
        </w:rPr>
        <w:t xml:space="preserve"> ukentlig og annenhver uke [henholdvis 4,10 og 2,76] enn i de to placebogruppene [placebo pluss 26 uker: -0,28, placebo pluss 52 uker: -1,49], selv om kun gruppen som fikk </w:t>
      </w:r>
      <w:r w:rsidR="00813939" w:rsidRPr="00A942F6">
        <w:rPr>
          <w:lang w:val="nb-NO"/>
        </w:rPr>
        <w:t>tocilizumab</w:t>
      </w:r>
      <w:r w:rsidRPr="00A942F6">
        <w:rPr>
          <w:lang w:val="nb-NO"/>
        </w:rPr>
        <w:t xml:space="preserve"> ukentlig pluss 26 ukers nedtrapping av prednison sammenlignet med gruppen som fikk placebo pluss 52 ukers nedtrapping av prednison (5,59, 99 % KI: 8,6, 10,32) viste en statistisk signifikant forskjell (p=0,0024). For MCS var den gjennomsnittlige endringen fra baseline til uke 52 i begge gruppene som fikk </w:t>
      </w:r>
      <w:r w:rsidR="00813939" w:rsidRPr="00A942F6">
        <w:rPr>
          <w:lang w:val="nb-NO"/>
        </w:rPr>
        <w:t>tocilizumab</w:t>
      </w:r>
      <w:r w:rsidRPr="00A942F6">
        <w:rPr>
          <w:lang w:val="nb-NO"/>
        </w:rPr>
        <w:t xml:space="preserve"> ukentlig og annenhver uke [henholdsvis 7,28, 6,12] høyere enn i gruppen som fikk placebo pluss 52 uker nedtrapping av prednison [2,84] (selv om forskjellene ikke var statistisk signifikant [ukentlig p=0,0252 for ukentlig, p=0,1468 for annenhver uke]) og tilsvarende med gruppen som fikk placebo pluss 26 uker nedtrapping av prednison [6,67].</w:t>
      </w:r>
    </w:p>
    <w:p w14:paraId="7247B1E7" w14:textId="77777777" w:rsidR="00DF56D8" w:rsidRPr="00A942F6" w:rsidRDefault="00DF56D8" w:rsidP="00641834">
      <w:pPr>
        <w:rPr>
          <w:lang w:val="nb-NO"/>
        </w:rPr>
      </w:pPr>
    </w:p>
    <w:p w14:paraId="4380CFEC" w14:textId="586E66F2" w:rsidR="00DF56D8" w:rsidRPr="00A942F6" w:rsidRDefault="00DF56D8" w:rsidP="00641834">
      <w:pPr>
        <w:rPr>
          <w:lang w:val="nb-NO"/>
        </w:rPr>
      </w:pPr>
      <w:r w:rsidRPr="00A942F6">
        <w:rPr>
          <w:lang w:val="nb-NO"/>
        </w:rPr>
        <w:t xml:space="preserve">Pasientens vurdering ("Global assessment") av sykdomsaktivitet ble vurdert på en 0-100 mm visuell analog skala (VAS). Den gjennomsnittlige endringen i pasientens globale VAS fra baseline ved uke 52 var lavere (viste større forbedring) i gruppene som fikk </w:t>
      </w:r>
      <w:r w:rsidR="00813939" w:rsidRPr="00A942F6">
        <w:rPr>
          <w:lang w:val="nb-NO"/>
        </w:rPr>
        <w:t>tocilizumab</w:t>
      </w:r>
      <w:r w:rsidRPr="00A942F6">
        <w:rPr>
          <w:lang w:val="nb-NO"/>
        </w:rPr>
        <w:t xml:space="preserve"> ukentlig og annenhver uke [henholdsvis -19,0, -25,3] enn i begge placebogruppene [placebo pluss 26 uker -3,4, placebo pluss 52 uker -7,2], selv om bare gruppen som fikk </w:t>
      </w:r>
      <w:r w:rsidR="00813939" w:rsidRPr="00A942F6">
        <w:rPr>
          <w:lang w:val="nb-NO"/>
        </w:rPr>
        <w:t>tocilizumab</w:t>
      </w:r>
      <w:r w:rsidRPr="00A942F6">
        <w:rPr>
          <w:lang w:val="nb-NO"/>
        </w:rPr>
        <w:t xml:space="preserve"> annenhver uke pluss 26 uker nedtrapping av prednison viste en statistisk signifikant forskjell sammenlignet med placebo [placebo pluss 26 uker nedtrapping p=0,0059 og placebo pluss 52 uker nedtrapping p=0,0081].</w:t>
      </w:r>
    </w:p>
    <w:p w14:paraId="3FB564E1" w14:textId="77777777" w:rsidR="00CD5548" w:rsidRPr="00A942F6" w:rsidRDefault="00CD5548" w:rsidP="00641834">
      <w:pPr>
        <w:rPr>
          <w:lang w:val="nb-NO"/>
        </w:rPr>
      </w:pPr>
    </w:p>
    <w:p w14:paraId="2CEBE4E8" w14:textId="509059AE" w:rsidR="00DF56D8" w:rsidRPr="00A942F6" w:rsidRDefault="00DF56D8" w:rsidP="00641834">
      <w:pPr>
        <w:rPr>
          <w:lang w:val="nb-NO"/>
        </w:rPr>
      </w:pPr>
      <w:r w:rsidRPr="00A942F6">
        <w:rPr>
          <w:lang w:val="nb-NO"/>
        </w:rPr>
        <w:t xml:space="preserve">Endring i FACIT-fatigue fra baseline til uke 52 ble beregnet for alle grupper. De gjennomsnittlige [SD] endringsscorene var som følger: </w:t>
      </w:r>
      <w:r w:rsidR="00813939" w:rsidRPr="00A942F6">
        <w:rPr>
          <w:lang w:val="nb-NO"/>
        </w:rPr>
        <w:t>tocilizumab</w:t>
      </w:r>
      <w:r w:rsidRPr="00A942F6">
        <w:rPr>
          <w:lang w:val="nb-NO"/>
        </w:rPr>
        <w:t xml:space="preserve"> ukentlig pluss 26 uker 5,61 [10,115], </w:t>
      </w:r>
      <w:r w:rsidR="00813939" w:rsidRPr="00A942F6">
        <w:rPr>
          <w:lang w:val="nb-NO"/>
        </w:rPr>
        <w:t>tocilizumab</w:t>
      </w:r>
      <w:r w:rsidRPr="00A942F6">
        <w:rPr>
          <w:lang w:val="nb-NO"/>
        </w:rPr>
        <w:t xml:space="preserve"> annenhver uke pluss 26 uker 1,81 [8,836], placebo pluss 26 uker 0,26 [10,702] og placebo pluss</w:t>
      </w:r>
    </w:p>
    <w:p w14:paraId="70B95199" w14:textId="77777777" w:rsidR="00DF56D8" w:rsidRPr="00A942F6" w:rsidRDefault="00DF56D8" w:rsidP="00641834">
      <w:pPr>
        <w:rPr>
          <w:lang w:val="nb-NO"/>
        </w:rPr>
      </w:pPr>
      <w:r w:rsidRPr="00A942F6">
        <w:rPr>
          <w:lang w:val="nb-NO"/>
        </w:rPr>
        <w:t>52 uker -1,63 [ 6,753].</w:t>
      </w:r>
    </w:p>
    <w:p w14:paraId="107C5910" w14:textId="77777777" w:rsidR="00DF56D8" w:rsidRPr="00A942F6" w:rsidRDefault="00DF56D8" w:rsidP="00641834">
      <w:pPr>
        <w:rPr>
          <w:lang w:val="nb-NO"/>
        </w:rPr>
      </w:pPr>
    </w:p>
    <w:p w14:paraId="0D7185AB" w14:textId="7BC7633C" w:rsidR="00DF56D8" w:rsidRPr="00A942F6" w:rsidRDefault="00DF56D8" w:rsidP="00641834">
      <w:pPr>
        <w:rPr>
          <w:lang w:val="nb-NO"/>
        </w:rPr>
      </w:pPr>
      <w:r w:rsidRPr="00A942F6">
        <w:rPr>
          <w:lang w:val="nb-NO"/>
        </w:rPr>
        <w:t xml:space="preserve">Endring i EQ5D-score fra baseline til uke 52 var for </w:t>
      </w:r>
      <w:r w:rsidR="00813939" w:rsidRPr="00A942F6">
        <w:rPr>
          <w:lang w:val="nb-NO"/>
        </w:rPr>
        <w:t>tocilizumab</w:t>
      </w:r>
      <w:r w:rsidRPr="00A942F6">
        <w:rPr>
          <w:lang w:val="nb-NO"/>
        </w:rPr>
        <w:t xml:space="preserve"> ukentlig pluss 26 uker 0,10 [0,198], </w:t>
      </w:r>
      <w:r w:rsidR="00813939" w:rsidRPr="00A942F6">
        <w:rPr>
          <w:lang w:val="nb-NO"/>
        </w:rPr>
        <w:t>tocilizumab</w:t>
      </w:r>
      <w:r w:rsidRPr="00A942F6">
        <w:rPr>
          <w:lang w:val="nb-NO"/>
        </w:rPr>
        <w:t xml:space="preserve"> annenhver uke pluss 26 uker 0,05 [0,215], placebo pluss 26 uker 0,07 [0,293] og placebo</w:t>
      </w:r>
    </w:p>
    <w:p w14:paraId="5721B634" w14:textId="77777777" w:rsidR="00DF56D8" w:rsidRPr="00A942F6" w:rsidRDefault="00DF56D8" w:rsidP="00641834">
      <w:pPr>
        <w:rPr>
          <w:lang w:val="nb-NO"/>
        </w:rPr>
      </w:pPr>
      <w:r w:rsidRPr="00A942F6">
        <w:rPr>
          <w:lang w:val="nb-NO"/>
        </w:rPr>
        <w:t>pluss 52 uker -0,02 [0,159 ].</w:t>
      </w:r>
    </w:p>
    <w:p w14:paraId="4357D4DD" w14:textId="77777777" w:rsidR="00CD5548" w:rsidRPr="00A942F6" w:rsidRDefault="00CD5548" w:rsidP="00641834">
      <w:pPr>
        <w:rPr>
          <w:lang w:val="nb-NO"/>
        </w:rPr>
      </w:pPr>
    </w:p>
    <w:p w14:paraId="1B8DF250" w14:textId="77777777" w:rsidR="00CD5548" w:rsidRPr="00A942F6" w:rsidRDefault="00DF56D8" w:rsidP="00641834">
      <w:pPr>
        <w:rPr>
          <w:lang w:val="nb-NO"/>
        </w:rPr>
      </w:pPr>
      <w:r w:rsidRPr="00A942F6">
        <w:rPr>
          <w:lang w:val="nb-NO"/>
        </w:rPr>
        <w:t>Høy score indikerer forbedrin</w:t>
      </w:r>
      <w:r w:rsidR="00CD5548" w:rsidRPr="00A942F6">
        <w:rPr>
          <w:lang w:val="nb-NO"/>
        </w:rPr>
        <w:t>g i både FACIT-fatigue og EQ5D.</w:t>
      </w:r>
    </w:p>
    <w:p w14:paraId="2F959A3D" w14:textId="77777777" w:rsidR="00CD5548" w:rsidRPr="00A942F6" w:rsidRDefault="00CD5548" w:rsidP="00641834">
      <w:pPr>
        <w:rPr>
          <w:lang w:val="nb-NO"/>
        </w:rPr>
      </w:pPr>
    </w:p>
    <w:p w14:paraId="194AF253" w14:textId="77777777" w:rsidR="00DF56D8" w:rsidRPr="00A942F6" w:rsidRDefault="00DF56D8" w:rsidP="00641834">
      <w:pPr>
        <w:pStyle w:val="Style1underline"/>
        <w:rPr>
          <w:lang w:val="nb-NO"/>
        </w:rPr>
      </w:pPr>
      <w:r w:rsidRPr="00A942F6">
        <w:rPr>
          <w:lang w:val="nb-NO"/>
        </w:rPr>
        <w:t>Intravenøs bruk</w:t>
      </w:r>
    </w:p>
    <w:p w14:paraId="6B3F1DA9" w14:textId="77777777" w:rsidR="00DF56D8" w:rsidRPr="00A942F6" w:rsidRDefault="00DF56D8" w:rsidP="00641834">
      <w:pPr>
        <w:pStyle w:val="Style2underlinebold"/>
        <w:rPr>
          <w:lang w:val="nb-NO"/>
        </w:rPr>
      </w:pPr>
      <w:r w:rsidRPr="00A942F6">
        <w:rPr>
          <w:lang w:val="nb-NO"/>
        </w:rPr>
        <w:t>RA</w:t>
      </w:r>
    </w:p>
    <w:p w14:paraId="6F61CF7B" w14:textId="77777777" w:rsidR="00DF56D8" w:rsidRPr="00A942F6" w:rsidRDefault="00DF56D8" w:rsidP="00641834">
      <w:pPr>
        <w:pStyle w:val="Style1underline"/>
        <w:rPr>
          <w:lang w:val="nb-NO"/>
        </w:rPr>
      </w:pPr>
      <w:r w:rsidRPr="00A942F6">
        <w:rPr>
          <w:lang w:val="nb-NO"/>
        </w:rPr>
        <w:t>Klinisk effekt</w:t>
      </w:r>
    </w:p>
    <w:p w14:paraId="1661A1E4" w14:textId="2B36DF1F" w:rsidR="00DF56D8" w:rsidRPr="00A942F6" w:rsidRDefault="00DF56D8" w:rsidP="00641834">
      <w:pPr>
        <w:rPr>
          <w:lang w:val="nb-NO"/>
        </w:rPr>
      </w:pPr>
      <w:r w:rsidRPr="00A942F6">
        <w:rPr>
          <w:lang w:val="nb-NO"/>
        </w:rPr>
        <w:t xml:space="preserve">Effekten av </w:t>
      </w:r>
      <w:r w:rsidR="00813939" w:rsidRPr="00A942F6">
        <w:rPr>
          <w:lang w:val="nb-NO"/>
        </w:rPr>
        <w:t>tocilizumab</w:t>
      </w:r>
      <w:r w:rsidRPr="00A942F6">
        <w:rPr>
          <w:lang w:val="nb-NO"/>
        </w:rPr>
        <w:t xml:space="preserve"> ved lindring av symptomer ved RA ble undersøkt i fem randomiserte, dobbeltblinde multisenterstudier. Studiene I-V inkluderte pasienter </w:t>
      </w:r>
      <w:r w:rsidR="00F36EEE" w:rsidRPr="00A942F6">
        <w:rPr>
          <w:rFonts w:cs="Times New Roman"/>
          <w:lang w:val="nb-NO"/>
        </w:rPr>
        <w:t>≥</w:t>
      </w:r>
      <w:r w:rsidRPr="00A942F6">
        <w:rPr>
          <w:lang w:val="nb-NO"/>
        </w:rPr>
        <w:t xml:space="preserve"> 18 år med aktiv RA, diagnostisert i henhold til American College of Rheumatology (ACR)-kriterier og som hadde minst åtte ømme og seks hovne ledd ved behandlingsstart.</w:t>
      </w:r>
    </w:p>
    <w:p w14:paraId="3A8C5336" w14:textId="77777777" w:rsidR="00DF56D8" w:rsidRPr="00A942F6" w:rsidRDefault="00DF56D8" w:rsidP="00641834">
      <w:pPr>
        <w:rPr>
          <w:lang w:val="nb-NO"/>
        </w:rPr>
      </w:pPr>
    </w:p>
    <w:p w14:paraId="34611EFA" w14:textId="37E2F36F" w:rsidR="00DF56D8" w:rsidRPr="00A942F6" w:rsidRDefault="00DF56D8" w:rsidP="00641834">
      <w:pPr>
        <w:rPr>
          <w:lang w:val="nb-NO"/>
        </w:rPr>
      </w:pPr>
      <w:r w:rsidRPr="00A942F6">
        <w:rPr>
          <w:lang w:val="nb-NO"/>
        </w:rPr>
        <w:t xml:space="preserve">I studie I ble </w:t>
      </w:r>
      <w:r w:rsidR="00813939" w:rsidRPr="00A942F6">
        <w:rPr>
          <w:lang w:val="nb-NO"/>
        </w:rPr>
        <w:t>tocilizumab</w:t>
      </w:r>
      <w:r w:rsidRPr="00A942F6">
        <w:rPr>
          <w:lang w:val="nb-NO"/>
        </w:rPr>
        <w:t xml:space="preserve"> administrert intravenøst hver fjerde uke som monoterapi. I studie II, III og V ble </w:t>
      </w:r>
      <w:r w:rsidR="00813939" w:rsidRPr="00A942F6">
        <w:rPr>
          <w:lang w:val="nb-NO"/>
        </w:rPr>
        <w:t>tocilizumab</w:t>
      </w:r>
      <w:r w:rsidRPr="00A942F6">
        <w:rPr>
          <w:lang w:val="nb-NO"/>
        </w:rPr>
        <w:t xml:space="preserve"> administrert intravenøst hver fjerde uke i kombinasjon med metotreksat versus placebo kombinert med metotreksat. I studie IV ble </w:t>
      </w:r>
      <w:r w:rsidR="00813939" w:rsidRPr="00A942F6">
        <w:rPr>
          <w:lang w:val="nb-NO"/>
        </w:rPr>
        <w:t>tocilizumab</w:t>
      </w:r>
      <w:r w:rsidRPr="00A942F6">
        <w:rPr>
          <w:lang w:val="nb-NO"/>
        </w:rPr>
        <w:t xml:space="preserve"> administrert intravenøst hver fjerde uke i kombinasjon med andre DMARDs versus placebo kombinert med andre DMARDs. Primært endepunkt for alle fem studiene var andel pasienter som oppnådde ACR 20-respons ved uke 24.</w:t>
      </w:r>
    </w:p>
    <w:p w14:paraId="0CEE26EE" w14:textId="77777777" w:rsidR="00CD5548" w:rsidRPr="00A942F6" w:rsidRDefault="00CD5548" w:rsidP="00641834">
      <w:pPr>
        <w:rPr>
          <w:lang w:val="nb-NO"/>
        </w:rPr>
      </w:pPr>
    </w:p>
    <w:p w14:paraId="27581E3A" w14:textId="18A1BBE6" w:rsidR="00DF56D8" w:rsidRPr="00A942F6" w:rsidRDefault="00DF56D8" w:rsidP="00641834">
      <w:pPr>
        <w:rPr>
          <w:lang w:val="nb-NO"/>
        </w:rPr>
      </w:pPr>
      <w:r w:rsidRPr="00A942F6">
        <w:rPr>
          <w:lang w:val="nb-NO"/>
        </w:rPr>
        <w:t xml:space="preserve">Studie I evaluerte 673 pasienter som ikke hadde blitt behandlet med metotreksat de siste seks måneder før randomisering, og som ikke hadde avsluttet tidligere metotreksatbehandling på grunn av klinisk viktige toksiske effekter eller mangel på effekt. De fleste (67 %) av pasientene var metotreksat-naive. </w:t>
      </w:r>
      <w:r w:rsidR="00813939" w:rsidRPr="00A942F6">
        <w:rPr>
          <w:lang w:val="nb-NO"/>
        </w:rPr>
        <w:t>tocilizumab</w:t>
      </w:r>
      <w:r w:rsidRPr="00A942F6">
        <w:rPr>
          <w:lang w:val="nb-NO"/>
        </w:rPr>
        <w:t xml:space="preserve"> 8 mg/kg ble gitt som monoterapi hver fjerde uke. Kontrollgruppen fikk ukentlig metotreksat (dosetitrert fra 7,5 mg til maksimalt 20 mg ukentlig i løpet av en åtteukers periode).</w:t>
      </w:r>
    </w:p>
    <w:p w14:paraId="7A8C5F86" w14:textId="77777777" w:rsidR="00DF56D8" w:rsidRPr="00A942F6" w:rsidRDefault="00DF56D8" w:rsidP="00641834">
      <w:pPr>
        <w:rPr>
          <w:lang w:val="nb-NO"/>
        </w:rPr>
      </w:pPr>
    </w:p>
    <w:p w14:paraId="76398A51" w14:textId="458277C1" w:rsidR="00DF56D8" w:rsidRPr="00A942F6" w:rsidRDefault="00DF56D8" w:rsidP="00641834">
      <w:pPr>
        <w:rPr>
          <w:lang w:val="nb-NO"/>
        </w:rPr>
      </w:pPr>
      <w:r w:rsidRPr="00A942F6">
        <w:rPr>
          <w:lang w:val="nb-NO"/>
        </w:rPr>
        <w:lastRenderedPageBreak/>
        <w:t xml:space="preserve">Studie II gikk over to år og hadde planlagte analyser ved uke 24, uke 52 og uke 104. 1196 pasienter med utilstrekkelig klinisk respons på metotreksat ble evaluert. </w:t>
      </w:r>
      <w:r w:rsidR="00813939" w:rsidRPr="00A942F6">
        <w:rPr>
          <w:lang w:val="nb-NO"/>
        </w:rPr>
        <w:t>tocilizumab</w:t>
      </w:r>
      <w:r w:rsidRPr="00A942F6">
        <w:rPr>
          <w:lang w:val="nb-NO"/>
        </w:rPr>
        <w:t xml:space="preserve"> 4 eller 8 mg/kg eller placebo ble gitt som blindet behandling hver fjerde uke i 52 uker, kombinert med stabil dose metotreksat (10-25 mg ukentlig). Etter uke 52 kunne alle pasientene motta åpen behandling med </w:t>
      </w:r>
      <w:r w:rsidR="00813939" w:rsidRPr="00A942F6">
        <w:rPr>
          <w:lang w:val="nb-NO"/>
        </w:rPr>
        <w:t>tocilizumab</w:t>
      </w:r>
      <w:r w:rsidRPr="00A942F6">
        <w:rPr>
          <w:lang w:val="nb-NO"/>
        </w:rPr>
        <w:t xml:space="preserve"> 8 mg/kg. Av de pasientene som fullførte studien som opprinnelig var randomisert til placebo + metotreksat, fikk 86 % åpen </w:t>
      </w:r>
      <w:r w:rsidR="00813939" w:rsidRPr="00A942F6">
        <w:rPr>
          <w:lang w:val="nb-NO"/>
        </w:rPr>
        <w:t>tocilizumab</w:t>
      </w:r>
      <w:r w:rsidRPr="00A942F6">
        <w:rPr>
          <w:lang w:val="nb-NO"/>
        </w:rPr>
        <w:t xml:space="preserve"> 8 mg/kg i år 2. Det primære endepunktet ved</w:t>
      </w:r>
      <w:r w:rsidR="00CD5548" w:rsidRPr="00A942F6">
        <w:rPr>
          <w:lang w:val="nb-NO"/>
        </w:rPr>
        <w:t xml:space="preserve"> </w:t>
      </w:r>
      <w:r w:rsidRPr="00A942F6">
        <w:rPr>
          <w:lang w:val="nb-NO"/>
        </w:rPr>
        <w:t>uke 24 var andel pasienter som oppnådde ACR 20-respons. Ved uke 52 og uke 104 var de koprimære endepunktene forebygging av leddskade og forbedring av fysisk funksjon.</w:t>
      </w:r>
    </w:p>
    <w:p w14:paraId="187C4256" w14:textId="77777777" w:rsidR="00CD5548" w:rsidRPr="00A942F6" w:rsidRDefault="00CD5548" w:rsidP="00641834">
      <w:pPr>
        <w:rPr>
          <w:lang w:val="nb-NO"/>
        </w:rPr>
      </w:pPr>
    </w:p>
    <w:p w14:paraId="720988EC" w14:textId="3938EF32" w:rsidR="00DF56D8" w:rsidRPr="00A942F6" w:rsidRDefault="00DF56D8" w:rsidP="00641834">
      <w:pPr>
        <w:rPr>
          <w:lang w:val="nb-NO"/>
        </w:rPr>
      </w:pPr>
      <w:r w:rsidRPr="00A942F6">
        <w:rPr>
          <w:lang w:val="nb-NO"/>
        </w:rPr>
        <w:t xml:space="preserve">Studie III evaluerte 623 pasienter med utilstrekkelig klinisk respons på metotreksat. </w:t>
      </w:r>
      <w:r w:rsidR="00813939" w:rsidRPr="00A942F6">
        <w:rPr>
          <w:lang w:val="nb-NO"/>
        </w:rPr>
        <w:t>tocilizumab</w:t>
      </w:r>
      <w:r w:rsidRPr="00A942F6">
        <w:rPr>
          <w:lang w:val="nb-NO"/>
        </w:rPr>
        <w:t xml:space="preserve"> 4 eller 8 mg/kg eller placebo ble gitt som blindet behandling hver fjerde uke i kombinasjon med stabil dose metotreksat (10 mg til 25 mg ukentlig).</w:t>
      </w:r>
    </w:p>
    <w:p w14:paraId="72D6C1F6" w14:textId="77777777" w:rsidR="00DF56D8" w:rsidRPr="00A942F6" w:rsidRDefault="00DF56D8" w:rsidP="00641834">
      <w:pPr>
        <w:rPr>
          <w:lang w:val="nb-NO"/>
        </w:rPr>
      </w:pPr>
    </w:p>
    <w:p w14:paraId="33DC00DD" w14:textId="583D20F6" w:rsidR="00DF56D8" w:rsidRPr="00A942F6" w:rsidRDefault="00DF56D8" w:rsidP="00641834">
      <w:pPr>
        <w:rPr>
          <w:lang w:val="nb-NO"/>
        </w:rPr>
      </w:pPr>
      <w:r w:rsidRPr="00A942F6">
        <w:rPr>
          <w:lang w:val="nb-NO"/>
        </w:rPr>
        <w:t xml:space="preserve">Studie IV evaluerte 1220 RA-pasienter med utilstrekkelig respons på eksisterende behandling, inkludert en eller flere DMARDs. </w:t>
      </w:r>
      <w:r w:rsidR="00813939" w:rsidRPr="00A942F6">
        <w:rPr>
          <w:lang w:val="nb-NO"/>
        </w:rPr>
        <w:t>tocilizumab</w:t>
      </w:r>
      <w:r w:rsidRPr="00A942F6">
        <w:rPr>
          <w:lang w:val="nb-NO"/>
        </w:rPr>
        <w:t xml:space="preserve"> 8 mg/kg eller placebo ble gitt hver fjerde uke i kombinasjon med stabile doser DMARDs.</w:t>
      </w:r>
    </w:p>
    <w:p w14:paraId="1A19F9ED" w14:textId="77777777" w:rsidR="00CD5548" w:rsidRPr="00A942F6" w:rsidRDefault="00CD5548" w:rsidP="00641834">
      <w:pPr>
        <w:rPr>
          <w:lang w:val="nb-NO"/>
        </w:rPr>
      </w:pPr>
    </w:p>
    <w:p w14:paraId="7195B231" w14:textId="77777777" w:rsidR="00DF56D8" w:rsidRPr="00A942F6" w:rsidRDefault="00DF56D8" w:rsidP="00641834">
      <w:pPr>
        <w:rPr>
          <w:lang w:val="nb-NO"/>
        </w:rPr>
      </w:pPr>
      <w:r w:rsidRPr="00A942F6">
        <w:rPr>
          <w:lang w:val="nb-NO"/>
        </w:rPr>
        <w:t>Studie V evaluerte 499 pasienter med utilstrekkelig klinisk respons eller som var intolerante overfor en eller flere TNF-hemmere. Behandling med TNF-hemmere ble avsluttet før randomisering.</w:t>
      </w:r>
    </w:p>
    <w:p w14:paraId="16E1EB61" w14:textId="3C26685E" w:rsidR="00DF56D8" w:rsidRPr="00A942F6" w:rsidRDefault="003D568D" w:rsidP="00641834">
      <w:pPr>
        <w:rPr>
          <w:lang w:val="nb-NO"/>
        </w:rPr>
      </w:pPr>
      <w:r w:rsidRPr="00A942F6">
        <w:rPr>
          <w:lang w:val="nb-NO"/>
        </w:rPr>
        <w:t>T</w:t>
      </w:r>
      <w:r w:rsidR="00813939" w:rsidRPr="00A942F6">
        <w:rPr>
          <w:lang w:val="nb-NO"/>
        </w:rPr>
        <w:t>ocilizumab</w:t>
      </w:r>
      <w:r w:rsidR="00DF56D8" w:rsidRPr="00A942F6">
        <w:rPr>
          <w:lang w:val="nb-NO"/>
        </w:rPr>
        <w:t xml:space="preserve"> 4 eller 8 mg/kg eller placebo ble gitt hver fjerde uke i kombinasjon med stabil dose metotreksat (10 mg til 25 mg ukentlig).</w:t>
      </w:r>
    </w:p>
    <w:p w14:paraId="740F992A" w14:textId="77777777" w:rsidR="00DF56D8" w:rsidRPr="00A942F6" w:rsidRDefault="00DF56D8" w:rsidP="00641834">
      <w:pPr>
        <w:rPr>
          <w:lang w:val="nb-NO"/>
        </w:rPr>
      </w:pPr>
    </w:p>
    <w:p w14:paraId="1573D18D" w14:textId="77777777" w:rsidR="00DF56D8" w:rsidRPr="00A942F6" w:rsidRDefault="00DF56D8" w:rsidP="00641834">
      <w:pPr>
        <w:pStyle w:val="Style1underline"/>
        <w:rPr>
          <w:lang w:val="nb-NO"/>
        </w:rPr>
      </w:pPr>
      <w:r w:rsidRPr="00A942F6">
        <w:rPr>
          <w:lang w:val="nb-NO"/>
        </w:rPr>
        <w:t>Klinisk respons</w:t>
      </w:r>
    </w:p>
    <w:p w14:paraId="173ADA47" w14:textId="1CD8DF74" w:rsidR="00DF56D8" w:rsidRPr="00A942F6" w:rsidRDefault="00DF56D8" w:rsidP="00641834">
      <w:pPr>
        <w:rPr>
          <w:lang w:val="nb-NO"/>
        </w:rPr>
      </w:pPr>
      <w:r w:rsidRPr="00A942F6">
        <w:rPr>
          <w:lang w:val="nb-NO"/>
        </w:rPr>
        <w:t xml:space="preserve">Pasienter behandlet med </w:t>
      </w:r>
      <w:r w:rsidR="00813939" w:rsidRPr="00A942F6">
        <w:rPr>
          <w:lang w:val="nb-NO"/>
        </w:rPr>
        <w:t>tocilizumab</w:t>
      </w:r>
      <w:r w:rsidRPr="00A942F6">
        <w:rPr>
          <w:lang w:val="nb-NO"/>
        </w:rPr>
        <w:t xml:space="preserve"> 8 mg/kg hadde statistisk signifikant høyere ACR 20-, 50-, 70- responsrater etter 6 måneder i alle studiene, sammenlignet med kontrollgruppene (tabell 5). Studie I viste at </w:t>
      </w:r>
      <w:r w:rsidR="00813939" w:rsidRPr="00A942F6">
        <w:rPr>
          <w:lang w:val="nb-NO"/>
        </w:rPr>
        <w:t>tocilizumab</w:t>
      </w:r>
      <w:r w:rsidRPr="00A942F6">
        <w:rPr>
          <w:lang w:val="nb-NO"/>
        </w:rPr>
        <w:t xml:space="preserve"> 8 mg/kg ga signifikant bedre effekt enn den aktive kontrollen metotreksat.</w:t>
      </w:r>
    </w:p>
    <w:p w14:paraId="47D49748" w14:textId="77777777" w:rsidR="00DF56D8" w:rsidRPr="00A942F6" w:rsidRDefault="00DF56D8" w:rsidP="00641834">
      <w:pPr>
        <w:rPr>
          <w:lang w:val="nb-NO"/>
        </w:rPr>
      </w:pPr>
    </w:p>
    <w:p w14:paraId="41BC758E" w14:textId="77777777" w:rsidR="00DF56D8" w:rsidRPr="00A942F6" w:rsidRDefault="00DF56D8" w:rsidP="00641834">
      <w:pPr>
        <w:rPr>
          <w:lang w:val="nb-NO"/>
        </w:rPr>
      </w:pPr>
      <w:r w:rsidRPr="00A942F6">
        <w:rPr>
          <w:lang w:val="nb-NO"/>
        </w:rPr>
        <w:t>Behandlingseffekten var tilsvarende for pasientene uavhengig av status for revmatoid faktor, alder, kjønn, rase, antall tidligere behandlinger eller sykdomsstatus. Effekten kom raskt (så tidlig som etter 2 uker) og responsen fortsatte å øke med behandlingens varighet. Vedvarende respons ble sett i over 3 år i de pågående åpne forlengelsesstudiene I-V.</w:t>
      </w:r>
    </w:p>
    <w:p w14:paraId="75F69E9A" w14:textId="77777777" w:rsidR="00DF56D8" w:rsidRPr="00A942F6" w:rsidRDefault="00DF56D8" w:rsidP="00641834">
      <w:pPr>
        <w:rPr>
          <w:lang w:val="nb-NO"/>
        </w:rPr>
      </w:pPr>
    </w:p>
    <w:p w14:paraId="112F67DE" w14:textId="47011612" w:rsidR="00DF56D8" w:rsidRPr="00A942F6" w:rsidRDefault="00DF56D8" w:rsidP="00641834">
      <w:pPr>
        <w:rPr>
          <w:lang w:val="nb-NO"/>
        </w:rPr>
      </w:pPr>
      <w:r w:rsidRPr="00A942F6">
        <w:rPr>
          <w:lang w:val="nb-NO"/>
        </w:rPr>
        <w:t xml:space="preserve">Hos pasienter som ble behandlet med </w:t>
      </w:r>
      <w:r w:rsidR="00813939" w:rsidRPr="00A942F6">
        <w:rPr>
          <w:lang w:val="nb-NO"/>
        </w:rPr>
        <w:t>tocilizumab</w:t>
      </w:r>
      <w:r w:rsidRPr="00A942F6">
        <w:rPr>
          <w:lang w:val="nb-NO"/>
        </w:rPr>
        <w:t xml:space="preserve"> 8 mg/kg ble det påvist signifikante forbedringer i alle individuelle komponenter av ACR-respons, inkludert antall ømme og hovne ledd, pasientens og legens helhetlige bedømmelse, ”disability index scores”, smertebedømmelse og CRP, sammenlignet med pasienter som fikk placebo pluss metotreksat eller andre DMARDs i alle studier.</w:t>
      </w:r>
    </w:p>
    <w:p w14:paraId="62B0751B" w14:textId="77777777" w:rsidR="00DF56D8" w:rsidRPr="00A942F6" w:rsidRDefault="00DF56D8" w:rsidP="00641834">
      <w:pPr>
        <w:rPr>
          <w:lang w:val="nb-NO"/>
        </w:rPr>
      </w:pPr>
    </w:p>
    <w:p w14:paraId="026446C3" w14:textId="336576A6" w:rsidR="00DF56D8" w:rsidRPr="00A942F6" w:rsidRDefault="00DF56D8" w:rsidP="00012510">
      <w:pPr>
        <w:rPr>
          <w:lang w:val="nb-NO"/>
        </w:rPr>
      </w:pPr>
      <w:r w:rsidRPr="00A942F6">
        <w:rPr>
          <w:lang w:val="nb-NO"/>
        </w:rPr>
        <w:t xml:space="preserve">Pasienter i studiene I-V hadde en gjennomsnittlig DAS28 (Disease Activity Score) på 6,5-6,8 ved utgangspunktet. En signifikant reduksjon i DAS28 (gjennomsnittlig forbedring) på 3,1-3,4 fra utgangspunktet ble observert hos pasienter behandlet med </w:t>
      </w:r>
      <w:r w:rsidR="00813939" w:rsidRPr="00A942F6">
        <w:rPr>
          <w:lang w:val="nb-NO"/>
        </w:rPr>
        <w:t>tocilizumab</w:t>
      </w:r>
      <w:r w:rsidRPr="00A942F6">
        <w:rPr>
          <w:lang w:val="nb-NO"/>
        </w:rPr>
        <w:t xml:space="preserve"> sammenlignet med kontrollpasienter (1,3-2,1). Andelen pasienter som oppnådde en klinisk DAS28-remisjon (DAS28</w:t>
      </w:r>
      <w:r w:rsidR="00012510">
        <w:rPr>
          <w:lang w:val="nb-NO"/>
        </w:rPr>
        <w:t xml:space="preserve"> </w:t>
      </w:r>
      <w:r w:rsidRPr="00A942F6">
        <w:rPr>
          <w:lang w:val="nb-NO"/>
        </w:rPr>
        <w:t>&lt;</w:t>
      </w:r>
      <w:r w:rsidR="00012510">
        <w:rPr>
          <w:lang w:val="nb-NO"/>
        </w:rPr>
        <w:t> </w:t>
      </w:r>
      <w:r w:rsidRPr="00A942F6">
        <w:rPr>
          <w:lang w:val="nb-NO"/>
        </w:rPr>
        <w:t xml:space="preserve">2,6) var signifikant høyere hos pasienter som fikk </w:t>
      </w:r>
      <w:r w:rsidR="00813939" w:rsidRPr="00A942F6">
        <w:rPr>
          <w:lang w:val="nb-NO"/>
        </w:rPr>
        <w:t>tocilizumab</w:t>
      </w:r>
      <w:r w:rsidRPr="00A942F6">
        <w:rPr>
          <w:lang w:val="nb-NO"/>
        </w:rPr>
        <w:t xml:space="preserve"> (28-34 %) sammenlignet med 1-12 % av kontrollpasientene etter 24 uker. I studie II oppnådde 65 % av pasientene DAS28 &lt; 2,6 ved uke 104 sammenlignet med 48 % ved 52 uker og 33 % av pasientene ved uke 24.</w:t>
      </w:r>
    </w:p>
    <w:p w14:paraId="5BFB5BE3" w14:textId="77777777" w:rsidR="00CD5548" w:rsidRPr="00A942F6" w:rsidRDefault="00CD5548" w:rsidP="00641834">
      <w:pPr>
        <w:rPr>
          <w:lang w:val="nb-NO"/>
        </w:rPr>
      </w:pPr>
    </w:p>
    <w:p w14:paraId="55010462" w14:textId="58434A6C" w:rsidR="00DF56D8" w:rsidRPr="00A942F6" w:rsidRDefault="00DF56D8" w:rsidP="00641834">
      <w:pPr>
        <w:rPr>
          <w:lang w:val="nb-NO"/>
        </w:rPr>
      </w:pPr>
      <w:r w:rsidRPr="00A942F6">
        <w:rPr>
          <w:lang w:val="nb-NO"/>
        </w:rPr>
        <w:t xml:space="preserve">I en samleanalyse av studie II, III og IV var andelen pasienter som fikk ACR 20-, 50- og 70-respons signifikant høyere (henholdsvis 59 % vs. 50 %, 37 % vs. 27 %, 18 vs. 11 %) i gruppen som fikk </w:t>
      </w:r>
      <w:r w:rsidR="00813939" w:rsidRPr="00A942F6">
        <w:rPr>
          <w:lang w:val="nb-NO"/>
        </w:rPr>
        <w:t>tocilizumab</w:t>
      </w:r>
      <w:r w:rsidRPr="00A942F6">
        <w:rPr>
          <w:lang w:val="nb-NO"/>
        </w:rPr>
        <w:t xml:space="preserve"> 8 mg/kg pluss DMARD versus gruppen som fikk </w:t>
      </w:r>
      <w:r w:rsidR="00813939" w:rsidRPr="00A942F6">
        <w:rPr>
          <w:lang w:val="nb-NO"/>
        </w:rPr>
        <w:t>tocilizumab</w:t>
      </w:r>
      <w:r w:rsidRPr="00A942F6">
        <w:rPr>
          <w:lang w:val="nb-NO"/>
        </w:rPr>
        <w:t xml:space="preserve"> 4 mg/kg pluss DMARD (p&lt;</w:t>
      </w:r>
      <w:r w:rsidR="007C4FF9">
        <w:rPr>
          <w:lang w:val="nb-NO"/>
        </w:rPr>
        <w:t> </w:t>
      </w:r>
      <w:r w:rsidRPr="00A942F6">
        <w:rPr>
          <w:lang w:val="nb-NO"/>
        </w:rPr>
        <w:t xml:space="preserve">0,03). Likedan var andelen pasienter som fikk DAS28-remisjon (DAS28 &lt; 2,6) signifikant høyere (henholdsvis 31 % vs. 16 %) hos pasienter som fikk </w:t>
      </w:r>
      <w:r w:rsidR="00813939" w:rsidRPr="00A942F6">
        <w:rPr>
          <w:lang w:val="nb-NO"/>
        </w:rPr>
        <w:t>tocilizumab</w:t>
      </w:r>
      <w:r w:rsidRPr="00A942F6">
        <w:rPr>
          <w:lang w:val="nb-NO"/>
        </w:rPr>
        <w:t xml:space="preserve"> 8 mg/kg pluss DMARD enn hos pasienter som fikk </w:t>
      </w:r>
      <w:r w:rsidR="00813939" w:rsidRPr="00A942F6">
        <w:rPr>
          <w:lang w:val="nb-NO"/>
        </w:rPr>
        <w:t>tocilizumab</w:t>
      </w:r>
      <w:r w:rsidRPr="00A942F6">
        <w:rPr>
          <w:lang w:val="nb-NO"/>
        </w:rPr>
        <w:t xml:space="preserve"> 4 mg/kg pluss DMARD (p &lt; 0,0001).</w:t>
      </w:r>
    </w:p>
    <w:p w14:paraId="23120A2E" w14:textId="77777777" w:rsidR="00DF56D8" w:rsidRPr="00A942F6" w:rsidRDefault="00DF56D8" w:rsidP="00641834">
      <w:pPr>
        <w:rPr>
          <w:lang w:val="nb-NO"/>
        </w:rPr>
      </w:pPr>
    </w:p>
    <w:p w14:paraId="061D53BE" w14:textId="77777777" w:rsidR="00DF56D8" w:rsidRPr="00A942F6" w:rsidRDefault="00DF56D8" w:rsidP="00641834">
      <w:pPr>
        <w:pStyle w:val="Style1Iitaic"/>
        <w:rPr>
          <w:lang w:val="nb-NO"/>
        </w:rPr>
      </w:pPr>
      <w:r w:rsidRPr="00A942F6">
        <w:rPr>
          <w:lang w:val="nb-NO"/>
        </w:rPr>
        <w:lastRenderedPageBreak/>
        <w:t>Tabell 5. ACR-respons i placebo-/metotreksat-/DMARD-kontrollerte studier (% pasienter)</w:t>
      </w:r>
    </w:p>
    <w:p w14:paraId="2E224903" w14:textId="77777777" w:rsidR="00DF56D8" w:rsidRPr="00A942F6" w:rsidRDefault="00DF56D8" w:rsidP="0036729A">
      <w:pPr>
        <w:keepNext/>
        <w:rPr>
          <w:lang w:val="nb-NO"/>
        </w:rPr>
      </w:pPr>
    </w:p>
    <w:tbl>
      <w:tblP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429"/>
        <w:gridCol w:w="842"/>
        <w:gridCol w:w="726"/>
        <w:gridCol w:w="798"/>
        <w:gridCol w:w="812"/>
        <w:gridCol w:w="994"/>
        <w:gridCol w:w="826"/>
        <w:gridCol w:w="993"/>
        <w:gridCol w:w="896"/>
        <w:gridCol w:w="980"/>
        <w:gridCol w:w="784"/>
      </w:tblGrid>
      <w:tr w:rsidR="00DF56D8" w:rsidRPr="00A942F6" w14:paraId="6E39FFD7" w14:textId="77777777" w:rsidTr="00F45BFD">
        <w:trPr>
          <w:cantSplit/>
          <w:trHeight w:val="20"/>
        </w:trPr>
        <w:tc>
          <w:tcPr>
            <w:tcW w:w="429" w:type="dxa"/>
          </w:tcPr>
          <w:p w14:paraId="7457B946" w14:textId="77777777" w:rsidR="00DF56D8" w:rsidRPr="00A942F6" w:rsidRDefault="00DF56D8" w:rsidP="0036729A">
            <w:pPr>
              <w:pStyle w:val="TableParagraph"/>
              <w:keepNext/>
              <w:jc w:val="center"/>
              <w:rPr>
                <w:sz w:val="20"/>
                <w:szCs w:val="20"/>
                <w:lang w:val="nb-NO"/>
              </w:rPr>
            </w:pPr>
          </w:p>
        </w:tc>
        <w:tc>
          <w:tcPr>
            <w:tcW w:w="1568" w:type="dxa"/>
            <w:gridSpan w:val="2"/>
          </w:tcPr>
          <w:p w14:paraId="646BB3AE" w14:textId="77777777" w:rsidR="000C2C5A" w:rsidRPr="00A942F6" w:rsidRDefault="00DF56D8" w:rsidP="0036729A">
            <w:pPr>
              <w:pStyle w:val="TableParagraph"/>
              <w:keepNext/>
              <w:jc w:val="center"/>
              <w:rPr>
                <w:b/>
                <w:sz w:val="20"/>
                <w:szCs w:val="20"/>
                <w:lang w:val="nb-NO"/>
              </w:rPr>
            </w:pPr>
            <w:r w:rsidRPr="00A942F6">
              <w:rPr>
                <w:b/>
                <w:sz w:val="20"/>
                <w:szCs w:val="20"/>
                <w:lang w:val="nb-NO"/>
              </w:rPr>
              <w:t>Studie I</w:t>
            </w:r>
          </w:p>
          <w:p w14:paraId="12D900CA" w14:textId="77777777" w:rsidR="00DF56D8" w:rsidRPr="00A942F6" w:rsidRDefault="00DF56D8" w:rsidP="0036729A">
            <w:pPr>
              <w:pStyle w:val="TableParagraph"/>
              <w:keepNext/>
              <w:jc w:val="center"/>
              <w:rPr>
                <w:b/>
                <w:sz w:val="20"/>
                <w:szCs w:val="20"/>
                <w:lang w:val="nb-NO"/>
              </w:rPr>
            </w:pPr>
            <w:r w:rsidRPr="00A942F6">
              <w:rPr>
                <w:b/>
                <w:sz w:val="20"/>
                <w:szCs w:val="20"/>
                <w:lang w:val="nb-NO"/>
              </w:rPr>
              <w:t>AMBITION</w:t>
            </w:r>
          </w:p>
        </w:tc>
        <w:tc>
          <w:tcPr>
            <w:tcW w:w="1610" w:type="dxa"/>
            <w:gridSpan w:val="2"/>
          </w:tcPr>
          <w:p w14:paraId="2A001269" w14:textId="77777777" w:rsidR="000C2C5A" w:rsidRPr="00A942F6" w:rsidRDefault="00DF56D8" w:rsidP="0036729A">
            <w:pPr>
              <w:pStyle w:val="TableParagraph"/>
              <w:keepNext/>
              <w:jc w:val="center"/>
              <w:rPr>
                <w:b/>
                <w:sz w:val="20"/>
                <w:szCs w:val="20"/>
                <w:lang w:val="nb-NO"/>
              </w:rPr>
            </w:pPr>
            <w:r w:rsidRPr="00A942F6">
              <w:rPr>
                <w:b/>
                <w:sz w:val="20"/>
                <w:szCs w:val="20"/>
                <w:lang w:val="nb-NO"/>
              </w:rPr>
              <w:t>Studie II</w:t>
            </w:r>
          </w:p>
          <w:p w14:paraId="5FCF157E" w14:textId="77777777" w:rsidR="00DF56D8" w:rsidRPr="00A942F6" w:rsidRDefault="00DF56D8" w:rsidP="0036729A">
            <w:pPr>
              <w:pStyle w:val="TableParagraph"/>
              <w:keepNext/>
              <w:jc w:val="center"/>
              <w:rPr>
                <w:b/>
                <w:sz w:val="20"/>
                <w:szCs w:val="20"/>
                <w:lang w:val="nb-NO"/>
              </w:rPr>
            </w:pPr>
            <w:r w:rsidRPr="00A942F6">
              <w:rPr>
                <w:b/>
                <w:sz w:val="20"/>
                <w:szCs w:val="20"/>
                <w:lang w:val="nb-NO"/>
              </w:rPr>
              <w:t>LITHE</w:t>
            </w:r>
          </w:p>
        </w:tc>
        <w:tc>
          <w:tcPr>
            <w:tcW w:w="1820" w:type="dxa"/>
            <w:gridSpan w:val="2"/>
          </w:tcPr>
          <w:p w14:paraId="26786A54" w14:textId="77777777" w:rsidR="000C2C5A" w:rsidRPr="00A942F6" w:rsidRDefault="00DF56D8" w:rsidP="0036729A">
            <w:pPr>
              <w:pStyle w:val="TableParagraph"/>
              <w:keepNext/>
              <w:jc w:val="center"/>
              <w:rPr>
                <w:b/>
                <w:sz w:val="20"/>
                <w:szCs w:val="20"/>
                <w:lang w:val="nb-NO"/>
              </w:rPr>
            </w:pPr>
            <w:r w:rsidRPr="00A942F6">
              <w:rPr>
                <w:b/>
                <w:sz w:val="20"/>
                <w:szCs w:val="20"/>
                <w:lang w:val="nb-NO"/>
              </w:rPr>
              <w:t>Studie III</w:t>
            </w:r>
          </w:p>
          <w:p w14:paraId="7493CD0A" w14:textId="77777777" w:rsidR="00DF56D8" w:rsidRPr="00A942F6" w:rsidRDefault="00DF56D8" w:rsidP="0036729A">
            <w:pPr>
              <w:pStyle w:val="TableParagraph"/>
              <w:keepNext/>
              <w:jc w:val="center"/>
              <w:rPr>
                <w:b/>
                <w:sz w:val="20"/>
                <w:szCs w:val="20"/>
                <w:lang w:val="nb-NO"/>
              </w:rPr>
            </w:pPr>
            <w:r w:rsidRPr="00A942F6">
              <w:rPr>
                <w:b/>
                <w:sz w:val="20"/>
                <w:szCs w:val="20"/>
                <w:lang w:val="nb-NO"/>
              </w:rPr>
              <w:t>OPTION</w:t>
            </w:r>
          </w:p>
        </w:tc>
        <w:tc>
          <w:tcPr>
            <w:tcW w:w="1889" w:type="dxa"/>
            <w:gridSpan w:val="2"/>
          </w:tcPr>
          <w:p w14:paraId="652DDF22" w14:textId="77777777" w:rsidR="000C2C5A" w:rsidRPr="00A942F6" w:rsidRDefault="00DF56D8" w:rsidP="0036729A">
            <w:pPr>
              <w:pStyle w:val="TableParagraph"/>
              <w:keepNext/>
              <w:jc w:val="center"/>
              <w:rPr>
                <w:b/>
                <w:sz w:val="20"/>
                <w:szCs w:val="20"/>
                <w:lang w:val="nb-NO"/>
              </w:rPr>
            </w:pPr>
            <w:r w:rsidRPr="00A942F6">
              <w:rPr>
                <w:b/>
                <w:sz w:val="20"/>
                <w:szCs w:val="20"/>
                <w:lang w:val="nb-NO"/>
              </w:rPr>
              <w:t>Studie IV</w:t>
            </w:r>
          </w:p>
          <w:p w14:paraId="2BD607C6" w14:textId="77777777" w:rsidR="00DF56D8" w:rsidRPr="00A942F6" w:rsidRDefault="00DF56D8" w:rsidP="0036729A">
            <w:pPr>
              <w:pStyle w:val="TableParagraph"/>
              <w:keepNext/>
              <w:jc w:val="center"/>
              <w:rPr>
                <w:b/>
                <w:sz w:val="20"/>
                <w:szCs w:val="20"/>
                <w:lang w:val="nb-NO"/>
              </w:rPr>
            </w:pPr>
            <w:r w:rsidRPr="00A942F6">
              <w:rPr>
                <w:b/>
                <w:sz w:val="20"/>
                <w:szCs w:val="20"/>
                <w:lang w:val="nb-NO"/>
              </w:rPr>
              <w:t>TOWARD</w:t>
            </w:r>
          </w:p>
        </w:tc>
        <w:tc>
          <w:tcPr>
            <w:tcW w:w="1764" w:type="dxa"/>
            <w:gridSpan w:val="2"/>
          </w:tcPr>
          <w:p w14:paraId="4CF50A66" w14:textId="77777777" w:rsidR="000C2C5A" w:rsidRPr="00A942F6" w:rsidRDefault="00DF56D8" w:rsidP="0036729A">
            <w:pPr>
              <w:pStyle w:val="TableParagraph"/>
              <w:keepNext/>
              <w:jc w:val="center"/>
              <w:rPr>
                <w:b/>
                <w:sz w:val="20"/>
                <w:szCs w:val="20"/>
                <w:lang w:val="nb-NO"/>
              </w:rPr>
            </w:pPr>
            <w:r w:rsidRPr="00A942F6">
              <w:rPr>
                <w:b/>
                <w:sz w:val="20"/>
                <w:szCs w:val="20"/>
                <w:lang w:val="nb-NO"/>
              </w:rPr>
              <w:t>Studie V</w:t>
            </w:r>
          </w:p>
          <w:p w14:paraId="6F9CD23A" w14:textId="77777777" w:rsidR="00DF56D8" w:rsidRPr="00A942F6" w:rsidRDefault="00DF56D8" w:rsidP="0036729A">
            <w:pPr>
              <w:pStyle w:val="TableParagraph"/>
              <w:keepNext/>
              <w:jc w:val="center"/>
              <w:rPr>
                <w:b/>
                <w:sz w:val="20"/>
                <w:szCs w:val="20"/>
                <w:lang w:val="nb-NO"/>
              </w:rPr>
            </w:pPr>
            <w:r w:rsidRPr="00A942F6">
              <w:rPr>
                <w:b/>
                <w:sz w:val="20"/>
                <w:szCs w:val="20"/>
                <w:lang w:val="nb-NO"/>
              </w:rPr>
              <w:t>RADIATE</w:t>
            </w:r>
          </w:p>
        </w:tc>
      </w:tr>
      <w:tr w:rsidR="00F45BFD" w:rsidRPr="00A942F6" w14:paraId="7E1FA7E7" w14:textId="77777777" w:rsidTr="00F45BFD">
        <w:trPr>
          <w:cantSplit/>
          <w:trHeight w:val="20"/>
        </w:trPr>
        <w:tc>
          <w:tcPr>
            <w:tcW w:w="429" w:type="dxa"/>
          </w:tcPr>
          <w:p w14:paraId="4218D636" w14:textId="77777777" w:rsidR="00DF56D8" w:rsidRPr="00A942F6" w:rsidRDefault="00DF56D8" w:rsidP="0036729A">
            <w:pPr>
              <w:pStyle w:val="TableParagraph"/>
              <w:keepNext/>
              <w:jc w:val="center"/>
              <w:rPr>
                <w:b/>
                <w:sz w:val="20"/>
                <w:szCs w:val="20"/>
                <w:lang w:val="nb-NO"/>
              </w:rPr>
            </w:pPr>
            <w:r w:rsidRPr="00A942F6">
              <w:rPr>
                <w:b/>
                <w:sz w:val="20"/>
                <w:szCs w:val="20"/>
                <w:lang w:val="nb-NO"/>
              </w:rPr>
              <w:t>Uke</w:t>
            </w:r>
          </w:p>
        </w:tc>
        <w:tc>
          <w:tcPr>
            <w:tcW w:w="842" w:type="dxa"/>
          </w:tcPr>
          <w:p w14:paraId="4DDEC03D" w14:textId="77777777" w:rsidR="00DF56D8" w:rsidRPr="00A942F6" w:rsidRDefault="00DF56D8" w:rsidP="0036729A">
            <w:pPr>
              <w:pStyle w:val="TableParagraph"/>
              <w:keepNext/>
              <w:jc w:val="center"/>
              <w:rPr>
                <w:b/>
                <w:sz w:val="20"/>
                <w:szCs w:val="20"/>
                <w:lang w:val="nb-NO"/>
              </w:rPr>
            </w:pPr>
            <w:r w:rsidRPr="00A942F6">
              <w:rPr>
                <w:b/>
                <w:sz w:val="20"/>
                <w:szCs w:val="20"/>
                <w:lang w:val="nb-NO"/>
              </w:rPr>
              <w:t>TCZ</w:t>
            </w:r>
          </w:p>
          <w:p w14:paraId="7581D034" w14:textId="77777777" w:rsidR="00DF56D8" w:rsidRPr="00A942F6" w:rsidRDefault="00DF56D8" w:rsidP="0036729A">
            <w:pPr>
              <w:pStyle w:val="TableParagraph"/>
              <w:keepNext/>
              <w:jc w:val="center"/>
              <w:rPr>
                <w:b/>
                <w:sz w:val="20"/>
                <w:szCs w:val="20"/>
                <w:lang w:val="nb-NO"/>
              </w:rPr>
            </w:pPr>
            <w:r w:rsidRPr="00A942F6">
              <w:rPr>
                <w:b/>
                <w:sz w:val="20"/>
                <w:szCs w:val="20"/>
                <w:lang w:val="nb-NO"/>
              </w:rPr>
              <w:t>8 mg/kg</w:t>
            </w:r>
          </w:p>
        </w:tc>
        <w:tc>
          <w:tcPr>
            <w:tcW w:w="726" w:type="dxa"/>
          </w:tcPr>
          <w:p w14:paraId="101D5840" w14:textId="77777777" w:rsidR="00DF56D8" w:rsidRPr="00A942F6" w:rsidRDefault="00DF56D8" w:rsidP="0036729A">
            <w:pPr>
              <w:pStyle w:val="TableParagraph"/>
              <w:keepNext/>
              <w:jc w:val="center"/>
              <w:rPr>
                <w:b/>
                <w:sz w:val="20"/>
                <w:szCs w:val="20"/>
                <w:lang w:val="nb-NO"/>
              </w:rPr>
            </w:pPr>
            <w:r w:rsidRPr="00A942F6">
              <w:rPr>
                <w:b/>
                <w:sz w:val="20"/>
                <w:szCs w:val="20"/>
                <w:lang w:val="nb-NO"/>
              </w:rPr>
              <w:t>MTX</w:t>
            </w:r>
          </w:p>
        </w:tc>
        <w:tc>
          <w:tcPr>
            <w:tcW w:w="798" w:type="dxa"/>
          </w:tcPr>
          <w:p w14:paraId="50CF3E61" w14:textId="77777777" w:rsidR="00DF56D8" w:rsidRPr="00A942F6" w:rsidRDefault="00DF56D8" w:rsidP="0036729A">
            <w:pPr>
              <w:pStyle w:val="TableParagraph"/>
              <w:keepNext/>
              <w:jc w:val="center"/>
              <w:rPr>
                <w:b/>
                <w:sz w:val="20"/>
                <w:szCs w:val="20"/>
                <w:lang w:val="nb-NO"/>
              </w:rPr>
            </w:pPr>
            <w:r w:rsidRPr="00A942F6">
              <w:rPr>
                <w:b/>
                <w:sz w:val="20"/>
                <w:szCs w:val="20"/>
                <w:lang w:val="nb-NO"/>
              </w:rPr>
              <w:t>TCZ</w:t>
            </w:r>
          </w:p>
          <w:p w14:paraId="3998F2BE" w14:textId="77777777" w:rsidR="00DF56D8" w:rsidRPr="00A942F6" w:rsidRDefault="00DF56D8" w:rsidP="0036729A">
            <w:pPr>
              <w:pStyle w:val="TableParagraph"/>
              <w:keepNext/>
              <w:jc w:val="center"/>
              <w:rPr>
                <w:b/>
                <w:sz w:val="20"/>
                <w:szCs w:val="20"/>
                <w:lang w:val="nb-NO"/>
              </w:rPr>
            </w:pPr>
            <w:r w:rsidRPr="00A942F6">
              <w:rPr>
                <w:b/>
                <w:sz w:val="20"/>
                <w:szCs w:val="20"/>
                <w:lang w:val="nb-NO"/>
              </w:rPr>
              <w:t>8 mg/kg</w:t>
            </w:r>
            <w:r w:rsidR="00147B45" w:rsidRPr="00A942F6">
              <w:rPr>
                <w:b/>
                <w:sz w:val="20"/>
                <w:szCs w:val="20"/>
                <w:lang w:val="nb-NO"/>
              </w:rPr>
              <w:t xml:space="preserve"> </w:t>
            </w:r>
            <w:r w:rsidRPr="00A942F6">
              <w:rPr>
                <w:b/>
                <w:sz w:val="20"/>
                <w:szCs w:val="20"/>
                <w:lang w:val="nb-NO"/>
              </w:rPr>
              <w:t>+ MTX</w:t>
            </w:r>
          </w:p>
        </w:tc>
        <w:tc>
          <w:tcPr>
            <w:tcW w:w="812" w:type="dxa"/>
          </w:tcPr>
          <w:p w14:paraId="3BA54541" w14:textId="77777777" w:rsidR="00DF56D8" w:rsidRPr="00A942F6" w:rsidRDefault="00DF56D8" w:rsidP="0036729A">
            <w:pPr>
              <w:pStyle w:val="TableParagraph"/>
              <w:keepNext/>
              <w:jc w:val="center"/>
              <w:rPr>
                <w:b/>
                <w:sz w:val="20"/>
                <w:szCs w:val="20"/>
                <w:lang w:val="nb-NO"/>
              </w:rPr>
            </w:pPr>
            <w:r w:rsidRPr="00A942F6">
              <w:rPr>
                <w:b/>
                <w:sz w:val="20"/>
                <w:szCs w:val="20"/>
                <w:lang w:val="nb-NO"/>
              </w:rPr>
              <w:t>PBO + MTX</w:t>
            </w:r>
          </w:p>
        </w:tc>
        <w:tc>
          <w:tcPr>
            <w:tcW w:w="994" w:type="dxa"/>
          </w:tcPr>
          <w:p w14:paraId="4E5EAD79" w14:textId="77777777" w:rsidR="00DF56D8" w:rsidRPr="00A942F6" w:rsidRDefault="00DF56D8" w:rsidP="0036729A">
            <w:pPr>
              <w:pStyle w:val="TableParagraph"/>
              <w:keepNext/>
              <w:jc w:val="center"/>
              <w:rPr>
                <w:b/>
                <w:sz w:val="20"/>
                <w:szCs w:val="20"/>
                <w:lang w:val="nb-NO"/>
              </w:rPr>
            </w:pPr>
            <w:r w:rsidRPr="00A942F6">
              <w:rPr>
                <w:b/>
                <w:sz w:val="20"/>
                <w:szCs w:val="20"/>
                <w:lang w:val="nb-NO"/>
              </w:rPr>
              <w:t>TCZ</w:t>
            </w:r>
          </w:p>
          <w:p w14:paraId="2131D326" w14:textId="77777777" w:rsidR="00DF56D8" w:rsidRPr="00A942F6" w:rsidRDefault="00DF56D8" w:rsidP="0036729A">
            <w:pPr>
              <w:pStyle w:val="TableParagraph"/>
              <w:keepNext/>
              <w:jc w:val="center"/>
              <w:rPr>
                <w:b/>
                <w:sz w:val="20"/>
                <w:szCs w:val="20"/>
                <w:lang w:val="nb-NO"/>
              </w:rPr>
            </w:pPr>
            <w:r w:rsidRPr="00A942F6">
              <w:rPr>
                <w:b/>
                <w:sz w:val="20"/>
                <w:szCs w:val="20"/>
                <w:lang w:val="nb-NO"/>
              </w:rPr>
              <w:t>8 mg/kg</w:t>
            </w:r>
            <w:r w:rsidR="00147B45" w:rsidRPr="00A942F6">
              <w:rPr>
                <w:b/>
                <w:sz w:val="20"/>
                <w:szCs w:val="20"/>
                <w:lang w:val="nb-NO"/>
              </w:rPr>
              <w:t xml:space="preserve"> </w:t>
            </w:r>
            <w:r w:rsidRPr="00A942F6">
              <w:rPr>
                <w:b/>
                <w:sz w:val="20"/>
                <w:szCs w:val="20"/>
                <w:lang w:val="nb-NO"/>
              </w:rPr>
              <w:t>+ MTX</w:t>
            </w:r>
          </w:p>
        </w:tc>
        <w:tc>
          <w:tcPr>
            <w:tcW w:w="826" w:type="dxa"/>
          </w:tcPr>
          <w:p w14:paraId="0F7E2AA1" w14:textId="77777777" w:rsidR="00DF56D8" w:rsidRPr="00A942F6" w:rsidRDefault="00DF56D8" w:rsidP="0036729A">
            <w:pPr>
              <w:pStyle w:val="TableParagraph"/>
              <w:keepNext/>
              <w:jc w:val="center"/>
              <w:rPr>
                <w:b/>
                <w:sz w:val="20"/>
                <w:szCs w:val="20"/>
                <w:lang w:val="nb-NO"/>
              </w:rPr>
            </w:pPr>
            <w:r w:rsidRPr="00A942F6">
              <w:rPr>
                <w:b/>
                <w:sz w:val="20"/>
                <w:szCs w:val="20"/>
                <w:lang w:val="nb-NO"/>
              </w:rPr>
              <w:t>PBO</w:t>
            </w:r>
            <w:r w:rsidR="00147B45" w:rsidRPr="00A942F6">
              <w:rPr>
                <w:b/>
                <w:sz w:val="20"/>
                <w:szCs w:val="20"/>
                <w:lang w:val="nb-NO"/>
              </w:rPr>
              <w:t xml:space="preserve"> </w:t>
            </w:r>
            <w:r w:rsidRPr="00A942F6">
              <w:rPr>
                <w:b/>
                <w:sz w:val="20"/>
                <w:szCs w:val="20"/>
                <w:lang w:val="nb-NO"/>
              </w:rPr>
              <w:t>+ MTX</w:t>
            </w:r>
          </w:p>
        </w:tc>
        <w:tc>
          <w:tcPr>
            <w:tcW w:w="993" w:type="dxa"/>
          </w:tcPr>
          <w:p w14:paraId="76362373" w14:textId="77777777" w:rsidR="00DF56D8" w:rsidRPr="00A942F6" w:rsidRDefault="00DF56D8" w:rsidP="0036729A">
            <w:pPr>
              <w:pStyle w:val="TableParagraph"/>
              <w:keepNext/>
              <w:jc w:val="center"/>
              <w:rPr>
                <w:b/>
                <w:sz w:val="20"/>
                <w:szCs w:val="20"/>
                <w:lang w:val="nb-NO"/>
              </w:rPr>
            </w:pPr>
            <w:r w:rsidRPr="00A942F6">
              <w:rPr>
                <w:b/>
                <w:sz w:val="20"/>
                <w:szCs w:val="20"/>
                <w:lang w:val="nb-NO"/>
              </w:rPr>
              <w:t>TCZ</w:t>
            </w:r>
          </w:p>
          <w:p w14:paraId="15FADF20" w14:textId="77777777" w:rsidR="00DF56D8" w:rsidRPr="00A942F6" w:rsidRDefault="00DF56D8" w:rsidP="0036729A">
            <w:pPr>
              <w:pStyle w:val="TableParagraph"/>
              <w:keepNext/>
              <w:jc w:val="center"/>
              <w:rPr>
                <w:b/>
                <w:sz w:val="20"/>
                <w:szCs w:val="20"/>
                <w:lang w:val="nb-NO"/>
              </w:rPr>
            </w:pPr>
            <w:r w:rsidRPr="00A942F6">
              <w:rPr>
                <w:b/>
                <w:sz w:val="20"/>
                <w:szCs w:val="20"/>
                <w:lang w:val="nb-NO"/>
              </w:rPr>
              <w:t>8 mg/kg + DMARD</w:t>
            </w:r>
          </w:p>
        </w:tc>
        <w:tc>
          <w:tcPr>
            <w:tcW w:w="896" w:type="dxa"/>
          </w:tcPr>
          <w:p w14:paraId="544E9B47" w14:textId="77777777" w:rsidR="00DF56D8" w:rsidRPr="00A942F6" w:rsidRDefault="00DF56D8" w:rsidP="0036729A">
            <w:pPr>
              <w:pStyle w:val="TableParagraph"/>
              <w:keepNext/>
              <w:jc w:val="center"/>
              <w:rPr>
                <w:b/>
                <w:sz w:val="20"/>
                <w:szCs w:val="20"/>
                <w:lang w:val="nb-NO"/>
              </w:rPr>
            </w:pPr>
            <w:r w:rsidRPr="00A942F6">
              <w:rPr>
                <w:b/>
                <w:sz w:val="20"/>
                <w:szCs w:val="20"/>
                <w:lang w:val="nb-NO"/>
              </w:rPr>
              <w:t>PBO + DMARD</w:t>
            </w:r>
          </w:p>
        </w:tc>
        <w:tc>
          <w:tcPr>
            <w:tcW w:w="980" w:type="dxa"/>
          </w:tcPr>
          <w:p w14:paraId="66A7C5A9" w14:textId="77777777" w:rsidR="00DF56D8" w:rsidRPr="00A942F6" w:rsidRDefault="00DF56D8" w:rsidP="0036729A">
            <w:pPr>
              <w:pStyle w:val="TableParagraph"/>
              <w:keepNext/>
              <w:jc w:val="center"/>
              <w:rPr>
                <w:b/>
                <w:sz w:val="20"/>
                <w:szCs w:val="20"/>
                <w:lang w:val="nb-NO"/>
              </w:rPr>
            </w:pPr>
            <w:r w:rsidRPr="00A942F6">
              <w:rPr>
                <w:b/>
                <w:sz w:val="20"/>
                <w:szCs w:val="20"/>
                <w:lang w:val="nb-NO"/>
              </w:rPr>
              <w:t>TCZ</w:t>
            </w:r>
          </w:p>
          <w:p w14:paraId="4D56E08D" w14:textId="77777777" w:rsidR="00DF56D8" w:rsidRPr="00A942F6" w:rsidRDefault="00DF56D8" w:rsidP="0036729A">
            <w:pPr>
              <w:pStyle w:val="TableParagraph"/>
              <w:keepNext/>
              <w:jc w:val="center"/>
              <w:rPr>
                <w:b/>
                <w:sz w:val="20"/>
                <w:szCs w:val="20"/>
                <w:lang w:val="nb-NO"/>
              </w:rPr>
            </w:pPr>
            <w:r w:rsidRPr="00A942F6">
              <w:rPr>
                <w:b/>
                <w:sz w:val="20"/>
                <w:szCs w:val="20"/>
                <w:lang w:val="nb-NO"/>
              </w:rPr>
              <w:t>8 mg/kg</w:t>
            </w:r>
            <w:r w:rsidR="00147B45" w:rsidRPr="00A942F6">
              <w:rPr>
                <w:b/>
                <w:sz w:val="20"/>
                <w:szCs w:val="20"/>
                <w:lang w:val="nb-NO"/>
              </w:rPr>
              <w:t xml:space="preserve"> </w:t>
            </w:r>
            <w:r w:rsidRPr="00A942F6">
              <w:rPr>
                <w:b/>
                <w:sz w:val="20"/>
                <w:szCs w:val="20"/>
                <w:lang w:val="nb-NO"/>
              </w:rPr>
              <w:t>+ MTX</w:t>
            </w:r>
          </w:p>
        </w:tc>
        <w:tc>
          <w:tcPr>
            <w:tcW w:w="784" w:type="dxa"/>
          </w:tcPr>
          <w:p w14:paraId="18F15A3D" w14:textId="77777777" w:rsidR="00DF56D8" w:rsidRPr="00A942F6" w:rsidRDefault="00DF56D8" w:rsidP="0036729A">
            <w:pPr>
              <w:pStyle w:val="TableParagraph"/>
              <w:keepNext/>
              <w:jc w:val="center"/>
              <w:rPr>
                <w:b/>
                <w:sz w:val="20"/>
                <w:szCs w:val="20"/>
                <w:lang w:val="nb-NO"/>
              </w:rPr>
            </w:pPr>
            <w:r w:rsidRPr="00A942F6">
              <w:rPr>
                <w:b/>
                <w:sz w:val="20"/>
                <w:szCs w:val="20"/>
                <w:lang w:val="nb-NO"/>
              </w:rPr>
              <w:t>PBO + MTX</w:t>
            </w:r>
          </w:p>
        </w:tc>
      </w:tr>
      <w:tr w:rsidR="00F45BFD" w:rsidRPr="00A942F6" w14:paraId="7D3F8DE6" w14:textId="77777777" w:rsidTr="00F45BFD">
        <w:trPr>
          <w:cantSplit/>
          <w:trHeight w:val="20"/>
        </w:trPr>
        <w:tc>
          <w:tcPr>
            <w:tcW w:w="429" w:type="dxa"/>
          </w:tcPr>
          <w:p w14:paraId="1F794FA4" w14:textId="77777777" w:rsidR="00DF56D8" w:rsidRPr="00A942F6" w:rsidRDefault="00DF56D8" w:rsidP="0036729A">
            <w:pPr>
              <w:pStyle w:val="TableParagraph"/>
              <w:keepNext/>
              <w:jc w:val="center"/>
              <w:rPr>
                <w:sz w:val="20"/>
                <w:szCs w:val="20"/>
                <w:lang w:val="nb-NO"/>
              </w:rPr>
            </w:pPr>
          </w:p>
        </w:tc>
        <w:tc>
          <w:tcPr>
            <w:tcW w:w="842" w:type="dxa"/>
          </w:tcPr>
          <w:p w14:paraId="0BF110D6" w14:textId="77777777" w:rsidR="00DF56D8" w:rsidRPr="00A942F6" w:rsidRDefault="00DF56D8" w:rsidP="0036729A">
            <w:pPr>
              <w:pStyle w:val="TableParagraph"/>
              <w:keepNext/>
              <w:jc w:val="center"/>
              <w:rPr>
                <w:b/>
                <w:sz w:val="20"/>
                <w:szCs w:val="20"/>
                <w:lang w:val="nb-NO"/>
              </w:rPr>
            </w:pPr>
            <w:r w:rsidRPr="00A942F6">
              <w:rPr>
                <w:b/>
                <w:sz w:val="20"/>
                <w:szCs w:val="20"/>
                <w:lang w:val="nb-NO"/>
              </w:rPr>
              <w:t>N = 286</w:t>
            </w:r>
          </w:p>
        </w:tc>
        <w:tc>
          <w:tcPr>
            <w:tcW w:w="726" w:type="dxa"/>
          </w:tcPr>
          <w:p w14:paraId="3A1F9572" w14:textId="77777777" w:rsidR="00DF56D8" w:rsidRPr="00A942F6" w:rsidRDefault="00DF56D8" w:rsidP="0036729A">
            <w:pPr>
              <w:pStyle w:val="TableParagraph"/>
              <w:keepNext/>
              <w:jc w:val="center"/>
              <w:rPr>
                <w:b/>
                <w:sz w:val="20"/>
                <w:szCs w:val="20"/>
                <w:lang w:val="nb-NO"/>
              </w:rPr>
            </w:pPr>
            <w:r w:rsidRPr="00A942F6">
              <w:rPr>
                <w:b/>
                <w:sz w:val="20"/>
                <w:szCs w:val="20"/>
                <w:lang w:val="nb-NO"/>
              </w:rPr>
              <w:t>N = 284</w:t>
            </w:r>
          </w:p>
        </w:tc>
        <w:tc>
          <w:tcPr>
            <w:tcW w:w="798" w:type="dxa"/>
          </w:tcPr>
          <w:p w14:paraId="68B4F6A0" w14:textId="77777777" w:rsidR="00DF56D8" w:rsidRPr="00A942F6" w:rsidRDefault="00DF56D8" w:rsidP="0036729A">
            <w:pPr>
              <w:pStyle w:val="TableParagraph"/>
              <w:keepNext/>
              <w:jc w:val="center"/>
              <w:rPr>
                <w:b/>
                <w:sz w:val="20"/>
                <w:szCs w:val="20"/>
                <w:lang w:val="nb-NO"/>
              </w:rPr>
            </w:pPr>
            <w:r w:rsidRPr="00A942F6">
              <w:rPr>
                <w:b/>
                <w:sz w:val="20"/>
                <w:szCs w:val="20"/>
                <w:lang w:val="nb-NO"/>
              </w:rPr>
              <w:t>N = 398</w:t>
            </w:r>
          </w:p>
        </w:tc>
        <w:tc>
          <w:tcPr>
            <w:tcW w:w="812" w:type="dxa"/>
          </w:tcPr>
          <w:p w14:paraId="01664B85" w14:textId="77777777" w:rsidR="00DF56D8" w:rsidRPr="00A942F6" w:rsidRDefault="00DF56D8" w:rsidP="0036729A">
            <w:pPr>
              <w:pStyle w:val="TableParagraph"/>
              <w:keepNext/>
              <w:jc w:val="center"/>
              <w:rPr>
                <w:b/>
                <w:sz w:val="20"/>
                <w:szCs w:val="20"/>
                <w:lang w:val="nb-NO"/>
              </w:rPr>
            </w:pPr>
            <w:r w:rsidRPr="00A942F6">
              <w:rPr>
                <w:b/>
                <w:sz w:val="20"/>
                <w:szCs w:val="20"/>
                <w:lang w:val="nb-NO"/>
              </w:rPr>
              <w:t>N = 393</w:t>
            </w:r>
          </w:p>
        </w:tc>
        <w:tc>
          <w:tcPr>
            <w:tcW w:w="994" w:type="dxa"/>
          </w:tcPr>
          <w:p w14:paraId="4C6BD64D" w14:textId="77777777" w:rsidR="00DF56D8" w:rsidRPr="00A942F6" w:rsidRDefault="00DF56D8" w:rsidP="0036729A">
            <w:pPr>
              <w:pStyle w:val="TableParagraph"/>
              <w:keepNext/>
              <w:jc w:val="center"/>
              <w:rPr>
                <w:b/>
                <w:sz w:val="20"/>
                <w:szCs w:val="20"/>
                <w:lang w:val="nb-NO"/>
              </w:rPr>
            </w:pPr>
            <w:r w:rsidRPr="00A942F6">
              <w:rPr>
                <w:b/>
                <w:sz w:val="20"/>
                <w:szCs w:val="20"/>
                <w:lang w:val="nb-NO"/>
              </w:rPr>
              <w:t>N = 205</w:t>
            </w:r>
          </w:p>
        </w:tc>
        <w:tc>
          <w:tcPr>
            <w:tcW w:w="826" w:type="dxa"/>
          </w:tcPr>
          <w:p w14:paraId="60092F86" w14:textId="77777777" w:rsidR="00DF56D8" w:rsidRPr="00A942F6" w:rsidRDefault="00DF56D8" w:rsidP="0036729A">
            <w:pPr>
              <w:pStyle w:val="TableParagraph"/>
              <w:keepNext/>
              <w:jc w:val="center"/>
              <w:rPr>
                <w:b/>
                <w:sz w:val="20"/>
                <w:szCs w:val="20"/>
                <w:lang w:val="nb-NO"/>
              </w:rPr>
            </w:pPr>
            <w:r w:rsidRPr="00A942F6">
              <w:rPr>
                <w:b/>
                <w:sz w:val="20"/>
                <w:szCs w:val="20"/>
                <w:lang w:val="nb-NO"/>
              </w:rPr>
              <w:t>N = 204</w:t>
            </w:r>
          </w:p>
        </w:tc>
        <w:tc>
          <w:tcPr>
            <w:tcW w:w="993" w:type="dxa"/>
          </w:tcPr>
          <w:p w14:paraId="5B710E08" w14:textId="77777777" w:rsidR="00DF56D8" w:rsidRPr="00A942F6" w:rsidRDefault="00DF56D8" w:rsidP="0036729A">
            <w:pPr>
              <w:pStyle w:val="TableParagraph"/>
              <w:keepNext/>
              <w:jc w:val="center"/>
              <w:rPr>
                <w:b/>
                <w:sz w:val="20"/>
                <w:szCs w:val="20"/>
                <w:lang w:val="nb-NO"/>
              </w:rPr>
            </w:pPr>
            <w:r w:rsidRPr="00A942F6">
              <w:rPr>
                <w:b/>
                <w:sz w:val="20"/>
                <w:szCs w:val="20"/>
                <w:lang w:val="nb-NO"/>
              </w:rPr>
              <w:t>N = 803</w:t>
            </w:r>
          </w:p>
        </w:tc>
        <w:tc>
          <w:tcPr>
            <w:tcW w:w="896" w:type="dxa"/>
          </w:tcPr>
          <w:p w14:paraId="1B342765" w14:textId="77777777" w:rsidR="00DF56D8" w:rsidRPr="00A942F6" w:rsidRDefault="00DF56D8" w:rsidP="0036729A">
            <w:pPr>
              <w:pStyle w:val="TableParagraph"/>
              <w:keepNext/>
              <w:jc w:val="center"/>
              <w:rPr>
                <w:b/>
                <w:sz w:val="20"/>
                <w:szCs w:val="20"/>
                <w:lang w:val="nb-NO"/>
              </w:rPr>
            </w:pPr>
            <w:r w:rsidRPr="00A942F6">
              <w:rPr>
                <w:b/>
                <w:sz w:val="20"/>
                <w:szCs w:val="20"/>
                <w:lang w:val="nb-NO"/>
              </w:rPr>
              <w:t>N = 413</w:t>
            </w:r>
          </w:p>
        </w:tc>
        <w:tc>
          <w:tcPr>
            <w:tcW w:w="980" w:type="dxa"/>
          </w:tcPr>
          <w:p w14:paraId="3AD8030A" w14:textId="77777777" w:rsidR="00DF56D8" w:rsidRPr="00A942F6" w:rsidRDefault="00DF56D8" w:rsidP="0036729A">
            <w:pPr>
              <w:pStyle w:val="TableParagraph"/>
              <w:keepNext/>
              <w:jc w:val="center"/>
              <w:rPr>
                <w:b/>
                <w:sz w:val="20"/>
                <w:szCs w:val="20"/>
                <w:lang w:val="nb-NO"/>
              </w:rPr>
            </w:pPr>
            <w:r w:rsidRPr="00A942F6">
              <w:rPr>
                <w:b/>
                <w:sz w:val="20"/>
                <w:szCs w:val="20"/>
                <w:lang w:val="nb-NO"/>
              </w:rPr>
              <w:t>N = 170</w:t>
            </w:r>
          </w:p>
        </w:tc>
        <w:tc>
          <w:tcPr>
            <w:tcW w:w="784" w:type="dxa"/>
          </w:tcPr>
          <w:p w14:paraId="0BF97D10" w14:textId="77777777" w:rsidR="00DF56D8" w:rsidRPr="00A942F6" w:rsidRDefault="00DF56D8" w:rsidP="0036729A">
            <w:pPr>
              <w:pStyle w:val="TableParagraph"/>
              <w:keepNext/>
              <w:jc w:val="center"/>
              <w:rPr>
                <w:b/>
                <w:sz w:val="20"/>
                <w:szCs w:val="20"/>
                <w:lang w:val="nb-NO"/>
              </w:rPr>
            </w:pPr>
            <w:r w:rsidRPr="00A942F6">
              <w:rPr>
                <w:b/>
                <w:sz w:val="20"/>
                <w:szCs w:val="20"/>
                <w:lang w:val="nb-NO"/>
              </w:rPr>
              <w:t>N = 158</w:t>
            </w:r>
          </w:p>
        </w:tc>
      </w:tr>
      <w:tr w:rsidR="00DF56D8" w:rsidRPr="00A942F6" w14:paraId="7BBA981A" w14:textId="77777777" w:rsidTr="00F45BFD">
        <w:trPr>
          <w:cantSplit/>
          <w:trHeight w:val="20"/>
        </w:trPr>
        <w:tc>
          <w:tcPr>
            <w:tcW w:w="9080" w:type="dxa"/>
            <w:gridSpan w:val="11"/>
          </w:tcPr>
          <w:p w14:paraId="0A33AE83" w14:textId="77777777" w:rsidR="00DF56D8" w:rsidRPr="00A942F6" w:rsidRDefault="00DF56D8" w:rsidP="0036729A">
            <w:pPr>
              <w:pStyle w:val="TableParagraph"/>
              <w:keepNext/>
              <w:jc w:val="center"/>
              <w:rPr>
                <w:b/>
                <w:sz w:val="20"/>
                <w:szCs w:val="20"/>
                <w:lang w:val="nb-NO"/>
              </w:rPr>
            </w:pPr>
            <w:r w:rsidRPr="00A942F6">
              <w:rPr>
                <w:b/>
                <w:sz w:val="20"/>
                <w:szCs w:val="20"/>
                <w:lang w:val="nb-NO"/>
              </w:rPr>
              <w:t>ACR 20</w:t>
            </w:r>
          </w:p>
        </w:tc>
      </w:tr>
      <w:tr w:rsidR="00F45BFD" w:rsidRPr="00A942F6" w14:paraId="45D0C794" w14:textId="77777777" w:rsidTr="00F45BFD">
        <w:trPr>
          <w:cantSplit/>
          <w:trHeight w:val="20"/>
        </w:trPr>
        <w:tc>
          <w:tcPr>
            <w:tcW w:w="429" w:type="dxa"/>
          </w:tcPr>
          <w:p w14:paraId="406A0658" w14:textId="77777777" w:rsidR="00DF56D8" w:rsidRPr="00A942F6" w:rsidRDefault="00DF56D8" w:rsidP="00641834">
            <w:pPr>
              <w:pStyle w:val="TableParagraph"/>
              <w:jc w:val="center"/>
              <w:rPr>
                <w:sz w:val="20"/>
                <w:szCs w:val="20"/>
                <w:lang w:val="nb-NO"/>
              </w:rPr>
            </w:pPr>
            <w:r w:rsidRPr="00A942F6">
              <w:rPr>
                <w:sz w:val="20"/>
                <w:szCs w:val="20"/>
                <w:lang w:val="nb-NO"/>
              </w:rPr>
              <w:t>24</w:t>
            </w:r>
          </w:p>
        </w:tc>
        <w:tc>
          <w:tcPr>
            <w:tcW w:w="842" w:type="dxa"/>
          </w:tcPr>
          <w:p w14:paraId="3E824333" w14:textId="77777777" w:rsidR="00DF56D8" w:rsidRPr="00A942F6" w:rsidRDefault="00DF56D8" w:rsidP="00641834">
            <w:pPr>
              <w:pStyle w:val="TableParagraph"/>
              <w:jc w:val="center"/>
              <w:rPr>
                <w:sz w:val="20"/>
                <w:szCs w:val="20"/>
                <w:lang w:val="nb-NO"/>
              </w:rPr>
            </w:pPr>
            <w:r w:rsidRPr="00A942F6">
              <w:rPr>
                <w:sz w:val="20"/>
                <w:szCs w:val="20"/>
                <w:lang w:val="nb-NO"/>
              </w:rPr>
              <w:t>70 %***</w:t>
            </w:r>
          </w:p>
        </w:tc>
        <w:tc>
          <w:tcPr>
            <w:tcW w:w="726" w:type="dxa"/>
          </w:tcPr>
          <w:p w14:paraId="2658BE37" w14:textId="77777777" w:rsidR="00DF56D8" w:rsidRPr="00A942F6" w:rsidRDefault="00DF56D8" w:rsidP="00641834">
            <w:pPr>
              <w:pStyle w:val="TableParagraph"/>
              <w:jc w:val="center"/>
              <w:rPr>
                <w:sz w:val="20"/>
                <w:szCs w:val="20"/>
                <w:lang w:val="nb-NO"/>
              </w:rPr>
            </w:pPr>
            <w:r w:rsidRPr="00A942F6">
              <w:rPr>
                <w:sz w:val="20"/>
                <w:szCs w:val="20"/>
                <w:lang w:val="nb-NO"/>
              </w:rPr>
              <w:t>52 %</w:t>
            </w:r>
          </w:p>
        </w:tc>
        <w:tc>
          <w:tcPr>
            <w:tcW w:w="798" w:type="dxa"/>
          </w:tcPr>
          <w:p w14:paraId="358610C8" w14:textId="77777777" w:rsidR="00DF56D8" w:rsidRPr="00A942F6" w:rsidRDefault="00DF56D8" w:rsidP="00641834">
            <w:pPr>
              <w:pStyle w:val="TableParagraph"/>
              <w:jc w:val="center"/>
              <w:rPr>
                <w:sz w:val="20"/>
                <w:szCs w:val="20"/>
                <w:lang w:val="nb-NO"/>
              </w:rPr>
            </w:pPr>
            <w:r w:rsidRPr="00A942F6">
              <w:rPr>
                <w:sz w:val="20"/>
                <w:szCs w:val="20"/>
                <w:lang w:val="nb-NO"/>
              </w:rPr>
              <w:t>56 %***</w:t>
            </w:r>
          </w:p>
        </w:tc>
        <w:tc>
          <w:tcPr>
            <w:tcW w:w="812" w:type="dxa"/>
          </w:tcPr>
          <w:p w14:paraId="733EA976" w14:textId="77777777" w:rsidR="00DF56D8" w:rsidRPr="00A942F6" w:rsidRDefault="00DF56D8" w:rsidP="00641834">
            <w:pPr>
              <w:pStyle w:val="TableParagraph"/>
              <w:jc w:val="center"/>
              <w:rPr>
                <w:sz w:val="20"/>
                <w:szCs w:val="20"/>
                <w:lang w:val="nb-NO"/>
              </w:rPr>
            </w:pPr>
            <w:r w:rsidRPr="00A942F6">
              <w:rPr>
                <w:sz w:val="20"/>
                <w:szCs w:val="20"/>
                <w:lang w:val="nb-NO"/>
              </w:rPr>
              <w:t>27 %</w:t>
            </w:r>
          </w:p>
        </w:tc>
        <w:tc>
          <w:tcPr>
            <w:tcW w:w="994" w:type="dxa"/>
          </w:tcPr>
          <w:p w14:paraId="45F807C8" w14:textId="77777777" w:rsidR="00DF56D8" w:rsidRPr="00A942F6" w:rsidRDefault="00DF56D8" w:rsidP="00641834">
            <w:pPr>
              <w:pStyle w:val="TableParagraph"/>
              <w:jc w:val="center"/>
              <w:rPr>
                <w:sz w:val="20"/>
                <w:szCs w:val="20"/>
                <w:lang w:val="nb-NO"/>
              </w:rPr>
            </w:pPr>
            <w:r w:rsidRPr="00A942F6">
              <w:rPr>
                <w:sz w:val="20"/>
                <w:szCs w:val="20"/>
                <w:lang w:val="nb-NO"/>
              </w:rPr>
              <w:t>59 %***</w:t>
            </w:r>
          </w:p>
        </w:tc>
        <w:tc>
          <w:tcPr>
            <w:tcW w:w="826" w:type="dxa"/>
          </w:tcPr>
          <w:p w14:paraId="574F5D7F" w14:textId="77777777" w:rsidR="00DF56D8" w:rsidRPr="00A942F6" w:rsidRDefault="00DF56D8" w:rsidP="00641834">
            <w:pPr>
              <w:pStyle w:val="TableParagraph"/>
              <w:jc w:val="center"/>
              <w:rPr>
                <w:sz w:val="20"/>
                <w:szCs w:val="20"/>
                <w:lang w:val="nb-NO"/>
              </w:rPr>
            </w:pPr>
            <w:r w:rsidRPr="00A942F6">
              <w:rPr>
                <w:sz w:val="20"/>
                <w:szCs w:val="20"/>
                <w:lang w:val="nb-NO"/>
              </w:rPr>
              <w:t>26 %</w:t>
            </w:r>
          </w:p>
        </w:tc>
        <w:tc>
          <w:tcPr>
            <w:tcW w:w="993" w:type="dxa"/>
          </w:tcPr>
          <w:p w14:paraId="1AC2A2D0" w14:textId="77777777" w:rsidR="00DF56D8" w:rsidRPr="00A942F6" w:rsidRDefault="00DF56D8" w:rsidP="00641834">
            <w:pPr>
              <w:pStyle w:val="TableParagraph"/>
              <w:jc w:val="center"/>
              <w:rPr>
                <w:sz w:val="20"/>
                <w:szCs w:val="20"/>
                <w:lang w:val="nb-NO"/>
              </w:rPr>
            </w:pPr>
            <w:r w:rsidRPr="00A942F6">
              <w:rPr>
                <w:sz w:val="20"/>
                <w:szCs w:val="20"/>
                <w:lang w:val="nb-NO"/>
              </w:rPr>
              <w:t>61 %***</w:t>
            </w:r>
          </w:p>
        </w:tc>
        <w:tc>
          <w:tcPr>
            <w:tcW w:w="896" w:type="dxa"/>
          </w:tcPr>
          <w:p w14:paraId="37ECB897" w14:textId="77777777" w:rsidR="00DF56D8" w:rsidRPr="00A942F6" w:rsidRDefault="00DF56D8" w:rsidP="00641834">
            <w:pPr>
              <w:pStyle w:val="TableParagraph"/>
              <w:jc w:val="center"/>
              <w:rPr>
                <w:sz w:val="20"/>
                <w:szCs w:val="20"/>
                <w:lang w:val="nb-NO"/>
              </w:rPr>
            </w:pPr>
            <w:r w:rsidRPr="00A942F6">
              <w:rPr>
                <w:sz w:val="20"/>
                <w:szCs w:val="20"/>
                <w:lang w:val="nb-NO"/>
              </w:rPr>
              <w:t>24 %</w:t>
            </w:r>
          </w:p>
        </w:tc>
        <w:tc>
          <w:tcPr>
            <w:tcW w:w="980" w:type="dxa"/>
          </w:tcPr>
          <w:p w14:paraId="0F724715" w14:textId="77777777" w:rsidR="00DF56D8" w:rsidRPr="00A942F6" w:rsidRDefault="00DF56D8" w:rsidP="00641834">
            <w:pPr>
              <w:pStyle w:val="TableParagraph"/>
              <w:jc w:val="center"/>
              <w:rPr>
                <w:sz w:val="20"/>
                <w:szCs w:val="20"/>
                <w:lang w:val="nb-NO"/>
              </w:rPr>
            </w:pPr>
            <w:r w:rsidRPr="00A942F6">
              <w:rPr>
                <w:sz w:val="20"/>
                <w:szCs w:val="20"/>
                <w:lang w:val="nb-NO"/>
              </w:rPr>
              <w:t>50 %***</w:t>
            </w:r>
          </w:p>
        </w:tc>
        <w:tc>
          <w:tcPr>
            <w:tcW w:w="784" w:type="dxa"/>
          </w:tcPr>
          <w:p w14:paraId="2E1DBC62" w14:textId="77777777" w:rsidR="00DF56D8" w:rsidRPr="00A942F6" w:rsidRDefault="00DF56D8" w:rsidP="00641834">
            <w:pPr>
              <w:pStyle w:val="TableParagraph"/>
              <w:jc w:val="center"/>
              <w:rPr>
                <w:sz w:val="20"/>
                <w:szCs w:val="20"/>
                <w:lang w:val="nb-NO"/>
              </w:rPr>
            </w:pPr>
            <w:r w:rsidRPr="00A942F6">
              <w:rPr>
                <w:sz w:val="20"/>
                <w:szCs w:val="20"/>
                <w:lang w:val="nb-NO"/>
              </w:rPr>
              <w:t>10 %</w:t>
            </w:r>
          </w:p>
        </w:tc>
      </w:tr>
      <w:tr w:rsidR="00F45BFD" w:rsidRPr="00A942F6" w14:paraId="56D8F093" w14:textId="77777777" w:rsidTr="00F45BFD">
        <w:trPr>
          <w:cantSplit/>
          <w:trHeight w:val="20"/>
        </w:trPr>
        <w:tc>
          <w:tcPr>
            <w:tcW w:w="429" w:type="dxa"/>
          </w:tcPr>
          <w:p w14:paraId="758559A5" w14:textId="77777777" w:rsidR="00DF56D8" w:rsidRPr="00A942F6" w:rsidRDefault="00DF56D8" w:rsidP="00641834">
            <w:pPr>
              <w:pStyle w:val="TableParagraph"/>
              <w:jc w:val="center"/>
              <w:rPr>
                <w:sz w:val="20"/>
                <w:szCs w:val="20"/>
                <w:lang w:val="nb-NO"/>
              </w:rPr>
            </w:pPr>
            <w:r w:rsidRPr="00A942F6">
              <w:rPr>
                <w:sz w:val="20"/>
                <w:szCs w:val="20"/>
                <w:lang w:val="nb-NO"/>
              </w:rPr>
              <w:t>52</w:t>
            </w:r>
          </w:p>
        </w:tc>
        <w:tc>
          <w:tcPr>
            <w:tcW w:w="842" w:type="dxa"/>
          </w:tcPr>
          <w:p w14:paraId="17CD09D4" w14:textId="77777777" w:rsidR="00DF56D8" w:rsidRPr="00A942F6" w:rsidRDefault="00DF56D8" w:rsidP="00641834">
            <w:pPr>
              <w:pStyle w:val="TableParagraph"/>
              <w:rPr>
                <w:sz w:val="20"/>
                <w:szCs w:val="20"/>
                <w:lang w:val="nb-NO"/>
              </w:rPr>
            </w:pPr>
          </w:p>
        </w:tc>
        <w:tc>
          <w:tcPr>
            <w:tcW w:w="726" w:type="dxa"/>
          </w:tcPr>
          <w:p w14:paraId="2FFEB94C" w14:textId="77777777" w:rsidR="00DF56D8" w:rsidRPr="00A942F6" w:rsidRDefault="00DF56D8" w:rsidP="00641834">
            <w:pPr>
              <w:pStyle w:val="TableParagraph"/>
              <w:rPr>
                <w:sz w:val="20"/>
                <w:szCs w:val="20"/>
                <w:lang w:val="nb-NO"/>
              </w:rPr>
            </w:pPr>
          </w:p>
        </w:tc>
        <w:tc>
          <w:tcPr>
            <w:tcW w:w="798" w:type="dxa"/>
          </w:tcPr>
          <w:p w14:paraId="5A1763B0" w14:textId="77777777" w:rsidR="00DF56D8" w:rsidRPr="00A942F6" w:rsidRDefault="00DF56D8" w:rsidP="00641834">
            <w:pPr>
              <w:pStyle w:val="TableParagraph"/>
              <w:jc w:val="center"/>
              <w:rPr>
                <w:sz w:val="20"/>
                <w:szCs w:val="20"/>
                <w:lang w:val="nb-NO"/>
              </w:rPr>
            </w:pPr>
            <w:r w:rsidRPr="00A942F6">
              <w:rPr>
                <w:sz w:val="20"/>
                <w:szCs w:val="20"/>
                <w:lang w:val="nb-NO"/>
              </w:rPr>
              <w:t>56 %***</w:t>
            </w:r>
          </w:p>
        </w:tc>
        <w:tc>
          <w:tcPr>
            <w:tcW w:w="812" w:type="dxa"/>
          </w:tcPr>
          <w:p w14:paraId="4E5830ED" w14:textId="77777777" w:rsidR="00DF56D8" w:rsidRPr="00A942F6" w:rsidRDefault="00DF56D8" w:rsidP="00641834">
            <w:pPr>
              <w:pStyle w:val="TableParagraph"/>
              <w:jc w:val="center"/>
              <w:rPr>
                <w:sz w:val="20"/>
                <w:szCs w:val="20"/>
                <w:lang w:val="nb-NO"/>
              </w:rPr>
            </w:pPr>
            <w:r w:rsidRPr="00A942F6">
              <w:rPr>
                <w:sz w:val="20"/>
                <w:szCs w:val="20"/>
                <w:lang w:val="nb-NO"/>
              </w:rPr>
              <w:t>25 %</w:t>
            </w:r>
          </w:p>
        </w:tc>
        <w:tc>
          <w:tcPr>
            <w:tcW w:w="994" w:type="dxa"/>
          </w:tcPr>
          <w:p w14:paraId="2859D3B5" w14:textId="77777777" w:rsidR="00DF56D8" w:rsidRPr="00A942F6" w:rsidRDefault="00DF56D8" w:rsidP="00641834">
            <w:pPr>
              <w:pStyle w:val="TableParagraph"/>
              <w:rPr>
                <w:sz w:val="20"/>
                <w:szCs w:val="20"/>
                <w:lang w:val="nb-NO"/>
              </w:rPr>
            </w:pPr>
          </w:p>
        </w:tc>
        <w:tc>
          <w:tcPr>
            <w:tcW w:w="826" w:type="dxa"/>
          </w:tcPr>
          <w:p w14:paraId="191B97E7" w14:textId="77777777" w:rsidR="00DF56D8" w:rsidRPr="00A942F6" w:rsidRDefault="00DF56D8" w:rsidP="00641834">
            <w:pPr>
              <w:pStyle w:val="TableParagraph"/>
              <w:rPr>
                <w:sz w:val="20"/>
                <w:szCs w:val="20"/>
                <w:lang w:val="nb-NO"/>
              </w:rPr>
            </w:pPr>
          </w:p>
        </w:tc>
        <w:tc>
          <w:tcPr>
            <w:tcW w:w="993" w:type="dxa"/>
          </w:tcPr>
          <w:p w14:paraId="529F47E4" w14:textId="77777777" w:rsidR="00DF56D8" w:rsidRPr="00A942F6" w:rsidRDefault="00DF56D8" w:rsidP="00641834">
            <w:pPr>
              <w:pStyle w:val="TableParagraph"/>
              <w:rPr>
                <w:sz w:val="20"/>
                <w:szCs w:val="20"/>
                <w:lang w:val="nb-NO"/>
              </w:rPr>
            </w:pPr>
          </w:p>
        </w:tc>
        <w:tc>
          <w:tcPr>
            <w:tcW w:w="896" w:type="dxa"/>
          </w:tcPr>
          <w:p w14:paraId="4395E0E7" w14:textId="77777777" w:rsidR="00DF56D8" w:rsidRPr="00A942F6" w:rsidRDefault="00DF56D8" w:rsidP="00641834">
            <w:pPr>
              <w:pStyle w:val="TableParagraph"/>
              <w:rPr>
                <w:sz w:val="20"/>
                <w:szCs w:val="20"/>
                <w:lang w:val="nb-NO"/>
              </w:rPr>
            </w:pPr>
          </w:p>
        </w:tc>
        <w:tc>
          <w:tcPr>
            <w:tcW w:w="980" w:type="dxa"/>
          </w:tcPr>
          <w:p w14:paraId="67E1C70C" w14:textId="77777777" w:rsidR="00DF56D8" w:rsidRPr="00A942F6" w:rsidRDefault="00DF56D8" w:rsidP="00641834">
            <w:pPr>
              <w:pStyle w:val="TableParagraph"/>
              <w:rPr>
                <w:sz w:val="20"/>
                <w:szCs w:val="20"/>
                <w:lang w:val="nb-NO"/>
              </w:rPr>
            </w:pPr>
          </w:p>
        </w:tc>
        <w:tc>
          <w:tcPr>
            <w:tcW w:w="784" w:type="dxa"/>
          </w:tcPr>
          <w:p w14:paraId="5B9DFBFD" w14:textId="77777777" w:rsidR="00DF56D8" w:rsidRPr="00A942F6" w:rsidRDefault="00DF56D8" w:rsidP="00641834">
            <w:pPr>
              <w:pStyle w:val="TableParagraph"/>
              <w:rPr>
                <w:sz w:val="20"/>
                <w:szCs w:val="20"/>
                <w:lang w:val="nb-NO"/>
              </w:rPr>
            </w:pPr>
          </w:p>
        </w:tc>
      </w:tr>
      <w:tr w:rsidR="00DF56D8" w:rsidRPr="00A942F6" w14:paraId="10A8E6CC" w14:textId="77777777" w:rsidTr="00F45BFD">
        <w:trPr>
          <w:cantSplit/>
          <w:trHeight w:val="20"/>
        </w:trPr>
        <w:tc>
          <w:tcPr>
            <w:tcW w:w="9080" w:type="dxa"/>
            <w:gridSpan w:val="11"/>
          </w:tcPr>
          <w:p w14:paraId="5B92252C" w14:textId="77777777" w:rsidR="00DF56D8" w:rsidRPr="00A942F6" w:rsidRDefault="00DF56D8" w:rsidP="00641834">
            <w:pPr>
              <w:pStyle w:val="TableParagraph"/>
              <w:jc w:val="center"/>
              <w:rPr>
                <w:b/>
                <w:sz w:val="20"/>
                <w:szCs w:val="20"/>
                <w:lang w:val="nb-NO"/>
              </w:rPr>
            </w:pPr>
            <w:r w:rsidRPr="00A942F6">
              <w:rPr>
                <w:b/>
                <w:sz w:val="20"/>
                <w:szCs w:val="20"/>
                <w:lang w:val="nb-NO"/>
              </w:rPr>
              <w:t>ACR 50</w:t>
            </w:r>
          </w:p>
        </w:tc>
      </w:tr>
      <w:tr w:rsidR="00F45BFD" w:rsidRPr="00A942F6" w14:paraId="4B0F58A9" w14:textId="77777777" w:rsidTr="00F45BFD">
        <w:trPr>
          <w:cantSplit/>
          <w:trHeight w:val="20"/>
        </w:trPr>
        <w:tc>
          <w:tcPr>
            <w:tcW w:w="429" w:type="dxa"/>
          </w:tcPr>
          <w:p w14:paraId="3AAAE378" w14:textId="77777777" w:rsidR="00DF56D8" w:rsidRPr="00A942F6" w:rsidRDefault="00DF56D8" w:rsidP="00641834">
            <w:pPr>
              <w:pStyle w:val="TableParagraph"/>
              <w:jc w:val="center"/>
              <w:rPr>
                <w:sz w:val="20"/>
                <w:szCs w:val="20"/>
                <w:lang w:val="nb-NO"/>
              </w:rPr>
            </w:pPr>
            <w:r w:rsidRPr="00A942F6">
              <w:rPr>
                <w:sz w:val="20"/>
                <w:szCs w:val="20"/>
                <w:lang w:val="nb-NO"/>
              </w:rPr>
              <w:t>24</w:t>
            </w:r>
          </w:p>
        </w:tc>
        <w:tc>
          <w:tcPr>
            <w:tcW w:w="842" w:type="dxa"/>
          </w:tcPr>
          <w:p w14:paraId="48E557BF" w14:textId="77777777" w:rsidR="00DF56D8" w:rsidRPr="00A942F6" w:rsidRDefault="00DF56D8" w:rsidP="00641834">
            <w:pPr>
              <w:pStyle w:val="TableParagraph"/>
              <w:jc w:val="center"/>
              <w:rPr>
                <w:sz w:val="20"/>
                <w:szCs w:val="20"/>
                <w:lang w:val="nb-NO"/>
              </w:rPr>
            </w:pPr>
            <w:r w:rsidRPr="00A942F6">
              <w:rPr>
                <w:sz w:val="20"/>
                <w:szCs w:val="20"/>
                <w:lang w:val="nb-NO"/>
              </w:rPr>
              <w:t>44 %**</w:t>
            </w:r>
          </w:p>
        </w:tc>
        <w:tc>
          <w:tcPr>
            <w:tcW w:w="726" w:type="dxa"/>
          </w:tcPr>
          <w:p w14:paraId="21641C78" w14:textId="77777777" w:rsidR="00DF56D8" w:rsidRPr="00A942F6" w:rsidRDefault="00DF56D8" w:rsidP="00641834">
            <w:pPr>
              <w:pStyle w:val="TableParagraph"/>
              <w:jc w:val="center"/>
              <w:rPr>
                <w:sz w:val="20"/>
                <w:szCs w:val="20"/>
                <w:lang w:val="nb-NO"/>
              </w:rPr>
            </w:pPr>
            <w:r w:rsidRPr="00A942F6">
              <w:rPr>
                <w:sz w:val="20"/>
                <w:szCs w:val="20"/>
                <w:lang w:val="nb-NO"/>
              </w:rPr>
              <w:t>33 %</w:t>
            </w:r>
          </w:p>
        </w:tc>
        <w:tc>
          <w:tcPr>
            <w:tcW w:w="798" w:type="dxa"/>
          </w:tcPr>
          <w:p w14:paraId="18A4F885" w14:textId="77777777" w:rsidR="00DF56D8" w:rsidRPr="00A942F6" w:rsidRDefault="00DF56D8" w:rsidP="00641834">
            <w:pPr>
              <w:pStyle w:val="TableParagraph"/>
              <w:jc w:val="center"/>
              <w:rPr>
                <w:sz w:val="20"/>
                <w:szCs w:val="20"/>
                <w:lang w:val="nb-NO"/>
              </w:rPr>
            </w:pPr>
            <w:r w:rsidRPr="00A942F6">
              <w:rPr>
                <w:sz w:val="20"/>
                <w:szCs w:val="20"/>
                <w:lang w:val="nb-NO"/>
              </w:rPr>
              <w:t>32 %***</w:t>
            </w:r>
          </w:p>
        </w:tc>
        <w:tc>
          <w:tcPr>
            <w:tcW w:w="812" w:type="dxa"/>
          </w:tcPr>
          <w:p w14:paraId="0BDEC064" w14:textId="77777777" w:rsidR="00DF56D8" w:rsidRPr="00A942F6" w:rsidRDefault="00DF56D8" w:rsidP="00641834">
            <w:pPr>
              <w:pStyle w:val="TableParagraph"/>
              <w:jc w:val="center"/>
              <w:rPr>
                <w:sz w:val="20"/>
                <w:szCs w:val="20"/>
                <w:lang w:val="nb-NO"/>
              </w:rPr>
            </w:pPr>
            <w:r w:rsidRPr="00A942F6">
              <w:rPr>
                <w:sz w:val="20"/>
                <w:szCs w:val="20"/>
                <w:lang w:val="nb-NO"/>
              </w:rPr>
              <w:t>10 %</w:t>
            </w:r>
          </w:p>
        </w:tc>
        <w:tc>
          <w:tcPr>
            <w:tcW w:w="994" w:type="dxa"/>
          </w:tcPr>
          <w:p w14:paraId="7B876709" w14:textId="77777777" w:rsidR="00DF56D8" w:rsidRPr="00A942F6" w:rsidRDefault="00DF56D8" w:rsidP="00641834">
            <w:pPr>
              <w:pStyle w:val="TableParagraph"/>
              <w:jc w:val="center"/>
              <w:rPr>
                <w:sz w:val="20"/>
                <w:szCs w:val="20"/>
                <w:lang w:val="nb-NO"/>
              </w:rPr>
            </w:pPr>
            <w:r w:rsidRPr="00A942F6">
              <w:rPr>
                <w:sz w:val="20"/>
                <w:szCs w:val="20"/>
                <w:lang w:val="nb-NO"/>
              </w:rPr>
              <w:t>44 %***</w:t>
            </w:r>
          </w:p>
        </w:tc>
        <w:tc>
          <w:tcPr>
            <w:tcW w:w="826" w:type="dxa"/>
          </w:tcPr>
          <w:p w14:paraId="1488B2A4" w14:textId="77777777" w:rsidR="00DF56D8" w:rsidRPr="00A942F6" w:rsidRDefault="00DF56D8" w:rsidP="00641834">
            <w:pPr>
              <w:pStyle w:val="TableParagraph"/>
              <w:jc w:val="center"/>
              <w:rPr>
                <w:sz w:val="20"/>
                <w:szCs w:val="20"/>
                <w:lang w:val="nb-NO"/>
              </w:rPr>
            </w:pPr>
            <w:r w:rsidRPr="00A942F6">
              <w:rPr>
                <w:sz w:val="20"/>
                <w:szCs w:val="20"/>
                <w:lang w:val="nb-NO"/>
              </w:rPr>
              <w:t>11 %</w:t>
            </w:r>
          </w:p>
        </w:tc>
        <w:tc>
          <w:tcPr>
            <w:tcW w:w="993" w:type="dxa"/>
          </w:tcPr>
          <w:p w14:paraId="5B3A067B" w14:textId="77777777" w:rsidR="00DF56D8" w:rsidRPr="00A942F6" w:rsidRDefault="00DF56D8" w:rsidP="00641834">
            <w:pPr>
              <w:pStyle w:val="TableParagraph"/>
              <w:jc w:val="center"/>
              <w:rPr>
                <w:sz w:val="20"/>
                <w:szCs w:val="20"/>
                <w:lang w:val="nb-NO"/>
              </w:rPr>
            </w:pPr>
            <w:r w:rsidRPr="00A942F6">
              <w:rPr>
                <w:sz w:val="20"/>
                <w:szCs w:val="20"/>
                <w:lang w:val="nb-NO"/>
              </w:rPr>
              <w:t>38 %***</w:t>
            </w:r>
          </w:p>
        </w:tc>
        <w:tc>
          <w:tcPr>
            <w:tcW w:w="896" w:type="dxa"/>
          </w:tcPr>
          <w:p w14:paraId="5C1792C5" w14:textId="77777777" w:rsidR="00DF56D8" w:rsidRPr="00A942F6" w:rsidRDefault="00DF56D8" w:rsidP="00641834">
            <w:pPr>
              <w:pStyle w:val="TableParagraph"/>
              <w:jc w:val="center"/>
              <w:rPr>
                <w:sz w:val="20"/>
                <w:szCs w:val="20"/>
                <w:lang w:val="nb-NO"/>
              </w:rPr>
            </w:pPr>
            <w:r w:rsidRPr="00A942F6">
              <w:rPr>
                <w:sz w:val="20"/>
                <w:szCs w:val="20"/>
                <w:lang w:val="nb-NO"/>
              </w:rPr>
              <w:t>9 %</w:t>
            </w:r>
          </w:p>
        </w:tc>
        <w:tc>
          <w:tcPr>
            <w:tcW w:w="980" w:type="dxa"/>
          </w:tcPr>
          <w:p w14:paraId="0F667399" w14:textId="77777777" w:rsidR="00DF56D8" w:rsidRPr="00A942F6" w:rsidRDefault="00DF56D8" w:rsidP="00641834">
            <w:pPr>
              <w:pStyle w:val="TableParagraph"/>
              <w:jc w:val="center"/>
              <w:rPr>
                <w:sz w:val="20"/>
                <w:szCs w:val="20"/>
                <w:lang w:val="nb-NO"/>
              </w:rPr>
            </w:pPr>
            <w:r w:rsidRPr="00A942F6">
              <w:rPr>
                <w:sz w:val="20"/>
                <w:szCs w:val="20"/>
                <w:lang w:val="nb-NO"/>
              </w:rPr>
              <w:t>29 %***</w:t>
            </w:r>
          </w:p>
        </w:tc>
        <w:tc>
          <w:tcPr>
            <w:tcW w:w="784" w:type="dxa"/>
          </w:tcPr>
          <w:p w14:paraId="686D7ADD" w14:textId="77777777" w:rsidR="00DF56D8" w:rsidRPr="00A942F6" w:rsidRDefault="00DF56D8" w:rsidP="00641834">
            <w:pPr>
              <w:pStyle w:val="TableParagraph"/>
              <w:jc w:val="center"/>
              <w:rPr>
                <w:sz w:val="20"/>
                <w:szCs w:val="20"/>
                <w:lang w:val="nb-NO"/>
              </w:rPr>
            </w:pPr>
            <w:r w:rsidRPr="00A942F6">
              <w:rPr>
                <w:sz w:val="20"/>
                <w:szCs w:val="20"/>
                <w:lang w:val="nb-NO"/>
              </w:rPr>
              <w:t>4 %</w:t>
            </w:r>
          </w:p>
        </w:tc>
      </w:tr>
      <w:tr w:rsidR="00F45BFD" w:rsidRPr="00A942F6" w14:paraId="415B8D0E" w14:textId="77777777" w:rsidTr="00F45BFD">
        <w:trPr>
          <w:cantSplit/>
          <w:trHeight w:val="20"/>
        </w:trPr>
        <w:tc>
          <w:tcPr>
            <w:tcW w:w="429" w:type="dxa"/>
          </w:tcPr>
          <w:p w14:paraId="26C92636" w14:textId="77777777" w:rsidR="00DF56D8" w:rsidRPr="00A942F6" w:rsidRDefault="00DF56D8" w:rsidP="00641834">
            <w:pPr>
              <w:pStyle w:val="TableParagraph"/>
              <w:jc w:val="center"/>
              <w:rPr>
                <w:sz w:val="20"/>
                <w:szCs w:val="20"/>
                <w:lang w:val="nb-NO"/>
              </w:rPr>
            </w:pPr>
            <w:r w:rsidRPr="00A942F6">
              <w:rPr>
                <w:sz w:val="20"/>
                <w:szCs w:val="20"/>
                <w:lang w:val="nb-NO"/>
              </w:rPr>
              <w:t>52</w:t>
            </w:r>
          </w:p>
        </w:tc>
        <w:tc>
          <w:tcPr>
            <w:tcW w:w="842" w:type="dxa"/>
          </w:tcPr>
          <w:p w14:paraId="0DCB9ECA" w14:textId="77777777" w:rsidR="00DF56D8" w:rsidRPr="00A942F6" w:rsidRDefault="00DF56D8" w:rsidP="00641834">
            <w:pPr>
              <w:pStyle w:val="TableParagraph"/>
              <w:rPr>
                <w:sz w:val="20"/>
                <w:szCs w:val="20"/>
                <w:lang w:val="nb-NO"/>
              </w:rPr>
            </w:pPr>
          </w:p>
        </w:tc>
        <w:tc>
          <w:tcPr>
            <w:tcW w:w="726" w:type="dxa"/>
          </w:tcPr>
          <w:p w14:paraId="57977590" w14:textId="77777777" w:rsidR="00DF56D8" w:rsidRPr="00A942F6" w:rsidRDefault="00DF56D8" w:rsidP="00641834">
            <w:pPr>
              <w:pStyle w:val="TableParagraph"/>
              <w:rPr>
                <w:sz w:val="20"/>
                <w:szCs w:val="20"/>
                <w:lang w:val="nb-NO"/>
              </w:rPr>
            </w:pPr>
          </w:p>
        </w:tc>
        <w:tc>
          <w:tcPr>
            <w:tcW w:w="798" w:type="dxa"/>
          </w:tcPr>
          <w:p w14:paraId="6885E868" w14:textId="77777777" w:rsidR="00DF56D8" w:rsidRPr="00A942F6" w:rsidRDefault="00DF56D8" w:rsidP="00641834">
            <w:pPr>
              <w:pStyle w:val="TableParagraph"/>
              <w:jc w:val="center"/>
              <w:rPr>
                <w:sz w:val="20"/>
                <w:szCs w:val="20"/>
                <w:lang w:val="nb-NO"/>
              </w:rPr>
            </w:pPr>
            <w:r w:rsidRPr="00A942F6">
              <w:rPr>
                <w:sz w:val="20"/>
                <w:szCs w:val="20"/>
                <w:lang w:val="nb-NO"/>
              </w:rPr>
              <w:t>36 %***</w:t>
            </w:r>
          </w:p>
        </w:tc>
        <w:tc>
          <w:tcPr>
            <w:tcW w:w="812" w:type="dxa"/>
          </w:tcPr>
          <w:p w14:paraId="7431C87A" w14:textId="77777777" w:rsidR="00DF56D8" w:rsidRPr="00A942F6" w:rsidRDefault="00DF56D8" w:rsidP="00641834">
            <w:pPr>
              <w:pStyle w:val="TableParagraph"/>
              <w:jc w:val="center"/>
              <w:rPr>
                <w:sz w:val="20"/>
                <w:szCs w:val="20"/>
                <w:lang w:val="nb-NO"/>
              </w:rPr>
            </w:pPr>
            <w:r w:rsidRPr="00A942F6">
              <w:rPr>
                <w:sz w:val="20"/>
                <w:szCs w:val="20"/>
                <w:lang w:val="nb-NO"/>
              </w:rPr>
              <w:t>10 %</w:t>
            </w:r>
          </w:p>
        </w:tc>
        <w:tc>
          <w:tcPr>
            <w:tcW w:w="994" w:type="dxa"/>
          </w:tcPr>
          <w:p w14:paraId="34E4E356" w14:textId="77777777" w:rsidR="00DF56D8" w:rsidRPr="00A942F6" w:rsidRDefault="00DF56D8" w:rsidP="00641834">
            <w:pPr>
              <w:pStyle w:val="TableParagraph"/>
              <w:rPr>
                <w:sz w:val="20"/>
                <w:szCs w:val="20"/>
                <w:lang w:val="nb-NO"/>
              </w:rPr>
            </w:pPr>
          </w:p>
        </w:tc>
        <w:tc>
          <w:tcPr>
            <w:tcW w:w="826" w:type="dxa"/>
          </w:tcPr>
          <w:p w14:paraId="4BF22D30" w14:textId="77777777" w:rsidR="00DF56D8" w:rsidRPr="00A942F6" w:rsidRDefault="00DF56D8" w:rsidP="00641834">
            <w:pPr>
              <w:pStyle w:val="TableParagraph"/>
              <w:rPr>
                <w:sz w:val="20"/>
                <w:szCs w:val="20"/>
                <w:lang w:val="nb-NO"/>
              </w:rPr>
            </w:pPr>
          </w:p>
        </w:tc>
        <w:tc>
          <w:tcPr>
            <w:tcW w:w="993" w:type="dxa"/>
          </w:tcPr>
          <w:p w14:paraId="24BC6733" w14:textId="77777777" w:rsidR="00DF56D8" w:rsidRPr="00A942F6" w:rsidRDefault="00DF56D8" w:rsidP="00641834">
            <w:pPr>
              <w:pStyle w:val="TableParagraph"/>
              <w:rPr>
                <w:sz w:val="20"/>
                <w:szCs w:val="20"/>
                <w:lang w:val="nb-NO"/>
              </w:rPr>
            </w:pPr>
          </w:p>
        </w:tc>
        <w:tc>
          <w:tcPr>
            <w:tcW w:w="896" w:type="dxa"/>
          </w:tcPr>
          <w:p w14:paraId="6ACFE46B" w14:textId="77777777" w:rsidR="00DF56D8" w:rsidRPr="00A942F6" w:rsidRDefault="00DF56D8" w:rsidP="00641834">
            <w:pPr>
              <w:pStyle w:val="TableParagraph"/>
              <w:rPr>
                <w:sz w:val="20"/>
                <w:szCs w:val="20"/>
                <w:lang w:val="nb-NO"/>
              </w:rPr>
            </w:pPr>
          </w:p>
        </w:tc>
        <w:tc>
          <w:tcPr>
            <w:tcW w:w="980" w:type="dxa"/>
          </w:tcPr>
          <w:p w14:paraId="447AD55B" w14:textId="77777777" w:rsidR="00DF56D8" w:rsidRPr="00A942F6" w:rsidRDefault="00DF56D8" w:rsidP="00641834">
            <w:pPr>
              <w:pStyle w:val="TableParagraph"/>
              <w:rPr>
                <w:sz w:val="20"/>
                <w:szCs w:val="20"/>
                <w:lang w:val="nb-NO"/>
              </w:rPr>
            </w:pPr>
          </w:p>
        </w:tc>
        <w:tc>
          <w:tcPr>
            <w:tcW w:w="784" w:type="dxa"/>
          </w:tcPr>
          <w:p w14:paraId="3757E0E5" w14:textId="77777777" w:rsidR="00DF56D8" w:rsidRPr="00A942F6" w:rsidRDefault="00DF56D8" w:rsidP="00641834">
            <w:pPr>
              <w:pStyle w:val="TableParagraph"/>
              <w:rPr>
                <w:sz w:val="20"/>
                <w:szCs w:val="20"/>
                <w:lang w:val="nb-NO"/>
              </w:rPr>
            </w:pPr>
          </w:p>
        </w:tc>
      </w:tr>
      <w:tr w:rsidR="00DF56D8" w:rsidRPr="00A942F6" w14:paraId="40BEC934" w14:textId="77777777" w:rsidTr="00F45BFD">
        <w:trPr>
          <w:cantSplit/>
          <w:trHeight w:val="20"/>
        </w:trPr>
        <w:tc>
          <w:tcPr>
            <w:tcW w:w="9080" w:type="dxa"/>
            <w:gridSpan w:val="11"/>
          </w:tcPr>
          <w:p w14:paraId="703F2015" w14:textId="77777777" w:rsidR="00DF56D8" w:rsidRPr="00A942F6" w:rsidRDefault="00DF56D8" w:rsidP="00641834">
            <w:pPr>
              <w:pStyle w:val="TableParagraph"/>
              <w:jc w:val="center"/>
              <w:rPr>
                <w:b/>
                <w:sz w:val="20"/>
                <w:szCs w:val="20"/>
                <w:lang w:val="nb-NO"/>
              </w:rPr>
            </w:pPr>
            <w:r w:rsidRPr="00A942F6">
              <w:rPr>
                <w:b/>
                <w:sz w:val="20"/>
                <w:szCs w:val="20"/>
                <w:lang w:val="nb-NO"/>
              </w:rPr>
              <w:t>ACR 70</w:t>
            </w:r>
          </w:p>
        </w:tc>
      </w:tr>
      <w:tr w:rsidR="00F45BFD" w:rsidRPr="00A942F6" w14:paraId="3B3BCAFC" w14:textId="77777777" w:rsidTr="00F45BFD">
        <w:trPr>
          <w:cantSplit/>
          <w:trHeight w:val="20"/>
        </w:trPr>
        <w:tc>
          <w:tcPr>
            <w:tcW w:w="429" w:type="dxa"/>
          </w:tcPr>
          <w:p w14:paraId="7239A83A" w14:textId="77777777" w:rsidR="00DF56D8" w:rsidRPr="00A942F6" w:rsidRDefault="00DF56D8" w:rsidP="00641834">
            <w:pPr>
              <w:pStyle w:val="TableParagraph"/>
              <w:jc w:val="center"/>
              <w:rPr>
                <w:sz w:val="20"/>
                <w:szCs w:val="20"/>
                <w:lang w:val="nb-NO"/>
              </w:rPr>
            </w:pPr>
            <w:r w:rsidRPr="00A942F6">
              <w:rPr>
                <w:sz w:val="20"/>
                <w:szCs w:val="20"/>
                <w:lang w:val="nb-NO"/>
              </w:rPr>
              <w:t>24</w:t>
            </w:r>
          </w:p>
        </w:tc>
        <w:tc>
          <w:tcPr>
            <w:tcW w:w="842" w:type="dxa"/>
          </w:tcPr>
          <w:p w14:paraId="28F7BF32" w14:textId="77777777" w:rsidR="00DF56D8" w:rsidRPr="00A942F6" w:rsidRDefault="00DF56D8" w:rsidP="00641834">
            <w:pPr>
              <w:pStyle w:val="TableParagraph"/>
              <w:jc w:val="center"/>
              <w:rPr>
                <w:sz w:val="20"/>
                <w:szCs w:val="20"/>
                <w:lang w:val="nb-NO"/>
              </w:rPr>
            </w:pPr>
            <w:r w:rsidRPr="00A942F6">
              <w:rPr>
                <w:sz w:val="20"/>
                <w:szCs w:val="20"/>
                <w:lang w:val="nb-NO"/>
              </w:rPr>
              <w:t>28 %**</w:t>
            </w:r>
          </w:p>
        </w:tc>
        <w:tc>
          <w:tcPr>
            <w:tcW w:w="726" w:type="dxa"/>
          </w:tcPr>
          <w:p w14:paraId="436E9A09" w14:textId="77777777" w:rsidR="00DF56D8" w:rsidRPr="00A942F6" w:rsidRDefault="00DF56D8" w:rsidP="00641834">
            <w:pPr>
              <w:pStyle w:val="TableParagraph"/>
              <w:jc w:val="center"/>
              <w:rPr>
                <w:sz w:val="20"/>
                <w:szCs w:val="20"/>
                <w:lang w:val="nb-NO"/>
              </w:rPr>
            </w:pPr>
            <w:r w:rsidRPr="00A942F6">
              <w:rPr>
                <w:sz w:val="20"/>
                <w:szCs w:val="20"/>
                <w:lang w:val="nb-NO"/>
              </w:rPr>
              <w:t>15 %</w:t>
            </w:r>
          </w:p>
        </w:tc>
        <w:tc>
          <w:tcPr>
            <w:tcW w:w="798" w:type="dxa"/>
          </w:tcPr>
          <w:p w14:paraId="05181FF1" w14:textId="77777777" w:rsidR="00DF56D8" w:rsidRPr="00A942F6" w:rsidRDefault="00DF56D8" w:rsidP="00641834">
            <w:pPr>
              <w:pStyle w:val="TableParagraph"/>
              <w:jc w:val="center"/>
              <w:rPr>
                <w:sz w:val="20"/>
                <w:szCs w:val="20"/>
                <w:lang w:val="nb-NO"/>
              </w:rPr>
            </w:pPr>
            <w:r w:rsidRPr="00A942F6">
              <w:rPr>
                <w:sz w:val="20"/>
                <w:szCs w:val="20"/>
                <w:lang w:val="nb-NO"/>
              </w:rPr>
              <w:t>13 %***</w:t>
            </w:r>
          </w:p>
        </w:tc>
        <w:tc>
          <w:tcPr>
            <w:tcW w:w="812" w:type="dxa"/>
          </w:tcPr>
          <w:p w14:paraId="098E1DC5" w14:textId="77777777" w:rsidR="00DF56D8" w:rsidRPr="00A942F6" w:rsidRDefault="00DF56D8" w:rsidP="00641834">
            <w:pPr>
              <w:pStyle w:val="TableParagraph"/>
              <w:jc w:val="center"/>
              <w:rPr>
                <w:sz w:val="20"/>
                <w:szCs w:val="20"/>
                <w:lang w:val="nb-NO"/>
              </w:rPr>
            </w:pPr>
            <w:r w:rsidRPr="00A942F6">
              <w:rPr>
                <w:sz w:val="20"/>
                <w:szCs w:val="20"/>
                <w:lang w:val="nb-NO"/>
              </w:rPr>
              <w:t>2 %</w:t>
            </w:r>
          </w:p>
        </w:tc>
        <w:tc>
          <w:tcPr>
            <w:tcW w:w="994" w:type="dxa"/>
          </w:tcPr>
          <w:p w14:paraId="2C18D167" w14:textId="77777777" w:rsidR="00DF56D8" w:rsidRPr="00A942F6" w:rsidRDefault="00DF56D8" w:rsidP="00641834">
            <w:pPr>
              <w:pStyle w:val="TableParagraph"/>
              <w:jc w:val="center"/>
              <w:rPr>
                <w:sz w:val="20"/>
                <w:szCs w:val="20"/>
                <w:lang w:val="nb-NO"/>
              </w:rPr>
            </w:pPr>
            <w:r w:rsidRPr="00A942F6">
              <w:rPr>
                <w:sz w:val="20"/>
                <w:szCs w:val="20"/>
                <w:lang w:val="nb-NO"/>
              </w:rPr>
              <w:t>22 %***</w:t>
            </w:r>
          </w:p>
        </w:tc>
        <w:tc>
          <w:tcPr>
            <w:tcW w:w="826" w:type="dxa"/>
          </w:tcPr>
          <w:p w14:paraId="4F263728" w14:textId="77777777" w:rsidR="00DF56D8" w:rsidRPr="00A942F6" w:rsidRDefault="00DF56D8" w:rsidP="00641834">
            <w:pPr>
              <w:pStyle w:val="TableParagraph"/>
              <w:jc w:val="center"/>
              <w:rPr>
                <w:sz w:val="20"/>
                <w:szCs w:val="20"/>
                <w:lang w:val="nb-NO"/>
              </w:rPr>
            </w:pPr>
            <w:r w:rsidRPr="00A942F6">
              <w:rPr>
                <w:sz w:val="20"/>
                <w:szCs w:val="20"/>
                <w:lang w:val="nb-NO"/>
              </w:rPr>
              <w:t>2 %</w:t>
            </w:r>
          </w:p>
        </w:tc>
        <w:tc>
          <w:tcPr>
            <w:tcW w:w="993" w:type="dxa"/>
          </w:tcPr>
          <w:p w14:paraId="081ED21A" w14:textId="77777777" w:rsidR="00DF56D8" w:rsidRPr="00A942F6" w:rsidRDefault="00DF56D8" w:rsidP="00641834">
            <w:pPr>
              <w:pStyle w:val="TableParagraph"/>
              <w:jc w:val="center"/>
              <w:rPr>
                <w:sz w:val="20"/>
                <w:szCs w:val="20"/>
                <w:lang w:val="nb-NO"/>
              </w:rPr>
            </w:pPr>
            <w:r w:rsidRPr="00A942F6">
              <w:rPr>
                <w:sz w:val="20"/>
                <w:szCs w:val="20"/>
                <w:lang w:val="nb-NO"/>
              </w:rPr>
              <w:t>21 %***</w:t>
            </w:r>
          </w:p>
        </w:tc>
        <w:tc>
          <w:tcPr>
            <w:tcW w:w="896" w:type="dxa"/>
          </w:tcPr>
          <w:p w14:paraId="216ED762" w14:textId="77777777" w:rsidR="00DF56D8" w:rsidRPr="00A942F6" w:rsidRDefault="00DF56D8" w:rsidP="00641834">
            <w:pPr>
              <w:pStyle w:val="TableParagraph"/>
              <w:jc w:val="center"/>
              <w:rPr>
                <w:sz w:val="20"/>
                <w:szCs w:val="20"/>
                <w:lang w:val="nb-NO"/>
              </w:rPr>
            </w:pPr>
            <w:r w:rsidRPr="00A942F6">
              <w:rPr>
                <w:sz w:val="20"/>
                <w:szCs w:val="20"/>
                <w:lang w:val="nb-NO"/>
              </w:rPr>
              <w:t>3 %</w:t>
            </w:r>
          </w:p>
        </w:tc>
        <w:tc>
          <w:tcPr>
            <w:tcW w:w="980" w:type="dxa"/>
          </w:tcPr>
          <w:p w14:paraId="34499D53" w14:textId="77777777" w:rsidR="00DF56D8" w:rsidRPr="00A942F6" w:rsidRDefault="00DF56D8" w:rsidP="00641834">
            <w:pPr>
              <w:pStyle w:val="TableParagraph"/>
              <w:jc w:val="center"/>
              <w:rPr>
                <w:sz w:val="20"/>
                <w:szCs w:val="20"/>
                <w:lang w:val="nb-NO"/>
              </w:rPr>
            </w:pPr>
            <w:r w:rsidRPr="00A942F6">
              <w:rPr>
                <w:sz w:val="20"/>
                <w:szCs w:val="20"/>
                <w:lang w:val="nb-NO"/>
              </w:rPr>
              <w:t>12 %**</w:t>
            </w:r>
          </w:p>
        </w:tc>
        <w:tc>
          <w:tcPr>
            <w:tcW w:w="784" w:type="dxa"/>
          </w:tcPr>
          <w:p w14:paraId="07254103" w14:textId="77777777" w:rsidR="00DF56D8" w:rsidRPr="00A942F6" w:rsidRDefault="00DF56D8" w:rsidP="00641834">
            <w:pPr>
              <w:pStyle w:val="TableParagraph"/>
              <w:jc w:val="center"/>
              <w:rPr>
                <w:sz w:val="20"/>
                <w:szCs w:val="20"/>
                <w:lang w:val="nb-NO"/>
              </w:rPr>
            </w:pPr>
            <w:r w:rsidRPr="00A942F6">
              <w:rPr>
                <w:sz w:val="20"/>
                <w:szCs w:val="20"/>
                <w:lang w:val="nb-NO"/>
              </w:rPr>
              <w:t>1 %</w:t>
            </w:r>
          </w:p>
        </w:tc>
      </w:tr>
      <w:tr w:rsidR="00147B45" w:rsidRPr="00A942F6" w14:paraId="618915BA" w14:textId="77777777" w:rsidTr="00F45BFD">
        <w:trPr>
          <w:cantSplit/>
          <w:trHeight w:val="20"/>
        </w:trPr>
        <w:tc>
          <w:tcPr>
            <w:tcW w:w="429" w:type="dxa"/>
          </w:tcPr>
          <w:p w14:paraId="7FE6F68A" w14:textId="77777777" w:rsidR="00DF56D8" w:rsidRPr="00A942F6" w:rsidRDefault="00DF56D8" w:rsidP="00641834">
            <w:pPr>
              <w:pStyle w:val="TableParagraph"/>
              <w:jc w:val="center"/>
              <w:rPr>
                <w:sz w:val="20"/>
                <w:szCs w:val="20"/>
                <w:lang w:val="nb-NO"/>
              </w:rPr>
            </w:pPr>
            <w:r w:rsidRPr="00A942F6">
              <w:rPr>
                <w:sz w:val="20"/>
                <w:szCs w:val="20"/>
                <w:lang w:val="nb-NO"/>
              </w:rPr>
              <w:t>52</w:t>
            </w:r>
          </w:p>
        </w:tc>
        <w:tc>
          <w:tcPr>
            <w:tcW w:w="1568" w:type="dxa"/>
            <w:gridSpan w:val="2"/>
          </w:tcPr>
          <w:p w14:paraId="5A8D19E5" w14:textId="77777777" w:rsidR="00DF56D8" w:rsidRPr="00A942F6" w:rsidRDefault="00DF56D8" w:rsidP="00641834">
            <w:pPr>
              <w:pStyle w:val="TableParagraph"/>
              <w:rPr>
                <w:sz w:val="20"/>
                <w:szCs w:val="20"/>
                <w:lang w:val="nb-NO"/>
              </w:rPr>
            </w:pPr>
          </w:p>
        </w:tc>
        <w:tc>
          <w:tcPr>
            <w:tcW w:w="798" w:type="dxa"/>
            <w:tcBorders>
              <w:right w:val="nil"/>
            </w:tcBorders>
          </w:tcPr>
          <w:p w14:paraId="72275981" w14:textId="77777777" w:rsidR="00DF56D8" w:rsidRPr="00A942F6" w:rsidRDefault="00DF56D8" w:rsidP="00641834">
            <w:pPr>
              <w:pStyle w:val="TableParagraph"/>
              <w:jc w:val="center"/>
              <w:rPr>
                <w:sz w:val="20"/>
                <w:szCs w:val="20"/>
                <w:lang w:val="nb-NO"/>
              </w:rPr>
            </w:pPr>
            <w:r w:rsidRPr="00A942F6">
              <w:rPr>
                <w:sz w:val="20"/>
                <w:szCs w:val="20"/>
                <w:lang w:val="nb-NO"/>
              </w:rPr>
              <w:t>20 %***</w:t>
            </w:r>
          </w:p>
        </w:tc>
        <w:tc>
          <w:tcPr>
            <w:tcW w:w="812" w:type="dxa"/>
            <w:tcBorders>
              <w:left w:val="nil"/>
            </w:tcBorders>
          </w:tcPr>
          <w:p w14:paraId="6AA1989B" w14:textId="77777777" w:rsidR="00DF56D8" w:rsidRPr="00A942F6" w:rsidRDefault="00DF56D8" w:rsidP="00641834">
            <w:pPr>
              <w:pStyle w:val="TableParagraph"/>
              <w:jc w:val="center"/>
              <w:rPr>
                <w:sz w:val="20"/>
                <w:szCs w:val="20"/>
                <w:lang w:val="nb-NO"/>
              </w:rPr>
            </w:pPr>
            <w:r w:rsidRPr="00A942F6">
              <w:rPr>
                <w:sz w:val="20"/>
                <w:szCs w:val="20"/>
                <w:lang w:val="nb-NO"/>
              </w:rPr>
              <w:t>4 %</w:t>
            </w:r>
          </w:p>
        </w:tc>
        <w:tc>
          <w:tcPr>
            <w:tcW w:w="1820" w:type="dxa"/>
            <w:gridSpan w:val="2"/>
          </w:tcPr>
          <w:p w14:paraId="54685E21" w14:textId="77777777" w:rsidR="00DF56D8" w:rsidRPr="00A942F6" w:rsidRDefault="00DF56D8" w:rsidP="00641834">
            <w:pPr>
              <w:pStyle w:val="TableParagraph"/>
              <w:rPr>
                <w:sz w:val="20"/>
                <w:szCs w:val="20"/>
                <w:lang w:val="nb-NO"/>
              </w:rPr>
            </w:pPr>
          </w:p>
        </w:tc>
        <w:tc>
          <w:tcPr>
            <w:tcW w:w="993" w:type="dxa"/>
          </w:tcPr>
          <w:p w14:paraId="42F00070" w14:textId="77777777" w:rsidR="00DF56D8" w:rsidRPr="00A942F6" w:rsidRDefault="00DF56D8" w:rsidP="00641834">
            <w:pPr>
              <w:pStyle w:val="TableParagraph"/>
              <w:rPr>
                <w:sz w:val="20"/>
                <w:szCs w:val="20"/>
                <w:lang w:val="nb-NO"/>
              </w:rPr>
            </w:pPr>
          </w:p>
        </w:tc>
        <w:tc>
          <w:tcPr>
            <w:tcW w:w="896" w:type="dxa"/>
          </w:tcPr>
          <w:p w14:paraId="0C4DAA79" w14:textId="77777777" w:rsidR="00DF56D8" w:rsidRPr="00A942F6" w:rsidRDefault="00DF56D8" w:rsidP="00641834">
            <w:pPr>
              <w:pStyle w:val="TableParagraph"/>
              <w:rPr>
                <w:sz w:val="20"/>
                <w:szCs w:val="20"/>
                <w:lang w:val="nb-NO"/>
              </w:rPr>
            </w:pPr>
          </w:p>
        </w:tc>
        <w:tc>
          <w:tcPr>
            <w:tcW w:w="980" w:type="dxa"/>
          </w:tcPr>
          <w:p w14:paraId="1A919902" w14:textId="77777777" w:rsidR="00DF56D8" w:rsidRPr="00A942F6" w:rsidRDefault="00DF56D8" w:rsidP="00641834">
            <w:pPr>
              <w:pStyle w:val="TableParagraph"/>
              <w:rPr>
                <w:sz w:val="20"/>
                <w:szCs w:val="20"/>
                <w:lang w:val="nb-NO"/>
              </w:rPr>
            </w:pPr>
          </w:p>
        </w:tc>
        <w:tc>
          <w:tcPr>
            <w:tcW w:w="784" w:type="dxa"/>
          </w:tcPr>
          <w:p w14:paraId="5EA7AC47" w14:textId="77777777" w:rsidR="00DF56D8" w:rsidRPr="00A942F6" w:rsidRDefault="00DF56D8" w:rsidP="00641834">
            <w:pPr>
              <w:pStyle w:val="TableParagraph"/>
              <w:rPr>
                <w:sz w:val="20"/>
                <w:szCs w:val="20"/>
                <w:lang w:val="nb-NO"/>
              </w:rPr>
            </w:pPr>
          </w:p>
        </w:tc>
      </w:tr>
    </w:tbl>
    <w:p w14:paraId="63137D06" w14:textId="77777777" w:rsidR="00DF56D8" w:rsidRPr="00A942F6" w:rsidRDefault="00DF56D8" w:rsidP="00641834">
      <w:pPr>
        <w:ind w:left="1134" w:hanging="1134"/>
        <w:rPr>
          <w:sz w:val="18"/>
          <w:szCs w:val="18"/>
          <w:lang w:val="nb-NO"/>
        </w:rPr>
      </w:pPr>
      <w:r w:rsidRPr="00A942F6">
        <w:rPr>
          <w:sz w:val="18"/>
          <w:szCs w:val="18"/>
          <w:lang w:val="nb-NO"/>
        </w:rPr>
        <w:t>TCZ</w:t>
      </w:r>
      <w:r w:rsidRPr="00A942F6">
        <w:rPr>
          <w:sz w:val="18"/>
          <w:szCs w:val="18"/>
          <w:lang w:val="nb-NO"/>
        </w:rPr>
        <w:tab/>
        <w:t>- Tocilizumab</w:t>
      </w:r>
    </w:p>
    <w:p w14:paraId="7DB04410" w14:textId="77777777" w:rsidR="00DF56D8" w:rsidRPr="00A942F6" w:rsidRDefault="00DF56D8" w:rsidP="00641834">
      <w:pPr>
        <w:ind w:left="1134" w:hanging="1134"/>
        <w:rPr>
          <w:sz w:val="18"/>
          <w:szCs w:val="18"/>
          <w:lang w:val="nb-NO"/>
        </w:rPr>
      </w:pPr>
      <w:r w:rsidRPr="00A942F6">
        <w:rPr>
          <w:sz w:val="18"/>
          <w:szCs w:val="18"/>
          <w:lang w:val="nb-NO"/>
        </w:rPr>
        <w:t>MTX</w:t>
      </w:r>
      <w:r w:rsidRPr="00A942F6">
        <w:rPr>
          <w:sz w:val="18"/>
          <w:szCs w:val="18"/>
          <w:lang w:val="nb-NO"/>
        </w:rPr>
        <w:tab/>
        <w:t>- Metotreksat</w:t>
      </w:r>
    </w:p>
    <w:p w14:paraId="6E3027CD" w14:textId="77777777" w:rsidR="00DF56D8" w:rsidRPr="00A942F6" w:rsidRDefault="00DF56D8" w:rsidP="00641834">
      <w:pPr>
        <w:ind w:left="1134" w:hanging="1134"/>
        <w:rPr>
          <w:sz w:val="18"/>
          <w:szCs w:val="18"/>
          <w:lang w:val="nb-NO"/>
        </w:rPr>
      </w:pPr>
      <w:r w:rsidRPr="00A942F6">
        <w:rPr>
          <w:sz w:val="18"/>
          <w:szCs w:val="18"/>
          <w:lang w:val="nb-NO"/>
        </w:rPr>
        <w:t>PBO</w:t>
      </w:r>
      <w:r w:rsidRPr="00A942F6">
        <w:rPr>
          <w:sz w:val="18"/>
          <w:szCs w:val="18"/>
          <w:lang w:val="nb-NO"/>
        </w:rPr>
        <w:tab/>
        <w:t>- Placebo</w:t>
      </w:r>
    </w:p>
    <w:p w14:paraId="4873C567" w14:textId="77777777" w:rsidR="00DF56D8" w:rsidRPr="00A942F6" w:rsidRDefault="00DF56D8" w:rsidP="00641834">
      <w:pPr>
        <w:ind w:left="1134" w:hanging="1134"/>
        <w:rPr>
          <w:sz w:val="18"/>
          <w:szCs w:val="18"/>
          <w:lang w:val="nb-NO"/>
        </w:rPr>
      </w:pPr>
      <w:r w:rsidRPr="00A942F6">
        <w:rPr>
          <w:sz w:val="18"/>
          <w:szCs w:val="18"/>
          <w:lang w:val="nb-NO"/>
        </w:rPr>
        <w:t>DMARD</w:t>
      </w:r>
      <w:r w:rsidRPr="00A942F6">
        <w:rPr>
          <w:sz w:val="18"/>
          <w:szCs w:val="18"/>
          <w:lang w:val="nb-NO"/>
        </w:rPr>
        <w:tab/>
        <w:t>- Sykdomsmodifiserende anti-revmatiske legemidler</w:t>
      </w:r>
    </w:p>
    <w:p w14:paraId="1C68E9D8" w14:textId="77777777" w:rsidR="00DF56D8" w:rsidRPr="00A942F6" w:rsidRDefault="00DF56D8" w:rsidP="00641834">
      <w:pPr>
        <w:ind w:left="1134" w:hanging="1134"/>
        <w:rPr>
          <w:sz w:val="18"/>
          <w:szCs w:val="18"/>
          <w:lang w:val="nb-NO"/>
        </w:rPr>
      </w:pPr>
      <w:r w:rsidRPr="00A942F6">
        <w:rPr>
          <w:sz w:val="18"/>
          <w:szCs w:val="18"/>
          <w:lang w:val="nb-NO"/>
        </w:rPr>
        <w:t>**</w:t>
      </w:r>
      <w:r w:rsidRPr="00A942F6">
        <w:rPr>
          <w:sz w:val="18"/>
          <w:szCs w:val="18"/>
          <w:lang w:val="nb-NO"/>
        </w:rPr>
        <w:tab/>
        <w:t>- p&lt; 0,01, TCZ vs. PBO + MTX/DMARD</w:t>
      </w:r>
    </w:p>
    <w:p w14:paraId="7FDFCCBF" w14:textId="77777777" w:rsidR="00DF56D8" w:rsidRPr="00A942F6" w:rsidRDefault="00DF56D8" w:rsidP="00641834">
      <w:pPr>
        <w:ind w:left="1134" w:hanging="1134"/>
        <w:rPr>
          <w:sz w:val="18"/>
          <w:szCs w:val="18"/>
          <w:lang w:val="nb-NO"/>
        </w:rPr>
      </w:pPr>
      <w:r w:rsidRPr="00A942F6">
        <w:rPr>
          <w:sz w:val="18"/>
          <w:szCs w:val="18"/>
          <w:lang w:val="nb-NO"/>
        </w:rPr>
        <w:t>***</w:t>
      </w:r>
      <w:r w:rsidRPr="00A942F6">
        <w:rPr>
          <w:sz w:val="18"/>
          <w:szCs w:val="18"/>
          <w:lang w:val="nb-NO"/>
        </w:rPr>
        <w:tab/>
        <w:t>- p&lt; 0,0001, TCZ vs. PBO + MTX/DMARD</w:t>
      </w:r>
    </w:p>
    <w:p w14:paraId="47BEADF4" w14:textId="77777777" w:rsidR="00DF56D8" w:rsidRPr="00A942F6" w:rsidRDefault="00DF56D8" w:rsidP="00641834">
      <w:pPr>
        <w:rPr>
          <w:lang w:val="nb-NO"/>
        </w:rPr>
      </w:pPr>
    </w:p>
    <w:p w14:paraId="79243923" w14:textId="77777777" w:rsidR="00DF56D8" w:rsidRPr="00A942F6" w:rsidRDefault="00DF56D8" w:rsidP="00641834">
      <w:pPr>
        <w:pStyle w:val="Style1Iitaic"/>
        <w:rPr>
          <w:lang w:val="nb-NO"/>
        </w:rPr>
      </w:pPr>
      <w:r w:rsidRPr="00A942F6">
        <w:rPr>
          <w:lang w:val="nb-NO"/>
        </w:rPr>
        <w:t>Viktig klinisk respons</w:t>
      </w:r>
    </w:p>
    <w:p w14:paraId="7DB0E933" w14:textId="288AFCFC" w:rsidR="00DF56D8" w:rsidRPr="00A942F6" w:rsidRDefault="00DF56D8" w:rsidP="00641834">
      <w:pPr>
        <w:rPr>
          <w:lang w:val="nb-NO"/>
        </w:rPr>
      </w:pPr>
      <w:r w:rsidRPr="00A942F6">
        <w:rPr>
          <w:lang w:val="nb-NO"/>
        </w:rPr>
        <w:t xml:space="preserve">Etter 2 år med behandling med </w:t>
      </w:r>
      <w:r w:rsidR="00813939" w:rsidRPr="00A942F6">
        <w:rPr>
          <w:lang w:val="nb-NO"/>
        </w:rPr>
        <w:t>tocilizumab</w:t>
      </w:r>
      <w:r w:rsidRPr="00A942F6">
        <w:rPr>
          <w:lang w:val="nb-NO"/>
        </w:rPr>
        <w:t xml:space="preserve"> pluss metotreksat oppnådde 14 % av pasientene en stor klinisk respons (vedvarende ACR70-respons i 24 uker eller mer).</w:t>
      </w:r>
    </w:p>
    <w:p w14:paraId="06EF428A" w14:textId="77777777" w:rsidR="00CD5548" w:rsidRPr="00A942F6" w:rsidRDefault="00CD5548" w:rsidP="00641834">
      <w:pPr>
        <w:rPr>
          <w:lang w:val="nb-NO"/>
        </w:rPr>
      </w:pPr>
    </w:p>
    <w:p w14:paraId="23D86919" w14:textId="77777777" w:rsidR="00DF56D8" w:rsidRPr="00A942F6" w:rsidRDefault="00DF56D8" w:rsidP="00641834">
      <w:pPr>
        <w:pStyle w:val="Style1Iitaic"/>
        <w:rPr>
          <w:lang w:val="nb-NO"/>
        </w:rPr>
      </w:pPr>
      <w:r w:rsidRPr="00A942F6">
        <w:rPr>
          <w:lang w:val="nb-NO"/>
        </w:rPr>
        <w:t>Radiografisk respons</w:t>
      </w:r>
    </w:p>
    <w:p w14:paraId="4044AA11" w14:textId="77180AAA" w:rsidR="00DF56D8" w:rsidRPr="00A942F6" w:rsidRDefault="00DF56D8" w:rsidP="00641834">
      <w:pPr>
        <w:rPr>
          <w:lang w:val="nb-NO"/>
        </w:rPr>
      </w:pPr>
      <w:r w:rsidRPr="00A942F6">
        <w:rPr>
          <w:lang w:val="nb-NO"/>
        </w:rPr>
        <w:t xml:space="preserve">I studie II, hos pasienter med utilstrekkelig respons på metotreksat, ble hemming av strukturelle leddskader vurdert radiografisk og uttrykt som endring i modifisert Sharpscore og komponentene, erosjonsscore og leddavsmalningsscore. Hemming av strukturell leddskade ble vist ved signifikant mindre radiografisk progresjon hos pasienter som fikk </w:t>
      </w:r>
      <w:r w:rsidR="00813939" w:rsidRPr="00A942F6">
        <w:rPr>
          <w:lang w:val="nb-NO"/>
        </w:rPr>
        <w:t>tocilizumab</w:t>
      </w:r>
      <w:r w:rsidRPr="00A942F6">
        <w:rPr>
          <w:lang w:val="nb-NO"/>
        </w:rPr>
        <w:t xml:space="preserve"> enn hos kontrollgruppen (tabell 6).</w:t>
      </w:r>
    </w:p>
    <w:p w14:paraId="253D1AAE" w14:textId="77777777" w:rsidR="00CD5548" w:rsidRPr="00A942F6" w:rsidRDefault="00CD5548" w:rsidP="00641834">
      <w:pPr>
        <w:rPr>
          <w:lang w:val="nb-NO"/>
        </w:rPr>
      </w:pPr>
    </w:p>
    <w:p w14:paraId="34354A25" w14:textId="61728B6E" w:rsidR="00DF56D8" w:rsidRPr="00A942F6" w:rsidRDefault="00DF56D8" w:rsidP="00641834">
      <w:pPr>
        <w:rPr>
          <w:lang w:val="nb-NO"/>
        </w:rPr>
      </w:pPr>
      <w:r w:rsidRPr="00A942F6">
        <w:rPr>
          <w:lang w:val="nb-NO"/>
        </w:rPr>
        <w:t xml:space="preserve">I den åpne forlengelsen av studie II var inhiberingen av progresjon av strukturell leddskade hos pasienter behandlet med </w:t>
      </w:r>
      <w:r w:rsidR="00813939" w:rsidRPr="00A942F6">
        <w:rPr>
          <w:lang w:val="nb-NO"/>
        </w:rPr>
        <w:t>tocilizumab</w:t>
      </w:r>
      <w:r w:rsidRPr="00A942F6">
        <w:rPr>
          <w:lang w:val="nb-NO"/>
        </w:rPr>
        <w:t xml:space="preserve"> pluss metotreksat vedlikeholdt i det andre året av behandlingen. Den største endringen fra utgangspunktet ved uke 104 i total Sharp-Genant score var signifikant lavere for pasienter randomisert til </w:t>
      </w:r>
      <w:r w:rsidR="00813939" w:rsidRPr="00A942F6">
        <w:rPr>
          <w:lang w:val="nb-NO"/>
        </w:rPr>
        <w:t>tocilizumab</w:t>
      </w:r>
      <w:r w:rsidRPr="00A942F6">
        <w:rPr>
          <w:lang w:val="nb-NO"/>
        </w:rPr>
        <w:t xml:space="preserve"> 8 mg/kg pluss metotreksat (p &lt; 0,0001) sammenlignet med pasienter som var randomisert til placebo pluss metotreksat.</w:t>
      </w:r>
    </w:p>
    <w:p w14:paraId="7B6A4B79" w14:textId="77777777" w:rsidR="00DF56D8" w:rsidRPr="00A942F6" w:rsidRDefault="00DF56D8" w:rsidP="00641834">
      <w:pPr>
        <w:rPr>
          <w:lang w:val="nb-NO"/>
        </w:rPr>
      </w:pPr>
    </w:p>
    <w:p w14:paraId="37DE5F96" w14:textId="77777777" w:rsidR="00DF56D8" w:rsidRPr="00A942F6" w:rsidRDefault="00DF56D8" w:rsidP="00641834">
      <w:pPr>
        <w:pStyle w:val="Style1Iitaic"/>
        <w:rPr>
          <w:lang w:val="nb-NO"/>
        </w:rPr>
      </w:pPr>
      <w:r w:rsidRPr="00A942F6">
        <w:rPr>
          <w:lang w:val="nb-NO"/>
        </w:rPr>
        <w:t>Tabell 6. Radiografiske gjennomsnittlige endringer i løpet av 52 uker i studie II</w:t>
      </w:r>
    </w:p>
    <w:p w14:paraId="6905D66E" w14:textId="77777777" w:rsidR="00DF56D8" w:rsidRPr="00A942F6" w:rsidRDefault="00DF56D8" w:rsidP="00641834">
      <w:pPr>
        <w:rPr>
          <w:lang w:val="nb-N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9"/>
        <w:gridCol w:w="2789"/>
        <w:gridCol w:w="2611"/>
      </w:tblGrid>
      <w:tr w:rsidR="00DF56D8" w:rsidRPr="00B477E5" w14:paraId="4828D6F6" w14:textId="77777777" w:rsidTr="00F45BFD">
        <w:trPr>
          <w:cantSplit/>
          <w:trHeight w:val="20"/>
          <w:tblHeader/>
        </w:trPr>
        <w:tc>
          <w:tcPr>
            <w:tcW w:w="2359" w:type="dxa"/>
          </w:tcPr>
          <w:p w14:paraId="20002B1B" w14:textId="77777777" w:rsidR="00DF56D8" w:rsidRPr="00A942F6" w:rsidRDefault="00DF56D8" w:rsidP="00641834">
            <w:pPr>
              <w:pStyle w:val="TableParagraph"/>
              <w:ind w:left="57"/>
              <w:rPr>
                <w:sz w:val="20"/>
                <w:szCs w:val="20"/>
                <w:lang w:val="nb-NO"/>
              </w:rPr>
            </w:pPr>
          </w:p>
        </w:tc>
        <w:tc>
          <w:tcPr>
            <w:tcW w:w="2789" w:type="dxa"/>
          </w:tcPr>
          <w:p w14:paraId="418268ED" w14:textId="77777777" w:rsidR="00DF56D8" w:rsidRPr="00A942F6" w:rsidRDefault="00DF56D8" w:rsidP="00641834">
            <w:pPr>
              <w:pStyle w:val="TableParagraph"/>
              <w:ind w:left="57"/>
              <w:jc w:val="center"/>
              <w:rPr>
                <w:b/>
                <w:sz w:val="20"/>
                <w:szCs w:val="20"/>
                <w:lang w:val="nb-NO"/>
              </w:rPr>
            </w:pPr>
            <w:r w:rsidRPr="00A942F6">
              <w:rPr>
                <w:b/>
                <w:sz w:val="20"/>
                <w:szCs w:val="20"/>
                <w:lang w:val="nb-NO"/>
              </w:rPr>
              <w:t>PBO + MTX</w:t>
            </w:r>
          </w:p>
          <w:p w14:paraId="430015D4" w14:textId="77777777" w:rsidR="000C2C5A" w:rsidRPr="00A942F6" w:rsidRDefault="00DF56D8" w:rsidP="00641834">
            <w:pPr>
              <w:pStyle w:val="TableParagraph"/>
              <w:ind w:left="57"/>
              <w:jc w:val="center"/>
              <w:rPr>
                <w:b/>
                <w:sz w:val="20"/>
                <w:szCs w:val="20"/>
                <w:lang w:val="nb-NO"/>
              </w:rPr>
            </w:pPr>
            <w:r w:rsidRPr="00A942F6">
              <w:rPr>
                <w:b/>
                <w:sz w:val="20"/>
                <w:szCs w:val="20"/>
                <w:lang w:val="nb-NO"/>
              </w:rPr>
              <w:t>(+TCZ fra uke 24)</w:t>
            </w:r>
          </w:p>
          <w:p w14:paraId="755235A9" w14:textId="77777777" w:rsidR="00DF56D8" w:rsidRPr="00A942F6" w:rsidRDefault="00DF56D8" w:rsidP="00641834">
            <w:pPr>
              <w:pStyle w:val="TableParagraph"/>
              <w:ind w:left="57"/>
              <w:jc w:val="center"/>
              <w:rPr>
                <w:b/>
                <w:sz w:val="20"/>
                <w:szCs w:val="20"/>
                <w:lang w:val="nb-NO"/>
              </w:rPr>
            </w:pPr>
            <w:r w:rsidRPr="00A942F6">
              <w:rPr>
                <w:b/>
                <w:sz w:val="20"/>
                <w:szCs w:val="20"/>
                <w:lang w:val="nb-NO"/>
              </w:rPr>
              <w:t>N = 393</w:t>
            </w:r>
          </w:p>
        </w:tc>
        <w:tc>
          <w:tcPr>
            <w:tcW w:w="2611" w:type="dxa"/>
          </w:tcPr>
          <w:p w14:paraId="6DE197D1" w14:textId="77777777" w:rsidR="000C2C5A" w:rsidRPr="00A942F6" w:rsidRDefault="00DF56D8" w:rsidP="00641834">
            <w:pPr>
              <w:pStyle w:val="TableParagraph"/>
              <w:ind w:left="57"/>
              <w:jc w:val="center"/>
              <w:rPr>
                <w:b/>
                <w:sz w:val="20"/>
                <w:szCs w:val="20"/>
                <w:lang w:val="nb-NO"/>
              </w:rPr>
            </w:pPr>
            <w:r w:rsidRPr="00A942F6">
              <w:rPr>
                <w:b/>
                <w:sz w:val="20"/>
                <w:szCs w:val="20"/>
                <w:lang w:val="nb-NO"/>
              </w:rPr>
              <w:t>TCZ 8 mg/kg + MTX</w:t>
            </w:r>
          </w:p>
          <w:p w14:paraId="028A1DD9" w14:textId="77777777" w:rsidR="000C2C5A" w:rsidRPr="00A942F6" w:rsidRDefault="000C2C5A" w:rsidP="00641834">
            <w:pPr>
              <w:pStyle w:val="TableParagraph"/>
              <w:ind w:left="57"/>
              <w:jc w:val="center"/>
              <w:rPr>
                <w:b/>
                <w:sz w:val="20"/>
                <w:szCs w:val="20"/>
                <w:lang w:val="nb-NO"/>
              </w:rPr>
            </w:pPr>
          </w:p>
          <w:p w14:paraId="07A7B71F" w14:textId="77777777" w:rsidR="00DF56D8" w:rsidRPr="00A942F6" w:rsidRDefault="00DF56D8" w:rsidP="00641834">
            <w:pPr>
              <w:pStyle w:val="TableParagraph"/>
              <w:ind w:left="57"/>
              <w:jc w:val="center"/>
              <w:rPr>
                <w:b/>
                <w:sz w:val="20"/>
                <w:szCs w:val="20"/>
                <w:lang w:val="nb-NO"/>
              </w:rPr>
            </w:pPr>
            <w:r w:rsidRPr="00A942F6">
              <w:rPr>
                <w:b/>
                <w:sz w:val="20"/>
                <w:szCs w:val="20"/>
                <w:lang w:val="nb-NO"/>
              </w:rPr>
              <w:t>N = 398</w:t>
            </w:r>
          </w:p>
        </w:tc>
      </w:tr>
      <w:tr w:rsidR="00DF56D8" w:rsidRPr="00A942F6" w14:paraId="1CBEA062" w14:textId="77777777" w:rsidTr="00F45BFD">
        <w:trPr>
          <w:cantSplit/>
          <w:trHeight w:val="20"/>
        </w:trPr>
        <w:tc>
          <w:tcPr>
            <w:tcW w:w="2359" w:type="dxa"/>
          </w:tcPr>
          <w:p w14:paraId="61CB7CC3" w14:textId="77777777" w:rsidR="00DF56D8" w:rsidRPr="00A942F6" w:rsidRDefault="00DF56D8" w:rsidP="00641834">
            <w:pPr>
              <w:pStyle w:val="TableParagraph"/>
              <w:ind w:left="57"/>
              <w:rPr>
                <w:sz w:val="20"/>
                <w:szCs w:val="20"/>
                <w:lang w:val="nb-NO"/>
              </w:rPr>
            </w:pPr>
            <w:r w:rsidRPr="00A942F6">
              <w:rPr>
                <w:sz w:val="20"/>
                <w:szCs w:val="20"/>
                <w:lang w:val="nb-NO"/>
              </w:rPr>
              <w:t>Total Sharp-Genant-score</w:t>
            </w:r>
          </w:p>
        </w:tc>
        <w:tc>
          <w:tcPr>
            <w:tcW w:w="2789" w:type="dxa"/>
          </w:tcPr>
          <w:p w14:paraId="567E3ADA" w14:textId="77777777" w:rsidR="00DF56D8" w:rsidRPr="00A942F6" w:rsidRDefault="00DF56D8" w:rsidP="00641834">
            <w:pPr>
              <w:pStyle w:val="TableParagraph"/>
              <w:ind w:left="57"/>
              <w:jc w:val="center"/>
              <w:rPr>
                <w:sz w:val="20"/>
                <w:szCs w:val="20"/>
                <w:lang w:val="nb-NO"/>
              </w:rPr>
            </w:pPr>
            <w:r w:rsidRPr="00A942F6">
              <w:rPr>
                <w:sz w:val="20"/>
                <w:szCs w:val="20"/>
                <w:lang w:val="nb-NO"/>
              </w:rPr>
              <w:t>1,13</w:t>
            </w:r>
          </w:p>
        </w:tc>
        <w:tc>
          <w:tcPr>
            <w:tcW w:w="2611" w:type="dxa"/>
          </w:tcPr>
          <w:p w14:paraId="43A49A42" w14:textId="77777777" w:rsidR="00DF56D8" w:rsidRPr="00A942F6" w:rsidRDefault="00DF56D8" w:rsidP="00641834">
            <w:pPr>
              <w:pStyle w:val="TableParagraph"/>
              <w:ind w:left="57"/>
              <w:jc w:val="center"/>
              <w:rPr>
                <w:sz w:val="20"/>
                <w:szCs w:val="20"/>
                <w:lang w:val="nb-NO"/>
              </w:rPr>
            </w:pPr>
            <w:r w:rsidRPr="00A942F6">
              <w:rPr>
                <w:sz w:val="20"/>
                <w:szCs w:val="20"/>
                <w:lang w:val="nb-NO"/>
              </w:rPr>
              <w:t>0,29*</w:t>
            </w:r>
          </w:p>
        </w:tc>
      </w:tr>
      <w:tr w:rsidR="00DF56D8" w:rsidRPr="00A942F6" w14:paraId="75F1A150" w14:textId="77777777" w:rsidTr="00F45BFD">
        <w:trPr>
          <w:cantSplit/>
          <w:trHeight w:val="20"/>
        </w:trPr>
        <w:tc>
          <w:tcPr>
            <w:tcW w:w="2359" w:type="dxa"/>
          </w:tcPr>
          <w:p w14:paraId="581B913D" w14:textId="77777777" w:rsidR="00DF56D8" w:rsidRPr="00A942F6" w:rsidRDefault="00DF56D8" w:rsidP="00641834">
            <w:pPr>
              <w:pStyle w:val="TableParagraph"/>
              <w:ind w:left="57"/>
              <w:rPr>
                <w:sz w:val="20"/>
                <w:szCs w:val="20"/>
                <w:lang w:val="nb-NO"/>
              </w:rPr>
            </w:pPr>
            <w:r w:rsidRPr="00A942F6">
              <w:rPr>
                <w:sz w:val="20"/>
                <w:szCs w:val="20"/>
                <w:lang w:val="nb-NO"/>
              </w:rPr>
              <w:t>Erosjonsscore</w:t>
            </w:r>
          </w:p>
        </w:tc>
        <w:tc>
          <w:tcPr>
            <w:tcW w:w="2789" w:type="dxa"/>
          </w:tcPr>
          <w:p w14:paraId="349FAF7F" w14:textId="77777777" w:rsidR="00DF56D8" w:rsidRPr="00A942F6" w:rsidRDefault="00DF56D8" w:rsidP="00641834">
            <w:pPr>
              <w:pStyle w:val="TableParagraph"/>
              <w:ind w:left="57"/>
              <w:jc w:val="center"/>
              <w:rPr>
                <w:sz w:val="20"/>
                <w:szCs w:val="20"/>
                <w:lang w:val="nb-NO"/>
              </w:rPr>
            </w:pPr>
            <w:r w:rsidRPr="00A942F6">
              <w:rPr>
                <w:sz w:val="20"/>
                <w:szCs w:val="20"/>
                <w:lang w:val="nb-NO"/>
              </w:rPr>
              <w:t>0,71</w:t>
            </w:r>
          </w:p>
        </w:tc>
        <w:tc>
          <w:tcPr>
            <w:tcW w:w="2611" w:type="dxa"/>
          </w:tcPr>
          <w:p w14:paraId="6D1C68E9" w14:textId="77777777" w:rsidR="00DF56D8" w:rsidRPr="00A942F6" w:rsidRDefault="00DF56D8" w:rsidP="00641834">
            <w:pPr>
              <w:pStyle w:val="TableParagraph"/>
              <w:ind w:left="57"/>
              <w:jc w:val="center"/>
              <w:rPr>
                <w:sz w:val="20"/>
                <w:szCs w:val="20"/>
                <w:lang w:val="nb-NO"/>
              </w:rPr>
            </w:pPr>
            <w:r w:rsidRPr="00A942F6">
              <w:rPr>
                <w:sz w:val="20"/>
                <w:szCs w:val="20"/>
                <w:lang w:val="nb-NO"/>
              </w:rPr>
              <w:t>0,17*</w:t>
            </w:r>
          </w:p>
        </w:tc>
      </w:tr>
      <w:tr w:rsidR="00DF56D8" w:rsidRPr="00A942F6" w14:paraId="2BCA7E9C" w14:textId="77777777" w:rsidTr="00F45BFD">
        <w:trPr>
          <w:cantSplit/>
          <w:trHeight w:val="20"/>
        </w:trPr>
        <w:tc>
          <w:tcPr>
            <w:tcW w:w="2359" w:type="dxa"/>
          </w:tcPr>
          <w:p w14:paraId="51C65ED7" w14:textId="77777777" w:rsidR="00DF56D8" w:rsidRPr="00A942F6" w:rsidRDefault="00DF56D8" w:rsidP="00641834">
            <w:pPr>
              <w:pStyle w:val="TableParagraph"/>
              <w:ind w:left="57"/>
              <w:rPr>
                <w:sz w:val="20"/>
                <w:szCs w:val="20"/>
                <w:lang w:val="nb-NO"/>
              </w:rPr>
            </w:pPr>
            <w:r w:rsidRPr="00A942F6">
              <w:rPr>
                <w:sz w:val="20"/>
                <w:szCs w:val="20"/>
                <w:lang w:val="nb-NO"/>
              </w:rPr>
              <w:t>JSN-score</w:t>
            </w:r>
          </w:p>
        </w:tc>
        <w:tc>
          <w:tcPr>
            <w:tcW w:w="2789" w:type="dxa"/>
          </w:tcPr>
          <w:p w14:paraId="423143C9" w14:textId="77777777" w:rsidR="00DF56D8" w:rsidRPr="00A942F6" w:rsidRDefault="00DF56D8" w:rsidP="00641834">
            <w:pPr>
              <w:pStyle w:val="TableParagraph"/>
              <w:ind w:left="57"/>
              <w:jc w:val="center"/>
              <w:rPr>
                <w:sz w:val="20"/>
                <w:szCs w:val="20"/>
                <w:lang w:val="nb-NO"/>
              </w:rPr>
            </w:pPr>
            <w:r w:rsidRPr="00A942F6">
              <w:rPr>
                <w:sz w:val="20"/>
                <w:szCs w:val="20"/>
                <w:lang w:val="nb-NO"/>
              </w:rPr>
              <w:t>0,42</w:t>
            </w:r>
          </w:p>
        </w:tc>
        <w:tc>
          <w:tcPr>
            <w:tcW w:w="2611" w:type="dxa"/>
          </w:tcPr>
          <w:p w14:paraId="77023C26" w14:textId="77777777" w:rsidR="00DF56D8" w:rsidRPr="00A942F6" w:rsidRDefault="00DF56D8" w:rsidP="00641834">
            <w:pPr>
              <w:pStyle w:val="TableParagraph"/>
              <w:ind w:left="57"/>
              <w:jc w:val="center"/>
              <w:rPr>
                <w:sz w:val="20"/>
                <w:szCs w:val="20"/>
                <w:lang w:val="nb-NO"/>
              </w:rPr>
            </w:pPr>
            <w:r w:rsidRPr="00A942F6">
              <w:rPr>
                <w:sz w:val="20"/>
                <w:szCs w:val="20"/>
                <w:lang w:val="nb-NO"/>
              </w:rPr>
              <w:t>0,12**</w:t>
            </w:r>
          </w:p>
        </w:tc>
      </w:tr>
    </w:tbl>
    <w:p w14:paraId="1267E371" w14:textId="77777777" w:rsidR="00CD5548" w:rsidRPr="00A942F6" w:rsidRDefault="00CD5548" w:rsidP="00641834">
      <w:pPr>
        <w:ind w:left="567" w:hanging="567"/>
        <w:rPr>
          <w:rFonts w:cs="Times New Roman"/>
          <w:i/>
          <w:iCs/>
          <w:sz w:val="18"/>
          <w:szCs w:val="18"/>
          <w:lang w:val="nb-NO"/>
        </w:rPr>
      </w:pPr>
      <w:r w:rsidRPr="00A942F6">
        <w:rPr>
          <w:rFonts w:cs="Times New Roman"/>
          <w:i/>
          <w:iCs/>
          <w:sz w:val="18"/>
          <w:szCs w:val="18"/>
          <w:lang w:val="nb-NO"/>
        </w:rPr>
        <w:t>PBO</w:t>
      </w:r>
      <w:r w:rsidRPr="00A942F6">
        <w:rPr>
          <w:rFonts w:cs="Times New Roman"/>
          <w:i/>
          <w:iCs/>
          <w:sz w:val="18"/>
          <w:szCs w:val="18"/>
          <w:lang w:val="nb-NO"/>
        </w:rPr>
        <w:tab/>
        <w:t>- Placebo</w:t>
      </w:r>
    </w:p>
    <w:p w14:paraId="368D2571" w14:textId="77777777" w:rsidR="00CD5548" w:rsidRPr="00A942F6" w:rsidRDefault="00CD5548" w:rsidP="00641834">
      <w:pPr>
        <w:ind w:left="567" w:hanging="567"/>
        <w:rPr>
          <w:rFonts w:cs="Times New Roman"/>
          <w:i/>
          <w:iCs/>
          <w:sz w:val="18"/>
          <w:szCs w:val="18"/>
          <w:lang w:val="nb-NO"/>
        </w:rPr>
      </w:pPr>
      <w:r w:rsidRPr="00A942F6">
        <w:rPr>
          <w:rFonts w:cs="Times New Roman"/>
          <w:i/>
          <w:iCs/>
          <w:sz w:val="18"/>
          <w:szCs w:val="18"/>
          <w:lang w:val="nb-NO"/>
        </w:rPr>
        <w:t>MTX</w:t>
      </w:r>
      <w:r w:rsidRPr="00A942F6">
        <w:rPr>
          <w:rFonts w:cs="Times New Roman"/>
          <w:i/>
          <w:iCs/>
          <w:sz w:val="18"/>
          <w:szCs w:val="18"/>
          <w:lang w:val="nb-NO"/>
        </w:rPr>
        <w:tab/>
        <w:t>- Metotreksat</w:t>
      </w:r>
    </w:p>
    <w:p w14:paraId="5FE22D26" w14:textId="77777777" w:rsidR="00DF56D8" w:rsidRPr="00A942F6" w:rsidRDefault="00DF56D8" w:rsidP="00641834">
      <w:pPr>
        <w:ind w:left="567" w:hanging="567"/>
        <w:rPr>
          <w:rFonts w:cs="Times New Roman"/>
          <w:i/>
          <w:iCs/>
          <w:sz w:val="18"/>
          <w:szCs w:val="18"/>
          <w:lang w:val="nb-NO"/>
        </w:rPr>
      </w:pPr>
      <w:r w:rsidRPr="00A942F6">
        <w:rPr>
          <w:rFonts w:cs="Times New Roman"/>
          <w:i/>
          <w:iCs/>
          <w:sz w:val="18"/>
          <w:szCs w:val="18"/>
          <w:lang w:val="nb-NO"/>
        </w:rPr>
        <w:t>TCZ</w:t>
      </w:r>
      <w:r w:rsidRPr="00A942F6">
        <w:rPr>
          <w:rFonts w:cs="Times New Roman"/>
          <w:i/>
          <w:iCs/>
          <w:sz w:val="18"/>
          <w:szCs w:val="18"/>
          <w:lang w:val="nb-NO"/>
        </w:rPr>
        <w:tab/>
        <w:t>- Tocilizumab</w:t>
      </w:r>
    </w:p>
    <w:p w14:paraId="02EB077D" w14:textId="77777777" w:rsidR="00DF56D8" w:rsidRPr="00A942F6" w:rsidRDefault="00DF56D8" w:rsidP="00641834">
      <w:pPr>
        <w:ind w:left="567" w:hanging="567"/>
        <w:rPr>
          <w:rFonts w:cs="Times New Roman"/>
          <w:i/>
          <w:iCs/>
          <w:sz w:val="18"/>
          <w:szCs w:val="18"/>
          <w:lang w:val="nb-NO"/>
        </w:rPr>
      </w:pPr>
      <w:r w:rsidRPr="00A942F6">
        <w:rPr>
          <w:rFonts w:cs="Times New Roman"/>
          <w:i/>
          <w:iCs/>
          <w:sz w:val="18"/>
          <w:szCs w:val="18"/>
          <w:lang w:val="nb-NO"/>
        </w:rPr>
        <w:t>JSN</w:t>
      </w:r>
      <w:r w:rsidRPr="00A942F6">
        <w:rPr>
          <w:rFonts w:cs="Times New Roman"/>
          <w:i/>
          <w:iCs/>
          <w:sz w:val="18"/>
          <w:szCs w:val="18"/>
          <w:lang w:val="nb-NO"/>
        </w:rPr>
        <w:tab/>
        <w:t>- Leddavsmalning</w:t>
      </w:r>
    </w:p>
    <w:p w14:paraId="0D8B037B" w14:textId="77777777" w:rsidR="00DF56D8" w:rsidRPr="00A942F6" w:rsidRDefault="00DF56D8" w:rsidP="00641834">
      <w:pPr>
        <w:ind w:left="567" w:hanging="567"/>
        <w:rPr>
          <w:rFonts w:cs="Times New Roman"/>
          <w:i/>
          <w:iCs/>
          <w:sz w:val="18"/>
          <w:szCs w:val="18"/>
          <w:lang w:val="nb-NO"/>
        </w:rPr>
      </w:pPr>
      <w:r w:rsidRPr="00A942F6">
        <w:rPr>
          <w:rFonts w:cs="Times New Roman"/>
          <w:i/>
          <w:iCs/>
          <w:sz w:val="18"/>
          <w:szCs w:val="18"/>
          <w:lang w:val="nb-NO"/>
        </w:rPr>
        <w:t>*</w:t>
      </w:r>
      <w:r w:rsidRPr="00A942F6">
        <w:rPr>
          <w:rFonts w:cs="Times New Roman"/>
          <w:i/>
          <w:iCs/>
          <w:sz w:val="18"/>
          <w:szCs w:val="18"/>
          <w:lang w:val="nb-NO"/>
        </w:rPr>
        <w:tab/>
        <w:t>- p≤ 0,0001, TCZ vs. PBO + MTX</w:t>
      </w:r>
    </w:p>
    <w:p w14:paraId="29113A96" w14:textId="77777777" w:rsidR="00DF56D8" w:rsidRPr="00A942F6" w:rsidRDefault="00DF56D8" w:rsidP="00641834">
      <w:pPr>
        <w:ind w:left="567" w:hanging="567"/>
        <w:rPr>
          <w:rFonts w:cs="Times New Roman"/>
          <w:i/>
          <w:iCs/>
          <w:sz w:val="18"/>
          <w:szCs w:val="18"/>
          <w:lang w:val="nb-NO"/>
        </w:rPr>
      </w:pPr>
      <w:r w:rsidRPr="00A942F6">
        <w:rPr>
          <w:rFonts w:cs="Times New Roman"/>
          <w:i/>
          <w:iCs/>
          <w:sz w:val="18"/>
          <w:szCs w:val="18"/>
          <w:lang w:val="nb-NO"/>
        </w:rPr>
        <w:t>**</w:t>
      </w:r>
      <w:r w:rsidRPr="00A942F6">
        <w:rPr>
          <w:rFonts w:cs="Times New Roman"/>
          <w:i/>
          <w:iCs/>
          <w:sz w:val="18"/>
          <w:szCs w:val="18"/>
          <w:lang w:val="nb-NO"/>
        </w:rPr>
        <w:tab/>
        <w:t>- p&lt; 0,005, TCZ vs. PBO + MTX</w:t>
      </w:r>
    </w:p>
    <w:p w14:paraId="1501601D" w14:textId="77777777" w:rsidR="00DF56D8" w:rsidRPr="00A942F6" w:rsidRDefault="00DF56D8" w:rsidP="00641834">
      <w:pPr>
        <w:rPr>
          <w:lang w:val="nb-NO"/>
        </w:rPr>
      </w:pPr>
    </w:p>
    <w:p w14:paraId="70D10748" w14:textId="025BEF7B" w:rsidR="00DF56D8" w:rsidRPr="00A942F6" w:rsidRDefault="00DF56D8" w:rsidP="00641834">
      <w:pPr>
        <w:rPr>
          <w:lang w:val="nb-NO"/>
        </w:rPr>
      </w:pPr>
      <w:r w:rsidRPr="00A942F6">
        <w:rPr>
          <w:lang w:val="nb-NO"/>
        </w:rPr>
        <w:t xml:space="preserve">Etter ett års behandling med </w:t>
      </w:r>
      <w:r w:rsidR="00813939" w:rsidRPr="00A942F6">
        <w:rPr>
          <w:lang w:val="nb-NO"/>
        </w:rPr>
        <w:t>tocilizumab</w:t>
      </w:r>
      <w:r w:rsidRPr="00A942F6">
        <w:rPr>
          <w:lang w:val="nb-NO"/>
        </w:rPr>
        <w:t xml:space="preserve"> pluss metotreksat, hadde 85 % av pasientene (n=348) ingen progresjon i strukturell leddskade, definert ved en endring i total Sharpscore på null eller mindre, sammenlignet med 67 % av placebo pluss metotreksatbehandlede pasienter (n=290) (p </w:t>
      </w:r>
      <w:r w:rsidR="00F36EEE" w:rsidRPr="00A942F6">
        <w:rPr>
          <w:rFonts w:cs="Times New Roman"/>
          <w:lang w:val="nb-NO"/>
        </w:rPr>
        <w:t>≤</w:t>
      </w:r>
      <w:r w:rsidRPr="00A942F6">
        <w:rPr>
          <w:lang w:val="nb-NO"/>
        </w:rPr>
        <w:t xml:space="preserve"> 0,001). Dette forble konstant etter 2 år med behandling (83 %; n=353). Nittitre prosent (93 %; n=271) av pasientene hadde ingen progresjon mellom uke 52 og uke 104.</w:t>
      </w:r>
    </w:p>
    <w:p w14:paraId="1E1151B1" w14:textId="77777777" w:rsidR="00DF56D8" w:rsidRPr="00A942F6" w:rsidRDefault="00DF56D8" w:rsidP="00641834">
      <w:pPr>
        <w:rPr>
          <w:lang w:val="nb-NO"/>
        </w:rPr>
      </w:pPr>
    </w:p>
    <w:p w14:paraId="1977A295" w14:textId="77777777" w:rsidR="00DF56D8" w:rsidRPr="00A942F6" w:rsidRDefault="00DF56D8" w:rsidP="00641834">
      <w:pPr>
        <w:pStyle w:val="Style1Iitaic"/>
        <w:rPr>
          <w:lang w:val="nb-NO"/>
        </w:rPr>
      </w:pPr>
      <w:r w:rsidRPr="00A942F6">
        <w:rPr>
          <w:lang w:val="nb-NO"/>
        </w:rPr>
        <w:t>Helserelaterte effekter og livskvalitet</w:t>
      </w:r>
    </w:p>
    <w:p w14:paraId="1DA4F936" w14:textId="73297CB8" w:rsidR="00DF56D8" w:rsidRPr="00A942F6" w:rsidRDefault="00DF56D8" w:rsidP="00641834">
      <w:pPr>
        <w:rPr>
          <w:lang w:val="nb-NO"/>
        </w:rPr>
      </w:pPr>
      <w:r w:rsidRPr="00A942F6">
        <w:rPr>
          <w:lang w:val="nb-NO"/>
        </w:rPr>
        <w:t xml:space="preserve">Pasienter som fikk behandling med </w:t>
      </w:r>
      <w:r w:rsidR="00813939" w:rsidRPr="00A942F6">
        <w:rPr>
          <w:lang w:val="nb-NO"/>
        </w:rPr>
        <w:t>tocilizumab</w:t>
      </w:r>
      <w:r w:rsidRPr="00A942F6">
        <w:rPr>
          <w:lang w:val="nb-NO"/>
        </w:rPr>
        <w:t xml:space="preserve"> oppga forbedring i alle pasientrapporterte parametere (Health Assessment Questionnaire Disability Index (HAQ-DI)-, Short Form-36- og Functional Assessment of Chronic Illness Therapy-spørreskjemaer). Statistisk signifikant forbedring av HAQ-DI- skår ble observert hos pasienter behandlet med </w:t>
      </w:r>
      <w:r w:rsidR="00813939" w:rsidRPr="00A942F6">
        <w:rPr>
          <w:lang w:val="nb-NO"/>
        </w:rPr>
        <w:t>tocilizumab</w:t>
      </w:r>
      <w:r w:rsidRPr="00A942F6">
        <w:rPr>
          <w:lang w:val="nb-NO"/>
        </w:rPr>
        <w:t xml:space="preserve"> i forhold til pasienter behandlet med DMARDs. I løpet av den åpne perioden av studie II, har forbedringen i fysisk funksjon vedvart i opptil 2 år. Ved uke 52 var hovedendringen i HAQ-DI -0,58 i gruppen som fikk </w:t>
      </w:r>
      <w:r w:rsidR="00813939" w:rsidRPr="00A942F6">
        <w:rPr>
          <w:lang w:val="nb-NO"/>
        </w:rPr>
        <w:t>tocilizumab</w:t>
      </w:r>
      <w:r w:rsidRPr="00A942F6">
        <w:rPr>
          <w:lang w:val="nb-NO"/>
        </w:rPr>
        <w:t xml:space="preserve"> 8 mg/kg pluss metotreksat sammenlignet med -0,39 i gruppen som fikk placebo + metotreksat. Gjennomsnittlig endring i HAQ-DI var opprettholdt ved uke 104 i gruppen som fikk </w:t>
      </w:r>
      <w:r w:rsidR="00813939" w:rsidRPr="00A942F6">
        <w:rPr>
          <w:lang w:val="nb-NO"/>
        </w:rPr>
        <w:t>tocilizumab</w:t>
      </w:r>
      <w:r w:rsidRPr="00A942F6">
        <w:rPr>
          <w:lang w:val="nb-NO"/>
        </w:rPr>
        <w:t xml:space="preserve"> 8 mg/kg pluss metotreksat (-0,61).</w:t>
      </w:r>
    </w:p>
    <w:p w14:paraId="5CF9403E" w14:textId="77777777" w:rsidR="00495B46" w:rsidRPr="00A942F6" w:rsidRDefault="00495B46" w:rsidP="00641834">
      <w:pPr>
        <w:rPr>
          <w:lang w:val="nb-NO"/>
        </w:rPr>
      </w:pPr>
    </w:p>
    <w:p w14:paraId="61226A21" w14:textId="77777777" w:rsidR="00DF56D8" w:rsidRPr="00A942F6" w:rsidRDefault="00DF56D8" w:rsidP="00641834">
      <w:pPr>
        <w:pStyle w:val="Style1Iitaic"/>
        <w:rPr>
          <w:lang w:val="nb-NO"/>
        </w:rPr>
      </w:pPr>
      <w:r w:rsidRPr="00A942F6">
        <w:rPr>
          <w:lang w:val="nb-NO"/>
        </w:rPr>
        <w:t>Hemoglobinnivå</w:t>
      </w:r>
    </w:p>
    <w:p w14:paraId="004E6B81" w14:textId="19A289EB" w:rsidR="00DF56D8" w:rsidRPr="00A942F6" w:rsidRDefault="00DF56D8" w:rsidP="00641834">
      <w:pPr>
        <w:rPr>
          <w:lang w:val="nb-NO"/>
        </w:rPr>
      </w:pPr>
      <w:r w:rsidRPr="00A942F6">
        <w:rPr>
          <w:lang w:val="nb-NO"/>
        </w:rPr>
        <w:t xml:space="preserve">Statistisk signifikant forbedring av hemoglobinnivå ble observert ved behandling med </w:t>
      </w:r>
      <w:r w:rsidR="00813939" w:rsidRPr="00A942F6">
        <w:rPr>
          <w:lang w:val="nb-NO"/>
        </w:rPr>
        <w:t>tocilizumab</w:t>
      </w:r>
      <w:r w:rsidRPr="00A942F6">
        <w:rPr>
          <w:lang w:val="nb-NO"/>
        </w:rPr>
        <w:t xml:space="preserve"> sammenlignet med DMARDs (p &lt; 0,0001) ved uke 24. Gjennomsnittlig hemoglobinnivå økte i løpet av uke 2 og forble innenfor normalverdiene til uke 24.</w:t>
      </w:r>
    </w:p>
    <w:p w14:paraId="5B7EDC79" w14:textId="77777777" w:rsidR="00DF56D8" w:rsidRPr="00A942F6" w:rsidRDefault="00DF56D8" w:rsidP="00641834">
      <w:pPr>
        <w:rPr>
          <w:lang w:val="nb-NO"/>
        </w:rPr>
      </w:pPr>
    </w:p>
    <w:p w14:paraId="2CDCF908" w14:textId="77777777" w:rsidR="00DF56D8" w:rsidRPr="00A942F6" w:rsidRDefault="00DF56D8" w:rsidP="00641834">
      <w:pPr>
        <w:pStyle w:val="Style1Iitaic"/>
        <w:rPr>
          <w:lang w:val="nb-NO"/>
        </w:rPr>
      </w:pPr>
      <w:r w:rsidRPr="00A942F6">
        <w:rPr>
          <w:lang w:val="nb-NO"/>
        </w:rPr>
        <w:t>Tocilizumab versus adalimumab i monoterapi</w:t>
      </w:r>
    </w:p>
    <w:p w14:paraId="29073212" w14:textId="55B5C78B" w:rsidR="00DF56D8" w:rsidRPr="00A942F6" w:rsidRDefault="00DF56D8" w:rsidP="00012510">
      <w:pPr>
        <w:rPr>
          <w:lang w:val="nb-NO"/>
        </w:rPr>
      </w:pPr>
      <w:r w:rsidRPr="00A942F6">
        <w:rPr>
          <w:lang w:val="nb-NO"/>
        </w:rPr>
        <w:t xml:space="preserve">Studie VI (WA19924), en 24-ukers dobbeltblindet studie som sammenlignet </w:t>
      </w:r>
      <w:r w:rsidR="00813939" w:rsidRPr="00A942F6">
        <w:rPr>
          <w:lang w:val="nb-NO"/>
        </w:rPr>
        <w:t>tocilizumab</w:t>
      </w:r>
      <w:r w:rsidRPr="00A942F6">
        <w:rPr>
          <w:lang w:val="nb-NO"/>
        </w:rPr>
        <w:t xml:space="preserve"> som monoterapi med adalimumab som monoterapi, vurderte 326 RA-pasienter som ikke tolererte MTX eller hvor fortsatt behandling med MTX ble vurdert som uegnet (inkludert utilstrekkelig respons på MTX). Pasienter i </w:t>
      </w:r>
      <w:r w:rsidR="00813939" w:rsidRPr="00A942F6">
        <w:rPr>
          <w:lang w:val="nb-NO"/>
        </w:rPr>
        <w:t>tocilizumab</w:t>
      </w:r>
      <w:r w:rsidRPr="00A942F6">
        <w:rPr>
          <w:lang w:val="nb-NO"/>
        </w:rPr>
        <w:t xml:space="preserve">-gruppen fikk intravenøs (i.v.) infusjon av </w:t>
      </w:r>
      <w:r w:rsidR="00813939" w:rsidRPr="00A942F6">
        <w:rPr>
          <w:lang w:val="nb-NO"/>
        </w:rPr>
        <w:t>tocilizumab</w:t>
      </w:r>
      <w:r w:rsidRPr="00A942F6">
        <w:rPr>
          <w:lang w:val="nb-NO"/>
        </w:rPr>
        <w:t xml:space="preserve"> (8 mg/kg) hver</w:t>
      </w:r>
      <w:r w:rsidR="00012510">
        <w:rPr>
          <w:lang w:val="nb-NO"/>
        </w:rPr>
        <w:t xml:space="preserve"> </w:t>
      </w:r>
      <w:r w:rsidRPr="00A942F6">
        <w:rPr>
          <w:lang w:val="nb-NO"/>
        </w:rPr>
        <w:t>4.</w:t>
      </w:r>
      <w:r w:rsidR="00012510">
        <w:rPr>
          <w:lang w:val="nb-NO"/>
        </w:rPr>
        <w:t> </w:t>
      </w:r>
      <w:r w:rsidRPr="00A942F6">
        <w:rPr>
          <w:lang w:val="nb-NO"/>
        </w:rPr>
        <w:t>uke (q4u) og subkutan (s.c.) placeboinjeksjon hver 2. uke (q2u). Pasienter i adalimumabgruppen fikk en s.c. adalimumabinjeksjon (40 mg) q2u og en i.v. placeboinfusjon q4u.</w:t>
      </w:r>
    </w:p>
    <w:p w14:paraId="14189C3B" w14:textId="77777777" w:rsidR="00495B46" w:rsidRPr="00A942F6" w:rsidRDefault="00495B46" w:rsidP="00641834">
      <w:pPr>
        <w:rPr>
          <w:lang w:val="nb-NO"/>
        </w:rPr>
      </w:pPr>
    </w:p>
    <w:p w14:paraId="0F2E460C" w14:textId="39B50DB7" w:rsidR="00DF56D8" w:rsidRPr="00A942F6" w:rsidRDefault="00DF56D8" w:rsidP="00641834">
      <w:pPr>
        <w:rPr>
          <w:lang w:val="nb-NO"/>
        </w:rPr>
      </w:pPr>
      <w:r w:rsidRPr="00A942F6">
        <w:rPr>
          <w:lang w:val="nb-NO"/>
        </w:rPr>
        <w:t xml:space="preserve">Det ble sett en statistisk signifikant forbedret behandlingseffekt av </w:t>
      </w:r>
      <w:r w:rsidR="00813939" w:rsidRPr="00A942F6">
        <w:rPr>
          <w:lang w:val="nb-NO"/>
        </w:rPr>
        <w:t>tocilizumab</w:t>
      </w:r>
      <w:r w:rsidRPr="00A942F6">
        <w:rPr>
          <w:lang w:val="nb-NO"/>
        </w:rPr>
        <w:t>, sammenlignet med adalimumab, i sykdomskontroll fra utgangspunktet til uke 24 for det primære endepunktet endring i DAS28 og for alle sekundære endepunkter (tabell 7).</w:t>
      </w:r>
    </w:p>
    <w:p w14:paraId="7D420030" w14:textId="77777777" w:rsidR="00DF56D8" w:rsidRPr="00A942F6" w:rsidRDefault="00DF56D8" w:rsidP="00641834">
      <w:pPr>
        <w:rPr>
          <w:lang w:val="nb-NO"/>
        </w:rPr>
      </w:pPr>
    </w:p>
    <w:p w14:paraId="680E3CBA" w14:textId="77777777" w:rsidR="00DF56D8" w:rsidRPr="00A942F6" w:rsidRDefault="00DF56D8" w:rsidP="00641834">
      <w:pPr>
        <w:pStyle w:val="Style1Iitaic"/>
        <w:rPr>
          <w:lang w:val="nb-NO"/>
        </w:rPr>
      </w:pPr>
      <w:r w:rsidRPr="00A942F6">
        <w:rPr>
          <w:lang w:val="nb-NO"/>
        </w:rPr>
        <w:t>Tabell 7: Effektresultatet for studie VI (WA19924)</w:t>
      </w:r>
    </w:p>
    <w:p w14:paraId="053C9F30" w14:textId="77777777" w:rsidR="00405456" w:rsidRPr="00A942F6" w:rsidRDefault="00405456" w:rsidP="00641834">
      <w:pPr>
        <w:pStyle w:val="Style1Iitaic"/>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9"/>
        <w:gridCol w:w="1988"/>
        <w:gridCol w:w="1973"/>
        <w:gridCol w:w="1028"/>
      </w:tblGrid>
      <w:tr w:rsidR="00405456" w:rsidRPr="00A942F6" w14:paraId="4C2711D1" w14:textId="77777777" w:rsidTr="005C539A">
        <w:trPr>
          <w:cantSplit/>
          <w:trHeight w:val="20"/>
          <w:tblHeader/>
        </w:trPr>
        <w:tc>
          <w:tcPr>
            <w:tcW w:w="2949" w:type="dxa"/>
          </w:tcPr>
          <w:p w14:paraId="01B3B255" w14:textId="77777777" w:rsidR="00405456" w:rsidRPr="00A942F6" w:rsidRDefault="00405456" w:rsidP="00641834">
            <w:pPr>
              <w:pStyle w:val="TableParagraph"/>
              <w:keepNext/>
              <w:jc w:val="center"/>
              <w:rPr>
                <w:b/>
                <w:sz w:val="20"/>
                <w:szCs w:val="20"/>
                <w:lang w:val="nb-NO"/>
              </w:rPr>
            </w:pPr>
          </w:p>
        </w:tc>
        <w:tc>
          <w:tcPr>
            <w:tcW w:w="1988" w:type="dxa"/>
          </w:tcPr>
          <w:p w14:paraId="65CD1BB4" w14:textId="77777777" w:rsidR="00405456" w:rsidRPr="009B40A5" w:rsidRDefault="00405456" w:rsidP="00641834">
            <w:pPr>
              <w:pStyle w:val="TableParagraph"/>
              <w:keepNext/>
              <w:jc w:val="center"/>
              <w:rPr>
                <w:b/>
                <w:sz w:val="20"/>
                <w:szCs w:val="20"/>
                <w:lang w:val="sv-SE"/>
              </w:rPr>
            </w:pPr>
            <w:r w:rsidRPr="009B40A5">
              <w:rPr>
                <w:b/>
                <w:sz w:val="20"/>
                <w:szCs w:val="20"/>
                <w:lang w:val="sv-SE"/>
              </w:rPr>
              <w:t>ADA + Placebo (i.v.)</w:t>
            </w:r>
          </w:p>
          <w:p w14:paraId="08ACA469" w14:textId="77777777" w:rsidR="00405456" w:rsidRPr="009B40A5" w:rsidRDefault="00405456" w:rsidP="00641834">
            <w:pPr>
              <w:jc w:val="center"/>
              <w:rPr>
                <w:b/>
                <w:sz w:val="20"/>
                <w:szCs w:val="20"/>
                <w:lang w:val="sv-SE"/>
              </w:rPr>
            </w:pPr>
            <w:r w:rsidRPr="009B40A5">
              <w:rPr>
                <w:b/>
                <w:sz w:val="20"/>
                <w:szCs w:val="20"/>
                <w:lang w:val="sv-SE"/>
              </w:rPr>
              <w:t>N = 162</w:t>
            </w:r>
          </w:p>
        </w:tc>
        <w:tc>
          <w:tcPr>
            <w:tcW w:w="1973" w:type="dxa"/>
          </w:tcPr>
          <w:p w14:paraId="622BF65B" w14:textId="77777777" w:rsidR="00405456" w:rsidRPr="00BD4D94" w:rsidRDefault="00405456" w:rsidP="00641834">
            <w:pPr>
              <w:pStyle w:val="TableParagraph"/>
              <w:keepNext/>
              <w:jc w:val="center"/>
              <w:rPr>
                <w:b/>
                <w:sz w:val="20"/>
                <w:szCs w:val="20"/>
                <w:lang w:val="en-GB"/>
              </w:rPr>
            </w:pPr>
            <w:r w:rsidRPr="00BD4D94">
              <w:rPr>
                <w:b/>
                <w:sz w:val="20"/>
                <w:szCs w:val="20"/>
                <w:lang w:val="en-GB"/>
              </w:rPr>
              <w:t>TCZ + Placebo (s.c.)</w:t>
            </w:r>
          </w:p>
          <w:p w14:paraId="4B96F353" w14:textId="77777777" w:rsidR="00405456" w:rsidRPr="00BD4D94" w:rsidRDefault="00405456" w:rsidP="00641834">
            <w:pPr>
              <w:pStyle w:val="TableParagraph"/>
              <w:keepNext/>
              <w:jc w:val="center"/>
              <w:rPr>
                <w:b/>
                <w:sz w:val="20"/>
                <w:szCs w:val="20"/>
                <w:lang w:val="en-GB"/>
              </w:rPr>
            </w:pPr>
            <w:r w:rsidRPr="00BD4D94">
              <w:rPr>
                <w:b/>
                <w:sz w:val="20"/>
                <w:szCs w:val="20"/>
                <w:lang w:val="en-GB"/>
              </w:rPr>
              <w:t>N = 163</w:t>
            </w:r>
          </w:p>
        </w:tc>
        <w:tc>
          <w:tcPr>
            <w:tcW w:w="1028" w:type="dxa"/>
            <w:vAlign w:val="bottom"/>
          </w:tcPr>
          <w:p w14:paraId="79019110" w14:textId="77777777" w:rsidR="00405456" w:rsidRPr="00A942F6" w:rsidRDefault="00405456" w:rsidP="005C539A">
            <w:pPr>
              <w:pStyle w:val="TableParagraph"/>
              <w:keepNext/>
              <w:jc w:val="center"/>
              <w:rPr>
                <w:b/>
                <w:bCs/>
                <w:sz w:val="20"/>
                <w:szCs w:val="20"/>
                <w:lang w:val="nb-NO"/>
              </w:rPr>
            </w:pPr>
            <w:r w:rsidRPr="00A942F6">
              <w:rPr>
                <w:b/>
                <w:bCs/>
                <w:sz w:val="20"/>
                <w:szCs w:val="20"/>
                <w:lang w:val="nb-NO"/>
              </w:rPr>
              <w:t>p-verdi</w:t>
            </w:r>
            <w:r w:rsidRPr="00A942F6">
              <w:rPr>
                <w:b/>
                <w:bCs/>
                <w:sz w:val="20"/>
                <w:szCs w:val="20"/>
                <w:vertAlign w:val="superscript"/>
                <w:lang w:val="nb-NO"/>
              </w:rPr>
              <w:t>(a)</w:t>
            </w:r>
          </w:p>
        </w:tc>
      </w:tr>
      <w:tr w:rsidR="00405456" w:rsidRPr="00B477E5" w14:paraId="5924B0A2" w14:textId="77777777" w:rsidTr="00C42B2C">
        <w:trPr>
          <w:cantSplit/>
          <w:trHeight w:val="20"/>
        </w:trPr>
        <w:tc>
          <w:tcPr>
            <w:tcW w:w="7938" w:type="dxa"/>
            <w:gridSpan w:val="4"/>
          </w:tcPr>
          <w:p w14:paraId="11E35446" w14:textId="77777777" w:rsidR="00405456" w:rsidRPr="00A942F6" w:rsidRDefault="00405456" w:rsidP="005C539A">
            <w:pPr>
              <w:pStyle w:val="TableParagraph"/>
              <w:keepNext/>
              <w:rPr>
                <w:b/>
                <w:sz w:val="20"/>
                <w:szCs w:val="20"/>
                <w:lang w:val="nb-NO"/>
              </w:rPr>
            </w:pPr>
            <w:r w:rsidRPr="00A942F6">
              <w:rPr>
                <w:b/>
                <w:sz w:val="20"/>
                <w:szCs w:val="20"/>
                <w:lang w:val="nb-NO"/>
              </w:rPr>
              <w:t xml:space="preserve">Primært endepunkt – gjennomsnittlig forandring fra utgangsnivå </w:t>
            </w:r>
            <w:r w:rsidR="005C539A" w:rsidRPr="00A942F6">
              <w:rPr>
                <w:b/>
                <w:sz w:val="20"/>
                <w:szCs w:val="20"/>
                <w:lang w:val="nb-NO"/>
              </w:rPr>
              <w:t>ved</w:t>
            </w:r>
            <w:r w:rsidRPr="00A942F6">
              <w:rPr>
                <w:b/>
                <w:sz w:val="20"/>
                <w:szCs w:val="20"/>
                <w:lang w:val="nb-NO"/>
              </w:rPr>
              <w:t xml:space="preserve"> uke 24</w:t>
            </w:r>
          </w:p>
        </w:tc>
      </w:tr>
      <w:tr w:rsidR="00405456" w:rsidRPr="00A942F6" w14:paraId="181CEA1F" w14:textId="77777777" w:rsidTr="00C42B2C">
        <w:trPr>
          <w:cantSplit/>
          <w:trHeight w:val="20"/>
        </w:trPr>
        <w:tc>
          <w:tcPr>
            <w:tcW w:w="2949" w:type="dxa"/>
          </w:tcPr>
          <w:p w14:paraId="6F992152" w14:textId="77777777" w:rsidR="00405456" w:rsidRPr="00A942F6" w:rsidRDefault="00405456" w:rsidP="00641834">
            <w:pPr>
              <w:pStyle w:val="TableParagraph"/>
              <w:keepNext/>
              <w:jc w:val="right"/>
              <w:rPr>
                <w:bCs/>
                <w:sz w:val="20"/>
                <w:szCs w:val="20"/>
                <w:lang w:val="nb-NO"/>
              </w:rPr>
            </w:pPr>
            <w:r w:rsidRPr="00A942F6">
              <w:rPr>
                <w:bCs/>
                <w:sz w:val="20"/>
                <w:szCs w:val="20"/>
                <w:lang w:val="nb-NO"/>
              </w:rPr>
              <w:t>DAS28 (justert gjennomsnitt)</w:t>
            </w:r>
          </w:p>
        </w:tc>
        <w:tc>
          <w:tcPr>
            <w:tcW w:w="1988" w:type="dxa"/>
          </w:tcPr>
          <w:p w14:paraId="60A04B43" w14:textId="77777777" w:rsidR="00405456" w:rsidRPr="00A942F6" w:rsidRDefault="00405456" w:rsidP="00641834">
            <w:pPr>
              <w:pStyle w:val="TableParagraph"/>
              <w:keepNext/>
              <w:jc w:val="center"/>
              <w:rPr>
                <w:bCs/>
                <w:sz w:val="20"/>
                <w:szCs w:val="20"/>
                <w:lang w:val="nb-NO"/>
              </w:rPr>
            </w:pPr>
            <w:r w:rsidRPr="00A942F6">
              <w:rPr>
                <w:bCs/>
                <w:sz w:val="20"/>
                <w:szCs w:val="20"/>
                <w:lang w:val="nb-NO"/>
              </w:rPr>
              <w:t>-1,8</w:t>
            </w:r>
          </w:p>
        </w:tc>
        <w:tc>
          <w:tcPr>
            <w:tcW w:w="1973" w:type="dxa"/>
          </w:tcPr>
          <w:p w14:paraId="00742894" w14:textId="77777777" w:rsidR="00405456" w:rsidRPr="00A942F6" w:rsidRDefault="00405456" w:rsidP="00641834">
            <w:pPr>
              <w:pStyle w:val="TableParagraph"/>
              <w:keepNext/>
              <w:jc w:val="center"/>
              <w:rPr>
                <w:bCs/>
                <w:sz w:val="20"/>
                <w:szCs w:val="20"/>
                <w:lang w:val="nb-NO"/>
              </w:rPr>
            </w:pPr>
            <w:r w:rsidRPr="00A942F6">
              <w:rPr>
                <w:bCs/>
                <w:sz w:val="20"/>
                <w:szCs w:val="20"/>
                <w:lang w:val="nb-NO"/>
              </w:rPr>
              <w:t>-3,3</w:t>
            </w:r>
          </w:p>
        </w:tc>
        <w:tc>
          <w:tcPr>
            <w:tcW w:w="1028" w:type="dxa"/>
          </w:tcPr>
          <w:p w14:paraId="03456413" w14:textId="77777777" w:rsidR="00405456" w:rsidRPr="00A942F6" w:rsidRDefault="00405456" w:rsidP="00641834">
            <w:pPr>
              <w:pStyle w:val="TableParagraph"/>
              <w:keepNext/>
              <w:rPr>
                <w:bCs/>
                <w:sz w:val="20"/>
                <w:szCs w:val="20"/>
                <w:lang w:val="nb-NO"/>
              </w:rPr>
            </w:pPr>
          </w:p>
        </w:tc>
      </w:tr>
      <w:tr w:rsidR="00405456" w:rsidRPr="00A942F6" w14:paraId="50A94978" w14:textId="77777777" w:rsidTr="00C42B2C">
        <w:trPr>
          <w:cantSplit/>
          <w:trHeight w:val="20"/>
        </w:trPr>
        <w:tc>
          <w:tcPr>
            <w:tcW w:w="2949" w:type="dxa"/>
          </w:tcPr>
          <w:p w14:paraId="284E7599" w14:textId="77777777" w:rsidR="00405456" w:rsidRPr="00A942F6" w:rsidRDefault="00405456" w:rsidP="00641834">
            <w:pPr>
              <w:pStyle w:val="TableParagraph"/>
              <w:jc w:val="right"/>
              <w:rPr>
                <w:bCs/>
                <w:sz w:val="20"/>
                <w:szCs w:val="20"/>
                <w:lang w:val="nb-NO"/>
              </w:rPr>
            </w:pPr>
            <w:r w:rsidRPr="00A942F6">
              <w:rPr>
                <w:bCs/>
                <w:sz w:val="20"/>
                <w:szCs w:val="20"/>
                <w:lang w:val="nb-NO"/>
              </w:rPr>
              <w:t>Forskjell i justert gjennomsnitt</w:t>
            </w:r>
          </w:p>
          <w:p w14:paraId="650240F7" w14:textId="77777777" w:rsidR="00405456" w:rsidRPr="00A942F6" w:rsidRDefault="00405456" w:rsidP="00641834">
            <w:pPr>
              <w:pStyle w:val="TableParagraph"/>
              <w:jc w:val="right"/>
              <w:rPr>
                <w:bCs/>
                <w:sz w:val="20"/>
                <w:szCs w:val="20"/>
                <w:lang w:val="nb-NO"/>
              </w:rPr>
            </w:pPr>
            <w:r w:rsidRPr="00A942F6">
              <w:rPr>
                <w:bCs/>
                <w:sz w:val="20"/>
                <w:szCs w:val="20"/>
                <w:lang w:val="nb-NO"/>
              </w:rPr>
              <w:t>(95 % KI)</w:t>
            </w:r>
          </w:p>
        </w:tc>
        <w:tc>
          <w:tcPr>
            <w:tcW w:w="3961" w:type="dxa"/>
            <w:gridSpan w:val="2"/>
          </w:tcPr>
          <w:p w14:paraId="228325C7" w14:textId="77777777" w:rsidR="00405456" w:rsidRPr="00A942F6" w:rsidRDefault="00405456" w:rsidP="00641834">
            <w:pPr>
              <w:pStyle w:val="TableParagraph"/>
              <w:jc w:val="center"/>
              <w:rPr>
                <w:bCs/>
                <w:sz w:val="20"/>
                <w:szCs w:val="20"/>
                <w:lang w:val="nb-NO"/>
              </w:rPr>
            </w:pPr>
            <w:r w:rsidRPr="00A942F6">
              <w:rPr>
                <w:bCs/>
                <w:sz w:val="20"/>
                <w:szCs w:val="20"/>
                <w:lang w:val="nb-NO"/>
              </w:rPr>
              <w:t>-1,5 (-1,8, -1,1)</w:t>
            </w:r>
          </w:p>
        </w:tc>
        <w:tc>
          <w:tcPr>
            <w:tcW w:w="1028" w:type="dxa"/>
          </w:tcPr>
          <w:p w14:paraId="1C4CFD97" w14:textId="77777777" w:rsidR="00405456" w:rsidRPr="00A942F6" w:rsidRDefault="00405456" w:rsidP="00641834">
            <w:pPr>
              <w:pStyle w:val="TableParagraph"/>
              <w:jc w:val="center"/>
              <w:rPr>
                <w:bCs/>
                <w:sz w:val="20"/>
                <w:szCs w:val="20"/>
                <w:lang w:val="nb-NO"/>
              </w:rPr>
            </w:pPr>
            <w:r w:rsidRPr="00A942F6">
              <w:rPr>
                <w:bCs/>
                <w:sz w:val="20"/>
                <w:szCs w:val="20"/>
                <w:lang w:val="nb-NO"/>
              </w:rPr>
              <w:t>&lt; 0,0001</w:t>
            </w:r>
          </w:p>
        </w:tc>
      </w:tr>
      <w:tr w:rsidR="00405456" w:rsidRPr="00B477E5" w14:paraId="50F777E6" w14:textId="77777777" w:rsidTr="00C42B2C">
        <w:trPr>
          <w:cantSplit/>
          <w:trHeight w:val="20"/>
        </w:trPr>
        <w:tc>
          <w:tcPr>
            <w:tcW w:w="7938" w:type="dxa"/>
            <w:gridSpan w:val="4"/>
          </w:tcPr>
          <w:p w14:paraId="0974629B" w14:textId="77777777" w:rsidR="00405456" w:rsidRPr="00A942F6" w:rsidRDefault="00405456" w:rsidP="00641834">
            <w:pPr>
              <w:pStyle w:val="TableParagraph"/>
              <w:rPr>
                <w:b/>
                <w:sz w:val="20"/>
                <w:szCs w:val="20"/>
                <w:lang w:val="nb-NO"/>
              </w:rPr>
            </w:pPr>
            <w:r w:rsidRPr="00A942F6">
              <w:rPr>
                <w:b/>
                <w:sz w:val="20"/>
                <w:szCs w:val="20"/>
                <w:lang w:val="nb-NO"/>
              </w:rPr>
              <w:t xml:space="preserve">Sekundære endepunkter – prosentandel respondere ved uke 24 </w:t>
            </w:r>
            <w:r w:rsidRPr="00A942F6">
              <w:rPr>
                <w:b/>
                <w:sz w:val="20"/>
                <w:szCs w:val="20"/>
                <w:vertAlign w:val="superscript"/>
                <w:lang w:val="nb-NO"/>
              </w:rPr>
              <w:t>(b)</w:t>
            </w:r>
          </w:p>
        </w:tc>
      </w:tr>
      <w:tr w:rsidR="00405456" w:rsidRPr="00A942F6" w14:paraId="792ADDEB" w14:textId="77777777" w:rsidTr="00C42B2C">
        <w:trPr>
          <w:cantSplit/>
          <w:trHeight w:val="20"/>
        </w:trPr>
        <w:tc>
          <w:tcPr>
            <w:tcW w:w="2949" w:type="dxa"/>
          </w:tcPr>
          <w:p w14:paraId="40BF971C" w14:textId="77777777" w:rsidR="00405456" w:rsidRPr="00A942F6" w:rsidRDefault="00405456" w:rsidP="00641834">
            <w:pPr>
              <w:pStyle w:val="TableParagraph"/>
              <w:jc w:val="right"/>
              <w:rPr>
                <w:sz w:val="20"/>
                <w:szCs w:val="20"/>
                <w:lang w:val="nb-NO"/>
              </w:rPr>
            </w:pPr>
            <w:r w:rsidRPr="00A942F6">
              <w:rPr>
                <w:sz w:val="20"/>
                <w:szCs w:val="20"/>
                <w:lang w:val="nb-NO"/>
              </w:rPr>
              <w:t>DAS28 &lt; 2,6, n (%)</w:t>
            </w:r>
          </w:p>
        </w:tc>
        <w:tc>
          <w:tcPr>
            <w:tcW w:w="1988" w:type="dxa"/>
          </w:tcPr>
          <w:p w14:paraId="1114DDDF" w14:textId="77777777" w:rsidR="00405456" w:rsidRPr="00A942F6" w:rsidRDefault="00405456" w:rsidP="00641834">
            <w:pPr>
              <w:pStyle w:val="TableParagraph"/>
              <w:jc w:val="center"/>
              <w:rPr>
                <w:sz w:val="20"/>
                <w:szCs w:val="20"/>
                <w:lang w:val="nb-NO"/>
              </w:rPr>
            </w:pPr>
            <w:r w:rsidRPr="00A942F6">
              <w:rPr>
                <w:sz w:val="20"/>
                <w:szCs w:val="20"/>
                <w:lang w:val="nb-NO"/>
              </w:rPr>
              <w:t>17 (10,5)</w:t>
            </w:r>
          </w:p>
        </w:tc>
        <w:tc>
          <w:tcPr>
            <w:tcW w:w="1973" w:type="dxa"/>
          </w:tcPr>
          <w:p w14:paraId="68907F8A" w14:textId="77777777" w:rsidR="00405456" w:rsidRPr="00A942F6" w:rsidRDefault="00405456" w:rsidP="00641834">
            <w:pPr>
              <w:pStyle w:val="TableParagraph"/>
              <w:jc w:val="right"/>
              <w:rPr>
                <w:sz w:val="20"/>
                <w:szCs w:val="20"/>
                <w:lang w:val="nb-NO"/>
              </w:rPr>
            </w:pPr>
            <w:r w:rsidRPr="00A942F6">
              <w:rPr>
                <w:sz w:val="20"/>
                <w:szCs w:val="20"/>
                <w:lang w:val="nb-NO"/>
              </w:rPr>
              <w:t>65 (39,9)</w:t>
            </w:r>
          </w:p>
        </w:tc>
        <w:tc>
          <w:tcPr>
            <w:tcW w:w="1028" w:type="dxa"/>
          </w:tcPr>
          <w:p w14:paraId="0A79AE92" w14:textId="77777777" w:rsidR="00405456" w:rsidRPr="00A942F6" w:rsidRDefault="00405456" w:rsidP="00641834">
            <w:pPr>
              <w:pStyle w:val="TableParagraph"/>
              <w:jc w:val="center"/>
              <w:rPr>
                <w:sz w:val="20"/>
                <w:szCs w:val="20"/>
                <w:lang w:val="nb-NO"/>
              </w:rPr>
            </w:pPr>
            <w:r w:rsidRPr="00A942F6">
              <w:rPr>
                <w:sz w:val="20"/>
                <w:szCs w:val="20"/>
                <w:lang w:val="nb-NO"/>
              </w:rPr>
              <w:t>&lt; 0,0001</w:t>
            </w:r>
          </w:p>
        </w:tc>
      </w:tr>
      <w:tr w:rsidR="00405456" w:rsidRPr="00A942F6" w14:paraId="5172CC12" w14:textId="77777777" w:rsidTr="00C42B2C">
        <w:trPr>
          <w:cantSplit/>
          <w:trHeight w:val="20"/>
        </w:trPr>
        <w:tc>
          <w:tcPr>
            <w:tcW w:w="2949" w:type="dxa"/>
          </w:tcPr>
          <w:p w14:paraId="7C907A20" w14:textId="77777777" w:rsidR="00405456" w:rsidRPr="00A942F6" w:rsidRDefault="00405456" w:rsidP="00641834">
            <w:pPr>
              <w:pStyle w:val="TableParagraph"/>
              <w:jc w:val="right"/>
              <w:rPr>
                <w:sz w:val="20"/>
                <w:szCs w:val="20"/>
                <w:lang w:val="nb-NO"/>
              </w:rPr>
            </w:pPr>
            <w:r w:rsidRPr="00A942F6">
              <w:rPr>
                <w:sz w:val="20"/>
                <w:szCs w:val="20"/>
                <w:lang w:val="nb-NO"/>
              </w:rPr>
              <w:t>DAS28 ≤ 3,2, n (%)</w:t>
            </w:r>
          </w:p>
        </w:tc>
        <w:tc>
          <w:tcPr>
            <w:tcW w:w="1988" w:type="dxa"/>
          </w:tcPr>
          <w:p w14:paraId="4DAA2445" w14:textId="77777777" w:rsidR="00405456" w:rsidRPr="00A942F6" w:rsidRDefault="00405456" w:rsidP="00641834">
            <w:pPr>
              <w:pStyle w:val="TableParagraph"/>
              <w:jc w:val="center"/>
              <w:rPr>
                <w:sz w:val="20"/>
                <w:szCs w:val="20"/>
                <w:lang w:val="nb-NO"/>
              </w:rPr>
            </w:pPr>
            <w:r w:rsidRPr="00A942F6">
              <w:rPr>
                <w:sz w:val="20"/>
                <w:szCs w:val="20"/>
                <w:lang w:val="nb-NO"/>
              </w:rPr>
              <w:t>32 (19,8)</w:t>
            </w:r>
          </w:p>
        </w:tc>
        <w:tc>
          <w:tcPr>
            <w:tcW w:w="1973" w:type="dxa"/>
          </w:tcPr>
          <w:p w14:paraId="133E54A5" w14:textId="77777777" w:rsidR="00405456" w:rsidRPr="00A942F6" w:rsidRDefault="00405456" w:rsidP="00641834">
            <w:pPr>
              <w:pStyle w:val="TableParagraph"/>
              <w:jc w:val="right"/>
              <w:rPr>
                <w:sz w:val="20"/>
                <w:szCs w:val="20"/>
                <w:lang w:val="nb-NO"/>
              </w:rPr>
            </w:pPr>
            <w:r w:rsidRPr="00A942F6">
              <w:rPr>
                <w:sz w:val="20"/>
                <w:szCs w:val="20"/>
                <w:lang w:val="nb-NO"/>
              </w:rPr>
              <w:t>84 (51,5)</w:t>
            </w:r>
          </w:p>
        </w:tc>
        <w:tc>
          <w:tcPr>
            <w:tcW w:w="1028" w:type="dxa"/>
          </w:tcPr>
          <w:p w14:paraId="5941EECB" w14:textId="77777777" w:rsidR="00405456" w:rsidRPr="00A942F6" w:rsidRDefault="00405456" w:rsidP="00641834">
            <w:pPr>
              <w:pStyle w:val="TableParagraph"/>
              <w:jc w:val="center"/>
              <w:rPr>
                <w:sz w:val="20"/>
                <w:szCs w:val="20"/>
                <w:lang w:val="nb-NO"/>
              </w:rPr>
            </w:pPr>
            <w:r w:rsidRPr="00A942F6">
              <w:rPr>
                <w:sz w:val="20"/>
                <w:szCs w:val="20"/>
                <w:lang w:val="nb-NO"/>
              </w:rPr>
              <w:t>&lt; 0,0001</w:t>
            </w:r>
          </w:p>
        </w:tc>
      </w:tr>
      <w:tr w:rsidR="00405456" w:rsidRPr="00A942F6" w14:paraId="542B464A" w14:textId="77777777" w:rsidTr="00C42B2C">
        <w:trPr>
          <w:cantSplit/>
          <w:trHeight w:val="20"/>
        </w:trPr>
        <w:tc>
          <w:tcPr>
            <w:tcW w:w="2949" w:type="dxa"/>
          </w:tcPr>
          <w:p w14:paraId="3C0B9EB7" w14:textId="77777777" w:rsidR="00405456" w:rsidRPr="00A942F6" w:rsidRDefault="00405456" w:rsidP="00641834">
            <w:pPr>
              <w:pStyle w:val="TableParagraph"/>
              <w:jc w:val="right"/>
              <w:rPr>
                <w:sz w:val="20"/>
                <w:szCs w:val="20"/>
                <w:lang w:val="nb-NO"/>
              </w:rPr>
            </w:pPr>
            <w:r w:rsidRPr="00A942F6">
              <w:rPr>
                <w:sz w:val="20"/>
                <w:szCs w:val="20"/>
                <w:lang w:val="nb-NO"/>
              </w:rPr>
              <w:t>ACR20 respons, n (%)</w:t>
            </w:r>
          </w:p>
        </w:tc>
        <w:tc>
          <w:tcPr>
            <w:tcW w:w="1988" w:type="dxa"/>
          </w:tcPr>
          <w:p w14:paraId="24D49398" w14:textId="77777777" w:rsidR="00405456" w:rsidRPr="00A942F6" w:rsidRDefault="00405456" w:rsidP="00641834">
            <w:pPr>
              <w:pStyle w:val="TableParagraph"/>
              <w:jc w:val="center"/>
              <w:rPr>
                <w:sz w:val="20"/>
                <w:szCs w:val="20"/>
                <w:lang w:val="nb-NO"/>
              </w:rPr>
            </w:pPr>
            <w:r w:rsidRPr="00A942F6">
              <w:rPr>
                <w:sz w:val="20"/>
                <w:szCs w:val="20"/>
                <w:lang w:val="nb-NO"/>
              </w:rPr>
              <w:t>80 (49,4)</w:t>
            </w:r>
          </w:p>
        </w:tc>
        <w:tc>
          <w:tcPr>
            <w:tcW w:w="1973" w:type="dxa"/>
          </w:tcPr>
          <w:p w14:paraId="0A2F0224" w14:textId="77777777" w:rsidR="00405456" w:rsidRPr="00A942F6" w:rsidRDefault="00405456" w:rsidP="00641834">
            <w:pPr>
              <w:pStyle w:val="TableParagraph"/>
              <w:jc w:val="right"/>
              <w:rPr>
                <w:sz w:val="20"/>
                <w:szCs w:val="20"/>
                <w:lang w:val="nb-NO"/>
              </w:rPr>
            </w:pPr>
            <w:r w:rsidRPr="00A942F6">
              <w:rPr>
                <w:sz w:val="20"/>
                <w:szCs w:val="20"/>
                <w:lang w:val="nb-NO"/>
              </w:rPr>
              <w:t>106 (65,0)</w:t>
            </w:r>
          </w:p>
        </w:tc>
        <w:tc>
          <w:tcPr>
            <w:tcW w:w="1028" w:type="dxa"/>
          </w:tcPr>
          <w:p w14:paraId="4871E356" w14:textId="77777777" w:rsidR="00405456" w:rsidRPr="00A942F6" w:rsidRDefault="00405456" w:rsidP="00641834">
            <w:pPr>
              <w:pStyle w:val="TableParagraph"/>
              <w:jc w:val="center"/>
              <w:rPr>
                <w:sz w:val="20"/>
                <w:szCs w:val="20"/>
                <w:lang w:val="nb-NO"/>
              </w:rPr>
            </w:pPr>
            <w:r w:rsidRPr="00A942F6">
              <w:rPr>
                <w:sz w:val="20"/>
                <w:szCs w:val="20"/>
                <w:lang w:val="nb-NO"/>
              </w:rPr>
              <w:t>0,0038</w:t>
            </w:r>
          </w:p>
        </w:tc>
      </w:tr>
      <w:tr w:rsidR="00405456" w:rsidRPr="00A942F6" w14:paraId="77F21AB5" w14:textId="77777777" w:rsidTr="00C42B2C">
        <w:trPr>
          <w:cantSplit/>
          <w:trHeight w:val="20"/>
        </w:trPr>
        <w:tc>
          <w:tcPr>
            <w:tcW w:w="2949" w:type="dxa"/>
          </w:tcPr>
          <w:p w14:paraId="1B345BE1" w14:textId="77777777" w:rsidR="00405456" w:rsidRPr="00A942F6" w:rsidRDefault="00405456" w:rsidP="00641834">
            <w:pPr>
              <w:pStyle w:val="TableParagraph"/>
              <w:jc w:val="right"/>
              <w:rPr>
                <w:sz w:val="20"/>
                <w:szCs w:val="20"/>
                <w:lang w:val="nb-NO"/>
              </w:rPr>
            </w:pPr>
            <w:r w:rsidRPr="00A942F6">
              <w:rPr>
                <w:sz w:val="20"/>
                <w:szCs w:val="20"/>
                <w:lang w:val="nb-NO"/>
              </w:rPr>
              <w:t>ACR50 respons, n (%)</w:t>
            </w:r>
          </w:p>
        </w:tc>
        <w:tc>
          <w:tcPr>
            <w:tcW w:w="1988" w:type="dxa"/>
          </w:tcPr>
          <w:p w14:paraId="42B575CB" w14:textId="77777777" w:rsidR="00405456" w:rsidRPr="00A942F6" w:rsidRDefault="00405456" w:rsidP="00641834">
            <w:pPr>
              <w:pStyle w:val="TableParagraph"/>
              <w:jc w:val="center"/>
              <w:rPr>
                <w:sz w:val="20"/>
                <w:szCs w:val="20"/>
                <w:lang w:val="nb-NO"/>
              </w:rPr>
            </w:pPr>
            <w:r w:rsidRPr="00A942F6">
              <w:rPr>
                <w:sz w:val="20"/>
                <w:szCs w:val="20"/>
                <w:lang w:val="nb-NO"/>
              </w:rPr>
              <w:t>45 (27,8)</w:t>
            </w:r>
          </w:p>
        </w:tc>
        <w:tc>
          <w:tcPr>
            <w:tcW w:w="1973" w:type="dxa"/>
          </w:tcPr>
          <w:p w14:paraId="4674C948" w14:textId="77777777" w:rsidR="00405456" w:rsidRPr="00A942F6" w:rsidRDefault="00405456" w:rsidP="00641834">
            <w:pPr>
              <w:pStyle w:val="TableParagraph"/>
              <w:jc w:val="right"/>
              <w:rPr>
                <w:sz w:val="20"/>
                <w:szCs w:val="20"/>
                <w:lang w:val="nb-NO"/>
              </w:rPr>
            </w:pPr>
            <w:r w:rsidRPr="00A942F6">
              <w:rPr>
                <w:sz w:val="20"/>
                <w:szCs w:val="20"/>
                <w:lang w:val="nb-NO"/>
              </w:rPr>
              <w:t>77 (47,2)</w:t>
            </w:r>
          </w:p>
        </w:tc>
        <w:tc>
          <w:tcPr>
            <w:tcW w:w="1028" w:type="dxa"/>
          </w:tcPr>
          <w:p w14:paraId="095AB583" w14:textId="77777777" w:rsidR="00405456" w:rsidRPr="00A942F6" w:rsidRDefault="00405456" w:rsidP="00641834">
            <w:pPr>
              <w:pStyle w:val="TableParagraph"/>
              <w:jc w:val="center"/>
              <w:rPr>
                <w:sz w:val="20"/>
                <w:szCs w:val="20"/>
                <w:lang w:val="nb-NO"/>
              </w:rPr>
            </w:pPr>
            <w:r w:rsidRPr="00A942F6">
              <w:rPr>
                <w:sz w:val="20"/>
                <w:szCs w:val="20"/>
                <w:lang w:val="nb-NO"/>
              </w:rPr>
              <w:t>0,0002</w:t>
            </w:r>
          </w:p>
        </w:tc>
      </w:tr>
      <w:tr w:rsidR="00405456" w:rsidRPr="00A942F6" w14:paraId="0A0112F2" w14:textId="77777777" w:rsidTr="00C42B2C">
        <w:trPr>
          <w:cantSplit/>
          <w:trHeight w:val="20"/>
        </w:trPr>
        <w:tc>
          <w:tcPr>
            <w:tcW w:w="2949" w:type="dxa"/>
          </w:tcPr>
          <w:p w14:paraId="1DF793D5" w14:textId="77777777" w:rsidR="00405456" w:rsidRPr="00A942F6" w:rsidRDefault="00405456" w:rsidP="00641834">
            <w:pPr>
              <w:pStyle w:val="TableParagraph"/>
              <w:jc w:val="right"/>
              <w:rPr>
                <w:sz w:val="20"/>
                <w:szCs w:val="20"/>
                <w:lang w:val="nb-NO"/>
              </w:rPr>
            </w:pPr>
            <w:r w:rsidRPr="00A942F6">
              <w:rPr>
                <w:sz w:val="20"/>
                <w:szCs w:val="20"/>
                <w:lang w:val="nb-NO"/>
              </w:rPr>
              <w:t>ACR70 respons, n (%)</w:t>
            </w:r>
          </w:p>
        </w:tc>
        <w:tc>
          <w:tcPr>
            <w:tcW w:w="1988" w:type="dxa"/>
          </w:tcPr>
          <w:p w14:paraId="3DEF1271" w14:textId="77777777" w:rsidR="00405456" w:rsidRPr="00A942F6" w:rsidRDefault="00405456" w:rsidP="00641834">
            <w:pPr>
              <w:pStyle w:val="TableParagraph"/>
              <w:jc w:val="center"/>
              <w:rPr>
                <w:sz w:val="20"/>
                <w:szCs w:val="20"/>
                <w:lang w:val="nb-NO"/>
              </w:rPr>
            </w:pPr>
            <w:r w:rsidRPr="00A942F6">
              <w:rPr>
                <w:sz w:val="20"/>
                <w:szCs w:val="20"/>
                <w:lang w:val="nb-NO"/>
              </w:rPr>
              <w:t>29 (17,9)</w:t>
            </w:r>
          </w:p>
        </w:tc>
        <w:tc>
          <w:tcPr>
            <w:tcW w:w="1973" w:type="dxa"/>
          </w:tcPr>
          <w:p w14:paraId="17A35E82" w14:textId="77777777" w:rsidR="00405456" w:rsidRPr="00A942F6" w:rsidRDefault="00405456" w:rsidP="00641834">
            <w:pPr>
              <w:pStyle w:val="TableParagraph"/>
              <w:jc w:val="right"/>
              <w:rPr>
                <w:sz w:val="20"/>
                <w:szCs w:val="20"/>
                <w:lang w:val="nb-NO"/>
              </w:rPr>
            </w:pPr>
            <w:r w:rsidRPr="00A942F6">
              <w:rPr>
                <w:sz w:val="20"/>
                <w:szCs w:val="20"/>
                <w:lang w:val="nb-NO"/>
              </w:rPr>
              <w:t>53 (32,5)</w:t>
            </w:r>
          </w:p>
        </w:tc>
        <w:tc>
          <w:tcPr>
            <w:tcW w:w="1028" w:type="dxa"/>
          </w:tcPr>
          <w:p w14:paraId="716D5274" w14:textId="77777777" w:rsidR="00405456" w:rsidRPr="00A942F6" w:rsidRDefault="00405456" w:rsidP="00641834">
            <w:pPr>
              <w:pStyle w:val="TableParagraph"/>
              <w:jc w:val="center"/>
              <w:rPr>
                <w:sz w:val="20"/>
                <w:szCs w:val="20"/>
                <w:lang w:val="nb-NO"/>
              </w:rPr>
            </w:pPr>
            <w:r w:rsidRPr="00A942F6">
              <w:rPr>
                <w:sz w:val="20"/>
                <w:szCs w:val="20"/>
                <w:lang w:val="nb-NO"/>
              </w:rPr>
              <w:t>0,0023</w:t>
            </w:r>
          </w:p>
        </w:tc>
      </w:tr>
    </w:tbl>
    <w:p w14:paraId="6640897B" w14:textId="77777777" w:rsidR="00DF56D8" w:rsidRPr="00A942F6" w:rsidRDefault="00DF56D8" w:rsidP="00641834">
      <w:pPr>
        <w:pStyle w:val="tabenoteab"/>
        <w:numPr>
          <w:ilvl w:val="0"/>
          <w:numId w:val="13"/>
        </w:numPr>
        <w:rPr>
          <w:lang w:val="nb-NO"/>
        </w:rPr>
      </w:pPr>
      <w:r w:rsidRPr="00A942F6">
        <w:rPr>
          <w:lang w:val="nb-NO"/>
        </w:rPr>
        <w:t>p-verdi er justert for lokalisering og varighet av RA for alle endepunkter og i tillegg utgangsnivå- -verdi for alle kontinuerlige endepunkter.</w:t>
      </w:r>
    </w:p>
    <w:p w14:paraId="54E71D08" w14:textId="77777777" w:rsidR="00DF56D8" w:rsidRPr="00A942F6" w:rsidRDefault="00DF56D8" w:rsidP="00641834">
      <w:pPr>
        <w:pStyle w:val="tabenoteab"/>
        <w:rPr>
          <w:lang w:val="nb-NO"/>
        </w:rPr>
      </w:pPr>
      <w:r w:rsidRPr="00A942F6">
        <w:rPr>
          <w:lang w:val="nb-NO"/>
        </w:rPr>
        <w:t>Innsetting av verdier (imputasjon) for manglende data om ikke-respondere. Korrigert for multiplisitet med Bonferroni- Holm-metoden</w:t>
      </w:r>
    </w:p>
    <w:p w14:paraId="4151A495" w14:textId="77777777" w:rsidR="00DF56D8" w:rsidRPr="00A942F6" w:rsidRDefault="00DF56D8" w:rsidP="00641834">
      <w:pPr>
        <w:rPr>
          <w:lang w:val="nb-NO"/>
        </w:rPr>
      </w:pPr>
    </w:p>
    <w:p w14:paraId="7423B873" w14:textId="23886DC9" w:rsidR="00DF56D8" w:rsidRPr="00A942F6" w:rsidRDefault="00DF56D8" w:rsidP="00641834">
      <w:pPr>
        <w:rPr>
          <w:lang w:val="nb-NO"/>
        </w:rPr>
      </w:pPr>
      <w:r w:rsidRPr="00A942F6">
        <w:rPr>
          <w:lang w:val="nb-NO"/>
        </w:rPr>
        <w:t xml:space="preserve">Den samlede kliniske bivirkningsprofilen var den samme for </w:t>
      </w:r>
      <w:r w:rsidR="00813939" w:rsidRPr="00A942F6">
        <w:rPr>
          <w:lang w:val="nb-NO"/>
        </w:rPr>
        <w:t>tocilizumab</w:t>
      </w:r>
      <w:r w:rsidRPr="00A942F6">
        <w:rPr>
          <w:lang w:val="nb-NO"/>
        </w:rPr>
        <w:t xml:space="preserve"> og adalimumab. Andelen av pasienter med alvorlige bivirkninger var den samme i begge behandlingsgruppene (</w:t>
      </w:r>
      <w:r w:rsidR="00813939" w:rsidRPr="00A942F6">
        <w:rPr>
          <w:lang w:val="nb-NO"/>
        </w:rPr>
        <w:t>tocilizumab</w:t>
      </w:r>
      <w:r w:rsidRPr="00A942F6">
        <w:rPr>
          <w:lang w:val="nb-NO"/>
        </w:rPr>
        <w:t xml:space="preserve"> 11,7 % vs. adalimumab 9,9 %). Type bivirkninger i </w:t>
      </w:r>
      <w:r w:rsidR="00813939" w:rsidRPr="00A942F6">
        <w:rPr>
          <w:lang w:val="nb-NO"/>
        </w:rPr>
        <w:t>tocilizumab</w:t>
      </w:r>
      <w:r w:rsidRPr="00A942F6">
        <w:rPr>
          <w:lang w:val="nb-NO"/>
        </w:rPr>
        <w:t xml:space="preserve">-armen var i overensstemmelse med den kjente sikkerhetsprofilen til </w:t>
      </w:r>
      <w:r w:rsidR="00813939" w:rsidRPr="00A942F6">
        <w:rPr>
          <w:lang w:val="nb-NO"/>
        </w:rPr>
        <w:t>tocilizumab</w:t>
      </w:r>
      <w:r w:rsidRPr="00A942F6">
        <w:rPr>
          <w:lang w:val="nb-NO"/>
        </w:rPr>
        <w:t xml:space="preserve"> og bivirkningene ble rapportert med lignende frekvens sammenlignet med tabell 1. Høyere frekvens av infeksjoner og infestasjoner ble rapportert i </w:t>
      </w:r>
      <w:r w:rsidR="00813939" w:rsidRPr="00A942F6">
        <w:rPr>
          <w:lang w:val="nb-NO"/>
        </w:rPr>
        <w:t>tocilizumab</w:t>
      </w:r>
      <w:r w:rsidRPr="00A942F6">
        <w:rPr>
          <w:lang w:val="nb-NO"/>
        </w:rPr>
        <w:t>-armen (48 % vs. 42 %), men det var ingen forskjell i insidens av alvorlige infeksjoner</w:t>
      </w:r>
      <w:r w:rsidR="00495B46" w:rsidRPr="00A942F6">
        <w:rPr>
          <w:lang w:val="nb-NO"/>
        </w:rPr>
        <w:t xml:space="preserve"> </w:t>
      </w:r>
      <w:r w:rsidRPr="00A942F6">
        <w:rPr>
          <w:lang w:val="nb-NO"/>
        </w:rPr>
        <w:t xml:space="preserve">(3,1 %). Begge studiebehandlingene ga det samme forandringsmønsteret i laboratorieparametere for sikkerhet (reduksjoner i nøytrofile og antall blodplater, økninger i ALAT, ASAT og lipider), størrelsesordenen og hyppigheten av markerte unormale funn var imidlertid større med </w:t>
      </w:r>
      <w:r w:rsidR="00813939" w:rsidRPr="00A942F6">
        <w:rPr>
          <w:lang w:val="nb-NO"/>
        </w:rPr>
        <w:t>tocilizumab</w:t>
      </w:r>
      <w:r w:rsidRPr="00A942F6">
        <w:rPr>
          <w:lang w:val="nb-NO"/>
        </w:rPr>
        <w:t xml:space="preserve"> sammenlignet med adalimumab. Fire (2,5 %) pasienter i </w:t>
      </w:r>
      <w:r w:rsidR="00813939" w:rsidRPr="00A942F6">
        <w:rPr>
          <w:lang w:val="nb-NO"/>
        </w:rPr>
        <w:t>tocilizumab</w:t>
      </w:r>
      <w:r w:rsidRPr="00A942F6">
        <w:rPr>
          <w:lang w:val="nb-NO"/>
        </w:rPr>
        <w:t xml:space="preserve">-gruppen og to (1,2 %) pasienter i </w:t>
      </w:r>
      <w:r w:rsidRPr="00A942F6">
        <w:rPr>
          <w:lang w:val="nb-NO"/>
        </w:rPr>
        <w:lastRenderedPageBreak/>
        <w:t xml:space="preserve">adalimumabgruppen opplevde CTC-grad 3- eller 4-reduksjoner av antall nøytrofile. Elleve (6,8 %) pasienter i </w:t>
      </w:r>
      <w:r w:rsidR="00813939" w:rsidRPr="00A942F6">
        <w:rPr>
          <w:lang w:val="nb-NO"/>
        </w:rPr>
        <w:t>tocilizumab</w:t>
      </w:r>
      <w:r w:rsidRPr="00A942F6">
        <w:rPr>
          <w:lang w:val="nb-NO"/>
        </w:rPr>
        <w:t>-gruppen og fem (3,1 %) pasienter i adalimumabgruppen opplevde ALAT- forandringer av CTC-grad 2 eller høyere. Gjennomsnittlig LDL-økning fra utgangsnivået var</w:t>
      </w:r>
      <w:r w:rsidR="00495B46" w:rsidRPr="00A942F6">
        <w:rPr>
          <w:lang w:val="nb-NO"/>
        </w:rPr>
        <w:t xml:space="preserve"> </w:t>
      </w:r>
      <w:r w:rsidRPr="00A942F6">
        <w:rPr>
          <w:lang w:val="nb-NO"/>
        </w:rPr>
        <w:t>0,64</w:t>
      </w:r>
      <w:r w:rsidR="00495B46" w:rsidRPr="00A942F6">
        <w:rPr>
          <w:lang w:val="nb-NO"/>
        </w:rPr>
        <w:t> </w:t>
      </w:r>
      <w:r w:rsidRPr="00A942F6">
        <w:rPr>
          <w:lang w:val="nb-NO"/>
        </w:rPr>
        <w:t xml:space="preserve">mmol/l (25 mg/dl) hos pasienter i </w:t>
      </w:r>
      <w:r w:rsidR="00813939" w:rsidRPr="00A942F6">
        <w:rPr>
          <w:lang w:val="nb-NO"/>
        </w:rPr>
        <w:t>tocilizumab</w:t>
      </w:r>
      <w:r w:rsidRPr="00A942F6">
        <w:rPr>
          <w:lang w:val="nb-NO"/>
        </w:rPr>
        <w:t xml:space="preserve">-gruppen og 0,19 mmol/l (7 mg/dl) i adalimumabgruppen. Sikkerhetsprofilen som ble observert i </w:t>
      </w:r>
      <w:r w:rsidR="00813939" w:rsidRPr="00A942F6">
        <w:rPr>
          <w:lang w:val="nb-NO"/>
        </w:rPr>
        <w:t>tocilizumab</w:t>
      </w:r>
      <w:r w:rsidRPr="00A942F6">
        <w:rPr>
          <w:lang w:val="nb-NO"/>
        </w:rPr>
        <w:t xml:space="preserve">-gruppen var i overensstemmelse med den kjente sikkerhetsprofilen for </w:t>
      </w:r>
      <w:r w:rsidR="00813939" w:rsidRPr="00A942F6">
        <w:rPr>
          <w:lang w:val="nb-NO"/>
        </w:rPr>
        <w:t>tocilizumab</w:t>
      </w:r>
      <w:r w:rsidRPr="00A942F6">
        <w:rPr>
          <w:lang w:val="nb-NO"/>
        </w:rPr>
        <w:t>, og det ble ikke observert noen nye eller uventede bivirkninger (se tabell 1).</w:t>
      </w:r>
    </w:p>
    <w:p w14:paraId="19680931" w14:textId="77777777" w:rsidR="00DF56D8" w:rsidRPr="00A942F6" w:rsidRDefault="00DF56D8" w:rsidP="00641834">
      <w:pPr>
        <w:rPr>
          <w:lang w:val="nb-NO"/>
        </w:rPr>
      </w:pPr>
    </w:p>
    <w:p w14:paraId="4735688E" w14:textId="77777777" w:rsidR="00DF56D8" w:rsidRPr="00A942F6" w:rsidRDefault="00DF56D8" w:rsidP="00641834">
      <w:pPr>
        <w:pStyle w:val="H2"/>
        <w:rPr>
          <w:lang w:val="nb-NO"/>
        </w:rPr>
      </w:pPr>
      <w:r w:rsidRPr="00A942F6">
        <w:rPr>
          <w:lang w:val="nb-NO"/>
        </w:rPr>
        <w:t>5.2</w:t>
      </w:r>
      <w:r w:rsidRPr="00A942F6">
        <w:rPr>
          <w:lang w:val="nb-NO"/>
        </w:rPr>
        <w:tab/>
        <w:t>Farmakokinetiske egenskaper</w:t>
      </w:r>
    </w:p>
    <w:p w14:paraId="66F8DB90" w14:textId="77777777" w:rsidR="002155E9" w:rsidRPr="00A942F6" w:rsidRDefault="002155E9" w:rsidP="00641834">
      <w:pPr>
        <w:rPr>
          <w:lang w:val="nb-NO"/>
        </w:rPr>
      </w:pPr>
    </w:p>
    <w:p w14:paraId="740C0431" w14:textId="771E3AFA" w:rsidR="00DF56D8" w:rsidRPr="00A942F6" w:rsidRDefault="00DF56D8" w:rsidP="00641834">
      <w:pPr>
        <w:rPr>
          <w:lang w:val="nb-NO"/>
        </w:rPr>
      </w:pPr>
      <w:r w:rsidRPr="00A942F6">
        <w:rPr>
          <w:lang w:val="nb-NO"/>
        </w:rPr>
        <w:t xml:space="preserve">Farmakokinetikken til </w:t>
      </w:r>
      <w:r w:rsidR="00813939" w:rsidRPr="00A942F6">
        <w:rPr>
          <w:lang w:val="nb-NO"/>
        </w:rPr>
        <w:t>tocilizumab</w:t>
      </w:r>
      <w:r w:rsidRPr="00A942F6">
        <w:rPr>
          <w:lang w:val="nb-NO"/>
        </w:rPr>
        <w:t xml:space="preserve"> er karakterisert ved ikke-lineær eliminasjon, som er en kombinasjon av lineær clearance og Michaelis-Menten-eliminasjon. Den ikke-lineære delen av </w:t>
      </w:r>
      <w:r w:rsidR="00813939" w:rsidRPr="00A942F6">
        <w:rPr>
          <w:lang w:val="nb-NO"/>
        </w:rPr>
        <w:t>tocilizumab</w:t>
      </w:r>
      <w:r w:rsidRPr="00A942F6">
        <w:rPr>
          <w:lang w:val="nb-NO"/>
        </w:rPr>
        <w:t xml:space="preserve">s eliminasjon fører til en økning i eksponering som er mer enn dose-proporsjonal. De farmakokinetiske parametrene til </w:t>
      </w:r>
      <w:r w:rsidR="00813939" w:rsidRPr="00A942F6">
        <w:rPr>
          <w:lang w:val="nb-NO"/>
        </w:rPr>
        <w:t>tocilizumab</w:t>
      </w:r>
      <w:r w:rsidRPr="00A942F6">
        <w:rPr>
          <w:lang w:val="nb-NO"/>
        </w:rPr>
        <w:t xml:space="preserve"> endres ikke med tiden. Da total clearance er avhengig av serumkonsentrasjoner av </w:t>
      </w:r>
      <w:r w:rsidR="00813939" w:rsidRPr="00A942F6">
        <w:rPr>
          <w:lang w:val="nb-NO"/>
        </w:rPr>
        <w:t>tocilizumab</w:t>
      </w:r>
      <w:r w:rsidRPr="00A942F6">
        <w:rPr>
          <w:lang w:val="nb-NO"/>
        </w:rPr>
        <w:t xml:space="preserve">, er halveringstiden til </w:t>
      </w:r>
      <w:r w:rsidR="00813939" w:rsidRPr="00A942F6">
        <w:rPr>
          <w:lang w:val="nb-NO"/>
        </w:rPr>
        <w:t>tocilizumab</w:t>
      </w:r>
      <w:r w:rsidRPr="00A942F6">
        <w:rPr>
          <w:lang w:val="nb-NO"/>
        </w:rPr>
        <w:t xml:space="preserve"> også konsentrasjonsavhengig og varierer avhengig av serumkonsentrasjonsnivå. Farmakokinetiske populasjonsanalyser i pasientpopulasjoner som hittil er undersøkt indikerer ikke noen sammenheng mellom åpenbar clearance og tilstedeværelse av antistoffer mot legemidlet.</w:t>
      </w:r>
    </w:p>
    <w:p w14:paraId="0C09C6B0" w14:textId="77777777" w:rsidR="00F50939" w:rsidRPr="00A942F6" w:rsidRDefault="00F50939" w:rsidP="00641834">
      <w:pPr>
        <w:pStyle w:val="Style1underline"/>
        <w:rPr>
          <w:lang w:val="nb-NO"/>
        </w:rPr>
      </w:pPr>
    </w:p>
    <w:p w14:paraId="6E17FD37" w14:textId="77777777" w:rsidR="00DF56D8" w:rsidRPr="00A942F6" w:rsidRDefault="00DF56D8" w:rsidP="00641834">
      <w:pPr>
        <w:pStyle w:val="Style1underline"/>
        <w:rPr>
          <w:lang w:val="nb-NO"/>
        </w:rPr>
      </w:pPr>
      <w:r w:rsidRPr="00A942F6">
        <w:rPr>
          <w:lang w:val="nb-NO"/>
        </w:rPr>
        <w:t>RA</w:t>
      </w:r>
    </w:p>
    <w:p w14:paraId="295A186C" w14:textId="77777777" w:rsidR="00DF56D8" w:rsidRPr="00A942F6" w:rsidRDefault="00DF56D8" w:rsidP="00641834">
      <w:pPr>
        <w:pStyle w:val="Style1underline"/>
        <w:rPr>
          <w:lang w:val="nb-NO"/>
        </w:rPr>
      </w:pPr>
      <w:r w:rsidRPr="00A942F6">
        <w:rPr>
          <w:lang w:val="nb-NO"/>
        </w:rPr>
        <w:t>Intravenøs bruk</w:t>
      </w:r>
    </w:p>
    <w:p w14:paraId="0067C161" w14:textId="599EE025" w:rsidR="00DF56D8" w:rsidRPr="00A942F6" w:rsidRDefault="00DF56D8" w:rsidP="00641834">
      <w:pPr>
        <w:rPr>
          <w:lang w:val="nb-NO"/>
        </w:rPr>
      </w:pPr>
      <w:r w:rsidRPr="00A942F6">
        <w:rPr>
          <w:lang w:val="nb-NO"/>
        </w:rPr>
        <w:t xml:space="preserve">Den farmakokinetiske profilen for </w:t>
      </w:r>
      <w:r w:rsidR="00813939" w:rsidRPr="00A942F6">
        <w:rPr>
          <w:lang w:val="nb-NO"/>
        </w:rPr>
        <w:t>tocilizumab</w:t>
      </w:r>
      <w:r w:rsidRPr="00A942F6">
        <w:rPr>
          <w:lang w:val="nb-NO"/>
        </w:rPr>
        <w:t xml:space="preserve"> ble etablert ved hjelp av farmakokinetiske populasjonsanalyser av en database med 3552 RA-pasienter som fikk behandling med 4 eller 8 mg/kg </w:t>
      </w:r>
      <w:r w:rsidR="00813939" w:rsidRPr="00A942F6">
        <w:rPr>
          <w:lang w:val="nb-NO"/>
        </w:rPr>
        <w:t>tocilizumab</w:t>
      </w:r>
      <w:r w:rsidRPr="00A942F6">
        <w:rPr>
          <w:lang w:val="nb-NO"/>
        </w:rPr>
        <w:t xml:space="preserve"> infusjon i løpet av én time hver 4 uke i 24 uker, eller 162 mg </w:t>
      </w:r>
      <w:r w:rsidR="00813939" w:rsidRPr="00A942F6">
        <w:rPr>
          <w:lang w:val="nb-NO"/>
        </w:rPr>
        <w:t>tocilizumab</w:t>
      </w:r>
      <w:r w:rsidRPr="00A942F6">
        <w:rPr>
          <w:lang w:val="nb-NO"/>
        </w:rPr>
        <w:t xml:space="preserve"> gitt subkutant enten 1 gang ukentlig eller 1 gang annenhver uke i 24 uker.</w:t>
      </w:r>
    </w:p>
    <w:p w14:paraId="2772470F" w14:textId="77777777" w:rsidR="00495B46" w:rsidRPr="00A942F6" w:rsidRDefault="00495B46" w:rsidP="00641834">
      <w:pPr>
        <w:rPr>
          <w:lang w:val="nb-NO"/>
        </w:rPr>
      </w:pPr>
    </w:p>
    <w:p w14:paraId="661CD35B" w14:textId="618DB6CF" w:rsidR="00DF56D8" w:rsidRPr="00A942F6" w:rsidRDefault="00DF56D8" w:rsidP="001552FE">
      <w:pPr>
        <w:rPr>
          <w:lang w:val="nb-NO"/>
        </w:rPr>
      </w:pPr>
      <w:r w:rsidRPr="00A942F6">
        <w:rPr>
          <w:lang w:val="nb-NO"/>
        </w:rPr>
        <w:t xml:space="preserve">De følgende parameterne (beregnet gjennomsnitt ± SD) ble estimert for en </w:t>
      </w:r>
      <w:r w:rsidR="00813939" w:rsidRPr="00A942F6">
        <w:rPr>
          <w:lang w:val="nb-NO"/>
        </w:rPr>
        <w:t>tocilizumab</w:t>
      </w:r>
      <w:r w:rsidRPr="00A942F6">
        <w:rPr>
          <w:lang w:val="nb-NO"/>
        </w:rPr>
        <w:t>-dose på 8</w:t>
      </w:r>
      <w:r w:rsidR="007C4FF9">
        <w:rPr>
          <w:lang w:val="nb-NO"/>
        </w:rPr>
        <w:t> </w:t>
      </w:r>
      <w:r w:rsidRPr="00A942F6">
        <w:rPr>
          <w:lang w:val="nb-NO"/>
        </w:rPr>
        <w:t>mg/kg gitt hver 4. uke: Steady state-areal under kurven (AUC) =</w:t>
      </w:r>
      <w:r w:rsidR="00495B46" w:rsidRPr="00A942F6">
        <w:rPr>
          <w:lang w:val="nb-NO"/>
        </w:rPr>
        <w:t xml:space="preserve"> </w:t>
      </w:r>
      <w:r w:rsidRPr="00A942F6">
        <w:rPr>
          <w:lang w:val="nb-NO"/>
        </w:rPr>
        <w:t>38 000 ± 13 000 time•mikrogram/ml, bunnkonsentrasjon (C</w:t>
      </w:r>
      <w:r w:rsidRPr="00A942F6">
        <w:rPr>
          <w:vertAlign w:val="subscript"/>
          <w:lang w:val="nb-NO"/>
        </w:rPr>
        <w:t>min</w:t>
      </w:r>
      <w:r w:rsidRPr="00A942F6">
        <w:rPr>
          <w:lang w:val="nb-NO"/>
        </w:rPr>
        <w:t>) = 15,9 ± 13,1 mikrogram/ml og maksimumskonsentrasjon (C</w:t>
      </w:r>
      <w:r w:rsidRPr="00A942F6">
        <w:rPr>
          <w:vertAlign w:val="subscript"/>
          <w:lang w:val="nb-NO"/>
        </w:rPr>
        <w:t>max</w:t>
      </w:r>
      <w:r w:rsidRPr="00A942F6">
        <w:rPr>
          <w:lang w:val="nb-NO"/>
        </w:rPr>
        <w:t>)=182 ± 50,4</w:t>
      </w:r>
      <w:r w:rsidR="001552FE" w:rsidRPr="00A942F6">
        <w:rPr>
          <w:lang w:val="nb-NO"/>
        </w:rPr>
        <w:t> </w:t>
      </w:r>
      <w:r w:rsidRPr="00A942F6">
        <w:rPr>
          <w:lang w:val="nb-NO"/>
        </w:rPr>
        <w:t>mikrogram/ml, og akkumulasjonsratio for AUC og C</w:t>
      </w:r>
      <w:r w:rsidR="00F36EEE" w:rsidRPr="00A942F6">
        <w:rPr>
          <w:rFonts w:cs="Times New Roman"/>
          <w:vertAlign w:val="subscript"/>
          <w:lang w:val="nb-NO"/>
        </w:rPr>
        <w:t xml:space="preserve">max </w:t>
      </w:r>
      <w:r w:rsidRPr="00A942F6">
        <w:rPr>
          <w:lang w:val="nb-NO"/>
        </w:rPr>
        <w:t>var lave, henholdsvis 1,32 og 1,09. Akkumulasjonsratio var høyere for C</w:t>
      </w:r>
      <w:r w:rsidR="00F36EEE" w:rsidRPr="00A942F6">
        <w:rPr>
          <w:rFonts w:cs="Times New Roman"/>
          <w:vertAlign w:val="subscript"/>
          <w:lang w:val="nb-NO"/>
        </w:rPr>
        <w:t xml:space="preserve">min </w:t>
      </w:r>
      <w:r w:rsidRPr="00A942F6">
        <w:rPr>
          <w:lang w:val="nb-NO"/>
        </w:rPr>
        <w:t>(2,49). Dette var forventet, basert på en ikke-lineær clearance ved lavere konsentrasjoner. Steady-state ble oppnådd etter første administrasjon for C</w:t>
      </w:r>
      <w:r w:rsidR="00F36EEE" w:rsidRPr="00A942F6">
        <w:rPr>
          <w:rFonts w:cs="Times New Roman"/>
          <w:vertAlign w:val="subscript"/>
          <w:lang w:val="nb-NO"/>
        </w:rPr>
        <w:t xml:space="preserve">max </w:t>
      </w:r>
      <w:r w:rsidRPr="00A942F6">
        <w:rPr>
          <w:lang w:val="nb-NO"/>
        </w:rPr>
        <w:t>og etter henholdsvis 8 og 20 uker for AUC og C</w:t>
      </w:r>
      <w:r w:rsidRPr="00A942F6">
        <w:rPr>
          <w:vertAlign w:val="subscript"/>
          <w:lang w:val="nb-NO"/>
        </w:rPr>
        <w:t>min</w:t>
      </w:r>
      <w:r w:rsidRPr="00A942F6">
        <w:rPr>
          <w:lang w:val="nb-NO"/>
        </w:rPr>
        <w:t xml:space="preserve">. </w:t>
      </w:r>
      <w:r w:rsidR="00971AB3" w:rsidRPr="00A942F6">
        <w:rPr>
          <w:lang w:val="nb-NO"/>
        </w:rPr>
        <w:t>T</w:t>
      </w:r>
      <w:r w:rsidR="00813939" w:rsidRPr="00A942F6">
        <w:rPr>
          <w:lang w:val="nb-NO"/>
        </w:rPr>
        <w:t>ocilizumab</w:t>
      </w:r>
      <w:r w:rsidRPr="00A942F6">
        <w:rPr>
          <w:lang w:val="nb-NO"/>
        </w:rPr>
        <w:t xml:space="preserve"> AUC,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økte med økt kroppsvekt. Ved kroppsvekt </w:t>
      </w:r>
      <w:r w:rsidRPr="00A942F6">
        <w:rPr>
          <w:rFonts w:cs="Times New Roman"/>
          <w:lang w:val="nb-NO"/>
        </w:rPr>
        <w:t>≥</w:t>
      </w:r>
      <w:r w:rsidRPr="00A942F6">
        <w:rPr>
          <w:lang w:val="nb-NO"/>
        </w:rPr>
        <w:t xml:space="preserve"> 100 kg, var antatt gjennomsnittlig (</w:t>
      </w:r>
      <w:r w:rsidRPr="00A942F6">
        <w:rPr>
          <w:rFonts w:cs="Times New Roman"/>
          <w:lang w:val="nb-NO"/>
        </w:rPr>
        <w:t>±</w:t>
      </w:r>
      <w:r w:rsidRPr="00A942F6">
        <w:rPr>
          <w:lang w:val="nb-NO"/>
        </w:rPr>
        <w:t xml:space="preserve"> SD) steady- state AUC,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for </w:t>
      </w:r>
      <w:r w:rsidR="00813939" w:rsidRPr="00A942F6">
        <w:rPr>
          <w:lang w:val="nb-NO"/>
        </w:rPr>
        <w:t>tocilizumab</w:t>
      </w:r>
      <w:r w:rsidRPr="00A942F6">
        <w:rPr>
          <w:lang w:val="nb-NO"/>
        </w:rPr>
        <w:t xml:space="preserve"> henholdsvis 50 000 </w:t>
      </w:r>
      <w:r w:rsidRPr="00A942F6">
        <w:rPr>
          <w:rFonts w:cs="Times New Roman"/>
          <w:lang w:val="nb-NO"/>
        </w:rPr>
        <w:t>±</w:t>
      </w:r>
      <w:r w:rsidRPr="00A942F6">
        <w:rPr>
          <w:lang w:val="nb-NO"/>
        </w:rPr>
        <w:t xml:space="preserve"> 16 800 mikrogram•time/ml,</w:t>
      </w:r>
      <w:r w:rsidR="001552FE" w:rsidRPr="00A942F6">
        <w:rPr>
          <w:lang w:val="nb-NO"/>
        </w:rPr>
        <w:t xml:space="preserve"> </w:t>
      </w:r>
      <w:r w:rsidRPr="00A942F6">
        <w:rPr>
          <w:lang w:val="nb-NO"/>
        </w:rPr>
        <w:t>24,4 ± 17,5</w:t>
      </w:r>
      <w:r w:rsidR="007C4FF9">
        <w:rPr>
          <w:lang w:val="nb-NO"/>
        </w:rPr>
        <w:t> </w:t>
      </w:r>
      <w:r w:rsidRPr="00A942F6">
        <w:rPr>
          <w:lang w:val="nb-NO"/>
        </w:rPr>
        <w:t xml:space="preserve">mikrogram/ml, og 226 ± 50,3 mikrogram/ml, som er høyere enn gjennomsnittlig eksponeringsverdier for pasientpopulasjonen (dvs. uavhengig av kroppsvekt) som beskrevet over. Doseresponskurven for </w:t>
      </w:r>
      <w:r w:rsidR="00813939" w:rsidRPr="00A942F6">
        <w:rPr>
          <w:lang w:val="nb-NO"/>
        </w:rPr>
        <w:t>tocilizumab</w:t>
      </w:r>
      <w:r w:rsidRPr="00A942F6">
        <w:rPr>
          <w:lang w:val="nb-NO"/>
        </w:rPr>
        <w:t xml:space="preserve"> flater ut ved høyere eksponering, som resulterer i mindre nytte- gevinst for hver økning i </w:t>
      </w:r>
      <w:r w:rsidR="00813939" w:rsidRPr="00A942F6">
        <w:rPr>
          <w:lang w:val="nb-NO"/>
        </w:rPr>
        <w:t>tocilizumab</w:t>
      </w:r>
      <w:r w:rsidRPr="00A942F6">
        <w:rPr>
          <w:lang w:val="nb-NO"/>
        </w:rPr>
        <w:t xml:space="preserve">-konsentrasjon. Dermed ble ikke klinisk meningsfulle økninger i effekt demonstrert for pasienter behandlet med &gt; 800 mg med </w:t>
      </w:r>
      <w:r w:rsidR="00813939" w:rsidRPr="00A942F6">
        <w:rPr>
          <w:lang w:val="nb-NO"/>
        </w:rPr>
        <w:t>tocilizumab</w:t>
      </w:r>
      <w:r w:rsidRPr="00A942F6">
        <w:rPr>
          <w:lang w:val="nb-NO"/>
        </w:rPr>
        <w:t xml:space="preserve">. </w:t>
      </w:r>
      <w:r w:rsidR="009947C5" w:rsidRPr="00A942F6">
        <w:rPr>
          <w:lang w:val="nb-NO"/>
        </w:rPr>
        <w:t>T</w:t>
      </w:r>
      <w:r w:rsidR="00813939" w:rsidRPr="00A942F6">
        <w:rPr>
          <w:lang w:val="nb-NO"/>
        </w:rPr>
        <w:t>ocilizumab</w:t>
      </w:r>
      <w:r w:rsidRPr="00A942F6">
        <w:rPr>
          <w:lang w:val="nb-NO"/>
        </w:rPr>
        <w:t>-doser over 800 mg per infusjon er derfor ikke anbefalt (se pkt. 4.2).</w:t>
      </w:r>
    </w:p>
    <w:p w14:paraId="7AE5282A" w14:textId="77777777" w:rsidR="00DF56D8" w:rsidRPr="00A942F6" w:rsidRDefault="00DF56D8" w:rsidP="00641834">
      <w:pPr>
        <w:rPr>
          <w:lang w:val="nb-NO"/>
        </w:rPr>
      </w:pPr>
    </w:p>
    <w:p w14:paraId="4442D8DB" w14:textId="77777777" w:rsidR="00DF56D8" w:rsidRPr="00A942F6" w:rsidRDefault="00DF56D8" w:rsidP="00641834">
      <w:pPr>
        <w:pStyle w:val="Style1underline"/>
        <w:rPr>
          <w:lang w:val="nb-NO"/>
        </w:rPr>
      </w:pPr>
      <w:r w:rsidRPr="00A942F6">
        <w:rPr>
          <w:lang w:val="nb-NO"/>
        </w:rPr>
        <w:t>Distribusjon</w:t>
      </w:r>
    </w:p>
    <w:p w14:paraId="53861E4D" w14:textId="77777777" w:rsidR="00DF56D8" w:rsidRPr="00A942F6" w:rsidRDefault="00DF56D8" w:rsidP="00641834">
      <w:pPr>
        <w:rPr>
          <w:lang w:val="nb-NO"/>
        </w:rPr>
      </w:pPr>
      <w:r w:rsidRPr="00A942F6">
        <w:rPr>
          <w:lang w:val="nb-NO"/>
        </w:rPr>
        <w:t>Hos RA-pasienter var sentralt distribusjonsvolum 3,72, perifert distribusjonsvolum var 3,35, som gir distribusjonsvolum 7,07 ved steady-state.</w:t>
      </w:r>
    </w:p>
    <w:p w14:paraId="5B455A85" w14:textId="77777777" w:rsidR="00DF56D8" w:rsidRPr="00A942F6" w:rsidRDefault="00DF56D8" w:rsidP="00641834">
      <w:pPr>
        <w:rPr>
          <w:lang w:val="nb-NO"/>
        </w:rPr>
      </w:pPr>
    </w:p>
    <w:p w14:paraId="0EAE8566" w14:textId="77777777" w:rsidR="00DF56D8" w:rsidRPr="00A942F6" w:rsidRDefault="00DF56D8" w:rsidP="00641834">
      <w:pPr>
        <w:pStyle w:val="Style1underline"/>
        <w:rPr>
          <w:lang w:val="nb-NO"/>
        </w:rPr>
      </w:pPr>
      <w:r w:rsidRPr="00A942F6">
        <w:rPr>
          <w:lang w:val="nb-NO"/>
        </w:rPr>
        <w:t>Eliminasjon</w:t>
      </w:r>
    </w:p>
    <w:p w14:paraId="58404ECE" w14:textId="72722CB4" w:rsidR="00DF56D8" w:rsidRPr="00A942F6" w:rsidRDefault="00DF56D8" w:rsidP="00641834">
      <w:pPr>
        <w:rPr>
          <w:lang w:val="nb-NO"/>
        </w:rPr>
      </w:pPr>
      <w:r w:rsidRPr="00A942F6">
        <w:rPr>
          <w:lang w:val="nb-NO"/>
        </w:rPr>
        <w:t xml:space="preserve">Etter intravenøs administrasjon gjennomgår </w:t>
      </w:r>
      <w:r w:rsidR="00813939" w:rsidRPr="00A942F6">
        <w:rPr>
          <w:lang w:val="nb-NO"/>
        </w:rPr>
        <w:t>tocilizumab</w:t>
      </w:r>
      <w:r w:rsidRPr="00A942F6">
        <w:rPr>
          <w:lang w:val="nb-NO"/>
        </w:rPr>
        <w:t xml:space="preserve"> bifasisk eliminasjon fra sirkulasjonen. Total clearance av </w:t>
      </w:r>
      <w:r w:rsidR="00813939" w:rsidRPr="00A942F6">
        <w:rPr>
          <w:lang w:val="nb-NO"/>
        </w:rPr>
        <w:t>tocilizumab</w:t>
      </w:r>
      <w:r w:rsidRPr="00A942F6">
        <w:rPr>
          <w:lang w:val="nb-NO"/>
        </w:rPr>
        <w:t xml:space="preserve"> var konsentrasjonsavhengig, og er summen av lineær og ikke-lineær clearance. Lineær clearance ble estimert som en parameter i den farmakokinetiske populasjonsanalysen og var 9,5 ml/time. Konsentrasjonsavhengig, ikke-lineær clearance spiller en viktig rolle ved lave konsentrasjoner av </w:t>
      </w:r>
      <w:r w:rsidR="00813939" w:rsidRPr="00A942F6">
        <w:rPr>
          <w:lang w:val="nb-NO"/>
        </w:rPr>
        <w:t>tocilizumab</w:t>
      </w:r>
      <w:r w:rsidRPr="00A942F6">
        <w:rPr>
          <w:lang w:val="nb-NO"/>
        </w:rPr>
        <w:t xml:space="preserve"> . Når den ikke-lineære clearanceveien er mettet ved høyere konsentrasjoner av </w:t>
      </w:r>
      <w:r w:rsidR="00813939" w:rsidRPr="00A942F6">
        <w:rPr>
          <w:lang w:val="nb-NO"/>
        </w:rPr>
        <w:t>tocilizumab</w:t>
      </w:r>
      <w:r w:rsidRPr="00A942F6">
        <w:rPr>
          <w:lang w:val="nb-NO"/>
        </w:rPr>
        <w:t xml:space="preserve"> , avgjøres clearance hovedsakelig av lineær clearance.</w:t>
      </w:r>
    </w:p>
    <w:p w14:paraId="361C09E1" w14:textId="77777777" w:rsidR="00495B46" w:rsidRPr="00A942F6" w:rsidRDefault="00495B46" w:rsidP="00641834">
      <w:pPr>
        <w:rPr>
          <w:lang w:val="nb-NO"/>
        </w:rPr>
      </w:pPr>
    </w:p>
    <w:p w14:paraId="6CB3DCCB" w14:textId="2129D766" w:rsidR="00DF56D8" w:rsidRPr="00A942F6" w:rsidRDefault="00DF56D8" w:rsidP="00641834">
      <w:pPr>
        <w:rPr>
          <w:lang w:val="nb-NO"/>
        </w:rPr>
      </w:pPr>
      <w:r w:rsidRPr="00A942F6">
        <w:rPr>
          <w:lang w:val="nb-NO"/>
        </w:rPr>
        <w:t>Halveringstiden (t</w:t>
      </w:r>
      <w:r w:rsidR="002D2136" w:rsidRPr="00A942F6">
        <w:rPr>
          <w:vertAlign w:val="subscript"/>
          <w:lang w:val="nb-NO"/>
        </w:rPr>
        <w:t>1/2</w:t>
      </w:r>
      <w:r w:rsidRPr="00A942F6">
        <w:rPr>
          <w:lang w:val="nb-NO"/>
        </w:rPr>
        <w:t xml:space="preserve">) for </w:t>
      </w:r>
      <w:r w:rsidR="00813939" w:rsidRPr="00A942F6">
        <w:rPr>
          <w:lang w:val="nb-NO"/>
        </w:rPr>
        <w:t>tocilizumab</w:t>
      </w:r>
      <w:r w:rsidRPr="00A942F6">
        <w:rPr>
          <w:lang w:val="nb-NO"/>
        </w:rPr>
        <w:t xml:space="preserve"> var konsentrasjonsavhengig. Ved steady-state etter dosering</w:t>
      </w:r>
      <w:r w:rsidR="00F36EEE" w:rsidRPr="00A942F6">
        <w:rPr>
          <w:lang w:val="nb-NO"/>
        </w:rPr>
        <w:t xml:space="preserve"> </w:t>
      </w:r>
      <w:r w:rsidRPr="00A942F6">
        <w:rPr>
          <w:lang w:val="nb-NO"/>
        </w:rPr>
        <w:t>8</w:t>
      </w:r>
      <w:r w:rsidR="00F36EEE" w:rsidRPr="00A942F6">
        <w:rPr>
          <w:lang w:val="nb-NO"/>
        </w:rPr>
        <w:t> </w:t>
      </w:r>
      <w:r w:rsidRPr="00A942F6">
        <w:rPr>
          <w:lang w:val="nb-NO"/>
        </w:rPr>
        <w:t>mg/kg hver 4. uke avtok effektiv t</w:t>
      </w:r>
      <w:r w:rsidR="002D2136" w:rsidRPr="00A942F6">
        <w:rPr>
          <w:vertAlign w:val="subscript"/>
          <w:lang w:val="nb-NO"/>
        </w:rPr>
        <w:t>1/2</w:t>
      </w:r>
      <w:r w:rsidRPr="00A942F6">
        <w:rPr>
          <w:lang w:val="nb-NO"/>
        </w:rPr>
        <w:t xml:space="preserve"> med avtagende konsentrasjon innenfor et doseringsintervall fra 18 til 6 dager.</w:t>
      </w:r>
    </w:p>
    <w:p w14:paraId="4B2A52B4" w14:textId="77777777" w:rsidR="00495B46" w:rsidRPr="00A942F6" w:rsidRDefault="00495B46" w:rsidP="00641834">
      <w:pPr>
        <w:rPr>
          <w:lang w:val="nb-NO"/>
        </w:rPr>
      </w:pPr>
    </w:p>
    <w:p w14:paraId="31B3A014" w14:textId="77777777" w:rsidR="00DF56D8" w:rsidRPr="00A942F6" w:rsidRDefault="00DF56D8" w:rsidP="00641834">
      <w:pPr>
        <w:pStyle w:val="Style1underline"/>
        <w:rPr>
          <w:lang w:val="nb-NO"/>
        </w:rPr>
      </w:pPr>
      <w:r w:rsidRPr="00A942F6">
        <w:rPr>
          <w:lang w:val="nb-NO"/>
        </w:rPr>
        <w:t>Linearitet</w:t>
      </w:r>
    </w:p>
    <w:p w14:paraId="5310ED31" w14:textId="5D392E02" w:rsidR="00DF56D8" w:rsidRPr="00A942F6" w:rsidRDefault="00DF56D8" w:rsidP="00641834">
      <w:pPr>
        <w:rPr>
          <w:lang w:val="nb-NO"/>
        </w:rPr>
      </w:pPr>
      <w:r w:rsidRPr="00A942F6">
        <w:rPr>
          <w:lang w:val="nb-NO"/>
        </w:rPr>
        <w:t xml:space="preserve">De farmakokinetiske parameterne for </w:t>
      </w:r>
      <w:r w:rsidR="00813939" w:rsidRPr="00A942F6">
        <w:rPr>
          <w:lang w:val="nb-NO"/>
        </w:rPr>
        <w:t>tocilizumab</w:t>
      </w:r>
      <w:r w:rsidRPr="00A942F6">
        <w:rPr>
          <w:lang w:val="nb-NO"/>
        </w:rPr>
        <w:t xml:space="preserve"> endret seg ikke over tid. En mer enn doseproporsjonal økning i AUC og C</w:t>
      </w:r>
      <w:r w:rsidR="00F36EEE" w:rsidRPr="00A942F6">
        <w:rPr>
          <w:rFonts w:cs="Times New Roman"/>
          <w:vertAlign w:val="subscript"/>
          <w:lang w:val="nb-NO"/>
        </w:rPr>
        <w:t xml:space="preserve">min </w:t>
      </w:r>
      <w:r w:rsidRPr="00A942F6">
        <w:rPr>
          <w:lang w:val="nb-NO"/>
        </w:rPr>
        <w:t>ble observert for doser på 4 og 8 mg/kg hver 4. uke. C</w:t>
      </w:r>
      <w:r w:rsidR="00F36EEE" w:rsidRPr="00A942F6">
        <w:rPr>
          <w:rFonts w:cs="Times New Roman"/>
          <w:vertAlign w:val="subscript"/>
          <w:lang w:val="nb-NO"/>
        </w:rPr>
        <w:t xml:space="preserve">max </w:t>
      </w:r>
      <w:r w:rsidRPr="00A942F6">
        <w:rPr>
          <w:lang w:val="nb-NO"/>
        </w:rPr>
        <w:t>økte doseproporsjonalt. Ved steady state var beregnet AUC og C</w:t>
      </w:r>
      <w:r w:rsidR="00F36EEE" w:rsidRPr="00A942F6">
        <w:rPr>
          <w:rFonts w:cs="Times New Roman"/>
          <w:vertAlign w:val="subscript"/>
          <w:lang w:val="nb-NO"/>
        </w:rPr>
        <w:t xml:space="preserve">min </w:t>
      </w:r>
      <w:r w:rsidRPr="00A942F6">
        <w:rPr>
          <w:lang w:val="nb-NO"/>
        </w:rPr>
        <w:t>henholdsvis 3,2 og 30 ganger høyere ved 8 mg/kg sammenlignet med 4 mg/kg.</w:t>
      </w:r>
    </w:p>
    <w:p w14:paraId="4B68470B" w14:textId="77777777" w:rsidR="00DF56D8" w:rsidRPr="00A942F6" w:rsidRDefault="00DF56D8" w:rsidP="00641834">
      <w:pPr>
        <w:rPr>
          <w:lang w:val="nb-NO"/>
        </w:rPr>
      </w:pPr>
    </w:p>
    <w:p w14:paraId="7A7A4D74" w14:textId="77777777" w:rsidR="00DF56D8" w:rsidRPr="00A942F6" w:rsidRDefault="00DF56D8" w:rsidP="00641834">
      <w:pPr>
        <w:pStyle w:val="Style1underline"/>
        <w:rPr>
          <w:lang w:val="nb-NO"/>
        </w:rPr>
      </w:pPr>
      <w:r w:rsidRPr="00A942F6">
        <w:rPr>
          <w:lang w:val="nb-NO"/>
        </w:rPr>
        <w:t>Subkutan bruk</w:t>
      </w:r>
    </w:p>
    <w:p w14:paraId="40FA60E3" w14:textId="75A6E747" w:rsidR="00DF56D8" w:rsidRPr="00A942F6" w:rsidRDefault="00DF56D8" w:rsidP="00641834">
      <w:pPr>
        <w:rPr>
          <w:lang w:val="nb-NO"/>
        </w:rPr>
      </w:pPr>
      <w:r w:rsidRPr="00A942F6">
        <w:rPr>
          <w:lang w:val="nb-NO"/>
        </w:rPr>
        <w:t xml:space="preserve">Den farmakokinetiske profilen for </w:t>
      </w:r>
      <w:r w:rsidR="00813939" w:rsidRPr="00A942F6">
        <w:rPr>
          <w:lang w:val="nb-NO"/>
        </w:rPr>
        <w:t>tocilizumab</w:t>
      </w:r>
      <w:r w:rsidRPr="00A942F6">
        <w:rPr>
          <w:lang w:val="nb-NO"/>
        </w:rPr>
        <w:t xml:space="preserve"> ble etablert ved hjelp av farmakokinetiske populasjonsanalyser av en database med 3552 RA-pasienter som fikk behandling med 162 mg subkutant hver uke, 162 mg subkutant annenhver uke, og/eller 4 eller 8 mg/kg intravenøst hver 4. uke i 24 uker.</w:t>
      </w:r>
    </w:p>
    <w:p w14:paraId="6063C725" w14:textId="77777777" w:rsidR="00495B46" w:rsidRPr="00A942F6" w:rsidRDefault="00495B46" w:rsidP="00641834">
      <w:pPr>
        <w:rPr>
          <w:lang w:val="nb-NO"/>
        </w:rPr>
      </w:pPr>
    </w:p>
    <w:p w14:paraId="6EDBB8BF" w14:textId="6532EE29" w:rsidR="00DF56D8" w:rsidRPr="00A942F6" w:rsidRDefault="00DF56D8" w:rsidP="00641834">
      <w:pPr>
        <w:rPr>
          <w:lang w:val="nb-NO"/>
        </w:rPr>
      </w:pPr>
      <w:r w:rsidRPr="00A942F6">
        <w:rPr>
          <w:lang w:val="nb-NO"/>
        </w:rPr>
        <w:t xml:space="preserve">De farmakokinetiske parameterne for </w:t>
      </w:r>
      <w:r w:rsidR="00813939" w:rsidRPr="00A942F6">
        <w:rPr>
          <w:lang w:val="nb-NO"/>
        </w:rPr>
        <w:t>tocilizumab</w:t>
      </w:r>
      <w:r w:rsidRPr="00A942F6">
        <w:rPr>
          <w:lang w:val="nb-NO"/>
        </w:rPr>
        <w:t xml:space="preserve"> endret seg ikke over tid. For 162 mg dose hver uke, var antatt gjennomsnittlig (± SD) steady-state AUC uke 1,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for </w:t>
      </w:r>
      <w:r w:rsidR="00813939" w:rsidRPr="00A942F6">
        <w:rPr>
          <w:lang w:val="nb-NO"/>
        </w:rPr>
        <w:t>tocilizumab</w:t>
      </w:r>
      <w:r w:rsidRPr="00A942F6">
        <w:rPr>
          <w:lang w:val="nb-NO"/>
        </w:rPr>
        <w:t xml:space="preserve"> henholdsvis 7970 ± 3432 mikrogram•time/ml, 43,0 ± 19,8 mikrogram/ml, og 49,8 ± 21,0 mikrogram/ml.</w:t>
      </w:r>
      <w:r w:rsidR="00F36EEE" w:rsidRPr="00A942F6">
        <w:rPr>
          <w:lang w:val="nb-NO"/>
        </w:rPr>
        <w:t xml:space="preserve"> </w:t>
      </w:r>
      <w:r w:rsidRPr="00A942F6">
        <w:rPr>
          <w:lang w:val="nb-NO"/>
        </w:rPr>
        <w:t>Akkumulasjonsratio for AUC, C</w:t>
      </w:r>
      <w:r w:rsidRPr="00A942F6">
        <w:rPr>
          <w:vertAlign w:val="subscript"/>
          <w:lang w:val="nb-NO"/>
        </w:rPr>
        <w:t>min</w:t>
      </w:r>
      <w:r w:rsidRPr="00A942F6">
        <w:rPr>
          <w:lang w:val="nb-NO"/>
        </w:rPr>
        <w:t>, og C</w:t>
      </w:r>
      <w:r w:rsidR="00F36EEE" w:rsidRPr="00A942F6">
        <w:rPr>
          <w:rFonts w:cs="Times New Roman"/>
          <w:vertAlign w:val="subscript"/>
          <w:lang w:val="nb-NO"/>
        </w:rPr>
        <w:t xml:space="preserve">max </w:t>
      </w:r>
      <w:r w:rsidRPr="00A942F6">
        <w:rPr>
          <w:lang w:val="nb-NO"/>
        </w:rPr>
        <w:t>var henholdsvis 6,32, 6,30 og 5,27. Steady-state ble nådd etter 12 uker for AUC, C</w:t>
      </w:r>
      <w:r w:rsidRPr="00A942F6">
        <w:rPr>
          <w:vertAlign w:val="subscript"/>
          <w:lang w:val="nb-NO"/>
        </w:rPr>
        <w:t>min</w:t>
      </w:r>
      <w:r w:rsidRPr="00A942F6">
        <w:rPr>
          <w:lang w:val="nb-NO"/>
        </w:rPr>
        <w:t>, og C</w:t>
      </w:r>
      <w:r w:rsidRPr="00A942F6">
        <w:rPr>
          <w:vertAlign w:val="subscript"/>
          <w:lang w:val="nb-NO"/>
        </w:rPr>
        <w:t>max</w:t>
      </w:r>
      <w:r w:rsidRPr="00A942F6">
        <w:rPr>
          <w:lang w:val="nb-NO"/>
        </w:rPr>
        <w:t>.</w:t>
      </w:r>
    </w:p>
    <w:p w14:paraId="7E4B5D36" w14:textId="6DE77F4C" w:rsidR="00DF56D8" w:rsidRPr="00A942F6" w:rsidRDefault="00DF56D8" w:rsidP="00641834">
      <w:pPr>
        <w:rPr>
          <w:lang w:val="nb-NO"/>
        </w:rPr>
      </w:pPr>
      <w:r w:rsidRPr="00A942F6">
        <w:rPr>
          <w:lang w:val="nb-NO"/>
        </w:rPr>
        <w:t>For 162 mg dose annenhver uke var antatt gjennomsnittlig (± SD) steady-state AUC uke 2, C</w:t>
      </w:r>
      <w:r w:rsidR="00F36EEE" w:rsidRPr="00A942F6">
        <w:rPr>
          <w:rFonts w:cs="Times New Roman"/>
          <w:vertAlign w:val="subscript"/>
          <w:lang w:val="nb-NO"/>
        </w:rPr>
        <w:t xml:space="preserve">min </w:t>
      </w:r>
      <w:r w:rsidRPr="00A942F6">
        <w:rPr>
          <w:lang w:val="nb-NO"/>
        </w:rPr>
        <w:t>og C</w:t>
      </w:r>
      <w:r w:rsidR="00F36EEE" w:rsidRPr="00A942F6">
        <w:rPr>
          <w:rFonts w:cs="Times New Roman"/>
          <w:vertAlign w:val="subscript"/>
          <w:lang w:val="nb-NO"/>
        </w:rPr>
        <w:t xml:space="preserve">max </w:t>
      </w:r>
      <w:r w:rsidRPr="00A942F6">
        <w:rPr>
          <w:lang w:val="nb-NO"/>
        </w:rPr>
        <w:t xml:space="preserve">for </w:t>
      </w:r>
      <w:r w:rsidR="00813939" w:rsidRPr="00A942F6">
        <w:rPr>
          <w:lang w:val="nb-NO"/>
        </w:rPr>
        <w:t>tocilizumab</w:t>
      </w:r>
      <w:r w:rsidRPr="00A942F6">
        <w:rPr>
          <w:lang w:val="nb-NO"/>
        </w:rPr>
        <w:t xml:space="preserve"> henholdsvis 3430 ± 2660 mikrogram•time/ml, 5,7 ± 6,8 mikrogram/ml, og</w:t>
      </w:r>
      <w:r w:rsidR="00F36EEE" w:rsidRPr="00A942F6">
        <w:rPr>
          <w:lang w:val="nb-NO"/>
        </w:rPr>
        <w:t xml:space="preserve"> </w:t>
      </w:r>
      <w:r w:rsidRPr="00A942F6">
        <w:rPr>
          <w:lang w:val="nb-NO"/>
        </w:rPr>
        <w:t>13,2</w:t>
      </w:r>
      <w:r w:rsidR="00F36EEE" w:rsidRPr="00A942F6">
        <w:rPr>
          <w:lang w:val="nb-NO"/>
        </w:rPr>
        <w:t> </w:t>
      </w:r>
      <w:r w:rsidRPr="00A942F6">
        <w:rPr>
          <w:lang w:val="nb-NO"/>
        </w:rPr>
        <w:t>±</w:t>
      </w:r>
      <w:r w:rsidR="00F36EEE" w:rsidRPr="00A942F6">
        <w:rPr>
          <w:lang w:val="nb-NO"/>
        </w:rPr>
        <w:t> </w:t>
      </w:r>
      <w:r w:rsidRPr="00A942F6">
        <w:rPr>
          <w:lang w:val="nb-NO"/>
        </w:rPr>
        <w:t>8,8 mikrogram/ml. Akkumulasjonsratio for AUC, C</w:t>
      </w:r>
      <w:r w:rsidRPr="00A942F6">
        <w:rPr>
          <w:vertAlign w:val="subscript"/>
          <w:lang w:val="nb-NO"/>
        </w:rPr>
        <w:t>min</w:t>
      </w:r>
      <w:r w:rsidRPr="00A942F6">
        <w:rPr>
          <w:lang w:val="nb-NO"/>
        </w:rPr>
        <w:t>, og C</w:t>
      </w:r>
      <w:r w:rsidR="00F36EEE" w:rsidRPr="00A942F6">
        <w:rPr>
          <w:rFonts w:cs="Times New Roman"/>
          <w:vertAlign w:val="subscript"/>
          <w:lang w:val="nb-NO"/>
        </w:rPr>
        <w:t xml:space="preserve">max </w:t>
      </w:r>
      <w:r w:rsidRPr="00A942F6">
        <w:rPr>
          <w:lang w:val="nb-NO"/>
        </w:rPr>
        <w:t>var henholdsvis 2,67, 6,02, og 2,12. Steady-state ble nådd etter 12 uker for AUC og C</w:t>
      </w:r>
      <w:r w:rsidRPr="00A942F6">
        <w:rPr>
          <w:vertAlign w:val="subscript"/>
          <w:lang w:val="nb-NO"/>
        </w:rPr>
        <w:t>min</w:t>
      </w:r>
      <w:r w:rsidRPr="00A942F6">
        <w:rPr>
          <w:lang w:val="nb-NO"/>
        </w:rPr>
        <w:t>, og etter 10 uker for C</w:t>
      </w:r>
      <w:r w:rsidRPr="00A942F6">
        <w:rPr>
          <w:vertAlign w:val="subscript"/>
          <w:lang w:val="nb-NO"/>
        </w:rPr>
        <w:t>max</w:t>
      </w:r>
      <w:r w:rsidRPr="00A942F6">
        <w:rPr>
          <w:lang w:val="nb-NO"/>
        </w:rPr>
        <w:t>.</w:t>
      </w:r>
    </w:p>
    <w:p w14:paraId="2C43DB20" w14:textId="77777777" w:rsidR="00495B46" w:rsidRPr="00A942F6" w:rsidRDefault="00495B46" w:rsidP="00641834">
      <w:pPr>
        <w:rPr>
          <w:lang w:val="nb-NO"/>
        </w:rPr>
      </w:pPr>
    </w:p>
    <w:p w14:paraId="423A33DD" w14:textId="77777777" w:rsidR="00DF56D8" w:rsidRPr="00A942F6" w:rsidRDefault="00DF56D8" w:rsidP="00641834">
      <w:pPr>
        <w:pStyle w:val="Style1underline"/>
        <w:rPr>
          <w:lang w:val="nb-NO"/>
        </w:rPr>
      </w:pPr>
      <w:r w:rsidRPr="00A942F6">
        <w:rPr>
          <w:lang w:val="nb-NO"/>
        </w:rPr>
        <w:t>Absorpsjon</w:t>
      </w:r>
    </w:p>
    <w:p w14:paraId="4DE48BF0" w14:textId="650B6FBB" w:rsidR="00DF56D8" w:rsidRPr="00A942F6" w:rsidRDefault="00DF56D8" w:rsidP="00641834">
      <w:pPr>
        <w:rPr>
          <w:lang w:val="nb-NO"/>
        </w:rPr>
      </w:pPr>
      <w:r w:rsidRPr="00A942F6">
        <w:rPr>
          <w:lang w:val="nb-NO"/>
        </w:rPr>
        <w:t xml:space="preserve">Etter subkutan dosering hos RA-pasienter var tid til maksimal serumkonsentrasjon av </w:t>
      </w:r>
      <w:r w:rsidR="00813939" w:rsidRPr="00A942F6">
        <w:rPr>
          <w:lang w:val="nb-NO"/>
        </w:rPr>
        <w:t>tocilizumab</w:t>
      </w:r>
      <w:r w:rsidRPr="00A942F6">
        <w:rPr>
          <w:lang w:val="nb-NO"/>
        </w:rPr>
        <w:t>, t</w:t>
      </w:r>
      <w:r w:rsidRPr="00A942F6">
        <w:rPr>
          <w:vertAlign w:val="subscript"/>
          <w:lang w:val="nb-NO"/>
        </w:rPr>
        <w:t>max</w:t>
      </w:r>
      <w:r w:rsidRPr="00A942F6">
        <w:rPr>
          <w:lang w:val="nb-NO"/>
        </w:rPr>
        <w:t>, 2,8 dager. Biotilgjengelighet for subkutan formulering var 79 %.</w:t>
      </w:r>
    </w:p>
    <w:p w14:paraId="53D94A2E" w14:textId="77777777" w:rsidR="00495B46" w:rsidRPr="00A942F6" w:rsidRDefault="00495B46" w:rsidP="00641834">
      <w:pPr>
        <w:rPr>
          <w:lang w:val="nb-NO"/>
        </w:rPr>
      </w:pPr>
    </w:p>
    <w:p w14:paraId="51FFB84D" w14:textId="77777777" w:rsidR="00DF56D8" w:rsidRPr="00A942F6" w:rsidRDefault="00DF56D8" w:rsidP="00641834">
      <w:pPr>
        <w:pStyle w:val="Style1underline"/>
        <w:rPr>
          <w:lang w:val="nb-NO"/>
        </w:rPr>
      </w:pPr>
      <w:r w:rsidRPr="00A942F6">
        <w:rPr>
          <w:lang w:val="nb-NO"/>
        </w:rPr>
        <w:t>Eliminasjon</w:t>
      </w:r>
    </w:p>
    <w:p w14:paraId="5A4E49E6" w14:textId="77777777" w:rsidR="00DF56D8" w:rsidRPr="00A942F6" w:rsidRDefault="00DF56D8" w:rsidP="00641834">
      <w:pPr>
        <w:rPr>
          <w:lang w:val="nb-NO"/>
        </w:rPr>
      </w:pPr>
      <w:r w:rsidRPr="00A942F6">
        <w:rPr>
          <w:lang w:val="nb-NO"/>
        </w:rPr>
        <w:t>For subkutan administrasjon er konsentrasjonsavhengig tilsynelatende t</w:t>
      </w:r>
      <w:r w:rsidR="002D2136" w:rsidRPr="00A942F6">
        <w:rPr>
          <w:vertAlign w:val="subscript"/>
          <w:lang w:val="nb-NO"/>
        </w:rPr>
        <w:t>1/2</w:t>
      </w:r>
      <w:r w:rsidRPr="00A942F6">
        <w:rPr>
          <w:lang w:val="nb-NO"/>
        </w:rPr>
        <w:t xml:space="preserve"> på opp til 12 dager for 162</w:t>
      </w:r>
      <w:r w:rsidR="00F36EEE" w:rsidRPr="00A942F6">
        <w:rPr>
          <w:lang w:val="nb-NO"/>
        </w:rPr>
        <w:t> </w:t>
      </w:r>
      <w:r w:rsidRPr="00A942F6">
        <w:rPr>
          <w:lang w:val="nb-NO"/>
        </w:rPr>
        <w:t>mg hver uke og 5 dager for 162 mg annenhver uke, hos pasienter med RA ved steady-state.</w:t>
      </w:r>
    </w:p>
    <w:p w14:paraId="0875D3ED" w14:textId="77777777" w:rsidR="00DF56D8" w:rsidRPr="00A942F6" w:rsidRDefault="00DF56D8" w:rsidP="00641834">
      <w:pPr>
        <w:rPr>
          <w:lang w:val="nb-NO"/>
        </w:rPr>
      </w:pPr>
    </w:p>
    <w:p w14:paraId="2B4FD6A2" w14:textId="77777777" w:rsidR="00DF56D8" w:rsidRPr="00A942F6" w:rsidRDefault="00DF56D8" w:rsidP="00641834">
      <w:pPr>
        <w:pStyle w:val="Style1underline"/>
        <w:rPr>
          <w:lang w:val="nb-NO"/>
        </w:rPr>
      </w:pPr>
      <w:r w:rsidRPr="00A942F6">
        <w:rPr>
          <w:lang w:val="nb-NO"/>
        </w:rPr>
        <w:t>sJIA</w:t>
      </w:r>
    </w:p>
    <w:p w14:paraId="30E9CCC9" w14:textId="77777777" w:rsidR="00DF56D8" w:rsidRPr="00A942F6" w:rsidRDefault="00DF56D8" w:rsidP="00641834">
      <w:pPr>
        <w:pStyle w:val="Style1underline"/>
        <w:rPr>
          <w:lang w:val="nb-NO"/>
        </w:rPr>
      </w:pPr>
      <w:r w:rsidRPr="00A942F6">
        <w:rPr>
          <w:lang w:val="nb-NO"/>
        </w:rPr>
        <w:t>Subkutan bruk</w:t>
      </w:r>
    </w:p>
    <w:p w14:paraId="1461FCE2" w14:textId="02CA5325" w:rsidR="00DF56D8" w:rsidRPr="00A942F6" w:rsidRDefault="00DF56D8" w:rsidP="00641834">
      <w:pPr>
        <w:rPr>
          <w:lang w:val="nb-NO"/>
        </w:rPr>
      </w:pPr>
      <w:r w:rsidRPr="00A942F6">
        <w:rPr>
          <w:lang w:val="nb-NO"/>
        </w:rPr>
        <w:t xml:space="preserve">Farmakokinetikken til </w:t>
      </w:r>
      <w:r w:rsidR="00813939" w:rsidRPr="00A942F6">
        <w:rPr>
          <w:lang w:val="nb-NO"/>
        </w:rPr>
        <w:t>tocilizumab</w:t>
      </w:r>
      <w:r w:rsidRPr="00A942F6">
        <w:rPr>
          <w:lang w:val="nb-NO"/>
        </w:rPr>
        <w:t xml:space="preserve"> hos sJIA-pasienter ble beskrevet ved en farmakokinetisk populasjonsanalyse som inkluderte 140 pasienter. Disse ble behandlet med 8 mg/kg intravenøst annenhver uke (pasienter som veide </w:t>
      </w:r>
      <w:r w:rsidRPr="00A942F6">
        <w:rPr>
          <w:rFonts w:cs="Times New Roman"/>
          <w:lang w:val="nb-NO"/>
        </w:rPr>
        <w:t>≥</w:t>
      </w:r>
      <w:r w:rsidRPr="00A942F6">
        <w:rPr>
          <w:lang w:val="nb-NO"/>
        </w:rPr>
        <w:t xml:space="preserve"> 30 kg), 12 mg/kg intravenøst annenhver uke (pasienter som veide under 30 kg), 162 mg subkutant hver uke (pasienter som veide </w:t>
      </w:r>
      <w:r w:rsidRPr="00A942F6">
        <w:rPr>
          <w:rFonts w:cs="Times New Roman"/>
          <w:lang w:val="nb-NO"/>
        </w:rPr>
        <w:t>≥</w:t>
      </w:r>
      <w:r w:rsidRPr="00A942F6">
        <w:rPr>
          <w:lang w:val="nb-NO"/>
        </w:rPr>
        <w:t xml:space="preserve"> 30 kg) eller 162 mg subkutant hver 10. dag eller annenhver uke (pasienter som veide under 30 kg).</w:t>
      </w:r>
    </w:p>
    <w:p w14:paraId="0E2F36FB" w14:textId="77777777" w:rsidR="00495B46" w:rsidRPr="00A942F6" w:rsidRDefault="00495B46" w:rsidP="00641834">
      <w:pPr>
        <w:rPr>
          <w:lang w:val="nb-NO"/>
        </w:rPr>
      </w:pPr>
    </w:p>
    <w:p w14:paraId="445CFC99" w14:textId="26E46FBC" w:rsidR="00DF56D8" w:rsidRPr="00A942F6" w:rsidRDefault="00DF56D8" w:rsidP="00641834">
      <w:pPr>
        <w:rPr>
          <w:lang w:val="nb-NO"/>
        </w:rPr>
      </w:pPr>
      <w:r w:rsidRPr="00A942F6">
        <w:rPr>
          <w:lang w:val="nb-NO"/>
        </w:rPr>
        <w:t xml:space="preserve">Det er begrensede data vedrørende eksponering etter subkutan administrering av </w:t>
      </w:r>
      <w:r w:rsidR="00813939" w:rsidRPr="00A942F6">
        <w:rPr>
          <w:lang w:val="nb-NO"/>
        </w:rPr>
        <w:t>tocilizumab</w:t>
      </w:r>
      <w:r w:rsidRPr="00A942F6">
        <w:rPr>
          <w:lang w:val="nb-NO"/>
        </w:rPr>
        <w:t xml:space="preserve"> hos sJIA- pasienter under 2 år med en kroppsvekt under 10 kg.</w:t>
      </w:r>
    </w:p>
    <w:p w14:paraId="3E534303" w14:textId="77777777" w:rsidR="00DF56D8" w:rsidRPr="00A942F6" w:rsidRDefault="00DF56D8" w:rsidP="00641834">
      <w:pPr>
        <w:rPr>
          <w:lang w:val="nb-NO"/>
        </w:rPr>
      </w:pPr>
    </w:p>
    <w:p w14:paraId="1B3EA43B" w14:textId="249F491B" w:rsidR="00DF56D8" w:rsidRPr="00A942F6" w:rsidRDefault="00DF56D8" w:rsidP="00641834">
      <w:pPr>
        <w:rPr>
          <w:lang w:val="nb-NO"/>
        </w:rPr>
      </w:pPr>
      <w:r w:rsidRPr="00A942F6">
        <w:rPr>
          <w:lang w:val="nb-NO"/>
        </w:rPr>
        <w:t xml:space="preserve">Pasienter med sJIA må ha en kroppsvekt på minimum 10 kg når de får </w:t>
      </w:r>
      <w:r w:rsidR="00813939" w:rsidRPr="00A942F6">
        <w:rPr>
          <w:lang w:val="nb-NO"/>
        </w:rPr>
        <w:t>tocilizumab</w:t>
      </w:r>
      <w:r w:rsidRPr="00A942F6">
        <w:rPr>
          <w:lang w:val="nb-NO"/>
        </w:rPr>
        <w:t xml:space="preserve"> subkutant (se pkt.</w:t>
      </w:r>
      <w:r w:rsidR="00495B46" w:rsidRPr="00A942F6">
        <w:rPr>
          <w:lang w:val="nb-NO"/>
        </w:rPr>
        <w:t> </w:t>
      </w:r>
      <w:r w:rsidRPr="00A942F6">
        <w:rPr>
          <w:lang w:val="nb-NO"/>
        </w:rPr>
        <w:t>4.2).</w:t>
      </w:r>
    </w:p>
    <w:p w14:paraId="4D2F329D" w14:textId="77777777" w:rsidR="00DF56D8" w:rsidRPr="00A942F6" w:rsidRDefault="00DF56D8" w:rsidP="00641834">
      <w:pPr>
        <w:rPr>
          <w:lang w:val="nb-NO"/>
        </w:rPr>
      </w:pPr>
    </w:p>
    <w:p w14:paraId="26B5A04E" w14:textId="77777777" w:rsidR="00DF56D8" w:rsidRPr="00A942F6" w:rsidRDefault="00DF56D8" w:rsidP="00641834">
      <w:pPr>
        <w:pStyle w:val="Style1Iitaic"/>
        <w:rPr>
          <w:lang w:val="nb-NO"/>
        </w:rPr>
      </w:pPr>
      <w:r w:rsidRPr="00A942F6">
        <w:rPr>
          <w:lang w:val="nb-NO"/>
        </w:rPr>
        <w:t>Tabell 8. Forventet gjennomsnitt ± SD farmakokinetiske parametere ved steady-state etter subkutan dosering ved sJIA</w:t>
      </w:r>
    </w:p>
    <w:p w14:paraId="20D3A010" w14:textId="77777777" w:rsidR="00147B45" w:rsidRPr="00A942F6" w:rsidRDefault="00147B45" w:rsidP="00641834">
      <w:pPr>
        <w:rPr>
          <w:lang w:val="nb-NO"/>
        </w:rPr>
      </w:pP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2273"/>
        <w:gridCol w:w="2976"/>
      </w:tblGrid>
      <w:tr w:rsidR="00DF56D8" w:rsidRPr="00B477E5" w14:paraId="7CDB5825" w14:textId="77777777" w:rsidTr="00F45BFD">
        <w:trPr>
          <w:cantSplit/>
          <w:trHeight w:val="20"/>
          <w:tblHeader/>
        </w:trPr>
        <w:tc>
          <w:tcPr>
            <w:tcW w:w="3539" w:type="dxa"/>
          </w:tcPr>
          <w:p w14:paraId="71B0437A" w14:textId="0DC45812" w:rsidR="00DF56D8" w:rsidRPr="00A942F6" w:rsidRDefault="00813939" w:rsidP="00641834">
            <w:pPr>
              <w:pStyle w:val="TableParagraph"/>
              <w:rPr>
                <w:b/>
                <w:sz w:val="20"/>
                <w:szCs w:val="20"/>
                <w:lang w:val="nb-NO"/>
              </w:rPr>
            </w:pPr>
            <w:r w:rsidRPr="00A942F6">
              <w:rPr>
                <w:b/>
                <w:sz w:val="20"/>
                <w:szCs w:val="20"/>
                <w:lang w:val="nb-NO"/>
              </w:rPr>
              <w:t>Tocilizumab</w:t>
            </w:r>
            <w:r w:rsidR="00DF56D8" w:rsidRPr="00A942F6">
              <w:rPr>
                <w:b/>
                <w:sz w:val="20"/>
                <w:szCs w:val="20"/>
                <w:lang w:val="nb-NO"/>
              </w:rPr>
              <w:t xml:space="preserve"> farmakokinetisk</w:t>
            </w:r>
          </w:p>
          <w:p w14:paraId="12198BF8" w14:textId="77777777" w:rsidR="00DF56D8" w:rsidRPr="00A942F6" w:rsidRDefault="00DF56D8" w:rsidP="00641834">
            <w:pPr>
              <w:pStyle w:val="TableParagraph"/>
              <w:rPr>
                <w:b/>
                <w:sz w:val="20"/>
                <w:szCs w:val="20"/>
                <w:lang w:val="nb-NO"/>
              </w:rPr>
            </w:pPr>
            <w:r w:rsidRPr="00A942F6">
              <w:rPr>
                <w:b/>
                <w:sz w:val="20"/>
                <w:szCs w:val="20"/>
                <w:lang w:val="nb-NO"/>
              </w:rPr>
              <w:t>parameter</w:t>
            </w:r>
          </w:p>
        </w:tc>
        <w:tc>
          <w:tcPr>
            <w:tcW w:w="2273" w:type="dxa"/>
          </w:tcPr>
          <w:p w14:paraId="791B6B41" w14:textId="77777777" w:rsidR="00DF56D8" w:rsidRPr="00A942F6" w:rsidRDefault="00DF56D8" w:rsidP="00641834">
            <w:pPr>
              <w:pStyle w:val="TableParagraph"/>
              <w:jc w:val="center"/>
              <w:rPr>
                <w:b/>
                <w:sz w:val="20"/>
                <w:szCs w:val="20"/>
                <w:lang w:val="nb-NO"/>
              </w:rPr>
            </w:pPr>
            <w:r w:rsidRPr="00A942F6">
              <w:rPr>
                <w:b/>
                <w:sz w:val="20"/>
                <w:szCs w:val="20"/>
                <w:lang w:val="nb-NO"/>
              </w:rPr>
              <w:t>162 mg hver uke,</w:t>
            </w:r>
          </w:p>
          <w:p w14:paraId="2BEE855D" w14:textId="77777777" w:rsidR="00DF56D8" w:rsidRPr="00A942F6" w:rsidRDefault="00DF56D8" w:rsidP="00641834">
            <w:pPr>
              <w:pStyle w:val="TableParagraph"/>
              <w:jc w:val="center"/>
              <w:rPr>
                <w:b/>
                <w:sz w:val="20"/>
                <w:szCs w:val="20"/>
                <w:lang w:val="nb-NO"/>
              </w:rPr>
            </w:pPr>
            <w:r w:rsidRPr="00A942F6">
              <w:rPr>
                <w:b/>
                <w:sz w:val="20"/>
                <w:szCs w:val="20"/>
                <w:lang w:val="nb-NO"/>
              </w:rPr>
              <w:t>≥ 30 kg</w:t>
            </w:r>
          </w:p>
        </w:tc>
        <w:tc>
          <w:tcPr>
            <w:tcW w:w="2976" w:type="dxa"/>
          </w:tcPr>
          <w:p w14:paraId="787F1839" w14:textId="77777777" w:rsidR="00DF56D8" w:rsidRPr="00A942F6" w:rsidRDefault="00DF56D8" w:rsidP="00641834">
            <w:pPr>
              <w:pStyle w:val="TableParagraph"/>
              <w:jc w:val="center"/>
              <w:rPr>
                <w:b/>
                <w:sz w:val="20"/>
                <w:szCs w:val="20"/>
                <w:lang w:val="nb-NO"/>
              </w:rPr>
            </w:pPr>
            <w:r w:rsidRPr="00A942F6">
              <w:rPr>
                <w:b/>
                <w:sz w:val="20"/>
                <w:szCs w:val="20"/>
                <w:lang w:val="nb-NO"/>
              </w:rPr>
              <w:t>162 mg annenhver uke,</w:t>
            </w:r>
          </w:p>
          <w:p w14:paraId="3ED141F0" w14:textId="77777777" w:rsidR="00DF56D8" w:rsidRPr="00A942F6" w:rsidRDefault="00DF56D8" w:rsidP="00641834">
            <w:pPr>
              <w:pStyle w:val="TableParagraph"/>
              <w:jc w:val="center"/>
              <w:rPr>
                <w:b/>
                <w:sz w:val="20"/>
                <w:szCs w:val="20"/>
                <w:lang w:val="nb-NO"/>
              </w:rPr>
            </w:pPr>
            <w:r w:rsidRPr="00A942F6">
              <w:rPr>
                <w:b/>
                <w:sz w:val="20"/>
                <w:szCs w:val="20"/>
                <w:lang w:val="nb-NO"/>
              </w:rPr>
              <w:t>under 30 kg</w:t>
            </w:r>
          </w:p>
        </w:tc>
      </w:tr>
      <w:tr w:rsidR="00DF56D8" w:rsidRPr="00A942F6" w14:paraId="12351F73" w14:textId="77777777" w:rsidTr="00F45BFD">
        <w:trPr>
          <w:cantSplit/>
          <w:trHeight w:val="20"/>
        </w:trPr>
        <w:tc>
          <w:tcPr>
            <w:tcW w:w="3539" w:type="dxa"/>
          </w:tcPr>
          <w:p w14:paraId="05D179FB"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maks</w:t>
            </w:r>
            <w:r w:rsidRPr="00A942F6">
              <w:rPr>
                <w:sz w:val="20"/>
                <w:szCs w:val="20"/>
                <w:lang w:val="nb-NO"/>
              </w:rPr>
              <w:t xml:space="preserve"> </w:t>
            </w:r>
            <w:r w:rsidRPr="00A942F6">
              <w:rPr>
                <w:position w:val="2"/>
                <w:sz w:val="20"/>
                <w:szCs w:val="20"/>
                <w:lang w:val="nb-NO"/>
              </w:rPr>
              <w:t>(mikrog/ml)</w:t>
            </w:r>
          </w:p>
        </w:tc>
        <w:tc>
          <w:tcPr>
            <w:tcW w:w="2273" w:type="dxa"/>
          </w:tcPr>
          <w:p w14:paraId="50415372" w14:textId="77777777" w:rsidR="00DF56D8" w:rsidRPr="00A942F6" w:rsidRDefault="00DF56D8" w:rsidP="00641834">
            <w:pPr>
              <w:pStyle w:val="TableParagraph"/>
              <w:jc w:val="center"/>
              <w:rPr>
                <w:sz w:val="20"/>
                <w:szCs w:val="20"/>
                <w:lang w:val="nb-NO"/>
              </w:rPr>
            </w:pPr>
            <w:r w:rsidRPr="00A942F6">
              <w:rPr>
                <w:sz w:val="20"/>
                <w:szCs w:val="20"/>
                <w:lang w:val="nb-NO"/>
              </w:rPr>
              <w:t>99,8 ± 46,2</w:t>
            </w:r>
          </w:p>
        </w:tc>
        <w:tc>
          <w:tcPr>
            <w:tcW w:w="2976" w:type="dxa"/>
          </w:tcPr>
          <w:p w14:paraId="752B1E44" w14:textId="77777777" w:rsidR="00DF56D8" w:rsidRPr="00A942F6" w:rsidRDefault="00DF56D8" w:rsidP="00641834">
            <w:pPr>
              <w:pStyle w:val="TableParagraph"/>
              <w:jc w:val="center"/>
              <w:rPr>
                <w:sz w:val="20"/>
                <w:szCs w:val="20"/>
                <w:lang w:val="nb-NO"/>
              </w:rPr>
            </w:pPr>
            <w:r w:rsidRPr="00A942F6">
              <w:rPr>
                <w:sz w:val="20"/>
                <w:szCs w:val="20"/>
                <w:lang w:val="nb-NO"/>
              </w:rPr>
              <w:t>134 ± 58,6</w:t>
            </w:r>
          </w:p>
        </w:tc>
      </w:tr>
      <w:tr w:rsidR="00DF56D8" w:rsidRPr="00A942F6" w14:paraId="61CF925F" w14:textId="77777777" w:rsidTr="00F45BFD">
        <w:trPr>
          <w:cantSplit/>
          <w:trHeight w:val="20"/>
        </w:trPr>
        <w:tc>
          <w:tcPr>
            <w:tcW w:w="3539" w:type="dxa"/>
          </w:tcPr>
          <w:p w14:paraId="1B04454A"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273" w:type="dxa"/>
          </w:tcPr>
          <w:p w14:paraId="0DE2D871" w14:textId="77777777" w:rsidR="00DF56D8" w:rsidRPr="00A942F6" w:rsidRDefault="00DF56D8" w:rsidP="00641834">
            <w:pPr>
              <w:pStyle w:val="TableParagraph"/>
              <w:jc w:val="center"/>
              <w:rPr>
                <w:sz w:val="20"/>
                <w:szCs w:val="20"/>
                <w:lang w:val="nb-NO"/>
              </w:rPr>
            </w:pPr>
            <w:r w:rsidRPr="00A942F6">
              <w:rPr>
                <w:sz w:val="20"/>
                <w:szCs w:val="20"/>
                <w:lang w:val="nb-NO"/>
              </w:rPr>
              <w:t>79,2 ± 35,6</w:t>
            </w:r>
          </w:p>
        </w:tc>
        <w:tc>
          <w:tcPr>
            <w:tcW w:w="2976" w:type="dxa"/>
          </w:tcPr>
          <w:p w14:paraId="52960F23" w14:textId="77777777" w:rsidR="00DF56D8" w:rsidRPr="00A942F6" w:rsidRDefault="00DF56D8" w:rsidP="00641834">
            <w:pPr>
              <w:pStyle w:val="TableParagraph"/>
              <w:jc w:val="center"/>
              <w:rPr>
                <w:sz w:val="20"/>
                <w:szCs w:val="20"/>
                <w:lang w:val="nb-NO"/>
              </w:rPr>
            </w:pPr>
            <w:r w:rsidRPr="00A942F6">
              <w:rPr>
                <w:sz w:val="20"/>
                <w:szCs w:val="20"/>
                <w:lang w:val="nb-NO"/>
              </w:rPr>
              <w:t>65,9 ± 31,3</w:t>
            </w:r>
          </w:p>
        </w:tc>
      </w:tr>
      <w:tr w:rsidR="00DF56D8" w:rsidRPr="00A942F6" w14:paraId="5FD7EE48" w14:textId="77777777" w:rsidTr="00F45BFD">
        <w:trPr>
          <w:cantSplit/>
          <w:trHeight w:val="20"/>
        </w:trPr>
        <w:tc>
          <w:tcPr>
            <w:tcW w:w="3539" w:type="dxa"/>
          </w:tcPr>
          <w:p w14:paraId="732F2C7C"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273" w:type="dxa"/>
          </w:tcPr>
          <w:p w14:paraId="73CA996A" w14:textId="77777777" w:rsidR="00DF56D8" w:rsidRPr="00A942F6" w:rsidRDefault="00DF56D8" w:rsidP="00641834">
            <w:pPr>
              <w:pStyle w:val="TableParagraph"/>
              <w:jc w:val="center"/>
              <w:rPr>
                <w:sz w:val="20"/>
                <w:szCs w:val="20"/>
                <w:lang w:val="nb-NO"/>
              </w:rPr>
            </w:pPr>
            <w:r w:rsidRPr="00A942F6">
              <w:rPr>
                <w:sz w:val="20"/>
                <w:szCs w:val="20"/>
                <w:lang w:val="nb-NO"/>
              </w:rPr>
              <w:t>91,3 ± 40,4</w:t>
            </w:r>
          </w:p>
        </w:tc>
        <w:tc>
          <w:tcPr>
            <w:tcW w:w="2976" w:type="dxa"/>
          </w:tcPr>
          <w:p w14:paraId="3E6C67D3" w14:textId="77777777" w:rsidR="00DF56D8" w:rsidRPr="00A942F6" w:rsidRDefault="00DF56D8" w:rsidP="00641834">
            <w:pPr>
              <w:pStyle w:val="TableParagraph"/>
              <w:jc w:val="center"/>
              <w:rPr>
                <w:sz w:val="20"/>
                <w:szCs w:val="20"/>
                <w:lang w:val="nb-NO"/>
              </w:rPr>
            </w:pPr>
            <w:r w:rsidRPr="00A942F6">
              <w:rPr>
                <w:sz w:val="20"/>
                <w:szCs w:val="20"/>
                <w:lang w:val="nb-NO"/>
              </w:rPr>
              <w:t>101 ± 43,2</w:t>
            </w:r>
          </w:p>
        </w:tc>
      </w:tr>
      <w:tr w:rsidR="00DF56D8" w:rsidRPr="00A942F6" w14:paraId="7558BF91" w14:textId="77777777" w:rsidTr="00F45BFD">
        <w:trPr>
          <w:cantSplit/>
          <w:trHeight w:val="20"/>
        </w:trPr>
        <w:tc>
          <w:tcPr>
            <w:tcW w:w="3539" w:type="dxa"/>
          </w:tcPr>
          <w:p w14:paraId="79DD17D2"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maks</w:t>
            </w:r>
          </w:p>
        </w:tc>
        <w:tc>
          <w:tcPr>
            <w:tcW w:w="2273" w:type="dxa"/>
          </w:tcPr>
          <w:p w14:paraId="31E7C10F" w14:textId="77777777" w:rsidR="00DF56D8" w:rsidRPr="00A942F6" w:rsidRDefault="00DF56D8" w:rsidP="00641834">
            <w:pPr>
              <w:pStyle w:val="TableParagraph"/>
              <w:jc w:val="center"/>
              <w:rPr>
                <w:sz w:val="20"/>
                <w:szCs w:val="20"/>
                <w:lang w:val="nb-NO"/>
              </w:rPr>
            </w:pPr>
            <w:r w:rsidRPr="00A942F6">
              <w:rPr>
                <w:sz w:val="20"/>
                <w:szCs w:val="20"/>
                <w:lang w:val="nb-NO"/>
              </w:rPr>
              <w:t>3,66</w:t>
            </w:r>
          </w:p>
        </w:tc>
        <w:tc>
          <w:tcPr>
            <w:tcW w:w="2976" w:type="dxa"/>
          </w:tcPr>
          <w:p w14:paraId="22E63A56" w14:textId="77777777" w:rsidR="00DF56D8" w:rsidRPr="00A942F6" w:rsidRDefault="00DF56D8" w:rsidP="00641834">
            <w:pPr>
              <w:pStyle w:val="TableParagraph"/>
              <w:jc w:val="center"/>
              <w:rPr>
                <w:sz w:val="20"/>
                <w:szCs w:val="20"/>
                <w:lang w:val="nb-NO"/>
              </w:rPr>
            </w:pPr>
            <w:r w:rsidRPr="00A942F6">
              <w:rPr>
                <w:sz w:val="20"/>
                <w:szCs w:val="20"/>
                <w:lang w:val="nb-NO"/>
              </w:rPr>
              <w:t>1,88</w:t>
            </w:r>
          </w:p>
        </w:tc>
      </w:tr>
      <w:tr w:rsidR="00DF56D8" w:rsidRPr="00A942F6" w14:paraId="207F165A" w14:textId="77777777" w:rsidTr="00F45BFD">
        <w:trPr>
          <w:cantSplit/>
          <w:trHeight w:val="20"/>
        </w:trPr>
        <w:tc>
          <w:tcPr>
            <w:tcW w:w="3539" w:type="dxa"/>
          </w:tcPr>
          <w:p w14:paraId="68BA2512"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273" w:type="dxa"/>
          </w:tcPr>
          <w:p w14:paraId="482D0612" w14:textId="77777777" w:rsidR="00DF56D8" w:rsidRPr="00A942F6" w:rsidRDefault="00DF56D8" w:rsidP="00641834">
            <w:pPr>
              <w:pStyle w:val="TableParagraph"/>
              <w:jc w:val="center"/>
              <w:rPr>
                <w:sz w:val="20"/>
                <w:szCs w:val="20"/>
                <w:lang w:val="nb-NO"/>
              </w:rPr>
            </w:pPr>
            <w:r w:rsidRPr="00A942F6">
              <w:rPr>
                <w:sz w:val="20"/>
                <w:szCs w:val="20"/>
                <w:lang w:val="nb-NO"/>
              </w:rPr>
              <w:t>4,39</w:t>
            </w:r>
          </w:p>
        </w:tc>
        <w:tc>
          <w:tcPr>
            <w:tcW w:w="2976" w:type="dxa"/>
          </w:tcPr>
          <w:p w14:paraId="024EB4EA" w14:textId="77777777" w:rsidR="00DF56D8" w:rsidRPr="00A942F6" w:rsidRDefault="00DF56D8" w:rsidP="00641834">
            <w:pPr>
              <w:pStyle w:val="TableParagraph"/>
              <w:jc w:val="center"/>
              <w:rPr>
                <w:sz w:val="20"/>
                <w:szCs w:val="20"/>
                <w:lang w:val="nb-NO"/>
              </w:rPr>
            </w:pPr>
            <w:r w:rsidRPr="00A942F6">
              <w:rPr>
                <w:sz w:val="20"/>
                <w:szCs w:val="20"/>
                <w:lang w:val="nb-NO"/>
              </w:rPr>
              <w:t>3,21</w:t>
            </w:r>
          </w:p>
        </w:tc>
      </w:tr>
      <w:tr w:rsidR="00DF56D8" w:rsidRPr="00A942F6" w14:paraId="3953A512" w14:textId="77777777" w:rsidTr="00F45BFD">
        <w:trPr>
          <w:cantSplit/>
          <w:trHeight w:val="20"/>
        </w:trPr>
        <w:tc>
          <w:tcPr>
            <w:tcW w:w="3539" w:type="dxa"/>
          </w:tcPr>
          <w:p w14:paraId="46894E05"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position w:val="2"/>
                <w:sz w:val="20"/>
                <w:szCs w:val="20"/>
                <w:lang w:val="nb-NO"/>
              </w:rPr>
              <w:t>*</w:t>
            </w:r>
          </w:p>
        </w:tc>
        <w:tc>
          <w:tcPr>
            <w:tcW w:w="2273" w:type="dxa"/>
          </w:tcPr>
          <w:p w14:paraId="1C82DFB3" w14:textId="77777777" w:rsidR="00DF56D8" w:rsidRPr="00A942F6" w:rsidRDefault="00DF56D8" w:rsidP="00641834">
            <w:pPr>
              <w:pStyle w:val="TableParagraph"/>
              <w:jc w:val="center"/>
              <w:rPr>
                <w:sz w:val="20"/>
                <w:szCs w:val="20"/>
                <w:lang w:val="nb-NO"/>
              </w:rPr>
            </w:pPr>
            <w:r w:rsidRPr="00A942F6">
              <w:rPr>
                <w:sz w:val="20"/>
                <w:szCs w:val="20"/>
                <w:lang w:val="nb-NO"/>
              </w:rPr>
              <w:t>4,28</w:t>
            </w:r>
          </w:p>
        </w:tc>
        <w:tc>
          <w:tcPr>
            <w:tcW w:w="2976" w:type="dxa"/>
          </w:tcPr>
          <w:p w14:paraId="63CC8D3F" w14:textId="77777777" w:rsidR="00DF56D8" w:rsidRPr="00A942F6" w:rsidRDefault="00DF56D8" w:rsidP="00641834">
            <w:pPr>
              <w:pStyle w:val="TableParagraph"/>
              <w:jc w:val="center"/>
              <w:rPr>
                <w:sz w:val="20"/>
                <w:szCs w:val="20"/>
                <w:lang w:val="nb-NO"/>
              </w:rPr>
            </w:pPr>
            <w:r w:rsidRPr="00A942F6">
              <w:rPr>
                <w:sz w:val="20"/>
                <w:szCs w:val="20"/>
                <w:lang w:val="nb-NO"/>
              </w:rPr>
              <w:t>2,27</w:t>
            </w:r>
          </w:p>
        </w:tc>
      </w:tr>
    </w:tbl>
    <w:p w14:paraId="58F06EB1" w14:textId="77777777" w:rsidR="00DF56D8" w:rsidRPr="00A942F6" w:rsidRDefault="00DF56D8" w:rsidP="00641834">
      <w:pPr>
        <w:pStyle w:val="tablenotestar"/>
        <w:rPr>
          <w:lang w:val="nb-NO"/>
        </w:rPr>
      </w:pPr>
      <w:r w:rsidRPr="00A942F6">
        <w:rPr>
          <w:lang w:val="nb-NO"/>
        </w:rPr>
        <w:t>τ = 1 uke eller 2 uker for de to subkutane regimene</w:t>
      </w:r>
    </w:p>
    <w:p w14:paraId="1AD35D43" w14:textId="77777777" w:rsidR="00DF56D8" w:rsidRPr="00A942F6" w:rsidRDefault="00DF56D8" w:rsidP="00641834">
      <w:pPr>
        <w:rPr>
          <w:lang w:val="nb-NO"/>
        </w:rPr>
      </w:pPr>
    </w:p>
    <w:p w14:paraId="39AD8877" w14:textId="77777777" w:rsidR="00DF56D8" w:rsidRPr="00A942F6" w:rsidRDefault="00DF56D8" w:rsidP="00641834">
      <w:pPr>
        <w:rPr>
          <w:lang w:val="nb-NO"/>
        </w:rPr>
      </w:pPr>
      <w:r w:rsidRPr="00A942F6">
        <w:rPr>
          <w:lang w:val="nb-NO"/>
        </w:rPr>
        <w:t>Etter subkutan dosering ble omtrent 90 % av steady-state nådd innen uke 12 både for regimet med 162</w:t>
      </w:r>
      <w:r w:rsidR="00F36EEE" w:rsidRPr="00A942F6">
        <w:rPr>
          <w:lang w:val="nb-NO"/>
        </w:rPr>
        <w:t> </w:t>
      </w:r>
      <w:r w:rsidRPr="00A942F6">
        <w:rPr>
          <w:lang w:val="nb-NO"/>
        </w:rPr>
        <w:t>mg subkutant hver uke og annenhver uke.</w:t>
      </w:r>
    </w:p>
    <w:p w14:paraId="51590EC0" w14:textId="77777777" w:rsidR="00495B46" w:rsidRPr="00A942F6" w:rsidRDefault="00495B46" w:rsidP="00641834">
      <w:pPr>
        <w:rPr>
          <w:lang w:val="nb-NO"/>
        </w:rPr>
      </w:pPr>
    </w:p>
    <w:p w14:paraId="6097CD90" w14:textId="77777777" w:rsidR="00DF56D8" w:rsidRPr="00A942F6" w:rsidRDefault="00DF56D8" w:rsidP="00641834">
      <w:pPr>
        <w:pStyle w:val="Style1underline"/>
        <w:rPr>
          <w:lang w:val="nb-NO"/>
        </w:rPr>
      </w:pPr>
      <w:r w:rsidRPr="00A942F6">
        <w:rPr>
          <w:lang w:val="nb-NO"/>
        </w:rPr>
        <w:t>Absorpsjon</w:t>
      </w:r>
    </w:p>
    <w:p w14:paraId="3AB60A25" w14:textId="77777777" w:rsidR="00DF56D8" w:rsidRPr="00A942F6" w:rsidRDefault="00DF56D8" w:rsidP="00641834">
      <w:pPr>
        <w:rPr>
          <w:lang w:val="nb-NO"/>
        </w:rPr>
      </w:pPr>
      <w:r w:rsidRPr="00A942F6">
        <w:rPr>
          <w:lang w:val="nb-NO"/>
        </w:rPr>
        <w:t>Etter subkutan dosering hos sJIA-pasienter var halveringstiden for absorpsjon ca. 2 dager. Biotilgjengeligheten for den subkutane formuleringen hos sJIA-pasienter var 95 %.</w:t>
      </w:r>
    </w:p>
    <w:p w14:paraId="74AFF871" w14:textId="77777777" w:rsidR="00DF56D8" w:rsidRPr="00A942F6" w:rsidRDefault="00DF56D8" w:rsidP="00641834">
      <w:pPr>
        <w:rPr>
          <w:lang w:val="nb-NO"/>
        </w:rPr>
      </w:pPr>
    </w:p>
    <w:p w14:paraId="1DDB0070" w14:textId="77777777" w:rsidR="00DF56D8" w:rsidRPr="00A942F6" w:rsidRDefault="00DF56D8" w:rsidP="00641834">
      <w:pPr>
        <w:pStyle w:val="Style1underline"/>
        <w:rPr>
          <w:lang w:val="nb-NO"/>
        </w:rPr>
      </w:pPr>
      <w:r w:rsidRPr="00A942F6">
        <w:rPr>
          <w:lang w:val="nb-NO"/>
        </w:rPr>
        <w:t>Distribusjon</w:t>
      </w:r>
    </w:p>
    <w:p w14:paraId="75AC860D" w14:textId="77777777" w:rsidR="00DF56D8" w:rsidRPr="00A942F6" w:rsidRDefault="00DF56D8" w:rsidP="00641834">
      <w:pPr>
        <w:rPr>
          <w:lang w:val="nb-NO"/>
        </w:rPr>
      </w:pPr>
      <w:r w:rsidRPr="00A942F6">
        <w:rPr>
          <w:lang w:val="nb-NO"/>
        </w:rPr>
        <w:t>Hos pediatriske pasienter med sJIA var sentralt distribusjonsvolum 1,87 liter. Perifert distribusjonsvolum var 2,14 liter. Distribusjonsvolumet var dermed på 4,01 liter ved steady-state.</w:t>
      </w:r>
    </w:p>
    <w:p w14:paraId="769F97DB" w14:textId="77777777" w:rsidR="00495B46" w:rsidRPr="00A942F6" w:rsidRDefault="00495B46" w:rsidP="00641834">
      <w:pPr>
        <w:rPr>
          <w:lang w:val="nb-NO"/>
        </w:rPr>
      </w:pPr>
    </w:p>
    <w:p w14:paraId="6391A591" w14:textId="77777777" w:rsidR="00DF56D8" w:rsidRPr="00A942F6" w:rsidRDefault="00DF56D8" w:rsidP="00641834">
      <w:pPr>
        <w:pStyle w:val="Style1underline"/>
        <w:rPr>
          <w:lang w:val="nb-NO"/>
        </w:rPr>
      </w:pPr>
      <w:r w:rsidRPr="00A942F6">
        <w:rPr>
          <w:lang w:val="nb-NO"/>
        </w:rPr>
        <w:t>Eliminasjon</w:t>
      </w:r>
    </w:p>
    <w:p w14:paraId="65899300" w14:textId="4073540D" w:rsidR="00DF56D8" w:rsidRPr="00A942F6" w:rsidRDefault="00DF56D8" w:rsidP="00641834">
      <w:pPr>
        <w:rPr>
          <w:lang w:val="nb-NO"/>
        </w:rPr>
      </w:pPr>
      <w:r w:rsidRPr="00A942F6">
        <w:rPr>
          <w:lang w:val="nb-NO"/>
        </w:rPr>
        <w:t>Total clearance av tocilizumab var konsentrasjonsavhengig. Dette er summen av lineær og ikke-lineær clearance. Lineær clearance ble estimert som en parameter i den farmakokinetiske populasjonsanalysen og var 5,7 ml/time hos pediatriske pasienter med systemisk juvenil idiopatisk artritt. Etter subkutan administrering er effektiv t</w:t>
      </w:r>
      <w:r w:rsidR="002D2136" w:rsidRPr="00A942F6">
        <w:rPr>
          <w:vertAlign w:val="subscript"/>
          <w:lang w:val="nb-NO"/>
        </w:rPr>
        <w:t>1/2</w:t>
      </w:r>
      <w:r w:rsidRPr="00A942F6">
        <w:rPr>
          <w:lang w:val="nb-NO"/>
        </w:rPr>
        <w:t xml:space="preserve"> for </w:t>
      </w:r>
      <w:r w:rsidR="00813939" w:rsidRPr="00A942F6">
        <w:rPr>
          <w:lang w:val="nb-NO"/>
        </w:rPr>
        <w:t>tocilizumab</w:t>
      </w:r>
      <w:r w:rsidRPr="00A942F6">
        <w:rPr>
          <w:lang w:val="nb-NO"/>
        </w:rPr>
        <w:t xml:space="preserve"> hos sJIA-pasienter opptil 14 dager under et doseringsintervall ved steady-state, både for regimet med 162 mg hver uke og annenhver uke.</w:t>
      </w:r>
    </w:p>
    <w:p w14:paraId="69D95358" w14:textId="77777777" w:rsidR="00495B46" w:rsidRPr="00A942F6" w:rsidRDefault="00495B46" w:rsidP="00641834">
      <w:pPr>
        <w:rPr>
          <w:lang w:val="nb-NO"/>
        </w:rPr>
      </w:pPr>
    </w:p>
    <w:p w14:paraId="515F49D5" w14:textId="77777777" w:rsidR="00DF56D8" w:rsidRPr="007C1BFE" w:rsidRDefault="00DF56D8" w:rsidP="00641834">
      <w:pPr>
        <w:pStyle w:val="Style1underline"/>
        <w:rPr>
          <w:u w:val="none"/>
          <w:lang w:val="nb-NO"/>
        </w:rPr>
      </w:pPr>
      <w:r w:rsidRPr="007C1BFE">
        <w:rPr>
          <w:u w:val="none"/>
          <w:lang w:val="nb-NO"/>
        </w:rPr>
        <w:t>pJIA</w:t>
      </w:r>
    </w:p>
    <w:p w14:paraId="4FA05BAD" w14:textId="77777777" w:rsidR="00DF56D8" w:rsidRPr="00A942F6" w:rsidRDefault="00DF56D8" w:rsidP="00641834">
      <w:pPr>
        <w:pStyle w:val="Style1underline"/>
        <w:rPr>
          <w:lang w:val="nb-NO"/>
        </w:rPr>
      </w:pPr>
      <w:r w:rsidRPr="00A942F6">
        <w:rPr>
          <w:lang w:val="nb-NO"/>
        </w:rPr>
        <w:t>Subkutan bruk</w:t>
      </w:r>
    </w:p>
    <w:p w14:paraId="55E9D9E2" w14:textId="236C4254" w:rsidR="00DF56D8" w:rsidRPr="00A942F6" w:rsidRDefault="00DF56D8" w:rsidP="00641834">
      <w:pPr>
        <w:rPr>
          <w:lang w:val="nb-NO"/>
        </w:rPr>
      </w:pPr>
      <w:r w:rsidRPr="00A942F6">
        <w:rPr>
          <w:lang w:val="nb-NO"/>
        </w:rPr>
        <w:t xml:space="preserve">Farmakokinetikken til </w:t>
      </w:r>
      <w:r w:rsidR="00813939" w:rsidRPr="00A942F6">
        <w:rPr>
          <w:lang w:val="nb-NO"/>
        </w:rPr>
        <w:t>tocilizumab</w:t>
      </w:r>
      <w:r w:rsidRPr="00A942F6">
        <w:rPr>
          <w:lang w:val="nb-NO"/>
        </w:rPr>
        <w:t xml:space="preserve"> hos pJIA-pasienter ble beskrevet ved en farmakokinetisk populasjonsanalyse som inkluderte 237 pasienter som ble behandlet med 8 mg/kg intravenøst hver fjerde uke (pasienter som veide </w:t>
      </w:r>
      <w:r w:rsidRPr="00A942F6">
        <w:rPr>
          <w:rFonts w:cs="Times New Roman"/>
          <w:lang w:val="nb-NO"/>
        </w:rPr>
        <w:t>≥</w:t>
      </w:r>
      <w:r w:rsidRPr="00A942F6">
        <w:rPr>
          <w:lang w:val="nb-NO"/>
        </w:rPr>
        <w:t xml:space="preserve"> 30 kg), 10 mg/kg intravenøst hver fjerde uke (pasienter som veide under 30 kg), 162 mg subkutant annenhver uke (pasienter som veide </w:t>
      </w:r>
      <w:r w:rsidRPr="00A942F6">
        <w:rPr>
          <w:rFonts w:cs="Times New Roman"/>
          <w:lang w:val="nb-NO"/>
        </w:rPr>
        <w:t>≥</w:t>
      </w:r>
      <w:r w:rsidRPr="00A942F6">
        <w:rPr>
          <w:lang w:val="nb-NO"/>
        </w:rPr>
        <w:t xml:space="preserve"> 30 kg) eller 162 mg subkutant hver tredje uke (pasienter som veide under 30 kg).</w:t>
      </w:r>
    </w:p>
    <w:p w14:paraId="07588B5F" w14:textId="77777777" w:rsidR="00DF56D8" w:rsidRPr="00A942F6" w:rsidRDefault="00DF56D8" w:rsidP="00641834">
      <w:pPr>
        <w:rPr>
          <w:lang w:val="nb-NO"/>
        </w:rPr>
      </w:pPr>
    </w:p>
    <w:p w14:paraId="6AE76DF0" w14:textId="77777777" w:rsidR="00DF56D8" w:rsidRPr="00A942F6" w:rsidRDefault="00DF56D8" w:rsidP="00641834">
      <w:pPr>
        <w:pStyle w:val="Style1Iitaic"/>
        <w:rPr>
          <w:lang w:val="nb-NO"/>
        </w:rPr>
      </w:pPr>
      <w:r w:rsidRPr="00A942F6">
        <w:rPr>
          <w:lang w:val="nb-NO"/>
        </w:rPr>
        <w:t>Tabell 9. Forventet gjennomsnitt ± SD farmakokinetiske parametre ved steady-state etter subkutan dosering ved pJIA</w:t>
      </w:r>
    </w:p>
    <w:p w14:paraId="4B717364" w14:textId="77777777" w:rsidR="00DF56D8" w:rsidRPr="00A942F6" w:rsidRDefault="00DF56D8" w:rsidP="00641834">
      <w:pPr>
        <w:pStyle w:val="H2"/>
        <w:rPr>
          <w:lang w:val="nb-NO"/>
        </w:rPr>
      </w:pPr>
    </w:p>
    <w:tbl>
      <w:tblPr>
        <w:tblW w:w="9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3"/>
        <w:gridCol w:w="2851"/>
        <w:gridCol w:w="2851"/>
      </w:tblGrid>
      <w:tr w:rsidR="00DF56D8" w:rsidRPr="00A942F6" w14:paraId="3E41EF15" w14:textId="77777777" w:rsidTr="00F45BFD">
        <w:trPr>
          <w:cantSplit/>
          <w:trHeight w:val="20"/>
          <w:tblHeader/>
        </w:trPr>
        <w:tc>
          <w:tcPr>
            <w:tcW w:w="3353" w:type="dxa"/>
          </w:tcPr>
          <w:p w14:paraId="5A64B00C" w14:textId="77777777" w:rsidR="00DF56D8" w:rsidRPr="00A942F6" w:rsidRDefault="00DF56D8" w:rsidP="00641834">
            <w:pPr>
              <w:pStyle w:val="TableParagraph"/>
              <w:rPr>
                <w:sz w:val="20"/>
                <w:szCs w:val="20"/>
                <w:lang w:val="nb-NO"/>
              </w:rPr>
            </w:pPr>
          </w:p>
        </w:tc>
        <w:tc>
          <w:tcPr>
            <w:tcW w:w="5702" w:type="dxa"/>
            <w:gridSpan w:val="2"/>
          </w:tcPr>
          <w:p w14:paraId="63C2ABB3" w14:textId="77777777" w:rsidR="00DF56D8" w:rsidRPr="00A942F6" w:rsidRDefault="00DF56D8" w:rsidP="00641834">
            <w:pPr>
              <w:pStyle w:val="TableParagraph"/>
              <w:jc w:val="center"/>
              <w:rPr>
                <w:b/>
                <w:sz w:val="20"/>
                <w:szCs w:val="20"/>
                <w:lang w:val="nb-NO"/>
              </w:rPr>
            </w:pPr>
            <w:r w:rsidRPr="00A942F6">
              <w:rPr>
                <w:b/>
                <w:sz w:val="20"/>
                <w:szCs w:val="20"/>
                <w:lang w:val="nb-NO"/>
              </w:rPr>
              <w:t>Subkutant</w:t>
            </w:r>
          </w:p>
        </w:tc>
      </w:tr>
      <w:tr w:rsidR="00DF56D8" w:rsidRPr="00B477E5" w14:paraId="3EC415F4" w14:textId="77777777" w:rsidTr="00F45BFD">
        <w:trPr>
          <w:cantSplit/>
          <w:trHeight w:val="20"/>
          <w:tblHeader/>
        </w:trPr>
        <w:tc>
          <w:tcPr>
            <w:tcW w:w="3353" w:type="dxa"/>
          </w:tcPr>
          <w:p w14:paraId="027DD88B" w14:textId="0B394E8F" w:rsidR="00DF56D8" w:rsidRPr="00A942F6" w:rsidRDefault="00813939" w:rsidP="00641834">
            <w:pPr>
              <w:pStyle w:val="TableParagraph"/>
              <w:rPr>
                <w:b/>
                <w:sz w:val="20"/>
                <w:szCs w:val="20"/>
                <w:lang w:val="nb-NO"/>
              </w:rPr>
            </w:pPr>
            <w:r w:rsidRPr="00A942F6">
              <w:rPr>
                <w:b/>
                <w:sz w:val="20"/>
                <w:szCs w:val="20"/>
                <w:lang w:val="nb-NO"/>
              </w:rPr>
              <w:t>Tocilizumab</w:t>
            </w:r>
            <w:r w:rsidR="00DF56D8" w:rsidRPr="00A942F6">
              <w:rPr>
                <w:b/>
                <w:sz w:val="20"/>
                <w:szCs w:val="20"/>
                <w:lang w:val="nb-NO"/>
              </w:rPr>
              <w:t xml:space="preserve"> farmakokinetisk parameter</w:t>
            </w:r>
          </w:p>
        </w:tc>
        <w:tc>
          <w:tcPr>
            <w:tcW w:w="2851" w:type="dxa"/>
          </w:tcPr>
          <w:p w14:paraId="30E8ECCB" w14:textId="77777777" w:rsidR="00DF56D8" w:rsidRPr="00A942F6" w:rsidRDefault="00DF56D8" w:rsidP="00641834">
            <w:pPr>
              <w:pStyle w:val="TableParagraph"/>
              <w:jc w:val="center"/>
              <w:rPr>
                <w:b/>
                <w:sz w:val="20"/>
                <w:szCs w:val="20"/>
                <w:lang w:val="nb-NO"/>
              </w:rPr>
            </w:pPr>
            <w:r w:rsidRPr="00A942F6">
              <w:rPr>
                <w:b/>
                <w:sz w:val="20"/>
                <w:szCs w:val="20"/>
                <w:lang w:val="nb-NO"/>
              </w:rPr>
              <w:t>162 mg annenhver uke,</w:t>
            </w:r>
          </w:p>
          <w:p w14:paraId="72D0E63C" w14:textId="77777777" w:rsidR="00DF56D8" w:rsidRPr="00A942F6" w:rsidRDefault="00DF56D8" w:rsidP="00641834">
            <w:pPr>
              <w:pStyle w:val="TableParagraph"/>
              <w:jc w:val="center"/>
              <w:rPr>
                <w:b/>
                <w:sz w:val="20"/>
                <w:szCs w:val="20"/>
                <w:lang w:val="nb-NO"/>
              </w:rPr>
            </w:pPr>
            <w:r w:rsidRPr="00A942F6">
              <w:rPr>
                <w:b/>
                <w:sz w:val="20"/>
                <w:szCs w:val="20"/>
                <w:lang w:val="nb-NO"/>
              </w:rPr>
              <w:t>≥ 30 kg</w:t>
            </w:r>
          </w:p>
        </w:tc>
        <w:tc>
          <w:tcPr>
            <w:tcW w:w="2851" w:type="dxa"/>
          </w:tcPr>
          <w:p w14:paraId="531D8F5F" w14:textId="77777777" w:rsidR="00DF56D8" w:rsidRPr="00A942F6" w:rsidRDefault="00DF56D8" w:rsidP="00641834">
            <w:pPr>
              <w:pStyle w:val="TableParagraph"/>
              <w:jc w:val="center"/>
              <w:rPr>
                <w:b/>
                <w:sz w:val="20"/>
                <w:szCs w:val="20"/>
                <w:lang w:val="nb-NO"/>
              </w:rPr>
            </w:pPr>
            <w:r w:rsidRPr="00A942F6">
              <w:rPr>
                <w:b/>
                <w:sz w:val="20"/>
                <w:szCs w:val="20"/>
                <w:lang w:val="nb-NO"/>
              </w:rPr>
              <w:t>162 mg hver tredje uke,</w:t>
            </w:r>
          </w:p>
          <w:p w14:paraId="301207DA" w14:textId="77777777" w:rsidR="00DF56D8" w:rsidRPr="00A942F6" w:rsidRDefault="00DF56D8" w:rsidP="00641834">
            <w:pPr>
              <w:pStyle w:val="TableParagraph"/>
              <w:jc w:val="center"/>
              <w:rPr>
                <w:b/>
                <w:sz w:val="20"/>
                <w:szCs w:val="20"/>
                <w:lang w:val="nb-NO"/>
              </w:rPr>
            </w:pPr>
            <w:r w:rsidRPr="00A942F6">
              <w:rPr>
                <w:b/>
                <w:sz w:val="20"/>
                <w:szCs w:val="20"/>
                <w:lang w:val="nb-NO"/>
              </w:rPr>
              <w:t>under 30 kg</w:t>
            </w:r>
          </w:p>
        </w:tc>
      </w:tr>
      <w:tr w:rsidR="00DF56D8" w:rsidRPr="00A942F6" w14:paraId="2A1B7B33" w14:textId="77777777" w:rsidTr="00F45BFD">
        <w:trPr>
          <w:cantSplit/>
          <w:trHeight w:val="20"/>
        </w:trPr>
        <w:tc>
          <w:tcPr>
            <w:tcW w:w="3353" w:type="dxa"/>
          </w:tcPr>
          <w:p w14:paraId="038B10BB"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maks</w:t>
            </w:r>
            <w:r w:rsidRPr="00A942F6">
              <w:rPr>
                <w:sz w:val="20"/>
                <w:szCs w:val="20"/>
                <w:lang w:val="nb-NO"/>
              </w:rPr>
              <w:t xml:space="preserve"> </w:t>
            </w:r>
            <w:r w:rsidRPr="00A942F6">
              <w:rPr>
                <w:position w:val="2"/>
                <w:sz w:val="20"/>
                <w:szCs w:val="20"/>
                <w:lang w:val="nb-NO"/>
              </w:rPr>
              <w:t>(mikrog/ml)</w:t>
            </w:r>
          </w:p>
        </w:tc>
        <w:tc>
          <w:tcPr>
            <w:tcW w:w="2851" w:type="dxa"/>
          </w:tcPr>
          <w:p w14:paraId="090D764E" w14:textId="77777777" w:rsidR="00DF56D8" w:rsidRPr="00A942F6" w:rsidRDefault="00DF56D8" w:rsidP="00641834">
            <w:pPr>
              <w:pStyle w:val="TableParagraph"/>
              <w:jc w:val="center"/>
              <w:rPr>
                <w:sz w:val="20"/>
                <w:szCs w:val="20"/>
                <w:lang w:val="nb-NO"/>
              </w:rPr>
            </w:pPr>
            <w:r w:rsidRPr="00A942F6">
              <w:rPr>
                <w:sz w:val="20"/>
                <w:szCs w:val="20"/>
                <w:lang w:val="nb-NO"/>
              </w:rPr>
              <w:t>29,4 ± 13,5</w:t>
            </w:r>
          </w:p>
        </w:tc>
        <w:tc>
          <w:tcPr>
            <w:tcW w:w="2851" w:type="dxa"/>
          </w:tcPr>
          <w:p w14:paraId="648053CB" w14:textId="77777777" w:rsidR="00DF56D8" w:rsidRPr="00A942F6" w:rsidRDefault="00DF56D8" w:rsidP="00641834">
            <w:pPr>
              <w:pStyle w:val="TableParagraph"/>
              <w:jc w:val="center"/>
              <w:rPr>
                <w:sz w:val="20"/>
                <w:szCs w:val="20"/>
                <w:lang w:val="nb-NO"/>
              </w:rPr>
            </w:pPr>
            <w:r w:rsidRPr="00A942F6">
              <w:rPr>
                <w:sz w:val="20"/>
                <w:szCs w:val="20"/>
                <w:lang w:val="nb-NO"/>
              </w:rPr>
              <w:t>75,5 ± 24,1</w:t>
            </w:r>
          </w:p>
        </w:tc>
      </w:tr>
      <w:tr w:rsidR="00DF56D8" w:rsidRPr="00A942F6" w14:paraId="03AC5C1E" w14:textId="77777777" w:rsidTr="00F45BFD">
        <w:trPr>
          <w:cantSplit/>
          <w:trHeight w:val="20"/>
        </w:trPr>
        <w:tc>
          <w:tcPr>
            <w:tcW w:w="3353" w:type="dxa"/>
          </w:tcPr>
          <w:p w14:paraId="7B520EF1"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851" w:type="dxa"/>
          </w:tcPr>
          <w:p w14:paraId="16143554" w14:textId="77777777" w:rsidR="00DF56D8" w:rsidRPr="00A942F6" w:rsidRDefault="00DF56D8" w:rsidP="00641834">
            <w:pPr>
              <w:pStyle w:val="TableParagraph"/>
              <w:jc w:val="center"/>
              <w:rPr>
                <w:sz w:val="20"/>
                <w:szCs w:val="20"/>
                <w:lang w:val="nb-NO"/>
              </w:rPr>
            </w:pPr>
            <w:r w:rsidRPr="00A942F6">
              <w:rPr>
                <w:sz w:val="20"/>
                <w:szCs w:val="20"/>
                <w:lang w:val="nb-NO"/>
              </w:rPr>
              <w:t>11,8 ± 7,08</w:t>
            </w:r>
          </w:p>
        </w:tc>
        <w:tc>
          <w:tcPr>
            <w:tcW w:w="2851" w:type="dxa"/>
          </w:tcPr>
          <w:p w14:paraId="204EA212" w14:textId="77777777" w:rsidR="00DF56D8" w:rsidRPr="00A942F6" w:rsidRDefault="00DF56D8" w:rsidP="00641834">
            <w:pPr>
              <w:pStyle w:val="TableParagraph"/>
              <w:jc w:val="center"/>
              <w:rPr>
                <w:sz w:val="20"/>
                <w:szCs w:val="20"/>
                <w:lang w:val="nb-NO"/>
              </w:rPr>
            </w:pPr>
            <w:r w:rsidRPr="00A942F6">
              <w:rPr>
                <w:sz w:val="20"/>
                <w:szCs w:val="20"/>
                <w:lang w:val="nb-NO"/>
              </w:rPr>
              <w:t>18,4 ± 12,9</w:t>
            </w:r>
          </w:p>
        </w:tc>
      </w:tr>
      <w:tr w:rsidR="00DF56D8" w:rsidRPr="00A942F6" w14:paraId="05D1A957" w14:textId="77777777" w:rsidTr="00F45BFD">
        <w:trPr>
          <w:cantSplit/>
          <w:trHeight w:val="20"/>
        </w:trPr>
        <w:tc>
          <w:tcPr>
            <w:tcW w:w="3353" w:type="dxa"/>
          </w:tcPr>
          <w:p w14:paraId="06569AA2"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851" w:type="dxa"/>
          </w:tcPr>
          <w:p w14:paraId="4376E103" w14:textId="77777777" w:rsidR="00DF56D8" w:rsidRPr="00A942F6" w:rsidRDefault="00DF56D8" w:rsidP="00641834">
            <w:pPr>
              <w:pStyle w:val="TableParagraph"/>
              <w:jc w:val="center"/>
              <w:rPr>
                <w:sz w:val="20"/>
                <w:szCs w:val="20"/>
                <w:lang w:val="nb-NO"/>
              </w:rPr>
            </w:pPr>
            <w:r w:rsidRPr="00A942F6">
              <w:rPr>
                <w:sz w:val="20"/>
                <w:szCs w:val="20"/>
                <w:lang w:val="nb-NO"/>
              </w:rPr>
              <w:t>21,7 ± 10,4</w:t>
            </w:r>
          </w:p>
        </w:tc>
        <w:tc>
          <w:tcPr>
            <w:tcW w:w="2851" w:type="dxa"/>
          </w:tcPr>
          <w:p w14:paraId="42A317B7" w14:textId="77777777" w:rsidR="00DF56D8" w:rsidRPr="00A942F6" w:rsidRDefault="00DF56D8" w:rsidP="00641834">
            <w:pPr>
              <w:pStyle w:val="TableParagraph"/>
              <w:jc w:val="center"/>
              <w:rPr>
                <w:sz w:val="20"/>
                <w:szCs w:val="20"/>
                <w:lang w:val="nb-NO"/>
              </w:rPr>
            </w:pPr>
            <w:r w:rsidRPr="00A942F6">
              <w:rPr>
                <w:sz w:val="20"/>
                <w:szCs w:val="20"/>
                <w:lang w:val="nb-NO"/>
              </w:rPr>
              <w:t>45,5 ± 19,8</w:t>
            </w:r>
          </w:p>
        </w:tc>
      </w:tr>
      <w:tr w:rsidR="00DF56D8" w:rsidRPr="00A942F6" w14:paraId="00DB0521" w14:textId="77777777" w:rsidTr="00F45BFD">
        <w:trPr>
          <w:cantSplit/>
          <w:trHeight w:val="20"/>
        </w:trPr>
        <w:tc>
          <w:tcPr>
            <w:tcW w:w="3353" w:type="dxa"/>
          </w:tcPr>
          <w:p w14:paraId="575A2A9F"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max</w:t>
            </w:r>
          </w:p>
        </w:tc>
        <w:tc>
          <w:tcPr>
            <w:tcW w:w="2851" w:type="dxa"/>
          </w:tcPr>
          <w:p w14:paraId="3922028F" w14:textId="77777777" w:rsidR="00DF56D8" w:rsidRPr="00A942F6" w:rsidRDefault="00DF56D8" w:rsidP="00641834">
            <w:pPr>
              <w:pStyle w:val="TableParagraph"/>
              <w:jc w:val="center"/>
              <w:rPr>
                <w:sz w:val="20"/>
                <w:szCs w:val="20"/>
                <w:lang w:val="nb-NO"/>
              </w:rPr>
            </w:pPr>
            <w:r w:rsidRPr="00A942F6">
              <w:rPr>
                <w:sz w:val="20"/>
                <w:szCs w:val="20"/>
                <w:lang w:val="nb-NO"/>
              </w:rPr>
              <w:t>1,72</w:t>
            </w:r>
          </w:p>
        </w:tc>
        <w:tc>
          <w:tcPr>
            <w:tcW w:w="2851" w:type="dxa"/>
          </w:tcPr>
          <w:p w14:paraId="68C8F7E5" w14:textId="77777777" w:rsidR="00DF56D8" w:rsidRPr="00A942F6" w:rsidRDefault="00DF56D8" w:rsidP="00641834">
            <w:pPr>
              <w:pStyle w:val="TableParagraph"/>
              <w:jc w:val="center"/>
              <w:rPr>
                <w:sz w:val="20"/>
                <w:szCs w:val="20"/>
                <w:lang w:val="nb-NO"/>
              </w:rPr>
            </w:pPr>
            <w:r w:rsidRPr="00A942F6">
              <w:rPr>
                <w:sz w:val="20"/>
                <w:szCs w:val="20"/>
                <w:lang w:val="nb-NO"/>
              </w:rPr>
              <w:t>1,32</w:t>
            </w:r>
          </w:p>
        </w:tc>
      </w:tr>
      <w:tr w:rsidR="00DF56D8" w:rsidRPr="00A942F6" w14:paraId="2B0F2173" w14:textId="77777777" w:rsidTr="00F45BFD">
        <w:trPr>
          <w:cantSplit/>
          <w:trHeight w:val="20"/>
        </w:trPr>
        <w:tc>
          <w:tcPr>
            <w:tcW w:w="3353" w:type="dxa"/>
          </w:tcPr>
          <w:p w14:paraId="6D607CE8"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851" w:type="dxa"/>
          </w:tcPr>
          <w:p w14:paraId="29A4B9C8" w14:textId="77777777" w:rsidR="00DF56D8" w:rsidRPr="00A942F6" w:rsidRDefault="00DF56D8" w:rsidP="00641834">
            <w:pPr>
              <w:pStyle w:val="TableParagraph"/>
              <w:jc w:val="center"/>
              <w:rPr>
                <w:sz w:val="20"/>
                <w:szCs w:val="20"/>
                <w:lang w:val="nb-NO"/>
              </w:rPr>
            </w:pPr>
            <w:r w:rsidRPr="00A942F6">
              <w:rPr>
                <w:sz w:val="20"/>
                <w:szCs w:val="20"/>
                <w:lang w:val="nb-NO"/>
              </w:rPr>
              <w:t>3,58</w:t>
            </w:r>
          </w:p>
        </w:tc>
        <w:tc>
          <w:tcPr>
            <w:tcW w:w="2851" w:type="dxa"/>
          </w:tcPr>
          <w:p w14:paraId="2F780972" w14:textId="77777777" w:rsidR="00DF56D8" w:rsidRPr="00A942F6" w:rsidRDefault="00DF56D8" w:rsidP="00641834">
            <w:pPr>
              <w:pStyle w:val="TableParagraph"/>
              <w:jc w:val="center"/>
              <w:rPr>
                <w:sz w:val="20"/>
                <w:szCs w:val="20"/>
                <w:lang w:val="nb-NO"/>
              </w:rPr>
            </w:pPr>
            <w:r w:rsidRPr="00A942F6">
              <w:rPr>
                <w:sz w:val="20"/>
                <w:szCs w:val="20"/>
                <w:lang w:val="nb-NO"/>
              </w:rPr>
              <w:t>2,08</w:t>
            </w:r>
          </w:p>
        </w:tc>
      </w:tr>
      <w:tr w:rsidR="00DF56D8" w:rsidRPr="00A942F6" w14:paraId="26B6B4E4" w14:textId="77777777" w:rsidTr="00F45BFD">
        <w:trPr>
          <w:cantSplit/>
          <w:trHeight w:val="20"/>
        </w:trPr>
        <w:tc>
          <w:tcPr>
            <w:tcW w:w="3353" w:type="dxa"/>
          </w:tcPr>
          <w:p w14:paraId="7E82F3BE"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position w:val="2"/>
                <w:sz w:val="20"/>
                <w:szCs w:val="20"/>
                <w:lang w:val="nb-NO"/>
              </w:rPr>
              <w:t>*</w:t>
            </w:r>
          </w:p>
        </w:tc>
        <w:tc>
          <w:tcPr>
            <w:tcW w:w="2851" w:type="dxa"/>
          </w:tcPr>
          <w:p w14:paraId="00CDBE5B" w14:textId="77777777" w:rsidR="00DF56D8" w:rsidRPr="00A942F6" w:rsidRDefault="00DF56D8" w:rsidP="00641834">
            <w:pPr>
              <w:pStyle w:val="TableParagraph"/>
              <w:jc w:val="center"/>
              <w:rPr>
                <w:sz w:val="20"/>
                <w:szCs w:val="20"/>
                <w:lang w:val="nb-NO"/>
              </w:rPr>
            </w:pPr>
            <w:r w:rsidRPr="00A942F6">
              <w:rPr>
                <w:sz w:val="20"/>
                <w:szCs w:val="20"/>
                <w:lang w:val="nb-NO"/>
              </w:rPr>
              <w:t>2,04</w:t>
            </w:r>
          </w:p>
        </w:tc>
        <w:tc>
          <w:tcPr>
            <w:tcW w:w="2851" w:type="dxa"/>
          </w:tcPr>
          <w:p w14:paraId="700C661F" w14:textId="77777777" w:rsidR="00DF56D8" w:rsidRPr="00A942F6" w:rsidRDefault="00DF56D8" w:rsidP="00641834">
            <w:pPr>
              <w:pStyle w:val="TableParagraph"/>
              <w:jc w:val="center"/>
              <w:rPr>
                <w:sz w:val="20"/>
                <w:szCs w:val="20"/>
                <w:lang w:val="nb-NO"/>
              </w:rPr>
            </w:pPr>
            <w:r w:rsidRPr="00A942F6">
              <w:rPr>
                <w:sz w:val="20"/>
                <w:szCs w:val="20"/>
                <w:lang w:val="nb-NO"/>
              </w:rPr>
              <w:t>1,46</w:t>
            </w:r>
          </w:p>
        </w:tc>
      </w:tr>
    </w:tbl>
    <w:p w14:paraId="4A4656FC" w14:textId="77777777" w:rsidR="00DF56D8" w:rsidRPr="00A942F6" w:rsidRDefault="00DF56D8" w:rsidP="00641834">
      <w:pPr>
        <w:pStyle w:val="tablenotestar"/>
        <w:rPr>
          <w:lang w:val="nb-NO"/>
        </w:rPr>
      </w:pPr>
      <w:r w:rsidRPr="00A942F6">
        <w:rPr>
          <w:lang w:val="nb-NO"/>
        </w:rPr>
        <w:t>τ = 2 uker eller 3 uker for de to subkutane regimene</w:t>
      </w:r>
    </w:p>
    <w:p w14:paraId="0783D851" w14:textId="77777777" w:rsidR="00DF56D8" w:rsidRPr="00A942F6" w:rsidRDefault="00DF56D8" w:rsidP="00641834">
      <w:pPr>
        <w:rPr>
          <w:lang w:val="nb-NO"/>
        </w:rPr>
      </w:pPr>
    </w:p>
    <w:p w14:paraId="09E9EF17" w14:textId="0BAB4F6F" w:rsidR="00DF56D8" w:rsidRPr="00A942F6" w:rsidRDefault="00DF56D8" w:rsidP="00012510">
      <w:pPr>
        <w:rPr>
          <w:lang w:val="nb-NO"/>
        </w:rPr>
      </w:pPr>
      <w:r w:rsidRPr="00A942F6">
        <w:rPr>
          <w:lang w:val="nb-NO"/>
        </w:rPr>
        <w:t>Etter intravenøs dosering ble omtrent 90 % av steady-state nådd innen uke 12 for dosering på</w:t>
      </w:r>
      <w:r w:rsidR="00012510">
        <w:rPr>
          <w:lang w:val="nb-NO"/>
        </w:rPr>
        <w:t xml:space="preserve"> </w:t>
      </w:r>
      <w:r w:rsidRPr="00A942F6">
        <w:rPr>
          <w:lang w:val="nb-NO"/>
        </w:rPr>
        <w:t>10</w:t>
      </w:r>
      <w:r w:rsidR="00012510">
        <w:rPr>
          <w:lang w:val="nb-NO"/>
        </w:rPr>
        <w:t> </w:t>
      </w:r>
      <w:r w:rsidRPr="00A942F6">
        <w:rPr>
          <w:lang w:val="nb-NO"/>
        </w:rPr>
        <w:t xml:space="preserve">mg/kg (kroppsvekt &lt; 30 kg) og innen uke 16 for dosering på 8 mg/kg (kroppsvekt </w:t>
      </w:r>
      <w:r w:rsidRPr="00A942F6">
        <w:rPr>
          <w:rFonts w:cs="Times New Roman"/>
          <w:lang w:val="nb-NO"/>
        </w:rPr>
        <w:t>≥</w:t>
      </w:r>
      <w:r w:rsidRPr="00A942F6">
        <w:rPr>
          <w:lang w:val="nb-NO"/>
        </w:rPr>
        <w:t xml:space="preserve"> 30 kg). Etter subkutan dosering ble omtrent 90 % av steady-state nådd innen uke 12 både for regimet med 162 mg subkutant annenhver uke og hver tredje uke.</w:t>
      </w:r>
    </w:p>
    <w:p w14:paraId="6E860438" w14:textId="77777777" w:rsidR="00DF56D8" w:rsidRPr="00A942F6" w:rsidRDefault="00DF56D8" w:rsidP="00641834">
      <w:pPr>
        <w:rPr>
          <w:lang w:val="nb-NO"/>
        </w:rPr>
      </w:pPr>
    </w:p>
    <w:p w14:paraId="265CC165" w14:textId="77777777" w:rsidR="00DF56D8" w:rsidRPr="00A942F6" w:rsidRDefault="00DF56D8" w:rsidP="00641834">
      <w:pPr>
        <w:pStyle w:val="Style1underline"/>
        <w:rPr>
          <w:lang w:val="nb-NO"/>
        </w:rPr>
      </w:pPr>
      <w:r w:rsidRPr="00A942F6">
        <w:rPr>
          <w:lang w:val="nb-NO"/>
        </w:rPr>
        <w:t>Absorpsjon</w:t>
      </w:r>
    </w:p>
    <w:p w14:paraId="4F740CA4" w14:textId="77777777" w:rsidR="00DF56D8" w:rsidRPr="00A942F6" w:rsidRDefault="00DF56D8" w:rsidP="00641834">
      <w:pPr>
        <w:rPr>
          <w:lang w:val="nb-NO"/>
        </w:rPr>
      </w:pPr>
      <w:r w:rsidRPr="00A942F6">
        <w:rPr>
          <w:lang w:val="nb-NO"/>
        </w:rPr>
        <w:t>Etter subkutan dosering hos pJIA-pasienter var halveringstiden for absorpsjon ca. 2 dager. Biotilgjengeligheten for den subkutane formuleringen hos pJIA-pasienter var 96 %.</w:t>
      </w:r>
    </w:p>
    <w:p w14:paraId="3215DE53" w14:textId="77777777" w:rsidR="00DF56D8" w:rsidRPr="00A942F6" w:rsidRDefault="00DF56D8" w:rsidP="00641834">
      <w:pPr>
        <w:rPr>
          <w:lang w:val="nb-NO"/>
        </w:rPr>
      </w:pPr>
    </w:p>
    <w:p w14:paraId="0BFEDB77" w14:textId="77777777" w:rsidR="00DF56D8" w:rsidRPr="00A942F6" w:rsidRDefault="00DF56D8" w:rsidP="00641834">
      <w:pPr>
        <w:pStyle w:val="Style1underline"/>
        <w:rPr>
          <w:lang w:val="nb-NO"/>
        </w:rPr>
      </w:pPr>
      <w:r w:rsidRPr="00A942F6">
        <w:rPr>
          <w:lang w:val="nb-NO"/>
        </w:rPr>
        <w:t>Distribusjon</w:t>
      </w:r>
    </w:p>
    <w:p w14:paraId="4B361861" w14:textId="77777777" w:rsidR="00DF56D8" w:rsidRPr="00A942F6" w:rsidRDefault="00DF56D8" w:rsidP="00641834">
      <w:pPr>
        <w:rPr>
          <w:lang w:val="nb-NO"/>
        </w:rPr>
      </w:pPr>
      <w:r w:rsidRPr="00A942F6">
        <w:rPr>
          <w:lang w:val="nb-NO"/>
        </w:rPr>
        <w:t>Hos pediatriske pasienter med pJIA var sentralt distribusjonsvolum 1,97 liter. Perifert distribusjonsvolum var 2,03 liter. Distribusjonsvolumet var dermed på 4,0 liter ved steady-state.</w:t>
      </w:r>
    </w:p>
    <w:p w14:paraId="75522B42" w14:textId="77777777" w:rsidR="00495B46" w:rsidRPr="00A942F6" w:rsidRDefault="00495B46" w:rsidP="00641834">
      <w:pPr>
        <w:rPr>
          <w:lang w:val="nb-NO"/>
        </w:rPr>
      </w:pPr>
    </w:p>
    <w:p w14:paraId="6C528400" w14:textId="77777777" w:rsidR="00DF56D8" w:rsidRPr="00A942F6" w:rsidRDefault="00DF56D8" w:rsidP="00641834">
      <w:pPr>
        <w:pStyle w:val="Style1underline"/>
        <w:rPr>
          <w:lang w:val="nb-NO"/>
        </w:rPr>
      </w:pPr>
      <w:r w:rsidRPr="00A942F6">
        <w:rPr>
          <w:lang w:val="nb-NO"/>
        </w:rPr>
        <w:t>Eliminasjon</w:t>
      </w:r>
    </w:p>
    <w:p w14:paraId="349EEC1C" w14:textId="77777777" w:rsidR="00DF56D8" w:rsidRPr="00A942F6" w:rsidRDefault="00DF56D8" w:rsidP="00641834">
      <w:pPr>
        <w:rPr>
          <w:lang w:val="nb-NO"/>
        </w:rPr>
      </w:pPr>
      <w:r w:rsidRPr="00A942F6">
        <w:rPr>
          <w:lang w:val="nb-NO"/>
        </w:rPr>
        <w:t>Farmakokinetisk populasjonsanalyse hos pJIA-pasienter viste en kroppsstørrelserelatert innvirkning på lineær clearance. Derfor bør kroppsvektbasert dosering tas i betraktning (se tabell 9).</w:t>
      </w:r>
    </w:p>
    <w:p w14:paraId="4FD4CE9B" w14:textId="77777777" w:rsidR="00495B46" w:rsidRPr="00A942F6" w:rsidRDefault="00495B46" w:rsidP="00641834">
      <w:pPr>
        <w:rPr>
          <w:lang w:val="nb-NO"/>
        </w:rPr>
      </w:pPr>
    </w:p>
    <w:p w14:paraId="3206E162" w14:textId="308786B6" w:rsidR="00DF56D8" w:rsidRPr="00A942F6" w:rsidRDefault="00DF56D8" w:rsidP="00641834">
      <w:pPr>
        <w:rPr>
          <w:lang w:val="nb-NO"/>
        </w:rPr>
      </w:pPr>
      <w:r w:rsidRPr="00A942F6">
        <w:rPr>
          <w:lang w:val="nb-NO"/>
        </w:rPr>
        <w:t>Etter subkutan administrering er effektiv t</w:t>
      </w:r>
      <w:r w:rsidR="002D2136" w:rsidRPr="00A942F6">
        <w:rPr>
          <w:vertAlign w:val="subscript"/>
          <w:lang w:val="nb-NO"/>
        </w:rPr>
        <w:t>1/2</w:t>
      </w:r>
      <w:r w:rsidRPr="00A942F6">
        <w:rPr>
          <w:lang w:val="nb-NO"/>
        </w:rPr>
        <w:t xml:space="preserve"> for </w:t>
      </w:r>
      <w:r w:rsidR="00813939" w:rsidRPr="00A942F6">
        <w:rPr>
          <w:lang w:val="nb-NO"/>
        </w:rPr>
        <w:t>tocilizumab</w:t>
      </w:r>
      <w:r w:rsidRPr="00A942F6">
        <w:rPr>
          <w:lang w:val="nb-NO"/>
        </w:rPr>
        <w:t xml:space="preserve"> hos pJIA-pasienter opptil 10 dager for pasienter &lt; 30 kg (162 mg subkutant hver tredje uke) og opptil 7 dager for pasienter </w:t>
      </w:r>
      <w:r w:rsidRPr="00A942F6">
        <w:rPr>
          <w:rFonts w:cs="Times New Roman"/>
          <w:lang w:val="nb-NO"/>
        </w:rPr>
        <w:t>≥</w:t>
      </w:r>
      <w:r w:rsidRPr="00A942F6">
        <w:rPr>
          <w:lang w:val="nb-NO"/>
        </w:rPr>
        <w:t xml:space="preserve"> 30 kg (162 mg subkutant annenhver uke) under et doseringsintervall ved steady-state. Etter intravenøs administrering gjennomgår tocilizumab en bifasisk eliminasjon fra sirkulasjonen. Total clearance av tocilizumab er konsentrasjonsavhengig. Dette er summen av lineær og ikke-lineær clearance. Lineær clearance ble estimert som en parameter i den farmakokinetiske populasjonsanalysen og var 6,25 ml/time.</w:t>
      </w:r>
      <w:r w:rsidR="00495B46" w:rsidRPr="00A942F6">
        <w:rPr>
          <w:lang w:val="nb-NO"/>
        </w:rPr>
        <w:t xml:space="preserve"> </w:t>
      </w:r>
      <w:r w:rsidRPr="00A942F6">
        <w:rPr>
          <w:lang w:val="nb-NO"/>
        </w:rPr>
        <w:t>Konsentrasjonsavhengig ikke-lineær clearance spiller en stor rolle ved lave tocilizumabkonsentrasjoner. Så snart den ikke-lineære clearanceveien er mettet ved høyere tocilizumabkonsentrasjoner, er clearance hovedsakelig bestemt av lineær clearance.</w:t>
      </w:r>
    </w:p>
    <w:p w14:paraId="4D01349B" w14:textId="77777777" w:rsidR="00495B46" w:rsidRPr="00A942F6" w:rsidRDefault="00495B46" w:rsidP="00641834">
      <w:pPr>
        <w:rPr>
          <w:lang w:val="nb-NO"/>
        </w:rPr>
      </w:pPr>
    </w:p>
    <w:p w14:paraId="424C0D81" w14:textId="77777777" w:rsidR="00DF56D8" w:rsidRPr="00A942F6" w:rsidRDefault="00DF56D8" w:rsidP="00641834">
      <w:pPr>
        <w:pStyle w:val="Style1underline"/>
        <w:rPr>
          <w:lang w:val="nb-NO"/>
        </w:rPr>
      </w:pPr>
      <w:r w:rsidRPr="00A942F6">
        <w:rPr>
          <w:lang w:val="nb-NO"/>
        </w:rPr>
        <w:t>GCA</w:t>
      </w:r>
    </w:p>
    <w:p w14:paraId="7AAED69E" w14:textId="77777777" w:rsidR="00DF56D8" w:rsidRPr="00A942F6" w:rsidRDefault="00DF56D8" w:rsidP="00641834">
      <w:pPr>
        <w:pStyle w:val="Style1underline"/>
        <w:rPr>
          <w:lang w:val="nb-NO"/>
        </w:rPr>
      </w:pPr>
      <w:r w:rsidRPr="00A942F6">
        <w:rPr>
          <w:lang w:val="nb-NO"/>
        </w:rPr>
        <w:t>Subkutan bruk</w:t>
      </w:r>
    </w:p>
    <w:p w14:paraId="206C538D" w14:textId="5A47C7E3" w:rsidR="00DF56D8" w:rsidRPr="00A942F6" w:rsidRDefault="00813939" w:rsidP="00641834">
      <w:pPr>
        <w:rPr>
          <w:lang w:val="nb-NO"/>
        </w:rPr>
      </w:pPr>
      <w:r w:rsidRPr="00A942F6">
        <w:rPr>
          <w:lang w:val="nb-NO"/>
        </w:rPr>
        <w:t>tocilizumab</w:t>
      </w:r>
      <w:r w:rsidR="00DF56D8" w:rsidRPr="00A942F6">
        <w:rPr>
          <w:lang w:val="nb-NO"/>
        </w:rPr>
        <w:t>s farmakokinetikk hos GCA-pasienter ble bestemt ved hjelp av en farmakokinetisk populasjonsmodell fra et datasett med analyser sammensatt av 149 GCA-pasienter behandlet med</w:t>
      </w:r>
    </w:p>
    <w:p w14:paraId="76CE0E47" w14:textId="77777777" w:rsidR="00DF56D8" w:rsidRPr="00A942F6" w:rsidRDefault="00DF56D8" w:rsidP="00641834">
      <w:pPr>
        <w:rPr>
          <w:lang w:val="nb-NO"/>
        </w:rPr>
      </w:pPr>
      <w:r w:rsidRPr="00A942F6">
        <w:rPr>
          <w:lang w:val="nb-NO"/>
        </w:rPr>
        <w:t>162 mg subkutan dose ukentlig eller 162 mg subkutan dose annenhver uke. Modellen som ble utviklet har samme struktur som den farmakokinetiske populasjonsmodellen som ble utviklet tidligere, basert på data fra RA-pasienter (se tabell 10).</w:t>
      </w:r>
    </w:p>
    <w:p w14:paraId="5A06B3A0" w14:textId="77777777" w:rsidR="00DF56D8" w:rsidRPr="00A942F6" w:rsidRDefault="00DF56D8" w:rsidP="00641834">
      <w:pPr>
        <w:rPr>
          <w:lang w:val="nb-NO"/>
        </w:rPr>
      </w:pPr>
    </w:p>
    <w:p w14:paraId="4E25E873" w14:textId="77777777" w:rsidR="00DF56D8" w:rsidRPr="00A942F6" w:rsidRDefault="00DF56D8" w:rsidP="00641834">
      <w:pPr>
        <w:pStyle w:val="Style1Iitaic"/>
        <w:rPr>
          <w:lang w:val="nb-NO"/>
        </w:rPr>
      </w:pPr>
      <w:r w:rsidRPr="00A942F6">
        <w:rPr>
          <w:lang w:val="nb-NO"/>
        </w:rPr>
        <w:t>Tabell 10. Forventet gjennomsnitt ± SD farmakokinetiske parametre ved steady-state etter subkutan dosering ved GCA</w:t>
      </w:r>
    </w:p>
    <w:p w14:paraId="1F537020" w14:textId="77777777" w:rsidR="00DF56D8" w:rsidRPr="00A942F6" w:rsidRDefault="00DF56D8" w:rsidP="00641834">
      <w:pPr>
        <w:keepNext/>
        <w:rPr>
          <w:lang w:val="nb-NO"/>
        </w:rPr>
      </w:pPr>
    </w:p>
    <w:tbl>
      <w:tblPr>
        <w:tblW w:w="8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7"/>
        <w:gridCol w:w="2484"/>
        <w:gridCol w:w="2489"/>
      </w:tblGrid>
      <w:tr w:rsidR="00DF56D8" w:rsidRPr="00A942F6" w14:paraId="53CCE1C5" w14:textId="77777777" w:rsidTr="00F45BFD">
        <w:trPr>
          <w:cantSplit/>
          <w:trHeight w:val="20"/>
        </w:trPr>
        <w:tc>
          <w:tcPr>
            <w:tcW w:w="3847" w:type="dxa"/>
          </w:tcPr>
          <w:p w14:paraId="5F014820" w14:textId="77777777" w:rsidR="00DF56D8" w:rsidRPr="00A942F6" w:rsidRDefault="00DF56D8" w:rsidP="00641834">
            <w:pPr>
              <w:pStyle w:val="TableParagraph"/>
              <w:keepNext/>
              <w:rPr>
                <w:sz w:val="20"/>
                <w:szCs w:val="20"/>
                <w:lang w:val="nb-NO"/>
              </w:rPr>
            </w:pPr>
          </w:p>
        </w:tc>
        <w:tc>
          <w:tcPr>
            <w:tcW w:w="4973" w:type="dxa"/>
            <w:gridSpan w:val="2"/>
          </w:tcPr>
          <w:p w14:paraId="4F38DEEC" w14:textId="77777777" w:rsidR="00DF56D8" w:rsidRPr="00A942F6" w:rsidRDefault="00DF56D8" w:rsidP="00641834">
            <w:pPr>
              <w:pStyle w:val="TableParagraph"/>
              <w:keepNext/>
              <w:jc w:val="center"/>
              <w:rPr>
                <w:b/>
                <w:sz w:val="20"/>
                <w:szCs w:val="20"/>
                <w:lang w:val="nb-NO"/>
              </w:rPr>
            </w:pPr>
            <w:r w:rsidRPr="00A942F6">
              <w:rPr>
                <w:b/>
                <w:sz w:val="20"/>
                <w:szCs w:val="20"/>
                <w:lang w:val="nb-NO"/>
              </w:rPr>
              <w:t>Subkutant</w:t>
            </w:r>
          </w:p>
        </w:tc>
      </w:tr>
      <w:tr w:rsidR="00DF56D8" w:rsidRPr="00A942F6" w14:paraId="2ECD553F" w14:textId="77777777" w:rsidTr="00F45BFD">
        <w:trPr>
          <w:cantSplit/>
          <w:trHeight w:val="20"/>
        </w:trPr>
        <w:tc>
          <w:tcPr>
            <w:tcW w:w="3847" w:type="dxa"/>
          </w:tcPr>
          <w:p w14:paraId="75FE1AD4" w14:textId="77777777" w:rsidR="00DF56D8" w:rsidRPr="00A942F6" w:rsidRDefault="00DF56D8" w:rsidP="00641834">
            <w:pPr>
              <w:pStyle w:val="TableParagraph"/>
              <w:rPr>
                <w:b/>
                <w:sz w:val="20"/>
                <w:szCs w:val="20"/>
                <w:lang w:val="nb-NO"/>
              </w:rPr>
            </w:pPr>
            <w:r w:rsidRPr="00A942F6">
              <w:rPr>
                <w:b/>
                <w:sz w:val="20"/>
                <w:szCs w:val="20"/>
                <w:lang w:val="nb-NO"/>
              </w:rPr>
              <w:t>Tocilizumab farmakokinetisk parameter</w:t>
            </w:r>
          </w:p>
        </w:tc>
        <w:tc>
          <w:tcPr>
            <w:tcW w:w="2484" w:type="dxa"/>
          </w:tcPr>
          <w:p w14:paraId="3058362C" w14:textId="77777777" w:rsidR="00DF56D8" w:rsidRPr="00A942F6" w:rsidRDefault="00DF56D8" w:rsidP="00641834">
            <w:pPr>
              <w:pStyle w:val="TableParagraph"/>
              <w:jc w:val="center"/>
              <w:rPr>
                <w:b/>
                <w:sz w:val="20"/>
                <w:szCs w:val="20"/>
                <w:lang w:val="nb-NO"/>
              </w:rPr>
            </w:pPr>
            <w:r w:rsidRPr="00A942F6">
              <w:rPr>
                <w:b/>
                <w:sz w:val="20"/>
                <w:szCs w:val="20"/>
                <w:lang w:val="nb-NO"/>
              </w:rPr>
              <w:t>162 mg annenhver uke</w:t>
            </w:r>
          </w:p>
        </w:tc>
        <w:tc>
          <w:tcPr>
            <w:tcW w:w="2489" w:type="dxa"/>
          </w:tcPr>
          <w:p w14:paraId="4322F2E7" w14:textId="77777777" w:rsidR="00DF56D8" w:rsidRPr="00A942F6" w:rsidRDefault="00DF56D8" w:rsidP="00641834">
            <w:pPr>
              <w:pStyle w:val="TableParagraph"/>
              <w:jc w:val="center"/>
              <w:rPr>
                <w:b/>
                <w:sz w:val="20"/>
                <w:szCs w:val="20"/>
                <w:lang w:val="nb-NO"/>
              </w:rPr>
            </w:pPr>
            <w:r w:rsidRPr="00A942F6">
              <w:rPr>
                <w:b/>
                <w:sz w:val="20"/>
                <w:szCs w:val="20"/>
                <w:lang w:val="nb-NO"/>
              </w:rPr>
              <w:t>162 mg ukentlig</w:t>
            </w:r>
          </w:p>
        </w:tc>
      </w:tr>
      <w:tr w:rsidR="00DF56D8" w:rsidRPr="00A942F6" w14:paraId="6EA9AD75" w14:textId="77777777" w:rsidTr="00F45BFD">
        <w:trPr>
          <w:cantSplit/>
          <w:trHeight w:val="20"/>
        </w:trPr>
        <w:tc>
          <w:tcPr>
            <w:tcW w:w="3847" w:type="dxa"/>
          </w:tcPr>
          <w:p w14:paraId="164C16C0"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max</w:t>
            </w:r>
            <w:r w:rsidRPr="00A942F6">
              <w:rPr>
                <w:sz w:val="20"/>
                <w:szCs w:val="20"/>
                <w:lang w:val="nb-NO"/>
              </w:rPr>
              <w:t xml:space="preserve"> </w:t>
            </w:r>
            <w:r w:rsidRPr="00A942F6">
              <w:rPr>
                <w:position w:val="2"/>
                <w:sz w:val="20"/>
                <w:szCs w:val="20"/>
                <w:lang w:val="nb-NO"/>
              </w:rPr>
              <w:t>(mikrog/ml)</w:t>
            </w:r>
          </w:p>
        </w:tc>
        <w:tc>
          <w:tcPr>
            <w:tcW w:w="2484" w:type="dxa"/>
          </w:tcPr>
          <w:p w14:paraId="00117475" w14:textId="77777777" w:rsidR="00DF56D8" w:rsidRPr="00A942F6" w:rsidRDefault="00DF56D8" w:rsidP="00641834">
            <w:pPr>
              <w:pStyle w:val="TableParagraph"/>
              <w:jc w:val="center"/>
              <w:rPr>
                <w:sz w:val="20"/>
                <w:szCs w:val="20"/>
                <w:lang w:val="nb-NO"/>
              </w:rPr>
            </w:pPr>
            <w:r w:rsidRPr="00A942F6">
              <w:rPr>
                <w:sz w:val="20"/>
                <w:szCs w:val="20"/>
                <w:lang w:val="nb-NO"/>
              </w:rPr>
              <w:t>19,3 ± 12,8</w:t>
            </w:r>
          </w:p>
        </w:tc>
        <w:tc>
          <w:tcPr>
            <w:tcW w:w="2489" w:type="dxa"/>
          </w:tcPr>
          <w:p w14:paraId="38AD6287" w14:textId="77777777" w:rsidR="00DF56D8" w:rsidRPr="00A942F6" w:rsidRDefault="00DF56D8" w:rsidP="00641834">
            <w:pPr>
              <w:pStyle w:val="TableParagraph"/>
              <w:jc w:val="center"/>
              <w:rPr>
                <w:sz w:val="20"/>
                <w:szCs w:val="20"/>
                <w:lang w:val="nb-NO"/>
              </w:rPr>
            </w:pPr>
            <w:r w:rsidRPr="00A942F6">
              <w:rPr>
                <w:sz w:val="20"/>
                <w:szCs w:val="20"/>
                <w:lang w:val="nb-NO"/>
              </w:rPr>
              <w:t>73 ± 30,4</w:t>
            </w:r>
          </w:p>
        </w:tc>
      </w:tr>
      <w:tr w:rsidR="00DF56D8" w:rsidRPr="00A942F6" w14:paraId="041355DD" w14:textId="77777777" w:rsidTr="00F45BFD">
        <w:trPr>
          <w:cantSplit/>
          <w:trHeight w:val="20"/>
        </w:trPr>
        <w:tc>
          <w:tcPr>
            <w:tcW w:w="3847" w:type="dxa"/>
          </w:tcPr>
          <w:p w14:paraId="7E7055DD"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min</w:t>
            </w:r>
            <w:r w:rsidRPr="00A942F6">
              <w:rPr>
                <w:sz w:val="20"/>
                <w:szCs w:val="20"/>
                <w:lang w:val="nb-NO"/>
              </w:rPr>
              <w:t xml:space="preserve"> </w:t>
            </w:r>
            <w:r w:rsidRPr="00A942F6">
              <w:rPr>
                <w:position w:val="2"/>
                <w:sz w:val="20"/>
                <w:szCs w:val="20"/>
                <w:lang w:val="nb-NO"/>
              </w:rPr>
              <w:t>(mikrog/ml)</w:t>
            </w:r>
          </w:p>
        </w:tc>
        <w:tc>
          <w:tcPr>
            <w:tcW w:w="2484" w:type="dxa"/>
          </w:tcPr>
          <w:p w14:paraId="369B02EF" w14:textId="77777777" w:rsidR="00DF56D8" w:rsidRPr="00A942F6" w:rsidRDefault="00DF56D8" w:rsidP="00641834">
            <w:pPr>
              <w:pStyle w:val="TableParagraph"/>
              <w:jc w:val="center"/>
              <w:rPr>
                <w:sz w:val="20"/>
                <w:szCs w:val="20"/>
                <w:lang w:val="nb-NO"/>
              </w:rPr>
            </w:pPr>
            <w:r w:rsidRPr="00A942F6">
              <w:rPr>
                <w:sz w:val="20"/>
                <w:szCs w:val="20"/>
                <w:lang w:val="nb-NO"/>
              </w:rPr>
              <w:t>11,1 ± 10,3</w:t>
            </w:r>
          </w:p>
        </w:tc>
        <w:tc>
          <w:tcPr>
            <w:tcW w:w="2489" w:type="dxa"/>
          </w:tcPr>
          <w:p w14:paraId="73CC6A35" w14:textId="77777777" w:rsidR="00DF56D8" w:rsidRPr="00A942F6" w:rsidRDefault="00DF56D8" w:rsidP="00641834">
            <w:pPr>
              <w:pStyle w:val="TableParagraph"/>
              <w:jc w:val="center"/>
              <w:rPr>
                <w:sz w:val="20"/>
                <w:szCs w:val="20"/>
                <w:lang w:val="nb-NO"/>
              </w:rPr>
            </w:pPr>
            <w:r w:rsidRPr="00A942F6">
              <w:rPr>
                <w:sz w:val="20"/>
                <w:szCs w:val="20"/>
                <w:lang w:val="nb-NO"/>
              </w:rPr>
              <w:t>68,1 ± 29,5</w:t>
            </w:r>
          </w:p>
        </w:tc>
      </w:tr>
      <w:tr w:rsidR="00DF56D8" w:rsidRPr="00A942F6" w14:paraId="2EA31535" w14:textId="77777777" w:rsidTr="00F45BFD">
        <w:trPr>
          <w:cantSplit/>
          <w:trHeight w:val="20"/>
        </w:trPr>
        <w:tc>
          <w:tcPr>
            <w:tcW w:w="3847" w:type="dxa"/>
          </w:tcPr>
          <w:p w14:paraId="74D1B442" w14:textId="77777777" w:rsidR="00DF56D8" w:rsidRPr="00A942F6" w:rsidRDefault="00DF56D8" w:rsidP="00641834">
            <w:pPr>
              <w:pStyle w:val="TableParagraph"/>
              <w:rPr>
                <w:sz w:val="20"/>
                <w:szCs w:val="20"/>
                <w:lang w:val="nb-NO"/>
              </w:rPr>
            </w:pPr>
            <w:r w:rsidRPr="00A942F6">
              <w:rPr>
                <w:position w:val="2"/>
                <w:sz w:val="20"/>
                <w:szCs w:val="20"/>
                <w:lang w:val="nb-NO"/>
              </w:rPr>
              <w:t>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(mikrog/ml)</w:t>
            </w:r>
          </w:p>
        </w:tc>
        <w:tc>
          <w:tcPr>
            <w:tcW w:w="2484" w:type="dxa"/>
          </w:tcPr>
          <w:p w14:paraId="2BFD31ED" w14:textId="77777777" w:rsidR="00DF56D8" w:rsidRPr="00A942F6" w:rsidRDefault="00DF56D8" w:rsidP="00641834">
            <w:pPr>
              <w:pStyle w:val="TableParagraph"/>
              <w:jc w:val="center"/>
              <w:rPr>
                <w:sz w:val="20"/>
                <w:szCs w:val="20"/>
                <w:lang w:val="nb-NO"/>
              </w:rPr>
            </w:pPr>
            <w:r w:rsidRPr="00A942F6">
              <w:rPr>
                <w:sz w:val="20"/>
                <w:szCs w:val="20"/>
                <w:lang w:val="nb-NO"/>
              </w:rPr>
              <w:t>16,2 ± 11,8</w:t>
            </w:r>
          </w:p>
        </w:tc>
        <w:tc>
          <w:tcPr>
            <w:tcW w:w="2489" w:type="dxa"/>
          </w:tcPr>
          <w:p w14:paraId="2B7124F2" w14:textId="77777777" w:rsidR="00DF56D8" w:rsidRPr="00A942F6" w:rsidRDefault="00DF56D8" w:rsidP="00641834">
            <w:pPr>
              <w:pStyle w:val="TableParagraph"/>
              <w:jc w:val="center"/>
              <w:rPr>
                <w:sz w:val="20"/>
                <w:szCs w:val="20"/>
                <w:lang w:val="nb-NO"/>
              </w:rPr>
            </w:pPr>
            <w:r w:rsidRPr="00A942F6">
              <w:rPr>
                <w:sz w:val="20"/>
                <w:szCs w:val="20"/>
                <w:lang w:val="nb-NO"/>
              </w:rPr>
              <w:t>71,3 ± 30,1</w:t>
            </w:r>
          </w:p>
        </w:tc>
      </w:tr>
      <w:tr w:rsidR="00DF56D8" w:rsidRPr="00A942F6" w14:paraId="2FD40CAE" w14:textId="77777777" w:rsidTr="00F45BFD">
        <w:trPr>
          <w:cantSplit/>
          <w:trHeight w:val="20"/>
        </w:trPr>
        <w:tc>
          <w:tcPr>
            <w:tcW w:w="3847" w:type="dxa"/>
          </w:tcPr>
          <w:p w14:paraId="41715C0F"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max</w:t>
            </w:r>
          </w:p>
        </w:tc>
        <w:tc>
          <w:tcPr>
            <w:tcW w:w="2484" w:type="dxa"/>
          </w:tcPr>
          <w:p w14:paraId="34E58211" w14:textId="77777777" w:rsidR="00DF56D8" w:rsidRPr="00A942F6" w:rsidRDefault="00DF56D8" w:rsidP="00641834">
            <w:pPr>
              <w:pStyle w:val="TableParagraph"/>
              <w:jc w:val="center"/>
              <w:rPr>
                <w:sz w:val="20"/>
                <w:szCs w:val="20"/>
                <w:lang w:val="nb-NO"/>
              </w:rPr>
            </w:pPr>
            <w:r w:rsidRPr="00A942F6">
              <w:rPr>
                <w:sz w:val="20"/>
                <w:szCs w:val="20"/>
                <w:lang w:val="nb-NO"/>
              </w:rPr>
              <w:t>2,18</w:t>
            </w:r>
          </w:p>
        </w:tc>
        <w:tc>
          <w:tcPr>
            <w:tcW w:w="2489" w:type="dxa"/>
          </w:tcPr>
          <w:p w14:paraId="63BB9F1D" w14:textId="77777777" w:rsidR="00DF56D8" w:rsidRPr="00A942F6" w:rsidRDefault="00DF56D8" w:rsidP="00641834">
            <w:pPr>
              <w:pStyle w:val="TableParagraph"/>
              <w:jc w:val="center"/>
              <w:rPr>
                <w:sz w:val="20"/>
                <w:szCs w:val="20"/>
                <w:lang w:val="nb-NO"/>
              </w:rPr>
            </w:pPr>
            <w:r w:rsidRPr="00A942F6">
              <w:rPr>
                <w:sz w:val="20"/>
                <w:szCs w:val="20"/>
                <w:lang w:val="nb-NO"/>
              </w:rPr>
              <w:t>8,88</w:t>
            </w:r>
          </w:p>
        </w:tc>
      </w:tr>
      <w:tr w:rsidR="00DF56D8" w:rsidRPr="00A942F6" w14:paraId="5D7EE5D4" w14:textId="77777777" w:rsidTr="00F45BFD">
        <w:trPr>
          <w:cantSplit/>
          <w:trHeight w:val="20"/>
        </w:trPr>
        <w:tc>
          <w:tcPr>
            <w:tcW w:w="3847" w:type="dxa"/>
          </w:tcPr>
          <w:p w14:paraId="74F72D53"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min</w:t>
            </w:r>
          </w:p>
        </w:tc>
        <w:tc>
          <w:tcPr>
            <w:tcW w:w="2484" w:type="dxa"/>
          </w:tcPr>
          <w:p w14:paraId="4992B93F" w14:textId="77777777" w:rsidR="00DF56D8" w:rsidRPr="00A942F6" w:rsidRDefault="00DF56D8" w:rsidP="00641834">
            <w:pPr>
              <w:pStyle w:val="TableParagraph"/>
              <w:jc w:val="center"/>
              <w:rPr>
                <w:sz w:val="20"/>
                <w:szCs w:val="20"/>
                <w:lang w:val="nb-NO"/>
              </w:rPr>
            </w:pPr>
            <w:r w:rsidRPr="00A942F6">
              <w:rPr>
                <w:sz w:val="20"/>
                <w:szCs w:val="20"/>
                <w:lang w:val="nb-NO"/>
              </w:rPr>
              <w:t>5,61</w:t>
            </w:r>
          </w:p>
        </w:tc>
        <w:tc>
          <w:tcPr>
            <w:tcW w:w="2489" w:type="dxa"/>
          </w:tcPr>
          <w:p w14:paraId="1CD9758A" w14:textId="77777777" w:rsidR="00DF56D8" w:rsidRPr="00A942F6" w:rsidRDefault="00DF56D8" w:rsidP="00641834">
            <w:pPr>
              <w:pStyle w:val="TableParagraph"/>
              <w:jc w:val="center"/>
              <w:rPr>
                <w:sz w:val="20"/>
                <w:szCs w:val="20"/>
                <w:lang w:val="nb-NO"/>
              </w:rPr>
            </w:pPr>
            <w:r w:rsidRPr="00A942F6">
              <w:rPr>
                <w:sz w:val="20"/>
                <w:szCs w:val="20"/>
                <w:lang w:val="nb-NO"/>
              </w:rPr>
              <w:t>9,59</w:t>
            </w:r>
          </w:p>
        </w:tc>
      </w:tr>
      <w:tr w:rsidR="00DF56D8" w:rsidRPr="00A942F6" w14:paraId="609C40EC" w14:textId="77777777" w:rsidTr="00F45BFD">
        <w:trPr>
          <w:cantSplit/>
          <w:trHeight w:val="20"/>
        </w:trPr>
        <w:tc>
          <w:tcPr>
            <w:tcW w:w="3847" w:type="dxa"/>
          </w:tcPr>
          <w:p w14:paraId="6843E6C8" w14:textId="77777777" w:rsidR="00DF56D8" w:rsidRPr="00A942F6" w:rsidRDefault="00DF56D8" w:rsidP="00641834">
            <w:pPr>
              <w:pStyle w:val="TableParagraph"/>
              <w:rPr>
                <w:sz w:val="20"/>
                <w:szCs w:val="20"/>
                <w:lang w:val="nb-NO"/>
              </w:rPr>
            </w:pPr>
            <w:r w:rsidRPr="00A942F6">
              <w:rPr>
                <w:position w:val="2"/>
                <w:sz w:val="20"/>
                <w:szCs w:val="20"/>
                <w:lang w:val="nb-NO"/>
              </w:rPr>
              <w:t>Akkumulering C</w:t>
            </w:r>
            <w:r w:rsidRPr="00A942F6">
              <w:rPr>
                <w:sz w:val="20"/>
                <w:szCs w:val="20"/>
                <w:vertAlign w:val="subscript"/>
                <w:lang w:val="nb-NO"/>
              </w:rPr>
              <w:t>gjennomsnitt</w:t>
            </w:r>
            <w:r w:rsidRPr="00A942F6">
              <w:rPr>
                <w:sz w:val="20"/>
                <w:szCs w:val="20"/>
                <w:lang w:val="nb-NO"/>
              </w:rPr>
              <w:t xml:space="preserve"> </w:t>
            </w:r>
            <w:r w:rsidRPr="00A942F6">
              <w:rPr>
                <w:position w:val="2"/>
                <w:sz w:val="20"/>
                <w:szCs w:val="20"/>
                <w:lang w:val="nb-NO"/>
              </w:rPr>
              <w:t>eller AUC</w:t>
            </w:r>
            <w:r w:rsidRPr="00A942F6">
              <w:rPr>
                <w:sz w:val="20"/>
                <w:szCs w:val="20"/>
                <w:vertAlign w:val="subscript"/>
                <w:lang w:val="nb-NO"/>
              </w:rPr>
              <w:t>τ</w:t>
            </w:r>
            <w:r w:rsidRPr="00A942F6">
              <w:rPr>
                <w:sz w:val="20"/>
                <w:szCs w:val="20"/>
                <w:lang w:val="nb-NO"/>
              </w:rPr>
              <w:t xml:space="preserve"> </w:t>
            </w:r>
            <w:r w:rsidRPr="00A942F6">
              <w:rPr>
                <w:position w:val="2"/>
                <w:sz w:val="20"/>
                <w:szCs w:val="20"/>
                <w:lang w:val="nb-NO"/>
              </w:rPr>
              <w:t>*</w:t>
            </w:r>
          </w:p>
        </w:tc>
        <w:tc>
          <w:tcPr>
            <w:tcW w:w="2484" w:type="dxa"/>
          </w:tcPr>
          <w:p w14:paraId="0FF96EA9" w14:textId="77777777" w:rsidR="00DF56D8" w:rsidRPr="00A942F6" w:rsidRDefault="00DF56D8" w:rsidP="00641834">
            <w:pPr>
              <w:pStyle w:val="TableParagraph"/>
              <w:jc w:val="center"/>
              <w:rPr>
                <w:sz w:val="20"/>
                <w:szCs w:val="20"/>
                <w:lang w:val="nb-NO"/>
              </w:rPr>
            </w:pPr>
            <w:r w:rsidRPr="00A942F6">
              <w:rPr>
                <w:sz w:val="20"/>
                <w:szCs w:val="20"/>
                <w:lang w:val="nb-NO"/>
              </w:rPr>
              <w:t>2,81</w:t>
            </w:r>
          </w:p>
        </w:tc>
        <w:tc>
          <w:tcPr>
            <w:tcW w:w="2489" w:type="dxa"/>
          </w:tcPr>
          <w:p w14:paraId="6F17015D" w14:textId="77777777" w:rsidR="00DF56D8" w:rsidRPr="00A942F6" w:rsidRDefault="00DF56D8" w:rsidP="00641834">
            <w:pPr>
              <w:pStyle w:val="TableParagraph"/>
              <w:jc w:val="center"/>
              <w:rPr>
                <w:sz w:val="20"/>
                <w:szCs w:val="20"/>
                <w:lang w:val="nb-NO"/>
              </w:rPr>
            </w:pPr>
            <w:r w:rsidRPr="00A942F6">
              <w:rPr>
                <w:sz w:val="20"/>
                <w:szCs w:val="20"/>
                <w:lang w:val="nb-NO"/>
              </w:rPr>
              <w:t>10,91</w:t>
            </w:r>
          </w:p>
        </w:tc>
      </w:tr>
    </w:tbl>
    <w:p w14:paraId="65738C8D" w14:textId="77777777" w:rsidR="00DF56D8" w:rsidRPr="00A942F6" w:rsidRDefault="00DF56D8" w:rsidP="00641834">
      <w:pPr>
        <w:pStyle w:val="tablenotestar"/>
        <w:rPr>
          <w:lang w:val="nb-NO"/>
        </w:rPr>
      </w:pPr>
      <w:r w:rsidRPr="00A942F6">
        <w:rPr>
          <w:lang w:val="nb-NO"/>
        </w:rPr>
        <w:t>τ = 2 uker eller 1 uke for de to subkutane regimene</w:t>
      </w:r>
    </w:p>
    <w:p w14:paraId="1CE3EFDE" w14:textId="49C6A218" w:rsidR="00DF56D8" w:rsidRPr="00A942F6" w:rsidRDefault="00DF56D8" w:rsidP="00641834">
      <w:pPr>
        <w:rPr>
          <w:lang w:val="nb-NO"/>
        </w:rPr>
      </w:pPr>
      <w:r w:rsidRPr="00A942F6">
        <w:rPr>
          <w:lang w:val="nb-NO"/>
        </w:rPr>
        <w:t xml:space="preserve">Ved dosering med </w:t>
      </w:r>
      <w:r w:rsidR="00813939" w:rsidRPr="00A942F6">
        <w:rPr>
          <w:lang w:val="nb-NO"/>
        </w:rPr>
        <w:t>tocilizumab</w:t>
      </w:r>
      <w:r w:rsidRPr="00A942F6">
        <w:rPr>
          <w:lang w:val="nb-NO"/>
        </w:rPr>
        <w:t xml:space="preserve"> ukentlig var steady-state-profilen nesten flat, med svært små svingninger mellom laveste og høyeste verdier, mens det var store svingninger ved dosering med </w:t>
      </w:r>
      <w:r w:rsidR="00813939" w:rsidRPr="00A942F6">
        <w:rPr>
          <w:lang w:val="nb-NO"/>
        </w:rPr>
        <w:t>tocilizumab</w:t>
      </w:r>
      <w:r w:rsidRPr="00A942F6">
        <w:rPr>
          <w:lang w:val="nb-NO"/>
        </w:rPr>
        <w:t xml:space="preserve"> annenhver uke. Omtrent 90 % av steady-state (AUC</w:t>
      </w:r>
      <w:r w:rsidRPr="00A942F6">
        <w:rPr>
          <w:vertAlign w:val="subscript"/>
          <w:lang w:val="nb-NO"/>
        </w:rPr>
        <w:t>τ</w:t>
      </w:r>
      <w:r w:rsidRPr="00A942F6">
        <w:rPr>
          <w:lang w:val="nb-NO"/>
        </w:rPr>
        <w:t>) ble nådd i uke 14 i gruppen med dosering annenhver uke og i uke 17 i gruppen med dosering ukentlig.</w:t>
      </w:r>
    </w:p>
    <w:p w14:paraId="6F75C7AD" w14:textId="77777777" w:rsidR="00495B46" w:rsidRPr="00A942F6" w:rsidRDefault="00495B46" w:rsidP="00641834">
      <w:pPr>
        <w:rPr>
          <w:lang w:val="nb-NO"/>
        </w:rPr>
      </w:pPr>
    </w:p>
    <w:p w14:paraId="147A2240" w14:textId="644548F6" w:rsidR="00DF56D8" w:rsidRPr="00A942F6" w:rsidRDefault="00DF56D8" w:rsidP="00641834">
      <w:pPr>
        <w:rPr>
          <w:lang w:val="nb-NO"/>
        </w:rPr>
      </w:pPr>
      <w:r w:rsidRPr="00A942F6">
        <w:rPr>
          <w:lang w:val="nb-NO"/>
        </w:rPr>
        <w:t xml:space="preserve">Basert på nåværende karakterisering av farmakokinetikken, er 50 % høyere </w:t>
      </w:r>
      <w:r w:rsidR="00813939" w:rsidRPr="00A942F6">
        <w:rPr>
          <w:lang w:val="nb-NO"/>
        </w:rPr>
        <w:t>tocilizumab</w:t>
      </w:r>
      <w:r w:rsidRPr="00A942F6">
        <w:rPr>
          <w:lang w:val="nb-NO"/>
        </w:rPr>
        <w:t xml:space="preserve"> bunn- konsentrasjoner ved steady-state observert hos denne populasjonen i forhold til gjennomsnittskonsentrasjoner i et stort datasett fra RA-populasjonen. Disse forskjellene oppstår av ukjente grunner. Farmakokinetiske forskjeller er ikke ledsaget av påfallende forskjeller i farmakodynamiske parametere, og den kliniske relevansen er derfor ukjent.</w:t>
      </w:r>
    </w:p>
    <w:p w14:paraId="2C80A208" w14:textId="77777777" w:rsidR="00DF56D8" w:rsidRPr="00A942F6" w:rsidRDefault="00DF56D8" w:rsidP="00641834">
      <w:pPr>
        <w:rPr>
          <w:lang w:val="nb-NO"/>
        </w:rPr>
      </w:pPr>
    </w:p>
    <w:p w14:paraId="5DD4C9E5" w14:textId="05F9C7AB" w:rsidR="00DF56D8" w:rsidRPr="00A942F6" w:rsidRDefault="00DF56D8" w:rsidP="00641834">
      <w:pPr>
        <w:rPr>
          <w:lang w:val="nb-NO"/>
        </w:rPr>
      </w:pPr>
      <w:r w:rsidRPr="00A942F6">
        <w:rPr>
          <w:lang w:val="nb-NO"/>
        </w:rPr>
        <w:t>Hos GCA-pasienter ble det observert en høyere eksponering ved mindre kroppsvekt. Ved dosering 162</w:t>
      </w:r>
      <w:r w:rsidR="007C4FF9">
        <w:rPr>
          <w:lang w:val="nb-NO"/>
        </w:rPr>
        <w:t> </w:t>
      </w:r>
      <w:r w:rsidRPr="00A942F6">
        <w:rPr>
          <w:lang w:val="nb-NO"/>
        </w:rPr>
        <w:t>mg ukentlig var steady-state Cavg 51 % høyere hos pasienter med kroppsvekt under 60 kg sammenlignet med pasienter mellom 60 og 100 kg. Ved dosering 162 mg annenhver uke, var steady- state Cavg 129 % høyere hos pasienter med kroppsvekt under 60 kg sammenlignet med pasienter mellom 60 og 100 kg. Det er begrensede data for pasienter over 100 kg (n=7).</w:t>
      </w:r>
    </w:p>
    <w:p w14:paraId="475250D9" w14:textId="77777777" w:rsidR="00495B46" w:rsidRPr="00A942F6" w:rsidRDefault="00495B46" w:rsidP="00641834">
      <w:pPr>
        <w:rPr>
          <w:lang w:val="nb-NO"/>
        </w:rPr>
      </w:pPr>
    </w:p>
    <w:p w14:paraId="3BF47BEF" w14:textId="77777777" w:rsidR="00DF56D8" w:rsidRPr="00A942F6" w:rsidRDefault="00DF56D8" w:rsidP="00641834">
      <w:pPr>
        <w:pStyle w:val="Style1underline"/>
        <w:rPr>
          <w:lang w:val="nb-NO"/>
        </w:rPr>
      </w:pPr>
      <w:r w:rsidRPr="00A942F6">
        <w:rPr>
          <w:lang w:val="nb-NO"/>
        </w:rPr>
        <w:t>Absorpsjon</w:t>
      </w:r>
    </w:p>
    <w:p w14:paraId="2D435744" w14:textId="77777777" w:rsidR="00DF56D8" w:rsidRPr="00A942F6" w:rsidRDefault="00DF56D8" w:rsidP="00641834">
      <w:pPr>
        <w:rPr>
          <w:lang w:val="nb-NO"/>
        </w:rPr>
      </w:pPr>
    </w:p>
    <w:p w14:paraId="0B77A492" w14:textId="510CE1D4" w:rsidR="00DF56D8" w:rsidRPr="00A942F6" w:rsidRDefault="00DF56D8" w:rsidP="00641834">
      <w:pPr>
        <w:rPr>
          <w:lang w:val="nb-NO"/>
        </w:rPr>
      </w:pPr>
      <w:r w:rsidRPr="00A942F6">
        <w:rPr>
          <w:lang w:val="nb-NO"/>
        </w:rPr>
        <w:t>Etter subkutan dosering hos pasienter med GCA var absorpsjonens t</w:t>
      </w:r>
      <w:r w:rsidR="00F36EEE" w:rsidRPr="00A942F6">
        <w:rPr>
          <w:rFonts w:cs="Times New Roman"/>
          <w:vertAlign w:val="subscript"/>
          <w:lang w:val="nb-NO"/>
        </w:rPr>
        <w:t xml:space="preserve">½ </w:t>
      </w:r>
      <w:r w:rsidRPr="00A942F6">
        <w:rPr>
          <w:lang w:val="nb-NO"/>
        </w:rPr>
        <w:t>rundt 4 dager. Biotilgjengeligheten for den subkutane formuleringen var 0,8. Medianverdiene for t</w:t>
      </w:r>
      <w:r w:rsidR="00F36EEE" w:rsidRPr="00A942F6">
        <w:rPr>
          <w:rFonts w:cs="Times New Roman"/>
          <w:vertAlign w:val="subscript"/>
          <w:lang w:val="nb-NO"/>
        </w:rPr>
        <w:t xml:space="preserve">max </w:t>
      </w:r>
      <w:r w:rsidRPr="00A942F6">
        <w:rPr>
          <w:lang w:val="nb-NO"/>
        </w:rPr>
        <w:t xml:space="preserve">var 3 dager etter dosering med </w:t>
      </w:r>
      <w:r w:rsidR="00813939" w:rsidRPr="00A942F6">
        <w:rPr>
          <w:lang w:val="nb-NO"/>
        </w:rPr>
        <w:t>tocilizumab</w:t>
      </w:r>
      <w:r w:rsidRPr="00A942F6">
        <w:rPr>
          <w:lang w:val="nb-NO"/>
        </w:rPr>
        <w:t xml:space="preserve"> ukentlig, og 4,5 dager etter dosering med tocilizumab annenhver uke.</w:t>
      </w:r>
    </w:p>
    <w:p w14:paraId="07F138DA" w14:textId="77777777" w:rsidR="00DF56D8" w:rsidRPr="00A942F6" w:rsidRDefault="00DF56D8" w:rsidP="00641834">
      <w:pPr>
        <w:rPr>
          <w:lang w:val="nb-NO"/>
        </w:rPr>
      </w:pPr>
    </w:p>
    <w:p w14:paraId="4C1EC56E" w14:textId="77777777" w:rsidR="00DF56D8" w:rsidRPr="00A942F6" w:rsidRDefault="00DF56D8" w:rsidP="00641834">
      <w:pPr>
        <w:pStyle w:val="Style1underline"/>
        <w:rPr>
          <w:lang w:val="nb-NO"/>
        </w:rPr>
      </w:pPr>
      <w:r w:rsidRPr="00A942F6">
        <w:rPr>
          <w:lang w:val="nb-NO"/>
        </w:rPr>
        <w:lastRenderedPageBreak/>
        <w:t>Distribusjon</w:t>
      </w:r>
    </w:p>
    <w:p w14:paraId="5388FCAE" w14:textId="77777777" w:rsidR="00495B46" w:rsidRPr="00A942F6" w:rsidRDefault="00495B46" w:rsidP="0036729A">
      <w:pPr>
        <w:keepNext/>
        <w:rPr>
          <w:lang w:val="nb-NO"/>
        </w:rPr>
      </w:pPr>
    </w:p>
    <w:p w14:paraId="49527262" w14:textId="77777777" w:rsidR="00DF56D8" w:rsidRPr="00A942F6" w:rsidRDefault="00DF56D8" w:rsidP="00641834">
      <w:pPr>
        <w:rPr>
          <w:lang w:val="nb-NO"/>
        </w:rPr>
      </w:pPr>
      <w:r w:rsidRPr="00A942F6">
        <w:rPr>
          <w:lang w:val="nb-NO"/>
        </w:rPr>
        <w:t>Hos pasienter med GCA var det sentrale distribusjonsvolumet 4,09 l, det perifere distribusjonsvolumet var 3,37 l, hvilket resulterte i et distribusjonsvolum ved steady state på 7,46 l.</w:t>
      </w:r>
    </w:p>
    <w:p w14:paraId="7AFAE4E7" w14:textId="77777777" w:rsidR="00DF56D8" w:rsidRPr="00A942F6" w:rsidRDefault="00DF56D8" w:rsidP="00641834">
      <w:pPr>
        <w:rPr>
          <w:lang w:val="nb-NO"/>
        </w:rPr>
      </w:pPr>
    </w:p>
    <w:p w14:paraId="062C60D1" w14:textId="77777777" w:rsidR="00DF56D8" w:rsidRPr="00A942F6" w:rsidRDefault="00DF56D8" w:rsidP="00641834">
      <w:pPr>
        <w:pStyle w:val="Style1underline"/>
        <w:rPr>
          <w:lang w:val="nb-NO"/>
        </w:rPr>
      </w:pPr>
      <w:r w:rsidRPr="00A942F6">
        <w:rPr>
          <w:lang w:val="nb-NO"/>
        </w:rPr>
        <w:t>Eliminasjon</w:t>
      </w:r>
    </w:p>
    <w:p w14:paraId="6F8ADECE" w14:textId="77777777" w:rsidR="00495B46" w:rsidRPr="00A942F6" w:rsidRDefault="00495B46" w:rsidP="00641834">
      <w:pPr>
        <w:rPr>
          <w:lang w:val="nb-NO"/>
        </w:rPr>
      </w:pPr>
    </w:p>
    <w:p w14:paraId="3D927D79" w14:textId="76406165" w:rsidR="00DF56D8" w:rsidRPr="00A942F6" w:rsidRDefault="00DF56D8" w:rsidP="00641834">
      <w:pPr>
        <w:rPr>
          <w:lang w:val="nb-NO"/>
        </w:rPr>
      </w:pPr>
      <w:r w:rsidRPr="00A942F6">
        <w:rPr>
          <w:lang w:val="nb-NO"/>
        </w:rPr>
        <w:t xml:space="preserve">Total clearance av </w:t>
      </w:r>
      <w:r w:rsidR="00813939" w:rsidRPr="00A942F6">
        <w:rPr>
          <w:lang w:val="nb-NO"/>
        </w:rPr>
        <w:t>tocilizumab</w:t>
      </w:r>
      <w:r w:rsidRPr="00A942F6">
        <w:rPr>
          <w:lang w:val="nb-NO"/>
        </w:rPr>
        <w:t xml:space="preserve"> var konsentrasjonsavhengig og er summen av lineær clearance og ikke-lineær clearance. Den lineære clearance ble beregnet som en parameter i farmakokinetisk populasjonsanalyse og var 6,7 ml/time hos pasienter med GCA.</w:t>
      </w:r>
    </w:p>
    <w:p w14:paraId="37E44F84" w14:textId="77777777" w:rsidR="00495B46" w:rsidRPr="00A942F6" w:rsidRDefault="00495B46" w:rsidP="00641834">
      <w:pPr>
        <w:rPr>
          <w:lang w:val="nb-NO"/>
        </w:rPr>
      </w:pPr>
    </w:p>
    <w:p w14:paraId="4CCB5C82" w14:textId="61ECF6BB" w:rsidR="00DF56D8" w:rsidRPr="00A942F6" w:rsidRDefault="00DF56D8" w:rsidP="00641834">
      <w:pPr>
        <w:rPr>
          <w:lang w:val="nb-NO"/>
        </w:rPr>
      </w:pPr>
      <w:r w:rsidRPr="00A942F6">
        <w:rPr>
          <w:lang w:val="nb-NO"/>
        </w:rPr>
        <w:t>Hos GCA-pasienter varierte den effektive t</w:t>
      </w:r>
      <w:r w:rsidR="00F36EEE" w:rsidRPr="00A942F6">
        <w:rPr>
          <w:rFonts w:cs="Times New Roman"/>
          <w:vertAlign w:val="subscript"/>
          <w:lang w:val="nb-NO"/>
        </w:rPr>
        <w:t xml:space="preserve">½ </w:t>
      </w:r>
      <w:r w:rsidRPr="00A942F6">
        <w:rPr>
          <w:lang w:val="nb-NO"/>
        </w:rPr>
        <w:t xml:space="preserve">av </w:t>
      </w:r>
      <w:r w:rsidR="00813939" w:rsidRPr="00A942F6">
        <w:rPr>
          <w:lang w:val="nb-NO"/>
        </w:rPr>
        <w:t>tocilizumab</w:t>
      </w:r>
      <w:r w:rsidRPr="00A942F6">
        <w:rPr>
          <w:lang w:val="nb-NO"/>
        </w:rPr>
        <w:t xml:space="preserve"> ved steady-state mellom 18,3 og</w:t>
      </w:r>
      <w:r w:rsidR="005B12B0" w:rsidRPr="00A942F6">
        <w:rPr>
          <w:lang w:val="nb-NO"/>
        </w:rPr>
        <w:t xml:space="preserve"> </w:t>
      </w:r>
      <w:r w:rsidRPr="00A942F6">
        <w:rPr>
          <w:lang w:val="nb-NO"/>
        </w:rPr>
        <w:t xml:space="preserve">18,9 dager ved behandling med 162 mg ukentlig, og mellom 4,2 og 7,9 dager ved behandling med 162 mg annenhver uke. Ved høye serumkonsentrasjoner, når total clearance av </w:t>
      </w:r>
      <w:r w:rsidR="00813939" w:rsidRPr="00A942F6">
        <w:rPr>
          <w:lang w:val="nb-NO"/>
        </w:rPr>
        <w:t>tocilizumab</w:t>
      </w:r>
      <w:r w:rsidRPr="00A942F6">
        <w:rPr>
          <w:lang w:val="nb-NO"/>
        </w:rPr>
        <w:t xml:space="preserve"> domineres av lineær clearance, ble en effektiv t</w:t>
      </w:r>
      <w:r w:rsidR="00F36EEE" w:rsidRPr="00A942F6">
        <w:rPr>
          <w:rFonts w:cs="Times New Roman"/>
          <w:vertAlign w:val="subscript"/>
          <w:lang w:val="nb-NO"/>
        </w:rPr>
        <w:t xml:space="preserve">½ </w:t>
      </w:r>
      <w:r w:rsidRPr="00A942F6">
        <w:rPr>
          <w:lang w:val="nb-NO"/>
        </w:rPr>
        <w:t>på omtrent 32 dager estimert ut fra populasjonsparametere.</w:t>
      </w:r>
    </w:p>
    <w:p w14:paraId="30A8D419" w14:textId="77777777" w:rsidR="00DF56D8" w:rsidRPr="00A942F6" w:rsidRDefault="00DF56D8" w:rsidP="00641834">
      <w:pPr>
        <w:rPr>
          <w:lang w:val="nb-NO"/>
        </w:rPr>
      </w:pPr>
    </w:p>
    <w:p w14:paraId="57DD99FF" w14:textId="77777777" w:rsidR="00DF56D8" w:rsidRPr="00A942F6" w:rsidRDefault="00DF56D8" w:rsidP="00641834">
      <w:pPr>
        <w:pStyle w:val="Style1underline"/>
        <w:rPr>
          <w:lang w:val="nb-NO"/>
        </w:rPr>
      </w:pPr>
      <w:r w:rsidRPr="00A942F6">
        <w:rPr>
          <w:lang w:val="nb-NO"/>
        </w:rPr>
        <w:t>Spesielle populasjoner</w:t>
      </w:r>
    </w:p>
    <w:p w14:paraId="6B69C073" w14:textId="6B32AACB" w:rsidR="00DF56D8" w:rsidRPr="00A942F6" w:rsidRDefault="00DF56D8" w:rsidP="00641834">
      <w:pPr>
        <w:rPr>
          <w:lang w:val="nb-NO"/>
        </w:rPr>
      </w:pPr>
      <w:r w:rsidRPr="00A942F6">
        <w:rPr>
          <w:lang w:val="nb-NO"/>
        </w:rPr>
        <w:t xml:space="preserve">Nedsatt nyrefunksjon: Det er ikke utført formelle studier vedrørende effekten av nedsatt nyrefunksjon på farmakokinetikken til </w:t>
      </w:r>
      <w:r w:rsidR="00813939" w:rsidRPr="00A942F6">
        <w:rPr>
          <w:lang w:val="nb-NO"/>
        </w:rPr>
        <w:t>tocilizumab</w:t>
      </w:r>
      <w:r w:rsidRPr="00A942F6">
        <w:rPr>
          <w:lang w:val="nb-NO"/>
        </w:rPr>
        <w:t xml:space="preserve">. De fleste pasientene i RA- og GCA-studiene i den farmakokinetiske populasjonsanalysen hadde normal eller lett nedsatt nyrefunksjon. Lett nedsatt nyrefunksjon (estimert kreatinin-clearance basert på Cockcroft-Gault-formel) hadde ingen innvirkning på farmakokinetikken til </w:t>
      </w:r>
      <w:r w:rsidR="00813939" w:rsidRPr="00A942F6">
        <w:rPr>
          <w:lang w:val="nb-NO"/>
        </w:rPr>
        <w:t>tocilizumab</w:t>
      </w:r>
      <w:r w:rsidRPr="00A942F6">
        <w:rPr>
          <w:lang w:val="nb-NO"/>
        </w:rPr>
        <w:t>.</w:t>
      </w:r>
    </w:p>
    <w:p w14:paraId="5308DC6F" w14:textId="77777777" w:rsidR="00495B46" w:rsidRPr="00A942F6" w:rsidRDefault="00495B46" w:rsidP="00641834">
      <w:pPr>
        <w:rPr>
          <w:lang w:val="nb-NO"/>
        </w:rPr>
      </w:pPr>
    </w:p>
    <w:p w14:paraId="15FD7474" w14:textId="11CF29D5" w:rsidR="00DF56D8" w:rsidRPr="00A942F6" w:rsidRDefault="00DF56D8" w:rsidP="00641834">
      <w:pPr>
        <w:rPr>
          <w:lang w:val="nb-NO"/>
        </w:rPr>
      </w:pPr>
      <w:r w:rsidRPr="00A942F6">
        <w:rPr>
          <w:lang w:val="nb-NO"/>
        </w:rPr>
        <w:t xml:space="preserve">Omtrent en tredjedel av pasientene i GCA-studien hadde moderat nedsatt nyrefunksjon ved baseline (estimert kreatinin-clearance på 30-59 ml/min). Det ble ikke sett noen påvirkning på eksponering for </w:t>
      </w:r>
      <w:r w:rsidR="00813939" w:rsidRPr="00A942F6">
        <w:rPr>
          <w:lang w:val="nb-NO"/>
        </w:rPr>
        <w:t>tocilizumab</w:t>
      </w:r>
      <w:r w:rsidRPr="00A942F6">
        <w:rPr>
          <w:lang w:val="nb-NO"/>
        </w:rPr>
        <w:t xml:space="preserve"> hos disse pasientene.</w:t>
      </w:r>
    </w:p>
    <w:p w14:paraId="37694FB9" w14:textId="77777777" w:rsidR="00DF56D8" w:rsidRPr="00A942F6" w:rsidRDefault="00DF56D8" w:rsidP="00641834">
      <w:pPr>
        <w:rPr>
          <w:lang w:val="nb-NO"/>
        </w:rPr>
      </w:pPr>
    </w:p>
    <w:p w14:paraId="5E242DEB" w14:textId="77777777" w:rsidR="00DF56D8" w:rsidRPr="00A942F6" w:rsidRDefault="00DF56D8" w:rsidP="00641834">
      <w:pPr>
        <w:rPr>
          <w:lang w:val="nb-NO"/>
        </w:rPr>
      </w:pPr>
      <w:r w:rsidRPr="00A942F6">
        <w:rPr>
          <w:lang w:val="nb-NO"/>
        </w:rPr>
        <w:t>Det er ikke nødvendig med dosejustering hos pasienter med lett eller moderat nedsatt nyrefunksjon.</w:t>
      </w:r>
    </w:p>
    <w:p w14:paraId="2D0275AD" w14:textId="77777777" w:rsidR="00DF56D8" w:rsidRPr="00A942F6" w:rsidRDefault="00DF56D8" w:rsidP="00641834">
      <w:pPr>
        <w:rPr>
          <w:lang w:val="nb-NO"/>
        </w:rPr>
      </w:pPr>
    </w:p>
    <w:p w14:paraId="52693780" w14:textId="53847C10" w:rsidR="00DF56D8" w:rsidRPr="00A942F6" w:rsidRDefault="00DF56D8" w:rsidP="00641834">
      <w:pPr>
        <w:rPr>
          <w:lang w:val="nb-NO"/>
        </w:rPr>
      </w:pPr>
      <w:r w:rsidRPr="00A942F6">
        <w:rPr>
          <w:lang w:val="nb-NO"/>
        </w:rPr>
        <w:t xml:space="preserve">Nedsatt leverfunksjon: Det er ikke utført formelle studier vedrørende effekten av nedsatt leverfunksjon på farmakokinetikken til </w:t>
      </w:r>
      <w:r w:rsidR="00813939" w:rsidRPr="00A942F6">
        <w:rPr>
          <w:lang w:val="nb-NO"/>
        </w:rPr>
        <w:t>tocilizumab</w:t>
      </w:r>
      <w:r w:rsidRPr="00A942F6">
        <w:rPr>
          <w:lang w:val="nb-NO"/>
        </w:rPr>
        <w:t>.</w:t>
      </w:r>
    </w:p>
    <w:p w14:paraId="2983188C" w14:textId="77777777" w:rsidR="00495B46" w:rsidRPr="00A942F6" w:rsidRDefault="00495B46" w:rsidP="00641834">
      <w:pPr>
        <w:rPr>
          <w:lang w:val="nb-NO"/>
        </w:rPr>
      </w:pPr>
    </w:p>
    <w:p w14:paraId="25516DAE" w14:textId="1C9847AF" w:rsidR="00DF56D8" w:rsidRPr="00A942F6" w:rsidRDefault="00DF56D8" w:rsidP="00641834">
      <w:pPr>
        <w:rPr>
          <w:lang w:val="nb-NO"/>
        </w:rPr>
      </w:pPr>
      <w:r w:rsidRPr="00A942F6">
        <w:rPr>
          <w:lang w:val="nb-NO"/>
        </w:rPr>
        <w:t xml:space="preserve">Alder, kjønn og etnisitet: Farmakokinetiske populasjonsanalyser hos RA- og GCA-pasienter viste at alder, kjønn og etnisk opprinnelse ikke påvirket farmakokinetikken til </w:t>
      </w:r>
      <w:r w:rsidR="00813939" w:rsidRPr="00A942F6">
        <w:rPr>
          <w:lang w:val="nb-NO"/>
        </w:rPr>
        <w:t>tocilizumab</w:t>
      </w:r>
      <w:r w:rsidRPr="00A942F6">
        <w:rPr>
          <w:lang w:val="nb-NO"/>
        </w:rPr>
        <w:t>.</w:t>
      </w:r>
    </w:p>
    <w:p w14:paraId="3FE9763E" w14:textId="77777777" w:rsidR="00495B46" w:rsidRPr="00A942F6" w:rsidRDefault="00495B46" w:rsidP="00641834">
      <w:pPr>
        <w:rPr>
          <w:lang w:val="nb-NO"/>
        </w:rPr>
      </w:pPr>
    </w:p>
    <w:p w14:paraId="7A69EDAE" w14:textId="1902BE32" w:rsidR="00DF56D8" w:rsidRPr="00A942F6" w:rsidRDefault="00DF56D8" w:rsidP="00641834">
      <w:pPr>
        <w:rPr>
          <w:lang w:val="nb-NO"/>
        </w:rPr>
      </w:pPr>
      <w:r w:rsidRPr="00A942F6">
        <w:rPr>
          <w:lang w:val="nb-NO"/>
        </w:rPr>
        <w:t xml:space="preserve">Resultater fra den farmakokinetiske populasjonsanalysen for sJIA- og pJIA-pasienter bekreftet at kroppsstørrelse er det eneste kovariatet som har en nevneverdig effekt på farmakokinetikken til </w:t>
      </w:r>
      <w:r w:rsidR="00813939" w:rsidRPr="00A942F6">
        <w:rPr>
          <w:lang w:val="nb-NO"/>
        </w:rPr>
        <w:t>tocilizumab</w:t>
      </w:r>
      <w:r w:rsidRPr="00A942F6">
        <w:rPr>
          <w:lang w:val="nb-NO"/>
        </w:rPr>
        <w:t>, inkludert eliminasjon og absorpsjon. Derfor bør kroppsvektbasert dosering tas i betraktning (se tabell 8 og 9).</w:t>
      </w:r>
    </w:p>
    <w:p w14:paraId="4CD01F27" w14:textId="77777777" w:rsidR="00DF56D8" w:rsidRPr="00A942F6" w:rsidRDefault="00DF56D8" w:rsidP="00641834">
      <w:pPr>
        <w:rPr>
          <w:lang w:val="nb-NO"/>
        </w:rPr>
      </w:pPr>
    </w:p>
    <w:p w14:paraId="6747E738" w14:textId="77777777" w:rsidR="00DF56D8" w:rsidRPr="00A942F6" w:rsidRDefault="00DF56D8" w:rsidP="00641834">
      <w:pPr>
        <w:pStyle w:val="H2"/>
        <w:rPr>
          <w:lang w:val="nb-NO"/>
        </w:rPr>
      </w:pPr>
      <w:r w:rsidRPr="00A942F6">
        <w:rPr>
          <w:lang w:val="nb-NO"/>
        </w:rPr>
        <w:t>5.3</w:t>
      </w:r>
      <w:r w:rsidRPr="00A942F6">
        <w:rPr>
          <w:lang w:val="nb-NO"/>
        </w:rPr>
        <w:tab/>
        <w:t>Prekliniske sikkerhetsdata</w:t>
      </w:r>
    </w:p>
    <w:p w14:paraId="4C7E3732" w14:textId="77777777" w:rsidR="002155E9" w:rsidRPr="00A942F6" w:rsidRDefault="002155E9" w:rsidP="00641834">
      <w:pPr>
        <w:rPr>
          <w:lang w:val="nb-NO"/>
        </w:rPr>
      </w:pPr>
    </w:p>
    <w:p w14:paraId="21184990" w14:textId="77777777" w:rsidR="00DF56D8" w:rsidRPr="00A942F6" w:rsidRDefault="00DF56D8" w:rsidP="00641834">
      <w:pPr>
        <w:rPr>
          <w:lang w:val="nb-NO"/>
        </w:rPr>
      </w:pPr>
      <w:r w:rsidRPr="00A942F6">
        <w:rPr>
          <w:lang w:val="nb-NO"/>
        </w:rPr>
        <w:t>Prekliniske data indikerer ingen spesiell fare for mennesker basert på konvensjonelle studier av sikkerhetsfarmakologi, toksisitetstester ved gjentatt dosering, gentoksisitet og toksisitet ved reproduksjon og utvikling.</w:t>
      </w:r>
    </w:p>
    <w:p w14:paraId="3BCAEF55" w14:textId="77777777" w:rsidR="00DF56D8" w:rsidRPr="00A942F6" w:rsidRDefault="00DF56D8" w:rsidP="00641834">
      <w:pPr>
        <w:rPr>
          <w:lang w:val="nb-NO"/>
        </w:rPr>
      </w:pPr>
    </w:p>
    <w:p w14:paraId="734C576F" w14:textId="77777777" w:rsidR="00DF56D8" w:rsidRPr="00A942F6" w:rsidRDefault="00DF56D8" w:rsidP="00641834">
      <w:pPr>
        <w:rPr>
          <w:lang w:val="nb-NO"/>
        </w:rPr>
      </w:pPr>
      <w:r w:rsidRPr="00A942F6">
        <w:rPr>
          <w:lang w:val="nb-NO"/>
        </w:rPr>
        <w:t>Karsinogenitets-studier er ikke utført på grunn av at IgG1-monoklonale antistoffer ikke er ansett å ha vesentlig karsinogent potensial.</w:t>
      </w:r>
    </w:p>
    <w:p w14:paraId="52C32912" w14:textId="77777777" w:rsidR="00495B46" w:rsidRPr="00A942F6" w:rsidRDefault="00495B46" w:rsidP="00641834">
      <w:pPr>
        <w:rPr>
          <w:lang w:val="nb-NO"/>
        </w:rPr>
      </w:pPr>
    </w:p>
    <w:p w14:paraId="240B792C" w14:textId="194751CB" w:rsidR="00DF56D8" w:rsidRPr="00A942F6" w:rsidRDefault="00DF56D8" w:rsidP="00641834">
      <w:pPr>
        <w:rPr>
          <w:lang w:val="nb-NO"/>
        </w:rPr>
      </w:pPr>
      <w:r w:rsidRPr="00A942F6">
        <w:rPr>
          <w:lang w:val="nb-NO"/>
        </w:rPr>
        <w:t xml:space="preserve">Tilgjengelige prekliniske data påviste effekt av IL-6 på malign progresjon og apoptoseresistens ved ulike krefttyper. Disse dataene antyder ingen relevant risiko for initiering eller progresjon av kreft ved behandling med </w:t>
      </w:r>
      <w:r w:rsidR="00813939" w:rsidRPr="00A942F6">
        <w:rPr>
          <w:lang w:val="nb-NO"/>
        </w:rPr>
        <w:t>tocilizumab</w:t>
      </w:r>
      <w:r w:rsidRPr="00A942F6">
        <w:rPr>
          <w:lang w:val="nb-NO"/>
        </w:rPr>
        <w:t>. Det ble heller ikke observert vekst av maligne tumorer i en 6-måneders kronisk toksisitetsstudie hos cynomolgusape (javaape) eller hos mus med IL-6 mangel.</w:t>
      </w:r>
    </w:p>
    <w:p w14:paraId="67345A75" w14:textId="77777777" w:rsidR="00495B46" w:rsidRPr="00A942F6" w:rsidRDefault="00495B46" w:rsidP="00641834">
      <w:pPr>
        <w:rPr>
          <w:lang w:val="nb-NO"/>
        </w:rPr>
      </w:pPr>
    </w:p>
    <w:p w14:paraId="5E7F33A9" w14:textId="033EC893" w:rsidR="00DF56D8" w:rsidRPr="00A942F6" w:rsidRDefault="00DF56D8" w:rsidP="00641834">
      <w:pPr>
        <w:rPr>
          <w:lang w:val="nb-NO"/>
        </w:rPr>
      </w:pPr>
      <w:r w:rsidRPr="00A942F6">
        <w:rPr>
          <w:lang w:val="nb-NO"/>
        </w:rPr>
        <w:t xml:space="preserve">Tilgjengelige prekliniske data indikerer ikke noen påvirkning av fertilitet ved behandling med </w:t>
      </w:r>
      <w:r w:rsidR="00813939" w:rsidRPr="00A942F6">
        <w:rPr>
          <w:lang w:val="nb-NO"/>
        </w:rPr>
        <w:t>tocilizumab</w:t>
      </w:r>
      <w:r w:rsidRPr="00A942F6">
        <w:rPr>
          <w:lang w:val="nb-NO"/>
        </w:rPr>
        <w:t xml:space="preserve">. Effekter på aktive endokrine organer og reproduksjonsorganer ble ikke observert i en kronisk toksisitetsstudie hos cynomolgusape, og reproduksjonsevnen ble ikke påvirket hos mus med </w:t>
      </w:r>
      <w:r w:rsidRPr="00A942F6">
        <w:rPr>
          <w:lang w:val="nb-NO"/>
        </w:rPr>
        <w:lastRenderedPageBreak/>
        <w:t xml:space="preserve">IL-6-mangel. </w:t>
      </w:r>
      <w:r w:rsidR="00A77AE4" w:rsidRPr="00A942F6">
        <w:rPr>
          <w:lang w:val="nb-NO"/>
        </w:rPr>
        <w:t>T</w:t>
      </w:r>
      <w:r w:rsidR="00813939" w:rsidRPr="00A942F6">
        <w:rPr>
          <w:lang w:val="nb-NO"/>
        </w:rPr>
        <w:t>ocilizumab</w:t>
      </w:r>
      <w:r w:rsidRPr="00A942F6">
        <w:rPr>
          <w:lang w:val="nb-NO"/>
        </w:rPr>
        <w:t xml:space="preserve"> administrert til cynomolgusaper tidlig i drektighetsforløpet viste ingen direkte eller indirekte skadelig effekt på drektigheten eller fosterutviklingen. Imidlertid ble en liten økning i abort/fosterdød observert ved høy systemisk eksponering (&gt; 100 x høyere enn eksponering hos mennesker) hos gruppen som fikk 50 mg/kg/dag i forhold til gruppene som fikk placebo eller andre lave doser. Selv om IL-6 ikke ser ut til å være et kritisk cytokin for fostervekst eller immunologisk kontroll av mor/foster-kontakt, kan man ikke utelukke at nevnte funn har en sammenheng med </w:t>
      </w:r>
      <w:r w:rsidR="00813939" w:rsidRPr="00A942F6">
        <w:rPr>
          <w:lang w:val="nb-NO"/>
        </w:rPr>
        <w:t>tocilizumab</w:t>
      </w:r>
      <w:r w:rsidRPr="00A942F6">
        <w:rPr>
          <w:lang w:val="nb-NO"/>
        </w:rPr>
        <w:t>.</w:t>
      </w:r>
    </w:p>
    <w:p w14:paraId="50EDCF95" w14:textId="77777777" w:rsidR="00495B46" w:rsidRPr="00A942F6" w:rsidRDefault="00495B46" w:rsidP="00641834">
      <w:pPr>
        <w:rPr>
          <w:lang w:val="nb-NO"/>
        </w:rPr>
      </w:pPr>
    </w:p>
    <w:p w14:paraId="4E416444" w14:textId="77777777" w:rsidR="00DF56D8" w:rsidRPr="00A942F6" w:rsidRDefault="00DF56D8" w:rsidP="00641834">
      <w:pPr>
        <w:rPr>
          <w:lang w:val="nb-NO"/>
        </w:rPr>
      </w:pPr>
      <w:r w:rsidRPr="00A942F6">
        <w:rPr>
          <w:lang w:val="nb-NO"/>
        </w:rPr>
        <w:t>Behandling med en murinanalog ga ikke toksisitet hos juvenile mus. Mer spesifikt forekom ikke svekket skjelettvekst, immunfunksjon eller kjønnsmodning.</w:t>
      </w:r>
    </w:p>
    <w:p w14:paraId="3DB05613" w14:textId="77777777" w:rsidR="00DF56D8" w:rsidRPr="00A942F6" w:rsidRDefault="00DF56D8" w:rsidP="00641834">
      <w:pPr>
        <w:rPr>
          <w:lang w:val="nb-NO"/>
        </w:rPr>
      </w:pPr>
    </w:p>
    <w:p w14:paraId="30E2FAC8" w14:textId="1AA1535F" w:rsidR="00DF56D8" w:rsidRPr="00A942F6" w:rsidRDefault="00DF56D8" w:rsidP="00641834">
      <w:pPr>
        <w:rPr>
          <w:lang w:val="nb-NO"/>
        </w:rPr>
      </w:pPr>
      <w:r w:rsidRPr="00A942F6">
        <w:rPr>
          <w:lang w:val="nb-NO"/>
        </w:rPr>
        <w:t xml:space="preserve">Den ikke-kliniske sikkerhetsprofilen for </w:t>
      </w:r>
      <w:r w:rsidR="00813939" w:rsidRPr="00A942F6">
        <w:rPr>
          <w:lang w:val="nb-NO"/>
        </w:rPr>
        <w:t>tocilizumab</w:t>
      </w:r>
      <w:r w:rsidRPr="00A942F6">
        <w:rPr>
          <w:lang w:val="nb-NO"/>
        </w:rPr>
        <w:t xml:space="preserve"> i cynomolgusaper indikerer ingen forskjell mellom intravenøse og subkutane administrasjonsveier.</w:t>
      </w:r>
    </w:p>
    <w:p w14:paraId="0EBBA95E" w14:textId="77777777" w:rsidR="00DF56D8" w:rsidRPr="00A942F6" w:rsidRDefault="00DF56D8" w:rsidP="00641834">
      <w:pPr>
        <w:rPr>
          <w:lang w:val="nb-NO"/>
        </w:rPr>
      </w:pPr>
    </w:p>
    <w:p w14:paraId="505D4567" w14:textId="77777777" w:rsidR="002155E9" w:rsidRPr="00A942F6" w:rsidRDefault="002155E9" w:rsidP="00641834">
      <w:pPr>
        <w:rPr>
          <w:lang w:val="nb-NO"/>
        </w:rPr>
      </w:pPr>
    </w:p>
    <w:p w14:paraId="253C5A7C" w14:textId="77777777" w:rsidR="00DF56D8" w:rsidRPr="00A942F6" w:rsidRDefault="00DF56D8" w:rsidP="00641834">
      <w:pPr>
        <w:pStyle w:val="H1"/>
        <w:rPr>
          <w:lang w:val="nb-NO"/>
        </w:rPr>
      </w:pPr>
      <w:r w:rsidRPr="00A942F6">
        <w:rPr>
          <w:lang w:val="nb-NO"/>
        </w:rPr>
        <w:t>6.</w:t>
      </w:r>
      <w:r w:rsidRPr="00A942F6">
        <w:rPr>
          <w:lang w:val="nb-NO"/>
        </w:rPr>
        <w:tab/>
        <w:t>FARMASØYTISKE OPPLYSNINGER</w:t>
      </w:r>
    </w:p>
    <w:p w14:paraId="17680743" w14:textId="77777777" w:rsidR="00DF56D8" w:rsidRPr="00A942F6" w:rsidRDefault="00DF56D8" w:rsidP="00641834">
      <w:pPr>
        <w:rPr>
          <w:lang w:val="nb-NO"/>
        </w:rPr>
      </w:pPr>
    </w:p>
    <w:p w14:paraId="0CEB625F" w14:textId="77777777" w:rsidR="00DF56D8" w:rsidRPr="00A942F6" w:rsidRDefault="00DF56D8" w:rsidP="00641834">
      <w:pPr>
        <w:pStyle w:val="H2"/>
        <w:rPr>
          <w:lang w:val="nb-NO"/>
        </w:rPr>
      </w:pPr>
      <w:r w:rsidRPr="00A942F6">
        <w:rPr>
          <w:lang w:val="nb-NO"/>
        </w:rPr>
        <w:t>6.1</w:t>
      </w:r>
      <w:r w:rsidRPr="00A942F6">
        <w:rPr>
          <w:lang w:val="nb-NO"/>
        </w:rPr>
        <w:tab/>
        <w:t>Hjelpestoffer</w:t>
      </w:r>
    </w:p>
    <w:p w14:paraId="3D297F7F" w14:textId="77777777" w:rsidR="002155E9" w:rsidRPr="00A942F6" w:rsidRDefault="002155E9" w:rsidP="00641834">
      <w:pPr>
        <w:rPr>
          <w:lang w:val="nb-NO"/>
        </w:rPr>
      </w:pPr>
    </w:p>
    <w:p w14:paraId="7C0D12AF" w14:textId="77777777" w:rsidR="00DF56D8" w:rsidRDefault="00DF56D8" w:rsidP="00641834">
      <w:pPr>
        <w:rPr>
          <w:rFonts w:eastAsia="맑은 고딕"/>
          <w:lang w:val="nb-NO" w:eastAsia="ko-KR"/>
        </w:rPr>
      </w:pPr>
      <w:r w:rsidRPr="00A942F6">
        <w:rPr>
          <w:lang w:val="nb-NO"/>
        </w:rPr>
        <w:t>L-histidin</w:t>
      </w:r>
    </w:p>
    <w:p w14:paraId="4C117792" w14:textId="3AAFE03C" w:rsidR="00CE3CFB" w:rsidRPr="00BD4D94" w:rsidRDefault="001B685D" w:rsidP="00641834">
      <w:pPr>
        <w:rPr>
          <w:rFonts w:eastAsia="맑은 고딕"/>
          <w:lang w:eastAsia="ko-KR"/>
        </w:rPr>
      </w:pPr>
      <w:r w:rsidRPr="001B685D">
        <w:rPr>
          <w:rFonts w:eastAsia="맑은 고딕"/>
          <w:lang w:eastAsia="ko-KR"/>
        </w:rPr>
        <w:t>L-histidin monohydroklorid monohydrat</w:t>
      </w:r>
    </w:p>
    <w:p w14:paraId="1C92C4D4" w14:textId="77777777" w:rsidR="00813939" w:rsidRPr="00BD4D94" w:rsidRDefault="00813939" w:rsidP="00641834">
      <w:pPr>
        <w:rPr>
          <w:lang w:val="en-GB"/>
        </w:rPr>
      </w:pPr>
      <w:r w:rsidRPr="00BD4D94">
        <w:rPr>
          <w:lang w:val="en-GB"/>
        </w:rPr>
        <w:t>L</w:t>
      </w:r>
      <w:r w:rsidR="00C324B2" w:rsidRPr="00BD4D94">
        <w:rPr>
          <w:lang w:val="en-GB"/>
        </w:rPr>
        <w:noBreakHyphen/>
      </w:r>
      <w:r w:rsidRPr="00BD4D94">
        <w:rPr>
          <w:lang w:val="en-GB"/>
        </w:rPr>
        <w:t>treonin</w:t>
      </w:r>
    </w:p>
    <w:p w14:paraId="5B765337" w14:textId="77777777" w:rsidR="00495B46" w:rsidRPr="00BD4D94" w:rsidRDefault="00495B46" w:rsidP="00641834">
      <w:pPr>
        <w:rPr>
          <w:lang w:val="en-GB"/>
        </w:rPr>
      </w:pPr>
      <w:r w:rsidRPr="00BD4D94">
        <w:rPr>
          <w:lang w:val="en-GB"/>
        </w:rPr>
        <w:t>L-metionin</w:t>
      </w:r>
    </w:p>
    <w:p w14:paraId="65634C88" w14:textId="77777777" w:rsidR="00DF56D8" w:rsidRPr="00BD4D94" w:rsidRDefault="00DF56D8" w:rsidP="00641834">
      <w:pPr>
        <w:rPr>
          <w:lang w:val="en-GB"/>
        </w:rPr>
      </w:pPr>
      <w:r w:rsidRPr="00BD4D94">
        <w:rPr>
          <w:lang w:val="en-GB"/>
        </w:rPr>
        <w:t>Polysorbat 80</w:t>
      </w:r>
    </w:p>
    <w:p w14:paraId="2D7BD84C" w14:textId="77777777" w:rsidR="00DF56D8" w:rsidRPr="00A942F6" w:rsidRDefault="00DF56D8" w:rsidP="00641834">
      <w:pPr>
        <w:rPr>
          <w:lang w:val="nb-NO"/>
        </w:rPr>
      </w:pPr>
      <w:r w:rsidRPr="00A942F6">
        <w:rPr>
          <w:lang w:val="nb-NO"/>
        </w:rPr>
        <w:t>Vann til injeksjonsvæsker</w:t>
      </w:r>
    </w:p>
    <w:p w14:paraId="03259BC1" w14:textId="77777777" w:rsidR="00DF56D8" w:rsidRPr="00A942F6" w:rsidRDefault="00DF56D8" w:rsidP="00641834">
      <w:pPr>
        <w:rPr>
          <w:lang w:val="nb-NO"/>
        </w:rPr>
      </w:pPr>
    </w:p>
    <w:p w14:paraId="54D4DACF" w14:textId="77777777" w:rsidR="00DF56D8" w:rsidRPr="00A942F6" w:rsidRDefault="00DF56D8" w:rsidP="00641834">
      <w:pPr>
        <w:pStyle w:val="H2"/>
        <w:rPr>
          <w:lang w:val="nb-NO"/>
        </w:rPr>
      </w:pPr>
      <w:r w:rsidRPr="00A942F6">
        <w:rPr>
          <w:lang w:val="nb-NO"/>
        </w:rPr>
        <w:t>6.2</w:t>
      </w:r>
      <w:r w:rsidRPr="00A942F6">
        <w:rPr>
          <w:lang w:val="nb-NO"/>
        </w:rPr>
        <w:tab/>
        <w:t>Uforlikeligheter</w:t>
      </w:r>
    </w:p>
    <w:p w14:paraId="04DB0AAD" w14:textId="77777777" w:rsidR="002155E9" w:rsidRPr="00A942F6" w:rsidRDefault="002155E9" w:rsidP="00641834">
      <w:pPr>
        <w:rPr>
          <w:lang w:val="nb-NO"/>
        </w:rPr>
      </w:pPr>
    </w:p>
    <w:p w14:paraId="6235404C" w14:textId="77777777" w:rsidR="00DF56D8" w:rsidRPr="00A942F6" w:rsidRDefault="00DF56D8" w:rsidP="00641834">
      <w:pPr>
        <w:rPr>
          <w:lang w:val="nb-NO"/>
        </w:rPr>
      </w:pPr>
      <w:r w:rsidRPr="00A942F6">
        <w:rPr>
          <w:lang w:val="nb-NO"/>
        </w:rPr>
        <w:t>Dette legemidlet skal ikke blandes med andre legemidler da det ikke er gjort studier på uforlikelighet.</w:t>
      </w:r>
    </w:p>
    <w:p w14:paraId="2FF09F51" w14:textId="77777777" w:rsidR="00DF56D8" w:rsidRPr="00A942F6" w:rsidRDefault="00DF56D8" w:rsidP="00641834">
      <w:pPr>
        <w:rPr>
          <w:lang w:val="nb-NO"/>
        </w:rPr>
      </w:pPr>
    </w:p>
    <w:p w14:paraId="3D1CBBFF" w14:textId="77777777" w:rsidR="00DF56D8" w:rsidRPr="00A942F6" w:rsidRDefault="00DF56D8" w:rsidP="00641834">
      <w:pPr>
        <w:pStyle w:val="H2"/>
        <w:rPr>
          <w:lang w:val="nb-NO"/>
        </w:rPr>
      </w:pPr>
      <w:r w:rsidRPr="00A942F6">
        <w:rPr>
          <w:lang w:val="nb-NO"/>
        </w:rPr>
        <w:t>6.3</w:t>
      </w:r>
      <w:r w:rsidRPr="00A942F6">
        <w:rPr>
          <w:lang w:val="nb-NO"/>
        </w:rPr>
        <w:tab/>
        <w:t>Holdbarhet</w:t>
      </w:r>
    </w:p>
    <w:p w14:paraId="1264E9C0" w14:textId="77777777" w:rsidR="002155E9" w:rsidRPr="00A942F6" w:rsidRDefault="002155E9" w:rsidP="00641834">
      <w:pPr>
        <w:rPr>
          <w:lang w:val="nb-NO"/>
        </w:rPr>
      </w:pPr>
    </w:p>
    <w:p w14:paraId="4468227F" w14:textId="083A36F7" w:rsidR="00DF56D8" w:rsidRPr="00A942F6" w:rsidRDefault="009E743D" w:rsidP="00641834">
      <w:pPr>
        <w:rPr>
          <w:lang w:val="nb-NO"/>
        </w:rPr>
      </w:pPr>
      <w:r>
        <w:rPr>
          <w:rFonts w:eastAsia="맑은 고딕" w:hint="eastAsia"/>
          <w:lang w:val="nb-NO" w:eastAsia="ko-KR"/>
        </w:rPr>
        <w:t>42</w:t>
      </w:r>
      <w:r w:rsidRPr="00A942F6">
        <w:rPr>
          <w:lang w:val="nb-NO"/>
        </w:rPr>
        <w:t xml:space="preserve"> </w:t>
      </w:r>
      <w:r w:rsidR="00DF56D8" w:rsidRPr="00A942F6">
        <w:rPr>
          <w:lang w:val="nb-NO"/>
        </w:rPr>
        <w:t>måneder.</w:t>
      </w:r>
    </w:p>
    <w:p w14:paraId="6A00415E" w14:textId="77777777" w:rsidR="00DF56D8" w:rsidRPr="00A942F6" w:rsidRDefault="00DF56D8" w:rsidP="00641834">
      <w:pPr>
        <w:rPr>
          <w:lang w:val="nb-NO"/>
        </w:rPr>
      </w:pPr>
    </w:p>
    <w:p w14:paraId="26D8AE2F" w14:textId="77777777" w:rsidR="00DF56D8" w:rsidRPr="00A942F6" w:rsidRDefault="00DF56D8" w:rsidP="00641834">
      <w:pPr>
        <w:pStyle w:val="H2"/>
        <w:rPr>
          <w:lang w:val="nb-NO"/>
        </w:rPr>
      </w:pPr>
      <w:r w:rsidRPr="00A942F6">
        <w:rPr>
          <w:lang w:val="nb-NO"/>
        </w:rPr>
        <w:t>6.4</w:t>
      </w:r>
      <w:r w:rsidRPr="00A942F6">
        <w:rPr>
          <w:lang w:val="nb-NO"/>
        </w:rPr>
        <w:tab/>
        <w:t>Oppbevaringsbetingelser</w:t>
      </w:r>
    </w:p>
    <w:p w14:paraId="619EFE4A" w14:textId="77777777" w:rsidR="002155E9" w:rsidRPr="00A942F6" w:rsidRDefault="002155E9" w:rsidP="00641834">
      <w:pPr>
        <w:rPr>
          <w:lang w:val="nb-NO"/>
        </w:rPr>
      </w:pPr>
    </w:p>
    <w:p w14:paraId="2B8E4615" w14:textId="13E16672" w:rsidR="00DF56D8" w:rsidRPr="00A942F6" w:rsidRDefault="00DF56D8" w:rsidP="00641834">
      <w:pPr>
        <w:rPr>
          <w:lang w:val="nb-NO"/>
        </w:rPr>
      </w:pPr>
      <w:r w:rsidRPr="00A942F6">
        <w:rPr>
          <w:lang w:val="nb-NO"/>
        </w:rPr>
        <w:t xml:space="preserve">Oppbevares i kjøleskap (2 ºC – 8 ºC). Skal ikke fryses. Etter uttak fra kjøleskap kan ferdigfylt penn oppbevares i opptil </w:t>
      </w:r>
      <w:r w:rsidR="00CB7D04" w:rsidRPr="00A942F6">
        <w:rPr>
          <w:lang w:val="nb-NO"/>
        </w:rPr>
        <w:t>3 </w:t>
      </w:r>
      <w:r w:rsidRPr="00A942F6">
        <w:rPr>
          <w:lang w:val="nb-NO"/>
        </w:rPr>
        <w:t>uker ved høyst 30 °C.</w:t>
      </w:r>
    </w:p>
    <w:p w14:paraId="0C236E5F" w14:textId="77777777" w:rsidR="00495B46" w:rsidRPr="00A942F6" w:rsidRDefault="00495B46" w:rsidP="00641834">
      <w:pPr>
        <w:rPr>
          <w:lang w:val="nb-NO"/>
        </w:rPr>
      </w:pPr>
    </w:p>
    <w:p w14:paraId="464DE4B7" w14:textId="77777777" w:rsidR="00DF56D8" w:rsidRPr="00A942F6" w:rsidRDefault="00DF56D8" w:rsidP="00641834">
      <w:pPr>
        <w:rPr>
          <w:lang w:val="nb-NO"/>
        </w:rPr>
      </w:pPr>
      <w:r w:rsidRPr="00A942F6">
        <w:rPr>
          <w:lang w:val="nb-NO"/>
        </w:rPr>
        <w:t>Oppbevar ferdigfylt penn i ytteremballasjen for å beskytte mot lys og fuktighet.</w:t>
      </w:r>
    </w:p>
    <w:p w14:paraId="354C0EC8" w14:textId="77777777" w:rsidR="00DF56D8" w:rsidRPr="00A942F6" w:rsidRDefault="00DF56D8" w:rsidP="00641834">
      <w:pPr>
        <w:rPr>
          <w:lang w:val="nb-NO"/>
        </w:rPr>
      </w:pPr>
    </w:p>
    <w:p w14:paraId="41DFE161" w14:textId="77777777" w:rsidR="00DF56D8" w:rsidRPr="00A942F6" w:rsidRDefault="00DF56D8" w:rsidP="00641834">
      <w:pPr>
        <w:pStyle w:val="H2"/>
        <w:rPr>
          <w:lang w:val="nb-NO"/>
        </w:rPr>
      </w:pPr>
      <w:r w:rsidRPr="00A942F6">
        <w:rPr>
          <w:lang w:val="nb-NO"/>
        </w:rPr>
        <w:t>6.5</w:t>
      </w:r>
      <w:r w:rsidRPr="00A942F6">
        <w:rPr>
          <w:lang w:val="nb-NO"/>
        </w:rPr>
        <w:tab/>
        <w:t>Emballasje (type og innhold)</w:t>
      </w:r>
    </w:p>
    <w:p w14:paraId="44D60E18" w14:textId="77777777" w:rsidR="002155E9" w:rsidRPr="00A942F6" w:rsidRDefault="002155E9" w:rsidP="00641834">
      <w:pPr>
        <w:rPr>
          <w:lang w:val="nb-NO"/>
        </w:rPr>
      </w:pPr>
    </w:p>
    <w:p w14:paraId="62E78FF9" w14:textId="081E3D9A" w:rsidR="00DF56D8" w:rsidRPr="00A942F6" w:rsidRDefault="00DF56D8" w:rsidP="00641834">
      <w:pPr>
        <w:rPr>
          <w:lang w:val="nb-NO"/>
        </w:rPr>
      </w:pPr>
      <w:r w:rsidRPr="00A942F6">
        <w:rPr>
          <w:lang w:val="nb-NO"/>
        </w:rPr>
        <w:t xml:space="preserve">0,9 ml oppløsning i en ferdigfylt sprøyte (type I-glass) med kanyle, som inneholder 162 mg </w:t>
      </w:r>
      <w:r w:rsidR="00CB7D04" w:rsidRPr="00A942F6">
        <w:rPr>
          <w:lang w:val="nb-NO"/>
        </w:rPr>
        <w:t>Avtozma</w:t>
      </w:r>
      <w:r w:rsidRPr="00A942F6">
        <w:rPr>
          <w:lang w:val="nb-NO"/>
        </w:rPr>
        <w:t xml:space="preserve"> montert i en ferdigfylt penn. Kanylen er lukket med en stiv nålebeskytter (</w:t>
      </w:r>
      <w:r w:rsidR="00CB7D04" w:rsidRPr="00A942F6">
        <w:rPr>
          <w:lang w:val="nb-NO"/>
        </w:rPr>
        <w:t>polyisoprengummi og polypropylen</w:t>
      </w:r>
      <w:r w:rsidRPr="00A942F6">
        <w:rPr>
          <w:lang w:val="nb-NO"/>
        </w:rPr>
        <w:t xml:space="preserve">) og et </w:t>
      </w:r>
      <w:r w:rsidR="00664A43" w:rsidRPr="00A942F6">
        <w:rPr>
          <w:lang w:val="nb-NO"/>
        </w:rPr>
        <w:t>sterilt stempel av fluortec</w:t>
      </w:r>
      <w:r w:rsidR="000769F3">
        <w:rPr>
          <w:lang w:val="nb-NO"/>
        </w:rPr>
        <w:noBreakHyphen/>
      </w:r>
      <w:r w:rsidR="00664A43" w:rsidRPr="00A942F6">
        <w:rPr>
          <w:lang w:val="nb-NO"/>
        </w:rPr>
        <w:t>belagt elastomer</w:t>
      </w:r>
      <w:r w:rsidR="00664A43" w:rsidRPr="00A942F6" w:rsidDel="00664A43">
        <w:rPr>
          <w:lang w:val="nb-NO"/>
        </w:rPr>
        <w:t xml:space="preserve"> </w:t>
      </w:r>
      <w:r w:rsidR="00664A43" w:rsidRPr="00A942F6">
        <w:rPr>
          <w:lang w:val="nb-NO"/>
        </w:rPr>
        <w:t>(med silikon).</w:t>
      </w:r>
    </w:p>
    <w:p w14:paraId="688B3AD1" w14:textId="77777777" w:rsidR="00DF56D8" w:rsidRPr="00A942F6" w:rsidRDefault="00DF56D8" w:rsidP="00641834">
      <w:pPr>
        <w:rPr>
          <w:lang w:val="nb-NO"/>
        </w:rPr>
      </w:pPr>
    </w:p>
    <w:p w14:paraId="405C4B54" w14:textId="77777777" w:rsidR="00CB7D04" w:rsidRPr="00A942F6" w:rsidRDefault="00CB7D04" w:rsidP="00CB7D04">
      <w:pPr>
        <w:rPr>
          <w:lang w:val="nb-NO"/>
        </w:rPr>
      </w:pPr>
      <w:r w:rsidRPr="00A942F6">
        <w:rPr>
          <w:lang w:val="nb-NO"/>
        </w:rPr>
        <w:t>Avtozma ferdigfylt penn for pasientbruk er tilgjengelig i pakninger som inneholder:</w:t>
      </w:r>
    </w:p>
    <w:p w14:paraId="2FC2A278" w14:textId="0361E76A" w:rsidR="00CB7D04" w:rsidRPr="00A942F6" w:rsidRDefault="00CB7D04" w:rsidP="00434BCD">
      <w:pPr>
        <w:numPr>
          <w:ilvl w:val="0"/>
          <w:numId w:val="62"/>
        </w:numPr>
        <w:ind w:left="567" w:hanging="567"/>
        <w:rPr>
          <w:lang w:val="nb-NO"/>
        </w:rPr>
      </w:pPr>
      <w:r w:rsidRPr="00A942F6">
        <w:rPr>
          <w:lang w:val="nb-NO"/>
        </w:rPr>
        <w:t>1 ferdigfylt penn</w:t>
      </w:r>
    </w:p>
    <w:p w14:paraId="580ED7A0" w14:textId="69A8D818" w:rsidR="000603DA" w:rsidRPr="00A942F6" w:rsidRDefault="000603DA" w:rsidP="000603DA">
      <w:pPr>
        <w:numPr>
          <w:ilvl w:val="0"/>
          <w:numId w:val="62"/>
        </w:numPr>
        <w:ind w:left="567" w:hanging="567"/>
        <w:rPr>
          <w:ins w:id="13" w:author="만든 이"/>
          <w:lang w:val="nb-NO"/>
        </w:rPr>
      </w:pPr>
      <w:ins w:id="14" w:author="만든 이">
        <w:r>
          <w:rPr>
            <w:rFonts w:eastAsia="맑은 고딕" w:hint="eastAsia"/>
            <w:lang w:val="nb-NO" w:eastAsia="ko-KR"/>
          </w:rPr>
          <w:t>2</w:t>
        </w:r>
        <w:r w:rsidRPr="00A942F6">
          <w:rPr>
            <w:lang w:val="nb-NO"/>
          </w:rPr>
          <w:t> ferdigfylte penner</w:t>
        </w:r>
      </w:ins>
    </w:p>
    <w:p w14:paraId="58DF9DF9" w14:textId="5DF7712C" w:rsidR="00CB7D04" w:rsidRPr="00A942F6" w:rsidRDefault="00CB7D04" w:rsidP="00434BCD">
      <w:pPr>
        <w:numPr>
          <w:ilvl w:val="0"/>
          <w:numId w:val="62"/>
        </w:numPr>
        <w:ind w:left="567" w:hanging="567"/>
        <w:rPr>
          <w:lang w:val="nb-NO"/>
        </w:rPr>
      </w:pPr>
      <w:r w:rsidRPr="00A942F6">
        <w:rPr>
          <w:lang w:val="nb-NO"/>
        </w:rPr>
        <w:t>4 ferdigfylte penner</w:t>
      </w:r>
    </w:p>
    <w:p w14:paraId="15BC4522" w14:textId="78BD9081" w:rsidR="00CB7D04" w:rsidRPr="00A942F6" w:rsidRDefault="00CB7D04" w:rsidP="00434BCD">
      <w:pPr>
        <w:numPr>
          <w:ilvl w:val="0"/>
          <w:numId w:val="62"/>
        </w:numPr>
        <w:ind w:left="567" w:hanging="567"/>
        <w:rPr>
          <w:lang w:val="nb-NO"/>
        </w:rPr>
      </w:pPr>
      <w:r w:rsidRPr="00A942F6">
        <w:rPr>
          <w:lang w:val="nb-NO"/>
        </w:rPr>
        <w:t>12 (3 pak</w:t>
      </w:r>
      <w:r w:rsidR="00AB6395" w:rsidRPr="00A942F6">
        <w:rPr>
          <w:lang w:val="nb-NO"/>
        </w:rPr>
        <w:t>ning</w:t>
      </w:r>
      <w:r w:rsidRPr="00A942F6">
        <w:rPr>
          <w:lang w:val="nb-NO"/>
        </w:rPr>
        <w:t>er à 4) ferdigfylte penner (multipakninger)</w:t>
      </w:r>
    </w:p>
    <w:p w14:paraId="72B4DD80" w14:textId="77777777" w:rsidR="00CB7D04" w:rsidRPr="00A942F6" w:rsidRDefault="00CB7D04" w:rsidP="00641834">
      <w:pPr>
        <w:rPr>
          <w:lang w:val="nb-NO"/>
        </w:rPr>
      </w:pPr>
    </w:p>
    <w:p w14:paraId="1FA26187" w14:textId="0B2DE7A8" w:rsidR="00DF56D8" w:rsidRPr="00A942F6" w:rsidRDefault="00DF56D8" w:rsidP="00641834">
      <w:pPr>
        <w:rPr>
          <w:lang w:val="nb-NO"/>
        </w:rPr>
      </w:pPr>
      <w:r w:rsidRPr="00A942F6">
        <w:rPr>
          <w:lang w:val="nb-NO"/>
        </w:rPr>
        <w:t>Ikke alle pakningsstørrelser vil nødvendigvis bli markedsført.</w:t>
      </w:r>
    </w:p>
    <w:p w14:paraId="33842C6B" w14:textId="77777777" w:rsidR="00DF56D8" w:rsidRPr="00A942F6" w:rsidRDefault="00DF56D8" w:rsidP="00641834">
      <w:pPr>
        <w:rPr>
          <w:lang w:val="nb-NO"/>
        </w:rPr>
      </w:pPr>
    </w:p>
    <w:p w14:paraId="70A8DD6F" w14:textId="77777777" w:rsidR="00DF56D8" w:rsidRPr="00A942F6" w:rsidRDefault="00DF56D8" w:rsidP="00641834">
      <w:pPr>
        <w:pStyle w:val="H2"/>
        <w:rPr>
          <w:lang w:val="nb-NO"/>
        </w:rPr>
      </w:pPr>
      <w:r w:rsidRPr="00A942F6">
        <w:rPr>
          <w:lang w:val="nb-NO"/>
        </w:rPr>
        <w:t>6.6</w:t>
      </w:r>
      <w:r w:rsidRPr="00A942F6">
        <w:rPr>
          <w:lang w:val="nb-NO"/>
        </w:rPr>
        <w:tab/>
        <w:t>Spesielle forholdsregler for destruksjon og annen håndtering</w:t>
      </w:r>
    </w:p>
    <w:p w14:paraId="1943DFFE" w14:textId="77777777" w:rsidR="002155E9" w:rsidRPr="00A942F6" w:rsidRDefault="002155E9" w:rsidP="00641834">
      <w:pPr>
        <w:rPr>
          <w:lang w:val="nb-NO"/>
        </w:rPr>
      </w:pPr>
    </w:p>
    <w:p w14:paraId="5BF4BFB4" w14:textId="2C6938FC" w:rsidR="00DF56D8" w:rsidRPr="00A942F6" w:rsidRDefault="00CB7D04" w:rsidP="00641834">
      <w:pPr>
        <w:rPr>
          <w:lang w:val="nb-NO"/>
        </w:rPr>
      </w:pPr>
      <w:r w:rsidRPr="00A942F6">
        <w:rPr>
          <w:lang w:val="nb-NO"/>
        </w:rPr>
        <w:lastRenderedPageBreak/>
        <w:t>Avtozma</w:t>
      </w:r>
      <w:r w:rsidR="00DF56D8" w:rsidRPr="00A942F6">
        <w:rPr>
          <w:lang w:val="nb-NO"/>
        </w:rPr>
        <w:t xml:space="preserve"> leveres i en ferdigfylt penn til engangsbruk. Etter å ha tatt den ferdigfylte pennen ut av kjøleskap må den romtempereres (</w:t>
      </w:r>
      <w:r w:rsidR="000B380A">
        <w:rPr>
          <w:rFonts w:eastAsia="맑은 고딕" w:hint="eastAsia"/>
          <w:lang w:val="nb-NO" w:eastAsia="ko-KR"/>
        </w:rPr>
        <w:t>18</w:t>
      </w:r>
      <w:r w:rsidR="000B380A" w:rsidRPr="00A942F6">
        <w:rPr>
          <w:lang w:val="nb-NO"/>
        </w:rPr>
        <w:t xml:space="preserve"> </w:t>
      </w:r>
      <w:r w:rsidR="00DF56D8" w:rsidRPr="00A942F6">
        <w:rPr>
          <w:lang w:val="nb-NO"/>
        </w:rPr>
        <w:t xml:space="preserve">°C </w:t>
      </w:r>
      <w:r w:rsidR="000769F3">
        <w:rPr>
          <w:lang w:val="nb-NO"/>
        </w:rPr>
        <w:t>til</w:t>
      </w:r>
      <w:r w:rsidR="00DF56D8" w:rsidRPr="00A942F6">
        <w:rPr>
          <w:lang w:val="nb-NO"/>
        </w:rPr>
        <w:t xml:space="preserve"> </w:t>
      </w:r>
      <w:r w:rsidR="000B380A" w:rsidRPr="00A942F6">
        <w:rPr>
          <w:lang w:val="nb-NO"/>
        </w:rPr>
        <w:t>2</w:t>
      </w:r>
      <w:r w:rsidR="000B380A">
        <w:rPr>
          <w:rFonts w:eastAsia="맑은 고딕" w:hint="eastAsia"/>
          <w:lang w:val="nb-NO" w:eastAsia="ko-KR"/>
        </w:rPr>
        <w:t>8</w:t>
      </w:r>
      <w:r w:rsidR="000B380A" w:rsidRPr="00A942F6">
        <w:rPr>
          <w:lang w:val="nb-NO"/>
        </w:rPr>
        <w:t xml:space="preserve"> </w:t>
      </w:r>
      <w:r w:rsidR="00DF56D8" w:rsidRPr="00A942F6">
        <w:rPr>
          <w:lang w:val="nb-NO"/>
        </w:rPr>
        <w:t xml:space="preserve">°C) ved å vente i 45 minutter før injisering av </w:t>
      </w:r>
      <w:r w:rsidRPr="00A942F6">
        <w:rPr>
          <w:lang w:val="nb-NO"/>
        </w:rPr>
        <w:t>Avtozma</w:t>
      </w:r>
      <w:r w:rsidR="00DF56D8" w:rsidRPr="00A942F6">
        <w:rPr>
          <w:lang w:val="nb-NO"/>
        </w:rPr>
        <w:t>. Pennen skal ikke ristes. Etter å ha tatt av hetten må injeksjonen startes innen 3 minutter, for å forhindre at medisinen tørker ut og blokkerer kanylen. Dersom den ferdigfylte pennen ikke brukes innen 3</w:t>
      </w:r>
      <w:r w:rsidR="007C4FF9">
        <w:rPr>
          <w:lang w:val="nb-NO"/>
        </w:rPr>
        <w:t> </w:t>
      </w:r>
      <w:r w:rsidR="00DF56D8" w:rsidRPr="00A942F6">
        <w:rPr>
          <w:lang w:val="nb-NO"/>
        </w:rPr>
        <w:t>minutter etter at hetten er fjernet, må den kastes i en avfallsbeholder for skarpe gjenstander, og en ny ferdigfylt penn må brukes.</w:t>
      </w:r>
    </w:p>
    <w:p w14:paraId="576B5194" w14:textId="77777777" w:rsidR="00495B46" w:rsidRPr="00A942F6" w:rsidRDefault="00495B46" w:rsidP="00641834">
      <w:pPr>
        <w:rPr>
          <w:lang w:val="nb-NO"/>
        </w:rPr>
      </w:pPr>
    </w:p>
    <w:p w14:paraId="4B2577E7" w14:textId="25BC3244" w:rsidR="00DF56D8" w:rsidRPr="00A942F6" w:rsidRDefault="00DF56D8" w:rsidP="00641834">
      <w:pPr>
        <w:rPr>
          <w:lang w:val="nb-NO"/>
        </w:rPr>
      </w:pPr>
      <w:r w:rsidRPr="00A942F6">
        <w:rPr>
          <w:lang w:val="nb-NO"/>
        </w:rPr>
        <w:t xml:space="preserve">Hvis den </w:t>
      </w:r>
      <w:r w:rsidR="00CB7D04" w:rsidRPr="00A942F6">
        <w:rPr>
          <w:lang w:val="nb-NO"/>
        </w:rPr>
        <w:t>oransje</w:t>
      </w:r>
      <w:r w:rsidRPr="00A942F6">
        <w:rPr>
          <w:lang w:val="nb-NO"/>
        </w:rPr>
        <w:t xml:space="preserve"> indikatoren ikke rører seg etter trykking på </w:t>
      </w:r>
      <w:r w:rsidR="00CB7D04" w:rsidRPr="00A942F6">
        <w:rPr>
          <w:lang w:val="nb-NO"/>
        </w:rPr>
        <w:t>kanylebeskyttelsen</w:t>
      </w:r>
      <w:r w:rsidRPr="00A942F6">
        <w:rPr>
          <w:lang w:val="nb-NO"/>
        </w:rPr>
        <w:t>, skal pennen kastes i en avfallsbeholder for skarpe gjenstander. Det skal ikke gjøres et forsøk på å bruke den ferdigfylte pennen på nytt.</w:t>
      </w:r>
      <w:r w:rsidR="00CB7D04" w:rsidRPr="00A942F6">
        <w:rPr>
          <w:lang w:val="nb-NO"/>
        </w:rPr>
        <w:t xml:space="preserve"> Den ferdigfylte pennen er låst, og kanylen er dekket på innsiden av kanyledekselet hvis du prøver å bruke den</w:t>
      </w:r>
      <w:r w:rsidR="00556635">
        <w:rPr>
          <w:lang w:val="nb-NO"/>
        </w:rPr>
        <w:t xml:space="preserve"> på nytt</w:t>
      </w:r>
      <w:r w:rsidR="00CB7D04" w:rsidRPr="00A942F6">
        <w:rPr>
          <w:lang w:val="nb-NO"/>
        </w:rPr>
        <w:t>.</w:t>
      </w:r>
      <w:r w:rsidRPr="00A942F6">
        <w:rPr>
          <w:lang w:val="nb-NO"/>
        </w:rPr>
        <w:t xml:space="preserve"> Injeksjonen skal ikke gjentas med en annen ferdigfylt penn, men helsepersonell skal kontaktes for assistanse.</w:t>
      </w:r>
    </w:p>
    <w:p w14:paraId="7775AA49" w14:textId="77777777" w:rsidR="00DF56D8" w:rsidRPr="00A942F6" w:rsidRDefault="00DF56D8" w:rsidP="00641834">
      <w:pPr>
        <w:rPr>
          <w:lang w:val="nb-NO"/>
        </w:rPr>
      </w:pPr>
    </w:p>
    <w:p w14:paraId="7812BCC2" w14:textId="387C65CA" w:rsidR="00DF56D8" w:rsidRPr="00A942F6" w:rsidRDefault="00DF56D8" w:rsidP="00641834">
      <w:pPr>
        <w:rPr>
          <w:lang w:val="nb-NO"/>
        </w:rPr>
      </w:pPr>
      <w:r w:rsidRPr="00A942F6">
        <w:rPr>
          <w:lang w:val="nb-NO"/>
        </w:rPr>
        <w:t>Legemidlet må ikke brukes hvis væsken er uklar eller inneholder partikler, hvis det har annen farge enn fargeløs til gul, eller hvis noen av delene av den ferdigfylte pennen ser ut til å være skadet.</w:t>
      </w:r>
    </w:p>
    <w:p w14:paraId="01E063A1" w14:textId="77777777" w:rsidR="00DF56D8" w:rsidRPr="00A942F6" w:rsidRDefault="00DF56D8" w:rsidP="00641834">
      <w:pPr>
        <w:rPr>
          <w:lang w:val="nb-NO"/>
        </w:rPr>
      </w:pPr>
    </w:p>
    <w:p w14:paraId="185AC26D" w14:textId="1759BD6B" w:rsidR="00DF56D8" w:rsidRPr="00A942F6" w:rsidRDefault="00DF56D8" w:rsidP="00641834">
      <w:pPr>
        <w:rPr>
          <w:lang w:val="nb-NO"/>
        </w:rPr>
      </w:pPr>
      <w:r w:rsidRPr="00A942F6">
        <w:rPr>
          <w:lang w:val="nb-NO"/>
        </w:rPr>
        <w:t xml:space="preserve">Detaljerte instruksjoner for tilberedning og administrering av </w:t>
      </w:r>
      <w:r w:rsidR="00CB7D04" w:rsidRPr="00A942F6">
        <w:rPr>
          <w:lang w:val="nb-NO" w:eastAsia="ko-KR"/>
        </w:rPr>
        <w:t>Avtozma</w:t>
      </w:r>
      <w:r w:rsidRPr="00A942F6">
        <w:rPr>
          <w:lang w:val="nb-NO"/>
        </w:rPr>
        <w:t xml:space="preserve"> med ferdigfylt penn er gitt i pakningsvedlegget.</w:t>
      </w:r>
    </w:p>
    <w:p w14:paraId="6CE18625" w14:textId="77777777" w:rsidR="00495B46" w:rsidRPr="00A942F6" w:rsidRDefault="00495B46" w:rsidP="00641834">
      <w:pPr>
        <w:rPr>
          <w:lang w:val="nb-NO"/>
        </w:rPr>
      </w:pPr>
    </w:p>
    <w:p w14:paraId="22E43347" w14:textId="77777777" w:rsidR="00DF56D8" w:rsidRPr="00A942F6" w:rsidRDefault="00DF56D8" w:rsidP="00641834">
      <w:pPr>
        <w:rPr>
          <w:lang w:val="nb-NO"/>
        </w:rPr>
      </w:pPr>
      <w:r w:rsidRPr="00A942F6">
        <w:rPr>
          <w:lang w:val="nb-NO"/>
        </w:rPr>
        <w:t>Ikke anvendt legemiddel samt avfall bør destrueres i overensstemmelse med lokale krav.</w:t>
      </w:r>
    </w:p>
    <w:p w14:paraId="278FEBC2" w14:textId="77777777" w:rsidR="00DF56D8" w:rsidRPr="00A942F6" w:rsidRDefault="00DF56D8" w:rsidP="00641834">
      <w:pPr>
        <w:rPr>
          <w:lang w:val="nb-NO"/>
        </w:rPr>
      </w:pPr>
    </w:p>
    <w:p w14:paraId="57543775" w14:textId="77777777" w:rsidR="002155E9" w:rsidRPr="00A942F6" w:rsidRDefault="002155E9" w:rsidP="00641834">
      <w:pPr>
        <w:rPr>
          <w:lang w:val="nb-NO"/>
        </w:rPr>
      </w:pPr>
    </w:p>
    <w:p w14:paraId="54E0765E" w14:textId="77777777" w:rsidR="00DF56D8" w:rsidRPr="00A942F6" w:rsidRDefault="00DF56D8" w:rsidP="00641834">
      <w:pPr>
        <w:pStyle w:val="H1"/>
        <w:rPr>
          <w:lang w:val="nb-NO"/>
        </w:rPr>
      </w:pPr>
      <w:r w:rsidRPr="00A942F6">
        <w:rPr>
          <w:lang w:val="nb-NO"/>
        </w:rPr>
        <w:t>7.</w:t>
      </w:r>
      <w:r w:rsidRPr="00A942F6">
        <w:rPr>
          <w:lang w:val="nb-NO"/>
        </w:rPr>
        <w:tab/>
        <w:t>INNEHAVER AV MARKEDSFØRINGSTILLATELSEN</w:t>
      </w:r>
    </w:p>
    <w:p w14:paraId="4229DF72" w14:textId="77777777" w:rsidR="002155E9" w:rsidRPr="00A942F6" w:rsidRDefault="002155E9" w:rsidP="00641834">
      <w:pPr>
        <w:pStyle w:val="H1"/>
        <w:rPr>
          <w:lang w:val="nb-NO"/>
        </w:rPr>
      </w:pPr>
    </w:p>
    <w:p w14:paraId="5B6DF673" w14:textId="77777777" w:rsidR="00CB7D04" w:rsidRPr="00BD4D94" w:rsidRDefault="00CB7D04" w:rsidP="00CB7D04">
      <w:pPr>
        <w:keepNext/>
        <w:rPr>
          <w:lang w:val="nb-NO"/>
        </w:rPr>
      </w:pPr>
      <w:r w:rsidRPr="00BD4D94">
        <w:rPr>
          <w:lang w:val="nb-NO"/>
        </w:rPr>
        <w:t xml:space="preserve">Celltrion Healthcare Hungary Kft. </w:t>
      </w:r>
    </w:p>
    <w:p w14:paraId="2494720B" w14:textId="77777777" w:rsidR="00CB7D04" w:rsidRPr="009B40A5" w:rsidRDefault="00CB7D04" w:rsidP="00CB7D04">
      <w:pPr>
        <w:keepNext/>
      </w:pPr>
      <w:r w:rsidRPr="009B40A5">
        <w:t>1062 Budapest</w:t>
      </w:r>
    </w:p>
    <w:p w14:paraId="6DE7E8C9" w14:textId="77777777" w:rsidR="00CB7D04" w:rsidRPr="009B40A5" w:rsidRDefault="00CB7D04" w:rsidP="00CB7D04">
      <w:pPr>
        <w:keepNext/>
      </w:pPr>
      <w:r w:rsidRPr="009B40A5">
        <w:t>Váci út 1</w:t>
      </w:r>
      <w:r w:rsidR="00D54B80" w:rsidRPr="009B40A5">
        <w:noBreakHyphen/>
      </w:r>
      <w:r w:rsidRPr="009B40A5">
        <w:t>3. WestEnd Office Building B torony</w:t>
      </w:r>
    </w:p>
    <w:p w14:paraId="74DA4A39" w14:textId="77777777" w:rsidR="00C04AF9" w:rsidRPr="00BD4D94" w:rsidRDefault="00CB7D04" w:rsidP="00CB7D04">
      <w:pPr>
        <w:keepNext/>
        <w:rPr>
          <w:lang w:val="nb-NO"/>
        </w:rPr>
      </w:pPr>
      <w:r w:rsidRPr="00BD4D94">
        <w:rPr>
          <w:lang w:val="nb-NO"/>
        </w:rPr>
        <w:t>Ungarn</w:t>
      </w:r>
    </w:p>
    <w:p w14:paraId="1014F615" w14:textId="77777777" w:rsidR="00DF56D8" w:rsidRPr="00BD4D94" w:rsidRDefault="00DF56D8" w:rsidP="00434BCD">
      <w:pPr>
        <w:keepNext/>
        <w:rPr>
          <w:lang w:val="nb-NO"/>
        </w:rPr>
      </w:pPr>
    </w:p>
    <w:p w14:paraId="0F312F9D" w14:textId="77777777" w:rsidR="00DF56D8" w:rsidRPr="00BD4D94" w:rsidRDefault="00DF56D8" w:rsidP="00641834">
      <w:pPr>
        <w:rPr>
          <w:lang w:val="nb-NO"/>
        </w:rPr>
      </w:pPr>
    </w:p>
    <w:p w14:paraId="6CFC6569" w14:textId="77777777" w:rsidR="00DF56D8" w:rsidRPr="00A942F6" w:rsidRDefault="00DF56D8" w:rsidP="00641834">
      <w:pPr>
        <w:pStyle w:val="H1"/>
        <w:rPr>
          <w:lang w:val="nb-NO"/>
        </w:rPr>
      </w:pPr>
      <w:r w:rsidRPr="00A942F6">
        <w:rPr>
          <w:lang w:val="nb-NO"/>
        </w:rPr>
        <w:t>8.</w:t>
      </w:r>
      <w:r w:rsidRPr="00A942F6">
        <w:rPr>
          <w:lang w:val="nb-NO"/>
        </w:rPr>
        <w:tab/>
        <w:t>MARKEDSFØRINGSTILLATELSESNUMMER (NUMRE)</w:t>
      </w:r>
    </w:p>
    <w:p w14:paraId="29CB6302" w14:textId="77777777" w:rsidR="002155E9" w:rsidRPr="00A942F6" w:rsidRDefault="002155E9" w:rsidP="00641834">
      <w:pPr>
        <w:rPr>
          <w:lang w:val="nb-NO"/>
        </w:rPr>
      </w:pPr>
    </w:p>
    <w:p w14:paraId="02E36837" w14:textId="77777777" w:rsidR="005A5A44" w:rsidRPr="00CD583D" w:rsidRDefault="005A5A44" w:rsidP="005A5A44">
      <w:pPr>
        <w:keepNext/>
        <w:rPr>
          <w:lang w:val="nb-NO"/>
        </w:rPr>
      </w:pPr>
      <w:r w:rsidRPr="00CD583D">
        <w:rPr>
          <w:lang w:val="nb-NO"/>
        </w:rPr>
        <w:t>EU/</w:t>
      </w:r>
      <w:r w:rsidRPr="00F458BB">
        <w:rPr>
          <w:spacing w:val="-1"/>
          <w:lang w:val="pt-BR"/>
        </w:rPr>
        <w:t>1/24/1896/010</w:t>
      </w:r>
    </w:p>
    <w:p w14:paraId="6921BA21" w14:textId="77777777" w:rsidR="005A5A44" w:rsidRPr="00CD583D" w:rsidRDefault="005A5A44" w:rsidP="005A5A44">
      <w:pPr>
        <w:keepNext/>
        <w:rPr>
          <w:lang w:val="nb-NO"/>
        </w:rPr>
      </w:pPr>
      <w:r w:rsidRPr="00CD583D">
        <w:rPr>
          <w:lang w:val="nb-NO"/>
        </w:rPr>
        <w:t>EU/</w:t>
      </w:r>
      <w:r w:rsidRPr="00F458BB">
        <w:rPr>
          <w:spacing w:val="-1"/>
          <w:lang w:val="pt-BR"/>
        </w:rPr>
        <w:t>1/24/1896/01</w:t>
      </w:r>
      <w:r>
        <w:rPr>
          <w:rFonts w:eastAsia="맑은 고딕" w:hint="eastAsia"/>
          <w:spacing w:val="-1"/>
          <w:lang w:val="pt-BR" w:eastAsia="ko-KR"/>
        </w:rPr>
        <w:t>1</w:t>
      </w:r>
    </w:p>
    <w:p w14:paraId="4DEE6E03" w14:textId="77777777" w:rsidR="005A5A44" w:rsidRPr="00CD583D" w:rsidRDefault="005A5A44" w:rsidP="005A5A44">
      <w:pPr>
        <w:rPr>
          <w:lang w:val="nb-NO"/>
        </w:rPr>
      </w:pPr>
      <w:r w:rsidRPr="00CD583D">
        <w:rPr>
          <w:lang w:val="nb-NO"/>
        </w:rPr>
        <w:t>EU/</w:t>
      </w:r>
      <w:r w:rsidRPr="00F458BB">
        <w:rPr>
          <w:spacing w:val="-1"/>
          <w:lang w:val="pt-BR"/>
        </w:rPr>
        <w:t>1/24/1896/01</w:t>
      </w:r>
      <w:r>
        <w:rPr>
          <w:spacing w:val="-1"/>
          <w:lang w:val="pt-BR"/>
        </w:rPr>
        <w:t>2</w:t>
      </w:r>
    </w:p>
    <w:p w14:paraId="5ED8B712" w14:textId="638F844D" w:rsidR="000603DA" w:rsidRPr="000603DA" w:rsidRDefault="000603DA" w:rsidP="000603DA">
      <w:pPr>
        <w:rPr>
          <w:ins w:id="15" w:author="만든 이"/>
          <w:rFonts w:eastAsia="맑은 고딕" w:hint="eastAsia"/>
          <w:lang w:val="nb-NO" w:eastAsia="ko-KR"/>
          <w:rPrChange w:id="16" w:author="만든 이">
            <w:rPr>
              <w:ins w:id="17" w:author="만든 이"/>
              <w:lang w:val="nb-NO"/>
            </w:rPr>
          </w:rPrChange>
        </w:rPr>
      </w:pPr>
      <w:ins w:id="18" w:author="만든 이">
        <w:r w:rsidRPr="00CD583D">
          <w:rPr>
            <w:lang w:val="nb-NO"/>
          </w:rPr>
          <w:t>EU/</w:t>
        </w:r>
        <w:r w:rsidRPr="00F458BB">
          <w:rPr>
            <w:spacing w:val="-1"/>
            <w:lang w:val="pt-BR"/>
          </w:rPr>
          <w:t>1/24/1896/</w:t>
        </w:r>
        <w:r w:rsidR="0058224D">
          <w:rPr>
            <w:rFonts w:eastAsia="맑은 고딕" w:hint="eastAsia"/>
            <w:spacing w:val="-1"/>
            <w:lang w:val="pt-BR" w:eastAsia="ko-KR"/>
          </w:rPr>
          <w:t>014</w:t>
        </w:r>
      </w:ins>
    </w:p>
    <w:p w14:paraId="389F9AA4" w14:textId="77777777" w:rsidR="00CB7D04" w:rsidRPr="00A942F6" w:rsidRDefault="00CB7D04" w:rsidP="00641834">
      <w:pPr>
        <w:rPr>
          <w:lang w:val="nb-NO"/>
        </w:rPr>
      </w:pPr>
    </w:p>
    <w:p w14:paraId="5DFC52AE" w14:textId="77777777" w:rsidR="00DF56D8" w:rsidRPr="00A942F6" w:rsidRDefault="00DF56D8" w:rsidP="00641834">
      <w:pPr>
        <w:rPr>
          <w:lang w:val="nb-NO"/>
        </w:rPr>
      </w:pPr>
    </w:p>
    <w:p w14:paraId="33FCB388" w14:textId="77777777" w:rsidR="00DF56D8" w:rsidRPr="00A942F6" w:rsidRDefault="00DF56D8" w:rsidP="00641834">
      <w:pPr>
        <w:pStyle w:val="H1"/>
        <w:rPr>
          <w:lang w:val="nb-NO"/>
        </w:rPr>
      </w:pPr>
      <w:r w:rsidRPr="00A942F6">
        <w:rPr>
          <w:lang w:val="nb-NO"/>
        </w:rPr>
        <w:t>9.</w:t>
      </w:r>
      <w:r w:rsidRPr="00A942F6">
        <w:rPr>
          <w:lang w:val="nb-NO"/>
        </w:rPr>
        <w:tab/>
        <w:t>DATO FOR FØRSTE MARKEDSFØRINGSTILLATELSE / SISTE FORNYELSE</w:t>
      </w:r>
    </w:p>
    <w:p w14:paraId="0080257A" w14:textId="77777777" w:rsidR="002155E9" w:rsidRPr="00A942F6" w:rsidRDefault="002155E9" w:rsidP="00641834">
      <w:pPr>
        <w:rPr>
          <w:lang w:val="nb-NO"/>
        </w:rPr>
      </w:pPr>
    </w:p>
    <w:p w14:paraId="29D33D54" w14:textId="2427F69C" w:rsidR="00DF56D8" w:rsidRPr="00A942F6" w:rsidRDefault="00DF56D8" w:rsidP="00DB31C0">
      <w:pPr>
        <w:rPr>
          <w:lang w:val="nb-NO"/>
        </w:rPr>
      </w:pPr>
      <w:r w:rsidRPr="00A942F6">
        <w:rPr>
          <w:lang w:val="nb-NO"/>
        </w:rPr>
        <w:t>Dato for første markedsfør</w:t>
      </w:r>
      <w:r w:rsidR="00495B46" w:rsidRPr="00A942F6">
        <w:rPr>
          <w:lang w:val="nb-NO"/>
        </w:rPr>
        <w:t xml:space="preserve">ingstillatelse: </w:t>
      </w:r>
      <w:r w:rsidR="004C38D0">
        <w:rPr>
          <w:rFonts w:eastAsia="맑은 고딕" w:hint="eastAsia"/>
          <w:lang w:val="nb-NO" w:eastAsia="ko-KR"/>
        </w:rPr>
        <w:t xml:space="preserve">14 </w:t>
      </w:r>
      <w:r w:rsidR="004E4CE8" w:rsidRPr="00BD4D94">
        <w:rPr>
          <w:rFonts w:eastAsia="SimSun"/>
          <w:lang w:val="nb-NO"/>
        </w:rPr>
        <w:t>februar</w:t>
      </w:r>
      <w:r w:rsidR="004E4CE8" w:rsidRPr="00BD4D94">
        <w:rPr>
          <w:rFonts w:eastAsia="맑은 고딕"/>
          <w:lang w:val="nb-NO" w:eastAsia="ko-KR"/>
        </w:rPr>
        <w:t xml:space="preserve"> 2025</w:t>
      </w:r>
    </w:p>
    <w:p w14:paraId="27E47C6F" w14:textId="77777777" w:rsidR="00DF56D8" w:rsidRPr="00A942F6" w:rsidRDefault="00DF56D8" w:rsidP="00641834">
      <w:pPr>
        <w:rPr>
          <w:lang w:val="nb-NO"/>
        </w:rPr>
      </w:pPr>
    </w:p>
    <w:p w14:paraId="03867BA7" w14:textId="77777777" w:rsidR="00DF56D8" w:rsidRPr="00A942F6" w:rsidRDefault="00DF56D8" w:rsidP="00641834">
      <w:pPr>
        <w:rPr>
          <w:lang w:val="nb-NO"/>
        </w:rPr>
      </w:pPr>
    </w:p>
    <w:p w14:paraId="59427A87" w14:textId="77777777" w:rsidR="00DF56D8" w:rsidRPr="00A942F6" w:rsidRDefault="00DF56D8" w:rsidP="00641834">
      <w:pPr>
        <w:pStyle w:val="H1"/>
        <w:rPr>
          <w:lang w:val="nb-NO"/>
        </w:rPr>
      </w:pPr>
      <w:r w:rsidRPr="00A942F6">
        <w:rPr>
          <w:lang w:val="nb-NO"/>
        </w:rPr>
        <w:t>10.</w:t>
      </w:r>
      <w:r w:rsidRPr="00A942F6">
        <w:rPr>
          <w:lang w:val="nb-NO"/>
        </w:rPr>
        <w:tab/>
        <w:t>OPPDATERINGSDATO</w:t>
      </w:r>
    </w:p>
    <w:p w14:paraId="6663641C" w14:textId="77777777" w:rsidR="002155E9" w:rsidRPr="00A942F6" w:rsidRDefault="002155E9" w:rsidP="00641834">
      <w:pPr>
        <w:rPr>
          <w:lang w:val="nb-NO"/>
        </w:rPr>
      </w:pPr>
    </w:p>
    <w:p w14:paraId="0E046290" w14:textId="176EC137" w:rsidR="00DF56D8" w:rsidRPr="00A942F6" w:rsidRDefault="00DF56D8" w:rsidP="00641834">
      <w:pPr>
        <w:rPr>
          <w:lang w:val="nb-NO"/>
        </w:rPr>
      </w:pPr>
      <w:r w:rsidRPr="00A942F6">
        <w:rPr>
          <w:lang w:val="nb-NO"/>
        </w:rPr>
        <w:t xml:space="preserve">Detaljert informasjon om dette legemidlet er tilgjengelig på nettstedet til Det europeiske legemiddelkontoret (the European Medicines Agency): </w:t>
      </w:r>
      <w:hyperlink r:id="rId20" w:history="1">
        <w:r w:rsidR="00815D31">
          <w:rPr>
            <w:rStyle w:val="a6"/>
            <w:color w:val="0000FF"/>
            <w:lang w:val="nb-NO"/>
          </w:rPr>
          <w:t>https:</w:t>
        </w:r>
        <w:r w:rsidRPr="00A942F6">
          <w:rPr>
            <w:rStyle w:val="a6"/>
            <w:color w:val="0000FF"/>
            <w:lang w:val="nb-NO"/>
          </w:rPr>
          <w:t>//www.ema.europa.eu</w:t>
        </w:r>
      </w:hyperlink>
      <w:r w:rsidRPr="00A942F6">
        <w:rPr>
          <w:lang w:val="nb-NO"/>
        </w:rPr>
        <w:t>.</w:t>
      </w:r>
    </w:p>
    <w:p w14:paraId="5945E05D" w14:textId="77777777" w:rsidR="00DF56D8" w:rsidRPr="00A942F6" w:rsidRDefault="00DF56D8" w:rsidP="00641834">
      <w:pPr>
        <w:rPr>
          <w:lang w:val="nb-NO"/>
        </w:rPr>
      </w:pPr>
    </w:p>
    <w:p w14:paraId="68BD3682" w14:textId="77777777" w:rsidR="00E31057" w:rsidRPr="00A942F6" w:rsidRDefault="00E31057" w:rsidP="00641834">
      <w:pPr>
        <w:rPr>
          <w:lang w:val="nb-NO"/>
        </w:rPr>
      </w:pPr>
      <w:r w:rsidRPr="00A942F6">
        <w:rPr>
          <w:lang w:val="nb-NO"/>
        </w:rPr>
        <w:br w:type="page"/>
      </w:r>
    </w:p>
    <w:p w14:paraId="3DE11A8E" w14:textId="77777777" w:rsidR="00DF56D8" w:rsidRPr="00A942F6" w:rsidRDefault="00DF56D8" w:rsidP="00641834">
      <w:pPr>
        <w:rPr>
          <w:lang w:val="nb-NO"/>
        </w:rPr>
      </w:pPr>
    </w:p>
    <w:p w14:paraId="7FC480B0" w14:textId="77777777" w:rsidR="00DF56D8" w:rsidRPr="00A942F6" w:rsidRDefault="00DF56D8" w:rsidP="00641834">
      <w:pPr>
        <w:rPr>
          <w:lang w:val="nb-NO"/>
        </w:rPr>
      </w:pPr>
    </w:p>
    <w:p w14:paraId="3089EE9A" w14:textId="77777777" w:rsidR="00DF56D8" w:rsidRPr="00A942F6" w:rsidRDefault="00DF56D8" w:rsidP="00641834">
      <w:pPr>
        <w:rPr>
          <w:lang w:val="nb-NO"/>
        </w:rPr>
      </w:pPr>
    </w:p>
    <w:p w14:paraId="36935DCA" w14:textId="77777777" w:rsidR="00DF56D8" w:rsidRPr="00A942F6" w:rsidRDefault="00DF56D8" w:rsidP="00641834">
      <w:pPr>
        <w:rPr>
          <w:lang w:val="nb-NO"/>
        </w:rPr>
      </w:pPr>
    </w:p>
    <w:p w14:paraId="4E81F209" w14:textId="77777777" w:rsidR="00DF56D8" w:rsidRPr="00A942F6" w:rsidRDefault="00DF56D8" w:rsidP="00641834">
      <w:pPr>
        <w:rPr>
          <w:lang w:val="nb-NO"/>
        </w:rPr>
      </w:pPr>
    </w:p>
    <w:p w14:paraId="6A2F336F" w14:textId="77777777" w:rsidR="00DF56D8" w:rsidRPr="00A942F6" w:rsidRDefault="00DF56D8" w:rsidP="00641834">
      <w:pPr>
        <w:rPr>
          <w:lang w:val="nb-NO"/>
        </w:rPr>
      </w:pPr>
    </w:p>
    <w:p w14:paraId="2FD5264E" w14:textId="77777777" w:rsidR="00DF56D8" w:rsidRPr="00A942F6" w:rsidRDefault="00DF56D8" w:rsidP="00641834">
      <w:pPr>
        <w:rPr>
          <w:lang w:val="nb-NO"/>
        </w:rPr>
      </w:pPr>
    </w:p>
    <w:p w14:paraId="1F2B5747" w14:textId="77777777" w:rsidR="00DF56D8" w:rsidRPr="00A942F6" w:rsidRDefault="00DF56D8" w:rsidP="00641834">
      <w:pPr>
        <w:rPr>
          <w:lang w:val="nb-NO"/>
        </w:rPr>
      </w:pPr>
    </w:p>
    <w:p w14:paraId="5CC00992" w14:textId="77777777" w:rsidR="00DF56D8" w:rsidRPr="00A942F6" w:rsidRDefault="00DF56D8" w:rsidP="00641834">
      <w:pPr>
        <w:rPr>
          <w:lang w:val="nb-NO"/>
        </w:rPr>
      </w:pPr>
    </w:p>
    <w:p w14:paraId="4E3C0A84" w14:textId="77777777" w:rsidR="00DF56D8" w:rsidRPr="00A942F6" w:rsidRDefault="00DF56D8" w:rsidP="00641834">
      <w:pPr>
        <w:rPr>
          <w:lang w:val="nb-NO"/>
        </w:rPr>
      </w:pPr>
    </w:p>
    <w:p w14:paraId="706C5A0B" w14:textId="77777777" w:rsidR="00DF56D8" w:rsidRPr="00A942F6" w:rsidRDefault="00DF56D8" w:rsidP="00641834">
      <w:pPr>
        <w:rPr>
          <w:lang w:val="nb-NO"/>
        </w:rPr>
      </w:pPr>
    </w:p>
    <w:p w14:paraId="07C74E03" w14:textId="77777777" w:rsidR="00DF56D8" w:rsidRPr="00A942F6" w:rsidRDefault="00DF56D8" w:rsidP="00641834">
      <w:pPr>
        <w:rPr>
          <w:lang w:val="nb-NO"/>
        </w:rPr>
      </w:pPr>
    </w:p>
    <w:p w14:paraId="04087FDE" w14:textId="77777777" w:rsidR="00DF56D8" w:rsidRPr="00A942F6" w:rsidRDefault="00DF56D8" w:rsidP="00641834">
      <w:pPr>
        <w:rPr>
          <w:lang w:val="nb-NO"/>
        </w:rPr>
      </w:pPr>
    </w:p>
    <w:p w14:paraId="551E12A8" w14:textId="77777777" w:rsidR="00DF56D8" w:rsidRPr="00A942F6" w:rsidRDefault="00DF56D8" w:rsidP="00641834">
      <w:pPr>
        <w:rPr>
          <w:lang w:val="nb-NO"/>
        </w:rPr>
      </w:pPr>
    </w:p>
    <w:p w14:paraId="7DBE9AE8" w14:textId="77777777" w:rsidR="00DF56D8" w:rsidRPr="00A942F6" w:rsidRDefault="00DF56D8" w:rsidP="00641834">
      <w:pPr>
        <w:rPr>
          <w:lang w:val="nb-NO"/>
        </w:rPr>
      </w:pPr>
    </w:p>
    <w:p w14:paraId="1449BB5B" w14:textId="77777777" w:rsidR="00DF56D8" w:rsidRPr="00A942F6" w:rsidRDefault="00DF56D8" w:rsidP="00641834">
      <w:pPr>
        <w:rPr>
          <w:lang w:val="nb-NO"/>
        </w:rPr>
      </w:pPr>
    </w:p>
    <w:p w14:paraId="6BA55C4F" w14:textId="77777777" w:rsidR="00F50939" w:rsidRPr="00A942F6" w:rsidRDefault="00F50939" w:rsidP="00641834">
      <w:pPr>
        <w:rPr>
          <w:lang w:val="nb-NO"/>
        </w:rPr>
      </w:pPr>
    </w:p>
    <w:p w14:paraId="41D34320" w14:textId="77777777" w:rsidR="00F50939" w:rsidRPr="00A942F6" w:rsidRDefault="00F50939" w:rsidP="00641834">
      <w:pPr>
        <w:rPr>
          <w:lang w:val="nb-NO"/>
        </w:rPr>
      </w:pPr>
    </w:p>
    <w:p w14:paraId="60C3095A" w14:textId="77777777" w:rsidR="00F50939" w:rsidRPr="00A942F6" w:rsidRDefault="00F50939" w:rsidP="00641834">
      <w:pPr>
        <w:rPr>
          <w:lang w:val="nb-NO"/>
        </w:rPr>
      </w:pPr>
    </w:p>
    <w:p w14:paraId="354A9CA9" w14:textId="77777777" w:rsidR="00F50939" w:rsidRPr="00A942F6" w:rsidRDefault="00F50939" w:rsidP="00641834">
      <w:pPr>
        <w:rPr>
          <w:lang w:val="nb-NO"/>
        </w:rPr>
      </w:pPr>
    </w:p>
    <w:p w14:paraId="0A68C681" w14:textId="77777777" w:rsidR="00F50939" w:rsidRPr="00A942F6" w:rsidRDefault="00F50939" w:rsidP="00641834">
      <w:pPr>
        <w:rPr>
          <w:lang w:val="nb-NO"/>
        </w:rPr>
      </w:pPr>
    </w:p>
    <w:p w14:paraId="709404CC" w14:textId="77777777" w:rsidR="00DF56D8" w:rsidRPr="00A942F6" w:rsidRDefault="00DF56D8" w:rsidP="00641834">
      <w:pPr>
        <w:rPr>
          <w:lang w:val="nb-NO"/>
        </w:rPr>
      </w:pPr>
    </w:p>
    <w:p w14:paraId="79890050" w14:textId="77777777" w:rsidR="00DF56D8" w:rsidRPr="00A942F6" w:rsidRDefault="00DF56D8" w:rsidP="00641834">
      <w:pPr>
        <w:pStyle w:val="Boldcenter"/>
        <w:rPr>
          <w:lang w:val="nb-NO"/>
        </w:rPr>
      </w:pPr>
      <w:r w:rsidRPr="00A942F6">
        <w:rPr>
          <w:lang w:val="nb-NO"/>
        </w:rPr>
        <w:t>VEDLEGG II</w:t>
      </w:r>
    </w:p>
    <w:p w14:paraId="17DE0728" w14:textId="77777777" w:rsidR="00DF56D8" w:rsidRPr="00A942F6" w:rsidRDefault="00DF56D8" w:rsidP="00641834">
      <w:pPr>
        <w:rPr>
          <w:lang w:val="nb-NO"/>
        </w:rPr>
      </w:pPr>
    </w:p>
    <w:p w14:paraId="3BC55A61" w14:textId="77777777" w:rsidR="00DF56D8" w:rsidRPr="00A942F6" w:rsidRDefault="00DF56D8" w:rsidP="00641834">
      <w:pPr>
        <w:pStyle w:val="Boldcenter"/>
        <w:ind w:left="1701" w:right="1418" w:hanging="709"/>
        <w:jc w:val="left"/>
        <w:rPr>
          <w:lang w:val="nb-NO"/>
        </w:rPr>
      </w:pPr>
      <w:r w:rsidRPr="00A942F6">
        <w:rPr>
          <w:lang w:val="nb-NO"/>
        </w:rPr>
        <w:t>A.</w:t>
      </w:r>
      <w:r w:rsidRPr="00A942F6">
        <w:rPr>
          <w:lang w:val="nb-NO"/>
        </w:rPr>
        <w:tab/>
        <w:t>TILVIRKER AV BIOLOGISKE VIRKESTOFF OG TILVIRKER ANSVARLIG FOR BATCH RELEASE</w:t>
      </w:r>
    </w:p>
    <w:p w14:paraId="1D2914B5" w14:textId="77777777" w:rsidR="00F723F3" w:rsidRPr="00A942F6" w:rsidRDefault="00F723F3" w:rsidP="00641834">
      <w:pPr>
        <w:pStyle w:val="Boldcenter"/>
        <w:ind w:left="1701" w:right="1418" w:hanging="709"/>
        <w:jc w:val="left"/>
        <w:rPr>
          <w:lang w:val="nb-NO"/>
        </w:rPr>
      </w:pPr>
    </w:p>
    <w:p w14:paraId="4C0C1295" w14:textId="77777777" w:rsidR="00DF56D8" w:rsidRPr="00A942F6" w:rsidRDefault="00DF56D8" w:rsidP="00641834">
      <w:pPr>
        <w:pStyle w:val="Boldcenter"/>
        <w:ind w:left="1701" w:right="1418" w:hanging="709"/>
        <w:jc w:val="left"/>
        <w:rPr>
          <w:lang w:val="nb-NO"/>
        </w:rPr>
      </w:pPr>
      <w:r w:rsidRPr="00A942F6">
        <w:rPr>
          <w:lang w:val="nb-NO"/>
        </w:rPr>
        <w:t>B.</w:t>
      </w:r>
      <w:r w:rsidRPr="00A942F6">
        <w:rPr>
          <w:lang w:val="nb-NO"/>
        </w:rPr>
        <w:tab/>
        <w:t>VILKÅR ELLER RESTRIKSJONER VEDRØRENDE LEVERANSE OG BRUK</w:t>
      </w:r>
    </w:p>
    <w:p w14:paraId="0631CC21" w14:textId="77777777" w:rsidR="00F723F3" w:rsidRPr="00A942F6" w:rsidRDefault="00F723F3" w:rsidP="00641834">
      <w:pPr>
        <w:pStyle w:val="Boldcenter"/>
        <w:ind w:left="1701" w:right="1418" w:hanging="709"/>
        <w:jc w:val="left"/>
        <w:rPr>
          <w:lang w:val="nb-NO"/>
        </w:rPr>
      </w:pPr>
    </w:p>
    <w:p w14:paraId="3F70B3FA" w14:textId="77777777" w:rsidR="00DF56D8" w:rsidRPr="00A942F6" w:rsidRDefault="00DF56D8" w:rsidP="00641834">
      <w:pPr>
        <w:pStyle w:val="Boldcenter"/>
        <w:ind w:left="1701" w:right="1418" w:hanging="709"/>
        <w:jc w:val="left"/>
        <w:rPr>
          <w:lang w:val="nb-NO"/>
        </w:rPr>
      </w:pPr>
      <w:r w:rsidRPr="00A942F6">
        <w:rPr>
          <w:lang w:val="nb-NO"/>
        </w:rPr>
        <w:t>C.</w:t>
      </w:r>
      <w:r w:rsidRPr="00A942F6">
        <w:rPr>
          <w:lang w:val="nb-NO"/>
        </w:rPr>
        <w:tab/>
        <w:t>ANDRE VILKÅR OG KRAV TIL MARKEDSFØRINGSTILLATELSEN</w:t>
      </w:r>
    </w:p>
    <w:p w14:paraId="61B55B2E" w14:textId="77777777" w:rsidR="00F723F3" w:rsidRPr="00A942F6" w:rsidRDefault="00F723F3" w:rsidP="00641834">
      <w:pPr>
        <w:pStyle w:val="Boldcenter"/>
        <w:ind w:left="1701" w:right="1418" w:hanging="709"/>
        <w:jc w:val="left"/>
        <w:rPr>
          <w:lang w:val="nb-NO"/>
        </w:rPr>
      </w:pPr>
    </w:p>
    <w:p w14:paraId="0577D9FE" w14:textId="77777777" w:rsidR="00DF56D8" w:rsidRPr="00A942F6" w:rsidRDefault="00DF56D8" w:rsidP="00641834">
      <w:pPr>
        <w:pStyle w:val="Boldcenter"/>
        <w:ind w:left="1701" w:right="1418" w:hanging="709"/>
        <w:jc w:val="left"/>
        <w:rPr>
          <w:lang w:val="nb-NO"/>
        </w:rPr>
      </w:pPr>
      <w:r w:rsidRPr="00A942F6">
        <w:rPr>
          <w:lang w:val="nb-NO"/>
        </w:rPr>
        <w:t>D.</w:t>
      </w:r>
      <w:r w:rsidRPr="00A942F6">
        <w:rPr>
          <w:lang w:val="nb-NO"/>
        </w:rPr>
        <w:tab/>
        <w:t>VILKÅR ELLER RESTRIKSJONER VEDRØRENDE SIKKER OG EFFEKTIV BRUK AV LEGEMIDLET</w:t>
      </w:r>
    </w:p>
    <w:p w14:paraId="3281B36F" w14:textId="140AF30C" w:rsidR="00DF56D8" w:rsidRPr="00A942F6" w:rsidRDefault="00E31057" w:rsidP="0036729A">
      <w:pPr>
        <w:pStyle w:val="1"/>
        <w:rPr>
          <w:lang w:val="nb-NO"/>
        </w:rPr>
      </w:pPr>
      <w:r w:rsidRPr="00A942F6">
        <w:rPr>
          <w:lang w:val="nb-NO"/>
        </w:rPr>
        <w:br w:type="page"/>
      </w:r>
      <w:r w:rsidR="00DF56D8" w:rsidRPr="00A942F6">
        <w:rPr>
          <w:lang w:val="nb-NO"/>
        </w:rPr>
        <w:lastRenderedPageBreak/>
        <w:t>A.</w:t>
      </w:r>
      <w:r w:rsidR="00DF56D8" w:rsidRPr="00A942F6">
        <w:rPr>
          <w:lang w:val="nb-NO"/>
        </w:rPr>
        <w:tab/>
        <w:t>TILVIRKER(E) AV BIOLOGISKE VIRKESTOFF(ER) OG TILVIRKER ANSVARLIG FOR BATCH RELEASE</w:t>
      </w:r>
    </w:p>
    <w:p w14:paraId="34CD6904" w14:textId="77777777" w:rsidR="00DF56D8" w:rsidRPr="00A942F6" w:rsidRDefault="00DF56D8" w:rsidP="00641834">
      <w:pPr>
        <w:rPr>
          <w:lang w:val="nb-NO"/>
        </w:rPr>
      </w:pPr>
    </w:p>
    <w:p w14:paraId="47428110" w14:textId="77777777" w:rsidR="00DF56D8" w:rsidRPr="00A942F6" w:rsidRDefault="00DF56D8" w:rsidP="00641834">
      <w:pPr>
        <w:pStyle w:val="Style1underline"/>
        <w:rPr>
          <w:lang w:val="nb-NO"/>
        </w:rPr>
      </w:pPr>
      <w:r w:rsidRPr="00A942F6">
        <w:rPr>
          <w:lang w:val="nb-NO"/>
        </w:rPr>
        <w:t>Navn og adresse til tilvirker(e) av biologiske virkestoff(er)</w:t>
      </w:r>
    </w:p>
    <w:p w14:paraId="5D5E2F02" w14:textId="77777777" w:rsidR="00F723F3" w:rsidRPr="00A942F6" w:rsidRDefault="00F723F3" w:rsidP="00641834">
      <w:pPr>
        <w:rPr>
          <w:lang w:val="nb-NO"/>
        </w:rPr>
      </w:pPr>
    </w:p>
    <w:p w14:paraId="013E44A9" w14:textId="77777777" w:rsidR="00CB7D04" w:rsidRPr="00A942F6" w:rsidRDefault="00CB7D04" w:rsidP="00CB7D04">
      <w:pPr>
        <w:rPr>
          <w:lang w:val="nb-NO"/>
        </w:rPr>
      </w:pPr>
      <w:r w:rsidRPr="00A942F6">
        <w:rPr>
          <w:lang w:val="nb-NO"/>
        </w:rPr>
        <w:t>Binex, Ltd,</w:t>
      </w:r>
    </w:p>
    <w:p w14:paraId="4CDCAE35" w14:textId="77777777" w:rsidR="00CB7D04" w:rsidRPr="00A942F6" w:rsidRDefault="00CB7D04" w:rsidP="00CB7D04">
      <w:pPr>
        <w:rPr>
          <w:lang w:val="nb-NO"/>
        </w:rPr>
      </w:pPr>
      <w:r w:rsidRPr="00A942F6">
        <w:rPr>
          <w:lang w:val="nb-NO"/>
        </w:rPr>
        <w:t>3, Gaetbeol-ro, Yeonsu-gu,</w:t>
      </w:r>
    </w:p>
    <w:p w14:paraId="4914048A" w14:textId="77777777" w:rsidR="0053339C" w:rsidRPr="00A942F6" w:rsidRDefault="00CB7D04" w:rsidP="00CB7D04">
      <w:pPr>
        <w:rPr>
          <w:lang w:val="nb-NO"/>
        </w:rPr>
      </w:pPr>
      <w:r w:rsidRPr="00A942F6">
        <w:rPr>
          <w:lang w:val="nb-NO"/>
        </w:rPr>
        <w:t>Incheon, Republikken Korea</w:t>
      </w:r>
    </w:p>
    <w:p w14:paraId="20BC7E53" w14:textId="77777777" w:rsidR="00DF56D8" w:rsidRPr="00A942F6" w:rsidRDefault="00DF56D8" w:rsidP="00641834">
      <w:pPr>
        <w:rPr>
          <w:lang w:val="nb-NO"/>
        </w:rPr>
      </w:pPr>
    </w:p>
    <w:p w14:paraId="7A470A72" w14:textId="77777777" w:rsidR="00DF56D8" w:rsidRPr="00A942F6" w:rsidRDefault="00DF56D8" w:rsidP="00641834">
      <w:pPr>
        <w:pStyle w:val="Style1underline"/>
        <w:rPr>
          <w:lang w:val="nb-NO"/>
        </w:rPr>
      </w:pPr>
      <w:r w:rsidRPr="00A942F6">
        <w:rPr>
          <w:lang w:val="nb-NO"/>
        </w:rPr>
        <w:t>Navn og adresse til tilvirker(e) ansvarlig for batch release</w:t>
      </w:r>
    </w:p>
    <w:p w14:paraId="12689E85" w14:textId="77777777" w:rsidR="00DF56D8" w:rsidRPr="00A942F6" w:rsidRDefault="00DF56D8" w:rsidP="00641834">
      <w:pPr>
        <w:rPr>
          <w:lang w:val="nb-NO"/>
        </w:rPr>
      </w:pPr>
    </w:p>
    <w:p w14:paraId="52960565" w14:textId="77777777" w:rsidR="00CB7D04" w:rsidRPr="00BD4D94" w:rsidRDefault="00CB7D04" w:rsidP="00CB7D04">
      <w:pPr>
        <w:rPr>
          <w:lang w:val="en-GB"/>
        </w:rPr>
      </w:pPr>
      <w:r w:rsidRPr="00BD4D94">
        <w:rPr>
          <w:lang w:val="en-GB"/>
        </w:rPr>
        <w:t>Nuvisan France SARL</w:t>
      </w:r>
    </w:p>
    <w:p w14:paraId="6059CC8E" w14:textId="77777777" w:rsidR="00CB7D04" w:rsidRPr="00BD4D94" w:rsidRDefault="00CB7D04" w:rsidP="00CB7D04">
      <w:pPr>
        <w:rPr>
          <w:lang w:val="en-GB"/>
        </w:rPr>
      </w:pPr>
      <w:r w:rsidRPr="00BD4D94">
        <w:rPr>
          <w:lang w:val="en-GB"/>
        </w:rPr>
        <w:t xml:space="preserve">2400, Route des Colles, </w:t>
      </w:r>
    </w:p>
    <w:p w14:paraId="70094DC2" w14:textId="77777777" w:rsidR="00CB7D04" w:rsidRPr="009B40A5" w:rsidRDefault="00CB7D04" w:rsidP="00CB7D04">
      <w:pPr>
        <w:rPr>
          <w:lang w:val="sv-SE"/>
        </w:rPr>
      </w:pPr>
      <w:r w:rsidRPr="009B40A5">
        <w:rPr>
          <w:lang w:val="sv-SE"/>
        </w:rPr>
        <w:t xml:space="preserve">06410, Biot, </w:t>
      </w:r>
    </w:p>
    <w:p w14:paraId="2FF8F414" w14:textId="77777777" w:rsidR="00CB7D04" w:rsidRPr="009B40A5" w:rsidRDefault="00CB7D04" w:rsidP="00CB7D04">
      <w:pPr>
        <w:rPr>
          <w:lang w:val="sv-SE"/>
        </w:rPr>
      </w:pPr>
      <w:r w:rsidRPr="009B40A5">
        <w:rPr>
          <w:lang w:val="sv-SE"/>
        </w:rPr>
        <w:t>Frankrike</w:t>
      </w:r>
    </w:p>
    <w:p w14:paraId="7CB86C9E" w14:textId="77777777" w:rsidR="00CB7D04" w:rsidRPr="009B40A5" w:rsidRDefault="00CB7D04" w:rsidP="00CB7D04">
      <w:pPr>
        <w:rPr>
          <w:lang w:val="sv-SE"/>
        </w:rPr>
      </w:pPr>
    </w:p>
    <w:p w14:paraId="4A2BE2EF" w14:textId="77777777" w:rsidR="00CB7D04" w:rsidRPr="009B40A5" w:rsidRDefault="00CB7D04" w:rsidP="00CB7D04">
      <w:pPr>
        <w:rPr>
          <w:lang w:val="sv-SE"/>
        </w:rPr>
      </w:pPr>
      <w:r w:rsidRPr="009B40A5">
        <w:rPr>
          <w:lang w:val="sv-SE"/>
        </w:rPr>
        <w:t>Midas Pharma GmbH</w:t>
      </w:r>
    </w:p>
    <w:p w14:paraId="10ADB648" w14:textId="77777777" w:rsidR="00CB7D04" w:rsidRPr="009B40A5" w:rsidRDefault="00CB7D04" w:rsidP="00CB7D04">
      <w:pPr>
        <w:rPr>
          <w:lang w:val="sv-SE"/>
        </w:rPr>
      </w:pPr>
      <w:r w:rsidRPr="009B40A5">
        <w:rPr>
          <w:lang w:val="sv-SE"/>
        </w:rPr>
        <w:t xml:space="preserve">Rheinstr. 49, </w:t>
      </w:r>
    </w:p>
    <w:p w14:paraId="73369842" w14:textId="77777777" w:rsidR="00CB7D04" w:rsidRPr="009B40A5" w:rsidRDefault="00CB7D04" w:rsidP="00CB7D04">
      <w:pPr>
        <w:rPr>
          <w:lang w:val="sv-SE"/>
        </w:rPr>
      </w:pPr>
      <w:r w:rsidRPr="009B40A5">
        <w:rPr>
          <w:lang w:val="sv-SE"/>
        </w:rPr>
        <w:t>55218 Ingelheim,</w:t>
      </w:r>
    </w:p>
    <w:p w14:paraId="107C0D59" w14:textId="77777777" w:rsidR="00CB7D04" w:rsidRPr="009B40A5" w:rsidRDefault="00CB7D04" w:rsidP="00CB7D04">
      <w:pPr>
        <w:rPr>
          <w:lang w:val="sv-SE"/>
        </w:rPr>
      </w:pPr>
      <w:r w:rsidRPr="009B40A5">
        <w:rPr>
          <w:lang w:val="sv-SE"/>
        </w:rPr>
        <w:t>Tyskland</w:t>
      </w:r>
    </w:p>
    <w:p w14:paraId="0218BC11" w14:textId="77777777" w:rsidR="00CB7D04" w:rsidRPr="009B40A5" w:rsidRDefault="00CB7D04" w:rsidP="00CB7D04">
      <w:pPr>
        <w:rPr>
          <w:lang w:val="sv-SE"/>
        </w:rPr>
      </w:pPr>
    </w:p>
    <w:p w14:paraId="09F39C84" w14:textId="77777777" w:rsidR="00CB7D04" w:rsidRPr="009B40A5" w:rsidRDefault="00CB7D04" w:rsidP="00CB7D04">
      <w:pPr>
        <w:rPr>
          <w:lang w:val="sv-SE"/>
        </w:rPr>
      </w:pPr>
      <w:r w:rsidRPr="009B40A5">
        <w:rPr>
          <w:lang w:val="sv-SE"/>
        </w:rPr>
        <w:t xml:space="preserve">KYMOS S.L. </w:t>
      </w:r>
    </w:p>
    <w:p w14:paraId="61C81A3E" w14:textId="77777777" w:rsidR="00CB7D04" w:rsidRPr="009B40A5" w:rsidRDefault="00CB7D04" w:rsidP="00CB7D04">
      <w:pPr>
        <w:rPr>
          <w:lang w:val="sv-SE"/>
        </w:rPr>
      </w:pPr>
      <w:r w:rsidRPr="009B40A5">
        <w:rPr>
          <w:lang w:val="sv-SE"/>
        </w:rPr>
        <w:t xml:space="preserve">Ronda Can Fatjó, 7B. </w:t>
      </w:r>
    </w:p>
    <w:p w14:paraId="54A3A663" w14:textId="77777777" w:rsidR="00CB7D04" w:rsidRPr="009B40A5" w:rsidRDefault="00CB7D04" w:rsidP="00CB7D04">
      <w:pPr>
        <w:rPr>
          <w:lang w:val="sv-SE"/>
        </w:rPr>
      </w:pPr>
      <w:r w:rsidRPr="009B40A5">
        <w:rPr>
          <w:lang w:val="sv-SE"/>
        </w:rPr>
        <w:t xml:space="preserve">08290 Cerdanyola del Vallès, </w:t>
      </w:r>
    </w:p>
    <w:p w14:paraId="253307C5" w14:textId="77777777" w:rsidR="00CB7D04" w:rsidRPr="00A942F6" w:rsidRDefault="00CB7D04" w:rsidP="00CB7D04">
      <w:pPr>
        <w:rPr>
          <w:lang w:val="nb-NO"/>
        </w:rPr>
      </w:pPr>
      <w:r w:rsidRPr="00A942F6">
        <w:rPr>
          <w:lang w:val="nb-NO"/>
        </w:rPr>
        <w:t xml:space="preserve">Barcelona, </w:t>
      </w:r>
    </w:p>
    <w:p w14:paraId="31BDE84F" w14:textId="77777777" w:rsidR="00990C77" w:rsidRPr="00A942F6" w:rsidRDefault="00CB7D04" w:rsidP="00CB7D04">
      <w:pPr>
        <w:rPr>
          <w:lang w:val="nb-NO"/>
        </w:rPr>
      </w:pPr>
      <w:r w:rsidRPr="00A942F6">
        <w:rPr>
          <w:lang w:val="nb-NO"/>
        </w:rPr>
        <w:t>Spania</w:t>
      </w:r>
    </w:p>
    <w:p w14:paraId="31D305E8" w14:textId="77777777" w:rsidR="00DF56D8" w:rsidRPr="00A942F6" w:rsidRDefault="00DF56D8" w:rsidP="00641834">
      <w:pPr>
        <w:rPr>
          <w:lang w:val="nb-NO"/>
        </w:rPr>
      </w:pPr>
    </w:p>
    <w:p w14:paraId="07966815" w14:textId="77777777" w:rsidR="00DF56D8" w:rsidRPr="00A942F6" w:rsidRDefault="00DF56D8" w:rsidP="00641834">
      <w:pPr>
        <w:rPr>
          <w:lang w:val="nb-NO"/>
        </w:rPr>
      </w:pPr>
    </w:p>
    <w:p w14:paraId="30239617" w14:textId="77777777" w:rsidR="00DF56D8" w:rsidRPr="00A942F6" w:rsidRDefault="00DF56D8" w:rsidP="00641834">
      <w:pPr>
        <w:pStyle w:val="1"/>
        <w:rPr>
          <w:lang w:val="nb-NO"/>
        </w:rPr>
      </w:pPr>
      <w:r w:rsidRPr="00A942F6">
        <w:rPr>
          <w:lang w:val="nb-NO"/>
        </w:rPr>
        <w:t>B.</w:t>
      </w:r>
      <w:r w:rsidRPr="00A942F6">
        <w:rPr>
          <w:lang w:val="nb-NO"/>
        </w:rPr>
        <w:tab/>
        <w:t>VILKÅR ELLER RESTRIKSJONER VEDRØRENDE LEVERANSE OG BRUK</w:t>
      </w:r>
      <w:r w:rsidR="00E31057" w:rsidRPr="00A942F6">
        <w:rPr>
          <w:lang w:val="nb-NO"/>
        </w:rPr>
        <w:t xml:space="preserve"> </w:t>
      </w:r>
    </w:p>
    <w:p w14:paraId="6041CD7D" w14:textId="77777777" w:rsidR="00E31057" w:rsidRPr="00A942F6" w:rsidRDefault="00E31057" w:rsidP="00641834">
      <w:pPr>
        <w:rPr>
          <w:lang w:val="nb-NO"/>
        </w:rPr>
      </w:pPr>
    </w:p>
    <w:p w14:paraId="57752C25" w14:textId="77777777" w:rsidR="00DF56D8" w:rsidRPr="00A942F6" w:rsidRDefault="00DF56D8" w:rsidP="00641834">
      <w:pPr>
        <w:rPr>
          <w:lang w:val="nb-NO"/>
        </w:rPr>
      </w:pPr>
      <w:r w:rsidRPr="00A942F6">
        <w:rPr>
          <w:lang w:val="nb-NO"/>
        </w:rPr>
        <w:t>Legemiddel underlagt begrenset forskrivning (se Vedlegg I, Preparatomtale, pkt. 4.2).</w:t>
      </w:r>
    </w:p>
    <w:p w14:paraId="452B6B52" w14:textId="77777777" w:rsidR="00DF56D8" w:rsidRPr="00A942F6" w:rsidRDefault="00DF56D8" w:rsidP="00641834">
      <w:pPr>
        <w:rPr>
          <w:lang w:val="nb-NO"/>
        </w:rPr>
      </w:pPr>
    </w:p>
    <w:p w14:paraId="2DC10780" w14:textId="77777777" w:rsidR="00DF56D8" w:rsidRPr="00A942F6" w:rsidRDefault="00DF56D8" w:rsidP="00641834">
      <w:pPr>
        <w:rPr>
          <w:lang w:val="nb-NO"/>
        </w:rPr>
      </w:pPr>
    </w:p>
    <w:p w14:paraId="614983C1" w14:textId="77777777" w:rsidR="00DF56D8" w:rsidRPr="00A942F6" w:rsidRDefault="00DF56D8" w:rsidP="00641834">
      <w:pPr>
        <w:pStyle w:val="1"/>
        <w:rPr>
          <w:lang w:val="nb-NO"/>
        </w:rPr>
      </w:pPr>
      <w:r w:rsidRPr="00A942F6">
        <w:rPr>
          <w:lang w:val="nb-NO"/>
        </w:rPr>
        <w:t>C.</w:t>
      </w:r>
      <w:r w:rsidRPr="00A942F6">
        <w:rPr>
          <w:lang w:val="nb-NO"/>
        </w:rPr>
        <w:tab/>
        <w:t>ANDRE VILKÅR OG KRAV TIL MARKEDSFØRINGSTILLATELSEN</w:t>
      </w:r>
    </w:p>
    <w:p w14:paraId="5C505D2D" w14:textId="77777777" w:rsidR="002155E9" w:rsidRPr="00A942F6" w:rsidRDefault="002155E9" w:rsidP="00641834">
      <w:pPr>
        <w:rPr>
          <w:lang w:val="nb-NO"/>
        </w:rPr>
      </w:pPr>
    </w:p>
    <w:p w14:paraId="12136DED" w14:textId="77777777" w:rsidR="00DF56D8" w:rsidRPr="00A942F6" w:rsidRDefault="00DF56D8" w:rsidP="00641834">
      <w:pPr>
        <w:pStyle w:val="Bullet1cm"/>
        <w:rPr>
          <w:lang w:val="nb-NO"/>
        </w:rPr>
      </w:pPr>
      <w:r w:rsidRPr="00A942F6">
        <w:rPr>
          <w:lang w:val="nb-NO"/>
        </w:rPr>
        <w:t>Periodiske sikkerhetsoppdateringsrapporter (PSUR-er)</w:t>
      </w:r>
    </w:p>
    <w:p w14:paraId="0E6CEA21" w14:textId="77777777" w:rsidR="006B231E" w:rsidRPr="00A942F6" w:rsidRDefault="006B231E" w:rsidP="00641834">
      <w:pPr>
        <w:rPr>
          <w:lang w:val="nb-NO"/>
        </w:rPr>
      </w:pPr>
    </w:p>
    <w:p w14:paraId="035E9CFA" w14:textId="77777777" w:rsidR="00DF56D8" w:rsidRPr="00A942F6" w:rsidRDefault="00DF56D8" w:rsidP="00641834">
      <w:pPr>
        <w:rPr>
          <w:lang w:val="nb-NO"/>
        </w:rPr>
      </w:pPr>
      <w:r w:rsidRPr="00A942F6">
        <w:rPr>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5FB8E402" w14:textId="77777777" w:rsidR="00DF56D8" w:rsidRPr="00A942F6" w:rsidRDefault="00DF56D8" w:rsidP="00641834">
      <w:pPr>
        <w:rPr>
          <w:lang w:val="nb-NO"/>
        </w:rPr>
      </w:pPr>
    </w:p>
    <w:p w14:paraId="530FFB9D" w14:textId="77777777" w:rsidR="002155E9" w:rsidRPr="00A942F6" w:rsidRDefault="002155E9" w:rsidP="00641834">
      <w:pPr>
        <w:rPr>
          <w:lang w:val="nb-NO"/>
        </w:rPr>
      </w:pPr>
    </w:p>
    <w:p w14:paraId="27349C8A" w14:textId="77777777" w:rsidR="00DF56D8" w:rsidRPr="00A942F6" w:rsidRDefault="00DF56D8" w:rsidP="00641834">
      <w:pPr>
        <w:pStyle w:val="1"/>
        <w:rPr>
          <w:lang w:val="nb-NO"/>
        </w:rPr>
      </w:pPr>
      <w:r w:rsidRPr="00A942F6">
        <w:rPr>
          <w:lang w:val="nb-NO"/>
        </w:rPr>
        <w:t>D.</w:t>
      </w:r>
      <w:r w:rsidRPr="00A942F6">
        <w:rPr>
          <w:lang w:val="nb-NO"/>
        </w:rPr>
        <w:tab/>
        <w:t>VILKÅR ELLER RESTRIKSJONER VEDRØRENDE SIKKER OG EFFEKTIV BRUK AV LEGEMIDLET</w:t>
      </w:r>
    </w:p>
    <w:p w14:paraId="28662031" w14:textId="77777777" w:rsidR="00DF56D8" w:rsidRPr="00A942F6" w:rsidRDefault="00DF56D8" w:rsidP="00641834">
      <w:pPr>
        <w:rPr>
          <w:lang w:val="nb-NO"/>
        </w:rPr>
      </w:pPr>
    </w:p>
    <w:p w14:paraId="70EDCB45" w14:textId="77777777" w:rsidR="00DF56D8" w:rsidRPr="009C710E" w:rsidRDefault="00DF56D8" w:rsidP="00641834">
      <w:pPr>
        <w:pStyle w:val="Bullet1cm"/>
        <w:rPr>
          <w:b/>
          <w:bCs/>
          <w:lang w:val="nb-NO"/>
        </w:rPr>
      </w:pPr>
      <w:r w:rsidRPr="009C710E">
        <w:rPr>
          <w:b/>
          <w:bCs/>
          <w:lang w:val="nb-NO"/>
        </w:rPr>
        <w:t>Risikohåndteringsplan (RMP)</w:t>
      </w:r>
    </w:p>
    <w:p w14:paraId="6D9BFD3D" w14:textId="77777777" w:rsidR="00F723F3" w:rsidRPr="00A942F6" w:rsidRDefault="00F723F3" w:rsidP="00641834">
      <w:pPr>
        <w:rPr>
          <w:lang w:val="nb-NO"/>
        </w:rPr>
      </w:pPr>
    </w:p>
    <w:p w14:paraId="144F1203" w14:textId="77777777" w:rsidR="00DF56D8" w:rsidRPr="00A942F6" w:rsidRDefault="00DF56D8" w:rsidP="00641834">
      <w:pPr>
        <w:rPr>
          <w:lang w:val="nb-NO"/>
        </w:rPr>
      </w:pPr>
      <w:r w:rsidRPr="00A942F6">
        <w:rPr>
          <w:lang w:val="nb-NO"/>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3872B284" w14:textId="77777777" w:rsidR="00DF56D8" w:rsidRPr="00A942F6" w:rsidRDefault="00DF56D8" w:rsidP="00641834">
      <w:pPr>
        <w:rPr>
          <w:lang w:val="nb-NO"/>
        </w:rPr>
      </w:pPr>
    </w:p>
    <w:p w14:paraId="233738FD" w14:textId="77777777" w:rsidR="00DF56D8" w:rsidRPr="00A942F6" w:rsidRDefault="00DF56D8" w:rsidP="00641834">
      <w:pPr>
        <w:rPr>
          <w:lang w:val="nb-NO"/>
        </w:rPr>
      </w:pPr>
      <w:r w:rsidRPr="00A942F6">
        <w:rPr>
          <w:lang w:val="nb-NO"/>
        </w:rPr>
        <w:t>En oppdatert RMP skal sendes inn:</w:t>
      </w:r>
    </w:p>
    <w:p w14:paraId="1891FCE2" w14:textId="77777777" w:rsidR="00DF56D8" w:rsidRPr="00A942F6" w:rsidRDefault="00DF56D8" w:rsidP="00641834">
      <w:pPr>
        <w:pStyle w:val="Bullet1cm"/>
        <w:rPr>
          <w:lang w:val="nb-NO"/>
        </w:rPr>
      </w:pPr>
      <w:r w:rsidRPr="00A942F6">
        <w:rPr>
          <w:lang w:val="nb-NO"/>
        </w:rPr>
        <w:t>på forespørsel fra Det europeiske legemiddelkontoret (the European Medicines Agency);</w:t>
      </w:r>
    </w:p>
    <w:p w14:paraId="339F1BB5" w14:textId="77777777" w:rsidR="00DF56D8" w:rsidRPr="00A942F6" w:rsidRDefault="00DF56D8" w:rsidP="00641834">
      <w:pPr>
        <w:pStyle w:val="Bullet1cm"/>
        <w:rPr>
          <w:lang w:val="nb-NO"/>
        </w:rPr>
      </w:pPr>
      <w:r w:rsidRPr="00A942F6">
        <w:rPr>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9F6ABAB" w14:textId="77777777" w:rsidR="00F723F3" w:rsidRPr="00A942F6" w:rsidRDefault="00F723F3" w:rsidP="00641834">
      <w:pPr>
        <w:rPr>
          <w:lang w:val="nb-NO"/>
        </w:rPr>
      </w:pPr>
    </w:p>
    <w:p w14:paraId="0724B2D0" w14:textId="77777777" w:rsidR="00DF56D8" w:rsidRPr="00A942F6" w:rsidRDefault="00DF56D8" w:rsidP="00641834">
      <w:pPr>
        <w:rPr>
          <w:lang w:val="nb-NO"/>
        </w:rPr>
      </w:pPr>
      <w:r w:rsidRPr="00A942F6">
        <w:rPr>
          <w:lang w:val="nb-NO"/>
        </w:rPr>
        <w:t>Hvis innsendelse av en PSUR og oppdateringen av en RMP faller på samme tidspunkt, kan de sendes inn samtidig.</w:t>
      </w:r>
    </w:p>
    <w:p w14:paraId="25EC9A6C" w14:textId="77777777" w:rsidR="00F723F3" w:rsidRPr="00A942F6" w:rsidRDefault="00F723F3" w:rsidP="00641834">
      <w:pPr>
        <w:rPr>
          <w:lang w:val="nb-NO"/>
        </w:rPr>
      </w:pPr>
    </w:p>
    <w:p w14:paraId="00ECF84E" w14:textId="77777777" w:rsidR="00DF56D8" w:rsidRPr="009C710E" w:rsidRDefault="00DF56D8" w:rsidP="00641834">
      <w:pPr>
        <w:pStyle w:val="Bullet1cm"/>
        <w:rPr>
          <w:b/>
          <w:bCs/>
          <w:lang w:val="nb-NO"/>
        </w:rPr>
      </w:pPr>
      <w:r w:rsidRPr="009C710E">
        <w:rPr>
          <w:b/>
          <w:bCs/>
          <w:lang w:val="nb-NO"/>
        </w:rPr>
        <w:t>Andre risikominimeringsaktiviteter</w:t>
      </w:r>
    </w:p>
    <w:p w14:paraId="1DFE7E5D" w14:textId="77777777" w:rsidR="00F723F3" w:rsidRPr="00A942F6" w:rsidRDefault="00F723F3" w:rsidP="00641834">
      <w:pPr>
        <w:rPr>
          <w:lang w:val="nb-NO"/>
        </w:rPr>
      </w:pPr>
    </w:p>
    <w:p w14:paraId="474267D7" w14:textId="49ABF715" w:rsidR="00DF56D8" w:rsidRPr="00A942F6" w:rsidRDefault="00DF56D8" w:rsidP="00641834">
      <w:pPr>
        <w:rPr>
          <w:lang w:val="nb-NO"/>
        </w:rPr>
      </w:pPr>
      <w:r w:rsidRPr="00A942F6">
        <w:rPr>
          <w:lang w:val="nb-NO"/>
        </w:rPr>
        <w:t xml:space="preserve">Innehaveren av markedsføringstillatelsen (MT-innhaver) skal tilby en undervisningspakke som dekker de terapeutiske indikasjone RA, sJIA, pJIA og GCA for å sikre at alle potensielle forskrivere/brukere av </w:t>
      </w:r>
      <w:r w:rsidR="00CB7D04" w:rsidRPr="00A942F6">
        <w:rPr>
          <w:lang w:val="nb-NO"/>
        </w:rPr>
        <w:t>Avtozma</w:t>
      </w:r>
      <w:r w:rsidRPr="00A942F6">
        <w:rPr>
          <w:lang w:val="nb-NO"/>
        </w:rPr>
        <w:t xml:space="preserve"> har fått informasjonsmateriell som inneholder følgende:</w:t>
      </w:r>
    </w:p>
    <w:p w14:paraId="59966EF8" w14:textId="77777777" w:rsidR="00DF56D8" w:rsidRPr="00A942F6" w:rsidRDefault="00DF56D8" w:rsidP="00641834">
      <w:pPr>
        <w:rPr>
          <w:lang w:val="nb-NO"/>
        </w:rPr>
      </w:pPr>
    </w:p>
    <w:p w14:paraId="7B2C09BD" w14:textId="77777777" w:rsidR="00DF56D8" w:rsidRPr="00A942F6" w:rsidRDefault="00DF56D8" w:rsidP="00641834">
      <w:pPr>
        <w:pStyle w:val="Bullet1cm"/>
        <w:rPr>
          <w:lang w:val="nb-NO"/>
        </w:rPr>
      </w:pPr>
      <w:r w:rsidRPr="00A942F6">
        <w:rPr>
          <w:lang w:val="nb-NO"/>
        </w:rPr>
        <w:t>Informasjonspakke for leger</w:t>
      </w:r>
    </w:p>
    <w:p w14:paraId="637E9C35" w14:textId="77777777" w:rsidR="00DF56D8" w:rsidRPr="00A942F6" w:rsidRDefault="00DF56D8" w:rsidP="00641834">
      <w:pPr>
        <w:pStyle w:val="Bullet1cm"/>
        <w:rPr>
          <w:lang w:val="nb-NO"/>
        </w:rPr>
      </w:pPr>
      <w:r w:rsidRPr="00A942F6">
        <w:rPr>
          <w:lang w:val="nb-NO"/>
        </w:rPr>
        <w:t>Informasjonspakke for sykepleiere</w:t>
      </w:r>
    </w:p>
    <w:p w14:paraId="0B3B8389" w14:textId="77777777" w:rsidR="00DF56D8" w:rsidRPr="00A942F6" w:rsidRDefault="00DF56D8" w:rsidP="00641834">
      <w:pPr>
        <w:pStyle w:val="Bullet1cm"/>
        <w:rPr>
          <w:lang w:val="nb-NO"/>
        </w:rPr>
      </w:pPr>
      <w:r w:rsidRPr="00A942F6">
        <w:rPr>
          <w:lang w:val="nb-NO"/>
        </w:rPr>
        <w:t>Informasjonspakke for pasienter</w:t>
      </w:r>
    </w:p>
    <w:p w14:paraId="0531CFED" w14:textId="77777777" w:rsidR="00DF56D8" w:rsidRPr="00A942F6" w:rsidRDefault="00DF56D8" w:rsidP="00641834">
      <w:pPr>
        <w:rPr>
          <w:lang w:val="nb-NO"/>
        </w:rPr>
      </w:pPr>
    </w:p>
    <w:p w14:paraId="63027091" w14:textId="77777777" w:rsidR="00DF56D8" w:rsidRPr="00A942F6" w:rsidRDefault="00DF56D8" w:rsidP="00641834">
      <w:pPr>
        <w:rPr>
          <w:lang w:val="nb-NO"/>
        </w:rPr>
      </w:pPr>
      <w:r w:rsidRPr="00A942F6">
        <w:rPr>
          <w:lang w:val="nb-NO"/>
        </w:rPr>
        <w:t>I samarbeid med nasjonale myndigheter må MT-innehaver godkjenne innhold og format av undervisningsmateriellet, kombinert med en kommunikasjonsplan (inkludert distribusjonsmetode), før distribusjon av undervismateriellet.</w:t>
      </w:r>
    </w:p>
    <w:p w14:paraId="6FA550BA" w14:textId="77777777" w:rsidR="00DF56D8" w:rsidRPr="00A942F6" w:rsidRDefault="00DF56D8" w:rsidP="00641834">
      <w:pPr>
        <w:rPr>
          <w:lang w:val="nb-NO"/>
        </w:rPr>
      </w:pPr>
    </w:p>
    <w:p w14:paraId="3416D88C" w14:textId="77777777" w:rsidR="00DF56D8" w:rsidRPr="00A942F6" w:rsidRDefault="00DF56D8" w:rsidP="00641834">
      <w:pPr>
        <w:rPr>
          <w:lang w:val="nb-NO"/>
        </w:rPr>
      </w:pPr>
      <w:r w:rsidRPr="00A942F6">
        <w:rPr>
          <w:lang w:val="nb-NO"/>
        </w:rPr>
        <w:t>Informasjonspakken for leger skal inneholde følgende viktige elementer:</w:t>
      </w:r>
    </w:p>
    <w:p w14:paraId="6B7E38C4" w14:textId="77777777" w:rsidR="00DF56D8" w:rsidRPr="00A942F6" w:rsidRDefault="00DF56D8" w:rsidP="00641834">
      <w:pPr>
        <w:pStyle w:val="Bullet1cm"/>
        <w:rPr>
          <w:lang w:val="nb-NO"/>
        </w:rPr>
      </w:pPr>
      <w:r w:rsidRPr="00A942F6">
        <w:rPr>
          <w:lang w:val="nb-NO"/>
        </w:rPr>
        <w:t>Referanse til preparatomtalen (f.eks. link til EMA sin nettside)</w:t>
      </w:r>
    </w:p>
    <w:p w14:paraId="6454A319" w14:textId="77777777" w:rsidR="00DF56D8" w:rsidRPr="00A942F6" w:rsidRDefault="00DF56D8" w:rsidP="00641834">
      <w:pPr>
        <w:pStyle w:val="Bullet1cm"/>
        <w:rPr>
          <w:lang w:val="nb-NO"/>
        </w:rPr>
      </w:pPr>
      <w:r w:rsidRPr="00A942F6">
        <w:rPr>
          <w:lang w:val="nb-NO"/>
        </w:rPr>
        <w:t>Doseberegning (for RA, sJIA og pJIA-pasienter), tilberedning av infusjonsvæske og infusjonshastighet</w:t>
      </w:r>
    </w:p>
    <w:p w14:paraId="1E01E581" w14:textId="77777777" w:rsidR="00DF56D8" w:rsidRPr="00A942F6" w:rsidRDefault="00DF56D8" w:rsidP="00641834">
      <w:pPr>
        <w:pStyle w:val="Bullet1cm"/>
        <w:rPr>
          <w:lang w:val="nb-NO"/>
        </w:rPr>
      </w:pPr>
      <w:r w:rsidRPr="00A942F6">
        <w:rPr>
          <w:lang w:val="nb-NO"/>
        </w:rPr>
        <w:t>Risiko for alvorlige infeksjoner</w:t>
      </w:r>
    </w:p>
    <w:p w14:paraId="49CE3D29" w14:textId="77777777" w:rsidR="00DF56D8" w:rsidRPr="00A942F6" w:rsidRDefault="00DF56D8" w:rsidP="00641834">
      <w:pPr>
        <w:pStyle w:val="BulletInd1cm1cm"/>
        <w:rPr>
          <w:lang w:val="nb-NO"/>
        </w:rPr>
      </w:pPr>
      <w:r w:rsidRPr="00A942F6">
        <w:rPr>
          <w:lang w:val="nb-NO"/>
        </w:rPr>
        <w:t>Legemidlet skal ikke gis til pasienter med aktiv eller mistenkt infeksjon</w:t>
      </w:r>
    </w:p>
    <w:p w14:paraId="080D29AF" w14:textId="77777777" w:rsidR="00DF56D8" w:rsidRPr="00A942F6" w:rsidRDefault="00DF56D8" w:rsidP="00641834">
      <w:pPr>
        <w:pStyle w:val="BulletInd1cm1cm"/>
        <w:rPr>
          <w:lang w:val="nb-NO"/>
        </w:rPr>
      </w:pPr>
      <w:r w:rsidRPr="00A942F6">
        <w:rPr>
          <w:lang w:val="nb-NO"/>
        </w:rPr>
        <w:t>Legemidlet kan nedsette tegn og symptomer på akutt infeksjon og dermed forsinke diagnosen</w:t>
      </w:r>
    </w:p>
    <w:p w14:paraId="7C04E59A" w14:textId="77777777" w:rsidR="00DF56D8" w:rsidRPr="00A942F6" w:rsidRDefault="00DF56D8" w:rsidP="00641834">
      <w:pPr>
        <w:pStyle w:val="Bullet1cm"/>
        <w:rPr>
          <w:lang w:val="nb-NO"/>
        </w:rPr>
      </w:pPr>
      <w:r w:rsidRPr="00A942F6">
        <w:rPr>
          <w:lang w:val="nb-NO"/>
        </w:rPr>
        <w:t>Risiko for levertoksisitet</w:t>
      </w:r>
    </w:p>
    <w:p w14:paraId="62E94CA3" w14:textId="77777777" w:rsidR="00DF56D8" w:rsidRPr="00A942F6" w:rsidRDefault="00DF56D8" w:rsidP="00641834">
      <w:pPr>
        <w:pStyle w:val="BulletInd1cm1cm"/>
        <w:rPr>
          <w:lang w:val="nb-NO"/>
        </w:rPr>
      </w:pPr>
      <w:r w:rsidRPr="00A942F6">
        <w:rPr>
          <w:lang w:val="nb-NO"/>
        </w:rPr>
        <w:t>Forsiktighet skal utvises når det vurderes oppstart av tocilizumab-behandling hos pasienter med forhøyede transaminaser ASAT eller ALAT over 1,5 x øvre normalverdi. Behandling er ikke anbefalt hos pasienter med ASAT eller ALAT over 5 x øvre normalverdi.</w:t>
      </w:r>
    </w:p>
    <w:p w14:paraId="2B2E079F" w14:textId="6532C063" w:rsidR="00DF56D8" w:rsidRPr="00A942F6" w:rsidRDefault="00DF56D8" w:rsidP="00641834">
      <w:pPr>
        <w:pStyle w:val="BulletInd1cm1cm"/>
        <w:rPr>
          <w:lang w:val="nb-NO"/>
        </w:rPr>
      </w:pPr>
      <w:r w:rsidRPr="00A942F6">
        <w:rPr>
          <w:lang w:val="nb-NO"/>
        </w:rPr>
        <w:t xml:space="preserve">Ved RA, GCA, pJIA og sJIA bør ALAT og ASAT måles hver 4. -8. uke de første 6 månedene av behandlingen, og deretter hver 12. uke. De anbefalte dosejusteringene basert på tranaminaseverdier, inkludert seponering av </w:t>
      </w:r>
      <w:r w:rsidR="00CB7D04" w:rsidRPr="00A942F6">
        <w:rPr>
          <w:lang w:val="nb-NO"/>
        </w:rPr>
        <w:t>tocilizumab</w:t>
      </w:r>
      <w:r w:rsidRPr="00A942F6">
        <w:rPr>
          <w:lang w:val="nb-NO"/>
        </w:rPr>
        <w:t>, er angitt i pkt. 4.2 i SPC.</w:t>
      </w:r>
    </w:p>
    <w:p w14:paraId="1FE722A6" w14:textId="77777777" w:rsidR="00DF56D8" w:rsidRPr="00A942F6" w:rsidRDefault="00DF56D8" w:rsidP="00641834">
      <w:pPr>
        <w:pStyle w:val="Bullet1cm"/>
        <w:rPr>
          <w:lang w:val="nb-NO"/>
        </w:rPr>
      </w:pPr>
      <w:r w:rsidRPr="00A942F6">
        <w:rPr>
          <w:lang w:val="nb-NO"/>
        </w:rPr>
        <w:t>Risiko for gastrointestinal perforasjon, spesielt hos pasienter med tidligere divertikulitt eller intestinal ulcerasjon</w:t>
      </w:r>
    </w:p>
    <w:p w14:paraId="01290384" w14:textId="77777777" w:rsidR="00DF56D8" w:rsidRPr="00A942F6" w:rsidRDefault="00DF56D8" w:rsidP="00641834">
      <w:pPr>
        <w:pStyle w:val="Bullet1cm"/>
        <w:rPr>
          <w:lang w:val="nb-NO"/>
        </w:rPr>
      </w:pPr>
      <w:r w:rsidRPr="00A942F6">
        <w:rPr>
          <w:lang w:val="nb-NO"/>
        </w:rPr>
        <w:t>Beskrivelse av hvordan alvorlige bivirkninger rapporteres</w:t>
      </w:r>
    </w:p>
    <w:p w14:paraId="1D787DD3" w14:textId="77777777" w:rsidR="00DF56D8" w:rsidRPr="00A942F6" w:rsidRDefault="00DF56D8" w:rsidP="00641834">
      <w:pPr>
        <w:pStyle w:val="Bullet1cm"/>
        <w:rPr>
          <w:lang w:val="nb-NO"/>
        </w:rPr>
      </w:pPr>
      <w:r w:rsidRPr="00A942F6">
        <w:rPr>
          <w:lang w:val="nb-NO"/>
        </w:rPr>
        <w:t>Informasjonspakke for pasienter (som skal utleveres av helsepersonell)</w:t>
      </w:r>
    </w:p>
    <w:p w14:paraId="327FDB33" w14:textId="77777777" w:rsidR="00DF56D8" w:rsidRPr="00A942F6" w:rsidRDefault="00DF56D8" w:rsidP="00641834">
      <w:pPr>
        <w:pStyle w:val="Bullet1cm"/>
        <w:rPr>
          <w:lang w:val="nb-NO"/>
        </w:rPr>
      </w:pPr>
      <w:r w:rsidRPr="00A942F6">
        <w:rPr>
          <w:lang w:val="nb-NO"/>
        </w:rPr>
        <w:t>Veiledning om hvordan makrofagaktivering-syndrom (MAS) diagnostiseres hos sJIA- pasienter</w:t>
      </w:r>
    </w:p>
    <w:p w14:paraId="6E0906CF" w14:textId="77777777" w:rsidR="00DF56D8" w:rsidRPr="00A942F6" w:rsidRDefault="00DF56D8" w:rsidP="00641834">
      <w:pPr>
        <w:pStyle w:val="Bullet1cm"/>
        <w:rPr>
          <w:lang w:val="nb-NO"/>
        </w:rPr>
      </w:pPr>
      <w:r w:rsidRPr="00A942F6">
        <w:rPr>
          <w:lang w:val="nb-NO"/>
        </w:rPr>
        <w:t>Anbefalinger for doseseponering for pasienter med sJIA og pJIA</w:t>
      </w:r>
    </w:p>
    <w:p w14:paraId="6B571C22" w14:textId="77777777" w:rsidR="00DF56D8" w:rsidRPr="00A942F6" w:rsidRDefault="00DF56D8" w:rsidP="00641834">
      <w:pPr>
        <w:rPr>
          <w:lang w:val="nb-NO"/>
        </w:rPr>
      </w:pPr>
    </w:p>
    <w:p w14:paraId="07DF405D" w14:textId="77777777" w:rsidR="00DF56D8" w:rsidRPr="00A942F6" w:rsidRDefault="00DF56D8" w:rsidP="00641834">
      <w:pPr>
        <w:rPr>
          <w:lang w:val="nb-NO"/>
        </w:rPr>
      </w:pPr>
      <w:r w:rsidRPr="00A942F6">
        <w:rPr>
          <w:lang w:val="nb-NO"/>
        </w:rPr>
        <w:t>Informasjonspakken for sykepleiere skal inneholde følgende viktige elementer:</w:t>
      </w:r>
    </w:p>
    <w:p w14:paraId="1AB4D494" w14:textId="77777777" w:rsidR="00DF56D8" w:rsidRPr="00A942F6" w:rsidRDefault="00DF56D8" w:rsidP="00641834">
      <w:pPr>
        <w:pStyle w:val="Bullet1cm"/>
        <w:rPr>
          <w:lang w:val="nb-NO"/>
        </w:rPr>
      </w:pPr>
      <w:r w:rsidRPr="00A942F6">
        <w:rPr>
          <w:lang w:val="nb-NO"/>
        </w:rPr>
        <w:t>Forebygging av medisineringsfeil og injeksjon-/infusjonsrelaterte reaksjoner</w:t>
      </w:r>
    </w:p>
    <w:p w14:paraId="264BEC5D" w14:textId="77777777" w:rsidR="00DF56D8" w:rsidRPr="00A942F6" w:rsidRDefault="00DF56D8" w:rsidP="00641834">
      <w:pPr>
        <w:pStyle w:val="BulletInd1cm1cm"/>
        <w:rPr>
          <w:lang w:val="nb-NO"/>
        </w:rPr>
      </w:pPr>
      <w:r w:rsidRPr="00A942F6">
        <w:rPr>
          <w:lang w:val="nb-NO"/>
        </w:rPr>
        <w:t>Tilberedning av infusjonsvæske</w:t>
      </w:r>
    </w:p>
    <w:p w14:paraId="49B760E9" w14:textId="77777777" w:rsidR="00DF56D8" w:rsidRPr="00A942F6" w:rsidRDefault="00DF56D8" w:rsidP="00641834">
      <w:pPr>
        <w:pStyle w:val="BulletInd1cm1cm"/>
        <w:rPr>
          <w:lang w:val="nb-NO"/>
        </w:rPr>
      </w:pPr>
      <w:r w:rsidRPr="00A942F6">
        <w:rPr>
          <w:lang w:val="nb-NO"/>
        </w:rPr>
        <w:t>Infusjonshastighet</w:t>
      </w:r>
    </w:p>
    <w:p w14:paraId="1B0D9C2B" w14:textId="77777777" w:rsidR="00DF56D8" w:rsidRPr="00A942F6" w:rsidRDefault="00DF56D8" w:rsidP="00641834">
      <w:pPr>
        <w:pStyle w:val="Bullet1cm"/>
        <w:rPr>
          <w:lang w:val="nb-NO"/>
        </w:rPr>
      </w:pPr>
      <w:r w:rsidRPr="00A942F6">
        <w:rPr>
          <w:lang w:val="nb-NO"/>
        </w:rPr>
        <w:t>Monitorering av pasienten med hensyn på injeksjon-/infusjonsrelaterte reaksjoner</w:t>
      </w:r>
    </w:p>
    <w:p w14:paraId="742CE912" w14:textId="77777777" w:rsidR="00DF56D8" w:rsidRPr="00A942F6" w:rsidRDefault="00DF56D8" w:rsidP="00641834">
      <w:pPr>
        <w:pStyle w:val="Bullet1cm"/>
        <w:rPr>
          <w:lang w:val="nb-NO"/>
        </w:rPr>
      </w:pPr>
      <w:r w:rsidRPr="00A942F6">
        <w:rPr>
          <w:lang w:val="nb-NO"/>
        </w:rPr>
        <w:t>Beskrivelse av hvordan alvorlige bivirkninger rapporteres</w:t>
      </w:r>
    </w:p>
    <w:p w14:paraId="79F6545E" w14:textId="77777777" w:rsidR="00F723F3" w:rsidRPr="00A942F6" w:rsidRDefault="00F723F3" w:rsidP="00641834">
      <w:pPr>
        <w:rPr>
          <w:lang w:val="nb-NO"/>
        </w:rPr>
      </w:pPr>
    </w:p>
    <w:p w14:paraId="7A0F8BA9" w14:textId="77777777" w:rsidR="00DF56D8" w:rsidRPr="00A942F6" w:rsidRDefault="00DF56D8" w:rsidP="00641834">
      <w:pPr>
        <w:rPr>
          <w:lang w:val="nb-NO"/>
        </w:rPr>
      </w:pPr>
      <w:r w:rsidRPr="00A942F6">
        <w:rPr>
          <w:lang w:val="nb-NO"/>
        </w:rPr>
        <w:t>Informasjonspakken for pasienter skal inneholde følgende viktige elementer:</w:t>
      </w:r>
    </w:p>
    <w:p w14:paraId="416DD9CA" w14:textId="77777777" w:rsidR="00DF56D8" w:rsidRPr="00A942F6" w:rsidRDefault="00DF56D8" w:rsidP="00641834">
      <w:pPr>
        <w:pStyle w:val="Bullet1cm"/>
        <w:rPr>
          <w:lang w:val="nb-NO"/>
        </w:rPr>
      </w:pPr>
      <w:r w:rsidRPr="00A942F6">
        <w:rPr>
          <w:lang w:val="nb-NO"/>
        </w:rPr>
        <w:t>Pakningsvedlegg (med instruksjoner for s.c. bruk) ( f.eks. lenke til EMAs nettside)</w:t>
      </w:r>
    </w:p>
    <w:p w14:paraId="2E48FCEA" w14:textId="77777777" w:rsidR="00DF56D8" w:rsidRPr="00A942F6" w:rsidRDefault="00DF56D8" w:rsidP="00641834">
      <w:pPr>
        <w:pStyle w:val="Bullet1cm"/>
        <w:rPr>
          <w:lang w:val="nb-NO"/>
        </w:rPr>
      </w:pPr>
      <w:r w:rsidRPr="00A942F6">
        <w:rPr>
          <w:lang w:val="nb-NO"/>
        </w:rPr>
        <w:t>Pasientkort</w:t>
      </w:r>
    </w:p>
    <w:p w14:paraId="411B7161" w14:textId="77777777" w:rsidR="00F723F3" w:rsidRPr="00A942F6" w:rsidRDefault="00F723F3" w:rsidP="00641834">
      <w:pPr>
        <w:rPr>
          <w:lang w:val="nb-NO"/>
        </w:rPr>
      </w:pPr>
    </w:p>
    <w:p w14:paraId="54D95DF2" w14:textId="77777777" w:rsidR="00DF56D8" w:rsidRPr="00A942F6" w:rsidRDefault="00DF56D8" w:rsidP="00641834">
      <w:pPr>
        <w:pStyle w:val="Style2"/>
        <w:ind w:left="567" w:hanging="567"/>
        <w:rPr>
          <w:lang w:val="nb-NO"/>
        </w:rPr>
      </w:pPr>
      <w:r w:rsidRPr="00A942F6">
        <w:rPr>
          <w:lang w:val="nb-NO"/>
        </w:rPr>
        <w:t>poengtere risikoen for å få infeksjoner som kan bli alvorlige hvis de ikke behandles. I tillegg kan noen tildligere infeksjoner oppstå på ny.</w:t>
      </w:r>
    </w:p>
    <w:p w14:paraId="31F5E03C" w14:textId="670B750C" w:rsidR="00DF56D8" w:rsidRPr="00A942F6" w:rsidRDefault="00DF56D8" w:rsidP="00641834">
      <w:pPr>
        <w:pStyle w:val="Style2"/>
        <w:ind w:left="567" w:hanging="567"/>
        <w:rPr>
          <w:lang w:val="nb-NO"/>
        </w:rPr>
      </w:pPr>
      <w:r w:rsidRPr="00A942F6">
        <w:rPr>
          <w:lang w:val="nb-NO"/>
        </w:rPr>
        <w:lastRenderedPageBreak/>
        <w:t xml:space="preserve">poengtere at pasienter som bruker </w:t>
      </w:r>
      <w:r w:rsidR="00923E68" w:rsidRPr="00A942F6">
        <w:rPr>
          <w:lang w:val="nb-NO"/>
        </w:rPr>
        <w:t>Avtozma</w:t>
      </w:r>
      <w:r w:rsidRPr="00A942F6">
        <w:rPr>
          <w:lang w:val="nb-NO"/>
        </w:rPr>
        <w:t xml:space="preserve"> kan oppleve komplikasjoner med divertikulose som kan bli alvorlig hvis det ikke behandles.</w:t>
      </w:r>
    </w:p>
    <w:p w14:paraId="40A83709" w14:textId="3D963A75" w:rsidR="00DF56D8" w:rsidRPr="00A942F6" w:rsidRDefault="00DF56D8" w:rsidP="00641834">
      <w:pPr>
        <w:pStyle w:val="Style2"/>
        <w:ind w:left="567" w:hanging="567"/>
        <w:rPr>
          <w:lang w:val="nb-NO"/>
        </w:rPr>
      </w:pPr>
      <w:r w:rsidRPr="00A942F6">
        <w:rPr>
          <w:lang w:val="nb-NO"/>
        </w:rPr>
        <w:t xml:space="preserve">poengtere risikoen for at pasienter som bruker </w:t>
      </w:r>
      <w:r w:rsidR="00923E68" w:rsidRPr="00A942F6">
        <w:rPr>
          <w:lang w:val="nb-NO"/>
        </w:rPr>
        <w:t>Avtozma</w:t>
      </w:r>
      <w:r w:rsidRPr="00A942F6">
        <w:rPr>
          <w:lang w:val="nb-NO"/>
        </w:rPr>
        <w:t xml:space="preserve"> kan utvikle alvorlig leverskade. Pasientene monitoreres for leverfunksjon. Pasientene skal øyeblikkelig oppsøke lege ved tegn og symptomer på levertoksisitet, inkludert trøtthet, abdominalsmerter og gulsott.</w:t>
      </w:r>
    </w:p>
    <w:p w14:paraId="10543AED" w14:textId="77777777" w:rsidR="00DF56D8" w:rsidRPr="00A942F6" w:rsidRDefault="00DF56D8" w:rsidP="00641834">
      <w:pPr>
        <w:rPr>
          <w:lang w:val="nb-NO"/>
        </w:rPr>
      </w:pPr>
    </w:p>
    <w:p w14:paraId="0A6543BC" w14:textId="77777777" w:rsidR="00DF56D8" w:rsidRPr="00A942F6" w:rsidRDefault="00DF56D8" w:rsidP="00641834">
      <w:pPr>
        <w:rPr>
          <w:lang w:val="nb-NO"/>
        </w:rPr>
      </w:pPr>
      <w:r w:rsidRPr="00A942F6">
        <w:rPr>
          <w:lang w:val="nb-NO"/>
        </w:rPr>
        <w:br w:type="page"/>
      </w:r>
    </w:p>
    <w:p w14:paraId="69E42829" w14:textId="77777777" w:rsidR="00DF56D8" w:rsidRPr="00A942F6" w:rsidRDefault="00DF56D8" w:rsidP="00641834">
      <w:pPr>
        <w:rPr>
          <w:lang w:val="nb-NO"/>
        </w:rPr>
      </w:pPr>
    </w:p>
    <w:p w14:paraId="70E594D1" w14:textId="77777777" w:rsidR="00DF56D8" w:rsidRPr="00A942F6" w:rsidRDefault="00DF56D8" w:rsidP="00641834">
      <w:pPr>
        <w:rPr>
          <w:lang w:val="nb-NO"/>
        </w:rPr>
      </w:pPr>
    </w:p>
    <w:p w14:paraId="328B13A8" w14:textId="77777777" w:rsidR="00DF56D8" w:rsidRPr="00A942F6" w:rsidRDefault="00DF56D8" w:rsidP="00641834">
      <w:pPr>
        <w:rPr>
          <w:lang w:val="nb-NO"/>
        </w:rPr>
      </w:pPr>
    </w:p>
    <w:p w14:paraId="1C7DE615" w14:textId="77777777" w:rsidR="00DF56D8" w:rsidRPr="00A942F6" w:rsidRDefault="00DF56D8" w:rsidP="00641834">
      <w:pPr>
        <w:rPr>
          <w:lang w:val="nb-NO"/>
        </w:rPr>
      </w:pPr>
    </w:p>
    <w:p w14:paraId="24F06323" w14:textId="77777777" w:rsidR="00DF56D8" w:rsidRPr="00A942F6" w:rsidRDefault="00DF56D8" w:rsidP="00641834">
      <w:pPr>
        <w:rPr>
          <w:lang w:val="nb-NO"/>
        </w:rPr>
      </w:pPr>
    </w:p>
    <w:p w14:paraId="3517EF56" w14:textId="77777777" w:rsidR="00DF56D8" w:rsidRPr="00A942F6" w:rsidRDefault="00DF56D8" w:rsidP="00641834">
      <w:pPr>
        <w:rPr>
          <w:lang w:val="nb-NO"/>
        </w:rPr>
      </w:pPr>
    </w:p>
    <w:p w14:paraId="724583DD" w14:textId="77777777" w:rsidR="00DF56D8" w:rsidRPr="00A942F6" w:rsidRDefault="00DF56D8" w:rsidP="00641834">
      <w:pPr>
        <w:rPr>
          <w:lang w:val="nb-NO"/>
        </w:rPr>
      </w:pPr>
    </w:p>
    <w:p w14:paraId="6FE0BC61" w14:textId="77777777" w:rsidR="00DF56D8" w:rsidRPr="00A942F6" w:rsidRDefault="00DF56D8" w:rsidP="00641834">
      <w:pPr>
        <w:rPr>
          <w:lang w:val="nb-NO"/>
        </w:rPr>
      </w:pPr>
    </w:p>
    <w:p w14:paraId="1BA7C243" w14:textId="77777777" w:rsidR="00DF56D8" w:rsidRPr="00A942F6" w:rsidRDefault="00DF56D8" w:rsidP="00641834">
      <w:pPr>
        <w:rPr>
          <w:lang w:val="nb-NO"/>
        </w:rPr>
      </w:pPr>
    </w:p>
    <w:p w14:paraId="0DD442E9" w14:textId="77777777" w:rsidR="00DF56D8" w:rsidRPr="00A942F6" w:rsidRDefault="00DF56D8" w:rsidP="00641834">
      <w:pPr>
        <w:rPr>
          <w:lang w:val="nb-NO"/>
        </w:rPr>
      </w:pPr>
    </w:p>
    <w:p w14:paraId="23178B76" w14:textId="77777777" w:rsidR="00DF56D8" w:rsidRPr="00A942F6" w:rsidRDefault="00DF56D8" w:rsidP="00641834">
      <w:pPr>
        <w:rPr>
          <w:lang w:val="nb-NO"/>
        </w:rPr>
      </w:pPr>
    </w:p>
    <w:p w14:paraId="594DE4CA" w14:textId="77777777" w:rsidR="00DF56D8" w:rsidRPr="00A942F6" w:rsidRDefault="00DF56D8" w:rsidP="00641834">
      <w:pPr>
        <w:rPr>
          <w:lang w:val="nb-NO"/>
        </w:rPr>
      </w:pPr>
    </w:p>
    <w:p w14:paraId="1C4EF8B2" w14:textId="77777777" w:rsidR="00DF56D8" w:rsidRPr="00A942F6" w:rsidRDefault="00DF56D8" w:rsidP="00641834">
      <w:pPr>
        <w:rPr>
          <w:lang w:val="nb-NO"/>
        </w:rPr>
      </w:pPr>
    </w:p>
    <w:p w14:paraId="1CA779F1" w14:textId="77777777" w:rsidR="00DF56D8" w:rsidRPr="00A942F6" w:rsidRDefault="00DF56D8" w:rsidP="00641834">
      <w:pPr>
        <w:rPr>
          <w:lang w:val="nb-NO"/>
        </w:rPr>
      </w:pPr>
    </w:p>
    <w:p w14:paraId="5FFDCBA5" w14:textId="77777777" w:rsidR="00DF56D8" w:rsidRPr="00A942F6" w:rsidRDefault="00DF56D8" w:rsidP="00641834">
      <w:pPr>
        <w:rPr>
          <w:lang w:val="nb-NO"/>
        </w:rPr>
      </w:pPr>
    </w:p>
    <w:p w14:paraId="267A6284" w14:textId="77777777" w:rsidR="00DF56D8" w:rsidRPr="00A942F6" w:rsidRDefault="00DF56D8" w:rsidP="00641834">
      <w:pPr>
        <w:rPr>
          <w:lang w:val="nb-NO"/>
        </w:rPr>
      </w:pPr>
    </w:p>
    <w:p w14:paraId="4022392C" w14:textId="77777777" w:rsidR="00DF56D8" w:rsidRPr="00A942F6" w:rsidRDefault="00DF56D8" w:rsidP="00641834">
      <w:pPr>
        <w:rPr>
          <w:lang w:val="nb-NO"/>
        </w:rPr>
      </w:pPr>
    </w:p>
    <w:p w14:paraId="7BF810F1" w14:textId="77777777" w:rsidR="002155E9" w:rsidRPr="00A942F6" w:rsidRDefault="002155E9" w:rsidP="00641834">
      <w:pPr>
        <w:rPr>
          <w:lang w:val="nb-NO"/>
        </w:rPr>
      </w:pPr>
    </w:p>
    <w:p w14:paraId="76AEE416" w14:textId="77777777" w:rsidR="002155E9" w:rsidRPr="00A942F6" w:rsidRDefault="002155E9" w:rsidP="00641834">
      <w:pPr>
        <w:rPr>
          <w:lang w:val="nb-NO"/>
        </w:rPr>
      </w:pPr>
    </w:p>
    <w:p w14:paraId="2E71079F" w14:textId="77777777" w:rsidR="002155E9" w:rsidRPr="00A942F6" w:rsidRDefault="002155E9" w:rsidP="00641834">
      <w:pPr>
        <w:rPr>
          <w:lang w:val="nb-NO"/>
        </w:rPr>
      </w:pPr>
    </w:p>
    <w:p w14:paraId="413E1A54" w14:textId="77777777" w:rsidR="002155E9" w:rsidRPr="00A942F6" w:rsidRDefault="002155E9" w:rsidP="00641834">
      <w:pPr>
        <w:rPr>
          <w:lang w:val="nb-NO"/>
        </w:rPr>
      </w:pPr>
    </w:p>
    <w:p w14:paraId="0684F1DE" w14:textId="77777777" w:rsidR="00F723F3" w:rsidRPr="00A942F6" w:rsidRDefault="00F723F3" w:rsidP="00641834">
      <w:pPr>
        <w:rPr>
          <w:lang w:val="nb-NO"/>
        </w:rPr>
      </w:pPr>
    </w:p>
    <w:p w14:paraId="353F93F6" w14:textId="77777777" w:rsidR="00DF56D8" w:rsidRPr="00A942F6" w:rsidRDefault="00DF56D8" w:rsidP="00641834">
      <w:pPr>
        <w:pStyle w:val="Boldcenter"/>
        <w:rPr>
          <w:lang w:val="nb-NO"/>
        </w:rPr>
      </w:pPr>
      <w:r w:rsidRPr="00A942F6">
        <w:rPr>
          <w:lang w:val="nb-NO"/>
        </w:rPr>
        <w:t>VEDLEGG III</w:t>
      </w:r>
    </w:p>
    <w:p w14:paraId="631C14B0" w14:textId="77777777" w:rsidR="00DF56D8" w:rsidRPr="00A942F6" w:rsidRDefault="00DF56D8" w:rsidP="00641834">
      <w:pPr>
        <w:rPr>
          <w:lang w:val="nb-NO"/>
        </w:rPr>
      </w:pPr>
    </w:p>
    <w:p w14:paraId="4752995A" w14:textId="77777777" w:rsidR="00DF56D8" w:rsidRPr="00A942F6" w:rsidRDefault="00DF56D8" w:rsidP="00641834">
      <w:pPr>
        <w:pStyle w:val="Boldcenter"/>
        <w:rPr>
          <w:lang w:val="nb-NO"/>
        </w:rPr>
      </w:pPr>
      <w:r w:rsidRPr="00A942F6">
        <w:rPr>
          <w:lang w:val="nb-NO"/>
        </w:rPr>
        <w:t>MERKING OG PAKNINGSVEDLEGG</w:t>
      </w:r>
    </w:p>
    <w:p w14:paraId="46D1DD5F" w14:textId="77777777" w:rsidR="00DF56D8" w:rsidRPr="00A942F6" w:rsidRDefault="00DF56D8" w:rsidP="00641834">
      <w:pPr>
        <w:rPr>
          <w:lang w:val="nb-NO"/>
        </w:rPr>
      </w:pPr>
    </w:p>
    <w:p w14:paraId="7C2670E1" w14:textId="77777777" w:rsidR="00DF56D8" w:rsidRPr="00A942F6" w:rsidRDefault="00DF56D8" w:rsidP="00641834">
      <w:pPr>
        <w:rPr>
          <w:lang w:val="nb-NO"/>
        </w:rPr>
      </w:pPr>
      <w:r w:rsidRPr="00A942F6">
        <w:rPr>
          <w:lang w:val="nb-NO"/>
        </w:rPr>
        <w:br w:type="page"/>
      </w:r>
    </w:p>
    <w:p w14:paraId="69C5731A" w14:textId="77777777" w:rsidR="00DF56D8" w:rsidRPr="00A942F6" w:rsidRDefault="00DF56D8" w:rsidP="00641834">
      <w:pPr>
        <w:rPr>
          <w:lang w:val="nb-NO"/>
        </w:rPr>
      </w:pPr>
    </w:p>
    <w:p w14:paraId="56DDA6F4" w14:textId="77777777" w:rsidR="00DF56D8" w:rsidRPr="00A942F6" w:rsidRDefault="00DF56D8" w:rsidP="00641834">
      <w:pPr>
        <w:rPr>
          <w:lang w:val="nb-NO"/>
        </w:rPr>
      </w:pPr>
    </w:p>
    <w:p w14:paraId="105AB7CF" w14:textId="77777777" w:rsidR="00DF56D8" w:rsidRPr="00A942F6" w:rsidRDefault="00DF56D8" w:rsidP="00641834">
      <w:pPr>
        <w:rPr>
          <w:lang w:val="nb-NO"/>
        </w:rPr>
      </w:pPr>
    </w:p>
    <w:p w14:paraId="034A3986" w14:textId="77777777" w:rsidR="00DF56D8" w:rsidRPr="00A942F6" w:rsidRDefault="00DF56D8" w:rsidP="00641834">
      <w:pPr>
        <w:rPr>
          <w:lang w:val="nb-NO"/>
        </w:rPr>
      </w:pPr>
    </w:p>
    <w:p w14:paraId="518D7B6E" w14:textId="77777777" w:rsidR="00DF56D8" w:rsidRPr="00A942F6" w:rsidRDefault="00DF56D8" w:rsidP="00641834">
      <w:pPr>
        <w:rPr>
          <w:lang w:val="nb-NO"/>
        </w:rPr>
      </w:pPr>
    </w:p>
    <w:p w14:paraId="3BC51C2E" w14:textId="77777777" w:rsidR="00DF56D8" w:rsidRPr="00A942F6" w:rsidRDefault="00DF56D8" w:rsidP="00641834">
      <w:pPr>
        <w:rPr>
          <w:lang w:val="nb-NO"/>
        </w:rPr>
      </w:pPr>
    </w:p>
    <w:p w14:paraId="13D6ECCD" w14:textId="77777777" w:rsidR="00DF56D8" w:rsidRPr="00A942F6" w:rsidRDefault="00DF56D8" w:rsidP="00641834">
      <w:pPr>
        <w:rPr>
          <w:lang w:val="nb-NO"/>
        </w:rPr>
      </w:pPr>
    </w:p>
    <w:p w14:paraId="37473104" w14:textId="77777777" w:rsidR="00DF56D8" w:rsidRPr="00A942F6" w:rsidRDefault="00DF56D8" w:rsidP="00641834">
      <w:pPr>
        <w:rPr>
          <w:lang w:val="nb-NO"/>
        </w:rPr>
      </w:pPr>
    </w:p>
    <w:p w14:paraId="4130374D" w14:textId="77777777" w:rsidR="00DF56D8" w:rsidRPr="00A942F6" w:rsidRDefault="00DF56D8" w:rsidP="00641834">
      <w:pPr>
        <w:rPr>
          <w:lang w:val="nb-NO"/>
        </w:rPr>
      </w:pPr>
    </w:p>
    <w:p w14:paraId="71C65E6F" w14:textId="77777777" w:rsidR="00DF56D8" w:rsidRPr="00A942F6" w:rsidRDefault="00DF56D8" w:rsidP="00641834">
      <w:pPr>
        <w:rPr>
          <w:lang w:val="nb-NO"/>
        </w:rPr>
      </w:pPr>
    </w:p>
    <w:p w14:paraId="6221C3E1" w14:textId="77777777" w:rsidR="00DF56D8" w:rsidRPr="00A942F6" w:rsidRDefault="00DF56D8" w:rsidP="00641834">
      <w:pPr>
        <w:rPr>
          <w:lang w:val="nb-NO"/>
        </w:rPr>
      </w:pPr>
    </w:p>
    <w:p w14:paraId="44647CCF" w14:textId="77777777" w:rsidR="00DF56D8" w:rsidRPr="00A942F6" w:rsidRDefault="00DF56D8" w:rsidP="00641834">
      <w:pPr>
        <w:rPr>
          <w:lang w:val="nb-NO"/>
        </w:rPr>
      </w:pPr>
    </w:p>
    <w:p w14:paraId="5E14E485" w14:textId="77777777" w:rsidR="00DF56D8" w:rsidRPr="00A942F6" w:rsidRDefault="00DF56D8" w:rsidP="00641834">
      <w:pPr>
        <w:rPr>
          <w:lang w:val="nb-NO"/>
        </w:rPr>
      </w:pPr>
    </w:p>
    <w:p w14:paraId="628F9B8E" w14:textId="77777777" w:rsidR="00DF56D8" w:rsidRPr="00A942F6" w:rsidRDefault="00DF56D8" w:rsidP="00641834">
      <w:pPr>
        <w:rPr>
          <w:lang w:val="nb-NO"/>
        </w:rPr>
      </w:pPr>
    </w:p>
    <w:p w14:paraId="3A4F7D3D" w14:textId="77777777" w:rsidR="00DF56D8" w:rsidRPr="00A942F6" w:rsidRDefault="00DF56D8" w:rsidP="00641834">
      <w:pPr>
        <w:rPr>
          <w:lang w:val="nb-NO"/>
        </w:rPr>
      </w:pPr>
    </w:p>
    <w:p w14:paraId="16846128" w14:textId="77777777" w:rsidR="00DF56D8" w:rsidRPr="00A942F6" w:rsidRDefault="00DF56D8" w:rsidP="00641834">
      <w:pPr>
        <w:rPr>
          <w:lang w:val="nb-NO"/>
        </w:rPr>
      </w:pPr>
    </w:p>
    <w:p w14:paraId="6F9006C2" w14:textId="77777777" w:rsidR="00DF56D8" w:rsidRPr="00A942F6" w:rsidRDefault="00DF56D8" w:rsidP="00641834">
      <w:pPr>
        <w:rPr>
          <w:lang w:val="nb-NO"/>
        </w:rPr>
      </w:pPr>
    </w:p>
    <w:p w14:paraId="03602868" w14:textId="77777777" w:rsidR="00DF56D8" w:rsidRPr="00A942F6" w:rsidRDefault="00DF56D8" w:rsidP="00641834">
      <w:pPr>
        <w:rPr>
          <w:lang w:val="nb-NO"/>
        </w:rPr>
      </w:pPr>
    </w:p>
    <w:p w14:paraId="1AFACEDD" w14:textId="77777777" w:rsidR="002155E9" w:rsidRPr="00A942F6" w:rsidRDefault="002155E9" w:rsidP="00641834">
      <w:pPr>
        <w:rPr>
          <w:lang w:val="nb-NO"/>
        </w:rPr>
      </w:pPr>
    </w:p>
    <w:p w14:paraId="22DEA6CA" w14:textId="77777777" w:rsidR="002155E9" w:rsidRPr="00A942F6" w:rsidRDefault="002155E9" w:rsidP="00641834">
      <w:pPr>
        <w:rPr>
          <w:lang w:val="nb-NO"/>
        </w:rPr>
      </w:pPr>
    </w:p>
    <w:p w14:paraId="52B15731" w14:textId="77777777" w:rsidR="002155E9" w:rsidRPr="00A942F6" w:rsidRDefault="002155E9" w:rsidP="00641834">
      <w:pPr>
        <w:rPr>
          <w:lang w:val="nb-NO"/>
        </w:rPr>
      </w:pPr>
    </w:p>
    <w:p w14:paraId="786ADB66" w14:textId="77777777" w:rsidR="00F723F3" w:rsidRPr="00A942F6" w:rsidRDefault="00F723F3" w:rsidP="00641834">
      <w:pPr>
        <w:rPr>
          <w:lang w:val="nb-NO"/>
        </w:rPr>
      </w:pPr>
    </w:p>
    <w:p w14:paraId="366FC7C6" w14:textId="77777777" w:rsidR="00DF56D8" w:rsidRPr="00A942F6" w:rsidRDefault="00E31057" w:rsidP="00641834">
      <w:pPr>
        <w:pStyle w:val="1"/>
        <w:jc w:val="center"/>
        <w:rPr>
          <w:lang w:val="nb-NO"/>
        </w:rPr>
      </w:pPr>
      <w:r w:rsidRPr="00A942F6">
        <w:rPr>
          <w:lang w:val="nb-NO"/>
        </w:rPr>
        <w:t xml:space="preserve">A. </w:t>
      </w:r>
      <w:r w:rsidR="00DF56D8" w:rsidRPr="00A942F6">
        <w:rPr>
          <w:lang w:val="nb-NO"/>
        </w:rPr>
        <w:t>MERKING</w:t>
      </w:r>
    </w:p>
    <w:p w14:paraId="794FCA2C" w14:textId="77777777" w:rsidR="00DF56D8" w:rsidRPr="00A942F6" w:rsidRDefault="00DF56D8" w:rsidP="00641834">
      <w:pPr>
        <w:rPr>
          <w:lang w:val="nb-NO"/>
        </w:rPr>
      </w:pPr>
    </w:p>
    <w:p w14:paraId="36678252" w14:textId="2530B498" w:rsidR="00C77BE2" w:rsidRPr="00A942F6" w:rsidRDefault="00DF56D8" w:rsidP="0036729A">
      <w:pPr>
        <w:pBdr>
          <w:top w:val="single" w:sz="4" w:space="1" w:color="auto"/>
          <w:left w:val="single" w:sz="4" w:space="4" w:color="auto"/>
          <w:bottom w:val="single" w:sz="4" w:space="1" w:color="auto"/>
          <w:right w:val="single" w:sz="4" w:space="4" w:color="auto"/>
        </w:pBdr>
        <w:rPr>
          <w:b/>
          <w:lang w:val="nb-NO"/>
        </w:rPr>
      </w:pPr>
      <w:r w:rsidRPr="00A942F6">
        <w:rPr>
          <w:lang w:val="nb-NO"/>
        </w:rPr>
        <w:br w:type="page"/>
      </w:r>
      <w:r w:rsidR="00C77BE2" w:rsidRPr="00A942F6">
        <w:rPr>
          <w:b/>
          <w:lang w:val="nb-NO"/>
        </w:rPr>
        <w:lastRenderedPageBreak/>
        <w:t>OPPLYSNINGER, SOM SKAL ANGIS PÅ YTRE EMBALLASJE</w:t>
      </w:r>
    </w:p>
    <w:p w14:paraId="3BFF6559" w14:textId="77777777" w:rsidR="00FD7DE6" w:rsidRPr="00A942F6" w:rsidRDefault="00FD7DE6" w:rsidP="00641834">
      <w:pPr>
        <w:pBdr>
          <w:top w:val="single" w:sz="4" w:space="1" w:color="auto"/>
          <w:left w:val="single" w:sz="4" w:space="4" w:color="auto"/>
          <w:bottom w:val="single" w:sz="4" w:space="1" w:color="auto"/>
          <w:right w:val="single" w:sz="4" w:space="4" w:color="auto"/>
        </w:pBdr>
        <w:rPr>
          <w:b/>
          <w:lang w:val="nb-NO"/>
        </w:rPr>
      </w:pPr>
    </w:p>
    <w:p w14:paraId="4FDFCDD7" w14:textId="77777777" w:rsidR="00C77BE2" w:rsidRPr="00A942F6" w:rsidRDefault="00C77BE2"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w:t>
      </w:r>
    </w:p>
    <w:p w14:paraId="57E88805" w14:textId="77777777" w:rsidR="004A425F" w:rsidRPr="00A942F6" w:rsidRDefault="004A425F" w:rsidP="00641834">
      <w:pPr>
        <w:pStyle w:val="a4"/>
        <w:ind w:left="0"/>
        <w:rPr>
          <w:b/>
          <w:lang w:val="nb-NO"/>
        </w:rPr>
      </w:pPr>
    </w:p>
    <w:p w14:paraId="0EB71CA2" w14:textId="77777777" w:rsidR="00C77BE2" w:rsidRPr="00A942F6" w:rsidRDefault="00C77BE2" w:rsidP="00641834">
      <w:pPr>
        <w:pStyle w:val="a4"/>
        <w:ind w:left="0"/>
        <w:rPr>
          <w:lang w:val="nb-NO"/>
        </w:rPr>
      </w:pPr>
    </w:p>
    <w:p w14:paraId="21D22D26"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171ACA6C" w14:textId="77777777" w:rsidR="00C77BE2" w:rsidRPr="00A942F6" w:rsidRDefault="00C77BE2" w:rsidP="00641834">
      <w:pPr>
        <w:tabs>
          <w:tab w:val="left" w:pos="669"/>
        </w:tabs>
        <w:rPr>
          <w:b/>
          <w:lang w:val="nb-NO"/>
        </w:rPr>
      </w:pPr>
    </w:p>
    <w:p w14:paraId="79D44CE0" w14:textId="474D5FF6" w:rsidR="00875DFA" w:rsidRPr="00A942F6" w:rsidRDefault="00923E68" w:rsidP="00641834">
      <w:pPr>
        <w:pStyle w:val="a4"/>
        <w:ind w:left="0"/>
        <w:rPr>
          <w:lang w:val="nb-NO"/>
        </w:rPr>
      </w:pPr>
      <w:r w:rsidRPr="00A942F6">
        <w:rPr>
          <w:lang w:val="nb-NO"/>
        </w:rPr>
        <w:t>Avtozma</w:t>
      </w:r>
      <w:r w:rsidR="004A425F" w:rsidRPr="00A942F6">
        <w:rPr>
          <w:lang w:val="nb-NO"/>
        </w:rPr>
        <w:t xml:space="preserve"> 20 mg/ml konsentrat til infusjonsvæske, </w:t>
      </w:r>
      <w:r w:rsidR="00875DFA" w:rsidRPr="00A942F6">
        <w:rPr>
          <w:lang w:val="nb-NO"/>
        </w:rPr>
        <w:t>oppløsning</w:t>
      </w:r>
    </w:p>
    <w:p w14:paraId="60961DB1" w14:textId="77777777" w:rsidR="004A425F" w:rsidRPr="00A942F6" w:rsidRDefault="004A425F" w:rsidP="00641834">
      <w:pPr>
        <w:pStyle w:val="a4"/>
        <w:ind w:left="0"/>
        <w:rPr>
          <w:lang w:val="nb-NO"/>
        </w:rPr>
      </w:pPr>
      <w:r w:rsidRPr="00A942F6">
        <w:rPr>
          <w:lang w:val="nb-NO"/>
        </w:rPr>
        <w:t>tocilizumab</w:t>
      </w:r>
    </w:p>
    <w:p w14:paraId="79FDF3ED" w14:textId="77777777" w:rsidR="004A425F" w:rsidRPr="00A942F6" w:rsidRDefault="004A425F" w:rsidP="00641834">
      <w:pPr>
        <w:pStyle w:val="a4"/>
        <w:ind w:left="0"/>
        <w:rPr>
          <w:lang w:val="nb-NO"/>
        </w:rPr>
      </w:pPr>
    </w:p>
    <w:p w14:paraId="1E83C921" w14:textId="77777777" w:rsidR="004A425F" w:rsidRPr="00A942F6" w:rsidRDefault="004A425F" w:rsidP="00641834">
      <w:pPr>
        <w:pStyle w:val="a4"/>
        <w:ind w:left="0"/>
        <w:rPr>
          <w:lang w:val="nb-NO"/>
        </w:rPr>
      </w:pPr>
    </w:p>
    <w:p w14:paraId="40C7BE8C"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49E5C63E" w14:textId="77777777" w:rsidR="00C77BE2" w:rsidRPr="00A942F6" w:rsidRDefault="00C77BE2" w:rsidP="00641834">
      <w:pPr>
        <w:pStyle w:val="a4"/>
        <w:ind w:left="0"/>
        <w:rPr>
          <w:lang w:val="nb-NO"/>
        </w:rPr>
      </w:pPr>
    </w:p>
    <w:p w14:paraId="0EF31A02" w14:textId="77777777" w:rsidR="004A425F" w:rsidRPr="00A942F6" w:rsidRDefault="004A425F" w:rsidP="00641834">
      <w:pPr>
        <w:pStyle w:val="a4"/>
        <w:ind w:left="0"/>
        <w:rPr>
          <w:lang w:val="nb-NO"/>
        </w:rPr>
      </w:pPr>
      <w:r w:rsidRPr="00A942F6">
        <w:rPr>
          <w:lang w:val="nb-NO"/>
        </w:rPr>
        <w:t>1 hetteglass inneholder 80 mg tocilizumab.</w:t>
      </w:r>
    </w:p>
    <w:p w14:paraId="1F397E45" w14:textId="77777777" w:rsidR="004A425F" w:rsidRPr="00A942F6" w:rsidRDefault="004A425F" w:rsidP="00641834">
      <w:pPr>
        <w:pStyle w:val="a4"/>
        <w:ind w:left="0"/>
        <w:rPr>
          <w:lang w:val="nb-NO"/>
        </w:rPr>
      </w:pPr>
    </w:p>
    <w:p w14:paraId="7BADD1BD" w14:textId="77777777" w:rsidR="004A425F" w:rsidRPr="00A942F6" w:rsidRDefault="004A425F" w:rsidP="00641834">
      <w:pPr>
        <w:pStyle w:val="a4"/>
        <w:ind w:left="0"/>
        <w:rPr>
          <w:lang w:val="nb-NO"/>
        </w:rPr>
      </w:pPr>
    </w:p>
    <w:p w14:paraId="56543419"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775F8768" w14:textId="77777777" w:rsidR="00C77BE2" w:rsidRPr="00A942F6" w:rsidRDefault="00C77BE2" w:rsidP="00641834">
      <w:pPr>
        <w:pStyle w:val="a4"/>
        <w:ind w:left="0"/>
        <w:rPr>
          <w:lang w:val="nb-NO"/>
        </w:rPr>
      </w:pPr>
    </w:p>
    <w:p w14:paraId="26DAA94D" w14:textId="6A1B16FC" w:rsidR="00CB7D04" w:rsidRPr="00A942F6" w:rsidRDefault="00CB7D04" w:rsidP="00641834">
      <w:pPr>
        <w:pStyle w:val="a4"/>
        <w:ind w:left="0"/>
        <w:rPr>
          <w:lang w:val="nb-NO"/>
        </w:rPr>
      </w:pPr>
      <w:r w:rsidRPr="00A942F6">
        <w:rPr>
          <w:lang w:val="nb-NO"/>
        </w:rPr>
        <w:t>Hjelpestoffer: L</w:t>
      </w:r>
      <w:r w:rsidR="00B07034">
        <w:rPr>
          <w:lang w:val="nb-NO"/>
        </w:rPr>
        <w:noBreakHyphen/>
      </w:r>
      <w:r w:rsidRPr="00A942F6">
        <w:rPr>
          <w:lang w:val="nb-NO"/>
        </w:rPr>
        <w:t xml:space="preserve">histidin, </w:t>
      </w:r>
      <w:r w:rsidR="001B685D" w:rsidRPr="001B685D">
        <w:rPr>
          <w:rFonts w:eastAsia="맑은 고딕"/>
          <w:lang w:val="en-US" w:eastAsia="ko-KR"/>
        </w:rPr>
        <w:t>L-histidin monohydroklorid monohydrat</w:t>
      </w:r>
      <w:r w:rsidR="00220441" w:rsidRPr="00BD4D94">
        <w:rPr>
          <w:lang w:val="nb-NO"/>
        </w:rPr>
        <w:t>,</w:t>
      </w:r>
      <w:r w:rsidR="00220441" w:rsidRPr="00BD4D94">
        <w:rPr>
          <w:rFonts w:eastAsia="맑은 고딕"/>
          <w:lang w:val="nb-NO" w:eastAsia="ko-KR"/>
        </w:rPr>
        <w:t xml:space="preserve"> </w:t>
      </w:r>
      <w:r w:rsidRPr="00A942F6">
        <w:rPr>
          <w:lang w:val="nb-NO"/>
        </w:rPr>
        <w:t>L</w:t>
      </w:r>
      <w:r w:rsidR="00B07034">
        <w:rPr>
          <w:lang w:val="nb-NO"/>
        </w:rPr>
        <w:noBreakHyphen/>
        <w:t>treonin, L</w:t>
      </w:r>
      <w:r w:rsidR="00B07034">
        <w:rPr>
          <w:lang w:val="nb-NO"/>
        </w:rPr>
        <w:noBreakHyphen/>
      </w:r>
      <w:r w:rsidRPr="00A942F6">
        <w:rPr>
          <w:lang w:val="nb-NO"/>
        </w:rPr>
        <w:t>metionin, polysorbat 80 og vann til injeksjonsvæsker.</w:t>
      </w:r>
    </w:p>
    <w:p w14:paraId="2D9DC704" w14:textId="7E6748D0" w:rsidR="004A425F" w:rsidRPr="00A942F6" w:rsidRDefault="004A425F" w:rsidP="00641834">
      <w:pPr>
        <w:pStyle w:val="a4"/>
        <w:ind w:left="0"/>
        <w:rPr>
          <w:lang w:val="nb-NO"/>
        </w:rPr>
      </w:pPr>
      <w:r w:rsidRPr="00A942F6">
        <w:rPr>
          <w:lang w:val="nb-NO"/>
        </w:rPr>
        <w:t>Se pakningsvedlegget for ytterligere informasjon.</w:t>
      </w:r>
    </w:p>
    <w:p w14:paraId="18E8A857" w14:textId="77777777" w:rsidR="004A425F" w:rsidRPr="00A942F6" w:rsidRDefault="004A425F" w:rsidP="00641834">
      <w:pPr>
        <w:pStyle w:val="a4"/>
        <w:ind w:left="0"/>
        <w:rPr>
          <w:lang w:val="nb-NO"/>
        </w:rPr>
      </w:pPr>
    </w:p>
    <w:p w14:paraId="308EDAD0" w14:textId="77777777" w:rsidR="004A425F" w:rsidRPr="00A942F6" w:rsidRDefault="004A425F" w:rsidP="00641834">
      <w:pPr>
        <w:pStyle w:val="a4"/>
        <w:ind w:left="0"/>
        <w:rPr>
          <w:lang w:val="nb-NO"/>
        </w:rPr>
      </w:pPr>
    </w:p>
    <w:p w14:paraId="736D22CB"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3CDCBFA8" w14:textId="77777777" w:rsidR="00C77BE2" w:rsidRPr="00A942F6" w:rsidRDefault="00C77BE2" w:rsidP="00641834">
      <w:pPr>
        <w:pStyle w:val="a4"/>
        <w:ind w:left="0"/>
        <w:rPr>
          <w:lang w:val="nb-NO"/>
        </w:rPr>
      </w:pPr>
    </w:p>
    <w:p w14:paraId="7BB157E2" w14:textId="77777777" w:rsidR="00F723F3" w:rsidRPr="00A942F6" w:rsidRDefault="004A425F" w:rsidP="00641834">
      <w:pPr>
        <w:pStyle w:val="a4"/>
        <w:ind w:left="0"/>
        <w:rPr>
          <w:lang w:val="nb-NO"/>
        </w:rPr>
      </w:pPr>
      <w:r w:rsidRPr="00A942F6">
        <w:rPr>
          <w:lang w:val="nb-NO"/>
        </w:rPr>
        <w:t>Konsentrat</w:t>
      </w:r>
      <w:r w:rsidR="00F723F3" w:rsidRPr="00A942F6">
        <w:rPr>
          <w:lang w:val="nb-NO"/>
        </w:rPr>
        <w:t xml:space="preserve"> til infusjonsvæske, oppløsning</w:t>
      </w:r>
    </w:p>
    <w:p w14:paraId="5D8580B8" w14:textId="77777777" w:rsidR="004A425F" w:rsidRPr="009B40A5" w:rsidRDefault="004A425F" w:rsidP="00641834">
      <w:pPr>
        <w:pStyle w:val="a4"/>
        <w:ind w:left="0"/>
        <w:rPr>
          <w:lang w:val="sv-SE"/>
        </w:rPr>
      </w:pPr>
      <w:r w:rsidRPr="009B40A5">
        <w:rPr>
          <w:lang w:val="sv-SE"/>
        </w:rPr>
        <w:t>80 mg/4 ml</w:t>
      </w:r>
    </w:p>
    <w:p w14:paraId="65A80A5A" w14:textId="77777777" w:rsidR="004A425F" w:rsidRPr="009B40A5" w:rsidRDefault="004A425F" w:rsidP="00641834">
      <w:pPr>
        <w:pStyle w:val="a4"/>
        <w:ind w:left="0"/>
        <w:rPr>
          <w:lang w:val="sv-SE"/>
        </w:rPr>
      </w:pPr>
      <w:r w:rsidRPr="009B40A5">
        <w:rPr>
          <w:lang w:val="sv-SE"/>
        </w:rPr>
        <w:t>1 hetteglass á 4 ml</w:t>
      </w:r>
    </w:p>
    <w:p w14:paraId="7AA21408" w14:textId="77777777" w:rsidR="004A425F" w:rsidRPr="009B40A5" w:rsidRDefault="004A425F" w:rsidP="00641834">
      <w:pPr>
        <w:pStyle w:val="a4"/>
        <w:ind w:left="0"/>
        <w:rPr>
          <w:lang w:val="sv-SE"/>
        </w:rPr>
      </w:pPr>
      <w:r w:rsidRPr="009B40A5">
        <w:rPr>
          <w:lang w:val="sv-SE"/>
        </w:rPr>
        <w:t>4 hetteglass á 4 ml</w:t>
      </w:r>
    </w:p>
    <w:p w14:paraId="36E761FB" w14:textId="77777777" w:rsidR="004A425F" w:rsidRPr="009B40A5" w:rsidRDefault="004A425F" w:rsidP="00641834">
      <w:pPr>
        <w:pStyle w:val="a4"/>
        <w:ind w:left="0"/>
        <w:rPr>
          <w:lang w:val="sv-SE"/>
        </w:rPr>
      </w:pPr>
    </w:p>
    <w:p w14:paraId="65A6A363" w14:textId="77777777" w:rsidR="004A425F" w:rsidRPr="009B40A5" w:rsidRDefault="004A425F" w:rsidP="00641834">
      <w:pPr>
        <w:pStyle w:val="a4"/>
        <w:ind w:left="0"/>
        <w:rPr>
          <w:lang w:val="sv-SE"/>
        </w:rPr>
      </w:pPr>
    </w:p>
    <w:p w14:paraId="44D6F890"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060A7FDD" w14:textId="77777777" w:rsidR="00C77BE2" w:rsidRPr="00A942F6" w:rsidRDefault="00C77BE2" w:rsidP="00641834">
      <w:pPr>
        <w:pStyle w:val="a4"/>
        <w:ind w:left="0"/>
        <w:rPr>
          <w:lang w:val="nb-NO"/>
        </w:rPr>
      </w:pPr>
    </w:p>
    <w:p w14:paraId="5BD7E2B4" w14:textId="77777777" w:rsidR="004A425F" w:rsidRPr="00A942F6" w:rsidRDefault="004A425F" w:rsidP="00641834">
      <w:pPr>
        <w:pStyle w:val="a4"/>
        <w:ind w:left="0"/>
        <w:rPr>
          <w:lang w:val="nb-NO"/>
        </w:rPr>
      </w:pPr>
      <w:r w:rsidRPr="00A942F6">
        <w:rPr>
          <w:lang w:val="nb-NO"/>
        </w:rPr>
        <w:t>Til intravenøs infusjon etter fortynning</w:t>
      </w:r>
    </w:p>
    <w:p w14:paraId="0420EDAF" w14:textId="77777777" w:rsidR="00CE3DBA" w:rsidRPr="00A942F6" w:rsidRDefault="004A425F" w:rsidP="00641834">
      <w:pPr>
        <w:pStyle w:val="a4"/>
        <w:ind w:left="0"/>
        <w:rPr>
          <w:lang w:val="nb-NO"/>
        </w:rPr>
      </w:pPr>
      <w:r w:rsidRPr="00A942F6">
        <w:rPr>
          <w:lang w:val="nb-NO"/>
        </w:rPr>
        <w:t xml:space="preserve">Det fortynnede produktet bør brukes </w:t>
      </w:r>
      <w:r w:rsidR="00CE3DBA" w:rsidRPr="00A942F6">
        <w:rPr>
          <w:lang w:val="nb-NO"/>
        </w:rPr>
        <w:t>umiddelbart</w:t>
      </w:r>
    </w:p>
    <w:p w14:paraId="7E4B0153" w14:textId="77777777" w:rsidR="004A425F" w:rsidRPr="00A942F6" w:rsidRDefault="004A425F" w:rsidP="00641834">
      <w:pPr>
        <w:pStyle w:val="a4"/>
        <w:ind w:left="0"/>
        <w:rPr>
          <w:lang w:val="nb-NO"/>
        </w:rPr>
      </w:pPr>
      <w:r w:rsidRPr="00A942F6">
        <w:rPr>
          <w:lang w:val="nb-NO"/>
        </w:rPr>
        <w:t>Les pakningsvedlegget før bruk</w:t>
      </w:r>
    </w:p>
    <w:p w14:paraId="1E7EDA8B" w14:textId="77777777" w:rsidR="004A425F" w:rsidRPr="00A942F6" w:rsidRDefault="004A425F" w:rsidP="00641834">
      <w:pPr>
        <w:pStyle w:val="a4"/>
        <w:ind w:left="0"/>
        <w:rPr>
          <w:lang w:val="nb-NO"/>
        </w:rPr>
      </w:pPr>
    </w:p>
    <w:p w14:paraId="0392D70C" w14:textId="77777777" w:rsidR="00C77BE2" w:rsidRPr="00A942F6" w:rsidRDefault="00C77BE2" w:rsidP="00641834">
      <w:pPr>
        <w:pStyle w:val="a4"/>
        <w:ind w:left="0"/>
        <w:rPr>
          <w:lang w:val="nb-NO"/>
        </w:rPr>
      </w:pPr>
    </w:p>
    <w:p w14:paraId="3350A4F4" w14:textId="77777777" w:rsidR="00C77BE2" w:rsidRPr="00A942F6" w:rsidRDefault="00C77BE2"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t>ADVARSEL OM AT LEGEMIDLET SKAL OPPBEVARES UTILGJENGELIG FOR BARN</w:t>
      </w:r>
    </w:p>
    <w:p w14:paraId="37D4E3F5" w14:textId="77777777" w:rsidR="004A425F" w:rsidRPr="00A942F6" w:rsidRDefault="004A425F" w:rsidP="00641834">
      <w:pPr>
        <w:pStyle w:val="a4"/>
        <w:ind w:left="0"/>
        <w:rPr>
          <w:lang w:val="nb-NO"/>
        </w:rPr>
      </w:pPr>
    </w:p>
    <w:p w14:paraId="7D39F422" w14:textId="77777777" w:rsidR="004A425F" w:rsidRPr="00A942F6" w:rsidRDefault="004A425F" w:rsidP="00641834">
      <w:pPr>
        <w:pStyle w:val="a4"/>
        <w:ind w:left="0"/>
        <w:rPr>
          <w:lang w:val="nb-NO"/>
        </w:rPr>
      </w:pPr>
      <w:r w:rsidRPr="00A942F6">
        <w:rPr>
          <w:lang w:val="nb-NO"/>
        </w:rPr>
        <w:t>Oppbevares utilgjengelig for barn</w:t>
      </w:r>
    </w:p>
    <w:p w14:paraId="3357BD28" w14:textId="77777777" w:rsidR="004A425F" w:rsidRPr="00A942F6" w:rsidRDefault="004A425F" w:rsidP="00641834">
      <w:pPr>
        <w:pStyle w:val="a4"/>
        <w:ind w:left="0"/>
        <w:rPr>
          <w:lang w:val="nb-NO"/>
        </w:rPr>
      </w:pPr>
    </w:p>
    <w:p w14:paraId="4800644C" w14:textId="77777777" w:rsidR="00C77BE2" w:rsidRPr="00A942F6" w:rsidRDefault="00C77BE2" w:rsidP="00641834">
      <w:pPr>
        <w:pStyle w:val="a4"/>
        <w:ind w:left="0"/>
        <w:rPr>
          <w:lang w:val="nb-NO"/>
        </w:rPr>
      </w:pPr>
    </w:p>
    <w:p w14:paraId="52149D5C"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7BE5C5E2" w14:textId="77777777" w:rsidR="004A425F" w:rsidRPr="00A942F6" w:rsidRDefault="004A425F" w:rsidP="00641834">
      <w:pPr>
        <w:pStyle w:val="a4"/>
        <w:ind w:left="0"/>
        <w:rPr>
          <w:lang w:val="nb-NO"/>
        </w:rPr>
      </w:pPr>
    </w:p>
    <w:p w14:paraId="38E56BC8" w14:textId="77777777" w:rsidR="00C77BE2" w:rsidRPr="00A942F6" w:rsidRDefault="00C77BE2" w:rsidP="00641834">
      <w:pPr>
        <w:tabs>
          <w:tab w:val="left" w:pos="669"/>
        </w:tabs>
        <w:rPr>
          <w:b/>
          <w:lang w:val="nb-NO"/>
        </w:rPr>
      </w:pPr>
    </w:p>
    <w:p w14:paraId="5464BB16"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376A1641" w14:textId="77777777" w:rsidR="004A425F" w:rsidRPr="00A942F6" w:rsidRDefault="004A425F" w:rsidP="00641834">
      <w:pPr>
        <w:pStyle w:val="a4"/>
        <w:ind w:left="0"/>
        <w:rPr>
          <w:lang w:val="nb-NO"/>
        </w:rPr>
      </w:pPr>
    </w:p>
    <w:p w14:paraId="7BE49E97" w14:textId="77777777" w:rsidR="004A425F" w:rsidRPr="00A942F6" w:rsidRDefault="004A425F" w:rsidP="00641834">
      <w:pPr>
        <w:pStyle w:val="a4"/>
        <w:ind w:left="0"/>
        <w:rPr>
          <w:lang w:val="nb-NO"/>
        </w:rPr>
      </w:pPr>
      <w:r w:rsidRPr="00A942F6">
        <w:rPr>
          <w:lang w:val="nb-NO"/>
        </w:rPr>
        <w:t>EXP</w:t>
      </w:r>
    </w:p>
    <w:p w14:paraId="0CA5050A" w14:textId="77777777" w:rsidR="004A425F" w:rsidRPr="00A942F6" w:rsidRDefault="004A425F" w:rsidP="00641834">
      <w:pPr>
        <w:pStyle w:val="a4"/>
        <w:ind w:left="0"/>
        <w:rPr>
          <w:lang w:val="nb-NO"/>
        </w:rPr>
      </w:pPr>
    </w:p>
    <w:p w14:paraId="31BEFF9D" w14:textId="77777777" w:rsidR="00C77BE2" w:rsidRPr="00A942F6" w:rsidRDefault="00C77BE2" w:rsidP="00641834">
      <w:pPr>
        <w:pStyle w:val="a4"/>
        <w:ind w:left="0"/>
        <w:rPr>
          <w:lang w:val="nb-NO"/>
        </w:rPr>
      </w:pPr>
    </w:p>
    <w:p w14:paraId="0760FF9B" w14:textId="77777777" w:rsidR="00C77BE2" w:rsidRPr="00A942F6" w:rsidRDefault="00C77BE2"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2F3AA16B" w14:textId="77777777" w:rsidR="004A425F" w:rsidRPr="00A942F6" w:rsidRDefault="004A425F" w:rsidP="00641834">
      <w:pPr>
        <w:pStyle w:val="a4"/>
        <w:keepNext/>
        <w:ind w:left="0"/>
        <w:rPr>
          <w:lang w:val="nb-NO"/>
        </w:rPr>
      </w:pPr>
    </w:p>
    <w:p w14:paraId="774F63FA" w14:textId="77777777" w:rsidR="00CE3DBA" w:rsidRPr="00A942F6" w:rsidRDefault="004A425F" w:rsidP="00641834">
      <w:pPr>
        <w:pStyle w:val="a4"/>
        <w:keepNext/>
        <w:ind w:left="0"/>
        <w:rPr>
          <w:lang w:val="nb-NO"/>
        </w:rPr>
      </w:pPr>
      <w:r w:rsidRPr="00A942F6">
        <w:rPr>
          <w:lang w:val="nb-NO"/>
        </w:rPr>
        <w:t xml:space="preserve">Oppbevares i </w:t>
      </w:r>
      <w:r w:rsidR="00CE3DBA" w:rsidRPr="00A942F6">
        <w:rPr>
          <w:lang w:val="nb-NO"/>
        </w:rPr>
        <w:t>kjøleskap</w:t>
      </w:r>
    </w:p>
    <w:p w14:paraId="3BBB736B" w14:textId="77777777" w:rsidR="004A425F" w:rsidRPr="00A942F6" w:rsidRDefault="004A425F" w:rsidP="00641834">
      <w:pPr>
        <w:pStyle w:val="a4"/>
        <w:keepNext/>
        <w:ind w:left="0"/>
        <w:rPr>
          <w:lang w:val="nb-NO"/>
        </w:rPr>
      </w:pPr>
      <w:r w:rsidRPr="00A942F6">
        <w:rPr>
          <w:lang w:val="nb-NO"/>
        </w:rPr>
        <w:t>Skal ikke fryses</w:t>
      </w:r>
    </w:p>
    <w:p w14:paraId="2147A49E" w14:textId="77777777" w:rsidR="004A425F" w:rsidRPr="00A942F6" w:rsidRDefault="004A425F" w:rsidP="00641834">
      <w:pPr>
        <w:pStyle w:val="a4"/>
        <w:ind w:left="0"/>
        <w:rPr>
          <w:lang w:val="nb-NO"/>
        </w:rPr>
      </w:pPr>
      <w:r w:rsidRPr="00A942F6">
        <w:rPr>
          <w:lang w:val="nb-NO"/>
        </w:rPr>
        <w:t>Oppbevar hetteglasset i ytteremballasjen for å beskytte mot lys</w:t>
      </w:r>
    </w:p>
    <w:p w14:paraId="54830595" w14:textId="77777777" w:rsidR="004A425F" w:rsidRPr="00A942F6" w:rsidRDefault="004A425F" w:rsidP="00641834">
      <w:pPr>
        <w:rPr>
          <w:lang w:val="nb-NO"/>
        </w:rPr>
      </w:pPr>
    </w:p>
    <w:p w14:paraId="417A0A35" w14:textId="77777777" w:rsidR="00C77BE2" w:rsidRPr="00A942F6" w:rsidRDefault="00C77BE2" w:rsidP="00641834">
      <w:pPr>
        <w:rPr>
          <w:lang w:val="nb-NO"/>
        </w:rPr>
      </w:pPr>
    </w:p>
    <w:p w14:paraId="01E66E5F"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0024E132" w14:textId="77777777" w:rsidR="004A425F" w:rsidRPr="00A942F6" w:rsidRDefault="004A425F" w:rsidP="00641834">
      <w:pPr>
        <w:pStyle w:val="a4"/>
        <w:ind w:left="0"/>
        <w:rPr>
          <w:lang w:val="nb-NO"/>
        </w:rPr>
      </w:pPr>
    </w:p>
    <w:p w14:paraId="21DFF4DD" w14:textId="77777777" w:rsidR="00C77BE2" w:rsidRPr="00A942F6" w:rsidRDefault="00C77BE2" w:rsidP="00641834">
      <w:pPr>
        <w:tabs>
          <w:tab w:val="left" w:pos="669"/>
        </w:tabs>
        <w:rPr>
          <w:b/>
          <w:lang w:val="nb-NO"/>
        </w:rPr>
      </w:pPr>
    </w:p>
    <w:p w14:paraId="27C18784"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4678963D" w14:textId="77777777" w:rsidR="004A425F" w:rsidRPr="00A942F6" w:rsidRDefault="004A425F" w:rsidP="00641834">
      <w:pPr>
        <w:pStyle w:val="a4"/>
        <w:ind w:left="0"/>
        <w:rPr>
          <w:lang w:val="nb-NO"/>
        </w:rPr>
      </w:pPr>
    </w:p>
    <w:p w14:paraId="1B288059" w14:textId="77777777" w:rsidR="00CB7D04" w:rsidRPr="009B40A5" w:rsidRDefault="00CB7D04" w:rsidP="00CB7D04">
      <w:pPr>
        <w:keepNext/>
      </w:pPr>
      <w:r w:rsidRPr="009B40A5">
        <w:t xml:space="preserve">Celltrion Healthcare Hungary Kft. </w:t>
      </w:r>
    </w:p>
    <w:p w14:paraId="7BD0962B" w14:textId="77777777" w:rsidR="00CB7D04" w:rsidRPr="009B40A5" w:rsidRDefault="00CB7D04" w:rsidP="00CB7D04">
      <w:pPr>
        <w:keepNext/>
      </w:pPr>
      <w:r w:rsidRPr="009B40A5">
        <w:t>1062 Budapest</w:t>
      </w:r>
    </w:p>
    <w:p w14:paraId="0C1DE689" w14:textId="77777777" w:rsidR="00CB7D04" w:rsidRPr="009B40A5" w:rsidRDefault="00CB7D04" w:rsidP="00CB7D04">
      <w:pPr>
        <w:keepNext/>
      </w:pPr>
      <w:r w:rsidRPr="009B40A5">
        <w:t>Váci út 1</w:t>
      </w:r>
      <w:r w:rsidR="00717799" w:rsidRPr="009B40A5">
        <w:noBreakHyphen/>
      </w:r>
      <w:r w:rsidRPr="009B40A5">
        <w:t>3. WestEnd Office Building B torony</w:t>
      </w:r>
    </w:p>
    <w:p w14:paraId="7221D36F" w14:textId="77777777" w:rsidR="00CB7D04" w:rsidRPr="009B40A5" w:rsidRDefault="00CB7D04" w:rsidP="00CB7D04">
      <w:r w:rsidRPr="009B40A5">
        <w:t>Ungarn</w:t>
      </w:r>
    </w:p>
    <w:p w14:paraId="1B2BB403" w14:textId="77777777" w:rsidR="004A425F" w:rsidRPr="009B40A5" w:rsidRDefault="004A425F" w:rsidP="00641834">
      <w:pPr>
        <w:pStyle w:val="a4"/>
        <w:ind w:left="0"/>
        <w:rPr>
          <w:lang w:val="en-US"/>
        </w:rPr>
      </w:pPr>
    </w:p>
    <w:p w14:paraId="76A5A324" w14:textId="77777777" w:rsidR="00C77BE2" w:rsidRPr="009B40A5" w:rsidRDefault="00C77BE2" w:rsidP="00641834">
      <w:pPr>
        <w:pStyle w:val="a4"/>
        <w:ind w:left="0"/>
        <w:rPr>
          <w:lang w:val="en-US"/>
        </w:rPr>
      </w:pPr>
    </w:p>
    <w:p w14:paraId="4B7083EE"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36821202" w14:textId="77777777" w:rsidR="004A425F" w:rsidRPr="00A942F6" w:rsidRDefault="004A425F" w:rsidP="00641834">
      <w:pPr>
        <w:pStyle w:val="a4"/>
        <w:ind w:left="0"/>
        <w:rPr>
          <w:lang w:val="nb-NO"/>
        </w:rPr>
      </w:pPr>
    </w:p>
    <w:p w14:paraId="54CB16AE" w14:textId="1541B46E" w:rsidR="00AC18EA" w:rsidRPr="00CD583D" w:rsidRDefault="00AC18EA" w:rsidP="00AC18EA">
      <w:pPr>
        <w:keepNext/>
        <w:rPr>
          <w:lang w:val="nb-NO"/>
        </w:rPr>
      </w:pPr>
      <w:r w:rsidRPr="00CD583D">
        <w:rPr>
          <w:lang w:val="nb-NO"/>
        </w:rPr>
        <w:t>EU/</w:t>
      </w:r>
      <w:r w:rsidRPr="00F458BB">
        <w:rPr>
          <w:spacing w:val="-1"/>
          <w:lang w:val="pt-BR"/>
        </w:rPr>
        <w:t>1/24/1896/00</w:t>
      </w:r>
      <w:r>
        <w:rPr>
          <w:rFonts w:eastAsia="맑은 고딕" w:hint="eastAsia"/>
          <w:spacing w:val="-1"/>
          <w:lang w:val="pt-BR" w:eastAsia="ko-KR"/>
        </w:rPr>
        <w:t>1</w:t>
      </w:r>
      <w:r>
        <w:rPr>
          <w:rFonts w:hint="eastAsia"/>
          <w:spacing w:val="-1"/>
          <w:lang w:val="pt-BR" w:eastAsia="ko-KR"/>
        </w:rPr>
        <w:t xml:space="preserve"> 1 </w:t>
      </w:r>
      <w:r w:rsidR="002F0365">
        <w:rPr>
          <w:spacing w:val="-1"/>
          <w:lang w:val="pt-BR" w:eastAsia="ko-KR"/>
        </w:rPr>
        <w:t>hetteglass</w:t>
      </w:r>
    </w:p>
    <w:p w14:paraId="0F8C12F7" w14:textId="5B0B636C" w:rsidR="004A425F" w:rsidRDefault="00AC18EA" w:rsidP="009B40A5">
      <w:pPr>
        <w:rPr>
          <w:lang w:val="nb-NO"/>
        </w:rPr>
      </w:pPr>
      <w:r w:rsidRPr="00CD583D">
        <w:rPr>
          <w:lang w:val="nb-NO"/>
        </w:rPr>
        <w:t>EU/</w:t>
      </w:r>
      <w:r w:rsidRPr="00F458BB">
        <w:rPr>
          <w:spacing w:val="-1"/>
          <w:lang w:val="pt-BR"/>
        </w:rPr>
        <w:t>1/24/1896/00</w:t>
      </w:r>
      <w:r>
        <w:rPr>
          <w:rFonts w:eastAsia="맑은 고딕" w:hint="eastAsia"/>
          <w:spacing w:val="-1"/>
          <w:lang w:val="pt-BR" w:eastAsia="ko-KR"/>
        </w:rPr>
        <w:t>2</w:t>
      </w:r>
      <w:r>
        <w:rPr>
          <w:rFonts w:hint="eastAsia"/>
          <w:spacing w:val="-1"/>
          <w:lang w:val="pt-BR" w:eastAsia="ko-KR"/>
        </w:rPr>
        <w:t xml:space="preserve"> 4 </w:t>
      </w:r>
      <w:r w:rsidR="002F0365">
        <w:rPr>
          <w:spacing w:val="-1"/>
          <w:lang w:val="pt-BR" w:eastAsia="ko-KR"/>
        </w:rPr>
        <w:t>hetteglass</w:t>
      </w:r>
    </w:p>
    <w:p w14:paraId="32375302" w14:textId="77777777" w:rsidR="00AC18EA" w:rsidRPr="00A942F6" w:rsidRDefault="00AC18EA" w:rsidP="00641834">
      <w:pPr>
        <w:pStyle w:val="a4"/>
        <w:ind w:left="0"/>
        <w:rPr>
          <w:lang w:val="nb-NO"/>
        </w:rPr>
      </w:pPr>
    </w:p>
    <w:p w14:paraId="0BC041CF" w14:textId="77777777" w:rsidR="00C77BE2" w:rsidRPr="00A942F6" w:rsidRDefault="00C77BE2" w:rsidP="00641834">
      <w:pPr>
        <w:tabs>
          <w:tab w:val="left" w:pos="669"/>
        </w:tabs>
        <w:rPr>
          <w:b/>
          <w:lang w:val="nb-NO"/>
        </w:rPr>
      </w:pPr>
    </w:p>
    <w:p w14:paraId="69A95EE4"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21AA2F9D" w14:textId="77777777" w:rsidR="004A425F" w:rsidRPr="00A942F6" w:rsidRDefault="004A425F" w:rsidP="00641834">
      <w:pPr>
        <w:pStyle w:val="a4"/>
        <w:ind w:left="0"/>
        <w:rPr>
          <w:lang w:val="nb-NO"/>
        </w:rPr>
      </w:pPr>
    </w:p>
    <w:p w14:paraId="18F16B43" w14:textId="77777777" w:rsidR="004A425F" w:rsidRPr="00A942F6" w:rsidRDefault="004A425F" w:rsidP="00641834">
      <w:pPr>
        <w:pStyle w:val="a4"/>
        <w:ind w:left="0"/>
        <w:rPr>
          <w:lang w:val="nb-NO"/>
        </w:rPr>
      </w:pPr>
      <w:r w:rsidRPr="00A942F6">
        <w:rPr>
          <w:lang w:val="nb-NO"/>
        </w:rPr>
        <w:t>Lot</w:t>
      </w:r>
    </w:p>
    <w:p w14:paraId="00AC98EC" w14:textId="77777777" w:rsidR="004A425F" w:rsidRPr="00A942F6" w:rsidRDefault="004A425F" w:rsidP="00641834">
      <w:pPr>
        <w:pStyle w:val="a4"/>
        <w:ind w:left="0"/>
        <w:rPr>
          <w:lang w:val="nb-NO"/>
        </w:rPr>
      </w:pPr>
    </w:p>
    <w:p w14:paraId="78735652" w14:textId="77777777" w:rsidR="00C77BE2" w:rsidRPr="00A942F6" w:rsidRDefault="00C77BE2" w:rsidP="00641834">
      <w:pPr>
        <w:tabs>
          <w:tab w:val="left" w:pos="669"/>
        </w:tabs>
        <w:rPr>
          <w:b/>
          <w:lang w:val="nb-NO"/>
        </w:rPr>
      </w:pPr>
    </w:p>
    <w:p w14:paraId="7BC377A8"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14D254C1" w14:textId="77777777" w:rsidR="004A425F" w:rsidRPr="00A942F6" w:rsidRDefault="004A425F" w:rsidP="00641834">
      <w:pPr>
        <w:pStyle w:val="a4"/>
        <w:ind w:left="0"/>
        <w:rPr>
          <w:lang w:val="nb-NO"/>
        </w:rPr>
      </w:pPr>
    </w:p>
    <w:p w14:paraId="640A392B" w14:textId="77777777" w:rsidR="004A425F" w:rsidRPr="00A942F6" w:rsidRDefault="004A425F" w:rsidP="00641834">
      <w:pPr>
        <w:pStyle w:val="a4"/>
        <w:ind w:left="0"/>
        <w:rPr>
          <w:lang w:val="nb-NO"/>
        </w:rPr>
      </w:pPr>
      <w:r w:rsidRPr="00CB45D2">
        <w:rPr>
          <w:color w:val="000000"/>
          <w:highlight w:val="lightGray"/>
          <w:shd w:val="pct35" w:color="auto" w:fill="auto"/>
          <w:lang w:val="nb-NO"/>
        </w:rPr>
        <w:t>Reseptpliktig legemiddel</w:t>
      </w:r>
    </w:p>
    <w:p w14:paraId="77400447" w14:textId="77777777" w:rsidR="004A425F" w:rsidRPr="00A942F6" w:rsidRDefault="004A425F" w:rsidP="00641834">
      <w:pPr>
        <w:pStyle w:val="a4"/>
        <w:ind w:left="0"/>
        <w:rPr>
          <w:lang w:val="nb-NO"/>
        </w:rPr>
      </w:pPr>
    </w:p>
    <w:p w14:paraId="6DF119F1" w14:textId="77777777" w:rsidR="003C749A" w:rsidRPr="00A942F6" w:rsidRDefault="003C749A" w:rsidP="00641834">
      <w:pPr>
        <w:pStyle w:val="a4"/>
        <w:ind w:left="0"/>
        <w:rPr>
          <w:lang w:val="nb-NO"/>
        </w:rPr>
      </w:pPr>
    </w:p>
    <w:p w14:paraId="557D2005" w14:textId="77777777" w:rsidR="00C77BE2" w:rsidRPr="00A942F6" w:rsidRDefault="00C77BE2"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3C424831" w14:textId="77777777" w:rsidR="004A425F" w:rsidRPr="00A942F6" w:rsidRDefault="004A425F" w:rsidP="00641834">
      <w:pPr>
        <w:pStyle w:val="a4"/>
        <w:ind w:left="0"/>
        <w:rPr>
          <w:lang w:val="nb-NO"/>
        </w:rPr>
      </w:pPr>
    </w:p>
    <w:p w14:paraId="55D85A9D" w14:textId="77777777" w:rsidR="004A425F" w:rsidRPr="00A942F6" w:rsidRDefault="004A425F" w:rsidP="00641834">
      <w:pPr>
        <w:pStyle w:val="a4"/>
        <w:ind w:left="0"/>
        <w:rPr>
          <w:lang w:val="nb-NO"/>
        </w:rPr>
      </w:pPr>
    </w:p>
    <w:p w14:paraId="68191891"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25D06338" w14:textId="77777777" w:rsidR="003C749A" w:rsidRPr="00A942F6" w:rsidRDefault="003C749A" w:rsidP="00641834">
      <w:pPr>
        <w:pStyle w:val="a4"/>
        <w:ind w:left="0"/>
        <w:rPr>
          <w:lang w:val="nb-NO"/>
        </w:rPr>
      </w:pPr>
    </w:p>
    <w:p w14:paraId="467B2E70" w14:textId="77777777" w:rsidR="004A425F" w:rsidRPr="00CB45D2" w:rsidRDefault="004A425F" w:rsidP="00641834">
      <w:pPr>
        <w:pStyle w:val="a4"/>
        <w:ind w:left="0"/>
        <w:rPr>
          <w:color w:val="000000"/>
          <w:highlight w:val="lightGray"/>
          <w:shd w:val="pct35" w:color="auto" w:fill="auto"/>
          <w:lang w:val="nb-NO"/>
        </w:rPr>
      </w:pPr>
      <w:r w:rsidRPr="00CB45D2">
        <w:rPr>
          <w:color w:val="000000"/>
          <w:highlight w:val="lightGray"/>
          <w:shd w:val="pct35" w:color="auto" w:fill="auto"/>
          <w:lang w:val="nb-NO"/>
        </w:rPr>
        <w:t>Fritatt fra krav om blindeskrift</w:t>
      </w:r>
    </w:p>
    <w:p w14:paraId="7EB16962" w14:textId="77777777" w:rsidR="004A425F" w:rsidRPr="00A942F6" w:rsidRDefault="004A425F" w:rsidP="00641834">
      <w:pPr>
        <w:pStyle w:val="a4"/>
        <w:ind w:left="0"/>
        <w:rPr>
          <w:lang w:val="nb-NO"/>
        </w:rPr>
      </w:pPr>
    </w:p>
    <w:p w14:paraId="7724C79D" w14:textId="77777777" w:rsidR="004A425F" w:rsidRPr="00A942F6" w:rsidRDefault="004A425F" w:rsidP="00641834">
      <w:pPr>
        <w:pStyle w:val="a4"/>
        <w:ind w:left="0"/>
        <w:rPr>
          <w:lang w:val="nb-NO"/>
        </w:rPr>
      </w:pPr>
    </w:p>
    <w:p w14:paraId="590ACB58"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0E27CBCF" w14:textId="77777777" w:rsidR="004A425F" w:rsidRPr="00A942F6" w:rsidRDefault="004A425F" w:rsidP="00641834">
      <w:pPr>
        <w:pStyle w:val="a4"/>
        <w:ind w:left="0"/>
        <w:rPr>
          <w:lang w:val="nb-NO"/>
        </w:rPr>
      </w:pPr>
    </w:p>
    <w:p w14:paraId="27C279B3"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6AC39607" w14:textId="77777777" w:rsidR="004A425F" w:rsidRPr="00A942F6" w:rsidRDefault="004A425F" w:rsidP="00641834">
      <w:pPr>
        <w:pStyle w:val="a4"/>
        <w:ind w:left="0"/>
        <w:rPr>
          <w:lang w:val="nb-NO"/>
        </w:rPr>
      </w:pPr>
    </w:p>
    <w:p w14:paraId="6C5F67C0" w14:textId="77777777" w:rsidR="003C749A" w:rsidRPr="00A942F6" w:rsidRDefault="003C749A" w:rsidP="00641834">
      <w:pPr>
        <w:pStyle w:val="a4"/>
        <w:ind w:left="0"/>
        <w:rPr>
          <w:lang w:val="nb-NO"/>
        </w:rPr>
      </w:pPr>
    </w:p>
    <w:p w14:paraId="231C2F75"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0B5554FA" w14:textId="77777777" w:rsidR="004A425F" w:rsidRPr="00A942F6" w:rsidRDefault="004A425F" w:rsidP="00641834">
      <w:pPr>
        <w:pStyle w:val="a4"/>
        <w:ind w:left="0"/>
        <w:rPr>
          <w:lang w:val="nb-NO"/>
        </w:rPr>
      </w:pPr>
    </w:p>
    <w:p w14:paraId="63A9BA82" w14:textId="77777777" w:rsidR="00CE3DBA" w:rsidRPr="00A942F6" w:rsidRDefault="004A425F" w:rsidP="00641834">
      <w:pPr>
        <w:pStyle w:val="a4"/>
        <w:ind w:left="0"/>
        <w:jc w:val="both"/>
        <w:rPr>
          <w:lang w:val="nb-NO"/>
        </w:rPr>
      </w:pPr>
      <w:r w:rsidRPr="00A942F6">
        <w:rPr>
          <w:lang w:val="nb-NO"/>
        </w:rPr>
        <w:t>PC</w:t>
      </w:r>
    </w:p>
    <w:p w14:paraId="0164F635" w14:textId="77777777" w:rsidR="00CE3DBA" w:rsidRPr="00A942F6" w:rsidRDefault="004A425F" w:rsidP="00641834">
      <w:pPr>
        <w:pStyle w:val="a4"/>
        <w:ind w:left="0"/>
        <w:jc w:val="both"/>
        <w:rPr>
          <w:lang w:val="nb-NO"/>
        </w:rPr>
      </w:pPr>
      <w:r w:rsidRPr="00A942F6">
        <w:rPr>
          <w:lang w:val="nb-NO"/>
        </w:rPr>
        <w:t>SN</w:t>
      </w:r>
    </w:p>
    <w:p w14:paraId="1945EEBA" w14:textId="77777777" w:rsidR="004A425F" w:rsidRPr="00A942F6" w:rsidRDefault="004A425F" w:rsidP="00641834">
      <w:pPr>
        <w:pStyle w:val="a4"/>
        <w:ind w:left="0"/>
        <w:jc w:val="both"/>
        <w:rPr>
          <w:lang w:val="nb-NO"/>
        </w:rPr>
      </w:pPr>
      <w:r w:rsidRPr="00CD583D">
        <w:rPr>
          <w:highlight w:val="lightGray"/>
          <w:lang w:val="nb-NO"/>
        </w:rPr>
        <w:t>NN</w:t>
      </w:r>
    </w:p>
    <w:p w14:paraId="0AE55B65" w14:textId="588D038F" w:rsidR="003C749A" w:rsidRPr="00A942F6" w:rsidRDefault="00E31057"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3C749A" w:rsidRPr="00A942F6">
        <w:rPr>
          <w:b/>
          <w:lang w:val="nb-NO"/>
        </w:rPr>
        <w:lastRenderedPageBreak/>
        <w:t>OPPLYSNINGER, SOM SKAL ANGIS PÅ YTRE EMBALLASJE</w:t>
      </w:r>
    </w:p>
    <w:p w14:paraId="1BEFF744" w14:textId="77777777" w:rsidR="004461E7" w:rsidRPr="00A942F6" w:rsidRDefault="004461E7" w:rsidP="00641834">
      <w:pPr>
        <w:pBdr>
          <w:top w:val="single" w:sz="4" w:space="1" w:color="auto"/>
          <w:left w:val="single" w:sz="4" w:space="4" w:color="auto"/>
          <w:bottom w:val="single" w:sz="4" w:space="1" w:color="auto"/>
          <w:right w:val="single" w:sz="4" w:space="4" w:color="auto"/>
        </w:pBdr>
        <w:rPr>
          <w:b/>
          <w:lang w:val="nb-NO"/>
        </w:rPr>
      </w:pPr>
    </w:p>
    <w:p w14:paraId="5FEDA50F" w14:textId="77777777" w:rsidR="003C749A" w:rsidRPr="00A942F6" w:rsidRDefault="003C749A"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w:t>
      </w:r>
    </w:p>
    <w:p w14:paraId="3AE21F3B" w14:textId="77777777" w:rsidR="004A425F" w:rsidRPr="00A942F6" w:rsidRDefault="004A425F" w:rsidP="00641834">
      <w:pPr>
        <w:pStyle w:val="a4"/>
        <w:ind w:left="0"/>
        <w:rPr>
          <w:lang w:val="nb-NO"/>
        </w:rPr>
      </w:pPr>
    </w:p>
    <w:p w14:paraId="0FD4F673" w14:textId="77777777" w:rsidR="003C749A" w:rsidRPr="00A942F6" w:rsidRDefault="003C749A" w:rsidP="00641834">
      <w:pPr>
        <w:pStyle w:val="a4"/>
        <w:ind w:left="0"/>
        <w:rPr>
          <w:lang w:val="nb-NO"/>
        </w:rPr>
      </w:pPr>
    </w:p>
    <w:p w14:paraId="77FF4F59"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189404AB" w14:textId="77777777" w:rsidR="004A425F" w:rsidRPr="00A942F6" w:rsidRDefault="004A425F" w:rsidP="00641834">
      <w:pPr>
        <w:pStyle w:val="a4"/>
        <w:ind w:left="0"/>
        <w:rPr>
          <w:lang w:val="nb-NO"/>
        </w:rPr>
      </w:pPr>
    </w:p>
    <w:p w14:paraId="0183C700" w14:textId="48397D8D" w:rsidR="00875DFA" w:rsidRPr="00A942F6" w:rsidRDefault="00923E68" w:rsidP="00641834">
      <w:pPr>
        <w:pStyle w:val="a4"/>
        <w:ind w:left="0"/>
        <w:rPr>
          <w:lang w:val="nb-NO"/>
        </w:rPr>
      </w:pPr>
      <w:r w:rsidRPr="00A942F6">
        <w:rPr>
          <w:lang w:val="nb-NO"/>
        </w:rPr>
        <w:t>Avtozma</w:t>
      </w:r>
      <w:r w:rsidR="004A425F" w:rsidRPr="00A942F6">
        <w:rPr>
          <w:lang w:val="nb-NO"/>
        </w:rPr>
        <w:t xml:space="preserve"> 20 mg/ml konsentrat til infusjonsvæske, oppløsning</w:t>
      </w:r>
    </w:p>
    <w:p w14:paraId="37760B4A" w14:textId="77777777" w:rsidR="004A425F" w:rsidRPr="00A942F6" w:rsidRDefault="004A425F" w:rsidP="00641834">
      <w:pPr>
        <w:pStyle w:val="a4"/>
        <w:ind w:left="0"/>
        <w:rPr>
          <w:lang w:val="nb-NO"/>
        </w:rPr>
      </w:pPr>
      <w:r w:rsidRPr="00A942F6">
        <w:rPr>
          <w:lang w:val="nb-NO"/>
        </w:rPr>
        <w:t>tocilizumab</w:t>
      </w:r>
    </w:p>
    <w:p w14:paraId="469BE9E1" w14:textId="77777777" w:rsidR="004A425F" w:rsidRPr="00A942F6" w:rsidRDefault="004A425F" w:rsidP="00641834">
      <w:pPr>
        <w:pStyle w:val="a4"/>
        <w:ind w:left="0"/>
        <w:rPr>
          <w:lang w:val="nb-NO"/>
        </w:rPr>
      </w:pPr>
    </w:p>
    <w:p w14:paraId="6668336E" w14:textId="77777777" w:rsidR="004A425F" w:rsidRPr="00A942F6" w:rsidRDefault="004A425F" w:rsidP="00641834">
      <w:pPr>
        <w:pStyle w:val="a4"/>
        <w:ind w:left="0"/>
        <w:rPr>
          <w:lang w:val="nb-NO"/>
        </w:rPr>
      </w:pPr>
    </w:p>
    <w:p w14:paraId="4689E2DE"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32D14BAC" w14:textId="77777777" w:rsidR="003C749A" w:rsidRPr="00A942F6" w:rsidRDefault="003C749A" w:rsidP="00641834">
      <w:pPr>
        <w:pStyle w:val="a4"/>
        <w:ind w:left="0"/>
        <w:rPr>
          <w:lang w:val="nb-NO"/>
        </w:rPr>
      </w:pPr>
    </w:p>
    <w:p w14:paraId="2250C3FA" w14:textId="77777777" w:rsidR="004A425F" w:rsidRPr="00A942F6" w:rsidRDefault="004A425F" w:rsidP="00641834">
      <w:pPr>
        <w:pStyle w:val="a4"/>
        <w:ind w:left="0"/>
        <w:rPr>
          <w:lang w:val="nb-NO"/>
        </w:rPr>
      </w:pPr>
      <w:r w:rsidRPr="00A942F6">
        <w:rPr>
          <w:lang w:val="nb-NO"/>
        </w:rPr>
        <w:t>1 hetteglass inneholder 200 mg tocilizumab.</w:t>
      </w:r>
    </w:p>
    <w:p w14:paraId="0F7B1408" w14:textId="77777777" w:rsidR="004A425F" w:rsidRPr="00A942F6" w:rsidRDefault="004A425F" w:rsidP="00641834">
      <w:pPr>
        <w:pStyle w:val="a4"/>
        <w:ind w:left="0"/>
        <w:rPr>
          <w:lang w:val="nb-NO"/>
        </w:rPr>
      </w:pPr>
    </w:p>
    <w:p w14:paraId="7FBC31F2" w14:textId="77777777" w:rsidR="003C749A" w:rsidRPr="00A942F6" w:rsidRDefault="003C749A" w:rsidP="00641834">
      <w:pPr>
        <w:pStyle w:val="a4"/>
        <w:ind w:left="0"/>
        <w:rPr>
          <w:lang w:val="nb-NO"/>
        </w:rPr>
      </w:pPr>
    </w:p>
    <w:p w14:paraId="71D51635"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16C1F4DB" w14:textId="77777777" w:rsidR="004A425F" w:rsidRPr="00A942F6" w:rsidRDefault="004A425F" w:rsidP="00641834">
      <w:pPr>
        <w:pStyle w:val="a4"/>
        <w:ind w:left="0"/>
        <w:rPr>
          <w:lang w:val="nb-NO"/>
        </w:rPr>
      </w:pPr>
    </w:p>
    <w:p w14:paraId="29DB23F1" w14:textId="7EFAF4B3" w:rsidR="009E129A" w:rsidRPr="00A942F6" w:rsidRDefault="009E129A" w:rsidP="009E129A">
      <w:pPr>
        <w:pStyle w:val="a4"/>
        <w:ind w:left="0"/>
        <w:rPr>
          <w:lang w:val="nb-NO"/>
        </w:rPr>
      </w:pPr>
      <w:r w:rsidRPr="00A942F6">
        <w:rPr>
          <w:lang w:val="nb-NO"/>
        </w:rPr>
        <w:t>Hjelpestoffer: L</w:t>
      </w:r>
      <w:r w:rsidR="00025055">
        <w:rPr>
          <w:lang w:val="nb-NO"/>
        </w:rPr>
        <w:noBreakHyphen/>
      </w:r>
      <w:r w:rsidRPr="00A942F6">
        <w:rPr>
          <w:lang w:val="nb-NO"/>
        </w:rPr>
        <w:t>histidin</w:t>
      </w:r>
      <w:r w:rsidR="001B685D">
        <w:rPr>
          <w:rFonts w:eastAsia="맑은 고딕" w:hint="eastAsia"/>
          <w:lang w:val="nb-NO" w:eastAsia="ko-KR"/>
        </w:rPr>
        <w:t xml:space="preserve">, </w:t>
      </w:r>
      <w:r w:rsidR="001B685D" w:rsidRPr="001B685D">
        <w:rPr>
          <w:lang w:val="nb-NO"/>
        </w:rPr>
        <w:t>L-histidin monohydroklorid monohydrat</w:t>
      </w:r>
      <w:r w:rsidR="00220441" w:rsidRPr="00BD4D94">
        <w:rPr>
          <w:lang w:val="nb-NO"/>
        </w:rPr>
        <w:t>,</w:t>
      </w:r>
      <w:r w:rsidR="00220441" w:rsidRPr="00BD4D94">
        <w:rPr>
          <w:rFonts w:eastAsia="맑은 고딕"/>
          <w:lang w:val="nb-NO" w:eastAsia="ko-KR"/>
        </w:rPr>
        <w:t xml:space="preserve"> </w:t>
      </w:r>
      <w:r w:rsidRPr="00A942F6">
        <w:rPr>
          <w:lang w:val="nb-NO"/>
        </w:rPr>
        <w:t>L</w:t>
      </w:r>
      <w:r w:rsidR="00025055">
        <w:rPr>
          <w:lang w:val="nb-NO"/>
        </w:rPr>
        <w:noBreakHyphen/>
      </w:r>
      <w:r w:rsidRPr="00A942F6">
        <w:rPr>
          <w:lang w:val="nb-NO"/>
        </w:rPr>
        <w:t>treonin, L</w:t>
      </w:r>
      <w:r w:rsidR="00025055">
        <w:rPr>
          <w:lang w:val="nb-NO"/>
        </w:rPr>
        <w:noBreakHyphen/>
      </w:r>
      <w:r w:rsidRPr="00A942F6">
        <w:rPr>
          <w:lang w:val="nb-NO"/>
        </w:rPr>
        <w:t>metionin, polysorbat 80 og vann til injeksjonsvæsker.</w:t>
      </w:r>
    </w:p>
    <w:p w14:paraId="56FE98BC" w14:textId="60926E7A" w:rsidR="004A425F" w:rsidRPr="00A942F6" w:rsidRDefault="004A425F" w:rsidP="00641834">
      <w:pPr>
        <w:pStyle w:val="a4"/>
        <w:ind w:left="0"/>
        <w:rPr>
          <w:lang w:val="nb-NO"/>
        </w:rPr>
      </w:pPr>
      <w:r w:rsidRPr="00A942F6">
        <w:rPr>
          <w:lang w:val="nb-NO"/>
        </w:rPr>
        <w:t>Se pakningsvedlegget for ytterligere informasjon.</w:t>
      </w:r>
    </w:p>
    <w:p w14:paraId="00364961" w14:textId="77777777" w:rsidR="004A425F" w:rsidRPr="00A942F6" w:rsidRDefault="004A425F" w:rsidP="00641834">
      <w:pPr>
        <w:pStyle w:val="a4"/>
        <w:ind w:left="0"/>
        <w:rPr>
          <w:lang w:val="nb-NO"/>
        </w:rPr>
      </w:pPr>
    </w:p>
    <w:p w14:paraId="3DA9C2FD" w14:textId="77777777" w:rsidR="004A425F" w:rsidRPr="00A942F6" w:rsidRDefault="004A425F" w:rsidP="00641834">
      <w:pPr>
        <w:pStyle w:val="a4"/>
        <w:ind w:left="0"/>
        <w:rPr>
          <w:lang w:val="nb-NO"/>
        </w:rPr>
      </w:pPr>
    </w:p>
    <w:p w14:paraId="34AA38F5"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0157D717" w14:textId="77777777" w:rsidR="003C749A" w:rsidRPr="00A942F6" w:rsidRDefault="003C749A" w:rsidP="00641834">
      <w:pPr>
        <w:pStyle w:val="a4"/>
        <w:ind w:left="0"/>
        <w:rPr>
          <w:lang w:val="nb-NO"/>
        </w:rPr>
      </w:pPr>
    </w:p>
    <w:p w14:paraId="21E336CB" w14:textId="77777777" w:rsidR="00F723F3" w:rsidRPr="00A942F6" w:rsidRDefault="004A425F" w:rsidP="00641834">
      <w:pPr>
        <w:pStyle w:val="a4"/>
        <w:ind w:left="0"/>
        <w:rPr>
          <w:lang w:val="nb-NO"/>
        </w:rPr>
      </w:pPr>
      <w:r w:rsidRPr="00A942F6">
        <w:rPr>
          <w:lang w:val="nb-NO"/>
        </w:rPr>
        <w:t>Konsentrat</w:t>
      </w:r>
      <w:r w:rsidR="00F723F3" w:rsidRPr="00A942F6">
        <w:rPr>
          <w:lang w:val="nb-NO"/>
        </w:rPr>
        <w:t xml:space="preserve"> til infusjonsvæske, oppløsning</w:t>
      </w:r>
    </w:p>
    <w:p w14:paraId="24B9CE62" w14:textId="77777777" w:rsidR="004A425F" w:rsidRPr="009B40A5" w:rsidRDefault="004A425F" w:rsidP="00641834">
      <w:pPr>
        <w:pStyle w:val="a4"/>
        <w:ind w:left="0"/>
        <w:rPr>
          <w:lang w:val="sv-SE"/>
        </w:rPr>
      </w:pPr>
      <w:r w:rsidRPr="009B40A5">
        <w:rPr>
          <w:lang w:val="sv-SE"/>
        </w:rPr>
        <w:t>200 mg/10 ml</w:t>
      </w:r>
    </w:p>
    <w:p w14:paraId="072F5345" w14:textId="77777777" w:rsidR="004A425F" w:rsidRPr="009B40A5" w:rsidRDefault="004A425F" w:rsidP="00641834">
      <w:pPr>
        <w:pStyle w:val="a4"/>
        <w:ind w:left="0"/>
        <w:rPr>
          <w:lang w:val="sv-SE"/>
        </w:rPr>
      </w:pPr>
      <w:r w:rsidRPr="009B40A5">
        <w:rPr>
          <w:lang w:val="sv-SE"/>
        </w:rPr>
        <w:t>1 hetteglass á 10 ml</w:t>
      </w:r>
    </w:p>
    <w:p w14:paraId="3D9A28BD" w14:textId="77777777" w:rsidR="004A425F" w:rsidRPr="009B40A5" w:rsidRDefault="004A425F" w:rsidP="00641834">
      <w:pPr>
        <w:pStyle w:val="a4"/>
        <w:ind w:left="0"/>
        <w:rPr>
          <w:lang w:val="sv-SE"/>
        </w:rPr>
      </w:pPr>
      <w:r w:rsidRPr="009B40A5">
        <w:rPr>
          <w:lang w:val="sv-SE"/>
        </w:rPr>
        <w:t>4 hetteglass á 10 ml</w:t>
      </w:r>
    </w:p>
    <w:p w14:paraId="5E19B25D" w14:textId="77777777" w:rsidR="004A425F" w:rsidRPr="009B40A5" w:rsidRDefault="004A425F" w:rsidP="00641834">
      <w:pPr>
        <w:pStyle w:val="a4"/>
        <w:ind w:left="0"/>
        <w:rPr>
          <w:lang w:val="sv-SE"/>
        </w:rPr>
      </w:pPr>
    </w:p>
    <w:p w14:paraId="1ADC77E6" w14:textId="77777777" w:rsidR="004A425F" w:rsidRPr="009B40A5" w:rsidRDefault="004A425F" w:rsidP="00641834">
      <w:pPr>
        <w:pStyle w:val="a4"/>
        <w:ind w:left="0"/>
        <w:rPr>
          <w:lang w:val="sv-SE"/>
        </w:rPr>
      </w:pPr>
    </w:p>
    <w:p w14:paraId="16F06B6E"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20560945" w14:textId="77777777" w:rsidR="003C749A" w:rsidRPr="00A942F6" w:rsidRDefault="003C749A" w:rsidP="00641834">
      <w:pPr>
        <w:pStyle w:val="a4"/>
        <w:ind w:left="0"/>
        <w:rPr>
          <w:lang w:val="nb-NO"/>
        </w:rPr>
      </w:pPr>
    </w:p>
    <w:p w14:paraId="1FAE5949" w14:textId="77777777" w:rsidR="004A425F" w:rsidRPr="00A942F6" w:rsidRDefault="004A425F" w:rsidP="00641834">
      <w:pPr>
        <w:pStyle w:val="a4"/>
        <w:ind w:left="0"/>
        <w:rPr>
          <w:lang w:val="nb-NO"/>
        </w:rPr>
      </w:pPr>
      <w:r w:rsidRPr="00A942F6">
        <w:rPr>
          <w:lang w:val="nb-NO"/>
        </w:rPr>
        <w:t>Til intravenøs infusjon etter fortynning</w:t>
      </w:r>
    </w:p>
    <w:p w14:paraId="7EA4085A" w14:textId="77777777" w:rsidR="00CE3DBA" w:rsidRPr="00A942F6" w:rsidRDefault="004A425F" w:rsidP="00641834">
      <w:pPr>
        <w:pStyle w:val="a4"/>
        <w:ind w:left="0"/>
        <w:rPr>
          <w:lang w:val="nb-NO"/>
        </w:rPr>
      </w:pPr>
      <w:r w:rsidRPr="00A942F6">
        <w:rPr>
          <w:lang w:val="nb-NO"/>
        </w:rPr>
        <w:t xml:space="preserve">Det fortynnede produktet bør brukes </w:t>
      </w:r>
      <w:r w:rsidR="00CE3DBA" w:rsidRPr="00A942F6">
        <w:rPr>
          <w:lang w:val="nb-NO"/>
        </w:rPr>
        <w:t>umiddelbart</w:t>
      </w:r>
    </w:p>
    <w:p w14:paraId="75E165CB" w14:textId="77777777" w:rsidR="004A425F" w:rsidRPr="00A942F6" w:rsidRDefault="004A425F" w:rsidP="00641834">
      <w:pPr>
        <w:pStyle w:val="a4"/>
        <w:ind w:left="0"/>
        <w:rPr>
          <w:lang w:val="nb-NO"/>
        </w:rPr>
      </w:pPr>
      <w:r w:rsidRPr="00A942F6">
        <w:rPr>
          <w:lang w:val="nb-NO"/>
        </w:rPr>
        <w:t>Les pakningsvedlegget før bruk</w:t>
      </w:r>
    </w:p>
    <w:p w14:paraId="630B1BBF" w14:textId="77777777" w:rsidR="004A425F" w:rsidRPr="00A942F6" w:rsidRDefault="004A425F" w:rsidP="00641834">
      <w:pPr>
        <w:pStyle w:val="a4"/>
        <w:ind w:left="0"/>
        <w:rPr>
          <w:lang w:val="nb-NO"/>
        </w:rPr>
      </w:pPr>
    </w:p>
    <w:p w14:paraId="3C346A18" w14:textId="77777777" w:rsidR="004461E7" w:rsidRPr="00A942F6" w:rsidRDefault="004461E7" w:rsidP="00641834">
      <w:pPr>
        <w:pStyle w:val="a4"/>
        <w:ind w:left="0"/>
        <w:rPr>
          <w:lang w:val="nb-NO"/>
        </w:rPr>
      </w:pPr>
    </w:p>
    <w:p w14:paraId="41D6F049" w14:textId="77777777" w:rsidR="003C749A" w:rsidRPr="00A942F6" w:rsidRDefault="003C749A"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t>ADVARSEL OM AT LEGEMIDLET SKAL OPPBEVARES UTILGJENGELIG FOR BARN</w:t>
      </w:r>
    </w:p>
    <w:p w14:paraId="6DCD0AFD" w14:textId="77777777" w:rsidR="004A425F" w:rsidRPr="00A942F6" w:rsidRDefault="004A425F" w:rsidP="00641834">
      <w:pPr>
        <w:pStyle w:val="a4"/>
        <w:ind w:left="0"/>
        <w:rPr>
          <w:lang w:val="nb-NO"/>
        </w:rPr>
      </w:pPr>
    </w:p>
    <w:p w14:paraId="6E2B9062" w14:textId="77777777" w:rsidR="004A425F" w:rsidRPr="00A942F6" w:rsidRDefault="004A425F" w:rsidP="00641834">
      <w:pPr>
        <w:pStyle w:val="a4"/>
        <w:ind w:left="0"/>
        <w:rPr>
          <w:lang w:val="nb-NO"/>
        </w:rPr>
      </w:pPr>
      <w:r w:rsidRPr="00A942F6">
        <w:rPr>
          <w:lang w:val="nb-NO"/>
        </w:rPr>
        <w:t>Oppbevares utilgjengelig for barn</w:t>
      </w:r>
    </w:p>
    <w:p w14:paraId="184EDED7" w14:textId="77777777" w:rsidR="004A425F" w:rsidRPr="00A942F6" w:rsidRDefault="004A425F" w:rsidP="00641834">
      <w:pPr>
        <w:pStyle w:val="a4"/>
        <w:ind w:left="0"/>
        <w:rPr>
          <w:lang w:val="nb-NO"/>
        </w:rPr>
      </w:pPr>
    </w:p>
    <w:p w14:paraId="24C78C7D" w14:textId="77777777" w:rsidR="004A425F" w:rsidRPr="00A942F6" w:rsidRDefault="004A425F" w:rsidP="00641834">
      <w:pPr>
        <w:pStyle w:val="a4"/>
        <w:ind w:left="0"/>
        <w:rPr>
          <w:lang w:val="nb-NO"/>
        </w:rPr>
      </w:pPr>
    </w:p>
    <w:p w14:paraId="16655B99"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4977BB4C" w14:textId="77777777" w:rsidR="004A425F" w:rsidRPr="00A942F6" w:rsidRDefault="004A425F" w:rsidP="00641834">
      <w:pPr>
        <w:pStyle w:val="a4"/>
        <w:ind w:left="0"/>
        <w:rPr>
          <w:lang w:val="nb-NO"/>
        </w:rPr>
      </w:pPr>
    </w:p>
    <w:p w14:paraId="11592DBA" w14:textId="77777777" w:rsidR="004A425F" w:rsidRPr="00A942F6" w:rsidRDefault="004A425F" w:rsidP="00641834">
      <w:pPr>
        <w:pStyle w:val="a4"/>
        <w:ind w:left="0"/>
        <w:rPr>
          <w:lang w:val="nb-NO"/>
        </w:rPr>
      </w:pPr>
    </w:p>
    <w:p w14:paraId="253BE741"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06236250" w14:textId="77777777" w:rsidR="003C749A" w:rsidRPr="00A942F6" w:rsidRDefault="003C749A" w:rsidP="00641834">
      <w:pPr>
        <w:pStyle w:val="a4"/>
        <w:ind w:left="0"/>
        <w:rPr>
          <w:lang w:val="nb-NO"/>
        </w:rPr>
      </w:pPr>
    </w:p>
    <w:p w14:paraId="167F454C" w14:textId="77777777" w:rsidR="004A425F" w:rsidRPr="00A942F6" w:rsidRDefault="004A425F" w:rsidP="00641834">
      <w:pPr>
        <w:pStyle w:val="a4"/>
        <w:ind w:left="0"/>
        <w:rPr>
          <w:lang w:val="nb-NO"/>
        </w:rPr>
      </w:pPr>
      <w:r w:rsidRPr="00A942F6">
        <w:rPr>
          <w:lang w:val="nb-NO"/>
        </w:rPr>
        <w:t>EXP</w:t>
      </w:r>
    </w:p>
    <w:p w14:paraId="2B922ADC" w14:textId="77777777" w:rsidR="004A425F" w:rsidRPr="00A942F6" w:rsidRDefault="004A425F" w:rsidP="00641834">
      <w:pPr>
        <w:pStyle w:val="a4"/>
        <w:ind w:left="0"/>
        <w:rPr>
          <w:lang w:val="nb-NO"/>
        </w:rPr>
      </w:pPr>
    </w:p>
    <w:p w14:paraId="218300E2" w14:textId="77777777" w:rsidR="004A425F" w:rsidRPr="00A942F6" w:rsidRDefault="004A425F" w:rsidP="00641834">
      <w:pPr>
        <w:pStyle w:val="a4"/>
        <w:ind w:left="0"/>
        <w:rPr>
          <w:lang w:val="nb-NO"/>
        </w:rPr>
      </w:pPr>
    </w:p>
    <w:p w14:paraId="39C5921A" w14:textId="77777777" w:rsidR="003C749A" w:rsidRPr="00A942F6" w:rsidRDefault="003C749A"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6B82CB88" w14:textId="77777777" w:rsidR="003C749A" w:rsidRPr="00A942F6" w:rsidRDefault="003C749A" w:rsidP="00641834">
      <w:pPr>
        <w:pStyle w:val="a4"/>
        <w:keepNext/>
        <w:ind w:left="0"/>
        <w:rPr>
          <w:lang w:val="nb-NO"/>
        </w:rPr>
      </w:pPr>
    </w:p>
    <w:p w14:paraId="13C70351" w14:textId="77777777" w:rsidR="00CE3DBA" w:rsidRPr="00A942F6" w:rsidRDefault="004A425F" w:rsidP="00641834">
      <w:pPr>
        <w:pStyle w:val="a4"/>
        <w:keepNext/>
        <w:ind w:left="0"/>
        <w:rPr>
          <w:lang w:val="nb-NO"/>
        </w:rPr>
      </w:pPr>
      <w:r w:rsidRPr="00A942F6">
        <w:rPr>
          <w:lang w:val="nb-NO"/>
        </w:rPr>
        <w:t>Oppbevares i kjøleskap</w:t>
      </w:r>
    </w:p>
    <w:p w14:paraId="54D6E4E9" w14:textId="77777777" w:rsidR="004A425F" w:rsidRPr="00A942F6" w:rsidRDefault="004A425F" w:rsidP="00641834">
      <w:pPr>
        <w:pStyle w:val="a4"/>
        <w:keepNext/>
        <w:ind w:left="0"/>
        <w:rPr>
          <w:lang w:val="nb-NO"/>
        </w:rPr>
      </w:pPr>
      <w:r w:rsidRPr="00A942F6">
        <w:rPr>
          <w:lang w:val="nb-NO"/>
        </w:rPr>
        <w:t>Skal ikke fryses</w:t>
      </w:r>
    </w:p>
    <w:p w14:paraId="5318981C" w14:textId="77777777" w:rsidR="004A425F" w:rsidRPr="00A942F6" w:rsidRDefault="004A425F" w:rsidP="00641834">
      <w:pPr>
        <w:pStyle w:val="a4"/>
        <w:ind w:left="0"/>
        <w:rPr>
          <w:lang w:val="nb-NO"/>
        </w:rPr>
      </w:pPr>
      <w:r w:rsidRPr="00A942F6">
        <w:rPr>
          <w:lang w:val="nb-NO"/>
        </w:rPr>
        <w:t>Oppbevar hetteglasset i ytteremballasjen for å beskytte mot lys</w:t>
      </w:r>
    </w:p>
    <w:p w14:paraId="71903F5D" w14:textId="77777777" w:rsidR="004A425F" w:rsidRPr="00A942F6" w:rsidRDefault="004A425F" w:rsidP="00641834">
      <w:pPr>
        <w:rPr>
          <w:lang w:val="nb-NO"/>
        </w:rPr>
      </w:pPr>
    </w:p>
    <w:p w14:paraId="45DBC0C8" w14:textId="77777777" w:rsidR="004461E7" w:rsidRPr="00A942F6" w:rsidRDefault="004461E7" w:rsidP="00641834">
      <w:pPr>
        <w:rPr>
          <w:lang w:val="nb-NO"/>
        </w:rPr>
      </w:pPr>
    </w:p>
    <w:p w14:paraId="1A7F8503"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291E7B17" w14:textId="77777777" w:rsidR="004A425F" w:rsidRPr="00A942F6" w:rsidRDefault="004A425F" w:rsidP="00641834">
      <w:pPr>
        <w:pStyle w:val="a4"/>
        <w:ind w:left="0"/>
        <w:rPr>
          <w:lang w:val="nb-NO"/>
        </w:rPr>
      </w:pPr>
    </w:p>
    <w:p w14:paraId="1164E146" w14:textId="77777777" w:rsidR="003C749A" w:rsidRPr="00A942F6" w:rsidRDefault="003C749A" w:rsidP="00641834">
      <w:pPr>
        <w:pStyle w:val="a4"/>
        <w:ind w:left="0"/>
        <w:rPr>
          <w:lang w:val="nb-NO"/>
        </w:rPr>
      </w:pPr>
    </w:p>
    <w:p w14:paraId="6622EB95"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64B492F6" w14:textId="77777777" w:rsidR="004A425F" w:rsidRPr="00A942F6" w:rsidRDefault="004A425F" w:rsidP="00641834">
      <w:pPr>
        <w:pStyle w:val="a4"/>
        <w:ind w:left="0"/>
        <w:rPr>
          <w:lang w:val="nb-NO"/>
        </w:rPr>
      </w:pPr>
    </w:p>
    <w:p w14:paraId="7E76CD6B" w14:textId="77777777" w:rsidR="009E129A" w:rsidRPr="009B40A5" w:rsidRDefault="009E129A" w:rsidP="009E129A">
      <w:pPr>
        <w:keepNext/>
      </w:pPr>
      <w:r w:rsidRPr="009B40A5">
        <w:t xml:space="preserve">Celltrion Healthcare Hungary Kft. </w:t>
      </w:r>
    </w:p>
    <w:p w14:paraId="2EB36AD9" w14:textId="77777777" w:rsidR="009E129A" w:rsidRPr="009B40A5" w:rsidRDefault="009E129A" w:rsidP="009E129A">
      <w:pPr>
        <w:keepNext/>
      </w:pPr>
      <w:r w:rsidRPr="009B40A5">
        <w:t>1062 Budapest</w:t>
      </w:r>
    </w:p>
    <w:p w14:paraId="3416CCBE" w14:textId="77777777" w:rsidR="009E129A" w:rsidRPr="009B40A5" w:rsidRDefault="009E129A" w:rsidP="009E129A">
      <w:pPr>
        <w:keepNext/>
      </w:pPr>
      <w:r w:rsidRPr="009B40A5">
        <w:t>Váci út 1</w:t>
      </w:r>
      <w:r w:rsidR="00294539" w:rsidRPr="009B40A5">
        <w:noBreakHyphen/>
      </w:r>
      <w:r w:rsidRPr="009B40A5">
        <w:t>3. WestEnd Office Building B torony</w:t>
      </w:r>
    </w:p>
    <w:p w14:paraId="69B95A8E" w14:textId="77777777" w:rsidR="009E129A" w:rsidRPr="009B40A5" w:rsidRDefault="009E129A" w:rsidP="009E129A">
      <w:r w:rsidRPr="009B40A5">
        <w:t>Ungarn</w:t>
      </w:r>
    </w:p>
    <w:p w14:paraId="3E670FF5" w14:textId="77777777" w:rsidR="004A425F" w:rsidRPr="009B40A5" w:rsidRDefault="004A425F" w:rsidP="00641834">
      <w:pPr>
        <w:pStyle w:val="a4"/>
        <w:ind w:left="0"/>
        <w:rPr>
          <w:lang w:val="en-US"/>
        </w:rPr>
      </w:pPr>
    </w:p>
    <w:p w14:paraId="12DC01F9" w14:textId="77777777" w:rsidR="004A425F" w:rsidRPr="009B40A5" w:rsidRDefault="004A425F" w:rsidP="00641834">
      <w:pPr>
        <w:pStyle w:val="a4"/>
        <w:ind w:left="0"/>
        <w:rPr>
          <w:lang w:val="en-US"/>
        </w:rPr>
      </w:pPr>
    </w:p>
    <w:p w14:paraId="1D446A60"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64B1B233" w14:textId="77777777" w:rsidR="003C749A" w:rsidRPr="00A942F6" w:rsidRDefault="003C749A" w:rsidP="00641834">
      <w:pPr>
        <w:pStyle w:val="a4"/>
        <w:ind w:left="0"/>
        <w:rPr>
          <w:lang w:val="nb-NO"/>
        </w:rPr>
      </w:pPr>
    </w:p>
    <w:p w14:paraId="7723C5CF" w14:textId="12718F4A" w:rsidR="00313200" w:rsidRPr="00CD583D" w:rsidRDefault="00313200" w:rsidP="00313200">
      <w:pPr>
        <w:keepNext/>
        <w:rPr>
          <w:lang w:val="nb-NO"/>
        </w:rPr>
      </w:pPr>
      <w:r w:rsidRPr="00CD583D">
        <w:rPr>
          <w:lang w:val="nb-NO"/>
        </w:rPr>
        <w:t>EU/</w:t>
      </w:r>
      <w:r w:rsidRPr="003672E9">
        <w:rPr>
          <w:spacing w:val="-1"/>
          <w:lang w:val="pt-BR"/>
        </w:rPr>
        <w:t>1/24/1896/00</w:t>
      </w:r>
      <w:r>
        <w:rPr>
          <w:rFonts w:eastAsia="맑은 고딕" w:hint="eastAsia"/>
          <w:spacing w:val="-1"/>
          <w:lang w:val="pt-BR" w:eastAsia="ko-KR"/>
        </w:rPr>
        <w:t>3</w:t>
      </w:r>
      <w:r>
        <w:rPr>
          <w:rFonts w:hint="eastAsia"/>
          <w:spacing w:val="-1"/>
          <w:lang w:val="pt-BR" w:eastAsia="ko-KR"/>
        </w:rPr>
        <w:t xml:space="preserve"> 1 </w:t>
      </w:r>
      <w:r w:rsidR="002F0365">
        <w:rPr>
          <w:spacing w:val="-1"/>
          <w:lang w:val="pt-BR" w:eastAsia="ko-KR"/>
        </w:rPr>
        <w:t>hetteglass</w:t>
      </w:r>
    </w:p>
    <w:p w14:paraId="24A12482" w14:textId="5AAA3727" w:rsidR="00313200" w:rsidRPr="00A942F6" w:rsidRDefault="00313200" w:rsidP="009B40A5">
      <w:pPr>
        <w:rPr>
          <w:lang w:val="nb-NO"/>
        </w:rPr>
      </w:pPr>
      <w:r w:rsidRPr="00CD583D">
        <w:rPr>
          <w:lang w:val="nb-NO"/>
        </w:rPr>
        <w:t>EU/</w:t>
      </w:r>
      <w:r w:rsidRPr="003672E9">
        <w:rPr>
          <w:spacing w:val="-1"/>
          <w:lang w:val="pt-BR"/>
        </w:rPr>
        <w:t>1/24/1896/00</w:t>
      </w:r>
      <w:r>
        <w:rPr>
          <w:rFonts w:eastAsia="맑은 고딕" w:hint="eastAsia"/>
          <w:spacing w:val="-1"/>
          <w:lang w:val="pt-BR" w:eastAsia="ko-KR"/>
        </w:rPr>
        <w:t>4 4</w:t>
      </w:r>
      <w:r>
        <w:rPr>
          <w:rFonts w:hint="eastAsia"/>
          <w:spacing w:val="-1"/>
          <w:lang w:val="pt-BR" w:eastAsia="ko-KR"/>
        </w:rPr>
        <w:t xml:space="preserve"> </w:t>
      </w:r>
      <w:r w:rsidR="002F0365">
        <w:rPr>
          <w:spacing w:val="-1"/>
          <w:lang w:val="pt-BR" w:eastAsia="ko-KR"/>
        </w:rPr>
        <w:t>hetteglass</w:t>
      </w:r>
    </w:p>
    <w:p w14:paraId="48B19B50" w14:textId="77777777" w:rsidR="004A425F" w:rsidRPr="00A942F6" w:rsidRDefault="004A425F" w:rsidP="00641834">
      <w:pPr>
        <w:pStyle w:val="a4"/>
        <w:ind w:left="0"/>
        <w:rPr>
          <w:lang w:val="nb-NO"/>
        </w:rPr>
      </w:pPr>
    </w:p>
    <w:p w14:paraId="60A0247A" w14:textId="77777777" w:rsidR="004A425F" w:rsidRPr="00A942F6" w:rsidRDefault="004A425F" w:rsidP="00641834">
      <w:pPr>
        <w:pStyle w:val="a4"/>
        <w:ind w:left="0"/>
        <w:rPr>
          <w:lang w:val="nb-NO"/>
        </w:rPr>
      </w:pPr>
    </w:p>
    <w:p w14:paraId="7AA4430B"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0AACFE53" w14:textId="77777777" w:rsidR="003C749A" w:rsidRPr="00A942F6" w:rsidRDefault="003C749A" w:rsidP="00641834">
      <w:pPr>
        <w:pStyle w:val="a4"/>
        <w:ind w:left="0"/>
        <w:rPr>
          <w:lang w:val="nb-NO"/>
        </w:rPr>
      </w:pPr>
    </w:p>
    <w:p w14:paraId="29A57D69" w14:textId="77777777" w:rsidR="004A425F" w:rsidRPr="00A942F6" w:rsidRDefault="004A425F" w:rsidP="00641834">
      <w:pPr>
        <w:pStyle w:val="a4"/>
        <w:ind w:left="0"/>
        <w:rPr>
          <w:lang w:val="nb-NO"/>
        </w:rPr>
      </w:pPr>
      <w:r w:rsidRPr="00A942F6">
        <w:rPr>
          <w:lang w:val="nb-NO"/>
        </w:rPr>
        <w:t>Lot</w:t>
      </w:r>
    </w:p>
    <w:p w14:paraId="4CC8F505" w14:textId="77777777" w:rsidR="004A425F" w:rsidRPr="00A942F6" w:rsidRDefault="004A425F" w:rsidP="00641834">
      <w:pPr>
        <w:pStyle w:val="a4"/>
        <w:ind w:left="0"/>
        <w:rPr>
          <w:lang w:val="nb-NO"/>
        </w:rPr>
      </w:pPr>
    </w:p>
    <w:p w14:paraId="546C8C6B" w14:textId="77777777" w:rsidR="003C749A" w:rsidRPr="00A942F6" w:rsidRDefault="003C749A" w:rsidP="00641834">
      <w:pPr>
        <w:pStyle w:val="a4"/>
        <w:ind w:left="0"/>
        <w:rPr>
          <w:lang w:val="nb-NO"/>
        </w:rPr>
      </w:pPr>
    </w:p>
    <w:p w14:paraId="6353C946"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205D6B8E" w14:textId="77777777" w:rsidR="004A425F" w:rsidRPr="00A942F6" w:rsidRDefault="004A425F" w:rsidP="00641834">
      <w:pPr>
        <w:pStyle w:val="a4"/>
        <w:ind w:left="0"/>
        <w:rPr>
          <w:lang w:val="nb-NO"/>
        </w:rPr>
      </w:pPr>
    </w:p>
    <w:p w14:paraId="3AF3FA5B" w14:textId="77777777" w:rsidR="004A425F" w:rsidRPr="00CB45D2" w:rsidRDefault="004A425F" w:rsidP="00641834">
      <w:pPr>
        <w:pStyle w:val="a4"/>
        <w:ind w:left="0"/>
        <w:rPr>
          <w:color w:val="000000"/>
          <w:highlight w:val="lightGray"/>
          <w:shd w:val="pct35" w:color="auto" w:fill="auto"/>
          <w:lang w:val="nb-NO"/>
        </w:rPr>
      </w:pPr>
      <w:r w:rsidRPr="00CB45D2">
        <w:rPr>
          <w:color w:val="000000"/>
          <w:highlight w:val="lightGray"/>
          <w:shd w:val="pct35" w:color="auto" w:fill="auto"/>
          <w:lang w:val="nb-NO"/>
        </w:rPr>
        <w:t>Reseptpliktig legemiddel</w:t>
      </w:r>
    </w:p>
    <w:p w14:paraId="3CD851BF" w14:textId="77777777" w:rsidR="004A425F" w:rsidRPr="00A942F6" w:rsidRDefault="004A425F" w:rsidP="00641834">
      <w:pPr>
        <w:pStyle w:val="a4"/>
        <w:ind w:left="0"/>
        <w:rPr>
          <w:lang w:val="nb-NO"/>
        </w:rPr>
      </w:pPr>
    </w:p>
    <w:p w14:paraId="51C4DA50" w14:textId="77777777" w:rsidR="004A425F" w:rsidRPr="00A942F6" w:rsidRDefault="004A425F" w:rsidP="00641834">
      <w:pPr>
        <w:pStyle w:val="a4"/>
        <w:ind w:left="0"/>
        <w:rPr>
          <w:lang w:val="nb-NO"/>
        </w:rPr>
      </w:pPr>
    </w:p>
    <w:p w14:paraId="07F8054F"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50F05DCC" w14:textId="77777777" w:rsidR="004A425F" w:rsidRPr="00A942F6" w:rsidRDefault="004A425F" w:rsidP="00641834">
      <w:pPr>
        <w:pStyle w:val="a4"/>
        <w:ind w:left="0"/>
        <w:rPr>
          <w:lang w:val="nb-NO"/>
        </w:rPr>
      </w:pPr>
    </w:p>
    <w:p w14:paraId="304B3A7F" w14:textId="77777777" w:rsidR="003C749A" w:rsidRPr="00A942F6" w:rsidRDefault="003C749A" w:rsidP="00641834">
      <w:pPr>
        <w:pStyle w:val="a4"/>
        <w:ind w:left="0"/>
        <w:rPr>
          <w:lang w:val="nb-NO"/>
        </w:rPr>
      </w:pPr>
    </w:p>
    <w:p w14:paraId="510FD661"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67A02293" w14:textId="77777777" w:rsidR="004A425F" w:rsidRPr="00A942F6" w:rsidRDefault="004A425F" w:rsidP="00641834">
      <w:pPr>
        <w:pStyle w:val="a4"/>
        <w:ind w:left="0"/>
        <w:rPr>
          <w:lang w:val="nb-NO"/>
        </w:rPr>
      </w:pPr>
    </w:p>
    <w:p w14:paraId="055B4B5B" w14:textId="77777777" w:rsidR="004A425F" w:rsidRPr="00CB45D2" w:rsidRDefault="004A425F" w:rsidP="00641834">
      <w:pPr>
        <w:pStyle w:val="a4"/>
        <w:ind w:left="0"/>
        <w:rPr>
          <w:color w:val="000000"/>
          <w:highlight w:val="lightGray"/>
          <w:shd w:val="pct35" w:color="auto" w:fill="auto"/>
          <w:lang w:val="nb-NO"/>
        </w:rPr>
      </w:pPr>
      <w:r w:rsidRPr="00CB45D2">
        <w:rPr>
          <w:color w:val="000000"/>
          <w:highlight w:val="lightGray"/>
          <w:shd w:val="pct35" w:color="auto" w:fill="auto"/>
          <w:lang w:val="nb-NO"/>
        </w:rPr>
        <w:t>Fritatt fra krav om blindeskrift</w:t>
      </w:r>
    </w:p>
    <w:p w14:paraId="1A668F65" w14:textId="77777777" w:rsidR="004A425F" w:rsidRPr="00A942F6" w:rsidRDefault="004A425F" w:rsidP="00641834">
      <w:pPr>
        <w:pStyle w:val="a4"/>
        <w:ind w:left="0"/>
        <w:rPr>
          <w:lang w:val="nb-NO"/>
        </w:rPr>
      </w:pPr>
    </w:p>
    <w:p w14:paraId="6B97C50B" w14:textId="77777777" w:rsidR="004A425F" w:rsidRPr="00A942F6" w:rsidRDefault="004A425F" w:rsidP="00641834">
      <w:pPr>
        <w:pStyle w:val="a4"/>
        <w:ind w:left="0"/>
        <w:rPr>
          <w:lang w:val="nb-NO"/>
        </w:rPr>
      </w:pPr>
    </w:p>
    <w:p w14:paraId="386F2F68"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1C7A7EBA" w14:textId="77777777" w:rsidR="004A425F" w:rsidRPr="00A942F6" w:rsidRDefault="004A425F" w:rsidP="00641834">
      <w:pPr>
        <w:pStyle w:val="a4"/>
        <w:ind w:left="0"/>
        <w:rPr>
          <w:lang w:val="nb-NO"/>
        </w:rPr>
      </w:pPr>
    </w:p>
    <w:p w14:paraId="225C6629"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4DC7FC66" w14:textId="77777777" w:rsidR="004A425F" w:rsidRPr="00A942F6" w:rsidRDefault="004A425F" w:rsidP="00641834">
      <w:pPr>
        <w:pStyle w:val="a4"/>
        <w:ind w:left="0"/>
        <w:rPr>
          <w:lang w:val="nb-NO"/>
        </w:rPr>
      </w:pPr>
    </w:p>
    <w:p w14:paraId="0C2AB62A" w14:textId="77777777" w:rsidR="004A425F" w:rsidRPr="00A942F6" w:rsidRDefault="004A425F" w:rsidP="00641834">
      <w:pPr>
        <w:pStyle w:val="a4"/>
        <w:ind w:left="0"/>
        <w:rPr>
          <w:lang w:val="nb-NO"/>
        </w:rPr>
      </w:pPr>
    </w:p>
    <w:p w14:paraId="5D9B2C51"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25000F12" w14:textId="77777777" w:rsidR="003C749A" w:rsidRPr="00A942F6" w:rsidRDefault="003C749A" w:rsidP="00641834">
      <w:pPr>
        <w:pStyle w:val="a4"/>
        <w:ind w:left="0"/>
        <w:rPr>
          <w:lang w:val="nb-NO"/>
        </w:rPr>
      </w:pPr>
    </w:p>
    <w:p w14:paraId="0E4EF1BF" w14:textId="77777777" w:rsidR="00CE3DBA" w:rsidRPr="00A942F6" w:rsidRDefault="004A425F" w:rsidP="00641834">
      <w:pPr>
        <w:pStyle w:val="a4"/>
        <w:ind w:left="0"/>
        <w:jc w:val="both"/>
        <w:rPr>
          <w:lang w:val="nb-NO"/>
        </w:rPr>
      </w:pPr>
      <w:r w:rsidRPr="00A942F6">
        <w:rPr>
          <w:lang w:val="nb-NO"/>
        </w:rPr>
        <w:t>PC</w:t>
      </w:r>
    </w:p>
    <w:p w14:paraId="059CD574" w14:textId="77777777" w:rsidR="00CE3DBA" w:rsidRPr="00A942F6" w:rsidRDefault="004A425F" w:rsidP="00641834">
      <w:pPr>
        <w:pStyle w:val="a4"/>
        <w:ind w:left="0"/>
        <w:jc w:val="both"/>
        <w:rPr>
          <w:lang w:val="nb-NO"/>
        </w:rPr>
      </w:pPr>
      <w:r w:rsidRPr="00A942F6">
        <w:rPr>
          <w:lang w:val="nb-NO"/>
        </w:rPr>
        <w:t>SN</w:t>
      </w:r>
    </w:p>
    <w:p w14:paraId="6CB564EE" w14:textId="77777777" w:rsidR="004A425F" w:rsidRPr="00A942F6" w:rsidRDefault="004A425F" w:rsidP="00641834">
      <w:pPr>
        <w:pStyle w:val="a4"/>
        <w:ind w:left="0"/>
        <w:jc w:val="both"/>
        <w:rPr>
          <w:lang w:val="nb-NO"/>
        </w:rPr>
      </w:pPr>
      <w:r w:rsidRPr="00CD583D">
        <w:rPr>
          <w:highlight w:val="lightGray"/>
          <w:lang w:val="nb-NO"/>
        </w:rPr>
        <w:t>NN</w:t>
      </w:r>
    </w:p>
    <w:p w14:paraId="15D9B6E3" w14:textId="7ED56DC2" w:rsidR="003C749A" w:rsidRPr="00A942F6" w:rsidRDefault="00E31057"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3C749A" w:rsidRPr="00A942F6">
        <w:rPr>
          <w:b/>
          <w:lang w:val="nb-NO"/>
        </w:rPr>
        <w:lastRenderedPageBreak/>
        <w:t>OPPLYSNINGER, SOM SKAL ANGIS PÅ YTRE EMBALLASJE</w:t>
      </w:r>
    </w:p>
    <w:p w14:paraId="5C49CC93" w14:textId="77777777" w:rsidR="003C749A" w:rsidRPr="00A942F6" w:rsidRDefault="003C749A" w:rsidP="00641834">
      <w:pPr>
        <w:pBdr>
          <w:top w:val="single" w:sz="4" w:space="1" w:color="auto"/>
          <w:left w:val="single" w:sz="4" w:space="4" w:color="auto"/>
          <w:bottom w:val="single" w:sz="4" w:space="1" w:color="auto"/>
          <w:right w:val="single" w:sz="4" w:space="4" w:color="auto"/>
        </w:pBdr>
        <w:rPr>
          <w:b/>
          <w:lang w:val="nb-NO"/>
        </w:rPr>
      </w:pPr>
    </w:p>
    <w:p w14:paraId="163A0064" w14:textId="77777777" w:rsidR="003C749A" w:rsidRPr="00A942F6" w:rsidRDefault="003C749A"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w:t>
      </w:r>
    </w:p>
    <w:p w14:paraId="4A2DBFC3" w14:textId="77777777" w:rsidR="004A425F" w:rsidRPr="00A942F6" w:rsidRDefault="004A425F" w:rsidP="00641834">
      <w:pPr>
        <w:pStyle w:val="a4"/>
        <w:ind w:left="0"/>
        <w:rPr>
          <w:lang w:val="nb-NO"/>
        </w:rPr>
      </w:pPr>
    </w:p>
    <w:p w14:paraId="582287F6" w14:textId="77777777" w:rsidR="004A425F" w:rsidRPr="00A942F6" w:rsidRDefault="004A425F" w:rsidP="00641834">
      <w:pPr>
        <w:pStyle w:val="a4"/>
        <w:ind w:left="0"/>
        <w:rPr>
          <w:lang w:val="nb-NO"/>
        </w:rPr>
      </w:pPr>
    </w:p>
    <w:p w14:paraId="3FC6C654"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47B355D0" w14:textId="77777777" w:rsidR="003C749A" w:rsidRPr="00A942F6" w:rsidRDefault="003C749A" w:rsidP="00641834">
      <w:pPr>
        <w:pStyle w:val="a4"/>
        <w:ind w:left="0"/>
        <w:rPr>
          <w:lang w:val="nb-NO"/>
        </w:rPr>
      </w:pPr>
    </w:p>
    <w:p w14:paraId="45EFE979" w14:textId="24433489" w:rsidR="00875DFA" w:rsidRPr="00A942F6" w:rsidRDefault="00923E68" w:rsidP="00641834">
      <w:pPr>
        <w:pStyle w:val="a4"/>
        <w:ind w:left="0"/>
        <w:rPr>
          <w:lang w:val="nb-NO"/>
        </w:rPr>
      </w:pPr>
      <w:r w:rsidRPr="00A942F6">
        <w:rPr>
          <w:lang w:val="nb-NO"/>
        </w:rPr>
        <w:t>Avtozma</w:t>
      </w:r>
      <w:r w:rsidR="004A425F" w:rsidRPr="00A942F6">
        <w:rPr>
          <w:lang w:val="nb-NO"/>
        </w:rPr>
        <w:t xml:space="preserve"> 20 mg/ml konsentrat til infusjonsvæske, </w:t>
      </w:r>
      <w:r w:rsidR="00875DFA" w:rsidRPr="00A942F6">
        <w:rPr>
          <w:lang w:val="nb-NO"/>
        </w:rPr>
        <w:t>oppløsning</w:t>
      </w:r>
    </w:p>
    <w:p w14:paraId="1FDCA9CA" w14:textId="77777777" w:rsidR="004A425F" w:rsidRPr="00A942F6" w:rsidRDefault="004A425F" w:rsidP="00641834">
      <w:pPr>
        <w:pStyle w:val="a4"/>
        <w:ind w:left="0"/>
        <w:rPr>
          <w:lang w:val="nb-NO"/>
        </w:rPr>
      </w:pPr>
      <w:r w:rsidRPr="00A942F6">
        <w:rPr>
          <w:lang w:val="nb-NO"/>
        </w:rPr>
        <w:t>tocilizumab</w:t>
      </w:r>
    </w:p>
    <w:p w14:paraId="6F6A7442" w14:textId="77777777" w:rsidR="004A425F" w:rsidRPr="00A942F6" w:rsidRDefault="004A425F" w:rsidP="00641834">
      <w:pPr>
        <w:pStyle w:val="a4"/>
        <w:ind w:left="0"/>
        <w:rPr>
          <w:lang w:val="nb-NO"/>
        </w:rPr>
      </w:pPr>
    </w:p>
    <w:p w14:paraId="61FB0BEC" w14:textId="77777777" w:rsidR="004A425F" w:rsidRPr="00A942F6" w:rsidRDefault="004A425F" w:rsidP="00641834">
      <w:pPr>
        <w:pStyle w:val="a4"/>
        <w:ind w:left="0"/>
        <w:rPr>
          <w:lang w:val="nb-NO"/>
        </w:rPr>
      </w:pPr>
    </w:p>
    <w:p w14:paraId="770557FD"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230D7D66" w14:textId="77777777" w:rsidR="003C749A" w:rsidRPr="00A942F6" w:rsidRDefault="003C749A" w:rsidP="00641834">
      <w:pPr>
        <w:pStyle w:val="a4"/>
        <w:ind w:left="0"/>
        <w:rPr>
          <w:lang w:val="nb-NO"/>
        </w:rPr>
      </w:pPr>
    </w:p>
    <w:p w14:paraId="57906887" w14:textId="77777777" w:rsidR="004A425F" w:rsidRPr="00A942F6" w:rsidRDefault="004A425F" w:rsidP="00641834">
      <w:pPr>
        <w:pStyle w:val="a4"/>
        <w:ind w:left="0"/>
        <w:rPr>
          <w:lang w:val="nb-NO"/>
        </w:rPr>
      </w:pPr>
      <w:r w:rsidRPr="00A942F6">
        <w:rPr>
          <w:lang w:val="nb-NO"/>
        </w:rPr>
        <w:t>1 hetteglass inneholder 400 mg tocilizumab.</w:t>
      </w:r>
    </w:p>
    <w:p w14:paraId="5A06DEE7" w14:textId="77777777" w:rsidR="004A425F" w:rsidRPr="00A942F6" w:rsidRDefault="004A425F" w:rsidP="00641834">
      <w:pPr>
        <w:pStyle w:val="a4"/>
        <w:ind w:left="0"/>
        <w:rPr>
          <w:lang w:val="nb-NO"/>
        </w:rPr>
      </w:pPr>
    </w:p>
    <w:p w14:paraId="54A23848" w14:textId="77777777" w:rsidR="003C749A" w:rsidRPr="00A942F6" w:rsidRDefault="003C749A" w:rsidP="00641834">
      <w:pPr>
        <w:pStyle w:val="a4"/>
        <w:ind w:left="0"/>
        <w:rPr>
          <w:lang w:val="nb-NO"/>
        </w:rPr>
      </w:pPr>
    </w:p>
    <w:p w14:paraId="6E55FF5D"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7432917C" w14:textId="77777777" w:rsidR="004A425F" w:rsidRPr="00A942F6" w:rsidRDefault="004A425F" w:rsidP="00641834">
      <w:pPr>
        <w:pStyle w:val="a4"/>
        <w:ind w:left="0"/>
        <w:rPr>
          <w:lang w:val="nb-NO"/>
        </w:rPr>
      </w:pPr>
    </w:p>
    <w:p w14:paraId="5304483E" w14:textId="0E4DBE1A" w:rsidR="009E129A" w:rsidRPr="00A942F6" w:rsidRDefault="009E129A" w:rsidP="009E129A">
      <w:pPr>
        <w:pStyle w:val="a4"/>
        <w:ind w:left="0"/>
        <w:rPr>
          <w:lang w:val="nb-NO"/>
        </w:rPr>
      </w:pPr>
      <w:r w:rsidRPr="00A942F6">
        <w:rPr>
          <w:lang w:val="nb-NO"/>
        </w:rPr>
        <w:t>Hjelpestoffer: L</w:t>
      </w:r>
      <w:r w:rsidR="00D82EA0">
        <w:rPr>
          <w:lang w:val="nb-NO"/>
        </w:rPr>
        <w:noBreakHyphen/>
      </w:r>
      <w:r w:rsidRPr="00A942F6">
        <w:rPr>
          <w:lang w:val="nb-NO"/>
        </w:rPr>
        <w:t>histidin,</w:t>
      </w:r>
      <w:r w:rsidR="00D44161">
        <w:rPr>
          <w:rFonts w:eastAsia="맑은 고딕" w:hint="eastAsia"/>
          <w:lang w:val="nb-NO" w:eastAsia="ko-KR"/>
        </w:rPr>
        <w:t xml:space="preserve"> </w:t>
      </w:r>
      <w:r w:rsidR="001B685D" w:rsidRPr="001B685D">
        <w:rPr>
          <w:rFonts w:eastAsia="맑은 고딕"/>
          <w:lang w:val="en-US" w:eastAsia="ko-KR"/>
        </w:rPr>
        <w:t>L-histidin monohydroklorid monohydrat</w:t>
      </w:r>
      <w:r w:rsidR="00220441" w:rsidRPr="00BD4D94">
        <w:rPr>
          <w:lang w:val="nb-NO"/>
        </w:rPr>
        <w:t>,</w:t>
      </w:r>
      <w:r w:rsidR="00220441">
        <w:rPr>
          <w:rFonts w:eastAsia="맑은 고딕" w:hint="eastAsia"/>
          <w:lang w:val="nb-NO" w:eastAsia="ko-KR"/>
        </w:rPr>
        <w:t xml:space="preserve"> </w:t>
      </w:r>
      <w:r w:rsidRPr="00A942F6">
        <w:rPr>
          <w:lang w:val="nb-NO"/>
        </w:rPr>
        <w:t>L</w:t>
      </w:r>
      <w:r w:rsidR="00D82EA0">
        <w:rPr>
          <w:lang w:val="nb-NO"/>
        </w:rPr>
        <w:noBreakHyphen/>
      </w:r>
      <w:r w:rsidRPr="00A942F6">
        <w:rPr>
          <w:lang w:val="nb-NO"/>
        </w:rPr>
        <w:t>treonin, L</w:t>
      </w:r>
      <w:r w:rsidR="00D82EA0">
        <w:rPr>
          <w:lang w:val="nb-NO"/>
        </w:rPr>
        <w:noBreakHyphen/>
      </w:r>
      <w:r w:rsidRPr="00A942F6">
        <w:rPr>
          <w:lang w:val="nb-NO"/>
        </w:rPr>
        <w:t>metionin, polysorbat 80 og vann til injeksjonsvæsker.</w:t>
      </w:r>
    </w:p>
    <w:p w14:paraId="665458A6" w14:textId="414334C0" w:rsidR="004A425F" w:rsidRPr="00A942F6" w:rsidRDefault="004A425F" w:rsidP="00641834">
      <w:pPr>
        <w:pStyle w:val="a4"/>
        <w:ind w:left="0"/>
        <w:rPr>
          <w:lang w:val="nb-NO"/>
        </w:rPr>
      </w:pPr>
      <w:r w:rsidRPr="00A942F6">
        <w:rPr>
          <w:lang w:val="nb-NO"/>
        </w:rPr>
        <w:t>Se pakningsvedlegget for ytterligere informasjon.</w:t>
      </w:r>
    </w:p>
    <w:p w14:paraId="4CD9C83F" w14:textId="77777777" w:rsidR="004A425F" w:rsidRPr="00A942F6" w:rsidRDefault="004A425F" w:rsidP="00641834">
      <w:pPr>
        <w:pStyle w:val="a4"/>
        <w:ind w:left="0"/>
        <w:rPr>
          <w:lang w:val="nb-NO"/>
        </w:rPr>
      </w:pPr>
    </w:p>
    <w:p w14:paraId="59E400F6" w14:textId="77777777" w:rsidR="004A425F" w:rsidRPr="00A942F6" w:rsidRDefault="004A425F" w:rsidP="00641834">
      <w:pPr>
        <w:pStyle w:val="a4"/>
        <w:ind w:left="0"/>
        <w:rPr>
          <w:lang w:val="nb-NO"/>
        </w:rPr>
      </w:pPr>
    </w:p>
    <w:p w14:paraId="1B05C2AC"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470A0A24" w14:textId="77777777" w:rsidR="003C749A" w:rsidRPr="00A942F6" w:rsidRDefault="003C749A" w:rsidP="00641834">
      <w:pPr>
        <w:pStyle w:val="a4"/>
        <w:ind w:left="0"/>
        <w:rPr>
          <w:lang w:val="nb-NO"/>
        </w:rPr>
      </w:pPr>
    </w:p>
    <w:p w14:paraId="6733CFC2" w14:textId="77777777" w:rsidR="00F723F3" w:rsidRPr="00A942F6" w:rsidRDefault="004A425F" w:rsidP="00641834">
      <w:pPr>
        <w:pStyle w:val="a4"/>
        <w:ind w:left="0"/>
        <w:rPr>
          <w:lang w:val="nb-NO"/>
        </w:rPr>
      </w:pPr>
      <w:r w:rsidRPr="00A942F6">
        <w:rPr>
          <w:lang w:val="nb-NO"/>
        </w:rPr>
        <w:t>Konsentrat</w:t>
      </w:r>
      <w:r w:rsidR="00F723F3" w:rsidRPr="00A942F6">
        <w:rPr>
          <w:lang w:val="nb-NO"/>
        </w:rPr>
        <w:t xml:space="preserve"> til infusjonsvæske, oppløsning</w:t>
      </w:r>
    </w:p>
    <w:p w14:paraId="49B626A9" w14:textId="77777777" w:rsidR="004A425F" w:rsidRPr="009B40A5" w:rsidRDefault="004A425F" w:rsidP="00641834">
      <w:pPr>
        <w:pStyle w:val="a4"/>
        <w:ind w:left="0"/>
        <w:rPr>
          <w:lang w:val="sv-SE"/>
        </w:rPr>
      </w:pPr>
      <w:r w:rsidRPr="009B40A5">
        <w:rPr>
          <w:lang w:val="sv-SE"/>
        </w:rPr>
        <w:t>400 mg/20 ml</w:t>
      </w:r>
    </w:p>
    <w:p w14:paraId="6BF5EB6C" w14:textId="77777777" w:rsidR="004A425F" w:rsidRPr="009B40A5" w:rsidRDefault="004A425F" w:rsidP="00641834">
      <w:pPr>
        <w:pStyle w:val="a4"/>
        <w:ind w:left="0"/>
        <w:rPr>
          <w:lang w:val="sv-SE"/>
        </w:rPr>
      </w:pPr>
      <w:r w:rsidRPr="009B40A5">
        <w:rPr>
          <w:lang w:val="sv-SE"/>
        </w:rPr>
        <w:t>1 hetteglass á 20 ml</w:t>
      </w:r>
    </w:p>
    <w:p w14:paraId="545579C1" w14:textId="77777777" w:rsidR="004A425F" w:rsidRPr="009B40A5" w:rsidRDefault="004A425F" w:rsidP="00641834">
      <w:pPr>
        <w:pStyle w:val="a4"/>
        <w:ind w:left="0"/>
        <w:rPr>
          <w:lang w:val="sv-SE"/>
        </w:rPr>
      </w:pPr>
      <w:r w:rsidRPr="009B40A5">
        <w:rPr>
          <w:lang w:val="sv-SE"/>
        </w:rPr>
        <w:t>4 hetteglass á 20 ml</w:t>
      </w:r>
    </w:p>
    <w:p w14:paraId="6E2CD420" w14:textId="77777777" w:rsidR="004A425F" w:rsidRPr="009B40A5" w:rsidRDefault="004A425F" w:rsidP="00641834">
      <w:pPr>
        <w:pStyle w:val="a4"/>
        <w:ind w:left="0"/>
        <w:rPr>
          <w:lang w:val="sv-SE"/>
        </w:rPr>
      </w:pPr>
    </w:p>
    <w:p w14:paraId="48D2C8DC" w14:textId="77777777" w:rsidR="004A425F" w:rsidRPr="009B40A5" w:rsidRDefault="004A425F" w:rsidP="00641834">
      <w:pPr>
        <w:pStyle w:val="a4"/>
        <w:ind w:left="0"/>
        <w:rPr>
          <w:lang w:val="sv-SE"/>
        </w:rPr>
      </w:pPr>
    </w:p>
    <w:p w14:paraId="597075DD" w14:textId="77777777" w:rsidR="003C749A" w:rsidRPr="00A942F6" w:rsidRDefault="003C749A"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4A66863C" w14:textId="77777777" w:rsidR="003C749A" w:rsidRPr="00A942F6" w:rsidRDefault="003C749A" w:rsidP="00641834">
      <w:pPr>
        <w:pStyle w:val="a4"/>
        <w:ind w:left="0"/>
        <w:rPr>
          <w:lang w:val="nb-NO"/>
        </w:rPr>
      </w:pPr>
    </w:p>
    <w:p w14:paraId="5A389BAA" w14:textId="77777777" w:rsidR="004A425F" w:rsidRPr="00A942F6" w:rsidRDefault="004A425F" w:rsidP="00641834">
      <w:pPr>
        <w:pStyle w:val="a4"/>
        <w:ind w:left="0"/>
        <w:rPr>
          <w:lang w:val="nb-NO"/>
        </w:rPr>
      </w:pPr>
      <w:r w:rsidRPr="00A942F6">
        <w:rPr>
          <w:lang w:val="nb-NO"/>
        </w:rPr>
        <w:t>Til intravenøs infusjon etter fortynning</w:t>
      </w:r>
    </w:p>
    <w:p w14:paraId="48B8A9DD" w14:textId="77777777" w:rsidR="00CE3DBA" w:rsidRPr="00A942F6" w:rsidRDefault="004A425F" w:rsidP="00641834">
      <w:pPr>
        <w:pStyle w:val="a4"/>
        <w:ind w:left="0"/>
        <w:rPr>
          <w:lang w:val="nb-NO"/>
        </w:rPr>
      </w:pPr>
      <w:r w:rsidRPr="00A942F6">
        <w:rPr>
          <w:lang w:val="nb-NO"/>
        </w:rPr>
        <w:t xml:space="preserve">Det fortynnede produktet bør brukes </w:t>
      </w:r>
      <w:r w:rsidR="00CE3DBA" w:rsidRPr="00A942F6">
        <w:rPr>
          <w:lang w:val="nb-NO"/>
        </w:rPr>
        <w:t>umiddelbart</w:t>
      </w:r>
    </w:p>
    <w:p w14:paraId="6F596CB5" w14:textId="77777777" w:rsidR="004A425F" w:rsidRPr="00A942F6" w:rsidRDefault="004A425F" w:rsidP="00641834">
      <w:pPr>
        <w:pStyle w:val="a4"/>
        <w:ind w:left="0"/>
        <w:rPr>
          <w:lang w:val="nb-NO"/>
        </w:rPr>
      </w:pPr>
      <w:r w:rsidRPr="00A942F6">
        <w:rPr>
          <w:lang w:val="nb-NO"/>
        </w:rPr>
        <w:t>Les pakningsvedlegget før bruk</w:t>
      </w:r>
    </w:p>
    <w:p w14:paraId="54AC4B65" w14:textId="77777777" w:rsidR="004A425F" w:rsidRPr="00A942F6" w:rsidRDefault="004A425F" w:rsidP="00641834">
      <w:pPr>
        <w:pStyle w:val="a4"/>
        <w:ind w:left="0"/>
        <w:rPr>
          <w:lang w:val="nb-NO"/>
        </w:rPr>
      </w:pPr>
    </w:p>
    <w:p w14:paraId="70D55467" w14:textId="77777777" w:rsidR="004100AF" w:rsidRPr="00A942F6" w:rsidRDefault="004100AF" w:rsidP="00641834">
      <w:pPr>
        <w:pStyle w:val="a4"/>
        <w:ind w:left="0"/>
        <w:rPr>
          <w:lang w:val="nb-NO"/>
        </w:rPr>
      </w:pPr>
    </w:p>
    <w:p w14:paraId="4313F724" w14:textId="77777777" w:rsidR="004100AF" w:rsidRPr="00A942F6" w:rsidRDefault="004100AF"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t>ADVARSEL OM AT LEGEMIDLET SKAL OPPBEVARES UTILGJENGELIG FOR BARN</w:t>
      </w:r>
    </w:p>
    <w:p w14:paraId="6FFD0681" w14:textId="77777777" w:rsidR="004A425F" w:rsidRPr="00A942F6" w:rsidRDefault="004A425F" w:rsidP="00641834">
      <w:pPr>
        <w:pStyle w:val="a4"/>
        <w:ind w:left="0"/>
        <w:rPr>
          <w:lang w:val="nb-NO"/>
        </w:rPr>
      </w:pPr>
    </w:p>
    <w:p w14:paraId="58EF6851" w14:textId="77777777" w:rsidR="004A425F" w:rsidRPr="00A942F6" w:rsidRDefault="004A425F" w:rsidP="00641834">
      <w:pPr>
        <w:pStyle w:val="a4"/>
        <w:ind w:left="0"/>
        <w:rPr>
          <w:lang w:val="nb-NO"/>
        </w:rPr>
      </w:pPr>
      <w:r w:rsidRPr="00A942F6">
        <w:rPr>
          <w:lang w:val="nb-NO"/>
        </w:rPr>
        <w:t>Oppbevares utilgjengelig for barn</w:t>
      </w:r>
    </w:p>
    <w:p w14:paraId="7381C32A" w14:textId="77777777" w:rsidR="004A425F" w:rsidRPr="00A942F6" w:rsidRDefault="004A425F" w:rsidP="00641834">
      <w:pPr>
        <w:pStyle w:val="a4"/>
        <w:ind w:left="0"/>
        <w:rPr>
          <w:lang w:val="nb-NO"/>
        </w:rPr>
      </w:pPr>
    </w:p>
    <w:p w14:paraId="542916FF" w14:textId="77777777" w:rsidR="004100AF" w:rsidRPr="00A942F6" w:rsidRDefault="004100AF" w:rsidP="00641834">
      <w:pPr>
        <w:pStyle w:val="a4"/>
        <w:ind w:left="0"/>
        <w:rPr>
          <w:lang w:val="nb-NO"/>
        </w:rPr>
      </w:pPr>
    </w:p>
    <w:p w14:paraId="47640E7A"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648C2FFE" w14:textId="77777777" w:rsidR="004A425F" w:rsidRPr="00A942F6" w:rsidRDefault="004A425F" w:rsidP="00641834">
      <w:pPr>
        <w:pStyle w:val="a4"/>
        <w:ind w:left="0"/>
        <w:rPr>
          <w:lang w:val="nb-NO"/>
        </w:rPr>
      </w:pPr>
    </w:p>
    <w:p w14:paraId="7119FCA9" w14:textId="77777777" w:rsidR="004A425F" w:rsidRPr="00A942F6" w:rsidRDefault="004A425F" w:rsidP="00641834">
      <w:pPr>
        <w:pStyle w:val="a4"/>
        <w:ind w:left="0"/>
        <w:rPr>
          <w:lang w:val="nb-NO"/>
        </w:rPr>
      </w:pPr>
    </w:p>
    <w:p w14:paraId="0CFED3FD"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2717364D" w14:textId="77777777" w:rsidR="004A425F" w:rsidRPr="00A942F6" w:rsidRDefault="004A425F" w:rsidP="00641834">
      <w:pPr>
        <w:pStyle w:val="a4"/>
        <w:ind w:left="0"/>
        <w:rPr>
          <w:lang w:val="nb-NO"/>
        </w:rPr>
      </w:pPr>
    </w:p>
    <w:p w14:paraId="408AF3F3" w14:textId="77777777" w:rsidR="004A425F" w:rsidRPr="00A942F6" w:rsidRDefault="004A425F" w:rsidP="00641834">
      <w:pPr>
        <w:pStyle w:val="a4"/>
        <w:ind w:left="0"/>
        <w:rPr>
          <w:lang w:val="nb-NO"/>
        </w:rPr>
      </w:pPr>
      <w:r w:rsidRPr="00A942F6">
        <w:rPr>
          <w:lang w:val="nb-NO"/>
        </w:rPr>
        <w:t>EXP</w:t>
      </w:r>
    </w:p>
    <w:p w14:paraId="2DBD9229" w14:textId="77777777" w:rsidR="004A425F" w:rsidRPr="00A942F6" w:rsidRDefault="004A425F" w:rsidP="00641834">
      <w:pPr>
        <w:pStyle w:val="a4"/>
        <w:ind w:left="0"/>
        <w:rPr>
          <w:lang w:val="nb-NO"/>
        </w:rPr>
      </w:pPr>
    </w:p>
    <w:p w14:paraId="5C9D036A" w14:textId="77777777" w:rsidR="004100AF" w:rsidRPr="00A942F6" w:rsidRDefault="004100AF" w:rsidP="00641834">
      <w:pPr>
        <w:pStyle w:val="a4"/>
        <w:ind w:left="0"/>
        <w:rPr>
          <w:lang w:val="nb-NO"/>
        </w:rPr>
      </w:pPr>
    </w:p>
    <w:p w14:paraId="0E98CF27" w14:textId="77777777" w:rsidR="004100AF" w:rsidRPr="00A942F6" w:rsidRDefault="004100AF"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174FD640" w14:textId="77777777" w:rsidR="004A425F" w:rsidRPr="00A942F6" w:rsidRDefault="004A425F" w:rsidP="00641834">
      <w:pPr>
        <w:pStyle w:val="a4"/>
        <w:keepNext/>
        <w:ind w:left="0"/>
        <w:rPr>
          <w:lang w:val="nb-NO"/>
        </w:rPr>
      </w:pPr>
    </w:p>
    <w:p w14:paraId="6CDB08E0" w14:textId="77777777" w:rsidR="00CE3DBA" w:rsidRPr="00A942F6" w:rsidRDefault="004A425F" w:rsidP="00641834">
      <w:pPr>
        <w:pStyle w:val="a4"/>
        <w:keepNext/>
        <w:ind w:left="0"/>
        <w:rPr>
          <w:lang w:val="nb-NO"/>
        </w:rPr>
      </w:pPr>
      <w:r w:rsidRPr="00A942F6">
        <w:rPr>
          <w:lang w:val="nb-NO"/>
        </w:rPr>
        <w:t xml:space="preserve">Oppbevares i </w:t>
      </w:r>
      <w:r w:rsidR="00CE3DBA" w:rsidRPr="00A942F6">
        <w:rPr>
          <w:lang w:val="nb-NO"/>
        </w:rPr>
        <w:t>kjøleskap</w:t>
      </w:r>
    </w:p>
    <w:p w14:paraId="29F058FC" w14:textId="77777777" w:rsidR="004A425F" w:rsidRPr="00A942F6" w:rsidRDefault="004A425F" w:rsidP="00641834">
      <w:pPr>
        <w:pStyle w:val="a4"/>
        <w:keepNext/>
        <w:ind w:left="0"/>
        <w:rPr>
          <w:lang w:val="nb-NO"/>
        </w:rPr>
      </w:pPr>
      <w:r w:rsidRPr="00A942F6">
        <w:rPr>
          <w:lang w:val="nb-NO"/>
        </w:rPr>
        <w:t>Skal ikke fryses</w:t>
      </w:r>
    </w:p>
    <w:p w14:paraId="04928CB3" w14:textId="77777777" w:rsidR="004A425F" w:rsidRPr="00A942F6" w:rsidRDefault="004A425F" w:rsidP="00641834">
      <w:pPr>
        <w:pStyle w:val="a4"/>
        <w:ind w:left="0"/>
        <w:rPr>
          <w:lang w:val="nb-NO"/>
        </w:rPr>
      </w:pPr>
      <w:r w:rsidRPr="00A942F6">
        <w:rPr>
          <w:lang w:val="nb-NO"/>
        </w:rPr>
        <w:t>Oppbevar hetteglasset i ytteremballasjen for å beskytte mot lys</w:t>
      </w:r>
    </w:p>
    <w:p w14:paraId="052C57A4" w14:textId="77777777" w:rsidR="004A425F" w:rsidRPr="00A942F6" w:rsidRDefault="004A425F" w:rsidP="00641834">
      <w:pPr>
        <w:rPr>
          <w:lang w:val="nb-NO"/>
        </w:rPr>
      </w:pPr>
    </w:p>
    <w:p w14:paraId="112AF34A" w14:textId="77777777" w:rsidR="004A425F" w:rsidRPr="00A942F6" w:rsidRDefault="004A425F" w:rsidP="00641834">
      <w:pPr>
        <w:pStyle w:val="a4"/>
        <w:ind w:left="0"/>
        <w:rPr>
          <w:lang w:val="nb-NO"/>
        </w:rPr>
      </w:pPr>
    </w:p>
    <w:p w14:paraId="37C42703"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7B1982B7" w14:textId="77777777" w:rsidR="004100AF" w:rsidRPr="00A942F6" w:rsidRDefault="004100AF" w:rsidP="00641834">
      <w:pPr>
        <w:pStyle w:val="a4"/>
        <w:ind w:left="0"/>
        <w:rPr>
          <w:lang w:val="nb-NO"/>
        </w:rPr>
      </w:pPr>
    </w:p>
    <w:p w14:paraId="1CB8A483" w14:textId="77777777" w:rsidR="004100AF" w:rsidRPr="00A942F6" w:rsidRDefault="004100AF" w:rsidP="00641834">
      <w:pPr>
        <w:pStyle w:val="a4"/>
        <w:ind w:left="0"/>
        <w:rPr>
          <w:lang w:val="nb-NO"/>
        </w:rPr>
      </w:pPr>
    </w:p>
    <w:p w14:paraId="728BFD25"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7F7B602F" w14:textId="77777777" w:rsidR="004A425F" w:rsidRPr="00A942F6" w:rsidRDefault="004A425F" w:rsidP="00641834">
      <w:pPr>
        <w:pStyle w:val="a4"/>
        <w:ind w:left="0"/>
        <w:rPr>
          <w:lang w:val="nb-NO"/>
        </w:rPr>
      </w:pPr>
    </w:p>
    <w:p w14:paraId="3B25F312" w14:textId="77777777" w:rsidR="009E129A" w:rsidRPr="009B40A5" w:rsidRDefault="009E129A" w:rsidP="009E129A">
      <w:pPr>
        <w:keepNext/>
      </w:pPr>
      <w:r w:rsidRPr="009B40A5">
        <w:t xml:space="preserve">Celltrion Healthcare Hungary Kft. </w:t>
      </w:r>
    </w:p>
    <w:p w14:paraId="39EAC717" w14:textId="77777777" w:rsidR="009E129A" w:rsidRPr="009B40A5" w:rsidRDefault="009E129A" w:rsidP="009E129A">
      <w:pPr>
        <w:keepNext/>
      </w:pPr>
      <w:r w:rsidRPr="009B40A5">
        <w:t>1062 Budapest</w:t>
      </w:r>
    </w:p>
    <w:p w14:paraId="7EE4971E" w14:textId="77777777" w:rsidR="009E129A" w:rsidRPr="009B40A5" w:rsidRDefault="006D55DF" w:rsidP="009E129A">
      <w:pPr>
        <w:keepNext/>
      </w:pPr>
      <w:r w:rsidRPr="009B40A5">
        <w:t>Váci út 1</w:t>
      </w:r>
      <w:r w:rsidRPr="009B40A5">
        <w:noBreakHyphen/>
      </w:r>
      <w:r w:rsidR="009E129A" w:rsidRPr="009B40A5">
        <w:t>3. WestEnd Office Building B torony</w:t>
      </w:r>
    </w:p>
    <w:p w14:paraId="22864AF8" w14:textId="77777777" w:rsidR="009E129A" w:rsidRPr="009B40A5" w:rsidRDefault="009E129A" w:rsidP="009E129A">
      <w:r w:rsidRPr="009B40A5">
        <w:t>Ungarn</w:t>
      </w:r>
    </w:p>
    <w:p w14:paraId="3B848358" w14:textId="77777777" w:rsidR="004A425F" w:rsidRPr="009B40A5" w:rsidRDefault="004A425F" w:rsidP="00641834">
      <w:pPr>
        <w:pStyle w:val="a4"/>
        <w:ind w:left="0"/>
        <w:rPr>
          <w:lang w:val="en-US"/>
        </w:rPr>
      </w:pPr>
    </w:p>
    <w:p w14:paraId="65AF987D" w14:textId="77777777" w:rsidR="004A425F" w:rsidRPr="009B40A5" w:rsidRDefault="004A425F" w:rsidP="00641834">
      <w:pPr>
        <w:pStyle w:val="a4"/>
        <w:ind w:left="0"/>
        <w:rPr>
          <w:lang w:val="en-US"/>
        </w:rPr>
      </w:pPr>
    </w:p>
    <w:p w14:paraId="1C79E53B"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0B5BB88B" w14:textId="77777777" w:rsidR="004100AF" w:rsidRPr="00A942F6" w:rsidRDefault="004100AF" w:rsidP="00641834">
      <w:pPr>
        <w:pStyle w:val="a4"/>
        <w:ind w:left="0"/>
        <w:rPr>
          <w:lang w:val="nb-NO"/>
        </w:rPr>
      </w:pPr>
    </w:p>
    <w:p w14:paraId="10DB9014" w14:textId="7CEA5C0D" w:rsidR="002A4DDF" w:rsidRPr="00CD583D" w:rsidRDefault="002A4DDF" w:rsidP="002A4DDF">
      <w:pPr>
        <w:keepNext/>
        <w:rPr>
          <w:lang w:val="nb-NO"/>
        </w:rPr>
      </w:pPr>
      <w:r w:rsidRPr="00CD583D">
        <w:rPr>
          <w:lang w:val="nb-NO"/>
        </w:rPr>
        <w:t>EU/</w:t>
      </w:r>
      <w:r w:rsidRPr="003672E9">
        <w:rPr>
          <w:spacing w:val="-1"/>
          <w:lang w:val="pt-BR"/>
        </w:rPr>
        <w:t>1/24/1896/00</w:t>
      </w:r>
      <w:r>
        <w:rPr>
          <w:rFonts w:eastAsia="맑은 고딕" w:hint="eastAsia"/>
          <w:spacing w:val="-1"/>
          <w:lang w:val="pt-BR" w:eastAsia="ko-KR"/>
        </w:rPr>
        <w:t>5</w:t>
      </w:r>
      <w:r>
        <w:rPr>
          <w:rFonts w:hint="eastAsia"/>
          <w:spacing w:val="-1"/>
          <w:lang w:val="pt-BR" w:eastAsia="ko-KR"/>
        </w:rPr>
        <w:t xml:space="preserve"> 1 </w:t>
      </w:r>
      <w:r w:rsidR="002F0365">
        <w:rPr>
          <w:spacing w:val="-1"/>
          <w:lang w:val="pt-BR" w:eastAsia="ko-KR"/>
        </w:rPr>
        <w:t>hetteglass</w:t>
      </w:r>
    </w:p>
    <w:p w14:paraId="7266D606" w14:textId="5144DE96" w:rsidR="004A425F" w:rsidRDefault="002A4DDF" w:rsidP="009B40A5">
      <w:pPr>
        <w:rPr>
          <w:lang w:val="nb-NO"/>
        </w:rPr>
      </w:pPr>
      <w:r w:rsidRPr="00CD583D">
        <w:rPr>
          <w:lang w:val="nb-NO"/>
        </w:rPr>
        <w:t>EU/</w:t>
      </w:r>
      <w:r w:rsidRPr="003672E9">
        <w:rPr>
          <w:spacing w:val="-1"/>
          <w:lang w:val="pt-BR"/>
        </w:rPr>
        <w:t>1/24/1896/00</w:t>
      </w:r>
      <w:r>
        <w:rPr>
          <w:rFonts w:eastAsia="맑은 고딕" w:hint="eastAsia"/>
          <w:spacing w:val="-1"/>
          <w:lang w:val="pt-BR" w:eastAsia="ko-KR"/>
        </w:rPr>
        <w:t>6</w:t>
      </w:r>
      <w:r>
        <w:rPr>
          <w:rFonts w:hint="eastAsia"/>
          <w:spacing w:val="-1"/>
          <w:lang w:val="pt-BR" w:eastAsia="ko-KR"/>
        </w:rPr>
        <w:t xml:space="preserve"> </w:t>
      </w:r>
      <w:r>
        <w:rPr>
          <w:rFonts w:eastAsia="맑은 고딕" w:hint="eastAsia"/>
          <w:spacing w:val="-1"/>
          <w:lang w:val="pt-BR" w:eastAsia="ko-KR"/>
        </w:rPr>
        <w:t>4</w:t>
      </w:r>
      <w:r>
        <w:rPr>
          <w:rFonts w:hint="eastAsia"/>
          <w:spacing w:val="-1"/>
          <w:lang w:val="pt-BR" w:eastAsia="ko-KR"/>
        </w:rPr>
        <w:t xml:space="preserve"> </w:t>
      </w:r>
      <w:r w:rsidR="002F0365">
        <w:rPr>
          <w:spacing w:val="-1"/>
          <w:lang w:val="pt-BR" w:eastAsia="ko-KR"/>
        </w:rPr>
        <w:t>hetteglass</w:t>
      </w:r>
    </w:p>
    <w:p w14:paraId="1EB0DD21" w14:textId="77777777" w:rsidR="002A4DDF" w:rsidRPr="00A942F6" w:rsidRDefault="002A4DDF" w:rsidP="00641834">
      <w:pPr>
        <w:pStyle w:val="a4"/>
        <w:ind w:left="0"/>
        <w:rPr>
          <w:lang w:val="nb-NO"/>
        </w:rPr>
      </w:pPr>
    </w:p>
    <w:p w14:paraId="6E2D9B50" w14:textId="77777777" w:rsidR="004100AF" w:rsidRPr="00A942F6" w:rsidRDefault="004100AF" w:rsidP="00641834">
      <w:pPr>
        <w:pStyle w:val="a4"/>
        <w:ind w:left="0"/>
        <w:rPr>
          <w:lang w:val="nb-NO"/>
        </w:rPr>
      </w:pPr>
    </w:p>
    <w:p w14:paraId="66AC4512"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79E2AADD" w14:textId="77777777" w:rsidR="004A425F" w:rsidRPr="00A942F6" w:rsidRDefault="004A425F" w:rsidP="00641834">
      <w:pPr>
        <w:pStyle w:val="a4"/>
        <w:ind w:left="0"/>
        <w:rPr>
          <w:lang w:val="nb-NO"/>
        </w:rPr>
      </w:pPr>
    </w:p>
    <w:p w14:paraId="07C1CCA3" w14:textId="77777777" w:rsidR="004A425F" w:rsidRPr="00A942F6" w:rsidRDefault="004A425F" w:rsidP="00641834">
      <w:pPr>
        <w:pStyle w:val="a4"/>
        <w:ind w:left="0"/>
        <w:rPr>
          <w:lang w:val="nb-NO"/>
        </w:rPr>
      </w:pPr>
      <w:r w:rsidRPr="00A942F6">
        <w:rPr>
          <w:lang w:val="nb-NO"/>
        </w:rPr>
        <w:t>Lot</w:t>
      </w:r>
    </w:p>
    <w:p w14:paraId="30D42F81" w14:textId="77777777" w:rsidR="004A425F" w:rsidRPr="00A942F6" w:rsidRDefault="004A425F" w:rsidP="00641834">
      <w:pPr>
        <w:pStyle w:val="a4"/>
        <w:ind w:left="0"/>
        <w:rPr>
          <w:lang w:val="nb-NO"/>
        </w:rPr>
      </w:pPr>
    </w:p>
    <w:p w14:paraId="572F3ABC" w14:textId="77777777" w:rsidR="004A425F" w:rsidRPr="00A942F6" w:rsidRDefault="004A425F" w:rsidP="00641834">
      <w:pPr>
        <w:pStyle w:val="a4"/>
        <w:ind w:left="0"/>
        <w:rPr>
          <w:lang w:val="nb-NO"/>
        </w:rPr>
      </w:pPr>
    </w:p>
    <w:p w14:paraId="49ED1417"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27288F5F" w14:textId="77777777" w:rsidR="004100AF" w:rsidRPr="00A942F6" w:rsidRDefault="004100AF" w:rsidP="00641834">
      <w:pPr>
        <w:pStyle w:val="a4"/>
        <w:ind w:left="0"/>
        <w:rPr>
          <w:lang w:val="nb-NO"/>
        </w:rPr>
      </w:pPr>
    </w:p>
    <w:p w14:paraId="5A110142" w14:textId="77777777" w:rsidR="004A425F" w:rsidRPr="00CB45D2" w:rsidRDefault="004A425F" w:rsidP="00641834">
      <w:pPr>
        <w:pStyle w:val="a4"/>
        <w:ind w:left="0"/>
        <w:rPr>
          <w:color w:val="000000"/>
          <w:highlight w:val="lightGray"/>
          <w:shd w:val="pct35" w:color="auto" w:fill="auto"/>
          <w:lang w:val="nb-NO"/>
        </w:rPr>
      </w:pPr>
      <w:r w:rsidRPr="00CB45D2">
        <w:rPr>
          <w:color w:val="000000"/>
          <w:highlight w:val="lightGray"/>
          <w:shd w:val="pct35" w:color="auto" w:fill="auto"/>
          <w:lang w:val="nb-NO"/>
        </w:rPr>
        <w:t>Reseptpliktig legemiddel</w:t>
      </w:r>
    </w:p>
    <w:p w14:paraId="596A2155" w14:textId="77777777" w:rsidR="004A425F" w:rsidRPr="00A942F6" w:rsidRDefault="004A425F" w:rsidP="00641834">
      <w:pPr>
        <w:pStyle w:val="a4"/>
        <w:ind w:left="0"/>
        <w:rPr>
          <w:lang w:val="nb-NO"/>
        </w:rPr>
      </w:pPr>
    </w:p>
    <w:p w14:paraId="578DAA58" w14:textId="77777777" w:rsidR="004100AF" w:rsidRPr="00A942F6" w:rsidRDefault="004100AF" w:rsidP="00641834">
      <w:pPr>
        <w:pStyle w:val="a4"/>
        <w:ind w:left="0"/>
        <w:rPr>
          <w:lang w:val="nb-NO"/>
        </w:rPr>
      </w:pPr>
    </w:p>
    <w:p w14:paraId="70CCE475"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7F654B52" w14:textId="77777777" w:rsidR="004A425F" w:rsidRPr="00A942F6" w:rsidRDefault="004A425F" w:rsidP="00641834">
      <w:pPr>
        <w:pStyle w:val="a4"/>
        <w:ind w:left="0"/>
        <w:rPr>
          <w:lang w:val="nb-NO"/>
        </w:rPr>
      </w:pPr>
    </w:p>
    <w:p w14:paraId="6C077B80" w14:textId="77777777" w:rsidR="004A425F" w:rsidRPr="00A942F6" w:rsidRDefault="004A425F" w:rsidP="00641834">
      <w:pPr>
        <w:pStyle w:val="a4"/>
        <w:ind w:left="0"/>
        <w:rPr>
          <w:lang w:val="nb-NO"/>
        </w:rPr>
      </w:pPr>
    </w:p>
    <w:p w14:paraId="7619E14C"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59E50DEE" w14:textId="77777777" w:rsidR="004100AF" w:rsidRPr="00A942F6" w:rsidRDefault="004100AF" w:rsidP="00641834">
      <w:pPr>
        <w:pStyle w:val="a4"/>
        <w:ind w:left="0"/>
        <w:rPr>
          <w:lang w:val="nb-NO"/>
        </w:rPr>
      </w:pPr>
    </w:p>
    <w:p w14:paraId="43543DE6" w14:textId="77777777" w:rsidR="004A425F" w:rsidRPr="00CB45D2" w:rsidRDefault="004A425F" w:rsidP="00641834">
      <w:pPr>
        <w:pStyle w:val="a4"/>
        <w:ind w:left="0"/>
        <w:rPr>
          <w:color w:val="000000"/>
          <w:highlight w:val="lightGray"/>
          <w:shd w:val="pct35" w:color="auto" w:fill="auto"/>
          <w:lang w:val="nb-NO"/>
        </w:rPr>
      </w:pPr>
      <w:r w:rsidRPr="00CB45D2">
        <w:rPr>
          <w:color w:val="000000"/>
          <w:highlight w:val="lightGray"/>
          <w:shd w:val="pct35" w:color="auto" w:fill="auto"/>
          <w:lang w:val="nb-NO"/>
        </w:rPr>
        <w:t>Fritatt fra krav om blindeskrift</w:t>
      </w:r>
    </w:p>
    <w:p w14:paraId="11D7839D" w14:textId="77777777" w:rsidR="004A425F" w:rsidRPr="00A942F6" w:rsidRDefault="004A425F" w:rsidP="00641834">
      <w:pPr>
        <w:pStyle w:val="a4"/>
        <w:ind w:left="0"/>
        <w:rPr>
          <w:lang w:val="nb-NO"/>
        </w:rPr>
      </w:pPr>
    </w:p>
    <w:p w14:paraId="13E0D676" w14:textId="77777777" w:rsidR="004A425F" w:rsidRPr="00A942F6" w:rsidRDefault="004A425F" w:rsidP="00641834">
      <w:pPr>
        <w:pStyle w:val="a4"/>
        <w:ind w:left="0"/>
        <w:rPr>
          <w:lang w:val="nb-NO"/>
        </w:rPr>
      </w:pPr>
    </w:p>
    <w:p w14:paraId="339017BA"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39EB1084" w14:textId="77777777" w:rsidR="004A425F" w:rsidRPr="00A942F6" w:rsidRDefault="004A425F" w:rsidP="00641834">
      <w:pPr>
        <w:pStyle w:val="a4"/>
        <w:ind w:left="0"/>
        <w:rPr>
          <w:lang w:val="nb-NO"/>
        </w:rPr>
      </w:pPr>
    </w:p>
    <w:p w14:paraId="09E5588C"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3E829600" w14:textId="77777777" w:rsidR="004A425F" w:rsidRPr="00A942F6" w:rsidRDefault="004A425F" w:rsidP="00641834">
      <w:pPr>
        <w:pStyle w:val="a4"/>
        <w:ind w:left="0"/>
        <w:rPr>
          <w:lang w:val="nb-NO"/>
        </w:rPr>
      </w:pPr>
    </w:p>
    <w:p w14:paraId="32C15F1C" w14:textId="77777777" w:rsidR="004A425F" w:rsidRPr="00A942F6" w:rsidRDefault="004A425F" w:rsidP="00641834">
      <w:pPr>
        <w:pStyle w:val="a4"/>
        <w:ind w:left="0"/>
        <w:rPr>
          <w:lang w:val="nb-NO"/>
        </w:rPr>
      </w:pPr>
    </w:p>
    <w:p w14:paraId="3F6A783C"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72935F13" w14:textId="77777777" w:rsidR="004100AF" w:rsidRPr="00A942F6" w:rsidRDefault="004100AF" w:rsidP="00641834">
      <w:pPr>
        <w:pStyle w:val="a4"/>
        <w:ind w:left="0"/>
        <w:rPr>
          <w:lang w:val="nb-NO"/>
        </w:rPr>
      </w:pPr>
    </w:p>
    <w:p w14:paraId="1AB34E78" w14:textId="77777777" w:rsidR="00CE3DBA" w:rsidRPr="00A942F6" w:rsidRDefault="004A425F" w:rsidP="00641834">
      <w:pPr>
        <w:pStyle w:val="a4"/>
        <w:ind w:left="0"/>
        <w:jc w:val="both"/>
        <w:rPr>
          <w:lang w:val="nb-NO"/>
        </w:rPr>
      </w:pPr>
      <w:r w:rsidRPr="00A942F6">
        <w:rPr>
          <w:lang w:val="nb-NO"/>
        </w:rPr>
        <w:t>PC</w:t>
      </w:r>
    </w:p>
    <w:p w14:paraId="6BD62117" w14:textId="77777777" w:rsidR="00CE3DBA" w:rsidRPr="00A942F6" w:rsidRDefault="004A425F" w:rsidP="00641834">
      <w:pPr>
        <w:pStyle w:val="a4"/>
        <w:ind w:left="0"/>
        <w:jc w:val="both"/>
        <w:rPr>
          <w:lang w:val="nb-NO"/>
        </w:rPr>
      </w:pPr>
      <w:r w:rsidRPr="00A942F6">
        <w:rPr>
          <w:lang w:val="nb-NO"/>
        </w:rPr>
        <w:t>SN</w:t>
      </w:r>
    </w:p>
    <w:p w14:paraId="10C064D9" w14:textId="77777777" w:rsidR="004A425F" w:rsidRPr="00A942F6" w:rsidRDefault="004A425F" w:rsidP="00641834">
      <w:pPr>
        <w:pStyle w:val="a4"/>
        <w:ind w:left="0"/>
        <w:jc w:val="both"/>
        <w:rPr>
          <w:lang w:val="nb-NO"/>
        </w:rPr>
      </w:pPr>
      <w:r w:rsidRPr="00CD583D">
        <w:rPr>
          <w:highlight w:val="lightGray"/>
          <w:lang w:val="nb-NO"/>
        </w:rPr>
        <w:t>NN</w:t>
      </w:r>
    </w:p>
    <w:p w14:paraId="7CA490C8" w14:textId="5CE0B39F" w:rsidR="004100AF" w:rsidRPr="00A942F6" w:rsidRDefault="00E31057"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4100AF" w:rsidRPr="00A942F6">
        <w:rPr>
          <w:b/>
          <w:lang w:val="nb-NO"/>
        </w:rPr>
        <w:lastRenderedPageBreak/>
        <w:t>OPPLYSNINGER, SOM SKAL ANGIS PÅ YTRE EMBALLASJE</w:t>
      </w:r>
    </w:p>
    <w:p w14:paraId="50535466" w14:textId="77777777" w:rsidR="004461E7" w:rsidRPr="00A942F6" w:rsidRDefault="004461E7" w:rsidP="00641834">
      <w:pPr>
        <w:pBdr>
          <w:top w:val="single" w:sz="4" w:space="1" w:color="auto"/>
          <w:left w:val="single" w:sz="4" w:space="4" w:color="auto"/>
          <w:bottom w:val="single" w:sz="4" w:space="1" w:color="auto"/>
          <w:right w:val="single" w:sz="4" w:space="4" w:color="auto"/>
        </w:pBdr>
        <w:rPr>
          <w:b/>
          <w:lang w:val="nb-NO"/>
        </w:rPr>
      </w:pPr>
    </w:p>
    <w:p w14:paraId="27D99DC1" w14:textId="77777777" w:rsidR="004100AF" w:rsidRPr="00A942F6" w:rsidRDefault="004100AF"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 FERDIGFYLT SPRØYTE</w:t>
      </w:r>
    </w:p>
    <w:p w14:paraId="6285C0A4" w14:textId="77777777" w:rsidR="004A425F" w:rsidRPr="00A942F6" w:rsidRDefault="004A425F" w:rsidP="00641834">
      <w:pPr>
        <w:pStyle w:val="a4"/>
        <w:ind w:left="0"/>
        <w:rPr>
          <w:lang w:val="nb-NO"/>
        </w:rPr>
      </w:pPr>
    </w:p>
    <w:p w14:paraId="403C3104" w14:textId="77777777" w:rsidR="004A425F" w:rsidRPr="00A942F6" w:rsidRDefault="004A425F" w:rsidP="00641834">
      <w:pPr>
        <w:pStyle w:val="a4"/>
        <w:ind w:left="0"/>
        <w:rPr>
          <w:lang w:val="nb-NO"/>
        </w:rPr>
      </w:pPr>
    </w:p>
    <w:p w14:paraId="60312D55"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59A50FA3" w14:textId="77777777" w:rsidR="004100AF" w:rsidRPr="00A942F6" w:rsidRDefault="004100AF" w:rsidP="00641834">
      <w:pPr>
        <w:pStyle w:val="a4"/>
        <w:ind w:left="0"/>
        <w:rPr>
          <w:lang w:val="nb-NO"/>
        </w:rPr>
      </w:pPr>
    </w:p>
    <w:p w14:paraId="2C55C06D" w14:textId="7049932B"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injeksjonsvæske, oppløsning i ferdigfylt </w:t>
      </w:r>
      <w:r w:rsidR="00875DFA" w:rsidRPr="00A942F6">
        <w:rPr>
          <w:lang w:val="nb-NO"/>
        </w:rPr>
        <w:t>sprøyte</w:t>
      </w:r>
    </w:p>
    <w:p w14:paraId="70C3D1C3" w14:textId="77777777" w:rsidR="00F723F3" w:rsidRPr="00A942F6" w:rsidRDefault="00F723F3" w:rsidP="00641834">
      <w:pPr>
        <w:pStyle w:val="a4"/>
        <w:ind w:left="0"/>
        <w:rPr>
          <w:lang w:val="nb-NO"/>
        </w:rPr>
      </w:pPr>
    </w:p>
    <w:p w14:paraId="23532093" w14:textId="77777777" w:rsidR="004A425F" w:rsidRPr="00A942F6" w:rsidRDefault="004A425F" w:rsidP="00641834">
      <w:pPr>
        <w:pStyle w:val="a4"/>
        <w:ind w:left="0"/>
        <w:rPr>
          <w:lang w:val="nb-NO"/>
        </w:rPr>
      </w:pPr>
      <w:r w:rsidRPr="00A942F6">
        <w:rPr>
          <w:lang w:val="nb-NO"/>
        </w:rPr>
        <w:t>tocilizumab</w:t>
      </w:r>
    </w:p>
    <w:p w14:paraId="47156F42" w14:textId="77777777" w:rsidR="004A425F" w:rsidRPr="00A942F6" w:rsidRDefault="004A425F" w:rsidP="00641834">
      <w:pPr>
        <w:pStyle w:val="a4"/>
        <w:ind w:left="0"/>
        <w:rPr>
          <w:lang w:val="nb-NO"/>
        </w:rPr>
      </w:pPr>
    </w:p>
    <w:p w14:paraId="1C5A183C" w14:textId="77777777" w:rsidR="004100AF" w:rsidRPr="00A942F6" w:rsidRDefault="004100AF" w:rsidP="00641834">
      <w:pPr>
        <w:pStyle w:val="a4"/>
        <w:ind w:left="0"/>
        <w:rPr>
          <w:lang w:val="nb-NO"/>
        </w:rPr>
      </w:pPr>
    </w:p>
    <w:p w14:paraId="476086CB"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5D200125" w14:textId="77777777" w:rsidR="004100AF" w:rsidRPr="00A942F6" w:rsidRDefault="004100AF" w:rsidP="00641834">
      <w:pPr>
        <w:pStyle w:val="a4"/>
        <w:ind w:left="0"/>
        <w:rPr>
          <w:lang w:val="nb-NO"/>
        </w:rPr>
      </w:pPr>
    </w:p>
    <w:p w14:paraId="2FD8DBC2" w14:textId="77777777" w:rsidR="004A425F" w:rsidRPr="00A942F6" w:rsidRDefault="004A425F" w:rsidP="00641834">
      <w:pPr>
        <w:pStyle w:val="a4"/>
        <w:ind w:left="0"/>
        <w:rPr>
          <w:lang w:val="nb-NO"/>
        </w:rPr>
      </w:pPr>
      <w:r w:rsidRPr="00A942F6">
        <w:rPr>
          <w:lang w:val="nb-NO"/>
        </w:rPr>
        <w:t>1 ferdigfylt sprøyte inneholder 162 mg tocilizumab.</w:t>
      </w:r>
    </w:p>
    <w:p w14:paraId="2D7369DC" w14:textId="77777777" w:rsidR="004A425F" w:rsidRPr="00A942F6" w:rsidRDefault="004A425F" w:rsidP="00641834">
      <w:pPr>
        <w:pStyle w:val="a4"/>
        <w:ind w:left="0"/>
        <w:rPr>
          <w:lang w:val="nb-NO"/>
        </w:rPr>
      </w:pPr>
    </w:p>
    <w:p w14:paraId="3FB0E23B" w14:textId="77777777" w:rsidR="004100AF" w:rsidRPr="00A942F6" w:rsidRDefault="004100AF" w:rsidP="00641834">
      <w:pPr>
        <w:pStyle w:val="a4"/>
        <w:ind w:left="0"/>
        <w:rPr>
          <w:lang w:val="nb-NO"/>
        </w:rPr>
      </w:pPr>
    </w:p>
    <w:p w14:paraId="7FE3CBF2" w14:textId="77777777" w:rsidR="004100AF" w:rsidRPr="00A942F6" w:rsidRDefault="004100AF"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6113ECF0" w14:textId="77777777" w:rsidR="004A425F" w:rsidRPr="00A942F6" w:rsidRDefault="004A425F" w:rsidP="00641834">
      <w:pPr>
        <w:pStyle w:val="a4"/>
        <w:ind w:left="0"/>
        <w:rPr>
          <w:lang w:val="nb-NO"/>
        </w:rPr>
      </w:pPr>
    </w:p>
    <w:p w14:paraId="54758DED" w14:textId="32C6E8EC" w:rsidR="004A425F" w:rsidRPr="00A942F6" w:rsidRDefault="001A6D56" w:rsidP="00641834">
      <w:pPr>
        <w:pStyle w:val="a4"/>
        <w:ind w:left="0"/>
        <w:rPr>
          <w:lang w:val="nb-NO"/>
        </w:rPr>
      </w:pPr>
      <w:r w:rsidRPr="00A942F6">
        <w:rPr>
          <w:lang w:val="nb-NO"/>
        </w:rPr>
        <w:t>Hjelpestoffer: L</w:t>
      </w:r>
      <w:r w:rsidR="006D55DF">
        <w:rPr>
          <w:lang w:val="nb-NO"/>
        </w:rPr>
        <w:noBreakHyphen/>
      </w:r>
      <w:r w:rsidRPr="00A942F6">
        <w:rPr>
          <w:lang w:val="nb-NO"/>
        </w:rPr>
        <w:t>histidin,</w:t>
      </w:r>
      <w:r w:rsidR="00220441">
        <w:rPr>
          <w:rFonts w:eastAsia="맑은 고딕" w:hint="eastAsia"/>
          <w:lang w:val="nb-NO" w:eastAsia="ko-KR"/>
        </w:rPr>
        <w:t xml:space="preserve"> </w:t>
      </w:r>
      <w:r w:rsidR="001B685D" w:rsidRPr="001B685D">
        <w:rPr>
          <w:rFonts w:eastAsia="맑은 고딕"/>
          <w:lang w:val="en-US" w:eastAsia="ko-KR"/>
        </w:rPr>
        <w:t>L-histidin monohydroklorid monohydrat</w:t>
      </w:r>
      <w:r w:rsidR="00220441" w:rsidRPr="00BD4D94">
        <w:rPr>
          <w:rFonts w:eastAsia="맑은 고딕"/>
          <w:lang w:val="nb-NO" w:eastAsia="ko-KR"/>
        </w:rPr>
        <w:t>,</w:t>
      </w:r>
      <w:r w:rsidRPr="00A942F6">
        <w:rPr>
          <w:lang w:val="nb-NO"/>
        </w:rPr>
        <w:t xml:space="preserve"> L</w:t>
      </w:r>
      <w:r w:rsidR="006D55DF">
        <w:rPr>
          <w:lang w:val="nb-NO"/>
        </w:rPr>
        <w:noBreakHyphen/>
      </w:r>
      <w:r w:rsidRPr="00A942F6">
        <w:rPr>
          <w:lang w:val="nb-NO"/>
        </w:rPr>
        <w:t>treonin, L</w:t>
      </w:r>
      <w:r w:rsidR="006D55DF">
        <w:rPr>
          <w:lang w:val="nb-NO"/>
        </w:rPr>
        <w:noBreakHyphen/>
      </w:r>
      <w:r w:rsidRPr="00A942F6">
        <w:rPr>
          <w:lang w:val="nb-NO"/>
        </w:rPr>
        <w:t>metionin, polysorbat 80 og vann til injeksjonsvæsker. Se pakningsvedlegget for ytterligere informasjon.</w:t>
      </w:r>
    </w:p>
    <w:p w14:paraId="75C4690E" w14:textId="77777777" w:rsidR="004A425F" w:rsidRPr="00A942F6" w:rsidRDefault="004A425F" w:rsidP="00641834">
      <w:pPr>
        <w:pStyle w:val="a4"/>
        <w:ind w:left="0"/>
        <w:rPr>
          <w:lang w:val="nb-NO"/>
        </w:rPr>
      </w:pPr>
    </w:p>
    <w:p w14:paraId="0AFF372C" w14:textId="77777777" w:rsidR="006F279C" w:rsidRPr="00A942F6" w:rsidRDefault="006F279C" w:rsidP="00641834">
      <w:pPr>
        <w:pStyle w:val="a4"/>
        <w:ind w:left="0"/>
        <w:rPr>
          <w:lang w:val="nb-NO"/>
        </w:rPr>
      </w:pPr>
    </w:p>
    <w:p w14:paraId="7BF45AD6"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684DCB5C" w14:textId="77777777" w:rsidR="004A425F" w:rsidRPr="00A942F6" w:rsidRDefault="004A425F" w:rsidP="00641834">
      <w:pPr>
        <w:pStyle w:val="a4"/>
        <w:ind w:left="0"/>
        <w:rPr>
          <w:lang w:val="nb-NO"/>
        </w:rPr>
      </w:pPr>
    </w:p>
    <w:p w14:paraId="0B7F7FF0" w14:textId="77777777" w:rsidR="00CE3DBA" w:rsidRPr="00A942F6" w:rsidRDefault="004A425F" w:rsidP="00641834">
      <w:pPr>
        <w:pStyle w:val="a4"/>
        <w:ind w:left="0"/>
        <w:rPr>
          <w:lang w:val="nb-NO"/>
        </w:rPr>
      </w:pPr>
      <w:r w:rsidRPr="00A942F6">
        <w:rPr>
          <w:lang w:val="nb-NO"/>
        </w:rPr>
        <w:t xml:space="preserve">Injeksjonsvæske, oppløsning i ferdigfylt </w:t>
      </w:r>
      <w:r w:rsidR="00CE3DBA" w:rsidRPr="00A942F6">
        <w:rPr>
          <w:lang w:val="nb-NO"/>
        </w:rPr>
        <w:t>sprøyte</w:t>
      </w:r>
    </w:p>
    <w:p w14:paraId="355BC2CD" w14:textId="77777777" w:rsidR="00CE336A" w:rsidRPr="00A942F6" w:rsidRDefault="00CE336A" w:rsidP="00641834">
      <w:pPr>
        <w:pStyle w:val="a4"/>
        <w:ind w:left="0"/>
        <w:rPr>
          <w:lang w:val="nb-NO"/>
        </w:rPr>
      </w:pPr>
      <w:r w:rsidRPr="00A942F6">
        <w:rPr>
          <w:lang w:val="nb-NO"/>
        </w:rPr>
        <w:t>1 ferdigfylt sprøyte</w:t>
      </w:r>
    </w:p>
    <w:p w14:paraId="0109872C" w14:textId="4832BFA9" w:rsidR="000603DA" w:rsidRPr="00A942F6" w:rsidRDefault="000603DA" w:rsidP="000603DA">
      <w:pPr>
        <w:pStyle w:val="a4"/>
        <w:ind w:left="0"/>
        <w:rPr>
          <w:ins w:id="19" w:author="만든 이"/>
          <w:lang w:val="nb-NO"/>
        </w:rPr>
      </w:pPr>
      <w:ins w:id="20" w:author="만든 이">
        <w:r>
          <w:rPr>
            <w:rFonts w:eastAsia="맑은 고딕" w:hint="eastAsia"/>
            <w:lang w:val="nb-NO" w:eastAsia="ko-KR"/>
          </w:rPr>
          <w:t>2</w:t>
        </w:r>
        <w:r w:rsidRPr="00A942F6">
          <w:rPr>
            <w:lang w:val="nb-NO"/>
          </w:rPr>
          <w:t xml:space="preserve"> ferdigfylte sprøyter</w:t>
        </w:r>
      </w:ins>
    </w:p>
    <w:p w14:paraId="1C4CF72F" w14:textId="77777777" w:rsidR="004A425F" w:rsidRPr="00A942F6" w:rsidRDefault="004A425F" w:rsidP="00641834">
      <w:pPr>
        <w:pStyle w:val="a4"/>
        <w:ind w:left="0"/>
        <w:rPr>
          <w:lang w:val="nb-NO"/>
        </w:rPr>
      </w:pPr>
      <w:r w:rsidRPr="00A942F6">
        <w:rPr>
          <w:lang w:val="nb-NO"/>
        </w:rPr>
        <w:t>4 ferdigfylte sprøyter</w:t>
      </w:r>
    </w:p>
    <w:p w14:paraId="4FB38F34" w14:textId="77777777" w:rsidR="004A425F" w:rsidRPr="00A942F6" w:rsidRDefault="004A425F" w:rsidP="00641834">
      <w:pPr>
        <w:pStyle w:val="a4"/>
        <w:ind w:left="0"/>
        <w:rPr>
          <w:lang w:val="nb-NO"/>
        </w:rPr>
      </w:pPr>
      <w:r w:rsidRPr="00A942F6">
        <w:rPr>
          <w:lang w:val="nb-NO"/>
        </w:rPr>
        <w:t>162 mg/0,9 ml</w:t>
      </w:r>
    </w:p>
    <w:p w14:paraId="3689A285" w14:textId="77777777" w:rsidR="004A425F" w:rsidRPr="00A942F6" w:rsidRDefault="004A425F" w:rsidP="00641834">
      <w:pPr>
        <w:pStyle w:val="a4"/>
        <w:ind w:left="0"/>
        <w:rPr>
          <w:lang w:val="nb-NO"/>
        </w:rPr>
      </w:pPr>
    </w:p>
    <w:p w14:paraId="592C9FFB" w14:textId="77777777" w:rsidR="004461E7" w:rsidRPr="00A942F6" w:rsidRDefault="004461E7" w:rsidP="00641834">
      <w:pPr>
        <w:pStyle w:val="a4"/>
        <w:ind w:left="0"/>
        <w:rPr>
          <w:lang w:val="nb-NO"/>
        </w:rPr>
      </w:pPr>
    </w:p>
    <w:p w14:paraId="20024DF5"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13756774" w14:textId="77777777" w:rsidR="004A425F" w:rsidRPr="00A942F6" w:rsidRDefault="004A425F" w:rsidP="00641834">
      <w:pPr>
        <w:pStyle w:val="a4"/>
        <w:ind w:left="0"/>
        <w:rPr>
          <w:lang w:val="nb-NO"/>
        </w:rPr>
      </w:pPr>
    </w:p>
    <w:p w14:paraId="1A0E9081" w14:textId="77777777" w:rsidR="004A425F" w:rsidRPr="00A942F6" w:rsidRDefault="004A425F" w:rsidP="00641834">
      <w:pPr>
        <w:pStyle w:val="a4"/>
        <w:ind w:left="0"/>
        <w:rPr>
          <w:lang w:val="nb-NO"/>
        </w:rPr>
      </w:pPr>
      <w:r w:rsidRPr="00A942F6">
        <w:rPr>
          <w:lang w:val="nb-NO"/>
        </w:rPr>
        <w:t>Subkutan bruk</w:t>
      </w:r>
    </w:p>
    <w:p w14:paraId="3BCA63A7" w14:textId="77777777" w:rsidR="004A425F" w:rsidRPr="00A942F6" w:rsidRDefault="004A425F" w:rsidP="00641834">
      <w:pPr>
        <w:pStyle w:val="a4"/>
        <w:ind w:left="0"/>
        <w:rPr>
          <w:lang w:val="nb-NO"/>
        </w:rPr>
      </w:pPr>
      <w:r w:rsidRPr="00A942F6">
        <w:rPr>
          <w:lang w:val="nb-NO"/>
        </w:rPr>
        <w:t>Les pakningsvedlegget før bruk</w:t>
      </w:r>
    </w:p>
    <w:p w14:paraId="5E5DDFBF" w14:textId="77777777" w:rsidR="004A425F" w:rsidRPr="00A942F6" w:rsidRDefault="004A425F" w:rsidP="00641834">
      <w:pPr>
        <w:pStyle w:val="a4"/>
        <w:ind w:left="0"/>
        <w:rPr>
          <w:lang w:val="nb-NO"/>
        </w:rPr>
      </w:pPr>
    </w:p>
    <w:p w14:paraId="525D99AC" w14:textId="77777777" w:rsidR="004461E7" w:rsidRPr="00A942F6" w:rsidRDefault="004461E7" w:rsidP="00641834">
      <w:pPr>
        <w:pStyle w:val="a4"/>
        <w:ind w:left="0"/>
        <w:rPr>
          <w:lang w:val="nb-NO"/>
        </w:rPr>
      </w:pPr>
    </w:p>
    <w:p w14:paraId="6BDD3BEA" w14:textId="77777777" w:rsidR="006F279C" w:rsidRPr="00A942F6" w:rsidRDefault="006F279C"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t>ADVARSEL OM AT LEGEMIDLET SKAL OPPBEVARES UTILGJENGELIG FOR BARN</w:t>
      </w:r>
    </w:p>
    <w:p w14:paraId="21507772" w14:textId="77777777" w:rsidR="004A425F" w:rsidRPr="00A942F6" w:rsidRDefault="004A425F" w:rsidP="00641834">
      <w:pPr>
        <w:pStyle w:val="a4"/>
        <w:ind w:left="0"/>
        <w:rPr>
          <w:lang w:val="nb-NO"/>
        </w:rPr>
      </w:pPr>
    </w:p>
    <w:p w14:paraId="27031892" w14:textId="77777777" w:rsidR="004A425F" w:rsidRPr="00A942F6" w:rsidRDefault="004A425F" w:rsidP="00641834">
      <w:pPr>
        <w:pStyle w:val="a4"/>
        <w:ind w:left="0"/>
        <w:rPr>
          <w:lang w:val="nb-NO"/>
        </w:rPr>
      </w:pPr>
      <w:r w:rsidRPr="00A942F6">
        <w:rPr>
          <w:lang w:val="nb-NO"/>
        </w:rPr>
        <w:t>Oppbevares utilgjengelig for barn</w:t>
      </w:r>
    </w:p>
    <w:p w14:paraId="3CD26FCE" w14:textId="77777777" w:rsidR="004A425F" w:rsidRPr="00A942F6" w:rsidRDefault="004A425F" w:rsidP="00641834">
      <w:pPr>
        <w:pStyle w:val="a4"/>
        <w:ind w:left="0"/>
        <w:rPr>
          <w:lang w:val="nb-NO"/>
        </w:rPr>
      </w:pPr>
    </w:p>
    <w:p w14:paraId="701818B6" w14:textId="77777777" w:rsidR="004461E7" w:rsidRPr="00A942F6" w:rsidRDefault="004461E7" w:rsidP="00641834">
      <w:pPr>
        <w:pStyle w:val="a4"/>
        <w:ind w:left="0"/>
        <w:rPr>
          <w:lang w:val="nb-NO"/>
        </w:rPr>
      </w:pPr>
    </w:p>
    <w:p w14:paraId="6778E70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244369AF" w14:textId="77777777" w:rsidR="004A425F" w:rsidRPr="00A942F6" w:rsidRDefault="004A425F" w:rsidP="00641834">
      <w:pPr>
        <w:pStyle w:val="a4"/>
        <w:ind w:left="0"/>
        <w:rPr>
          <w:lang w:val="nb-NO"/>
        </w:rPr>
      </w:pPr>
    </w:p>
    <w:p w14:paraId="493A2143" w14:textId="122B5B79" w:rsidR="004A425F" w:rsidRPr="00A942F6" w:rsidRDefault="004A425F" w:rsidP="00641834">
      <w:pPr>
        <w:pStyle w:val="a4"/>
        <w:ind w:left="0"/>
        <w:rPr>
          <w:lang w:val="nb-NO"/>
        </w:rPr>
      </w:pPr>
      <w:r w:rsidRPr="00A942F6">
        <w:rPr>
          <w:lang w:val="nb-NO"/>
        </w:rPr>
        <w:t>La sprøyten oppnå romtemperatur utenfor boksen i 30 minutter før bruk</w:t>
      </w:r>
    </w:p>
    <w:p w14:paraId="561AD424" w14:textId="77777777" w:rsidR="004A425F" w:rsidRPr="00A942F6" w:rsidRDefault="004A425F" w:rsidP="00641834">
      <w:pPr>
        <w:pStyle w:val="a4"/>
        <w:ind w:left="0"/>
        <w:rPr>
          <w:lang w:val="nb-NO"/>
        </w:rPr>
      </w:pPr>
    </w:p>
    <w:p w14:paraId="5E4949E2" w14:textId="77777777" w:rsidR="004461E7" w:rsidRPr="00A942F6" w:rsidRDefault="004461E7" w:rsidP="00641834">
      <w:pPr>
        <w:pStyle w:val="a4"/>
        <w:ind w:left="0"/>
        <w:rPr>
          <w:lang w:val="nb-NO"/>
        </w:rPr>
      </w:pPr>
    </w:p>
    <w:p w14:paraId="3CA4570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07AB0E39" w14:textId="77777777" w:rsidR="004A425F" w:rsidRPr="00A942F6" w:rsidRDefault="004A425F" w:rsidP="00641834">
      <w:pPr>
        <w:pStyle w:val="a4"/>
        <w:ind w:left="0"/>
        <w:rPr>
          <w:lang w:val="nb-NO"/>
        </w:rPr>
      </w:pPr>
    </w:p>
    <w:p w14:paraId="484D450C" w14:textId="77777777" w:rsidR="004A425F" w:rsidRPr="00A942F6" w:rsidRDefault="004A425F" w:rsidP="00641834">
      <w:pPr>
        <w:pStyle w:val="a4"/>
        <w:ind w:left="0"/>
        <w:rPr>
          <w:lang w:val="nb-NO"/>
        </w:rPr>
      </w:pPr>
      <w:r w:rsidRPr="00A942F6">
        <w:rPr>
          <w:lang w:val="nb-NO"/>
        </w:rPr>
        <w:t>EXP</w:t>
      </w:r>
    </w:p>
    <w:p w14:paraId="575EBADE" w14:textId="77777777" w:rsidR="004A425F" w:rsidRPr="00A942F6" w:rsidRDefault="004A425F" w:rsidP="00641834">
      <w:pPr>
        <w:rPr>
          <w:lang w:val="nb-NO"/>
        </w:rPr>
      </w:pPr>
    </w:p>
    <w:p w14:paraId="6833CADC" w14:textId="77777777" w:rsidR="004461E7" w:rsidRPr="00A942F6" w:rsidRDefault="004461E7" w:rsidP="00641834">
      <w:pPr>
        <w:rPr>
          <w:lang w:val="nb-NO"/>
        </w:rPr>
      </w:pPr>
    </w:p>
    <w:p w14:paraId="25FA4F90" w14:textId="77777777" w:rsidR="006F279C" w:rsidRPr="00A942F6" w:rsidRDefault="006F279C"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0ECB0189" w14:textId="77777777" w:rsidR="004A425F" w:rsidRPr="00A942F6" w:rsidRDefault="004A425F" w:rsidP="00641834">
      <w:pPr>
        <w:pStyle w:val="a4"/>
        <w:keepNext/>
        <w:ind w:left="0"/>
        <w:rPr>
          <w:lang w:val="nb-NO"/>
        </w:rPr>
      </w:pPr>
    </w:p>
    <w:p w14:paraId="1D069D6B" w14:textId="77777777" w:rsidR="00CE3DBA" w:rsidRPr="00A942F6" w:rsidRDefault="004A425F" w:rsidP="00641834">
      <w:pPr>
        <w:pStyle w:val="a4"/>
        <w:ind w:left="0"/>
        <w:rPr>
          <w:lang w:val="nb-NO"/>
        </w:rPr>
      </w:pPr>
      <w:r w:rsidRPr="00A942F6">
        <w:rPr>
          <w:lang w:val="nb-NO"/>
        </w:rPr>
        <w:t xml:space="preserve">Oppbevares i </w:t>
      </w:r>
      <w:r w:rsidR="00CE3DBA" w:rsidRPr="00A942F6">
        <w:rPr>
          <w:lang w:val="nb-NO"/>
        </w:rPr>
        <w:t>kjøleskap</w:t>
      </w:r>
    </w:p>
    <w:p w14:paraId="21D1D1A3" w14:textId="77777777" w:rsidR="004A425F" w:rsidRPr="00A942F6" w:rsidRDefault="004A425F" w:rsidP="00641834">
      <w:pPr>
        <w:pStyle w:val="a4"/>
        <w:ind w:left="0"/>
        <w:rPr>
          <w:lang w:val="nb-NO"/>
        </w:rPr>
      </w:pPr>
      <w:r w:rsidRPr="00A942F6">
        <w:rPr>
          <w:lang w:val="nb-NO"/>
        </w:rPr>
        <w:t>Skal ikke fryses</w:t>
      </w:r>
    </w:p>
    <w:p w14:paraId="096423CC" w14:textId="2460EA5B" w:rsidR="004A425F" w:rsidRPr="00A942F6" w:rsidRDefault="004A425F" w:rsidP="00641834">
      <w:pPr>
        <w:pStyle w:val="a4"/>
        <w:ind w:left="0"/>
        <w:rPr>
          <w:lang w:val="nb-NO"/>
        </w:rPr>
      </w:pPr>
      <w:r w:rsidRPr="00A942F6">
        <w:rPr>
          <w:lang w:val="nb-NO"/>
        </w:rPr>
        <w:t xml:space="preserve">Etter uttak fra kjøleskap kan den ferdigfylte sprøyten oppbevares i opptil </w:t>
      </w:r>
      <w:r w:rsidR="00CE336A" w:rsidRPr="00A942F6">
        <w:rPr>
          <w:lang w:val="nb-NO"/>
        </w:rPr>
        <w:t>3 </w:t>
      </w:r>
      <w:r w:rsidRPr="00A942F6">
        <w:rPr>
          <w:lang w:val="nb-NO"/>
        </w:rPr>
        <w:t>uker ved høyst 30 °C Oppbevar den ferdigfylte sprøyten i ytteremballasjen for å beskytte mot lys og fuktighet</w:t>
      </w:r>
    </w:p>
    <w:p w14:paraId="61BE0AD2" w14:textId="77777777" w:rsidR="004A425F" w:rsidRPr="00A942F6" w:rsidRDefault="004A425F" w:rsidP="00641834">
      <w:pPr>
        <w:pStyle w:val="a4"/>
        <w:ind w:left="0"/>
        <w:rPr>
          <w:lang w:val="nb-NO"/>
        </w:rPr>
      </w:pPr>
    </w:p>
    <w:p w14:paraId="52B1FF97" w14:textId="77777777" w:rsidR="004461E7" w:rsidRPr="00A942F6" w:rsidRDefault="004461E7" w:rsidP="00641834">
      <w:pPr>
        <w:pStyle w:val="a4"/>
        <w:ind w:left="0"/>
        <w:rPr>
          <w:lang w:val="nb-NO"/>
        </w:rPr>
      </w:pPr>
    </w:p>
    <w:p w14:paraId="11A733E0"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567DE10E" w14:textId="77777777" w:rsidR="004A425F" w:rsidRPr="00A942F6" w:rsidRDefault="004A425F" w:rsidP="00641834">
      <w:pPr>
        <w:pStyle w:val="a4"/>
        <w:ind w:left="0"/>
        <w:rPr>
          <w:lang w:val="nb-NO"/>
        </w:rPr>
      </w:pPr>
    </w:p>
    <w:p w14:paraId="362FB745" w14:textId="77777777" w:rsidR="004A425F" w:rsidRPr="00A942F6" w:rsidRDefault="004A425F" w:rsidP="00641834">
      <w:pPr>
        <w:pStyle w:val="a4"/>
        <w:ind w:left="0"/>
        <w:rPr>
          <w:lang w:val="nb-NO"/>
        </w:rPr>
      </w:pPr>
    </w:p>
    <w:p w14:paraId="5F969C18"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2FEF303E" w14:textId="77777777" w:rsidR="004A425F" w:rsidRPr="00A942F6" w:rsidRDefault="004A425F" w:rsidP="00641834">
      <w:pPr>
        <w:pStyle w:val="a4"/>
        <w:ind w:left="0"/>
        <w:rPr>
          <w:lang w:val="nb-NO"/>
        </w:rPr>
      </w:pPr>
    </w:p>
    <w:p w14:paraId="061A871B" w14:textId="77777777" w:rsidR="00CE336A" w:rsidRPr="009B40A5" w:rsidRDefault="00CE336A" w:rsidP="00CE336A">
      <w:pPr>
        <w:keepNext/>
      </w:pPr>
      <w:r w:rsidRPr="009B40A5">
        <w:t xml:space="preserve">Celltrion Healthcare Hungary Kft. </w:t>
      </w:r>
    </w:p>
    <w:p w14:paraId="42BDBC59" w14:textId="77777777" w:rsidR="00CE336A" w:rsidRPr="009B40A5" w:rsidRDefault="00CE336A" w:rsidP="00CE336A">
      <w:pPr>
        <w:keepNext/>
      </w:pPr>
      <w:r w:rsidRPr="009B40A5">
        <w:t>1062 Budapest</w:t>
      </w:r>
    </w:p>
    <w:p w14:paraId="03EF7C40" w14:textId="77777777" w:rsidR="00CE336A" w:rsidRPr="009B40A5" w:rsidRDefault="00CE336A" w:rsidP="00CE336A">
      <w:pPr>
        <w:keepNext/>
      </w:pPr>
      <w:r w:rsidRPr="009B40A5">
        <w:t>Váci út 1</w:t>
      </w:r>
      <w:r w:rsidR="006D55DF" w:rsidRPr="009B40A5">
        <w:noBreakHyphen/>
      </w:r>
      <w:r w:rsidRPr="009B40A5">
        <w:t>3. WestEnd Office Building B torony</w:t>
      </w:r>
    </w:p>
    <w:p w14:paraId="157E5588" w14:textId="77777777" w:rsidR="00CE336A" w:rsidRPr="009B40A5" w:rsidRDefault="00CE336A" w:rsidP="00CE336A">
      <w:r w:rsidRPr="009B40A5">
        <w:t>Ungarn</w:t>
      </w:r>
    </w:p>
    <w:p w14:paraId="310AA8C6" w14:textId="77777777" w:rsidR="004A425F" w:rsidRPr="009B40A5" w:rsidRDefault="004A425F" w:rsidP="00641834">
      <w:pPr>
        <w:pStyle w:val="a4"/>
        <w:ind w:left="0"/>
        <w:rPr>
          <w:lang w:val="en-US"/>
        </w:rPr>
      </w:pPr>
    </w:p>
    <w:p w14:paraId="00F97DD0" w14:textId="77777777" w:rsidR="004461E7" w:rsidRPr="009B40A5" w:rsidRDefault="004461E7" w:rsidP="00641834">
      <w:pPr>
        <w:pStyle w:val="a4"/>
        <w:ind w:left="0"/>
        <w:rPr>
          <w:lang w:val="en-US"/>
        </w:rPr>
      </w:pPr>
    </w:p>
    <w:p w14:paraId="7E5C4BC8"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35D432D7" w14:textId="77777777" w:rsidR="004A425F" w:rsidRPr="00A942F6" w:rsidRDefault="004A425F" w:rsidP="00641834">
      <w:pPr>
        <w:pStyle w:val="a4"/>
        <w:ind w:left="0"/>
        <w:rPr>
          <w:lang w:val="nb-NO"/>
        </w:rPr>
      </w:pPr>
    </w:p>
    <w:p w14:paraId="053A1DD0" w14:textId="0C69C6A9" w:rsidR="0095047D" w:rsidRPr="009B40A5" w:rsidRDefault="0095047D" w:rsidP="0095047D">
      <w:pPr>
        <w:keepNext/>
        <w:rPr>
          <w:lang w:val="nb-NO"/>
        </w:rPr>
      </w:pPr>
      <w:r w:rsidRPr="009B40A5">
        <w:rPr>
          <w:lang w:val="nb-NO"/>
        </w:rPr>
        <w:t>EU/</w:t>
      </w:r>
      <w:r w:rsidRPr="003672E9">
        <w:rPr>
          <w:spacing w:val="-1"/>
          <w:lang w:val="pt-BR"/>
        </w:rPr>
        <w:t>1/24/1896/00</w:t>
      </w:r>
      <w:r>
        <w:rPr>
          <w:rFonts w:eastAsia="맑은 고딕" w:hint="eastAsia"/>
          <w:spacing w:val="-1"/>
          <w:lang w:val="pt-BR" w:eastAsia="ko-KR"/>
        </w:rPr>
        <w:t>7</w:t>
      </w:r>
      <w:r>
        <w:rPr>
          <w:rFonts w:hint="eastAsia"/>
          <w:spacing w:val="-1"/>
          <w:lang w:val="pt-BR" w:eastAsia="ko-KR"/>
        </w:rPr>
        <w:t xml:space="preserve"> 1 </w:t>
      </w:r>
      <w:r>
        <w:rPr>
          <w:spacing w:val="-1"/>
          <w:lang w:val="pt-BR" w:eastAsia="ko-KR"/>
        </w:rPr>
        <w:t>f</w:t>
      </w:r>
      <w:r w:rsidR="00E17B0A">
        <w:rPr>
          <w:spacing w:val="-1"/>
          <w:lang w:val="pt-BR" w:eastAsia="ko-KR"/>
        </w:rPr>
        <w:t>erdig</w:t>
      </w:r>
      <w:r>
        <w:rPr>
          <w:spacing w:val="-1"/>
          <w:lang w:val="pt-BR" w:eastAsia="ko-KR"/>
        </w:rPr>
        <w:t>fylt sprøyte</w:t>
      </w:r>
    </w:p>
    <w:p w14:paraId="241642CE" w14:textId="4FB9410B" w:rsidR="0095047D" w:rsidRPr="009B40A5" w:rsidRDefault="0095047D" w:rsidP="0095047D">
      <w:pPr>
        <w:rPr>
          <w:lang w:val="nb-NO"/>
        </w:rPr>
      </w:pPr>
      <w:r w:rsidRPr="009B40A5">
        <w:rPr>
          <w:lang w:val="nb-NO"/>
        </w:rPr>
        <w:t>EU/</w:t>
      </w:r>
      <w:r w:rsidRPr="003672E9">
        <w:rPr>
          <w:spacing w:val="-1"/>
          <w:lang w:val="pt-BR"/>
        </w:rPr>
        <w:t>1/24/1896/00</w:t>
      </w:r>
      <w:r>
        <w:rPr>
          <w:rFonts w:eastAsia="맑은 고딕" w:hint="eastAsia"/>
          <w:spacing w:val="-1"/>
          <w:lang w:val="pt-BR" w:eastAsia="ko-KR"/>
        </w:rPr>
        <w:t>8</w:t>
      </w:r>
      <w:r>
        <w:rPr>
          <w:rFonts w:hint="eastAsia"/>
          <w:spacing w:val="-1"/>
          <w:lang w:val="pt-BR" w:eastAsia="ko-KR"/>
        </w:rPr>
        <w:t xml:space="preserve"> </w:t>
      </w:r>
      <w:r>
        <w:rPr>
          <w:rFonts w:eastAsia="맑은 고딕" w:hint="eastAsia"/>
          <w:spacing w:val="-1"/>
          <w:lang w:val="pt-BR" w:eastAsia="ko-KR"/>
        </w:rPr>
        <w:t>4</w:t>
      </w:r>
      <w:r>
        <w:rPr>
          <w:rFonts w:hint="eastAsia"/>
          <w:spacing w:val="-1"/>
          <w:lang w:val="pt-BR" w:eastAsia="ko-KR"/>
        </w:rPr>
        <w:t xml:space="preserve"> </w:t>
      </w:r>
      <w:r w:rsidR="000C6C75">
        <w:rPr>
          <w:spacing w:val="-1"/>
          <w:lang w:val="pt-BR" w:eastAsia="ko-KR"/>
        </w:rPr>
        <w:t>f</w:t>
      </w:r>
      <w:r w:rsidR="00E17B0A">
        <w:rPr>
          <w:spacing w:val="-1"/>
          <w:lang w:val="pt-BR" w:eastAsia="ko-KR"/>
        </w:rPr>
        <w:t>erdig</w:t>
      </w:r>
      <w:r w:rsidR="000C6C75">
        <w:rPr>
          <w:spacing w:val="-1"/>
          <w:lang w:val="pt-BR" w:eastAsia="ko-KR"/>
        </w:rPr>
        <w:t>fylte sprøyter</w:t>
      </w:r>
    </w:p>
    <w:p w14:paraId="5F851D9D" w14:textId="3411F6B9" w:rsidR="000603DA" w:rsidRPr="009B40A5" w:rsidRDefault="000603DA" w:rsidP="000603DA">
      <w:pPr>
        <w:rPr>
          <w:ins w:id="21" w:author="만든 이"/>
          <w:lang w:val="nb-NO"/>
        </w:rPr>
      </w:pPr>
      <w:ins w:id="22" w:author="만든 이">
        <w:r w:rsidRPr="009B40A5">
          <w:rPr>
            <w:lang w:val="nb-NO"/>
          </w:rPr>
          <w:t>EU/</w:t>
        </w:r>
        <w:r w:rsidRPr="003672E9">
          <w:rPr>
            <w:spacing w:val="-1"/>
            <w:lang w:val="pt-BR"/>
          </w:rPr>
          <w:t>1/24/1896/</w:t>
        </w:r>
        <w:r w:rsidR="00D6295A">
          <w:rPr>
            <w:rFonts w:eastAsia="맑은 고딕" w:hint="eastAsia"/>
            <w:spacing w:val="-1"/>
            <w:lang w:val="pt-BR" w:eastAsia="ko-KR"/>
          </w:rPr>
          <w:t>013</w:t>
        </w:r>
        <w:r>
          <w:rPr>
            <w:rFonts w:hint="eastAsia"/>
            <w:spacing w:val="-1"/>
            <w:lang w:val="pt-BR" w:eastAsia="ko-KR"/>
          </w:rPr>
          <w:t xml:space="preserve"> </w:t>
        </w:r>
        <w:r>
          <w:rPr>
            <w:rFonts w:eastAsia="맑은 고딕" w:hint="eastAsia"/>
            <w:spacing w:val="-1"/>
            <w:lang w:val="pt-BR" w:eastAsia="ko-KR"/>
          </w:rPr>
          <w:t>2</w:t>
        </w:r>
        <w:r>
          <w:rPr>
            <w:rFonts w:hint="eastAsia"/>
            <w:spacing w:val="-1"/>
            <w:lang w:val="pt-BR" w:eastAsia="ko-KR"/>
          </w:rPr>
          <w:t xml:space="preserve"> </w:t>
        </w:r>
        <w:r>
          <w:rPr>
            <w:spacing w:val="-1"/>
            <w:lang w:val="pt-BR" w:eastAsia="ko-KR"/>
          </w:rPr>
          <w:t>ferdigfylte sprøyter</w:t>
        </w:r>
      </w:ins>
    </w:p>
    <w:p w14:paraId="02ACE87A" w14:textId="77777777" w:rsidR="004A425F" w:rsidRPr="00A942F6" w:rsidRDefault="004A425F" w:rsidP="00641834">
      <w:pPr>
        <w:pStyle w:val="a4"/>
        <w:ind w:left="0"/>
        <w:rPr>
          <w:lang w:val="nb-NO"/>
        </w:rPr>
      </w:pPr>
    </w:p>
    <w:p w14:paraId="3E5F4ED0" w14:textId="77777777" w:rsidR="004461E7" w:rsidRPr="00A942F6" w:rsidRDefault="004461E7" w:rsidP="00641834">
      <w:pPr>
        <w:pStyle w:val="a4"/>
        <w:ind w:left="0"/>
        <w:rPr>
          <w:lang w:val="nb-NO"/>
        </w:rPr>
      </w:pPr>
    </w:p>
    <w:p w14:paraId="695F47C5"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075148FB" w14:textId="77777777" w:rsidR="004A425F" w:rsidRPr="00A942F6" w:rsidRDefault="004A425F" w:rsidP="00641834">
      <w:pPr>
        <w:pStyle w:val="a4"/>
        <w:ind w:left="0"/>
        <w:rPr>
          <w:lang w:val="nb-NO"/>
        </w:rPr>
      </w:pPr>
    </w:p>
    <w:p w14:paraId="546974B0" w14:textId="77777777" w:rsidR="004A425F" w:rsidRPr="00A942F6" w:rsidRDefault="004A425F" w:rsidP="00641834">
      <w:pPr>
        <w:pStyle w:val="a4"/>
        <w:ind w:left="0"/>
        <w:rPr>
          <w:lang w:val="nb-NO"/>
        </w:rPr>
      </w:pPr>
      <w:r w:rsidRPr="00A942F6">
        <w:rPr>
          <w:lang w:val="nb-NO"/>
        </w:rPr>
        <w:t>Lot</w:t>
      </w:r>
    </w:p>
    <w:p w14:paraId="6CAE63EB" w14:textId="77777777" w:rsidR="004A425F" w:rsidRPr="00A942F6" w:rsidRDefault="004A425F" w:rsidP="00641834">
      <w:pPr>
        <w:pStyle w:val="a4"/>
        <w:ind w:left="0"/>
        <w:rPr>
          <w:lang w:val="nb-NO"/>
        </w:rPr>
      </w:pPr>
    </w:p>
    <w:p w14:paraId="793C225B" w14:textId="77777777" w:rsidR="006F279C" w:rsidRPr="00A942F6" w:rsidRDefault="006F279C" w:rsidP="00641834">
      <w:pPr>
        <w:pStyle w:val="a4"/>
        <w:ind w:left="0"/>
        <w:rPr>
          <w:lang w:val="nb-NO"/>
        </w:rPr>
      </w:pPr>
    </w:p>
    <w:p w14:paraId="12FF0428"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5C4F3930" w14:textId="77777777" w:rsidR="004A425F" w:rsidRPr="00A942F6" w:rsidRDefault="004A425F" w:rsidP="00641834">
      <w:pPr>
        <w:pStyle w:val="a4"/>
        <w:ind w:left="0"/>
        <w:rPr>
          <w:lang w:val="nb-NO"/>
        </w:rPr>
      </w:pPr>
    </w:p>
    <w:p w14:paraId="6651CB4A" w14:textId="77777777" w:rsidR="004A425F" w:rsidRPr="00A942F6" w:rsidRDefault="004A425F" w:rsidP="00641834">
      <w:pPr>
        <w:pStyle w:val="a4"/>
        <w:ind w:left="0"/>
        <w:rPr>
          <w:lang w:val="nb-NO"/>
        </w:rPr>
      </w:pPr>
    </w:p>
    <w:p w14:paraId="6AF0C27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3160BD8C" w14:textId="77777777" w:rsidR="004A425F" w:rsidRPr="00A942F6" w:rsidRDefault="004A425F" w:rsidP="00641834">
      <w:pPr>
        <w:pStyle w:val="a4"/>
        <w:ind w:left="0"/>
        <w:rPr>
          <w:lang w:val="nb-NO"/>
        </w:rPr>
      </w:pPr>
    </w:p>
    <w:p w14:paraId="675482CB" w14:textId="77777777" w:rsidR="004A425F" w:rsidRPr="00A942F6" w:rsidRDefault="004A425F" w:rsidP="00641834">
      <w:pPr>
        <w:pStyle w:val="a4"/>
        <w:ind w:left="0"/>
        <w:rPr>
          <w:lang w:val="nb-NO"/>
        </w:rPr>
      </w:pPr>
    </w:p>
    <w:p w14:paraId="302A84E8"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6A3985FB" w14:textId="77777777" w:rsidR="004A425F" w:rsidRPr="00A942F6" w:rsidRDefault="004A425F" w:rsidP="00641834">
      <w:pPr>
        <w:pStyle w:val="a4"/>
        <w:ind w:left="0"/>
        <w:rPr>
          <w:lang w:val="nb-NO"/>
        </w:rPr>
      </w:pPr>
    </w:p>
    <w:p w14:paraId="3BD5D5E3" w14:textId="6FFA0042" w:rsidR="004A425F" w:rsidRPr="00A942F6" w:rsidRDefault="00CE336A" w:rsidP="00641834">
      <w:pPr>
        <w:pStyle w:val="a4"/>
        <w:ind w:left="0"/>
        <w:rPr>
          <w:lang w:val="nb-NO"/>
        </w:rPr>
      </w:pPr>
      <w:r w:rsidRPr="00A942F6">
        <w:rPr>
          <w:lang w:val="nb-NO"/>
        </w:rPr>
        <w:t>a</w:t>
      </w:r>
      <w:r w:rsidR="00923E68" w:rsidRPr="00A942F6">
        <w:rPr>
          <w:lang w:val="nb-NO"/>
        </w:rPr>
        <w:t>vtozma</w:t>
      </w:r>
      <w:r w:rsidR="004A425F" w:rsidRPr="00A942F6">
        <w:rPr>
          <w:lang w:val="nb-NO"/>
        </w:rPr>
        <w:t xml:space="preserve"> 162 mg</w:t>
      </w:r>
    </w:p>
    <w:p w14:paraId="157B27EE" w14:textId="77777777" w:rsidR="004A425F" w:rsidRPr="00A942F6" w:rsidRDefault="004A425F" w:rsidP="00641834">
      <w:pPr>
        <w:pStyle w:val="a4"/>
        <w:ind w:left="0"/>
        <w:rPr>
          <w:lang w:val="nb-NO"/>
        </w:rPr>
      </w:pPr>
    </w:p>
    <w:p w14:paraId="30B78D5C" w14:textId="77777777" w:rsidR="004461E7" w:rsidRPr="00A942F6" w:rsidRDefault="004461E7" w:rsidP="00641834">
      <w:pPr>
        <w:pStyle w:val="a4"/>
        <w:ind w:left="0"/>
        <w:rPr>
          <w:lang w:val="nb-NO"/>
        </w:rPr>
      </w:pPr>
    </w:p>
    <w:p w14:paraId="0CB6C93C"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5B52A8DC" w14:textId="77777777" w:rsidR="004A425F" w:rsidRPr="00A942F6" w:rsidRDefault="004A425F" w:rsidP="00641834">
      <w:pPr>
        <w:pStyle w:val="a4"/>
        <w:ind w:left="0"/>
        <w:rPr>
          <w:lang w:val="nb-NO"/>
        </w:rPr>
      </w:pPr>
    </w:p>
    <w:p w14:paraId="0D24E441"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5B554D68" w14:textId="77777777" w:rsidR="004A425F" w:rsidRPr="00A942F6" w:rsidRDefault="004A425F" w:rsidP="00641834">
      <w:pPr>
        <w:pStyle w:val="a4"/>
        <w:ind w:left="0"/>
        <w:rPr>
          <w:lang w:val="nb-NO"/>
        </w:rPr>
      </w:pPr>
    </w:p>
    <w:p w14:paraId="728766AB" w14:textId="77777777" w:rsidR="004461E7" w:rsidRPr="00A942F6" w:rsidRDefault="004461E7" w:rsidP="00641834">
      <w:pPr>
        <w:pStyle w:val="a4"/>
        <w:ind w:left="0"/>
        <w:rPr>
          <w:lang w:val="nb-NO"/>
        </w:rPr>
      </w:pPr>
    </w:p>
    <w:p w14:paraId="4F7AB0CC"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30DD538F" w14:textId="77777777" w:rsidR="004A425F" w:rsidRPr="00A942F6" w:rsidRDefault="004A425F" w:rsidP="00641834">
      <w:pPr>
        <w:pStyle w:val="a4"/>
        <w:ind w:left="0"/>
        <w:rPr>
          <w:lang w:val="nb-NO"/>
        </w:rPr>
      </w:pPr>
    </w:p>
    <w:p w14:paraId="35DB596F" w14:textId="77777777" w:rsidR="00CE3DBA" w:rsidRPr="00A942F6" w:rsidRDefault="00CE3DBA" w:rsidP="00641834">
      <w:pPr>
        <w:pStyle w:val="a4"/>
        <w:ind w:left="0"/>
        <w:jc w:val="both"/>
        <w:rPr>
          <w:lang w:val="nb-NO"/>
        </w:rPr>
      </w:pPr>
      <w:r w:rsidRPr="00A942F6">
        <w:rPr>
          <w:lang w:val="nb-NO"/>
        </w:rPr>
        <w:t>PC</w:t>
      </w:r>
    </w:p>
    <w:p w14:paraId="3B02D1EA" w14:textId="77777777" w:rsidR="00CE3DBA" w:rsidRPr="00A942F6" w:rsidRDefault="004A425F" w:rsidP="00641834">
      <w:pPr>
        <w:pStyle w:val="a4"/>
        <w:ind w:left="0"/>
        <w:jc w:val="both"/>
        <w:rPr>
          <w:lang w:val="nb-NO"/>
        </w:rPr>
      </w:pPr>
      <w:r w:rsidRPr="00A942F6">
        <w:rPr>
          <w:lang w:val="nb-NO"/>
        </w:rPr>
        <w:t>SN</w:t>
      </w:r>
    </w:p>
    <w:p w14:paraId="763BC8A2" w14:textId="77777777" w:rsidR="004A425F" w:rsidRPr="00A942F6" w:rsidRDefault="004A425F" w:rsidP="00641834">
      <w:pPr>
        <w:pStyle w:val="a4"/>
        <w:ind w:left="0"/>
        <w:jc w:val="both"/>
        <w:rPr>
          <w:lang w:val="nb-NO"/>
        </w:rPr>
      </w:pPr>
      <w:r w:rsidRPr="00CD583D">
        <w:rPr>
          <w:highlight w:val="lightGray"/>
          <w:lang w:val="nb-NO"/>
        </w:rPr>
        <w:t>NN</w:t>
      </w:r>
    </w:p>
    <w:p w14:paraId="6E8CEBC1" w14:textId="77777777" w:rsidR="004A425F" w:rsidRPr="00A942F6" w:rsidRDefault="004A425F" w:rsidP="00641834">
      <w:pPr>
        <w:jc w:val="both"/>
        <w:rPr>
          <w:lang w:val="nb-NO"/>
        </w:rPr>
      </w:pPr>
    </w:p>
    <w:p w14:paraId="5C54419F" w14:textId="3357B640" w:rsidR="006F279C" w:rsidRPr="00A942F6" w:rsidRDefault="00E31057"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6F279C" w:rsidRPr="00A942F6">
        <w:rPr>
          <w:b/>
          <w:lang w:val="nb-NO"/>
        </w:rPr>
        <w:lastRenderedPageBreak/>
        <w:t>OPPLYSNINGER, SOM SKAL ANGIS PÅ YTRE EMBALLASJE</w:t>
      </w:r>
    </w:p>
    <w:p w14:paraId="276657B7" w14:textId="77777777" w:rsidR="004461E7" w:rsidRPr="00A942F6" w:rsidRDefault="004461E7" w:rsidP="00641834">
      <w:pPr>
        <w:pBdr>
          <w:top w:val="single" w:sz="4" w:space="1" w:color="auto"/>
          <w:left w:val="single" w:sz="4" w:space="4" w:color="auto"/>
          <w:bottom w:val="single" w:sz="4" w:space="1" w:color="auto"/>
          <w:right w:val="single" w:sz="4" w:space="4" w:color="auto"/>
        </w:pBdr>
        <w:rPr>
          <w:b/>
          <w:lang w:val="nb-NO"/>
        </w:rPr>
      </w:pPr>
    </w:p>
    <w:p w14:paraId="1C3FD0FD" w14:textId="77777777" w:rsidR="006F279C" w:rsidRPr="00A942F6" w:rsidRDefault="006F279C"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 FERDIGFYLT SPRØYTE (MED BLUE BOX) - Multipakning</w:t>
      </w:r>
    </w:p>
    <w:p w14:paraId="574134A7" w14:textId="77777777" w:rsidR="004A425F" w:rsidRPr="00A942F6" w:rsidRDefault="004A425F" w:rsidP="00641834">
      <w:pPr>
        <w:pStyle w:val="a4"/>
        <w:ind w:left="0"/>
        <w:rPr>
          <w:lang w:val="nb-NO"/>
        </w:rPr>
      </w:pPr>
    </w:p>
    <w:p w14:paraId="7B8DD417" w14:textId="77777777" w:rsidR="004A425F" w:rsidRPr="00A942F6" w:rsidRDefault="004A425F" w:rsidP="00641834">
      <w:pPr>
        <w:pStyle w:val="a4"/>
        <w:ind w:left="0"/>
        <w:rPr>
          <w:lang w:val="nb-NO"/>
        </w:rPr>
      </w:pPr>
    </w:p>
    <w:p w14:paraId="0B0E6601"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426BDA5A" w14:textId="77777777" w:rsidR="006F279C" w:rsidRPr="00A942F6" w:rsidRDefault="006F279C" w:rsidP="00641834">
      <w:pPr>
        <w:pStyle w:val="a4"/>
        <w:ind w:left="0"/>
        <w:rPr>
          <w:lang w:val="nb-NO"/>
        </w:rPr>
      </w:pPr>
    </w:p>
    <w:p w14:paraId="3EA48C0E" w14:textId="64E8E06E"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injeksjonsvæske, oppløsning i ferdigfylt </w:t>
      </w:r>
      <w:r w:rsidR="00CE3DBA" w:rsidRPr="00A942F6">
        <w:rPr>
          <w:lang w:val="nb-NO"/>
        </w:rPr>
        <w:t>sprøyte</w:t>
      </w:r>
    </w:p>
    <w:p w14:paraId="499DDB5D" w14:textId="77777777" w:rsidR="004A425F" w:rsidRPr="00A942F6" w:rsidRDefault="004A425F" w:rsidP="00641834">
      <w:pPr>
        <w:pStyle w:val="a4"/>
        <w:ind w:left="0"/>
        <w:rPr>
          <w:lang w:val="nb-NO"/>
        </w:rPr>
      </w:pPr>
      <w:r w:rsidRPr="00A942F6">
        <w:rPr>
          <w:lang w:val="nb-NO"/>
        </w:rPr>
        <w:t>tocilizumab</w:t>
      </w:r>
    </w:p>
    <w:p w14:paraId="47F5564D" w14:textId="77777777" w:rsidR="004A425F" w:rsidRPr="00A942F6" w:rsidRDefault="004A425F" w:rsidP="00641834">
      <w:pPr>
        <w:pStyle w:val="a4"/>
        <w:ind w:left="0"/>
        <w:rPr>
          <w:lang w:val="nb-NO"/>
        </w:rPr>
      </w:pPr>
    </w:p>
    <w:p w14:paraId="29FCA7CF" w14:textId="77777777" w:rsidR="004461E7" w:rsidRPr="00A942F6" w:rsidRDefault="004461E7" w:rsidP="00641834">
      <w:pPr>
        <w:pStyle w:val="a4"/>
        <w:ind w:left="0"/>
        <w:rPr>
          <w:lang w:val="nb-NO"/>
        </w:rPr>
      </w:pPr>
    </w:p>
    <w:p w14:paraId="5CBE6FE3"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10D74071" w14:textId="77777777" w:rsidR="006F279C" w:rsidRPr="00A942F6" w:rsidRDefault="006F279C" w:rsidP="00641834">
      <w:pPr>
        <w:pStyle w:val="a4"/>
        <w:ind w:left="0"/>
        <w:rPr>
          <w:lang w:val="nb-NO"/>
        </w:rPr>
      </w:pPr>
    </w:p>
    <w:p w14:paraId="2CCFF4E3" w14:textId="77777777" w:rsidR="004A425F" w:rsidRPr="00A942F6" w:rsidRDefault="004A425F" w:rsidP="00641834">
      <w:pPr>
        <w:pStyle w:val="a4"/>
        <w:ind w:left="0"/>
        <w:rPr>
          <w:lang w:val="nb-NO"/>
        </w:rPr>
      </w:pPr>
      <w:r w:rsidRPr="00A942F6">
        <w:rPr>
          <w:lang w:val="nb-NO"/>
        </w:rPr>
        <w:t>1 ferdigfylt sprøyte inneholder 162 mg tocilizumab</w:t>
      </w:r>
    </w:p>
    <w:p w14:paraId="40F26708" w14:textId="77777777" w:rsidR="004A425F" w:rsidRPr="00A942F6" w:rsidRDefault="004A425F" w:rsidP="00641834">
      <w:pPr>
        <w:pStyle w:val="a4"/>
        <w:ind w:left="0"/>
        <w:rPr>
          <w:lang w:val="nb-NO"/>
        </w:rPr>
      </w:pPr>
    </w:p>
    <w:p w14:paraId="2E676B15" w14:textId="77777777" w:rsidR="004A425F" w:rsidRPr="00A942F6" w:rsidRDefault="004A425F" w:rsidP="00641834">
      <w:pPr>
        <w:pStyle w:val="a4"/>
        <w:ind w:left="0"/>
        <w:rPr>
          <w:lang w:val="nb-NO"/>
        </w:rPr>
      </w:pPr>
    </w:p>
    <w:p w14:paraId="5083E1EA"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6E7EAD50" w14:textId="77777777" w:rsidR="004A425F" w:rsidRPr="00A942F6" w:rsidRDefault="004A425F" w:rsidP="00641834">
      <w:pPr>
        <w:pStyle w:val="a4"/>
        <w:ind w:left="0"/>
        <w:rPr>
          <w:lang w:val="nb-NO"/>
        </w:rPr>
      </w:pPr>
    </w:p>
    <w:p w14:paraId="0CCBD811" w14:textId="47353263" w:rsidR="00CE336A" w:rsidRPr="00A942F6" w:rsidRDefault="00CE336A" w:rsidP="00CE336A">
      <w:pPr>
        <w:pStyle w:val="a4"/>
        <w:ind w:left="0"/>
        <w:rPr>
          <w:lang w:val="nb-NO"/>
        </w:rPr>
      </w:pPr>
      <w:r w:rsidRPr="00A942F6">
        <w:rPr>
          <w:lang w:val="nb-NO"/>
        </w:rPr>
        <w:t>Hjelpestoffer: L</w:t>
      </w:r>
      <w:r w:rsidR="006D55DF">
        <w:rPr>
          <w:lang w:val="nb-NO"/>
        </w:rPr>
        <w:noBreakHyphen/>
      </w:r>
      <w:r w:rsidRPr="00A942F6">
        <w:rPr>
          <w:lang w:val="nb-NO"/>
        </w:rPr>
        <w:t>histidin,</w:t>
      </w:r>
      <w:r w:rsidR="00220441">
        <w:rPr>
          <w:rFonts w:eastAsia="맑은 고딕" w:hint="eastAsia"/>
          <w:lang w:val="nb-NO" w:eastAsia="ko-KR"/>
        </w:rPr>
        <w:t xml:space="preserve"> </w:t>
      </w:r>
      <w:r w:rsidR="001B685D" w:rsidRPr="001B685D">
        <w:rPr>
          <w:rFonts w:eastAsia="맑은 고딕"/>
          <w:lang w:val="en-US" w:eastAsia="ko-KR"/>
        </w:rPr>
        <w:t>L-histidin monohydroklorid monohydrat</w:t>
      </w:r>
      <w:r w:rsidR="00220441" w:rsidRPr="00BD4D94">
        <w:rPr>
          <w:rFonts w:eastAsia="맑은 고딕"/>
          <w:lang w:val="nb-NO" w:eastAsia="ko-KR"/>
        </w:rPr>
        <w:t>,</w:t>
      </w:r>
      <w:r w:rsidRPr="00A942F6">
        <w:rPr>
          <w:lang w:val="nb-NO"/>
        </w:rPr>
        <w:t xml:space="preserve"> L</w:t>
      </w:r>
      <w:r w:rsidR="006D55DF">
        <w:rPr>
          <w:lang w:val="nb-NO"/>
        </w:rPr>
        <w:noBreakHyphen/>
      </w:r>
      <w:r w:rsidRPr="00A942F6">
        <w:rPr>
          <w:lang w:val="nb-NO"/>
        </w:rPr>
        <w:t>treonin, L</w:t>
      </w:r>
      <w:r w:rsidR="006D55DF">
        <w:rPr>
          <w:lang w:val="nb-NO"/>
        </w:rPr>
        <w:noBreakHyphen/>
      </w:r>
      <w:r w:rsidRPr="00A942F6">
        <w:rPr>
          <w:lang w:val="nb-NO"/>
        </w:rPr>
        <w:t>metionin, polysorbat 80 og vann til injeksjonsvæsker. Se pakningsvedlegget for ytterligere informasjon.</w:t>
      </w:r>
    </w:p>
    <w:p w14:paraId="6668C982" w14:textId="77777777" w:rsidR="004A425F" w:rsidRPr="00A942F6" w:rsidRDefault="004A425F" w:rsidP="00641834">
      <w:pPr>
        <w:pStyle w:val="a4"/>
        <w:ind w:left="0"/>
        <w:rPr>
          <w:lang w:val="nb-NO"/>
        </w:rPr>
      </w:pPr>
    </w:p>
    <w:p w14:paraId="5D0779B0" w14:textId="77777777" w:rsidR="004461E7" w:rsidRPr="00A942F6" w:rsidRDefault="004461E7" w:rsidP="00641834">
      <w:pPr>
        <w:pStyle w:val="a4"/>
        <w:ind w:left="0"/>
        <w:rPr>
          <w:lang w:val="nb-NO"/>
        </w:rPr>
      </w:pPr>
    </w:p>
    <w:p w14:paraId="02D43047"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214CD761" w14:textId="77777777" w:rsidR="004A425F" w:rsidRPr="00A942F6" w:rsidRDefault="004A425F" w:rsidP="00641834">
      <w:pPr>
        <w:pStyle w:val="a4"/>
        <w:ind w:left="0"/>
        <w:rPr>
          <w:lang w:val="nb-NO"/>
        </w:rPr>
      </w:pPr>
    </w:p>
    <w:p w14:paraId="1BEF77F0" w14:textId="77777777" w:rsidR="00CE3DBA" w:rsidRPr="00A942F6" w:rsidRDefault="004A425F" w:rsidP="00641834">
      <w:pPr>
        <w:pStyle w:val="a4"/>
        <w:ind w:left="0"/>
        <w:rPr>
          <w:lang w:val="nb-NO"/>
        </w:rPr>
      </w:pPr>
      <w:r w:rsidRPr="00A942F6">
        <w:rPr>
          <w:lang w:val="nb-NO"/>
        </w:rPr>
        <w:t xml:space="preserve">Injeksjonsvæske, </w:t>
      </w:r>
      <w:r w:rsidR="00CE3DBA" w:rsidRPr="00A942F6">
        <w:rPr>
          <w:lang w:val="nb-NO"/>
        </w:rPr>
        <w:t>oppløsning i ferdigfylt sprøyte</w:t>
      </w:r>
    </w:p>
    <w:p w14:paraId="4CD8F88B" w14:textId="77777777" w:rsidR="004A425F" w:rsidRPr="00A942F6" w:rsidRDefault="004A425F" w:rsidP="00641834">
      <w:pPr>
        <w:pStyle w:val="a4"/>
        <w:ind w:left="0"/>
        <w:rPr>
          <w:lang w:val="nb-NO"/>
        </w:rPr>
      </w:pPr>
      <w:r w:rsidRPr="00A942F6">
        <w:rPr>
          <w:lang w:val="nb-NO"/>
        </w:rPr>
        <w:t>Multipakning: 12 (3 pakninger á 4) ferdigfylte sprøyter</w:t>
      </w:r>
    </w:p>
    <w:p w14:paraId="3AC3DBD7" w14:textId="77777777" w:rsidR="004A425F" w:rsidRPr="00A942F6" w:rsidRDefault="004A425F" w:rsidP="00641834">
      <w:pPr>
        <w:pStyle w:val="a4"/>
        <w:ind w:left="0"/>
        <w:rPr>
          <w:lang w:val="nb-NO"/>
        </w:rPr>
      </w:pPr>
      <w:r w:rsidRPr="00A942F6">
        <w:rPr>
          <w:lang w:val="nb-NO"/>
        </w:rPr>
        <w:t>162 mg/0,9 ml</w:t>
      </w:r>
    </w:p>
    <w:p w14:paraId="06D59DCD" w14:textId="77777777" w:rsidR="004A425F" w:rsidRPr="00A942F6" w:rsidRDefault="004A425F" w:rsidP="00641834">
      <w:pPr>
        <w:pStyle w:val="a4"/>
        <w:ind w:left="0"/>
        <w:rPr>
          <w:lang w:val="nb-NO"/>
        </w:rPr>
      </w:pPr>
    </w:p>
    <w:p w14:paraId="4C137B04" w14:textId="77777777" w:rsidR="004A425F" w:rsidRPr="00A942F6" w:rsidRDefault="004A425F" w:rsidP="00641834">
      <w:pPr>
        <w:pStyle w:val="a4"/>
        <w:ind w:left="0"/>
        <w:rPr>
          <w:lang w:val="nb-NO"/>
        </w:rPr>
      </w:pPr>
    </w:p>
    <w:p w14:paraId="2263357A"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530747CF" w14:textId="77777777" w:rsidR="006F279C" w:rsidRPr="00A942F6" w:rsidRDefault="006F279C" w:rsidP="00641834">
      <w:pPr>
        <w:pStyle w:val="a4"/>
        <w:ind w:left="0"/>
        <w:rPr>
          <w:lang w:val="nb-NO"/>
        </w:rPr>
      </w:pPr>
    </w:p>
    <w:p w14:paraId="595ABCC5" w14:textId="77777777" w:rsidR="004A425F" w:rsidRPr="00A942F6" w:rsidRDefault="004A425F" w:rsidP="00641834">
      <w:pPr>
        <w:pStyle w:val="a4"/>
        <w:ind w:left="0"/>
        <w:rPr>
          <w:lang w:val="nb-NO"/>
        </w:rPr>
      </w:pPr>
      <w:r w:rsidRPr="00A942F6">
        <w:rPr>
          <w:lang w:val="nb-NO"/>
        </w:rPr>
        <w:t>Subkutan bruk</w:t>
      </w:r>
    </w:p>
    <w:p w14:paraId="0908B2FA" w14:textId="77777777" w:rsidR="004A425F" w:rsidRPr="00A942F6" w:rsidRDefault="004A425F" w:rsidP="00641834">
      <w:pPr>
        <w:pStyle w:val="a4"/>
        <w:ind w:left="0"/>
        <w:rPr>
          <w:lang w:val="nb-NO"/>
        </w:rPr>
      </w:pPr>
      <w:r w:rsidRPr="00A942F6">
        <w:rPr>
          <w:lang w:val="nb-NO"/>
        </w:rPr>
        <w:t>Les pakningsvedlegget før bruk</w:t>
      </w:r>
    </w:p>
    <w:p w14:paraId="2DC6D965" w14:textId="77777777" w:rsidR="004A425F" w:rsidRPr="00A942F6" w:rsidRDefault="004A425F" w:rsidP="00641834">
      <w:pPr>
        <w:pStyle w:val="a4"/>
        <w:ind w:left="0"/>
        <w:rPr>
          <w:lang w:val="nb-NO"/>
        </w:rPr>
      </w:pPr>
    </w:p>
    <w:p w14:paraId="408EB07D" w14:textId="77777777" w:rsidR="004461E7" w:rsidRPr="00A942F6" w:rsidRDefault="004461E7" w:rsidP="00641834">
      <w:pPr>
        <w:pStyle w:val="a4"/>
        <w:ind w:left="0"/>
        <w:rPr>
          <w:lang w:val="nb-NO"/>
        </w:rPr>
      </w:pPr>
    </w:p>
    <w:p w14:paraId="3D15791C" w14:textId="77777777" w:rsidR="006F279C" w:rsidRPr="00A942F6" w:rsidRDefault="006F279C"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lang w:val="nb-NO"/>
        </w:rPr>
        <w:t>6.</w:t>
      </w:r>
      <w:r w:rsidRPr="00A942F6">
        <w:rPr>
          <w:lang w:val="nb-NO"/>
        </w:rPr>
        <w:tab/>
      </w:r>
      <w:r w:rsidRPr="00A942F6">
        <w:rPr>
          <w:b/>
          <w:lang w:val="nb-NO"/>
        </w:rPr>
        <w:t>ADVARSEL OM AT LEGEMIDLET SKAL OPPBEVARES UTILGJENGELIG FOR BARN</w:t>
      </w:r>
    </w:p>
    <w:p w14:paraId="7BD40EDF" w14:textId="77777777" w:rsidR="004A425F" w:rsidRPr="00A942F6" w:rsidRDefault="004A425F" w:rsidP="00641834">
      <w:pPr>
        <w:pStyle w:val="a4"/>
        <w:ind w:left="0"/>
        <w:rPr>
          <w:lang w:val="nb-NO"/>
        </w:rPr>
      </w:pPr>
    </w:p>
    <w:p w14:paraId="114B69D7" w14:textId="77777777" w:rsidR="004A425F" w:rsidRPr="00A942F6" w:rsidRDefault="004A425F" w:rsidP="00641834">
      <w:pPr>
        <w:pStyle w:val="a4"/>
        <w:ind w:left="0"/>
        <w:rPr>
          <w:lang w:val="nb-NO"/>
        </w:rPr>
      </w:pPr>
      <w:r w:rsidRPr="00A942F6">
        <w:rPr>
          <w:lang w:val="nb-NO"/>
        </w:rPr>
        <w:t>Oppbevares utilgjengelig for barn</w:t>
      </w:r>
    </w:p>
    <w:p w14:paraId="15281514" w14:textId="77777777" w:rsidR="004A425F" w:rsidRPr="00A942F6" w:rsidRDefault="004A425F" w:rsidP="00641834">
      <w:pPr>
        <w:pStyle w:val="a4"/>
        <w:ind w:left="0"/>
        <w:rPr>
          <w:lang w:val="nb-NO"/>
        </w:rPr>
      </w:pPr>
    </w:p>
    <w:p w14:paraId="3DBD6E0B" w14:textId="77777777" w:rsidR="004A425F" w:rsidRPr="00A942F6" w:rsidRDefault="004A425F" w:rsidP="00641834">
      <w:pPr>
        <w:pStyle w:val="a4"/>
        <w:ind w:left="0"/>
        <w:rPr>
          <w:lang w:val="nb-NO"/>
        </w:rPr>
      </w:pPr>
    </w:p>
    <w:p w14:paraId="2733644E"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799BC2AC" w14:textId="77777777" w:rsidR="006F279C" w:rsidRPr="00A942F6" w:rsidRDefault="006F279C" w:rsidP="00641834">
      <w:pPr>
        <w:pStyle w:val="a4"/>
        <w:ind w:left="0"/>
        <w:rPr>
          <w:lang w:val="nb-NO"/>
        </w:rPr>
      </w:pPr>
    </w:p>
    <w:p w14:paraId="6788457B" w14:textId="5AE75A01" w:rsidR="004A425F" w:rsidRPr="00A942F6" w:rsidRDefault="004A425F" w:rsidP="00641834">
      <w:pPr>
        <w:pStyle w:val="a4"/>
        <w:ind w:left="0"/>
        <w:rPr>
          <w:lang w:val="nb-NO"/>
        </w:rPr>
      </w:pPr>
      <w:r w:rsidRPr="00A942F6">
        <w:rPr>
          <w:lang w:val="nb-NO"/>
        </w:rPr>
        <w:t>La sprøyten oppnå romtemperatur utenfor boksen i 30 minutter før bruk</w:t>
      </w:r>
    </w:p>
    <w:p w14:paraId="71DE6968" w14:textId="77777777" w:rsidR="004A425F" w:rsidRPr="00A942F6" w:rsidRDefault="004A425F" w:rsidP="00641834">
      <w:pPr>
        <w:pStyle w:val="a4"/>
        <w:ind w:left="0"/>
        <w:rPr>
          <w:lang w:val="nb-NO"/>
        </w:rPr>
      </w:pPr>
    </w:p>
    <w:p w14:paraId="7C7E9FEE" w14:textId="77777777" w:rsidR="004A425F" w:rsidRPr="00A942F6" w:rsidRDefault="004A425F" w:rsidP="00641834">
      <w:pPr>
        <w:pStyle w:val="a4"/>
        <w:ind w:left="0"/>
        <w:rPr>
          <w:lang w:val="nb-NO"/>
        </w:rPr>
      </w:pPr>
    </w:p>
    <w:p w14:paraId="20CA760F"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121FD606" w14:textId="77777777" w:rsidR="006F279C" w:rsidRPr="00A942F6" w:rsidRDefault="006F279C" w:rsidP="00641834">
      <w:pPr>
        <w:pStyle w:val="a4"/>
        <w:ind w:left="0"/>
        <w:rPr>
          <w:lang w:val="nb-NO"/>
        </w:rPr>
      </w:pPr>
    </w:p>
    <w:p w14:paraId="6A625CF9" w14:textId="77777777" w:rsidR="004A425F" w:rsidRPr="00A942F6" w:rsidRDefault="004A425F" w:rsidP="00641834">
      <w:pPr>
        <w:pStyle w:val="a4"/>
        <w:ind w:left="0"/>
        <w:rPr>
          <w:lang w:val="nb-NO"/>
        </w:rPr>
      </w:pPr>
      <w:r w:rsidRPr="00A942F6">
        <w:rPr>
          <w:lang w:val="nb-NO"/>
        </w:rPr>
        <w:t>EXP</w:t>
      </w:r>
    </w:p>
    <w:p w14:paraId="5A95B085" w14:textId="77777777" w:rsidR="004A425F" w:rsidRPr="00A942F6" w:rsidRDefault="004A425F" w:rsidP="00641834">
      <w:pPr>
        <w:rPr>
          <w:lang w:val="nb-NO"/>
        </w:rPr>
      </w:pPr>
    </w:p>
    <w:p w14:paraId="3BA1C605" w14:textId="77777777" w:rsidR="006F279C" w:rsidRPr="00A942F6" w:rsidRDefault="006F279C" w:rsidP="00641834">
      <w:pPr>
        <w:rPr>
          <w:lang w:val="nb-NO"/>
        </w:rPr>
      </w:pPr>
    </w:p>
    <w:p w14:paraId="48367047" w14:textId="77777777" w:rsidR="006F279C" w:rsidRPr="00A942F6" w:rsidRDefault="006F279C"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6B7E320D" w14:textId="77777777" w:rsidR="004A425F" w:rsidRPr="00A942F6" w:rsidRDefault="004A425F" w:rsidP="00641834">
      <w:pPr>
        <w:pStyle w:val="a4"/>
        <w:keepNext/>
        <w:ind w:left="0"/>
        <w:rPr>
          <w:lang w:val="nb-NO"/>
        </w:rPr>
      </w:pPr>
    </w:p>
    <w:p w14:paraId="635309E4" w14:textId="77777777" w:rsidR="00875DFA" w:rsidRPr="00A942F6" w:rsidRDefault="004A425F" w:rsidP="00641834">
      <w:pPr>
        <w:pStyle w:val="a4"/>
        <w:keepNext/>
        <w:ind w:left="0"/>
        <w:rPr>
          <w:lang w:val="nb-NO"/>
        </w:rPr>
      </w:pPr>
      <w:r w:rsidRPr="00A942F6">
        <w:rPr>
          <w:lang w:val="nb-NO"/>
        </w:rPr>
        <w:t xml:space="preserve">Oppbevares i </w:t>
      </w:r>
      <w:r w:rsidR="00875DFA" w:rsidRPr="00A942F6">
        <w:rPr>
          <w:lang w:val="nb-NO"/>
        </w:rPr>
        <w:t>kjøleskap</w:t>
      </w:r>
    </w:p>
    <w:p w14:paraId="03AF62B2" w14:textId="77777777" w:rsidR="004A425F" w:rsidRPr="00A942F6" w:rsidRDefault="004A425F" w:rsidP="00641834">
      <w:pPr>
        <w:pStyle w:val="a4"/>
        <w:keepNext/>
        <w:ind w:left="0"/>
        <w:rPr>
          <w:lang w:val="nb-NO"/>
        </w:rPr>
      </w:pPr>
      <w:r w:rsidRPr="00A942F6">
        <w:rPr>
          <w:lang w:val="nb-NO"/>
        </w:rPr>
        <w:t>Skal ikke fryses</w:t>
      </w:r>
    </w:p>
    <w:p w14:paraId="7A6A0B98" w14:textId="7874C1A2" w:rsidR="004A425F" w:rsidRPr="00A942F6" w:rsidRDefault="004A425F" w:rsidP="00641834">
      <w:pPr>
        <w:pStyle w:val="a4"/>
        <w:ind w:left="0"/>
        <w:rPr>
          <w:lang w:val="nb-NO"/>
        </w:rPr>
      </w:pPr>
      <w:r w:rsidRPr="00A942F6">
        <w:rPr>
          <w:lang w:val="nb-NO"/>
        </w:rPr>
        <w:t xml:space="preserve">Etter uttak fra kjøleskap kan den ferdigfylte sprøyten oppbevares i opptil </w:t>
      </w:r>
      <w:r w:rsidR="00CE336A" w:rsidRPr="00A942F6">
        <w:rPr>
          <w:lang w:val="nb-NO"/>
        </w:rPr>
        <w:t>3 </w:t>
      </w:r>
      <w:r w:rsidRPr="00A942F6">
        <w:rPr>
          <w:lang w:val="nb-NO"/>
        </w:rPr>
        <w:t>uker ved høyst 30 °C Oppbevar den ferdigfylte sprøyten i ytteremballasjen for å beskytte mot lys og fuktighet</w:t>
      </w:r>
    </w:p>
    <w:p w14:paraId="514BCA9E" w14:textId="77777777" w:rsidR="004A425F" w:rsidRPr="00A942F6" w:rsidRDefault="004A425F" w:rsidP="00641834">
      <w:pPr>
        <w:pStyle w:val="a4"/>
        <w:ind w:left="0"/>
        <w:rPr>
          <w:lang w:val="nb-NO"/>
        </w:rPr>
      </w:pPr>
    </w:p>
    <w:p w14:paraId="63A8E7BD" w14:textId="77777777" w:rsidR="004461E7" w:rsidRPr="00A942F6" w:rsidRDefault="004461E7" w:rsidP="00641834">
      <w:pPr>
        <w:pStyle w:val="a4"/>
        <w:ind w:left="0"/>
        <w:rPr>
          <w:lang w:val="nb-NO"/>
        </w:rPr>
      </w:pPr>
    </w:p>
    <w:p w14:paraId="61CF1D6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61A870F4" w14:textId="77777777" w:rsidR="004A425F" w:rsidRPr="00A942F6" w:rsidRDefault="004A425F" w:rsidP="00641834">
      <w:pPr>
        <w:pStyle w:val="a4"/>
        <w:ind w:left="0"/>
        <w:rPr>
          <w:lang w:val="nb-NO"/>
        </w:rPr>
      </w:pPr>
    </w:p>
    <w:p w14:paraId="16022DBD" w14:textId="77777777" w:rsidR="004A425F" w:rsidRPr="00A942F6" w:rsidRDefault="004A425F" w:rsidP="00641834">
      <w:pPr>
        <w:pStyle w:val="a4"/>
        <w:ind w:left="0"/>
        <w:rPr>
          <w:lang w:val="nb-NO"/>
        </w:rPr>
      </w:pPr>
    </w:p>
    <w:p w14:paraId="6CA1711E"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087D745A" w14:textId="77777777" w:rsidR="004A425F" w:rsidRPr="00A942F6" w:rsidRDefault="004A425F" w:rsidP="00641834">
      <w:pPr>
        <w:pStyle w:val="a4"/>
        <w:ind w:left="0"/>
        <w:rPr>
          <w:lang w:val="nb-NO"/>
        </w:rPr>
      </w:pPr>
    </w:p>
    <w:p w14:paraId="4FE55C43" w14:textId="77777777" w:rsidR="00CE336A" w:rsidRPr="009B40A5" w:rsidRDefault="00CE336A" w:rsidP="00CE336A">
      <w:pPr>
        <w:keepNext/>
      </w:pPr>
      <w:r w:rsidRPr="009B40A5">
        <w:t xml:space="preserve">Celltrion Healthcare Hungary Kft. </w:t>
      </w:r>
    </w:p>
    <w:p w14:paraId="2D115FB1" w14:textId="77777777" w:rsidR="00CE336A" w:rsidRPr="009B40A5" w:rsidRDefault="00CE336A" w:rsidP="00CE336A">
      <w:pPr>
        <w:keepNext/>
      </w:pPr>
      <w:r w:rsidRPr="009B40A5">
        <w:t>1062 Budapest</w:t>
      </w:r>
    </w:p>
    <w:p w14:paraId="0E90CB9E" w14:textId="77777777" w:rsidR="00CE336A" w:rsidRPr="009B40A5" w:rsidRDefault="00CE336A" w:rsidP="00CE336A">
      <w:pPr>
        <w:keepNext/>
      </w:pPr>
      <w:r w:rsidRPr="009B40A5">
        <w:t>Váci út 1</w:t>
      </w:r>
      <w:r w:rsidR="006D55DF" w:rsidRPr="009B40A5">
        <w:noBreakHyphen/>
      </w:r>
      <w:r w:rsidRPr="009B40A5">
        <w:t>3. WestEnd Office Building B torony</w:t>
      </w:r>
    </w:p>
    <w:p w14:paraId="63E0165B" w14:textId="77777777" w:rsidR="00CE336A" w:rsidRPr="009B40A5" w:rsidRDefault="00CE336A" w:rsidP="00CE336A">
      <w:r w:rsidRPr="009B40A5">
        <w:t>Ungarn</w:t>
      </w:r>
    </w:p>
    <w:p w14:paraId="0AC6C644" w14:textId="77777777" w:rsidR="004A425F" w:rsidRPr="009B40A5" w:rsidRDefault="004A425F" w:rsidP="00641834">
      <w:pPr>
        <w:pStyle w:val="a4"/>
        <w:ind w:left="0"/>
        <w:rPr>
          <w:lang w:val="en-US"/>
        </w:rPr>
      </w:pPr>
    </w:p>
    <w:p w14:paraId="06B0D195" w14:textId="77777777" w:rsidR="004461E7" w:rsidRPr="009B40A5" w:rsidRDefault="004461E7" w:rsidP="00641834">
      <w:pPr>
        <w:pStyle w:val="a4"/>
        <w:ind w:left="0"/>
        <w:rPr>
          <w:lang w:val="en-US"/>
        </w:rPr>
      </w:pPr>
    </w:p>
    <w:p w14:paraId="4865016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65F439DD" w14:textId="77777777" w:rsidR="004A425F" w:rsidRPr="00A942F6" w:rsidRDefault="004A425F" w:rsidP="00641834">
      <w:pPr>
        <w:pStyle w:val="a4"/>
        <w:ind w:left="0"/>
        <w:rPr>
          <w:lang w:val="nb-NO"/>
        </w:rPr>
      </w:pPr>
    </w:p>
    <w:p w14:paraId="5F7B2A03" w14:textId="79E7B6BA" w:rsidR="003E1867" w:rsidRPr="009B40A5" w:rsidRDefault="003E1867" w:rsidP="003E1867">
      <w:pPr>
        <w:rPr>
          <w:lang w:val="nb-NO"/>
        </w:rPr>
      </w:pPr>
      <w:r w:rsidRPr="009B40A5">
        <w:rPr>
          <w:lang w:val="nb-NO"/>
        </w:rPr>
        <w:t>EU/</w:t>
      </w:r>
      <w:r w:rsidRPr="003672E9">
        <w:rPr>
          <w:spacing w:val="-1"/>
          <w:lang w:val="pt-BR"/>
        </w:rPr>
        <w:t>1/24/1896/00</w:t>
      </w:r>
      <w:r>
        <w:rPr>
          <w:rFonts w:eastAsia="맑은 고딕" w:hint="eastAsia"/>
          <w:spacing w:val="-1"/>
          <w:lang w:val="pt-BR" w:eastAsia="ko-KR"/>
        </w:rPr>
        <w:t>9</w:t>
      </w:r>
      <w:r>
        <w:rPr>
          <w:rFonts w:hint="eastAsia"/>
          <w:spacing w:val="-1"/>
          <w:lang w:val="pt-BR" w:eastAsia="ko-KR"/>
        </w:rPr>
        <w:t xml:space="preserve"> </w:t>
      </w:r>
      <w:r w:rsidRPr="009B40A5">
        <w:rPr>
          <w:rFonts w:eastAsia="Times New Roman"/>
          <w:lang w:val="nb-NO"/>
        </w:rPr>
        <w:t>12 (3 x 4) f</w:t>
      </w:r>
      <w:r w:rsidR="00E17B0A">
        <w:rPr>
          <w:rFonts w:eastAsia="Times New Roman"/>
          <w:lang w:val="nb-NO"/>
        </w:rPr>
        <w:t>erdig</w:t>
      </w:r>
      <w:r w:rsidRPr="009B40A5">
        <w:rPr>
          <w:rFonts w:eastAsia="Times New Roman"/>
          <w:lang w:val="nb-NO"/>
        </w:rPr>
        <w:t>fylte sprøyter (flerpakning)</w:t>
      </w:r>
    </w:p>
    <w:p w14:paraId="32F9AD4D" w14:textId="77777777" w:rsidR="004A425F" w:rsidRPr="00A942F6" w:rsidRDefault="004A425F" w:rsidP="00641834">
      <w:pPr>
        <w:pStyle w:val="a4"/>
        <w:ind w:left="0"/>
        <w:rPr>
          <w:lang w:val="nb-NO"/>
        </w:rPr>
      </w:pPr>
    </w:p>
    <w:p w14:paraId="2F7A3A57" w14:textId="77777777" w:rsidR="004461E7" w:rsidRPr="00A942F6" w:rsidRDefault="004461E7" w:rsidP="00641834">
      <w:pPr>
        <w:pStyle w:val="a4"/>
        <w:ind w:left="0"/>
        <w:rPr>
          <w:lang w:val="nb-NO"/>
        </w:rPr>
      </w:pPr>
    </w:p>
    <w:p w14:paraId="7F1CED80"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13D035CC" w14:textId="77777777" w:rsidR="004A425F" w:rsidRPr="00A942F6" w:rsidRDefault="004A425F" w:rsidP="00641834">
      <w:pPr>
        <w:pStyle w:val="a4"/>
        <w:ind w:left="0"/>
        <w:rPr>
          <w:lang w:val="nb-NO"/>
        </w:rPr>
      </w:pPr>
    </w:p>
    <w:p w14:paraId="35AC94F9" w14:textId="77777777" w:rsidR="004A425F" w:rsidRPr="00A942F6" w:rsidRDefault="004A425F" w:rsidP="00641834">
      <w:pPr>
        <w:pStyle w:val="a4"/>
        <w:ind w:left="0"/>
        <w:rPr>
          <w:lang w:val="nb-NO"/>
        </w:rPr>
      </w:pPr>
      <w:r w:rsidRPr="00A942F6">
        <w:rPr>
          <w:lang w:val="nb-NO"/>
        </w:rPr>
        <w:t>Lot</w:t>
      </w:r>
    </w:p>
    <w:p w14:paraId="38DBE156" w14:textId="77777777" w:rsidR="004A425F" w:rsidRPr="00A942F6" w:rsidRDefault="004A425F" w:rsidP="00641834">
      <w:pPr>
        <w:pStyle w:val="a4"/>
        <w:ind w:left="0"/>
        <w:rPr>
          <w:lang w:val="nb-NO"/>
        </w:rPr>
      </w:pPr>
    </w:p>
    <w:p w14:paraId="666061A7" w14:textId="77777777" w:rsidR="004461E7" w:rsidRPr="00A942F6" w:rsidRDefault="004461E7" w:rsidP="00641834">
      <w:pPr>
        <w:pStyle w:val="a4"/>
        <w:ind w:left="0"/>
        <w:rPr>
          <w:lang w:val="nb-NO"/>
        </w:rPr>
      </w:pPr>
    </w:p>
    <w:p w14:paraId="1A8F3377"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02B61003" w14:textId="77777777" w:rsidR="004A425F" w:rsidRPr="00A942F6" w:rsidRDefault="004A425F" w:rsidP="00641834">
      <w:pPr>
        <w:pStyle w:val="a4"/>
        <w:ind w:left="0"/>
        <w:rPr>
          <w:lang w:val="nb-NO"/>
        </w:rPr>
      </w:pPr>
    </w:p>
    <w:p w14:paraId="1D90E3E9" w14:textId="77777777" w:rsidR="004A425F" w:rsidRPr="00A942F6" w:rsidRDefault="004A425F" w:rsidP="00641834">
      <w:pPr>
        <w:pStyle w:val="a4"/>
        <w:ind w:left="0"/>
        <w:rPr>
          <w:lang w:val="nb-NO"/>
        </w:rPr>
      </w:pPr>
    </w:p>
    <w:p w14:paraId="5A842A8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1B6149F4" w14:textId="77777777" w:rsidR="004A425F" w:rsidRPr="00A942F6" w:rsidRDefault="004A425F" w:rsidP="00641834">
      <w:pPr>
        <w:pStyle w:val="a4"/>
        <w:ind w:left="0"/>
        <w:rPr>
          <w:lang w:val="nb-NO"/>
        </w:rPr>
      </w:pPr>
    </w:p>
    <w:p w14:paraId="7E5ECA3D" w14:textId="77777777" w:rsidR="004A425F" w:rsidRPr="00A942F6" w:rsidRDefault="004A425F" w:rsidP="00641834">
      <w:pPr>
        <w:pStyle w:val="a4"/>
        <w:ind w:left="0"/>
        <w:rPr>
          <w:lang w:val="nb-NO"/>
        </w:rPr>
      </w:pPr>
    </w:p>
    <w:p w14:paraId="158173A2"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223DCFDE" w14:textId="77777777" w:rsidR="004A425F" w:rsidRPr="00A942F6" w:rsidRDefault="004A425F" w:rsidP="00641834">
      <w:pPr>
        <w:pStyle w:val="a4"/>
        <w:ind w:left="0"/>
        <w:rPr>
          <w:lang w:val="nb-NO"/>
        </w:rPr>
      </w:pPr>
    </w:p>
    <w:p w14:paraId="385C2C19" w14:textId="0258DD98" w:rsidR="004A425F" w:rsidRPr="00A942F6" w:rsidRDefault="00CE336A" w:rsidP="00641834">
      <w:pPr>
        <w:pStyle w:val="a4"/>
        <w:ind w:left="0"/>
        <w:rPr>
          <w:lang w:val="nb-NO"/>
        </w:rPr>
      </w:pPr>
      <w:r w:rsidRPr="00A942F6">
        <w:rPr>
          <w:lang w:val="nb-NO"/>
        </w:rPr>
        <w:t>a</w:t>
      </w:r>
      <w:r w:rsidR="00923E68" w:rsidRPr="00A942F6">
        <w:rPr>
          <w:lang w:val="nb-NO"/>
        </w:rPr>
        <w:t>vtozma</w:t>
      </w:r>
      <w:r w:rsidR="004A425F" w:rsidRPr="00A942F6">
        <w:rPr>
          <w:lang w:val="nb-NO"/>
        </w:rPr>
        <w:t xml:space="preserve"> 162 mg</w:t>
      </w:r>
    </w:p>
    <w:p w14:paraId="43149A9E" w14:textId="77777777" w:rsidR="004A425F" w:rsidRPr="00A942F6" w:rsidRDefault="004A425F" w:rsidP="00641834">
      <w:pPr>
        <w:pStyle w:val="a4"/>
        <w:ind w:left="0"/>
        <w:rPr>
          <w:lang w:val="nb-NO"/>
        </w:rPr>
      </w:pPr>
    </w:p>
    <w:p w14:paraId="087C6995" w14:textId="77777777" w:rsidR="006F279C" w:rsidRPr="00A942F6" w:rsidRDefault="006F279C" w:rsidP="00641834">
      <w:pPr>
        <w:pStyle w:val="a4"/>
        <w:ind w:left="0"/>
        <w:rPr>
          <w:lang w:val="nb-NO"/>
        </w:rPr>
      </w:pPr>
    </w:p>
    <w:p w14:paraId="27EB25D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031853A0" w14:textId="77777777" w:rsidR="004A425F" w:rsidRPr="00A942F6" w:rsidRDefault="004A425F" w:rsidP="00641834">
      <w:pPr>
        <w:pStyle w:val="a4"/>
        <w:ind w:left="0"/>
        <w:rPr>
          <w:lang w:val="nb-NO"/>
        </w:rPr>
      </w:pPr>
    </w:p>
    <w:p w14:paraId="574CC76A"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378B0062" w14:textId="77777777" w:rsidR="004A425F" w:rsidRPr="00A942F6" w:rsidRDefault="004A425F" w:rsidP="00641834">
      <w:pPr>
        <w:pStyle w:val="a4"/>
        <w:ind w:left="0"/>
        <w:rPr>
          <w:lang w:val="nb-NO"/>
        </w:rPr>
      </w:pPr>
    </w:p>
    <w:p w14:paraId="6A9A7608" w14:textId="77777777" w:rsidR="004A425F" w:rsidRPr="00A942F6" w:rsidRDefault="004A425F" w:rsidP="00641834">
      <w:pPr>
        <w:pStyle w:val="a4"/>
        <w:ind w:left="0"/>
        <w:rPr>
          <w:lang w:val="nb-NO"/>
        </w:rPr>
      </w:pPr>
    </w:p>
    <w:p w14:paraId="42AF0738"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4FB4C1EA" w14:textId="77777777" w:rsidR="006F279C" w:rsidRPr="00A942F6" w:rsidRDefault="006F279C" w:rsidP="00641834">
      <w:pPr>
        <w:pStyle w:val="a4"/>
        <w:ind w:left="0"/>
        <w:rPr>
          <w:lang w:val="nb-NO"/>
        </w:rPr>
      </w:pPr>
    </w:p>
    <w:p w14:paraId="64800E4A" w14:textId="77777777" w:rsidR="00875DFA" w:rsidRPr="00A942F6" w:rsidRDefault="00875DFA" w:rsidP="00641834">
      <w:pPr>
        <w:pStyle w:val="a4"/>
        <w:ind w:left="0"/>
        <w:jc w:val="both"/>
        <w:rPr>
          <w:lang w:val="nb-NO"/>
        </w:rPr>
      </w:pPr>
      <w:r w:rsidRPr="00A942F6">
        <w:rPr>
          <w:lang w:val="nb-NO"/>
        </w:rPr>
        <w:t>PC</w:t>
      </w:r>
    </w:p>
    <w:p w14:paraId="1FB11662" w14:textId="77777777" w:rsidR="00875DFA" w:rsidRPr="00A942F6" w:rsidRDefault="004A425F" w:rsidP="00641834">
      <w:pPr>
        <w:pStyle w:val="a4"/>
        <w:ind w:left="0"/>
        <w:jc w:val="both"/>
        <w:rPr>
          <w:lang w:val="nb-NO"/>
        </w:rPr>
      </w:pPr>
      <w:r w:rsidRPr="00A942F6">
        <w:rPr>
          <w:lang w:val="nb-NO"/>
        </w:rPr>
        <w:t>SN</w:t>
      </w:r>
    </w:p>
    <w:p w14:paraId="67B47DD9" w14:textId="77777777" w:rsidR="004A425F" w:rsidRPr="00A942F6" w:rsidRDefault="004A425F" w:rsidP="00641834">
      <w:pPr>
        <w:pStyle w:val="a4"/>
        <w:ind w:left="0"/>
        <w:jc w:val="both"/>
        <w:rPr>
          <w:lang w:val="nb-NO"/>
        </w:rPr>
      </w:pPr>
      <w:r w:rsidRPr="00CD583D">
        <w:rPr>
          <w:highlight w:val="lightGray"/>
          <w:lang w:val="nb-NO"/>
        </w:rPr>
        <w:t>NN</w:t>
      </w:r>
    </w:p>
    <w:p w14:paraId="124CDC48" w14:textId="77777777" w:rsidR="004A425F" w:rsidRPr="00A942F6" w:rsidRDefault="004A425F" w:rsidP="00641834">
      <w:pPr>
        <w:jc w:val="both"/>
        <w:rPr>
          <w:lang w:val="nb-NO"/>
        </w:rPr>
      </w:pPr>
    </w:p>
    <w:p w14:paraId="2E7F0EDB" w14:textId="46F786C6" w:rsidR="006F279C" w:rsidRPr="00A942F6" w:rsidRDefault="00E31057"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6F279C" w:rsidRPr="00A942F6">
        <w:rPr>
          <w:b/>
          <w:lang w:val="nb-NO"/>
        </w:rPr>
        <w:lastRenderedPageBreak/>
        <w:t>OPPLYSNINGER, SOM SKAL ANGIS PÅ YTRE EMBALLASJE</w:t>
      </w:r>
    </w:p>
    <w:p w14:paraId="5B69A9B8" w14:textId="77777777" w:rsidR="004461E7" w:rsidRPr="00A942F6" w:rsidRDefault="004461E7" w:rsidP="00641834">
      <w:pPr>
        <w:pBdr>
          <w:top w:val="single" w:sz="4" w:space="1" w:color="auto"/>
          <w:left w:val="single" w:sz="4" w:space="4" w:color="auto"/>
          <w:bottom w:val="single" w:sz="4" w:space="1" w:color="auto"/>
          <w:right w:val="single" w:sz="4" w:space="4" w:color="auto"/>
        </w:pBdr>
        <w:rPr>
          <w:b/>
          <w:lang w:val="nb-NO"/>
        </w:rPr>
      </w:pPr>
    </w:p>
    <w:p w14:paraId="7FA0E097" w14:textId="77777777" w:rsidR="006F279C" w:rsidRPr="00A942F6" w:rsidRDefault="006F279C"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 FERDIGFYLT SPRØYTE (UTEN BLUE BOX) - Multipakning</w:t>
      </w:r>
    </w:p>
    <w:p w14:paraId="59D4FE82" w14:textId="77777777" w:rsidR="004A425F" w:rsidRPr="00A942F6" w:rsidRDefault="004A425F" w:rsidP="00641834">
      <w:pPr>
        <w:pStyle w:val="a4"/>
        <w:ind w:left="0"/>
        <w:rPr>
          <w:lang w:val="nb-NO"/>
        </w:rPr>
      </w:pPr>
    </w:p>
    <w:p w14:paraId="5B34B297" w14:textId="77777777" w:rsidR="004461E7" w:rsidRPr="00A942F6" w:rsidRDefault="004461E7" w:rsidP="00641834">
      <w:pPr>
        <w:pStyle w:val="a4"/>
        <w:ind w:left="0"/>
        <w:rPr>
          <w:lang w:val="nb-NO"/>
        </w:rPr>
      </w:pPr>
    </w:p>
    <w:p w14:paraId="0FB4443E"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11AABBE5" w14:textId="77777777" w:rsidR="004A425F" w:rsidRPr="00A942F6" w:rsidRDefault="004A425F" w:rsidP="00641834">
      <w:pPr>
        <w:pStyle w:val="a4"/>
        <w:ind w:left="0"/>
        <w:rPr>
          <w:lang w:val="nb-NO"/>
        </w:rPr>
      </w:pPr>
    </w:p>
    <w:p w14:paraId="5DF6EA99" w14:textId="2639D049"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injeksjonsvæske, oppløsning i ferdigfylt sprøyte</w:t>
      </w:r>
    </w:p>
    <w:p w14:paraId="6492E871" w14:textId="77777777" w:rsidR="003929D4" w:rsidRPr="00A942F6" w:rsidRDefault="003929D4" w:rsidP="00641834">
      <w:pPr>
        <w:pStyle w:val="a4"/>
        <w:ind w:left="0"/>
        <w:rPr>
          <w:lang w:val="nb-NO"/>
        </w:rPr>
      </w:pPr>
    </w:p>
    <w:p w14:paraId="72EC105D" w14:textId="77777777" w:rsidR="004A425F" w:rsidRPr="00A942F6" w:rsidRDefault="004A425F" w:rsidP="00641834">
      <w:pPr>
        <w:pStyle w:val="a4"/>
        <w:ind w:left="0"/>
        <w:rPr>
          <w:lang w:val="nb-NO"/>
        </w:rPr>
      </w:pPr>
      <w:r w:rsidRPr="00A942F6">
        <w:rPr>
          <w:lang w:val="nb-NO"/>
        </w:rPr>
        <w:t>tocilizumab</w:t>
      </w:r>
    </w:p>
    <w:p w14:paraId="653CAD67" w14:textId="77777777" w:rsidR="006F279C" w:rsidRPr="00A942F6" w:rsidRDefault="006F279C" w:rsidP="00641834">
      <w:pPr>
        <w:tabs>
          <w:tab w:val="left" w:pos="669"/>
        </w:tabs>
        <w:rPr>
          <w:b/>
          <w:lang w:val="nb-NO"/>
        </w:rPr>
      </w:pPr>
    </w:p>
    <w:p w14:paraId="63D53EBA" w14:textId="77777777" w:rsidR="006F279C" w:rsidRPr="00A942F6" w:rsidRDefault="006F279C" w:rsidP="00641834">
      <w:pPr>
        <w:tabs>
          <w:tab w:val="left" w:pos="669"/>
        </w:tabs>
        <w:rPr>
          <w:b/>
          <w:lang w:val="nb-NO"/>
        </w:rPr>
      </w:pPr>
    </w:p>
    <w:p w14:paraId="06D45E82"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1C3A5B26" w14:textId="77777777" w:rsidR="004A425F" w:rsidRPr="00A942F6" w:rsidRDefault="004A425F" w:rsidP="00641834">
      <w:pPr>
        <w:pStyle w:val="a4"/>
        <w:ind w:left="0"/>
        <w:rPr>
          <w:lang w:val="nb-NO"/>
        </w:rPr>
      </w:pPr>
    </w:p>
    <w:p w14:paraId="05C783F2" w14:textId="77777777" w:rsidR="004A425F" w:rsidRPr="00A942F6" w:rsidRDefault="004A425F" w:rsidP="00641834">
      <w:pPr>
        <w:pStyle w:val="a4"/>
        <w:ind w:left="0"/>
        <w:rPr>
          <w:lang w:val="nb-NO"/>
        </w:rPr>
      </w:pPr>
      <w:r w:rsidRPr="00A942F6">
        <w:rPr>
          <w:lang w:val="nb-NO"/>
        </w:rPr>
        <w:t>1 ferdigfylt sprøyte inneholder 162 mg tocilizumab</w:t>
      </w:r>
    </w:p>
    <w:p w14:paraId="521D84CC" w14:textId="77777777" w:rsidR="004A425F" w:rsidRPr="00A942F6" w:rsidRDefault="004A425F" w:rsidP="00641834">
      <w:pPr>
        <w:pStyle w:val="a4"/>
        <w:ind w:left="0"/>
        <w:rPr>
          <w:lang w:val="nb-NO"/>
        </w:rPr>
      </w:pPr>
    </w:p>
    <w:p w14:paraId="517C748E" w14:textId="77777777" w:rsidR="004461E7" w:rsidRPr="00A942F6" w:rsidRDefault="004461E7" w:rsidP="00641834">
      <w:pPr>
        <w:pStyle w:val="a4"/>
        <w:ind w:left="0"/>
        <w:rPr>
          <w:lang w:val="nb-NO"/>
        </w:rPr>
      </w:pPr>
    </w:p>
    <w:p w14:paraId="2E903B63"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6E430999" w14:textId="77777777" w:rsidR="004A425F" w:rsidRPr="00A942F6" w:rsidRDefault="004A425F" w:rsidP="00641834">
      <w:pPr>
        <w:pStyle w:val="a4"/>
        <w:ind w:left="0"/>
        <w:rPr>
          <w:lang w:val="nb-NO"/>
        </w:rPr>
      </w:pPr>
    </w:p>
    <w:p w14:paraId="1CD41B1C" w14:textId="7E4C74BC" w:rsidR="00CE336A" w:rsidRPr="00A942F6" w:rsidRDefault="00CE336A" w:rsidP="00CE336A">
      <w:pPr>
        <w:pStyle w:val="a4"/>
        <w:ind w:left="0"/>
        <w:rPr>
          <w:lang w:val="nb-NO"/>
        </w:rPr>
      </w:pPr>
      <w:r w:rsidRPr="00A942F6">
        <w:rPr>
          <w:lang w:val="nb-NO"/>
        </w:rPr>
        <w:t>Hjelpestoffer: L</w:t>
      </w:r>
      <w:r w:rsidR="006D55DF">
        <w:rPr>
          <w:lang w:val="nb-NO"/>
        </w:rPr>
        <w:noBreakHyphen/>
      </w:r>
      <w:r w:rsidRPr="00A942F6">
        <w:rPr>
          <w:lang w:val="nb-NO"/>
        </w:rPr>
        <w:t>histidin,</w:t>
      </w:r>
      <w:r w:rsidR="00220441">
        <w:rPr>
          <w:rFonts w:eastAsia="맑은 고딕" w:hint="eastAsia"/>
          <w:lang w:val="nb-NO" w:eastAsia="ko-KR"/>
        </w:rPr>
        <w:t xml:space="preserve"> </w:t>
      </w:r>
      <w:r w:rsidR="001B685D" w:rsidRPr="001B685D">
        <w:rPr>
          <w:rFonts w:eastAsia="맑은 고딕"/>
          <w:lang w:val="en-US" w:eastAsia="ko-KR"/>
        </w:rPr>
        <w:t>L-histidin monohydroklorid monohydrat</w:t>
      </w:r>
      <w:r w:rsidR="00220441" w:rsidRPr="00BD4D94">
        <w:rPr>
          <w:rFonts w:eastAsia="맑은 고딕"/>
          <w:lang w:val="nb-NO" w:eastAsia="ko-KR"/>
        </w:rPr>
        <w:t>,</w:t>
      </w:r>
      <w:r w:rsidRPr="00A942F6">
        <w:rPr>
          <w:lang w:val="nb-NO"/>
        </w:rPr>
        <w:t xml:space="preserve"> L</w:t>
      </w:r>
      <w:r w:rsidR="006D55DF">
        <w:rPr>
          <w:lang w:val="nb-NO"/>
        </w:rPr>
        <w:noBreakHyphen/>
      </w:r>
      <w:r w:rsidRPr="00A942F6">
        <w:rPr>
          <w:lang w:val="nb-NO"/>
        </w:rPr>
        <w:t>treonin, L</w:t>
      </w:r>
      <w:r w:rsidR="006D55DF">
        <w:rPr>
          <w:lang w:val="nb-NO"/>
        </w:rPr>
        <w:noBreakHyphen/>
      </w:r>
      <w:r w:rsidRPr="00A942F6">
        <w:rPr>
          <w:lang w:val="nb-NO"/>
        </w:rPr>
        <w:t>metionin, polysorbat 80 og vann til injeksjonsvæsker. Se pakningsvedlegget for ytterligere informasjon.</w:t>
      </w:r>
    </w:p>
    <w:p w14:paraId="53FDFC1C" w14:textId="77777777" w:rsidR="004A425F" w:rsidRPr="00A942F6" w:rsidRDefault="004A425F" w:rsidP="00641834">
      <w:pPr>
        <w:pStyle w:val="a4"/>
        <w:ind w:left="0"/>
        <w:rPr>
          <w:lang w:val="nb-NO"/>
        </w:rPr>
      </w:pPr>
    </w:p>
    <w:p w14:paraId="51BDAB57" w14:textId="77777777" w:rsidR="004A425F" w:rsidRPr="00A942F6" w:rsidRDefault="004A425F" w:rsidP="00641834">
      <w:pPr>
        <w:pStyle w:val="a4"/>
        <w:ind w:left="0"/>
        <w:rPr>
          <w:lang w:val="nb-NO"/>
        </w:rPr>
      </w:pPr>
    </w:p>
    <w:p w14:paraId="74631B65"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191ED606" w14:textId="77777777" w:rsidR="006F279C" w:rsidRPr="00A942F6" w:rsidRDefault="006F279C" w:rsidP="00641834">
      <w:pPr>
        <w:pStyle w:val="a4"/>
        <w:ind w:left="0"/>
        <w:rPr>
          <w:lang w:val="nb-NO"/>
        </w:rPr>
      </w:pPr>
    </w:p>
    <w:p w14:paraId="4F05600C" w14:textId="77777777" w:rsidR="004A425F" w:rsidRPr="00A942F6" w:rsidRDefault="004A425F" w:rsidP="00641834">
      <w:pPr>
        <w:pStyle w:val="a4"/>
        <w:ind w:left="0"/>
        <w:rPr>
          <w:lang w:val="nb-NO"/>
        </w:rPr>
      </w:pPr>
      <w:r w:rsidRPr="00A942F6">
        <w:rPr>
          <w:lang w:val="nb-NO"/>
        </w:rPr>
        <w:t>Injeksjonsvæske, oppløsning i ferdigfylt sprøyte</w:t>
      </w:r>
    </w:p>
    <w:p w14:paraId="1C428B39" w14:textId="77777777" w:rsidR="00875DFA" w:rsidRPr="00A942F6" w:rsidRDefault="004A425F" w:rsidP="00641834">
      <w:pPr>
        <w:pStyle w:val="a4"/>
        <w:ind w:left="0"/>
        <w:rPr>
          <w:lang w:val="nb-NO"/>
        </w:rPr>
      </w:pPr>
      <w:r w:rsidRPr="00A942F6">
        <w:rPr>
          <w:lang w:val="nb-NO"/>
        </w:rPr>
        <w:t xml:space="preserve">4 ferdigfylte sprøyter. Del av multipakning kan ikke selges </w:t>
      </w:r>
      <w:r w:rsidR="00875DFA" w:rsidRPr="00A942F6">
        <w:rPr>
          <w:lang w:val="nb-NO"/>
        </w:rPr>
        <w:t>separat.</w:t>
      </w:r>
    </w:p>
    <w:p w14:paraId="3FE3BB89" w14:textId="77777777" w:rsidR="004A425F" w:rsidRPr="00A942F6" w:rsidRDefault="004A425F" w:rsidP="00641834">
      <w:pPr>
        <w:pStyle w:val="a4"/>
        <w:ind w:left="0"/>
        <w:rPr>
          <w:lang w:val="nb-NO"/>
        </w:rPr>
      </w:pPr>
      <w:r w:rsidRPr="00A942F6">
        <w:rPr>
          <w:lang w:val="nb-NO"/>
        </w:rPr>
        <w:t>162 mg/0,9 ml</w:t>
      </w:r>
    </w:p>
    <w:p w14:paraId="1E9E4898" w14:textId="77777777" w:rsidR="004A425F" w:rsidRPr="00A942F6" w:rsidRDefault="004A425F" w:rsidP="00641834">
      <w:pPr>
        <w:pStyle w:val="a4"/>
        <w:ind w:left="0"/>
        <w:rPr>
          <w:lang w:val="nb-NO"/>
        </w:rPr>
      </w:pPr>
    </w:p>
    <w:p w14:paraId="3953B02F" w14:textId="77777777" w:rsidR="004461E7" w:rsidRPr="00A942F6" w:rsidRDefault="004461E7" w:rsidP="00641834">
      <w:pPr>
        <w:pStyle w:val="a4"/>
        <w:ind w:left="0"/>
        <w:rPr>
          <w:lang w:val="nb-NO"/>
        </w:rPr>
      </w:pPr>
    </w:p>
    <w:p w14:paraId="5A9AC10E"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7DED28F3" w14:textId="77777777" w:rsidR="004A425F" w:rsidRPr="00A942F6" w:rsidRDefault="004A425F" w:rsidP="00641834">
      <w:pPr>
        <w:pStyle w:val="a4"/>
        <w:ind w:left="0"/>
        <w:rPr>
          <w:lang w:val="nb-NO"/>
        </w:rPr>
      </w:pPr>
    </w:p>
    <w:p w14:paraId="0E48DD94" w14:textId="77777777" w:rsidR="004A425F" w:rsidRPr="00A942F6" w:rsidRDefault="004A425F" w:rsidP="00641834">
      <w:pPr>
        <w:pStyle w:val="a4"/>
        <w:ind w:left="0"/>
        <w:rPr>
          <w:lang w:val="nb-NO"/>
        </w:rPr>
      </w:pPr>
      <w:r w:rsidRPr="00A942F6">
        <w:rPr>
          <w:lang w:val="nb-NO"/>
        </w:rPr>
        <w:t>Subkutan bruk</w:t>
      </w:r>
    </w:p>
    <w:p w14:paraId="1C692E71" w14:textId="77777777" w:rsidR="004A425F" w:rsidRPr="00A942F6" w:rsidRDefault="004A425F" w:rsidP="00641834">
      <w:pPr>
        <w:pStyle w:val="a4"/>
        <w:ind w:left="0"/>
        <w:rPr>
          <w:lang w:val="nb-NO"/>
        </w:rPr>
      </w:pPr>
      <w:r w:rsidRPr="00A942F6">
        <w:rPr>
          <w:lang w:val="nb-NO"/>
        </w:rPr>
        <w:t>Les pakningsvedlegget før bruk</w:t>
      </w:r>
    </w:p>
    <w:p w14:paraId="0A2756F5" w14:textId="77777777" w:rsidR="004A425F" w:rsidRPr="00A942F6" w:rsidRDefault="004A425F" w:rsidP="00641834">
      <w:pPr>
        <w:pStyle w:val="a4"/>
        <w:ind w:left="0"/>
        <w:rPr>
          <w:lang w:val="nb-NO"/>
        </w:rPr>
      </w:pPr>
    </w:p>
    <w:p w14:paraId="223FA76F" w14:textId="77777777" w:rsidR="004461E7" w:rsidRPr="00A942F6" w:rsidRDefault="004461E7" w:rsidP="00641834">
      <w:pPr>
        <w:pStyle w:val="a4"/>
        <w:ind w:left="0"/>
        <w:rPr>
          <w:lang w:val="nb-NO"/>
        </w:rPr>
      </w:pPr>
    </w:p>
    <w:p w14:paraId="7F070A2A" w14:textId="77777777" w:rsidR="006F279C" w:rsidRPr="00A942F6" w:rsidRDefault="006F279C"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lang w:val="nb-NO"/>
        </w:rPr>
        <w:t>6.</w:t>
      </w:r>
      <w:r w:rsidRPr="00A942F6">
        <w:rPr>
          <w:lang w:val="nb-NO"/>
        </w:rPr>
        <w:tab/>
      </w:r>
      <w:r w:rsidRPr="00A942F6">
        <w:rPr>
          <w:b/>
          <w:lang w:val="nb-NO"/>
        </w:rPr>
        <w:t>ADVARSEL OM AT LEGEMIDLET SKAL OPPBEVARES UTILGJENGELIG FOR BARN</w:t>
      </w:r>
    </w:p>
    <w:p w14:paraId="4C1DD9FA" w14:textId="77777777" w:rsidR="004A425F" w:rsidRPr="00A942F6" w:rsidRDefault="004A425F" w:rsidP="00641834">
      <w:pPr>
        <w:pStyle w:val="a4"/>
        <w:ind w:left="0"/>
        <w:rPr>
          <w:lang w:val="nb-NO"/>
        </w:rPr>
      </w:pPr>
    </w:p>
    <w:p w14:paraId="30403B3D" w14:textId="77777777" w:rsidR="004A425F" w:rsidRPr="00A942F6" w:rsidRDefault="004A425F" w:rsidP="00641834">
      <w:pPr>
        <w:pStyle w:val="a4"/>
        <w:ind w:left="0"/>
        <w:rPr>
          <w:lang w:val="nb-NO"/>
        </w:rPr>
      </w:pPr>
      <w:r w:rsidRPr="00A942F6">
        <w:rPr>
          <w:lang w:val="nb-NO"/>
        </w:rPr>
        <w:t>Oppbevares utilgjengelig for barn</w:t>
      </w:r>
    </w:p>
    <w:p w14:paraId="2B2D70D2" w14:textId="77777777" w:rsidR="004A425F" w:rsidRPr="00A942F6" w:rsidRDefault="004A425F" w:rsidP="00641834">
      <w:pPr>
        <w:pStyle w:val="a4"/>
        <w:ind w:left="0"/>
        <w:rPr>
          <w:lang w:val="nb-NO"/>
        </w:rPr>
      </w:pPr>
    </w:p>
    <w:p w14:paraId="094E0414" w14:textId="77777777" w:rsidR="004461E7" w:rsidRPr="00A942F6" w:rsidRDefault="004461E7" w:rsidP="00641834">
      <w:pPr>
        <w:pStyle w:val="a4"/>
        <w:ind w:left="0"/>
        <w:rPr>
          <w:lang w:val="nb-NO"/>
        </w:rPr>
      </w:pPr>
    </w:p>
    <w:p w14:paraId="10FF3A4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2A6C56F1" w14:textId="77777777" w:rsidR="004A425F" w:rsidRPr="00A942F6" w:rsidRDefault="004A425F" w:rsidP="00641834">
      <w:pPr>
        <w:pStyle w:val="a4"/>
        <w:ind w:left="0"/>
        <w:rPr>
          <w:lang w:val="nb-NO"/>
        </w:rPr>
      </w:pPr>
    </w:p>
    <w:p w14:paraId="19503385" w14:textId="2A780372" w:rsidR="004A425F" w:rsidRPr="00A942F6" w:rsidRDefault="004A425F" w:rsidP="00641834">
      <w:pPr>
        <w:pStyle w:val="a4"/>
        <w:ind w:left="0"/>
        <w:rPr>
          <w:lang w:val="nb-NO"/>
        </w:rPr>
      </w:pPr>
      <w:r w:rsidRPr="00A942F6">
        <w:rPr>
          <w:lang w:val="nb-NO"/>
        </w:rPr>
        <w:t>La sprøyten oppnå romtemperatur utenfor boksen i 30 minutter før bruk</w:t>
      </w:r>
    </w:p>
    <w:p w14:paraId="34D5323C" w14:textId="77777777" w:rsidR="004A425F" w:rsidRPr="00A942F6" w:rsidRDefault="004A425F" w:rsidP="00641834">
      <w:pPr>
        <w:pStyle w:val="a4"/>
        <w:ind w:left="0"/>
        <w:rPr>
          <w:lang w:val="nb-NO"/>
        </w:rPr>
      </w:pPr>
    </w:p>
    <w:p w14:paraId="71F4F51F" w14:textId="77777777" w:rsidR="004461E7" w:rsidRPr="00A942F6" w:rsidRDefault="004461E7" w:rsidP="00641834">
      <w:pPr>
        <w:pStyle w:val="a4"/>
        <w:ind w:left="0"/>
        <w:rPr>
          <w:lang w:val="nb-NO"/>
        </w:rPr>
      </w:pPr>
    </w:p>
    <w:p w14:paraId="5D6C917C"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29161931" w14:textId="77777777" w:rsidR="004A425F" w:rsidRPr="00A942F6" w:rsidRDefault="004A425F" w:rsidP="00641834">
      <w:pPr>
        <w:pStyle w:val="a4"/>
        <w:ind w:left="0"/>
        <w:rPr>
          <w:lang w:val="nb-NO"/>
        </w:rPr>
      </w:pPr>
    </w:p>
    <w:p w14:paraId="4FD129CB" w14:textId="77777777" w:rsidR="004A425F" w:rsidRPr="00A942F6" w:rsidRDefault="004A425F" w:rsidP="00641834">
      <w:pPr>
        <w:pStyle w:val="a4"/>
        <w:ind w:left="0"/>
        <w:rPr>
          <w:lang w:val="nb-NO"/>
        </w:rPr>
      </w:pPr>
      <w:r w:rsidRPr="00A942F6">
        <w:rPr>
          <w:lang w:val="nb-NO"/>
        </w:rPr>
        <w:t>EXP</w:t>
      </w:r>
    </w:p>
    <w:p w14:paraId="263D250B" w14:textId="77777777" w:rsidR="004A425F" w:rsidRPr="00A942F6" w:rsidRDefault="004A425F" w:rsidP="00641834">
      <w:pPr>
        <w:rPr>
          <w:lang w:val="nb-NO"/>
        </w:rPr>
      </w:pPr>
    </w:p>
    <w:p w14:paraId="12C2D7BD" w14:textId="77777777" w:rsidR="004461E7" w:rsidRPr="00A942F6" w:rsidRDefault="004461E7" w:rsidP="00641834">
      <w:pPr>
        <w:rPr>
          <w:lang w:val="nb-NO"/>
        </w:rPr>
      </w:pPr>
    </w:p>
    <w:p w14:paraId="57DB1EBD" w14:textId="77777777" w:rsidR="006F279C" w:rsidRPr="00A942F6" w:rsidRDefault="006F279C"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0C371187" w14:textId="77777777" w:rsidR="004A425F" w:rsidRPr="00A942F6" w:rsidRDefault="004A425F" w:rsidP="00641834">
      <w:pPr>
        <w:pStyle w:val="a4"/>
        <w:keepNext/>
        <w:ind w:left="0"/>
        <w:rPr>
          <w:lang w:val="nb-NO"/>
        </w:rPr>
      </w:pPr>
    </w:p>
    <w:p w14:paraId="37A82BDB" w14:textId="77777777" w:rsidR="00875DFA" w:rsidRPr="00A942F6" w:rsidRDefault="004A425F" w:rsidP="00641834">
      <w:pPr>
        <w:pStyle w:val="a4"/>
        <w:keepNext/>
        <w:ind w:left="0"/>
        <w:rPr>
          <w:lang w:val="nb-NO"/>
        </w:rPr>
      </w:pPr>
      <w:r w:rsidRPr="00A942F6">
        <w:rPr>
          <w:lang w:val="nb-NO"/>
        </w:rPr>
        <w:t>Oppbevares i kjøleskap</w:t>
      </w:r>
    </w:p>
    <w:p w14:paraId="49A732CC" w14:textId="77777777" w:rsidR="004A425F" w:rsidRPr="00A942F6" w:rsidRDefault="004A425F" w:rsidP="00641834">
      <w:pPr>
        <w:pStyle w:val="a4"/>
        <w:ind w:left="0"/>
        <w:rPr>
          <w:lang w:val="nb-NO"/>
        </w:rPr>
      </w:pPr>
      <w:r w:rsidRPr="00A942F6">
        <w:rPr>
          <w:lang w:val="nb-NO"/>
        </w:rPr>
        <w:t>Skal ikke fryses</w:t>
      </w:r>
    </w:p>
    <w:p w14:paraId="2E548577" w14:textId="5928EF53" w:rsidR="004A425F" w:rsidRPr="00A942F6" w:rsidRDefault="004A425F" w:rsidP="00641834">
      <w:pPr>
        <w:pStyle w:val="a4"/>
        <w:ind w:left="0"/>
        <w:rPr>
          <w:lang w:val="nb-NO"/>
        </w:rPr>
      </w:pPr>
      <w:r w:rsidRPr="00A942F6">
        <w:rPr>
          <w:lang w:val="nb-NO"/>
        </w:rPr>
        <w:t xml:space="preserve">Etter uttak fra kjøleskap kan den ferdigfylte sprøyten oppbevares i opptil </w:t>
      </w:r>
      <w:r w:rsidR="00CE336A" w:rsidRPr="00A942F6">
        <w:rPr>
          <w:lang w:val="nb-NO"/>
        </w:rPr>
        <w:t>3 </w:t>
      </w:r>
      <w:r w:rsidRPr="00A942F6">
        <w:rPr>
          <w:lang w:val="nb-NO"/>
        </w:rPr>
        <w:t>uker ved høyst 30 °C Oppbevar den ferdigfylte sprøyten i ytteremballasjen for å beskytte mot lys og fuktighet</w:t>
      </w:r>
    </w:p>
    <w:p w14:paraId="7B90F966" w14:textId="77777777" w:rsidR="004A425F" w:rsidRPr="00A942F6" w:rsidRDefault="004A425F" w:rsidP="00641834">
      <w:pPr>
        <w:pStyle w:val="a4"/>
        <w:ind w:left="0"/>
        <w:rPr>
          <w:lang w:val="nb-NO"/>
        </w:rPr>
      </w:pPr>
    </w:p>
    <w:p w14:paraId="03BCAFBA" w14:textId="77777777" w:rsidR="004461E7" w:rsidRPr="00A942F6" w:rsidRDefault="004461E7" w:rsidP="00641834">
      <w:pPr>
        <w:pStyle w:val="a4"/>
        <w:ind w:left="0"/>
        <w:rPr>
          <w:lang w:val="nb-NO"/>
        </w:rPr>
      </w:pPr>
    </w:p>
    <w:p w14:paraId="78AE14CF"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496149C7" w14:textId="77777777" w:rsidR="004A425F" w:rsidRPr="00A942F6" w:rsidRDefault="004A425F" w:rsidP="00641834">
      <w:pPr>
        <w:pStyle w:val="a4"/>
        <w:ind w:left="0"/>
        <w:rPr>
          <w:lang w:val="nb-NO"/>
        </w:rPr>
      </w:pPr>
    </w:p>
    <w:p w14:paraId="34582572" w14:textId="77777777" w:rsidR="004A425F" w:rsidRPr="00A942F6" w:rsidRDefault="004A425F" w:rsidP="00641834">
      <w:pPr>
        <w:pStyle w:val="a4"/>
        <w:ind w:left="0"/>
        <w:rPr>
          <w:lang w:val="nb-NO"/>
        </w:rPr>
      </w:pPr>
    </w:p>
    <w:p w14:paraId="34A14B33"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2ACEB3A1" w14:textId="77777777" w:rsidR="004A425F" w:rsidRPr="00A942F6" w:rsidRDefault="004A425F" w:rsidP="00641834">
      <w:pPr>
        <w:pStyle w:val="a4"/>
        <w:ind w:left="0"/>
        <w:rPr>
          <w:lang w:val="nb-NO"/>
        </w:rPr>
      </w:pPr>
    </w:p>
    <w:p w14:paraId="56CDE1A2" w14:textId="77777777" w:rsidR="00CE336A" w:rsidRPr="009B40A5" w:rsidRDefault="00CE336A" w:rsidP="00CE336A">
      <w:pPr>
        <w:keepNext/>
      </w:pPr>
      <w:r w:rsidRPr="009B40A5">
        <w:t xml:space="preserve">Celltrion Healthcare Hungary Kft. </w:t>
      </w:r>
    </w:p>
    <w:p w14:paraId="3355DBE5" w14:textId="77777777" w:rsidR="00CE336A" w:rsidRPr="009B40A5" w:rsidRDefault="00CE336A" w:rsidP="00CE336A">
      <w:pPr>
        <w:keepNext/>
      </w:pPr>
      <w:r w:rsidRPr="009B40A5">
        <w:t>1062 Budapest</w:t>
      </w:r>
    </w:p>
    <w:p w14:paraId="7FE1A413" w14:textId="77777777" w:rsidR="00CE336A" w:rsidRPr="009B40A5" w:rsidRDefault="00CE336A" w:rsidP="00CE336A">
      <w:pPr>
        <w:keepNext/>
      </w:pPr>
      <w:r w:rsidRPr="009B40A5">
        <w:t>Váci út 1</w:t>
      </w:r>
      <w:r w:rsidR="006D55DF" w:rsidRPr="009B40A5">
        <w:noBreakHyphen/>
      </w:r>
      <w:r w:rsidRPr="009B40A5">
        <w:t>3. WestEnd Office Building B torony</w:t>
      </w:r>
    </w:p>
    <w:p w14:paraId="0E605C79" w14:textId="77777777" w:rsidR="00CE336A" w:rsidRPr="009B40A5" w:rsidRDefault="00CE336A" w:rsidP="00CE336A">
      <w:r w:rsidRPr="009B40A5">
        <w:t>Ungarn</w:t>
      </w:r>
    </w:p>
    <w:p w14:paraId="3E0D9D24" w14:textId="77777777" w:rsidR="004A425F" w:rsidRPr="009B40A5" w:rsidRDefault="004A425F" w:rsidP="00641834">
      <w:pPr>
        <w:pStyle w:val="a4"/>
        <w:ind w:left="0"/>
        <w:rPr>
          <w:lang w:val="en-US"/>
        </w:rPr>
      </w:pPr>
    </w:p>
    <w:p w14:paraId="2B524080" w14:textId="77777777" w:rsidR="004461E7" w:rsidRPr="009B40A5" w:rsidRDefault="004461E7" w:rsidP="00641834">
      <w:pPr>
        <w:pStyle w:val="a4"/>
        <w:ind w:left="0"/>
        <w:rPr>
          <w:lang w:val="en-US"/>
        </w:rPr>
      </w:pPr>
    </w:p>
    <w:p w14:paraId="0D8140D9"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32A19036" w14:textId="77777777" w:rsidR="004A425F" w:rsidRPr="00A942F6" w:rsidRDefault="004A425F" w:rsidP="00641834">
      <w:pPr>
        <w:pStyle w:val="a4"/>
        <w:ind w:left="0"/>
        <w:rPr>
          <w:lang w:val="nb-NO"/>
        </w:rPr>
      </w:pPr>
    </w:p>
    <w:p w14:paraId="52C5980D" w14:textId="7B9D74C8" w:rsidR="00E2236F" w:rsidRPr="009B40A5" w:rsidRDefault="00E2236F" w:rsidP="00E2236F">
      <w:pPr>
        <w:rPr>
          <w:lang w:val="nb-NO"/>
        </w:rPr>
      </w:pPr>
      <w:r w:rsidRPr="009B40A5">
        <w:rPr>
          <w:lang w:val="nb-NO"/>
        </w:rPr>
        <w:t>EU/</w:t>
      </w:r>
      <w:r w:rsidRPr="003672E9">
        <w:rPr>
          <w:spacing w:val="-1"/>
          <w:lang w:val="pt-BR"/>
        </w:rPr>
        <w:t>1/24/1896/00</w:t>
      </w:r>
      <w:r>
        <w:rPr>
          <w:rFonts w:eastAsia="맑은 고딕" w:hint="eastAsia"/>
          <w:spacing w:val="-1"/>
          <w:lang w:val="pt-BR" w:eastAsia="ko-KR"/>
        </w:rPr>
        <w:t>9</w:t>
      </w:r>
      <w:r>
        <w:rPr>
          <w:rFonts w:hint="eastAsia"/>
          <w:spacing w:val="-1"/>
          <w:lang w:val="pt-BR" w:eastAsia="ko-KR"/>
        </w:rPr>
        <w:t xml:space="preserve"> </w:t>
      </w:r>
      <w:r w:rsidRPr="009B40A5">
        <w:rPr>
          <w:rFonts w:eastAsia="Times New Roman"/>
          <w:lang w:val="nb-NO"/>
        </w:rPr>
        <w:t>12 (3 x 4) f</w:t>
      </w:r>
      <w:r w:rsidR="00E17B0A">
        <w:rPr>
          <w:rFonts w:eastAsia="Times New Roman"/>
          <w:lang w:val="nb-NO"/>
        </w:rPr>
        <w:t>erdig</w:t>
      </w:r>
      <w:r w:rsidRPr="009B40A5">
        <w:rPr>
          <w:rFonts w:eastAsia="Times New Roman"/>
          <w:lang w:val="nb-NO"/>
        </w:rPr>
        <w:t>fylte sprøyter (flerpakning)</w:t>
      </w:r>
    </w:p>
    <w:p w14:paraId="041D4907" w14:textId="77777777" w:rsidR="004A425F" w:rsidRPr="00A942F6" w:rsidRDefault="004A425F" w:rsidP="00641834">
      <w:pPr>
        <w:pStyle w:val="a4"/>
        <w:ind w:left="0"/>
        <w:rPr>
          <w:lang w:val="nb-NO"/>
        </w:rPr>
      </w:pPr>
    </w:p>
    <w:p w14:paraId="72873DD3" w14:textId="77777777" w:rsidR="004461E7" w:rsidRPr="00A942F6" w:rsidRDefault="004461E7" w:rsidP="00641834">
      <w:pPr>
        <w:pStyle w:val="a4"/>
        <w:ind w:left="0"/>
        <w:rPr>
          <w:lang w:val="nb-NO"/>
        </w:rPr>
      </w:pPr>
    </w:p>
    <w:p w14:paraId="495BAEE7"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5D51B972" w14:textId="77777777" w:rsidR="004A425F" w:rsidRPr="00A942F6" w:rsidRDefault="004A425F" w:rsidP="00641834">
      <w:pPr>
        <w:pStyle w:val="a4"/>
        <w:ind w:left="0"/>
        <w:rPr>
          <w:lang w:val="nb-NO"/>
        </w:rPr>
      </w:pPr>
    </w:p>
    <w:p w14:paraId="234428FA" w14:textId="77777777" w:rsidR="004A425F" w:rsidRPr="00A942F6" w:rsidRDefault="004A425F" w:rsidP="00641834">
      <w:pPr>
        <w:pStyle w:val="a4"/>
        <w:ind w:left="0"/>
        <w:rPr>
          <w:lang w:val="nb-NO"/>
        </w:rPr>
      </w:pPr>
      <w:r w:rsidRPr="00A942F6">
        <w:rPr>
          <w:lang w:val="nb-NO"/>
        </w:rPr>
        <w:t>Lot</w:t>
      </w:r>
    </w:p>
    <w:p w14:paraId="08E4BB24" w14:textId="77777777" w:rsidR="004A425F" w:rsidRPr="00A942F6" w:rsidRDefault="004A425F" w:rsidP="00641834">
      <w:pPr>
        <w:pStyle w:val="a4"/>
        <w:ind w:left="0"/>
        <w:rPr>
          <w:lang w:val="nb-NO"/>
        </w:rPr>
      </w:pPr>
    </w:p>
    <w:p w14:paraId="49EC1005" w14:textId="77777777" w:rsidR="004461E7" w:rsidRPr="00A942F6" w:rsidRDefault="004461E7" w:rsidP="00641834">
      <w:pPr>
        <w:pStyle w:val="a4"/>
        <w:ind w:left="0"/>
        <w:rPr>
          <w:lang w:val="nb-NO"/>
        </w:rPr>
      </w:pPr>
    </w:p>
    <w:p w14:paraId="002F75A6"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37C10F03" w14:textId="77777777" w:rsidR="004A425F" w:rsidRPr="00A942F6" w:rsidRDefault="004A425F" w:rsidP="00641834">
      <w:pPr>
        <w:pStyle w:val="a4"/>
        <w:ind w:left="0"/>
        <w:rPr>
          <w:lang w:val="nb-NO"/>
        </w:rPr>
      </w:pPr>
    </w:p>
    <w:p w14:paraId="0469B84B" w14:textId="77777777" w:rsidR="004A425F" w:rsidRPr="00A942F6" w:rsidRDefault="004A425F" w:rsidP="00641834">
      <w:pPr>
        <w:pStyle w:val="a4"/>
        <w:ind w:left="0"/>
        <w:rPr>
          <w:lang w:val="nb-NO"/>
        </w:rPr>
      </w:pPr>
    </w:p>
    <w:p w14:paraId="66CFBAB5"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4A3AAB10" w14:textId="77777777" w:rsidR="004A425F" w:rsidRPr="00A942F6" w:rsidRDefault="004A425F" w:rsidP="00641834">
      <w:pPr>
        <w:pStyle w:val="a4"/>
        <w:ind w:left="0"/>
        <w:rPr>
          <w:lang w:val="nb-NO"/>
        </w:rPr>
      </w:pPr>
    </w:p>
    <w:p w14:paraId="47C16193" w14:textId="77777777" w:rsidR="004A425F" w:rsidRPr="00A942F6" w:rsidRDefault="004A425F" w:rsidP="00641834">
      <w:pPr>
        <w:pStyle w:val="a4"/>
        <w:ind w:left="0"/>
        <w:rPr>
          <w:lang w:val="nb-NO"/>
        </w:rPr>
      </w:pPr>
    </w:p>
    <w:p w14:paraId="60C9194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1DDC4ABC" w14:textId="77777777" w:rsidR="004A425F" w:rsidRPr="00A942F6" w:rsidRDefault="004A425F" w:rsidP="00641834">
      <w:pPr>
        <w:pStyle w:val="a4"/>
        <w:ind w:left="0"/>
        <w:rPr>
          <w:lang w:val="nb-NO"/>
        </w:rPr>
      </w:pPr>
    </w:p>
    <w:p w14:paraId="272BC4C6" w14:textId="0C64A962" w:rsidR="004A425F" w:rsidRPr="00A942F6" w:rsidRDefault="00CE336A" w:rsidP="00641834">
      <w:pPr>
        <w:pStyle w:val="a4"/>
        <w:ind w:left="0"/>
        <w:rPr>
          <w:lang w:val="nb-NO"/>
        </w:rPr>
      </w:pPr>
      <w:r w:rsidRPr="00A942F6">
        <w:rPr>
          <w:lang w:val="nb-NO"/>
        </w:rPr>
        <w:t>a</w:t>
      </w:r>
      <w:r w:rsidR="00923E68" w:rsidRPr="00A942F6">
        <w:rPr>
          <w:lang w:val="nb-NO"/>
        </w:rPr>
        <w:t>vtozma</w:t>
      </w:r>
      <w:r w:rsidR="004A425F" w:rsidRPr="00A942F6">
        <w:rPr>
          <w:lang w:val="nb-NO"/>
        </w:rPr>
        <w:t xml:space="preserve"> 162 mg</w:t>
      </w:r>
    </w:p>
    <w:p w14:paraId="5528956D" w14:textId="77777777" w:rsidR="004A425F" w:rsidRPr="00A942F6" w:rsidRDefault="004A425F" w:rsidP="00641834">
      <w:pPr>
        <w:pStyle w:val="a4"/>
        <w:ind w:left="0"/>
        <w:rPr>
          <w:lang w:val="nb-NO"/>
        </w:rPr>
      </w:pPr>
    </w:p>
    <w:p w14:paraId="10F96AF7" w14:textId="77777777" w:rsidR="004461E7" w:rsidRPr="00A942F6" w:rsidRDefault="004461E7" w:rsidP="00641834">
      <w:pPr>
        <w:pStyle w:val="a4"/>
        <w:ind w:left="0"/>
        <w:rPr>
          <w:lang w:val="nb-NO"/>
        </w:rPr>
      </w:pPr>
    </w:p>
    <w:p w14:paraId="4B893C9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6AE5D21B" w14:textId="77777777" w:rsidR="004A425F" w:rsidRPr="00A942F6" w:rsidRDefault="004A425F" w:rsidP="00641834">
      <w:pPr>
        <w:pStyle w:val="a4"/>
        <w:ind w:left="0"/>
        <w:rPr>
          <w:lang w:val="nb-NO"/>
        </w:rPr>
      </w:pPr>
    </w:p>
    <w:p w14:paraId="0DBA3592"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3BA5DAE9" w14:textId="77777777" w:rsidR="004A425F" w:rsidRPr="00A942F6" w:rsidRDefault="004A425F" w:rsidP="00641834">
      <w:pPr>
        <w:pStyle w:val="a4"/>
        <w:ind w:left="0"/>
        <w:rPr>
          <w:lang w:val="nb-NO"/>
        </w:rPr>
      </w:pPr>
    </w:p>
    <w:p w14:paraId="64CBF150" w14:textId="77777777" w:rsidR="004461E7" w:rsidRPr="00A942F6" w:rsidRDefault="004461E7" w:rsidP="00641834">
      <w:pPr>
        <w:pStyle w:val="a4"/>
        <w:ind w:left="0"/>
        <w:rPr>
          <w:lang w:val="nb-NO"/>
        </w:rPr>
      </w:pPr>
    </w:p>
    <w:p w14:paraId="7EF56DA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287C15C7" w14:textId="77777777" w:rsidR="004A425F" w:rsidRPr="00A942F6" w:rsidRDefault="004A425F" w:rsidP="00641834">
      <w:pPr>
        <w:pStyle w:val="a4"/>
        <w:ind w:left="0"/>
        <w:rPr>
          <w:lang w:val="nb-NO"/>
        </w:rPr>
      </w:pPr>
    </w:p>
    <w:p w14:paraId="6DD70FB2" w14:textId="77777777" w:rsidR="004461E7" w:rsidRPr="00A942F6" w:rsidRDefault="004461E7" w:rsidP="00641834">
      <w:pPr>
        <w:pStyle w:val="a4"/>
        <w:ind w:left="0"/>
        <w:jc w:val="both"/>
        <w:rPr>
          <w:lang w:val="nb-NO"/>
        </w:rPr>
      </w:pPr>
    </w:p>
    <w:p w14:paraId="0E5B7870" w14:textId="20FA2562" w:rsidR="006F279C" w:rsidRPr="00A942F6" w:rsidRDefault="00E31057"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6F279C" w:rsidRPr="00A942F6">
        <w:rPr>
          <w:b/>
          <w:lang w:val="nb-NO"/>
        </w:rPr>
        <w:lastRenderedPageBreak/>
        <w:t>OPPLYSNINGER, SOM SKAL ANGIS PÅ YTRE EMBALLASJE</w:t>
      </w:r>
    </w:p>
    <w:p w14:paraId="6628125D" w14:textId="77777777" w:rsidR="004461E7" w:rsidRPr="00A942F6" w:rsidRDefault="004461E7" w:rsidP="00641834">
      <w:pPr>
        <w:pBdr>
          <w:top w:val="single" w:sz="4" w:space="1" w:color="auto"/>
          <w:left w:val="single" w:sz="4" w:space="4" w:color="auto"/>
          <w:bottom w:val="single" w:sz="4" w:space="1" w:color="auto"/>
          <w:right w:val="single" w:sz="4" w:space="4" w:color="auto"/>
        </w:pBdr>
        <w:rPr>
          <w:b/>
          <w:lang w:val="nb-NO"/>
        </w:rPr>
      </w:pPr>
    </w:p>
    <w:p w14:paraId="2A556409" w14:textId="77777777" w:rsidR="006F279C" w:rsidRPr="00A942F6" w:rsidRDefault="006F279C"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 FERDIGFYLT PENN</w:t>
      </w:r>
    </w:p>
    <w:p w14:paraId="28EB767A" w14:textId="77777777" w:rsidR="004A425F" w:rsidRPr="00A942F6" w:rsidRDefault="004A425F" w:rsidP="00641834">
      <w:pPr>
        <w:pStyle w:val="a4"/>
        <w:ind w:left="0"/>
        <w:rPr>
          <w:lang w:val="nb-NO"/>
        </w:rPr>
      </w:pPr>
    </w:p>
    <w:p w14:paraId="6C2CEB8D" w14:textId="77777777" w:rsidR="004461E7" w:rsidRPr="00A942F6" w:rsidRDefault="004461E7" w:rsidP="00641834">
      <w:pPr>
        <w:pStyle w:val="a4"/>
        <w:ind w:left="0"/>
        <w:rPr>
          <w:lang w:val="nb-NO"/>
        </w:rPr>
      </w:pPr>
    </w:p>
    <w:p w14:paraId="12557A22"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743B3234" w14:textId="77777777" w:rsidR="004A425F" w:rsidRPr="00A942F6" w:rsidRDefault="004A425F" w:rsidP="00641834">
      <w:pPr>
        <w:pStyle w:val="a4"/>
        <w:ind w:left="0"/>
        <w:rPr>
          <w:lang w:val="nb-NO"/>
        </w:rPr>
      </w:pPr>
    </w:p>
    <w:p w14:paraId="1E01FC83" w14:textId="0CC2DA37"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injeksjonsvæske, oppløsning i ferdigfylt </w:t>
      </w:r>
      <w:r w:rsidR="00875DFA" w:rsidRPr="00A942F6">
        <w:rPr>
          <w:lang w:val="nb-NO"/>
        </w:rPr>
        <w:t>penn</w:t>
      </w:r>
    </w:p>
    <w:p w14:paraId="4D40FEBD" w14:textId="77777777" w:rsidR="003929D4" w:rsidRPr="00A942F6" w:rsidRDefault="003929D4" w:rsidP="00641834">
      <w:pPr>
        <w:pStyle w:val="a4"/>
        <w:ind w:left="0"/>
        <w:rPr>
          <w:lang w:val="nb-NO"/>
        </w:rPr>
      </w:pPr>
    </w:p>
    <w:p w14:paraId="517967A2" w14:textId="77777777" w:rsidR="004A425F" w:rsidRPr="00A942F6" w:rsidRDefault="004A425F" w:rsidP="00641834">
      <w:pPr>
        <w:pStyle w:val="a4"/>
        <w:ind w:left="0"/>
        <w:rPr>
          <w:lang w:val="nb-NO"/>
        </w:rPr>
      </w:pPr>
      <w:r w:rsidRPr="00A942F6">
        <w:rPr>
          <w:lang w:val="nb-NO"/>
        </w:rPr>
        <w:t>tocilizumab</w:t>
      </w:r>
    </w:p>
    <w:p w14:paraId="39899CED" w14:textId="77777777" w:rsidR="006F279C" w:rsidRPr="00A942F6" w:rsidRDefault="006F279C" w:rsidP="00641834">
      <w:pPr>
        <w:tabs>
          <w:tab w:val="left" w:pos="669"/>
        </w:tabs>
        <w:rPr>
          <w:b/>
          <w:lang w:val="nb-NO"/>
        </w:rPr>
      </w:pPr>
    </w:p>
    <w:p w14:paraId="6F55F93A" w14:textId="77777777" w:rsidR="006F279C" w:rsidRPr="00A942F6" w:rsidRDefault="006F279C" w:rsidP="00641834">
      <w:pPr>
        <w:tabs>
          <w:tab w:val="left" w:pos="669"/>
        </w:tabs>
        <w:rPr>
          <w:b/>
          <w:lang w:val="nb-NO"/>
        </w:rPr>
      </w:pPr>
    </w:p>
    <w:p w14:paraId="50470AB3"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50724CC5" w14:textId="77777777" w:rsidR="004A425F" w:rsidRPr="00A942F6" w:rsidRDefault="004A425F" w:rsidP="00641834">
      <w:pPr>
        <w:pStyle w:val="a4"/>
        <w:ind w:left="0"/>
        <w:rPr>
          <w:lang w:val="nb-NO"/>
        </w:rPr>
      </w:pPr>
    </w:p>
    <w:p w14:paraId="4BF7EFF1" w14:textId="77777777" w:rsidR="004A425F" w:rsidRPr="00A942F6" w:rsidRDefault="004A425F" w:rsidP="00641834">
      <w:pPr>
        <w:pStyle w:val="a4"/>
        <w:ind w:left="0"/>
        <w:rPr>
          <w:lang w:val="nb-NO"/>
        </w:rPr>
      </w:pPr>
      <w:r w:rsidRPr="00A942F6">
        <w:rPr>
          <w:lang w:val="nb-NO"/>
        </w:rPr>
        <w:t>1 ferdigfylt penn inneholder 162 mg tocilizumab.</w:t>
      </w:r>
    </w:p>
    <w:p w14:paraId="01BCCA3E" w14:textId="77777777" w:rsidR="004A425F" w:rsidRPr="00A942F6" w:rsidRDefault="004A425F" w:rsidP="00641834">
      <w:pPr>
        <w:pStyle w:val="a4"/>
        <w:ind w:left="0"/>
        <w:rPr>
          <w:lang w:val="nb-NO"/>
        </w:rPr>
      </w:pPr>
    </w:p>
    <w:p w14:paraId="42A77042" w14:textId="77777777" w:rsidR="004461E7" w:rsidRPr="00A942F6" w:rsidRDefault="004461E7" w:rsidP="00641834">
      <w:pPr>
        <w:pStyle w:val="a4"/>
        <w:ind w:left="0"/>
        <w:rPr>
          <w:lang w:val="nb-NO"/>
        </w:rPr>
      </w:pPr>
    </w:p>
    <w:p w14:paraId="2C8A759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56CEC626" w14:textId="77777777" w:rsidR="004A425F" w:rsidRPr="00A942F6" w:rsidRDefault="004A425F" w:rsidP="00641834">
      <w:pPr>
        <w:pStyle w:val="a4"/>
        <w:ind w:left="0"/>
        <w:rPr>
          <w:lang w:val="nb-NO"/>
        </w:rPr>
      </w:pPr>
    </w:p>
    <w:p w14:paraId="55948FE5" w14:textId="73384205" w:rsidR="00120603" w:rsidRPr="00A942F6" w:rsidRDefault="00120603" w:rsidP="00120603">
      <w:pPr>
        <w:pStyle w:val="a4"/>
        <w:ind w:left="0"/>
        <w:rPr>
          <w:lang w:val="nb-NO"/>
        </w:rPr>
      </w:pPr>
      <w:r w:rsidRPr="00A942F6">
        <w:rPr>
          <w:lang w:val="nb-NO"/>
        </w:rPr>
        <w:t>Hjelpestoffer: L</w:t>
      </w:r>
      <w:r w:rsidR="006D55DF">
        <w:rPr>
          <w:lang w:val="nb-NO"/>
        </w:rPr>
        <w:noBreakHyphen/>
      </w:r>
      <w:r w:rsidRPr="00A942F6">
        <w:rPr>
          <w:lang w:val="nb-NO"/>
        </w:rPr>
        <w:t>histidin,</w:t>
      </w:r>
      <w:r w:rsidR="00CE3CFB" w:rsidRPr="00CE3CFB">
        <w:rPr>
          <w:rFonts w:eastAsia="맑은 고딕"/>
          <w:lang w:val="en-US" w:eastAsia="ko-KR"/>
        </w:rPr>
        <w:t xml:space="preserve"> </w:t>
      </w:r>
      <w:r w:rsidR="001B685D" w:rsidRPr="001B685D">
        <w:rPr>
          <w:rFonts w:eastAsia="맑은 고딕"/>
          <w:lang w:val="en-US" w:eastAsia="ko-KR"/>
        </w:rPr>
        <w:t>L-histidin monohydroklorid monohydrat</w:t>
      </w:r>
      <w:r w:rsidR="00220441" w:rsidRPr="00BD4D94">
        <w:rPr>
          <w:rFonts w:eastAsia="맑은 고딕"/>
          <w:lang w:val="nb-NO" w:eastAsia="ko-KR"/>
        </w:rPr>
        <w:t>,</w:t>
      </w:r>
      <w:r w:rsidRPr="00A942F6">
        <w:rPr>
          <w:lang w:val="nb-NO"/>
        </w:rPr>
        <w:t xml:space="preserve"> L</w:t>
      </w:r>
      <w:r w:rsidR="006D55DF">
        <w:rPr>
          <w:lang w:val="nb-NO"/>
        </w:rPr>
        <w:noBreakHyphen/>
      </w:r>
      <w:r w:rsidRPr="00A942F6">
        <w:rPr>
          <w:lang w:val="nb-NO"/>
        </w:rPr>
        <w:t>treonin, L</w:t>
      </w:r>
      <w:r w:rsidR="006D55DF">
        <w:rPr>
          <w:lang w:val="nb-NO"/>
        </w:rPr>
        <w:noBreakHyphen/>
      </w:r>
      <w:r w:rsidRPr="00A942F6">
        <w:rPr>
          <w:lang w:val="nb-NO"/>
        </w:rPr>
        <w:t>metionin, polysorbat 80 og vann til injeksjonsvæsker. Se pakningsvedlegget for ytterligere informasjon.</w:t>
      </w:r>
    </w:p>
    <w:p w14:paraId="1002B9F4" w14:textId="77777777" w:rsidR="004A425F" w:rsidRPr="00A942F6" w:rsidRDefault="004A425F" w:rsidP="00641834">
      <w:pPr>
        <w:pStyle w:val="a4"/>
        <w:ind w:left="0"/>
        <w:rPr>
          <w:lang w:val="nb-NO"/>
        </w:rPr>
      </w:pPr>
    </w:p>
    <w:p w14:paraId="53A4900B" w14:textId="77777777" w:rsidR="004461E7" w:rsidRPr="00A942F6" w:rsidRDefault="004461E7" w:rsidP="00641834">
      <w:pPr>
        <w:pStyle w:val="a4"/>
        <w:ind w:left="0"/>
        <w:rPr>
          <w:lang w:val="nb-NO"/>
        </w:rPr>
      </w:pPr>
    </w:p>
    <w:p w14:paraId="6B36DDFF"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32EF5DF9" w14:textId="77777777" w:rsidR="004A425F" w:rsidRPr="00A942F6" w:rsidRDefault="004A425F" w:rsidP="00641834">
      <w:pPr>
        <w:pStyle w:val="a4"/>
        <w:ind w:left="0"/>
        <w:rPr>
          <w:lang w:val="nb-NO"/>
        </w:rPr>
      </w:pPr>
    </w:p>
    <w:p w14:paraId="23F4E74F" w14:textId="3AE11EE1" w:rsidR="00875DFA" w:rsidRPr="00A942F6" w:rsidRDefault="004A425F" w:rsidP="00641834">
      <w:pPr>
        <w:pStyle w:val="a4"/>
        <w:ind w:left="0"/>
        <w:rPr>
          <w:lang w:val="nb-NO"/>
        </w:rPr>
      </w:pPr>
      <w:r w:rsidRPr="00A942F6">
        <w:rPr>
          <w:lang w:val="nb-NO"/>
        </w:rPr>
        <w:t>Injeksjonsvæske, oppløsning i ferdigfylt penn</w:t>
      </w:r>
    </w:p>
    <w:p w14:paraId="055A90FA" w14:textId="77777777" w:rsidR="00120603" w:rsidRPr="00A942F6" w:rsidRDefault="00120603" w:rsidP="00641834">
      <w:pPr>
        <w:pStyle w:val="a4"/>
        <w:ind w:left="0"/>
        <w:rPr>
          <w:lang w:val="nb-NO"/>
        </w:rPr>
      </w:pPr>
      <w:r w:rsidRPr="00A942F6">
        <w:rPr>
          <w:lang w:val="nb-NO"/>
        </w:rPr>
        <w:t>1 ferdigfylt penn</w:t>
      </w:r>
    </w:p>
    <w:p w14:paraId="7BF85B49" w14:textId="68092AA8" w:rsidR="000603DA" w:rsidRPr="00A942F6" w:rsidRDefault="000603DA" w:rsidP="000603DA">
      <w:pPr>
        <w:pStyle w:val="a4"/>
        <w:ind w:left="0"/>
        <w:rPr>
          <w:ins w:id="23" w:author="만든 이"/>
          <w:lang w:val="nb-NO"/>
        </w:rPr>
      </w:pPr>
      <w:ins w:id="24" w:author="만든 이">
        <w:r>
          <w:rPr>
            <w:rFonts w:eastAsia="맑은 고딕" w:hint="eastAsia"/>
            <w:lang w:val="nb-NO" w:eastAsia="ko-KR"/>
          </w:rPr>
          <w:t>2</w:t>
        </w:r>
        <w:r w:rsidRPr="00A942F6">
          <w:rPr>
            <w:lang w:val="nb-NO"/>
          </w:rPr>
          <w:t xml:space="preserve"> ferdigfylte penner</w:t>
        </w:r>
      </w:ins>
    </w:p>
    <w:p w14:paraId="7E788109" w14:textId="77777777" w:rsidR="004A425F" w:rsidRPr="00A942F6" w:rsidRDefault="004A425F" w:rsidP="00641834">
      <w:pPr>
        <w:pStyle w:val="a4"/>
        <w:ind w:left="0"/>
        <w:rPr>
          <w:lang w:val="nb-NO"/>
        </w:rPr>
      </w:pPr>
      <w:r w:rsidRPr="00A942F6">
        <w:rPr>
          <w:lang w:val="nb-NO"/>
        </w:rPr>
        <w:t>4 ferdigfylte penner</w:t>
      </w:r>
    </w:p>
    <w:p w14:paraId="6FFB3BA4" w14:textId="77777777" w:rsidR="004A425F" w:rsidRPr="00A942F6" w:rsidRDefault="004A425F" w:rsidP="00641834">
      <w:pPr>
        <w:pStyle w:val="a4"/>
        <w:ind w:left="0"/>
        <w:rPr>
          <w:lang w:val="nb-NO"/>
        </w:rPr>
      </w:pPr>
      <w:r w:rsidRPr="00A942F6">
        <w:rPr>
          <w:lang w:val="nb-NO"/>
        </w:rPr>
        <w:t>162 mg/0,9 ml</w:t>
      </w:r>
    </w:p>
    <w:p w14:paraId="142BE8B5" w14:textId="77777777" w:rsidR="004A425F" w:rsidRPr="00A942F6" w:rsidRDefault="004A425F" w:rsidP="00641834">
      <w:pPr>
        <w:pStyle w:val="a4"/>
        <w:ind w:left="0"/>
        <w:rPr>
          <w:lang w:val="nb-NO"/>
        </w:rPr>
      </w:pPr>
    </w:p>
    <w:p w14:paraId="738B3168" w14:textId="77777777" w:rsidR="004461E7" w:rsidRPr="00A942F6" w:rsidRDefault="004461E7" w:rsidP="00641834">
      <w:pPr>
        <w:pStyle w:val="a4"/>
        <w:ind w:left="0"/>
        <w:rPr>
          <w:lang w:val="nb-NO"/>
        </w:rPr>
      </w:pPr>
    </w:p>
    <w:p w14:paraId="3DF351D3"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3A96ECFC" w14:textId="77777777" w:rsidR="004A425F" w:rsidRPr="00A942F6" w:rsidRDefault="004A425F" w:rsidP="00641834">
      <w:pPr>
        <w:pStyle w:val="a4"/>
        <w:ind w:left="0"/>
        <w:rPr>
          <w:lang w:val="nb-NO"/>
        </w:rPr>
      </w:pPr>
    </w:p>
    <w:p w14:paraId="4B0E5783" w14:textId="77777777" w:rsidR="004A425F" w:rsidRPr="00A942F6" w:rsidRDefault="004A425F" w:rsidP="00641834">
      <w:pPr>
        <w:pStyle w:val="a4"/>
        <w:ind w:left="0"/>
        <w:rPr>
          <w:lang w:val="nb-NO"/>
        </w:rPr>
      </w:pPr>
      <w:r w:rsidRPr="00A942F6">
        <w:rPr>
          <w:lang w:val="nb-NO"/>
        </w:rPr>
        <w:t>Subkutan bruk</w:t>
      </w:r>
    </w:p>
    <w:p w14:paraId="00401FE0" w14:textId="77777777" w:rsidR="004A425F" w:rsidRPr="00A942F6" w:rsidRDefault="004A425F" w:rsidP="00641834">
      <w:pPr>
        <w:pStyle w:val="a4"/>
        <w:ind w:left="0"/>
        <w:rPr>
          <w:lang w:val="nb-NO"/>
        </w:rPr>
      </w:pPr>
      <w:r w:rsidRPr="00A942F6">
        <w:rPr>
          <w:lang w:val="nb-NO"/>
        </w:rPr>
        <w:t>Les pakningsvedlegget før bruk</w:t>
      </w:r>
    </w:p>
    <w:p w14:paraId="37137B57" w14:textId="77777777" w:rsidR="004A425F" w:rsidRPr="00A942F6" w:rsidRDefault="004A425F" w:rsidP="00641834">
      <w:pPr>
        <w:pStyle w:val="a4"/>
        <w:ind w:left="0"/>
        <w:rPr>
          <w:lang w:val="nb-NO"/>
        </w:rPr>
      </w:pPr>
    </w:p>
    <w:p w14:paraId="016F7D78" w14:textId="77777777" w:rsidR="00CE3DBA" w:rsidRPr="00A942F6" w:rsidRDefault="00CE3DBA" w:rsidP="00641834">
      <w:pPr>
        <w:pStyle w:val="a4"/>
        <w:ind w:left="0"/>
        <w:rPr>
          <w:lang w:val="nb-NO"/>
        </w:rPr>
      </w:pPr>
    </w:p>
    <w:p w14:paraId="2D2D23AF" w14:textId="77777777" w:rsidR="006F279C" w:rsidRPr="00A942F6" w:rsidRDefault="006F279C"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t>ADVARSEL OM AT LEGEMIDLET SKAL OPPBEVARES UTILGJENGELIG FOR BARN</w:t>
      </w:r>
    </w:p>
    <w:p w14:paraId="37BEC82B" w14:textId="77777777" w:rsidR="004A425F" w:rsidRPr="00A942F6" w:rsidRDefault="004A425F" w:rsidP="00641834">
      <w:pPr>
        <w:pStyle w:val="a4"/>
        <w:ind w:left="0"/>
        <w:rPr>
          <w:lang w:val="nb-NO"/>
        </w:rPr>
      </w:pPr>
    </w:p>
    <w:p w14:paraId="2D11E590" w14:textId="77777777" w:rsidR="004A425F" w:rsidRPr="00A942F6" w:rsidRDefault="004A425F" w:rsidP="00641834">
      <w:pPr>
        <w:pStyle w:val="a4"/>
        <w:ind w:left="0"/>
        <w:rPr>
          <w:lang w:val="nb-NO"/>
        </w:rPr>
      </w:pPr>
      <w:r w:rsidRPr="00A942F6">
        <w:rPr>
          <w:lang w:val="nb-NO"/>
        </w:rPr>
        <w:t>Oppbevares utilgjengelig for barn</w:t>
      </w:r>
    </w:p>
    <w:p w14:paraId="22A08F7E" w14:textId="77777777" w:rsidR="004A425F" w:rsidRPr="00A942F6" w:rsidRDefault="004A425F" w:rsidP="00641834">
      <w:pPr>
        <w:pStyle w:val="a4"/>
        <w:ind w:left="0"/>
        <w:rPr>
          <w:lang w:val="nb-NO"/>
        </w:rPr>
      </w:pPr>
    </w:p>
    <w:p w14:paraId="04ADA7DF" w14:textId="77777777" w:rsidR="00CE3DBA" w:rsidRPr="00A942F6" w:rsidRDefault="00CE3DBA" w:rsidP="00641834">
      <w:pPr>
        <w:pStyle w:val="a4"/>
        <w:ind w:left="0"/>
        <w:rPr>
          <w:lang w:val="nb-NO"/>
        </w:rPr>
      </w:pPr>
    </w:p>
    <w:p w14:paraId="150DDA59"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4F7E54FC" w14:textId="77777777" w:rsidR="004A425F" w:rsidRPr="00A942F6" w:rsidRDefault="004A425F" w:rsidP="00641834">
      <w:pPr>
        <w:pStyle w:val="a4"/>
        <w:ind w:left="0"/>
        <w:rPr>
          <w:lang w:val="nb-NO"/>
        </w:rPr>
      </w:pPr>
    </w:p>
    <w:p w14:paraId="3C8F1A6B" w14:textId="77777777" w:rsidR="004A425F" w:rsidRPr="00A942F6" w:rsidRDefault="004A425F" w:rsidP="00641834">
      <w:pPr>
        <w:pStyle w:val="a4"/>
        <w:ind w:left="0"/>
        <w:rPr>
          <w:lang w:val="nb-NO"/>
        </w:rPr>
      </w:pPr>
      <w:r w:rsidRPr="00A942F6">
        <w:rPr>
          <w:lang w:val="nb-NO"/>
        </w:rPr>
        <w:t>La den ferdigfylte pennen være i romtemperatur utenfor boksen i 45 minutter før bruk</w:t>
      </w:r>
    </w:p>
    <w:p w14:paraId="58F550AA" w14:textId="77777777" w:rsidR="004A425F" w:rsidRPr="00A942F6" w:rsidRDefault="004A425F" w:rsidP="00641834">
      <w:pPr>
        <w:pStyle w:val="a4"/>
        <w:ind w:left="0"/>
        <w:rPr>
          <w:lang w:val="nb-NO"/>
        </w:rPr>
      </w:pPr>
    </w:p>
    <w:p w14:paraId="562462C6" w14:textId="77777777" w:rsidR="00CE3DBA" w:rsidRPr="00A942F6" w:rsidRDefault="00CE3DBA" w:rsidP="00641834">
      <w:pPr>
        <w:pStyle w:val="a4"/>
        <w:ind w:left="0"/>
        <w:rPr>
          <w:lang w:val="nb-NO"/>
        </w:rPr>
      </w:pPr>
    </w:p>
    <w:p w14:paraId="4CEE17A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650F2834" w14:textId="77777777" w:rsidR="004A425F" w:rsidRPr="00A942F6" w:rsidRDefault="004A425F" w:rsidP="00641834">
      <w:pPr>
        <w:pStyle w:val="a4"/>
        <w:ind w:left="0"/>
        <w:rPr>
          <w:lang w:val="nb-NO"/>
        </w:rPr>
      </w:pPr>
    </w:p>
    <w:p w14:paraId="1186435C" w14:textId="77777777" w:rsidR="004A425F" w:rsidRPr="00A942F6" w:rsidRDefault="004A425F" w:rsidP="00641834">
      <w:pPr>
        <w:pStyle w:val="a4"/>
        <w:ind w:left="0"/>
        <w:rPr>
          <w:lang w:val="nb-NO"/>
        </w:rPr>
      </w:pPr>
      <w:r w:rsidRPr="00A942F6">
        <w:rPr>
          <w:lang w:val="nb-NO"/>
        </w:rPr>
        <w:t>EXP</w:t>
      </w:r>
    </w:p>
    <w:p w14:paraId="66D2EC8C" w14:textId="77777777" w:rsidR="004A425F" w:rsidRPr="00A942F6" w:rsidRDefault="004A425F" w:rsidP="00641834">
      <w:pPr>
        <w:rPr>
          <w:lang w:val="nb-NO"/>
        </w:rPr>
      </w:pPr>
    </w:p>
    <w:p w14:paraId="44C9A5AE" w14:textId="77777777" w:rsidR="00CE3DBA" w:rsidRPr="00A942F6" w:rsidRDefault="00CE3DBA" w:rsidP="00641834">
      <w:pPr>
        <w:rPr>
          <w:lang w:val="nb-NO"/>
        </w:rPr>
      </w:pPr>
    </w:p>
    <w:p w14:paraId="06E5D07E" w14:textId="77777777" w:rsidR="006F279C" w:rsidRPr="00A942F6" w:rsidRDefault="006F279C"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397C21CE" w14:textId="77777777" w:rsidR="004A425F" w:rsidRPr="00A942F6" w:rsidRDefault="004A425F" w:rsidP="00641834">
      <w:pPr>
        <w:pStyle w:val="a4"/>
        <w:keepNext/>
        <w:ind w:left="0"/>
        <w:rPr>
          <w:lang w:val="nb-NO"/>
        </w:rPr>
      </w:pPr>
    </w:p>
    <w:p w14:paraId="6A299FDE" w14:textId="77777777" w:rsidR="00875DFA" w:rsidRPr="00A942F6" w:rsidRDefault="004A425F" w:rsidP="00641834">
      <w:pPr>
        <w:pStyle w:val="a4"/>
        <w:keepNext/>
        <w:ind w:left="0"/>
        <w:rPr>
          <w:lang w:val="nb-NO"/>
        </w:rPr>
      </w:pPr>
      <w:r w:rsidRPr="00A942F6">
        <w:rPr>
          <w:lang w:val="nb-NO"/>
        </w:rPr>
        <w:t xml:space="preserve">Oppbevares i </w:t>
      </w:r>
      <w:r w:rsidR="00875DFA" w:rsidRPr="00A942F6">
        <w:rPr>
          <w:lang w:val="nb-NO"/>
        </w:rPr>
        <w:t>kjøleskap</w:t>
      </w:r>
    </w:p>
    <w:p w14:paraId="59E70527" w14:textId="77777777" w:rsidR="004A425F" w:rsidRPr="00A942F6" w:rsidRDefault="004A425F" w:rsidP="00641834">
      <w:pPr>
        <w:pStyle w:val="a4"/>
        <w:ind w:left="0"/>
        <w:rPr>
          <w:lang w:val="nb-NO"/>
        </w:rPr>
      </w:pPr>
      <w:r w:rsidRPr="00A942F6">
        <w:rPr>
          <w:lang w:val="nb-NO"/>
        </w:rPr>
        <w:t>Skal ikke fryses</w:t>
      </w:r>
    </w:p>
    <w:p w14:paraId="0EBD8C87" w14:textId="696A7793" w:rsidR="004A425F" w:rsidRPr="00A942F6" w:rsidRDefault="004A425F" w:rsidP="00641834">
      <w:pPr>
        <w:pStyle w:val="a4"/>
        <w:ind w:left="0"/>
        <w:rPr>
          <w:lang w:val="nb-NO"/>
        </w:rPr>
      </w:pPr>
      <w:r w:rsidRPr="00A942F6">
        <w:rPr>
          <w:lang w:val="nb-NO"/>
        </w:rPr>
        <w:t xml:space="preserve">Etter uttak fra kjøleskap kan den ferdigfylte pennen oppbevares i opptil </w:t>
      </w:r>
      <w:r w:rsidR="00120603" w:rsidRPr="00A942F6">
        <w:rPr>
          <w:lang w:val="nb-NO"/>
        </w:rPr>
        <w:t>3 </w:t>
      </w:r>
      <w:r w:rsidRPr="00A942F6">
        <w:rPr>
          <w:lang w:val="nb-NO"/>
        </w:rPr>
        <w:t>uker ved høyst 30 °C Oppbevar den ferdigfylte pennen i ytteremballasjen for å beskytte mot lys og fuktighet</w:t>
      </w:r>
    </w:p>
    <w:p w14:paraId="18C4C4FA" w14:textId="77777777" w:rsidR="004A425F" w:rsidRPr="00A942F6" w:rsidRDefault="004A425F" w:rsidP="00641834">
      <w:pPr>
        <w:pStyle w:val="a4"/>
        <w:ind w:left="0"/>
        <w:rPr>
          <w:lang w:val="nb-NO"/>
        </w:rPr>
      </w:pPr>
    </w:p>
    <w:p w14:paraId="4FC56B8F" w14:textId="77777777" w:rsidR="00CE3DBA" w:rsidRPr="00A942F6" w:rsidRDefault="00CE3DBA" w:rsidP="00641834">
      <w:pPr>
        <w:pStyle w:val="a4"/>
        <w:ind w:left="0"/>
        <w:rPr>
          <w:lang w:val="nb-NO"/>
        </w:rPr>
      </w:pPr>
    </w:p>
    <w:p w14:paraId="63BC246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43CCE931" w14:textId="77777777" w:rsidR="004A425F" w:rsidRPr="00A942F6" w:rsidRDefault="004A425F" w:rsidP="00641834">
      <w:pPr>
        <w:pStyle w:val="a4"/>
        <w:ind w:left="0"/>
        <w:rPr>
          <w:lang w:val="nb-NO"/>
        </w:rPr>
      </w:pPr>
    </w:p>
    <w:p w14:paraId="271AE6FA" w14:textId="77777777" w:rsidR="004A425F" w:rsidRPr="00A942F6" w:rsidRDefault="004A425F" w:rsidP="00641834">
      <w:pPr>
        <w:pStyle w:val="a4"/>
        <w:ind w:left="0"/>
        <w:rPr>
          <w:lang w:val="nb-NO"/>
        </w:rPr>
      </w:pPr>
    </w:p>
    <w:p w14:paraId="4E1BC70E"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1AB053CE" w14:textId="77777777" w:rsidR="004A425F" w:rsidRPr="00A942F6" w:rsidRDefault="004A425F" w:rsidP="00641834">
      <w:pPr>
        <w:pStyle w:val="a4"/>
        <w:ind w:left="0"/>
        <w:rPr>
          <w:lang w:val="nb-NO"/>
        </w:rPr>
      </w:pPr>
    </w:p>
    <w:p w14:paraId="798BD901" w14:textId="77777777" w:rsidR="00120603" w:rsidRPr="009B40A5" w:rsidRDefault="00120603" w:rsidP="00120603">
      <w:pPr>
        <w:keepNext/>
      </w:pPr>
      <w:r w:rsidRPr="009B40A5">
        <w:t xml:space="preserve">Celltrion Healthcare Hungary Kft. </w:t>
      </w:r>
    </w:p>
    <w:p w14:paraId="0510ED09" w14:textId="77777777" w:rsidR="00120603" w:rsidRPr="009B40A5" w:rsidRDefault="00120603" w:rsidP="00120603">
      <w:pPr>
        <w:keepNext/>
      </w:pPr>
      <w:r w:rsidRPr="009B40A5">
        <w:t>1062 Budapest</w:t>
      </w:r>
    </w:p>
    <w:p w14:paraId="75621482" w14:textId="77777777" w:rsidR="00120603" w:rsidRPr="009B40A5" w:rsidRDefault="00120603" w:rsidP="00120603">
      <w:pPr>
        <w:keepNext/>
      </w:pPr>
      <w:r w:rsidRPr="009B40A5">
        <w:t>Váci út 1</w:t>
      </w:r>
      <w:r w:rsidR="006D55DF" w:rsidRPr="009B40A5">
        <w:noBreakHyphen/>
      </w:r>
      <w:r w:rsidRPr="009B40A5">
        <w:t>3. WestEnd Office Building B torony</w:t>
      </w:r>
    </w:p>
    <w:p w14:paraId="4EB9BFCE" w14:textId="77777777" w:rsidR="00120603" w:rsidRPr="009B40A5" w:rsidRDefault="00120603" w:rsidP="00120603">
      <w:r w:rsidRPr="009B40A5">
        <w:t>Ungarn</w:t>
      </w:r>
    </w:p>
    <w:p w14:paraId="1CAA4460" w14:textId="77777777" w:rsidR="004A425F" w:rsidRPr="009B40A5" w:rsidRDefault="004A425F" w:rsidP="00641834">
      <w:pPr>
        <w:pStyle w:val="a4"/>
        <w:ind w:left="0"/>
        <w:rPr>
          <w:lang w:val="en-US"/>
        </w:rPr>
      </w:pPr>
    </w:p>
    <w:p w14:paraId="4B0DDAC2" w14:textId="77777777" w:rsidR="00CE3DBA" w:rsidRPr="009B40A5" w:rsidRDefault="00CE3DBA" w:rsidP="00641834">
      <w:pPr>
        <w:pStyle w:val="a4"/>
        <w:ind w:left="0"/>
        <w:rPr>
          <w:lang w:val="en-US"/>
        </w:rPr>
      </w:pPr>
    </w:p>
    <w:p w14:paraId="6D8E340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036F7599" w14:textId="77777777" w:rsidR="004A425F" w:rsidRPr="00A942F6" w:rsidRDefault="004A425F" w:rsidP="00641834">
      <w:pPr>
        <w:pStyle w:val="a4"/>
        <w:ind w:left="0"/>
        <w:rPr>
          <w:lang w:val="nb-NO"/>
        </w:rPr>
      </w:pPr>
    </w:p>
    <w:p w14:paraId="25758FB7" w14:textId="06D857D8" w:rsidR="00D11F4C" w:rsidRPr="009B40A5" w:rsidRDefault="00D11F4C" w:rsidP="00D11F4C">
      <w:pPr>
        <w:rPr>
          <w:lang w:val="nb-NO"/>
        </w:rPr>
      </w:pPr>
      <w:r w:rsidRPr="009B40A5">
        <w:rPr>
          <w:lang w:val="nb-NO"/>
        </w:rPr>
        <w:t>EU/</w:t>
      </w:r>
      <w:r w:rsidRPr="00231CE5">
        <w:rPr>
          <w:spacing w:val="-1"/>
          <w:lang w:val="es-ES"/>
        </w:rPr>
        <w:t>1/24/1896/01</w:t>
      </w:r>
      <w:r>
        <w:rPr>
          <w:rFonts w:eastAsia="맑은 고딕" w:hint="eastAsia"/>
          <w:spacing w:val="-1"/>
          <w:lang w:val="es-ES" w:eastAsia="ko-KR"/>
        </w:rPr>
        <w:t>0</w:t>
      </w:r>
      <w:r>
        <w:rPr>
          <w:rFonts w:hint="eastAsia"/>
          <w:spacing w:val="-1"/>
          <w:lang w:val="es-ES" w:eastAsia="ko-KR"/>
        </w:rPr>
        <w:t xml:space="preserve"> </w:t>
      </w:r>
      <w:r>
        <w:rPr>
          <w:rFonts w:eastAsia="맑은 고딕" w:hint="eastAsia"/>
          <w:spacing w:val="-1"/>
          <w:lang w:val="es-ES" w:eastAsia="ko-KR"/>
        </w:rPr>
        <w:t>1</w:t>
      </w:r>
      <w:r w:rsidR="006400C9">
        <w:rPr>
          <w:spacing w:val="-1"/>
          <w:lang w:val="es-ES" w:eastAsia="ko-KR"/>
        </w:rPr>
        <w:t xml:space="preserve"> f</w:t>
      </w:r>
      <w:r w:rsidR="00E17B0A">
        <w:rPr>
          <w:spacing w:val="-1"/>
          <w:lang w:val="es-ES" w:eastAsia="ko-KR"/>
        </w:rPr>
        <w:t>erdig</w:t>
      </w:r>
      <w:r w:rsidR="006400C9">
        <w:rPr>
          <w:spacing w:val="-1"/>
          <w:lang w:val="es-ES" w:eastAsia="ko-KR"/>
        </w:rPr>
        <w:t>fylt penn</w:t>
      </w:r>
    </w:p>
    <w:p w14:paraId="2A173580" w14:textId="46FF309C" w:rsidR="00D11F4C" w:rsidRPr="009B40A5" w:rsidRDefault="00D11F4C" w:rsidP="00D11F4C">
      <w:pPr>
        <w:rPr>
          <w:lang w:val="nb-NO"/>
        </w:rPr>
      </w:pPr>
      <w:r w:rsidRPr="009B40A5">
        <w:rPr>
          <w:lang w:val="nb-NO"/>
        </w:rPr>
        <w:t>EU/</w:t>
      </w:r>
      <w:r w:rsidRPr="00231CE5">
        <w:rPr>
          <w:spacing w:val="-1"/>
          <w:lang w:val="es-ES"/>
        </w:rPr>
        <w:t>1/24/1896/011</w:t>
      </w:r>
      <w:r>
        <w:rPr>
          <w:rFonts w:hint="eastAsia"/>
          <w:spacing w:val="-1"/>
          <w:lang w:val="es-ES" w:eastAsia="ko-KR"/>
        </w:rPr>
        <w:t xml:space="preserve"> 4 </w:t>
      </w:r>
      <w:r w:rsidR="006400C9">
        <w:rPr>
          <w:spacing w:val="-1"/>
          <w:lang w:val="es-ES" w:eastAsia="ko-KR"/>
        </w:rPr>
        <w:t>f</w:t>
      </w:r>
      <w:r w:rsidR="00E17B0A">
        <w:rPr>
          <w:spacing w:val="-1"/>
          <w:lang w:val="es-ES" w:eastAsia="ko-KR"/>
        </w:rPr>
        <w:t>erdig</w:t>
      </w:r>
      <w:r w:rsidR="006400C9">
        <w:rPr>
          <w:spacing w:val="-1"/>
          <w:lang w:val="es-ES" w:eastAsia="ko-KR"/>
        </w:rPr>
        <w:t>fylte penner</w:t>
      </w:r>
    </w:p>
    <w:p w14:paraId="74C85402" w14:textId="74253A81" w:rsidR="000603DA" w:rsidRPr="009B40A5" w:rsidRDefault="000603DA" w:rsidP="000603DA">
      <w:pPr>
        <w:rPr>
          <w:ins w:id="25" w:author="만든 이"/>
          <w:lang w:val="nb-NO"/>
        </w:rPr>
      </w:pPr>
      <w:ins w:id="26" w:author="만든 이">
        <w:r w:rsidRPr="009B40A5">
          <w:rPr>
            <w:lang w:val="nb-NO"/>
          </w:rPr>
          <w:t>EU/</w:t>
        </w:r>
        <w:r w:rsidRPr="00231CE5">
          <w:rPr>
            <w:spacing w:val="-1"/>
            <w:lang w:val="es-ES"/>
          </w:rPr>
          <w:t>1/24/1896/</w:t>
        </w:r>
        <w:r w:rsidR="00D6295A">
          <w:rPr>
            <w:rFonts w:eastAsia="맑은 고딕" w:hint="eastAsia"/>
            <w:spacing w:val="-1"/>
            <w:lang w:val="es-ES" w:eastAsia="ko-KR"/>
          </w:rPr>
          <w:t>014</w:t>
        </w:r>
        <w:r>
          <w:rPr>
            <w:rFonts w:hint="eastAsia"/>
            <w:spacing w:val="-1"/>
            <w:lang w:val="es-ES" w:eastAsia="ko-KR"/>
          </w:rPr>
          <w:t xml:space="preserve"> </w:t>
        </w:r>
        <w:r>
          <w:rPr>
            <w:rFonts w:eastAsia="맑은 고딕" w:hint="eastAsia"/>
            <w:spacing w:val="-1"/>
            <w:lang w:val="es-ES" w:eastAsia="ko-KR"/>
          </w:rPr>
          <w:t>2</w:t>
        </w:r>
        <w:r>
          <w:rPr>
            <w:rFonts w:hint="eastAsia"/>
            <w:spacing w:val="-1"/>
            <w:lang w:val="es-ES" w:eastAsia="ko-KR"/>
          </w:rPr>
          <w:t xml:space="preserve"> </w:t>
        </w:r>
        <w:r>
          <w:rPr>
            <w:spacing w:val="-1"/>
            <w:lang w:val="es-ES" w:eastAsia="ko-KR"/>
          </w:rPr>
          <w:t>ferdigfylte penner</w:t>
        </w:r>
      </w:ins>
    </w:p>
    <w:p w14:paraId="4C619ED6" w14:textId="77777777" w:rsidR="004A425F" w:rsidRPr="00A942F6" w:rsidRDefault="004A425F" w:rsidP="00641834">
      <w:pPr>
        <w:pStyle w:val="a4"/>
        <w:ind w:left="0"/>
        <w:rPr>
          <w:lang w:val="nb-NO"/>
        </w:rPr>
      </w:pPr>
    </w:p>
    <w:p w14:paraId="58174CDC" w14:textId="77777777" w:rsidR="00CE3DBA" w:rsidRPr="00A942F6" w:rsidRDefault="00CE3DBA" w:rsidP="00641834">
      <w:pPr>
        <w:pStyle w:val="a4"/>
        <w:ind w:left="0"/>
        <w:rPr>
          <w:lang w:val="nb-NO"/>
        </w:rPr>
      </w:pPr>
    </w:p>
    <w:p w14:paraId="10EC7AF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5B358CC0" w14:textId="77777777" w:rsidR="004A425F" w:rsidRPr="00A942F6" w:rsidRDefault="004A425F" w:rsidP="00641834">
      <w:pPr>
        <w:pStyle w:val="a4"/>
        <w:ind w:left="0"/>
        <w:rPr>
          <w:lang w:val="nb-NO"/>
        </w:rPr>
      </w:pPr>
    </w:p>
    <w:p w14:paraId="30657EBD" w14:textId="77777777" w:rsidR="004A425F" w:rsidRPr="00A942F6" w:rsidRDefault="004A425F" w:rsidP="00641834">
      <w:pPr>
        <w:pStyle w:val="a4"/>
        <w:ind w:left="0"/>
        <w:rPr>
          <w:lang w:val="nb-NO"/>
        </w:rPr>
      </w:pPr>
      <w:r w:rsidRPr="00A942F6">
        <w:rPr>
          <w:lang w:val="nb-NO"/>
        </w:rPr>
        <w:t>Lot</w:t>
      </w:r>
    </w:p>
    <w:p w14:paraId="40BBDC19" w14:textId="77777777" w:rsidR="00CE3DBA" w:rsidRPr="00A942F6" w:rsidRDefault="00CE3DBA" w:rsidP="00641834">
      <w:pPr>
        <w:pStyle w:val="a4"/>
        <w:ind w:left="0"/>
        <w:rPr>
          <w:lang w:val="nb-NO"/>
        </w:rPr>
      </w:pPr>
    </w:p>
    <w:p w14:paraId="01F770D8" w14:textId="77777777" w:rsidR="004A425F" w:rsidRPr="00A942F6" w:rsidRDefault="004A425F" w:rsidP="00641834">
      <w:pPr>
        <w:pStyle w:val="a4"/>
        <w:ind w:left="0"/>
        <w:rPr>
          <w:lang w:val="nb-NO"/>
        </w:rPr>
      </w:pPr>
    </w:p>
    <w:p w14:paraId="0CB0C612"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74AB4B79" w14:textId="77777777" w:rsidR="004A425F" w:rsidRPr="00A942F6" w:rsidRDefault="004A425F" w:rsidP="00641834">
      <w:pPr>
        <w:pStyle w:val="a4"/>
        <w:ind w:left="0"/>
        <w:rPr>
          <w:lang w:val="nb-NO"/>
        </w:rPr>
      </w:pPr>
    </w:p>
    <w:p w14:paraId="6A7B54DC" w14:textId="77777777" w:rsidR="004A425F" w:rsidRPr="00A942F6" w:rsidRDefault="004A425F" w:rsidP="00641834">
      <w:pPr>
        <w:pStyle w:val="a4"/>
        <w:ind w:left="0"/>
        <w:rPr>
          <w:lang w:val="nb-NO"/>
        </w:rPr>
      </w:pPr>
    </w:p>
    <w:p w14:paraId="18736CD7"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1F2343AF" w14:textId="77777777" w:rsidR="004A425F" w:rsidRPr="00A942F6" w:rsidRDefault="004A425F" w:rsidP="00641834">
      <w:pPr>
        <w:pStyle w:val="a4"/>
        <w:ind w:left="0"/>
        <w:rPr>
          <w:lang w:val="nb-NO"/>
        </w:rPr>
      </w:pPr>
    </w:p>
    <w:p w14:paraId="26E8404E" w14:textId="77777777" w:rsidR="004A425F" w:rsidRPr="00A942F6" w:rsidRDefault="004A425F" w:rsidP="00641834">
      <w:pPr>
        <w:pStyle w:val="a4"/>
        <w:ind w:left="0"/>
        <w:rPr>
          <w:lang w:val="nb-NO"/>
        </w:rPr>
      </w:pPr>
    </w:p>
    <w:p w14:paraId="36F7BED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5961E58C" w14:textId="77777777" w:rsidR="004A425F" w:rsidRPr="00A942F6" w:rsidRDefault="004A425F" w:rsidP="00641834">
      <w:pPr>
        <w:pStyle w:val="a4"/>
        <w:ind w:left="0"/>
        <w:rPr>
          <w:lang w:val="nb-NO"/>
        </w:rPr>
      </w:pPr>
    </w:p>
    <w:p w14:paraId="1BB00DB8" w14:textId="147A1578" w:rsidR="004A425F" w:rsidRPr="00A942F6" w:rsidRDefault="00120603" w:rsidP="00641834">
      <w:pPr>
        <w:pStyle w:val="a4"/>
        <w:ind w:left="0"/>
        <w:rPr>
          <w:lang w:val="nb-NO"/>
        </w:rPr>
      </w:pPr>
      <w:r w:rsidRPr="00A942F6">
        <w:rPr>
          <w:lang w:val="nb-NO"/>
        </w:rPr>
        <w:t>a</w:t>
      </w:r>
      <w:r w:rsidR="00923E68" w:rsidRPr="00A942F6">
        <w:rPr>
          <w:lang w:val="nb-NO"/>
        </w:rPr>
        <w:t>vtozma</w:t>
      </w:r>
      <w:r w:rsidR="004A425F" w:rsidRPr="00A942F6">
        <w:rPr>
          <w:lang w:val="nb-NO"/>
        </w:rPr>
        <w:t xml:space="preserve"> 162 mg</w:t>
      </w:r>
    </w:p>
    <w:p w14:paraId="4C0B07DC" w14:textId="77777777" w:rsidR="004A425F" w:rsidRPr="00A942F6" w:rsidRDefault="004A425F" w:rsidP="00641834">
      <w:pPr>
        <w:pStyle w:val="a4"/>
        <w:ind w:left="0"/>
        <w:rPr>
          <w:lang w:val="nb-NO"/>
        </w:rPr>
      </w:pPr>
    </w:p>
    <w:p w14:paraId="5E396FB7" w14:textId="77777777" w:rsidR="00CE3DBA" w:rsidRPr="00A942F6" w:rsidRDefault="00CE3DBA" w:rsidP="00641834">
      <w:pPr>
        <w:pStyle w:val="a4"/>
        <w:ind w:left="0"/>
        <w:rPr>
          <w:lang w:val="nb-NO"/>
        </w:rPr>
      </w:pPr>
    </w:p>
    <w:p w14:paraId="5C7FB5CA"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2A6DFF52" w14:textId="77777777" w:rsidR="004A425F" w:rsidRPr="00A942F6" w:rsidRDefault="004A425F" w:rsidP="00641834">
      <w:pPr>
        <w:pStyle w:val="a4"/>
        <w:ind w:left="0"/>
        <w:rPr>
          <w:lang w:val="nb-NO"/>
        </w:rPr>
      </w:pPr>
    </w:p>
    <w:p w14:paraId="58E8A6B5"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70505740" w14:textId="77777777" w:rsidR="004A425F" w:rsidRPr="00A942F6" w:rsidRDefault="004A425F" w:rsidP="00641834">
      <w:pPr>
        <w:pStyle w:val="a4"/>
        <w:ind w:left="0"/>
        <w:rPr>
          <w:lang w:val="nb-NO"/>
        </w:rPr>
      </w:pPr>
    </w:p>
    <w:p w14:paraId="553028DC" w14:textId="77777777" w:rsidR="00CE3DBA" w:rsidRPr="00A942F6" w:rsidRDefault="00CE3DBA" w:rsidP="00641834">
      <w:pPr>
        <w:pStyle w:val="a4"/>
        <w:ind w:left="0"/>
        <w:rPr>
          <w:lang w:val="nb-NO"/>
        </w:rPr>
      </w:pPr>
    </w:p>
    <w:p w14:paraId="339C6E71"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1345BBD2" w14:textId="77777777" w:rsidR="004A425F" w:rsidRPr="00A942F6" w:rsidRDefault="004A425F" w:rsidP="00641834">
      <w:pPr>
        <w:pStyle w:val="a4"/>
        <w:ind w:left="0"/>
        <w:rPr>
          <w:lang w:val="nb-NO"/>
        </w:rPr>
      </w:pPr>
    </w:p>
    <w:p w14:paraId="754327CD" w14:textId="77777777" w:rsidR="00CE3DBA" w:rsidRPr="00A942F6" w:rsidRDefault="00CE3DBA" w:rsidP="00641834">
      <w:pPr>
        <w:pStyle w:val="a4"/>
        <w:ind w:left="0"/>
        <w:jc w:val="both"/>
        <w:rPr>
          <w:lang w:val="nb-NO"/>
        </w:rPr>
      </w:pPr>
      <w:r w:rsidRPr="00A942F6">
        <w:rPr>
          <w:lang w:val="nb-NO"/>
        </w:rPr>
        <w:t>PC</w:t>
      </w:r>
    </w:p>
    <w:p w14:paraId="2C5ACC60" w14:textId="77777777" w:rsidR="00CE3DBA" w:rsidRPr="00A942F6" w:rsidRDefault="004A425F" w:rsidP="00641834">
      <w:pPr>
        <w:pStyle w:val="a4"/>
        <w:ind w:left="0"/>
        <w:jc w:val="both"/>
        <w:rPr>
          <w:lang w:val="nb-NO"/>
        </w:rPr>
      </w:pPr>
      <w:r w:rsidRPr="00A942F6">
        <w:rPr>
          <w:lang w:val="nb-NO"/>
        </w:rPr>
        <w:t>SN</w:t>
      </w:r>
    </w:p>
    <w:p w14:paraId="0AD064B7" w14:textId="28F53076" w:rsidR="004A425F" w:rsidRPr="00CD583D" w:rsidRDefault="00DB4DAC" w:rsidP="00641834">
      <w:pPr>
        <w:jc w:val="both"/>
        <w:rPr>
          <w:rFonts w:eastAsia="맑은 고딕"/>
          <w:lang w:val="nb-NO" w:eastAsia="ko-KR"/>
        </w:rPr>
      </w:pPr>
      <w:r w:rsidRPr="00CD583D">
        <w:rPr>
          <w:rFonts w:eastAsia="맑은 고딕"/>
          <w:highlight w:val="lightGray"/>
          <w:lang w:val="nb-NO" w:eastAsia="ko-KR"/>
        </w:rPr>
        <w:t>NN</w:t>
      </w:r>
    </w:p>
    <w:p w14:paraId="5EDD262D" w14:textId="3778F712" w:rsidR="006F279C"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6F279C" w:rsidRPr="00A942F6">
        <w:rPr>
          <w:b/>
          <w:lang w:val="nb-NO"/>
        </w:rPr>
        <w:lastRenderedPageBreak/>
        <w:t>OPPLYSNINGER, SOM SKAL ANGIS PÅ YTRE EMBALLASJE</w:t>
      </w:r>
    </w:p>
    <w:p w14:paraId="650E8043" w14:textId="77777777" w:rsidR="00CE3DBA" w:rsidRPr="00A942F6" w:rsidRDefault="00CE3DBA" w:rsidP="00641834">
      <w:pPr>
        <w:pBdr>
          <w:top w:val="single" w:sz="4" w:space="1" w:color="auto"/>
          <w:left w:val="single" w:sz="4" w:space="4" w:color="auto"/>
          <w:bottom w:val="single" w:sz="4" w:space="1" w:color="auto"/>
          <w:right w:val="single" w:sz="4" w:space="4" w:color="auto"/>
        </w:pBdr>
        <w:rPr>
          <w:b/>
          <w:lang w:val="nb-NO"/>
        </w:rPr>
      </w:pPr>
    </w:p>
    <w:p w14:paraId="785B641A" w14:textId="77777777" w:rsidR="006F279C" w:rsidRPr="00A942F6" w:rsidRDefault="006F279C"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 FERDIGFYLT PENN (MED BLUE BOX) - Multipakning</w:t>
      </w:r>
    </w:p>
    <w:p w14:paraId="651C2A83" w14:textId="77777777" w:rsidR="004A425F" w:rsidRPr="00A942F6" w:rsidRDefault="004A425F" w:rsidP="00641834">
      <w:pPr>
        <w:pStyle w:val="a4"/>
        <w:ind w:left="0"/>
        <w:rPr>
          <w:lang w:val="nb-NO"/>
        </w:rPr>
      </w:pPr>
    </w:p>
    <w:p w14:paraId="0497C12E" w14:textId="77777777" w:rsidR="00CE3DBA" w:rsidRPr="00A942F6" w:rsidRDefault="00CE3DBA" w:rsidP="00641834">
      <w:pPr>
        <w:pStyle w:val="a4"/>
        <w:ind w:left="0"/>
        <w:rPr>
          <w:lang w:val="nb-NO"/>
        </w:rPr>
      </w:pPr>
    </w:p>
    <w:p w14:paraId="4CDAB02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7CA52CC5" w14:textId="77777777" w:rsidR="004A425F" w:rsidRPr="00A942F6" w:rsidRDefault="004A425F" w:rsidP="00641834">
      <w:pPr>
        <w:pStyle w:val="a4"/>
        <w:ind w:left="0"/>
        <w:rPr>
          <w:lang w:val="nb-NO"/>
        </w:rPr>
      </w:pPr>
    </w:p>
    <w:p w14:paraId="67B388E3" w14:textId="0D5BB860"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injeksjonsvæske, oppløsning i ferdigfylt </w:t>
      </w:r>
      <w:r w:rsidR="00875DFA" w:rsidRPr="00A942F6">
        <w:rPr>
          <w:lang w:val="nb-NO"/>
        </w:rPr>
        <w:t>penn</w:t>
      </w:r>
    </w:p>
    <w:p w14:paraId="6D97481A" w14:textId="77777777" w:rsidR="003929D4" w:rsidRPr="00A942F6" w:rsidRDefault="003929D4" w:rsidP="00641834">
      <w:pPr>
        <w:pStyle w:val="a4"/>
        <w:ind w:left="0"/>
        <w:rPr>
          <w:lang w:val="nb-NO"/>
        </w:rPr>
      </w:pPr>
    </w:p>
    <w:p w14:paraId="5FB5ECE7" w14:textId="77777777" w:rsidR="004A425F" w:rsidRPr="00A942F6" w:rsidRDefault="004A425F" w:rsidP="00641834">
      <w:pPr>
        <w:pStyle w:val="a4"/>
        <w:ind w:left="0"/>
        <w:rPr>
          <w:lang w:val="nb-NO"/>
        </w:rPr>
      </w:pPr>
      <w:r w:rsidRPr="00A942F6">
        <w:rPr>
          <w:lang w:val="nb-NO"/>
        </w:rPr>
        <w:t>tocilizumab</w:t>
      </w:r>
    </w:p>
    <w:p w14:paraId="614E43A4" w14:textId="77777777" w:rsidR="006F279C" w:rsidRPr="00A942F6" w:rsidRDefault="006F279C" w:rsidP="00641834">
      <w:pPr>
        <w:tabs>
          <w:tab w:val="left" w:pos="669"/>
        </w:tabs>
        <w:rPr>
          <w:b/>
          <w:lang w:val="nb-NO"/>
        </w:rPr>
      </w:pPr>
    </w:p>
    <w:p w14:paraId="1285CFBC" w14:textId="77777777" w:rsidR="006F279C" w:rsidRPr="00A942F6" w:rsidRDefault="006F279C" w:rsidP="00641834">
      <w:pPr>
        <w:tabs>
          <w:tab w:val="left" w:pos="669"/>
        </w:tabs>
        <w:rPr>
          <w:b/>
          <w:lang w:val="nb-NO"/>
        </w:rPr>
      </w:pPr>
    </w:p>
    <w:p w14:paraId="327F1B0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513C3960" w14:textId="77777777" w:rsidR="004A425F" w:rsidRPr="00A942F6" w:rsidRDefault="004A425F" w:rsidP="00641834">
      <w:pPr>
        <w:pStyle w:val="a4"/>
        <w:ind w:left="0"/>
        <w:rPr>
          <w:lang w:val="nb-NO"/>
        </w:rPr>
      </w:pPr>
    </w:p>
    <w:p w14:paraId="0E71F850" w14:textId="77777777" w:rsidR="004A425F" w:rsidRPr="00A942F6" w:rsidRDefault="004A425F" w:rsidP="00641834">
      <w:pPr>
        <w:pStyle w:val="a4"/>
        <w:ind w:left="0"/>
        <w:rPr>
          <w:lang w:val="nb-NO"/>
        </w:rPr>
      </w:pPr>
      <w:r w:rsidRPr="00A942F6">
        <w:rPr>
          <w:lang w:val="nb-NO"/>
        </w:rPr>
        <w:t>1 ferdigfylt penn inneholder 162 mg tocilizumab</w:t>
      </w:r>
    </w:p>
    <w:p w14:paraId="454FBFC6" w14:textId="77777777" w:rsidR="004A425F" w:rsidRPr="00A942F6" w:rsidRDefault="004A425F" w:rsidP="00641834">
      <w:pPr>
        <w:pStyle w:val="a4"/>
        <w:ind w:left="0"/>
        <w:rPr>
          <w:lang w:val="nb-NO"/>
        </w:rPr>
      </w:pPr>
    </w:p>
    <w:p w14:paraId="1F7CD6F0" w14:textId="77777777" w:rsidR="00CE3DBA" w:rsidRPr="00A942F6" w:rsidRDefault="00CE3DBA" w:rsidP="00641834">
      <w:pPr>
        <w:pStyle w:val="a4"/>
        <w:ind w:left="0"/>
        <w:rPr>
          <w:lang w:val="nb-NO"/>
        </w:rPr>
      </w:pPr>
    </w:p>
    <w:p w14:paraId="134E7E05"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45454E92" w14:textId="77777777" w:rsidR="004A425F" w:rsidRPr="00A942F6" w:rsidRDefault="004A425F" w:rsidP="00641834">
      <w:pPr>
        <w:pStyle w:val="a4"/>
        <w:ind w:left="0"/>
        <w:rPr>
          <w:lang w:val="nb-NO"/>
        </w:rPr>
      </w:pPr>
    </w:p>
    <w:p w14:paraId="0EE41F31" w14:textId="636AEC80" w:rsidR="00120603" w:rsidRPr="00A942F6" w:rsidRDefault="00120603" w:rsidP="00120603">
      <w:pPr>
        <w:pStyle w:val="a4"/>
        <w:ind w:left="0"/>
        <w:rPr>
          <w:lang w:val="nb-NO"/>
        </w:rPr>
      </w:pPr>
      <w:r w:rsidRPr="00A942F6">
        <w:rPr>
          <w:lang w:val="nb-NO"/>
        </w:rPr>
        <w:t>Hjelpestoffer: L</w:t>
      </w:r>
      <w:r w:rsidR="006D55DF">
        <w:rPr>
          <w:lang w:val="nb-NO"/>
        </w:rPr>
        <w:noBreakHyphen/>
      </w:r>
      <w:r w:rsidRPr="00A942F6">
        <w:rPr>
          <w:lang w:val="nb-NO"/>
        </w:rPr>
        <w:t>histidin,</w:t>
      </w:r>
      <w:r w:rsidR="00220441">
        <w:rPr>
          <w:rFonts w:eastAsia="맑은 고딕" w:hint="eastAsia"/>
          <w:lang w:val="nb-NO" w:eastAsia="ko-KR"/>
        </w:rPr>
        <w:t xml:space="preserve"> </w:t>
      </w:r>
      <w:r w:rsidR="001B685D" w:rsidRPr="001B685D">
        <w:rPr>
          <w:rFonts w:eastAsia="맑은 고딕"/>
          <w:lang w:val="en-US" w:eastAsia="ko-KR"/>
        </w:rPr>
        <w:t>L-histidin monohydroklorid monohydrat</w:t>
      </w:r>
      <w:r w:rsidR="00220441" w:rsidRPr="00BD4D94">
        <w:rPr>
          <w:rFonts w:eastAsia="맑은 고딕"/>
          <w:lang w:val="nb-NO" w:eastAsia="ko-KR"/>
        </w:rPr>
        <w:t>,</w:t>
      </w:r>
      <w:r w:rsidRPr="00A942F6">
        <w:rPr>
          <w:lang w:val="nb-NO"/>
        </w:rPr>
        <w:t xml:space="preserve"> L</w:t>
      </w:r>
      <w:r w:rsidR="006D55DF">
        <w:rPr>
          <w:lang w:val="nb-NO"/>
        </w:rPr>
        <w:noBreakHyphen/>
      </w:r>
      <w:r w:rsidRPr="00A942F6">
        <w:rPr>
          <w:lang w:val="nb-NO"/>
        </w:rPr>
        <w:t>treonin, L</w:t>
      </w:r>
      <w:r w:rsidR="006D55DF">
        <w:rPr>
          <w:lang w:val="nb-NO"/>
        </w:rPr>
        <w:noBreakHyphen/>
      </w:r>
      <w:r w:rsidRPr="00A942F6">
        <w:rPr>
          <w:lang w:val="nb-NO"/>
        </w:rPr>
        <w:t>metionin, polysorbat 80 og vann til injeksjonsvæsker. Se pakningsvedlegget for ytterligere informasjon.</w:t>
      </w:r>
    </w:p>
    <w:p w14:paraId="2AC3EBA7" w14:textId="77777777" w:rsidR="004A425F" w:rsidRPr="00A942F6" w:rsidRDefault="004A425F" w:rsidP="00641834">
      <w:pPr>
        <w:pStyle w:val="a4"/>
        <w:ind w:left="0"/>
        <w:rPr>
          <w:lang w:val="nb-NO"/>
        </w:rPr>
      </w:pPr>
    </w:p>
    <w:p w14:paraId="39342EB9" w14:textId="77777777" w:rsidR="00CE3DBA" w:rsidRPr="00A942F6" w:rsidRDefault="00CE3DBA" w:rsidP="00641834">
      <w:pPr>
        <w:pStyle w:val="a4"/>
        <w:ind w:left="0"/>
        <w:rPr>
          <w:lang w:val="nb-NO"/>
        </w:rPr>
      </w:pPr>
    </w:p>
    <w:p w14:paraId="21F14CDF"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411EBC70" w14:textId="77777777" w:rsidR="004A425F" w:rsidRPr="00A942F6" w:rsidRDefault="004A425F" w:rsidP="00641834">
      <w:pPr>
        <w:pStyle w:val="a4"/>
        <w:ind w:left="0"/>
        <w:rPr>
          <w:lang w:val="nb-NO"/>
        </w:rPr>
      </w:pPr>
    </w:p>
    <w:p w14:paraId="532FDBB8" w14:textId="53C3A827" w:rsidR="00875DFA" w:rsidRPr="00A942F6" w:rsidRDefault="004A425F" w:rsidP="00641834">
      <w:pPr>
        <w:pStyle w:val="a4"/>
        <w:ind w:left="0"/>
        <w:rPr>
          <w:lang w:val="nb-NO"/>
        </w:rPr>
      </w:pPr>
      <w:r w:rsidRPr="00A942F6">
        <w:rPr>
          <w:lang w:val="nb-NO"/>
        </w:rPr>
        <w:t>Injeksjonsvæske, oppløsning i ferdigfylt penn</w:t>
      </w:r>
    </w:p>
    <w:p w14:paraId="6E0D032C" w14:textId="77777777" w:rsidR="004A425F" w:rsidRPr="00A942F6" w:rsidRDefault="004A425F" w:rsidP="00641834">
      <w:pPr>
        <w:pStyle w:val="a4"/>
        <w:ind w:left="0"/>
        <w:rPr>
          <w:lang w:val="nb-NO"/>
        </w:rPr>
      </w:pPr>
      <w:r w:rsidRPr="00A942F6">
        <w:rPr>
          <w:lang w:val="nb-NO"/>
        </w:rPr>
        <w:t>Multipakning: 12 (3 pakninger à 4) ferdigfylte penner</w:t>
      </w:r>
    </w:p>
    <w:p w14:paraId="043FAD51" w14:textId="77777777" w:rsidR="004A425F" w:rsidRPr="00A942F6" w:rsidRDefault="004A425F" w:rsidP="00641834">
      <w:pPr>
        <w:pStyle w:val="a4"/>
        <w:ind w:left="0"/>
        <w:rPr>
          <w:lang w:val="nb-NO"/>
        </w:rPr>
      </w:pPr>
      <w:r w:rsidRPr="00A942F6">
        <w:rPr>
          <w:lang w:val="nb-NO"/>
        </w:rPr>
        <w:t>162 mg/0,9 ml</w:t>
      </w:r>
    </w:p>
    <w:p w14:paraId="19E8B97F" w14:textId="77777777" w:rsidR="004A425F" w:rsidRPr="00A942F6" w:rsidRDefault="004A425F" w:rsidP="00641834">
      <w:pPr>
        <w:pStyle w:val="a4"/>
        <w:ind w:left="0"/>
        <w:rPr>
          <w:lang w:val="nb-NO"/>
        </w:rPr>
      </w:pPr>
    </w:p>
    <w:p w14:paraId="1020F20A" w14:textId="77777777" w:rsidR="00CE3DBA" w:rsidRPr="00A942F6" w:rsidRDefault="00CE3DBA" w:rsidP="00641834">
      <w:pPr>
        <w:pStyle w:val="a4"/>
        <w:ind w:left="0"/>
        <w:rPr>
          <w:lang w:val="nb-NO"/>
        </w:rPr>
      </w:pPr>
    </w:p>
    <w:p w14:paraId="5AF22640"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16B23D12" w14:textId="77777777" w:rsidR="004A425F" w:rsidRPr="00A942F6" w:rsidRDefault="004A425F" w:rsidP="00641834">
      <w:pPr>
        <w:pStyle w:val="a4"/>
        <w:ind w:left="0"/>
        <w:rPr>
          <w:lang w:val="nb-NO"/>
        </w:rPr>
      </w:pPr>
    </w:p>
    <w:p w14:paraId="4EDD8A85" w14:textId="77777777" w:rsidR="004A425F" w:rsidRPr="00A942F6" w:rsidRDefault="004A425F" w:rsidP="00641834">
      <w:pPr>
        <w:pStyle w:val="a4"/>
        <w:ind w:left="0"/>
        <w:rPr>
          <w:lang w:val="nb-NO"/>
        </w:rPr>
      </w:pPr>
      <w:r w:rsidRPr="00A942F6">
        <w:rPr>
          <w:lang w:val="nb-NO"/>
        </w:rPr>
        <w:t>Subkutan bruk</w:t>
      </w:r>
    </w:p>
    <w:p w14:paraId="2417E5E3" w14:textId="77777777" w:rsidR="004A425F" w:rsidRPr="00A942F6" w:rsidRDefault="004A425F" w:rsidP="00641834">
      <w:pPr>
        <w:pStyle w:val="a4"/>
        <w:ind w:left="0"/>
        <w:rPr>
          <w:lang w:val="nb-NO"/>
        </w:rPr>
      </w:pPr>
      <w:r w:rsidRPr="00A942F6">
        <w:rPr>
          <w:lang w:val="nb-NO"/>
        </w:rPr>
        <w:t>Les pakningsvedlegget før bruk</w:t>
      </w:r>
    </w:p>
    <w:p w14:paraId="43DAF993" w14:textId="77777777" w:rsidR="004A425F" w:rsidRPr="00A942F6" w:rsidRDefault="004A425F" w:rsidP="00641834">
      <w:pPr>
        <w:pStyle w:val="a4"/>
        <w:ind w:left="0"/>
        <w:rPr>
          <w:lang w:val="nb-NO"/>
        </w:rPr>
      </w:pPr>
    </w:p>
    <w:p w14:paraId="42A55A83" w14:textId="77777777" w:rsidR="00CE3DBA" w:rsidRPr="00A942F6" w:rsidRDefault="00CE3DBA" w:rsidP="00641834">
      <w:pPr>
        <w:pStyle w:val="a4"/>
        <w:ind w:left="0"/>
        <w:rPr>
          <w:lang w:val="nb-NO"/>
        </w:rPr>
      </w:pPr>
    </w:p>
    <w:p w14:paraId="5C8E32D3" w14:textId="77777777" w:rsidR="006F279C" w:rsidRPr="00A942F6" w:rsidRDefault="006F279C"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t>ADVARSEL OM AT LEGEMIDLET SKAL OPPBEVARES UTILGJENGELIG FOR BARN</w:t>
      </w:r>
    </w:p>
    <w:p w14:paraId="56409D52" w14:textId="77777777" w:rsidR="004A425F" w:rsidRPr="00A942F6" w:rsidRDefault="004A425F" w:rsidP="00641834">
      <w:pPr>
        <w:pStyle w:val="a4"/>
        <w:ind w:left="0"/>
        <w:rPr>
          <w:lang w:val="nb-NO"/>
        </w:rPr>
      </w:pPr>
    </w:p>
    <w:p w14:paraId="07E0365F" w14:textId="77777777" w:rsidR="004A425F" w:rsidRPr="00A942F6" w:rsidRDefault="004A425F" w:rsidP="00641834">
      <w:pPr>
        <w:pStyle w:val="a4"/>
        <w:ind w:left="0"/>
        <w:rPr>
          <w:lang w:val="nb-NO"/>
        </w:rPr>
      </w:pPr>
      <w:r w:rsidRPr="00A942F6">
        <w:rPr>
          <w:lang w:val="nb-NO"/>
        </w:rPr>
        <w:t>Oppbevares utilgjengelig for barn</w:t>
      </w:r>
    </w:p>
    <w:p w14:paraId="3F929D59" w14:textId="77777777" w:rsidR="004A425F" w:rsidRPr="00A942F6" w:rsidRDefault="004A425F" w:rsidP="00641834">
      <w:pPr>
        <w:pStyle w:val="a4"/>
        <w:ind w:left="0"/>
        <w:rPr>
          <w:lang w:val="nb-NO"/>
        </w:rPr>
      </w:pPr>
    </w:p>
    <w:p w14:paraId="76AB3A11" w14:textId="77777777" w:rsidR="00CE3DBA" w:rsidRPr="00A942F6" w:rsidRDefault="00CE3DBA" w:rsidP="00641834">
      <w:pPr>
        <w:pStyle w:val="a4"/>
        <w:ind w:left="0"/>
        <w:rPr>
          <w:lang w:val="nb-NO"/>
        </w:rPr>
      </w:pPr>
    </w:p>
    <w:p w14:paraId="21DF9D1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1A9AE343" w14:textId="77777777" w:rsidR="004A425F" w:rsidRPr="00A942F6" w:rsidRDefault="004A425F" w:rsidP="00641834">
      <w:pPr>
        <w:pStyle w:val="a4"/>
        <w:ind w:left="0"/>
        <w:rPr>
          <w:lang w:val="nb-NO"/>
        </w:rPr>
      </w:pPr>
    </w:p>
    <w:p w14:paraId="430D3BA2" w14:textId="77777777" w:rsidR="004A425F" w:rsidRPr="00A942F6" w:rsidRDefault="004A425F" w:rsidP="00641834">
      <w:pPr>
        <w:pStyle w:val="a4"/>
        <w:ind w:left="0"/>
        <w:rPr>
          <w:lang w:val="nb-NO"/>
        </w:rPr>
      </w:pPr>
      <w:r w:rsidRPr="00A942F6">
        <w:rPr>
          <w:lang w:val="nb-NO"/>
        </w:rPr>
        <w:t>La den ferdigfylte pennen være i romtemperatur utenfor boksen i 45 minutter før bruk</w:t>
      </w:r>
    </w:p>
    <w:p w14:paraId="6DB59BD4" w14:textId="77777777" w:rsidR="004A425F" w:rsidRPr="00A942F6" w:rsidRDefault="004A425F" w:rsidP="00641834">
      <w:pPr>
        <w:pStyle w:val="a4"/>
        <w:ind w:left="0"/>
        <w:rPr>
          <w:lang w:val="nb-NO"/>
        </w:rPr>
      </w:pPr>
    </w:p>
    <w:p w14:paraId="6B27F605" w14:textId="77777777" w:rsidR="00CE3DBA" w:rsidRPr="00A942F6" w:rsidRDefault="00CE3DBA" w:rsidP="00641834">
      <w:pPr>
        <w:pStyle w:val="a4"/>
        <w:ind w:left="0"/>
        <w:rPr>
          <w:lang w:val="nb-NO"/>
        </w:rPr>
      </w:pPr>
    </w:p>
    <w:p w14:paraId="77160E22"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242912FB" w14:textId="77777777" w:rsidR="004A425F" w:rsidRPr="00A942F6" w:rsidRDefault="004A425F" w:rsidP="00641834">
      <w:pPr>
        <w:pStyle w:val="a4"/>
        <w:ind w:left="0"/>
        <w:rPr>
          <w:lang w:val="nb-NO"/>
        </w:rPr>
      </w:pPr>
    </w:p>
    <w:p w14:paraId="56C9FEEC" w14:textId="77777777" w:rsidR="004A425F" w:rsidRPr="00A942F6" w:rsidRDefault="004A425F" w:rsidP="00641834">
      <w:pPr>
        <w:pStyle w:val="a4"/>
        <w:ind w:left="0"/>
        <w:rPr>
          <w:lang w:val="nb-NO"/>
        </w:rPr>
      </w:pPr>
      <w:r w:rsidRPr="00A942F6">
        <w:rPr>
          <w:lang w:val="nb-NO"/>
        </w:rPr>
        <w:t>EXP</w:t>
      </w:r>
    </w:p>
    <w:p w14:paraId="1E45987A" w14:textId="77777777" w:rsidR="004A425F" w:rsidRPr="00A942F6" w:rsidRDefault="004A425F" w:rsidP="00641834">
      <w:pPr>
        <w:rPr>
          <w:lang w:val="nb-NO"/>
        </w:rPr>
      </w:pPr>
    </w:p>
    <w:p w14:paraId="6EF733A5" w14:textId="77777777" w:rsidR="004A425F" w:rsidRPr="00A942F6" w:rsidRDefault="004A425F" w:rsidP="00641834">
      <w:pPr>
        <w:pStyle w:val="a4"/>
        <w:ind w:left="0"/>
        <w:rPr>
          <w:lang w:val="nb-NO"/>
        </w:rPr>
      </w:pPr>
    </w:p>
    <w:p w14:paraId="1C852B0B" w14:textId="77777777" w:rsidR="006F279C" w:rsidRPr="00A942F6" w:rsidRDefault="006F279C"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3BD10044" w14:textId="77777777" w:rsidR="004A425F" w:rsidRPr="00A942F6" w:rsidRDefault="004A425F" w:rsidP="00641834">
      <w:pPr>
        <w:pStyle w:val="a4"/>
        <w:keepNext/>
        <w:ind w:left="0"/>
        <w:rPr>
          <w:lang w:val="nb-NO"/>
        </w:rPr>
      </w:pPr>
    </w:p>
    <w:p w14:paraId="5C03FE2D" w14:textId="77777777" w:rsidR="00875DFA" w:rsidRPr="00A942F6" w:rsidRDefault="004A425F" w:rsidP="00641834">
      <w:pPr>
        <w:pStyle w:val="a4"/>
        <w:keepNext/>
        <w:ind w:left="0"/>
        <w:rPr>
          <w:lang w:val="nb-NO"/>
        </w:rPr>
      </w:pPr>
      <w:r w:rsidRPr="00A942F6">
        <w:rPr>
          <w:lang w:val="nb-NO"/>
        </w:rPr>
        <w:t xml:space="preserve">Oppbevares i </w:t>
      </w:r>
      <w:r w:rsidR="00875DFA" w:rsidRPr="00A942F6">
        <w:rPr>
          <w:lang w:val="nb-NO"/>
        </w:rPr>
        <w:t>kjøleskap</w:t>
      </w:r>
    </w:p>
    <w:p w14:paraId="203AFD82" w14:textId="77777777" w:rsidR="004A425F" w:rsidRPr="00A942F6" w:rsidRDefault="004A425F" w:rsidP="00641834">
      <w:pPr>
        <w:pStyle w:val="a4"/>
        <w:ind w:left="0"/>
        <w:rPr>
          <w:lang w:val="nb-NO"/>
        </w:rPr>
      </w:pPr>
      <w:r w:rsidRPr="00A942F6">
        <w:rPr>
          <w:lang w:val="nb-NO"/>
        </w:rPr>
        <w:t>Skal ikke fryses</w:t>
      </w:r>
    </w:p>
    <w:p w14:paraId="121C330E" w14:textId="1416B7FD" w:rsidR="004A425F" w:rsidRPr="00A942F6" w:rsidRDefault="004A425F" w:rsidP="00641834">
      <w:pPr>
        <w:pStyle w:val="a4"/>
        <w:ind w:left="0"/>
        <w:rPr>
          <w:lang w:val="nb-NO"/>
        </w:rPr>
      </w:pPr>
      <w:r w:rsidRPr="00A942F6">
        <w:rPr>
          <w:lang w:val="nb-NO"/>
        </w:rPr>
        <w:t xml:space="preserve">Etter uttak fra kjøleskap kan den ferdigfylte pennen oppbevares i opptil </w:t>
      </w:r>
      <w:r w:rsidR="00120603" w:rsidRPr="00A942F6">
        <w:rPr>
          <w:lang w:val="nb-NO"/>
        </w:rPr>
        <w:t>3 </w:t>
      </w:r>
      <w:r w:rsidRPr="00A942F6">
        <w:rPr>
          <w:lang w:val="nb-NO"/>
        </w:rPr>
        <w:t>uker ved høyst 30 °C Oppbevar den ferdigfylte pennen i ytteremballasjen for å beskytte mot lys og fuktighet</w:t>
      </w:r>
    </w:p>
    <w:p w14:paraId="5EDF56DB" w14:textId="77777777" w:rsidR="004A425F" w:rsidRPr="00A942F6" w:rsidRDefault="004A425F" w:rsidP="00641834">
      <w:pPr>
        <w:pStyle w:val="a4"/>
        <w:ind w:left="0"/>
        <w:rPr>
          <w:lang w:val="nb-NO"/>
        </w:rPr>
      </w:pPr>
    </w:p>
    <w:p w14:paraId="3914074B" w14:textId="77777777" w:rsidR="00CE3DBA" w:rsidRPr="00A942F6" w:rsidRDefault="00CE3DBA" w:rsidP="00641834">
      <w:pPr>
        <w:pStyle w:val="a4"/>
        <w:ind w:left="0"/>
        <w:rPr>
          <w:lang w:val="nb-NO"/>
        </w:rPr>
      </w:pPr>
    </w:p>
    <w:p w14:paraId="5068AC20"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5AA02655" w14:textId="77777777" w:rsidR="004A425F" w:rsidRPr="00A942F6" w:rsidRDefault="004A425F" w:rsidP="00641834">
      <w:pPr>
        <w:pStyle w:val="a4"/>
        <w:ind w:left="0"/>
        <w:rPr>
          <w:lang w:val="nb-NO"/>
        </w:rPr>
      </w:pPr>
    </w:p>
    <w:p w14:paraId="4CEB7B7F" w14:textId="77777777" w:rsidR="004A425F" w:rsidRPr="00A942F6" w:rsidRDefault="004A425F" w:rsidP="00641834">
      <w:pPr>
        <w:pStyle w:val="a4"/>
        <w:ind w:left="0"/>
        <w:rPr>
          <w:lang w:val="nb-NO"/>
        </w:rPr>
      </w:pPr>
    </w:p>
    <w:p w14:paraId="00ED9134"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34E8381B" w14:textId="77777777" w:rsidR="004A425F" w:rsidRPr="00A942F6" w:rsidRDefault="004A425F" w:rsidP="00641834">
      <w:pPr>
        <w:pStyle w:val="a4"/>
        <w:ind w:left="0"/>
        <w:rPr>
          <w:lang w:val="nb-NO"/>
        </w:rPr>
      </w:pPr>
    </w:p>
    <w:p w14:paraId="4BBD30D6" w14:textId="77777777" w:rsidR="00120603" w:rsidRPr="009B40A5" w:rsidRDefault="00120603" w:rsidP="00120603">
      <w:pPr>
        <w:keepNext/>
      </w:pPr>
      <w:r w:rsidRPr="009B40A5">
        <w:t xml:space="preserve">Celltrion Healthcare Hungary Kft. </w:t>
      </w:r>
    </w:p>
    <w:p w14:paraId="34075C98" w14:textId="77777777" w:rsidR="00120603" w:rsidRPr="009B40A5" w:rsidRDefault="00120603" w:rsidP="00120603">
      <w:pPr>
        <w:keepNext/>
      </w:pPr>
      <w:r w:rsidRPr="009B40A5">
        <w:t>1062 Budapest</w:t>
      </w:r>
    </w:p>
    <w:p w14:paraId="19780318" w14:textId="77777777" w:rsidR="00120603" w:rsidRPr="009B40A5" w:rsidRDefault="00120603" w:rsidP="00120603">
      <w:pPr>
        <w:keepNext/>
      </w:pPr>
      <w:r w:rsidRPr="009B40A5">
        <w:t>Váci út 1-3. WestEnd Office Building B torony</w:t>
      </w:r>
    </w:p>
    <w:p w14:paraId="2C1B7B53" w14:textId="77777777" w:rsidR="00120603" w:rsidRPr="009B40A5" w:rsidRDefault="00120603" w:rsidP="00120603">
      <w:r w:rsidRPr="009B40A5">
        <w:t>Ungarn</w:t>
      </w:r>
    </w:p>
    <w:p w14:paraId="7E2BAA2A" w14:textId="77777777" w:rsidR="004A425F" w:rsidRPr="009B40A5" w:rsidRDefault="004A425F" w:rsidP="00641834">
      <w:pPr>
        <w:pStyle w:val="a4"/>
        <w:ind w:left="0"/>
        <w:rPr>
          <w:lang w:val="en-US"/>
        </w:rPr>
      </w:pPr>
    </w:p>
    <w:p w14:paraId="6C2C09DC" w14:textId="77777777" w:rsidR="00CE3DBA" w:rsidRPr="009B40A5" w:rsidRDefault="00CE3DBA" w:rsidP="00641834">
      <w:pPr>
        <w:pStyle w:val="a4"/>
        <w:ind w:left="0"/>
        <w:rPr>
          <w:lang w:val="en-US"/>
        </w:rPr>
      </w:pPr>
    </w:p>
    <w:p w14:paraId="70833FD2"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763441B7" w14:textId="77777777" w:rsidR="004A425F" w:rsidRPr="00A942F6" w:rsidRDefault="004A425F" w:rsidP="00641834">
      <w:pPr>
        <w:pStyle w:val="a4"/>
        <w:ind w:left="0"/>
        <w:rPr>
          <w:lang w:val="nb-NO"/>
        </w:rPr>
      </w:pPr>
    </w:p>
    <w:p w14:paraId="3F5F2F91" w14:textId="4701983E" w:rsidR="00E42FB7" w:rsidRPr="009B40A5" w:rsidRDefault="00E42FB7" w:rsidP="00E42FB7">
      <w:pPr>
        <w:rPr>
          <w:lang w:val="nb-NO"/>
        </w:rPr>
      </w:pPr>
      <w:r w:rsidRPr="009B40A5">
        <w:rPr>
          <w:lang w:val="nb-NO"/>
        </w:rPr>
        <w:t>EU/</w:t>
      </w:r>
      <w:r w:rsidRPr="009B40A5">
        <w:rPr>
          <w:rFonts w:eastAsia="Times New Roman"/>
          <w:lang w:val="nb-NO"/>
        </w:rPr>
        <w:t>1/24/1896/012 12 (3 x 4) f</w:t>
      </w:r>
      <w:r w:rsidR="00E17B0A">
        <w:rPr>
          <w:rFonts w:eastAsia="Times New Roman"/>
          <w:lang w:val="nb-NO"/>
        </w:rPr>
        <w:t>erdig</w:t>
      </w:r>
      <w:r w:rsidRPr="009B40A5">
        <w:rPr>
          <w:rFonts w:eastAsia="Times New Roman"/>
          <w:lang w:val="nb-NO"/>
        </w:rPr>
        <w:t>fylte penner (flerpakning)</w:t>
      </w:r>
    </w:p>
    <w:p w14:paraId="56E2FE5C" w14:textId="77777777" w:rsidR="004A425F" w:rsidRPr="00C77B2D" w:rsidRDefault="004A425F" w:rsidP="00641834">
      <w:pPr>
        <w:pStyle w:val="a4"/>
        <w:ind w:left="0"/>
        <w:rPr>
          <w:lang w:val="nb-NO"/>
        </w:rPr>
      </w:pPr>
    </w:p>
    <w:p w14:paraId="5D44F912" w14:textId="77777777" w:rsidR="00CE3DBA" w:rsidRPr="00C77B2D" w:rsidRDefault="00CE3DBA" w:rsidP="00641834">
      <w:pPr>
        <w:pStyle w:val="a4"/>
        <w:ind w:left="0"/>
        <w:rPr>
          <w:lang w:val="nb-NO"/>
        </w:rPr>
      </w:pPr>
    </w:p>
    <w:p w14:paraId="3A1405BA"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2D2C7069" w14:textId="77777777" w:rsidR="004A425F" w:rsidRPr="00A942F6" w:rsidRDefault="004A425F" w:rsidP="00641834">
      <w:pPr>
        <w:pStyle w:val="a4"/>
        <w:ind w:left="0"/>
        <w:rPr>
          <w:lang w:val="nb-NO"/>
        </w:rPr>
      </w:pPr>
    </w:p>
    <w:p w14:paraId="1CE13CB2" w14:textId="77777777" w:rsidR="004A425F" w:rsidRPr="00A942F6" w:rsidRDefault="004A425F" w:rsidP="00641834">
      <w:pPr>
        <w:pStyle w:val="a4"/>
        <w:ind w:left="0"/>
        <w:rPr>
          <w:lang w:val="nb-NO"/>
        </w:rPr>
      </w:pPr>
      <w:r w:rsidRPr="00A942F6">
        <w:rPr>
          <w:lang w:val="nb-NO"/>
        </w:rPr>
        <w:t>Lot</w:t>
      </w:r>
    </w:p>
    <w:p w14:paraId="07E23642" w14:textId="77777777" w:rsidR="004A425F" w:rsidRPr="00A942F6" w:rsidRDefault="004A425F" w:rsidP="00641834">
      <w:pPr>
        <w:pStyle w:val="a4"/>
        <w:ind w:left="0"/>
        <w:rPr>
          <w:lang w:val="nb-NO"/>
        </w:rPr>
      </w:pPr>
    </w:p>
    <w:p w14:paraId="0C48414B" w14:textId="77777777" w:rsidR="00CE3DBA" w:rsidRPr="00A942F6" w:rsidRDefault="00CE3DBA" w:rsidP="00641834">
      <w:pPr>
        <w:pStyle w:val="a4"/>
        <w:ind w:left="0"/>
        <w:rPr>
          <w:lang w:val="nb-NO"/>
        </w:rPr>
      </w:pPr>
    </w:p>
    <w:p w14:paraId="4AFDA061"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7EFE83AC" w14:textId="77777777" w:rsidR="004A425F" w:rsidRPr="00A942F6" w:rsidRDefault="004A425F" w:rsidP="00641834">
      <w:pPr>
        <w:pStyle w:val="a4"/>
        <w:ind w:left="0"/>
        <w:rPr>
          <w:lang w:val="nb-NO"/>
        </w:rPr>
      </w:pPr>
    </w:p>
    <w:p w14:paraId="050E66E8" w14:textId="77777777" w:rsidR="004A425F" w:rsidRPr="00A942F6" w:rsidRDefault="004A425F" w:rsidP="00641834">
      <w:pPr>
        <w:pStyle w:val="a4"/>
        <w:ind w:left="0"/>
        <w:rPr>
          <w:lang w:val="nb-NO"/>
        </w:rPr>
      </w:pPr>
    </w:p>
    <w:p w14:paraId="148E8ADB"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3B71AC5B" w14:textId="77777777" w:rsidR="004A425F" w:rsidRPr="00A942F6" w:rsidRDefault="004A425F" w:rsidP="00641834">
      <w:pPr>
        <w:pStyle w:val="a4"/>
        <w:ind w:left="0"/>
        <w:rPr>
          <w:lang w:val="nb-NO"/>
        </w:rPr>
      </w:pPr>
    </w:p>
    <w:p w14:paraId="12EDECC3" w14:textId="77777777" w:rsidR="004A425F" w:rsidRPr="00A942F6" w:rsidRDefault="004A425F" w:rsidP="00641834">
      <w:pPr>
        <w:pStyle w:val="a4"/>
        <w:ind w:left="0"/>
        <w:rPr>
          <w:lang w:val="nb-NO"/>
        </w:rPr>
      </w:pPr>
    </w:p>
    <w:p w14:paraId="4CA0B62D"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4C79C52C" w14:textId="77777777" w:rsidR="004A425F" w:rsidRPr="00A942F6" w:rsidRDefault="004A425F" w:rsidP="00641834">
      <w:pPr>
        <w:pStyle w:val="a4"/>
        <w:ind w:left="0"/>
        <w:rPr>
          <w:lang w:val="nb-NO"/>
        </w:rPr>
      </w:pPr>
    </w:p>
    <w:p w14:paraId="768E073E" w14:textId="0F5140A6" w:rsidR="004A425F" w:rsidRPr="00A942F6" w:rsidRDefault="00120603" w:rsidP="00641834">
      <w:pPr>
        <w:pStyle w:val="a4"/>
        <w:ind w:left="0"/>
        <w:rPr>
          <w:lang w:val="nb-NO"/>
        </w:rPr>
      </w:pPr>
      <w:r w:rsidRPr="00A942F6">
        <w:rPr>
          <w:lang w:val="nb-NO"/>
        </w:rPr>
        <w:t>a</w:t>
      </w:r>
      <w:r w:rsidR="00923E68" w:rsidRPr="00A942F6">
        <w:rPr>
          <w:lang w:val="nb-NO"/>
        </w:rPr>
        <w:t>vtozma</w:t>
      </w:r>
      <w:r w:rsidR="004A425F" w:rsidRPr="00A942F6">
        <w:rPr>
          <w:lang w:val="nb-NO"/>
        </w:rPr>
        <w:t xml:space="preserve"> 162 mg</w:t>
      </w:r>
    </w:p>
    <w:p w14:paraId="41B8C2B2" w14:textId="77777777" w:rsidR="004A425F" w:rsidRPr="00A942F6" w:rsidRDefault="004A425F" w:rsidP="00641834">
      <w:pPr>
        <w:pStyle w:val="a4"/>
        <w:ind w:left="0"/>
        <w:rPr>
          <w:lang w:val="nb-NO"/>
        </w:rPr>
      </w:pPr>
    </w:p>
    <w:p w14:paraId="6811F32A" w14:textId="77777777" w:rsidR="00CE3DBA" w:rsidRPr="00A942F6" w:rsidRDefault="00CE3DBA" w:rsidP="00641834">
      <w:pPr>
        <w:pStyle w:val="a4"/>
        <w:ind w:left="0"/>
        <w:rPr>
          <w:lang w:val="nb-NO"/>
        </w:rPr>
      </w:pPr>
    </w:p>
    <w:p w14:paraId="13AA7D8F"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0E9F8EA0" w14:textId="77777777" w:rsidR="004A425F" w:rsidRPr="00A942F6" w:rsidRDefault="004A425F" w:rsidP="00641834">
      <w:pPr>
        <w:pStyle w:val="a4"/>
        <w:ind w:left="0"/>
        <w:rPr>
          <w:lang w:val="nb-NO"/>
        </w:rPr>
      </w:pPr>
    </w:p>
    <w:p w14:paraId="1A2F4208"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2204DF56" w14:textId="77777777" w:rsidR="004A425F" w:rsidRPr="00A942F6" w:rsidRDefault="004A425F" w:rsidP="00641834">
      <w:pPr>
        <w:pStyle w:val="a4"/>
        <w:ind w:left="0"/>
        <w:rPr>
          <w:lang w:val="nb-NO"/>
        </w:rPr>
      </w:pPr>
    </w:p>
    <w:p w14:paraId="2FF8A316" w14:textId="77777777" w:rsidR="00CE3DBA" w:rsidRPr="00A942F6" w:rsidRDefault="00CE3DBA" w:rsidP="00641834">
      <w:pPr>
        <w:pStyle w:val="a4"/>
        <w:ind w:left="0"/>
        <w:rPr>
          <w:lang w:val="nb-NO"/>
        </w:rPr>
      </w:pPr>
    </w:p>
    <w:p w14:paraId="70954959"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2A2BCAAD" w14:textId="77777777" w:rsidR="004A425F" w:rsidRPr="00A942F6" w:rsidRDefault="004A425F" w:rsidP="00641834">
      <w:pPr>
        <w:pStyle w:val="a4"/>
        <w:ind w:left="0"/>
        <w:rPr>
          <w:lang w:val="nb-NO"/>
        </w:rPr>
      </w:pPr>
    </w:p>
    <w:p w14:paraId="6D0B25B0" w14:textId="77777777" w:rsidR="00CE3DBA" w:rsidRPr="00A942F6" w:rsidRDefault="00CE3DBA" w:rsidP="00641834">
      <w:pPr>
        <w:pStyle w:val="a4"/>
        <w:ind w:left="0"/>
        <w:jc w:val="both"/>
        <w:rPr>
          <w:lang w:val="nb-NO"/>
        </w:rPr>
      </w:pPr>
      <w:r w:rsidRPr="00A942F6">
        <w:rPr>
          <w:lang w:val="nb-NO"/>
        </w:rPr>
        <w:t>PC</w:t>
      </w:r>
    </w:p>
    <w:p w14:paraId="5FB1BEC8" w14:textId="77777777" w:rsidR="00CE3DBA" w:rsidRDefault="004A425F" w:rsidP="00641834">
      <w:pPr>
        <w:pStyle w:val="a4"/>
        <w:ind w:left="0"/>
        <w:jc w:val="both"/>
        <w:rPr>
          <w:rFonts w:eastAsia="맑은 고딕"/>
          <w:lang w:val="nb-NO" w:eastAsia="ko-KR"/>
        </w:rPr>
      </w:pPr>
      <w:r w:rsidRPr="00A942F6">
        <w:rPr>
          <w:lang w:val="nb-NO"/>
        </w:rPr>
        <w:t>SN</w:t>
      </w:r>
    </w:p>
    <w:p w14:paraId="7F651C10" w14:textId="2B1B435C" w:rsidR="00DB4DAC" w:rsidRPr="00CD583D" w:rsidRDefault="00DB4DAC" w:rsidP="00641834">
      <w:pPr>
        <w:pStyle w:val="a4"/>
        <w:ind w:left="0"/>
        <w:jc w:val="both"/>
        <w:rPr>
          <w:rFonts w:eastAsia="맑은 고딕"/>
          <w:lang w:val="nb-NO" w:eastAsia="ko-KR"/>
        </w:rPr>
      </w:pPr>
      <w:r w:rsidRPr="00CD583D">
        <w:rPr>
          <w:rFonts w:eastAsia="맑은 고딕"/>
          <w:highlight w:val="lightGray"/>
          <w:lang w:val="nb-NO" w:eastAsia="ko-KR"/>
        </w:rPr>
        <w:t>NN</w:t>
      </w:r>
    </w:p>
    <w:p w14:paraId="10D00C2B" w14:textId="36AB388B" w:rsidR="006F279C"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6F279C" w:rsidRPr="00A942F6">
        <w:rPr>
          <w:b/>
          <w:lang w:val="nb-NO"/>
        </w:rPr>
        <w:lastRenderedPageBreak/>
        <w:t>OPPLYSNINGER, SOM SKAL ANGIS PÅ YTRE EMBALLASJE</w:t>
      </w:r>
    </w:p>
    <w:p w14:paraId="186F89DE" w14:textId="77777777" w:rsidR="00CE3DBA" w:rsidRPr="00A942F6" w:rsidRDefault="00CE3DBA" w:rsidP="00641834">
      <w:pPr>
        <w:pBdr>
          <w:top w:val="single" w:sz="4" w:space="1" w:color="auto"/>
          <w:left w:val="single" w:sz="4" w:space="4" w:color="auto"/>
          <w:bottom w:val="single" w:sz="4" w:space="1" w:color="auto"/>
          <w:right w:val="single" w:sz="4" w:space="4" w:color="auto"/>
        </w:pBdr>
        <w:rPr>
          <w:b/>
          <w:lang w:val="nb-NO"/>
        </w:rPr>
      </w:pPr>
    </w:p>
    <w:p w14:paraId="0A08BEA0" w14:textId="77777777" w:rsidR="006F279C" w:rsidRPr="00A942F6" w:rsidRDefault="006F279C"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YTTERKARTONG FERDIGFYLT PENN (UTEN BLUE BOX) - Multipakning</w:t>
      </w:r>
    </w:p>
    <w:p w14:paraId="0C85C3B7" w14:textId="77777777" w:rsidR="004A425F" w:rsidRPr="00A942F6" w:rsidRDefault="004A425F" w:rsidP="00641834">
      <w:pPr>
        <w:pStyle w:val="a4"/>
        <w:ind w:left="0"/>
        <w:rPr>
          <w:lang w:val="nb-NO"/>
        </w:rPr>
      </w:pPr>
    </w:p>
    <w:p w14:paraId="02B1F0D1" w14:textId="77777777" w:rsidR="00CE3DBA" w:rsidRPr="00A942F6" w:rsidRDefault="00CE3DBA" w:rsidP="00641834">
      <w:pPr>
        <w:pStyle w:val="a4"/>
        <w:ind w:left="0"/>
        <w:rPr>
          <w:lang w:val="nb-NO"/>
        </w:rPr>
      </w:pPr>
    </w:p>
    <w:p w14:paraId="7F703147"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w:t>
      </w:r>
    </w:p>
    <w:p w14:paraId="0E1F6935" w14:textId="77777777" w:rsidR="004A425F" w:rsidRPr="00A942F6" w:rsidRDefault="004A425F" w:rsidP="00641834">
      <w:pPr>
        <w:pStyle w:val="a4"/>
        <w:ind w:left="0"/>
        <w:rPr>
          <w:lang w:val="nb-NO"/>
        </w:rPr>
      </w:pPr>
    </w:p>
    <w:p w14:paraId="6613DCC2" w14:textId="019C9AC0"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injeksjonsvæske, oppløsning i ferdigfylt penn</w:t>
      </w:r>
    </w:p>
    <w:p w14:paraId="2308FBC2" w14:textId="77777777" w:rsidR="004A425F" w:rsidRPr="00A942F6" w:rsidRDefault="004A425F" w:rsidP="00641834">
      <w:pPr>
        <w:pStyle w:val="a4"/>
        <w:ind w:left="0"/>
        <w:rPr>
          <w:lang w:val="nb-NO"/>
        </w:rPr>
      </w:pPr>
      <w:r w:rsidRPr="00A942F6">
        <w:rPr>
          <w:lang w:val="nb-NO"/>
        </w:rPr>
        <w:t>tocilizumab</w:t>
      </w:r>
    </w:p>
    <w:p w14:paraId="2AAF0FEE" w14:textId="77777777" w:rsidR="006F279C" w:rsidRPr="00A942F6" w:rsidRDefault="006F279C" w:rsidP="00641834">
      <w:pPr>
        <w:tabs>
          <w:tab w:val="left" w:pos="669"/>
        </w:tabs>
        <w:rPr>
          <w:b/>
          <w:lang w:val="nb-NO"/>
        </w:rPr>
      </w:pPr>
    </w:p>
    <w:p w14:paraId="1902D7C2" w14:textId="77777777" w:rsidR="006F279C" w:rsidRPr="00A942F6" w:rsidRDefault="006F279C" w:rsidP="00641834">
      <w:pPr>
        <w:tabs>
          <w:tab w:val="left" w:pos="669"/>
        </w:tabs>
        <w:rPr>
          <w:b/>
          <w:lang w:val="nb-NO"/>
        </w:rPr>
      </w:pPr>
    </w:p>
    <w:p w14:paraId="1D1BED18"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DEKLARASJON AV VIRKESTOFF(ER)</w:t>
      </w:r>
    </w:p>
    <w:p w14:paraId="53636D5C" w14:textId="77777777" w:rsidR="004A425F" w:rsidRPr="00A942F6" w:rsidRDefault="004A425F" w:rsidP="00641834">
      <w:pPr>
        <w:pStyle w:val="a4"/>
        <w:ind w:left="0"/>
        <w:rPr>
          <w:lang w:val="nb-NO"/>
        </w:rPr>
      </w:pPr>
    </w:p>
    <w:p w14:paraId="286752BE" w14:textId="77777777" w:rsidR="004A425F" w:rsidRPr="00A942F6" w:rsidRDefault="004A425F" w:rsidP="00641834">
      <w:pPr>
        <w:pStyle w:val="a4"/>
        <w:ind w:left="0"/>
        <w:rPr>
          <w:lang w:val="nb-NO"/>
        </w:rPr>
      </w:pPr>
      <w:r w:rsidRPr="00A942F6">
        <w:rPr>
          <w:lang w:val="nb-NO"/>
        </w:rPr>
        <w:t>1 ferdigfylt penn inneholder 162 mg tocilizumab</w:t>
      </w:r>
    </w:p>
    <w:p w14:paraId="1EDE0137" w14:textId="77777777" w:rsidR="004A425F" w:rsidRPr="00A942F6" w:rsidRDefault="004A425F" w:rsidP="00641834">
      <w:pPr>
        <w:pStyle w:val="a4"/>
        <w:ind w:left="0"/>
        <w:rPr>
          <w:lang w:val="nb-NO"/>
        </w:rPr>
      </w:pPr>
    </w:p>
    <w:p w14:paraId="45E16BAE" w14:textId="77777777" w:rsidR="00CE3DBA" w:rsidRPr="00A942F6" w:rsidRDefault="00CE3DBA" w:rsidP="00641834">
      <w:pPr>
        <w:pStyle w:val="a4"/>
        <w:ind w:left="0"/>
        <w:rPr>
          <w:lang w:val="nb-NO"/>
        </w:rPr>
      </w:pPr>
    </w:p>
    <w:p w14:paraId="73ECBDBC"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LISTE OVER HJELPESTOFFER</w:t>
      </w:r>
    </w:p>
    <w:p w14:paraId="5C37D918" w14:textId="77777777" w:rsidR="004A425F" w:rsidRPr="00A942F6" w:rsidRDefault="004A425F" w:rsidP="00641834">
      <w:pPr>
        <w:pStyle w:val="a4"/>
        <w:ind w:left="0"/>
        <w:rPr>
          <w:lang w:val="nb-NO"/>
        </w:rPr>
      </w:pPr>
    </w:p>
    <w:p w14:paraId="65905B0A" w14:textId="72A0BD90" w:rsidR="00120603" w:rsidRPr="00A942F6" w:rsidRDefault="00120603" w:rsidP="00120603">
      <w:pPr>
        <w:pStyle w:val="a4"/>
        <w:ind w:left="0"/>
        <w:rPr>
          <w:lang w:val="nb-NO"/>
        </w:rPr>
      </w:pPr>
      <w:r w:rsidRPr="00A942F6">
        <w:rPr>
          <w:lang w:val="nb-NO"/>
        </w:rPr>
        <w:t>Hjelpestoffer: L</w:t>
      </w:r>
      <w:r w:rsidR="00B14020">
        <w:rPr>
          <w:lang w:val="nb-NO"/>
        </w:rPr>
        <w:noBreakHyphen/>
      </w:r>
      <w:r w:rsidRPr="00A942F6">
        <w:rPr>
          <w:lang w:val="nb-NO"/>
        </w:rPr>
        <w:t>histidin,</w:t>
      </w:r>
      <w:r w:rsidR="00220441">
        <w:rPr>
          <w:rFonts w:eastAsia="맑은 고딕" w:hint="eastAsia"/>
          <w:lang w:val="nb-NO" w:eastAsia="ko-KR"/>
        </w:rPr>
        <w:t xml:space="preserve"> </w:t>
      </w:r>
      <w:r w:rsidR="001B685D" w:rsidRPr="001B685D">
        <w:rPr>
          <w:rFonts w:eastAsia="맑은 고딕"/>
          <w:lang w:val="en-US" w:eastAsia="ko-KR"/>
        </w:rPr>
        <w:t>L-histidin monohydroklorid monohydrat</w:t>
      </w:r>
      <w:r w:rsidR="00220441" w:rsidRPr="00BD4D94">
        <w:rPr>
          <w:rFonts w:eastAsia="맑은 고딕"/>
          <w:lang w:val="nb-NO" w:eastAsia="ko-KR"/>
        </w:rPr>
        <w:t>,</w:t>
      </w:r>
      <w:r w:rsidRPr="00A942F6">
        <w:rPr>
          <w:lang w:val="nb-NO"/>
        </w:rPr>
        <w:t xml:space="preserve"> L</w:t>
      </w:r>
      <w:r w:rsidR="00B14020">
        <w:rPr>
          <w:lang w:val="nb-NO"/>
        </w:rPr>
        <w:noBreakHyphen/>
        <w:t>treonin, L</w:t>
      </w:r>
      <w:r w:rsidR="00B14020">
        <w:rPr>
          <w:lang w:val="nb-NO"/>
        </w:rPr>
        <w:noBreakHyphen/>
      </w:r>
      <w:r w:rsidRPr="00A942F6">
        <w:rPr>
          <w:lang w:val="nb-NO"/>
        </w:rPr>
        <w:t>metionin, polysorbat 80 og vann til injeksjonsvæsker. Se pakningsvedlegget for ytterligere informasjon.</w:t>
      </w:r>
    </w:p>
    <w:p w14:paraId="4725DAB9" w14:textId="77777777" w:rsidR="004A425F" w:rsidRPr="00A942F6" w:rsidRDefault="004A425F" w:rsidP="00641834">
      <w:pPr>
        <w:pStyle w:val="a4"/>
        <w:ind w:left="0"/>
        <w:rPr>
          <w:lang w:val="nb-NO"/>
        </w:rPr>
      </w:pPr>
    </w:p>
    <w:p w14:paraId="1244CE31" w14:textId="77777777" w:rsidR="00CE3DBA" w:rsidRPr="00A942F6" w:rsidRDefault="00CE3DBA" w:rsidP="00641834">
      <w:pPr>
        <w:pStyle w:val="a4"/>
        <w:ind w:left="0"/>
        <w:rPr>
          <w:lang w:val="nb-NO"/>
        </w:rPr>
      </w:pPr>
    </w:p>
    <w:p w14:paraId="74A6DF40"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LEGEMIDDELFORM OG INNHOLD (PAKNINGSSTØRRELSE)</w:t>
      </w:r>
    </w:p>
    <w:p w14:paraId="40CF95F5" w14:textId="77777777" w:rsidR="004A425F" w:rsidRPr="00A942F6" w:rsidRDefault="004A425F" w:rsidP="00641834">
      <w:pPr>
        <w:pStyle w:val="a4"/>
        <w:ind w:left="0"/>
        <w:rPr>
          <w:lang w:val="nb-NO"/>
        </w:rPr>
      </w:pPr>
    </w:p>
    <w:p w14:paraId="76B8ADA5" w14:textId="4A69440F" w:rsidR="004A425F" w:rsidRPr="00A942F6" w:rsidRDefault="004A425F" w:rsidP="00641834">
      <w:pPr>
        <w:pStyle w:val="a4"/>
        <w:ind w:left="0"/>
        <w:rPr>
          <w:lang w:val="nb-NO"/>
        </w:rPr>
      </w:pPr>
      <w:r w:rsidRPr="00A942F6">
        <w:rPr>
          <w:lang w:val="nb-NO"/>
        </w:rPr>
        <w:t>Injeksjonsvæske, oppløsning i ferdigfylt penn</w:t>
      </w:r>
    </w:p>
    <w:p w14:paraId="25EA8463" w14:textId="77777777" w:rsidR="00875DFA" w:rsidRPr="00A942F6" w:rsidRDefault="004A425F" w:rsidP="00641834">
      <w:pPr>
        <w:pStyle w:val="a4"/>
        <w:ind w:left="0"/>
        <w:rPr>
          <w:lang w:val="nb-NO"/>
        </w:rPr>
      </w:pPr>
      <w:r w:rsidRPr="00A942F6">
        <w:rPr>
          <w:lang w:val="nb-NO"/>
        </w:rPr>
        <w:t>4 ferdigfylte penner. Del av multipakning kan ikke selges separ</w:t>
      </w:r>
      <w:r w:rsidR="00875DFA" w:rsidRPr="00A942F6">
        <w:rPr>
          <w:lang w:val="nb-NO"/>
        </w:rPr>
        <w:t>at.</w:t>
      </w:r>
    </w:p>
    <w:p w14:paraId="30E57DBE" w14:textId="77777777" w:rsidR="004A425F" w:rsidRPr="00A942F6" w:rsidRDefault="004A425F" w:rsidP="00641834">
      <w:pPr>
        <w:pStyle w:val="a4"/>
        <w:ind w:left="0"/>
        <w:rPr>
          <w:lang w:val="nb-NO"/>
        </w:rPr>
      </w:pPr>
      <w:r w:rsidRPr="00A942F6">
        <w:rPr>
          <w:lang w:val="nb-NO"/>
        </w:rPr>
        <w:t>162 mg/0,9 ml</w:t>
      </w:r>
    </w:p>
    <w:p w14:paraId="6F15A934" w14:textId="77777777" w:rsidR="004A425F" w:rsidRPr="00A942F6" w:rsidRDefault="004A425F" w:rsidP="00641834">
      <w:pPr>
        <w:pStyle w:val="a4"/>
        <w:ind w:left="0"/>
        <w:rPr>
          <w:lang w:val="nb-NO"/>
        </w:rPr>
      </w:pPr>
    </w:p>
    <w:p w14:paraId="2D091F29" w14:textId="77777777" w:rsidR="00CE3DBA" w:rsidRPr="00A942F6" w:rsidRDefault="00CE3DBA" w:rsidP="00641834">
      <w:pPr>
        <w:pStyle w:val="a4"/>
        <w:ind w:left="0"/>
        <w:rPr>
          <w:lang w:val="nb-NO"/>
        </w:rPr>
      </w:pPr>
    </w:p>
    <w:p w14:paraId="51FD37B1" w14:textId="77777777" w:rsidR="006F279C" w:rsidRPr="00A942F6" w:rsidRDefault="006F279C"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ADMINISTRASJONSMÅTE OG -VEI(ER)</w:t>
      </w:r>
    </w:p>
    <w:p w14:paraId="7A4E6C4C" w14:textId="77777777" w:rsidR="004A425F" w:rsidRPr="00A942F6" w:rsidRDefault="004A425F" w:rsidP="00641834">
      <w:pPr>
        <w:pStyle w:val="a4"/>
        <w:ind w:left="0"/>
        <w:rPr>
          <w:lang w:val="nb-NO"/>
        </w:rPr>
      </w:pPr>
    </w:p>
    <w:p w14:paraId="2D9D8823" w14:textId="77777777" w:rsidR="004A425F" w:rsidRPr="00A942F6" w:rsidRDefault="004A425F" w:rsidP="00641834">
      <w:pPr>
        <w:pStyle w:val="a4"/>
        <w:ind w:left="0"/>
        <w:rPr>
          <w:lang w:val="nb-NO"/>
        </w:rPr>
      </w:pPr>
      <w:r w:rsidRPr="00A942F6">
        <w:rPr>
          <w:lang w:val="nb-NO"/>
        </w:rPr>
        <w:t>Subkutan bruk</w:t>
      </w:r>
    </w:p>
    <w:p w14:paraId="0F7C692E" w14:textId="77777777" w:rsidR="004A425F" w:rsidRPr="00A942F6" w:rsidRDefault="004A425F" w:rsidP="00641834">
      <w:pPr>
        <w:pStyle w:val="a4"/>
        <w:ind w:left="0"/>
        <w:rPr>
          <w:lang w:val="nb-NO"/>
        </w:rPr>
      </w:pPr>
      <w:r w:rsidRPr="00A942F6">
        <w:rPr>
          <w:lang w:val="nb-NO"/>
        </w:rPr>
        <w:t>Les pakningsvedlegget før bruk</w:t>
      </w:r>
    </w:p>
    <w:p w14:paraId="32DBC19C" w14:textId="77777777" w:rsidR="004A425F" w:rsidRPr="00A942F6" w:rsidRDefault="004A425F" w:rsidP="00641834">
      <w:pPr>
        <w:pStyle w:val="a4"/>
        <w:ind w:left="0"/>
        <w:rPr>
          <w:lang w:val="nb-NO"/>
        </w:rPr>
      </w:pPr>
    </w:p>
    <w:p w14:paraId="339F447B" w14:textId="77777777" w:rsidR="00CE3DBA" w:rsidRPr="00A942F6" w:rsidRDefault="00CE3DBA" w:rsidP="00641834">
      <w:pPr>
        <w:pStyle w:val="a4"/>
        <w:ind w:left="0"/>
        <w:rPr>
          <w:lang w:val="nb-NO"/>
        </w:rPr>
      </w:pPr>
    </w:p>
    <w:p w14:paraId="0012EF1D" w14:textId="77777777" w:rsidR="006F279C" w:rsidRPr="00A942F6" w:rsidRDefault="00FF3BAB" w:rsidP="00641834">
      <w:pPr>
        <w:pBdr>
          <w:top w:val="single" w:sz="4" w:space="1" w:color="auto"/>
          <w:left w:val="single" w:sz="4" w:space="4" w:color="auto"/>
          <w:bottom w:val="single" w:sz="4" w:space="1" w:color="auto"/>
          <w:right w:val="single" w:sz="4" w:space="4" w:color="auto"/>
        </w:pBdr>
        <w:ind w:left="567" w:hanging="567"/>
        <w:rPr>
          <w:b/>
          <w:lang w:val="nb-NO"/>
        </w:rPr>
      </w:pPr>
      <w:r w:rsidRPr="00A942F6">
        <w:rPr>
          <w:b/>
          <w:lang w:val="nb-NO"/>
        </w:rPr>
        <w:t>6.</w:t>
      </w:r>
      <w:r w:rsidRPr="00A942F6">
        <w:rPr>
          <w:b/>
          <w:lang w:val="nb-NO"/>
        </w:rPr>
        <w:tab/>
      </w:r>
      <w:r w:rsidR="006F279C" w:rsidRPr="00A942F6">
        <w:rPr>
          <w:b/>
          <w:lang w:val="nb-NO"/>
        </w:rPr>
        <w:t>ADVARSEL OM AT LEGEMIDLET SKAL OPPBEVARES UTILGJENGELIG FOR BARN</w:t>
      </w:r>
    </w:p>
    <w:p w14:paraId="716BE980" w14:textId="77777777" w:rsidR="004A425F" w:rsidRPr="00A942F6" w:rsidRDefault="004A425F" w:rsidP="00641834">
      <w:pPr>
        <w:pStyle w:val="a4"/>
        <w:ind w:left="0"/>
        <w:rPr>
          <w:lang w:val="nb-NO"/>
        </w:rPr>
      </w:pPr>
    </w:p>
    <w:p w14:paraId="53E9B5A8" w14:textId="77777777" w:rsidR="004A425F" w:rsidRPr="00A942F6" w:rsidRDefault="004A425F" w:rsidP="00641834">
      <w:pPr>
        <w:pStyle w:val="a4"/>
        <w:ind w:left="0"/>
        <w:rPr>
          <w:lang w:val="nb-NO"/>
        </w:rPr>
      </w:pPr>
      <w:r w:rsidRPr="00A942F6">
        <w:rPr>
          <w:lang w:val="nb-NO"/>
        </w:rPr>
        <w:t>Oppbevares utilgjengelig for barn</w:t>
      </w:r>
    </w:p>
    <w:p w14:paraId="47EAD3B5" w14:textId="77777777" w:rsidR="004A425F" w:rsidRPr="00A942F6" w:rsidRDefault="004A425F" w:rsidP="00641834">
      <w:pPr>
        <w:pStyle w:val="a4"/>
        <w:ind w:left="0"/>
        <w:rPr>
          <w:lang w:val="nb-NO"/>
        </w:rPr>
      </w:pPr>
    </w:p>
    <w:p w14:paraId="16C8B341" w14:textId="77777777" w:rsidR="00CE3DBA" w:rsidRPr="00A942F6" w:rsidRDefault="00CE3DBA" w:rsidP="00641834">
      <w:pPr>
        <w:pStyle w:val="a4"/>
        <w:ind w:left="0"/>
        <w:rPr>
          <w:lang w:val="nb-NO"/>
        </w:rPr>
      </w:pPr>
    </w:p>
    <w:p w14:paraId="2C9178B1"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7.</w:t>
      </w:r>
      <w:r w:rsidRPr="00A942F6">
        <w:rPr>
          <w:b/>
          <w:lang w:val="nb-NO"/>
        </w:rPr>
        <w:tab/>
        <w:t>EVENTUELLE ANDRE SPESIELLE ADVARSLER</w:t>
      </w:r>
    </w:p>
    <w:p w14:paraId="63CFDAFE" w14:textId="77777777" w:rsidR="004A425F" w:rsidRPr="00A942F6" w:rsidRDefault="004A425F" w:rsidP="00641834">
      <w:pPr>
        <w:pStyle w:val="a4"/>
        <w:ind w:left="0"/>
        <w:rPr>
          <w:lang w:val="nb-NO"/>
        </w:rPr>
      </w:pPr>
    </w:p>
    <w:p w14:paraId="3811210F" w14:textId="77777777" w:rsidR="004A425F" w:rsidRPr="00A942F6" w:rsidRDefault="004A425F" w:rsidP="00641834">
      <w:pPr>
        <w:pStyle w:val="a4"/>
        <w:ind w:left="0"/>
        <w:rPr>
          <w:lang w:val="nb-NO"/>
        </w:rPr>
      </w:pPr>
      <w:r w:rsidRPr="00A942F6">
        <w:rPr>
          <w:lang w:val="nb-NO"/>
        </w:rPr>
        <w:t>La den ferdigfylte pennen være i romtemperatur utenfor boksen i 45 minutter før bruk</w:t>
      </w:r>
    </w:p>
    <w:p w14:paraId="042E0DAD" w14:textId="77777777" w:rsidR="004A425F" w:rsidRPr="00A942F6" w:rsidRDefault="004A425F" w:rsidP="00641834">
      <w:pPr>
        <w:pStyle w:val="a4"/>
        <w:ind w:left="0"/>
        <w:rPr>
          <w:lang w:val="nb-NO"/>
        </w:rPr>
      </w:pPr>
    </w:p>
    <w:p w14:paraId="75CF556D" w14:textId="77777777" w:rsidR="00CE3DBA" w:rsidRPr="00A942F6" w:rsidRDefault="00CE3DBA" w:rsidP="00641834">
      <w:pPr>
        <w:pStyle w:val="a4"/>
        <w:ind w:left="0"/>
        <w:rPr>
          <w:lang w:val="nb-NO"/>
        </w:rPr>
      </w:pPr>
    </w:p>
    <w:p w14:paraId="2E0D1D8D"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8.</w:t>
      </w:r>
      <w:r w:rsidRPr="00A942F6">
        <w:rPr>
          <w:b/>
          <w:lang w:val="nb-NO"/>
        </w:rPr>
        <w:tab/>
        <w:t>UTLØPSDATO</w:t>
      </w:r>
    </w:p>
    <w:p w14:paraId="483373E1" w14:textId="77777777" w:rsidR="004A425F" w:rsidRPr="00A942F6" w:rsidRDefault="004A425F" w:rsidP="00641834">
      <w:pPr>
        <w:pStyle w:val="a4"/>
        <w:ind w:left="0"/>
        <w:rPr>
          <w:lang w:val="nb-NO"/>
        </w:rPr>
      </w:pPr>
    </w:p>
    <w:p w14:paraId="78F1476A" w14:textId="77777777" w:rsidR="004A425F" w:rsidRPr="00A942F6" w:rsidRDefault="004A425F" w:rsidP="00641834">
      <w:pPr>
        <w:pStyle w:val="a4"/>
        <w:ind w:left="0"/>
        <w:rPr>
          <w:lang w:val="nb-NO"/>
        </w:rPr>
      </w:pPr>
      <w:r w:rsidRPr="00A942F6">
        <w:rPr>
          <w:lang w:val="nb-NO"/>
        </w:rPr>
        <w:t>EXP</w:t>
      </w:r>
    </w:p>
    <w:p w14:paraId="5B4DB50D" w14:textId="77777777" w:rsidR="004A425F" w:rsidRPr="00A942F6" w:rsidRDefault="004A425F" w:rsidP="00641834">
      <w:pPr>
        <w:rPr>
          <w:lang w:val="nb-NO"/>
        </w:rPr>
      </w:pPr>
    </w:p>
    <w:p w14:paraId="4F27A430" w14:textId="77777777" w:rsidR="004A425F" w:rsidRPr="00A942F6" w:rsidRDefault="004A425F" w:rsidP="00641834">
      <w:pPr>
        <w:pStyle w:val="a4"/>
        <w:ind w:left="0"/>
        <w:rPr>
          <w:lang w:val="nb-NO"/>
        </w:rPr>
      </w:pPr>
    </w:p>
    <w:p w14:paraId="3ED2B7EE" w14:textId="77777777" w:rsidR="00FF3BAB" w:rsidRPr="00A942F6" w:rsidRDefault="00FF3BAB" w:rsidP="00641834">
      <w:pPr>
        <w:keepNext/>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lastRenderedPageBreak/>
        <w:t>9.</w:t>
      </w:r>
      <w:r w:rsidRPr="00A942F6">
        <w:rPr>
          <w:b/>
          <w:lang w:val="nb-NO"/>
        </w:rPr>
        <w:tab/>
        <w:t>OPPBEVARINGSBETINGELSER</w:t>
      </w:r>
    </w:p>
    <w:p w14:paraId="34E6EDEB" w14:textId="77777777" w:rsidR="004A425F" w:rsidRPr="00A942F6" w:rsidRDefault="004A425F" w:rsidP="00641834">
      <w:pPr>
        <w:pStyle w:val="a4"/>
        <w:keepNext/>
        <w:ind w:left="0"/>
        <w:rPr>
          <w:lang w:val="nb-NO"/>
        </w:rPr>
      </w:pPr>
    </w:p>
    <w:p w14:paraId="1A421CA7" w14:textId="77777777" w:rsidR="00875DFA" w:rsidRPr="00A942F6" w:rsidRDefault="004A425F" w:rsidP="00641834">
      <w:pPr>
        <w:pStyle w:val="a4"/>
        <w:keepNext/>
        <w:ind w:left="0"/>
        <w:rPr>
          <w:lang w:val="nb-NO"/>
        </w:rPr>
      </w:pPr>
      <w:r w:rsidRPr="00A942F6">
        <w:rPr>
          <w:lang w:val="nb-NO"/>
        </w:rPr>
        <w:t xml:space="preserve">Oppbevares i </w:t>
      </w:r>
      <w:r w:rsidR="00875DFA" w:rsidRPr="00A942F6">
        <w:rPr>
          <w:lang w:val="nb-NO"/>
        </w:rPr>
        <w:t>kjøleskap</w:t>
      </w:r>
    </w:p>
    <w:p w14:paraId="7551E2B2" w14:textId="77777777" w:rsidR="004A425F" w:rsidRPr="00A942F6" w:rsidRDefault="004A425F" w:rsidP="00641834">
      <w:pPr>
        <w:pStyle w:val="a4"/>
        <w:keepNext/>
        <w:ind w:left="0"/>
        <w:rPr>
          <w:lang w:val="nb-NO"/>
        </w:rPr>
      </w:pPr>
      <w:r w:rsidRPr="00A942F6">
        <w:rPr>
          <w:lang w:val="nb-NO"/>
        </w:rPr>
        <w:t>Skal ikke fryses</w:t>
      </w:r>
    </w:p>
    <w:p w14:paraId="6172B10F" w14:textId="4364C306" w:rsidR="004A425F" w:rsidRPr="00A942F6" w:rsidRDefault="004A425F" w:rsidP="00641834">
      <w:pPr>
        <w:pStyle w:val="a4"/>
        <w:ind w:left="0"/>
        <w:rPr>
          <w:lang w:val="nb-NO"/>
        </w:rPr>
      </w:pPr>
      <w:r w:rsidRPr="00A942F6">
        <w:rPr>
          <w:lang w:val="nb-NO"/>
        </w:rPr>
        <w:t xml:space="preserve">Etter uttak fra kjøleskap kan den ferdigfylte pennen oppbevares i opptil </w:t>
      </w:r>
      <w:r w:rsidR="00120603" w:rsidRPr="00A942F6">
        <w:rPr>
          <w:lang w:val="nb-NO"/>
        </w:rPr>
        <w:t>3 </w:t>
      </w:r>
      <w:r w:rsidRPr="00A942F6">
        <w:rPr>
          <w:lang w:val="nb-NO"/>
        </w:rPr>
        <w:t>uker ved høyst 30 °C</w:t>
      </w:r>
      <w:r w:rsidR="00602B8B" w:rsidRPr="00A942F6">
        <w:rPr>
          <w:lang w:val="nb-NO"/>
        </w:rPr>
        <w:t>.</w:t>
      </w:r>
      <w:r w:rsidRPr="00A942F6">
        <w:rPr>
          <w:lang w:val="nb-NO"/>
        </w:rPr>
        <w:t xml:space="preserve"> Oppbevar den ferdigfylte pennen i ytteremballasjen for å beskytte mot lys og fuktighet</w:t>
      </w:r>
    </w:p>
    <w:p w14:paraId="07FF89F5" w14:textId="77777777" w:rsidR="004A425F" w:rsidRPr="00A942F6" w:rsidRDefault="004A425F" w:rsidP="00641834">
      <w:pPr>
        <w:pStyle w:val="a4"/>
        <w:ind w:left="0"/>
        <w:rPr>
          <w:lang w:val="nb-NO"/>
        </w:rPr>
      </w:pPr>
    </w:p>
    <w:p w14:paraId="715C38FE" w14:textId="77777777" w:rsidR="00CE3DBA" w:rsidRPr="00A942F6" w:rsidRDefault="00CE3DBA" w:rsidP="00641834">
      <w:pPr>
        <w:pStyle w:val="a4"/>
        <w:ind w:left="0"/>
        <w:rPr>
          <w:lang w:val="nb-NO"/>
        </w:rPr>
      </w:pPr>
    </w:p>
    <w:p w14:paraId="7A0362EE"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10.</w:t>
      </w:r>
      <w:r w:rsidRPr="00A942F6">
        <w:rPr>
          <w:b/>
          <w:lang w:val="nb-NO"/>
        </w:rPr>
        <w:tab/>
        <w:t>EVENTUELLE SPESIELLE FORHOLDSREGLER VED DESTRUKSJON AV UBRUKTE LEGEMIDLER ELLER AVFALL</w:t>
      </w:r>
    </w:p>
    <w:p w14:paraId="6EF72BA2" w14:textId="77777777" w:rsidR="004A425F" w:rsidRPr="00A942F6" w:rsidRDefault="004A425F" w:rsidP="00641834">
      <w:pPr>
        <w:pStyle w:val="a4"/>
        <w:ind w:left="0"/>
        <w:rPr>
          <w:lang w:val="nb-NO"/>
        </w:rPr>
      </w:pPr>
    </w:p>
    <w:p w14:paraId="1B51EAB4" w14:textId="77777777" w:rsidR="004A425F" w:rsidRPr="00A942F6" w:rsidRDefault="004A425F" w:rsidP="00641834">
      <w:pPr>
        <w:pStyle w:val="a4"/>
        <w:ind w:left="0"/>
        <w:rPr>
          <w:lang w:val="nb-NO"/>
        </w:rPr>
      </w:pPr>
    </w:p>
    <w:p w14:paraId="30A5B0D1"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11.</w:t>
      </w:r>
      <w:r w:rsidRPr="00A942F6">
        <w:rPr>
          <w:b/>
          <w:lang w:val="nb-NO"/>
        </w:rPr>
        <w:tab/>
        <w:t>NAVN OG ADRESSE PÅ INNEHAVEREN AV MARKEDSFØRINGSTILLATELSEN</w:t>
      </w:r>
    </w:p>
    <w:p w14:paraId="5F7D08F5" w14:textId="77777777" w:rsidR="004A425F" w:rsidRPr="00A942F6" w:rsidRDefault="004A425F" w:rsidP="00641834">
      <w:pPr>
        <w:pStyle w:val="a4"/>
        <w:ind w:left="0"/>
        <w:rPr>
          <w:lang w:val="nb-NO"/>
        </w:rPr>
      </w:pPr>
    </w:p>
    <w:p w14:paraId="5ACD8056" w14:textId="77777777" w:rsidR="00120603" w:rsidRPr="009B40A5" w:rsidRDefault="00120603" w:rsidP="00120603">
      <w:pPr>
        <w:keepNext/>
      </w:pPr>
      <w:r w:rsidRPr="009B40A5">
        <w:t xml:space="preserve">Celltrion Healthcare Hungary Kft. </w:t>
      </w:r>
    </w:p>
    <w:p w14:paraId="18C13B36" w14:textId="77777777" w:rsidR="00120603" w:rsidRPr="009B40A5" w:rsidRDefault="00120603" w:rsidP="00120603">
      <w:pPr>
        <w:keepNext/>
      </w:pPr>
      <w:r w:rsidRPr="009B40A5">
        <w:t>1062 Budapest</w:t>
      </w:r>
    </w:p>
    <w:p w14:paraId="48094389" w14:textId="77777777" w:rsidR="00120603" w:rsidRPr="009B40A5" w:rsidRDefault="00120603" w:rsidP="00120603">
      <w:pPr>
        <w:keepNext/>
      </w:pPr>
      <w:r w:rsidRPr="009B40A5">
        <w:t>Váci út 1</w:t>
      </w:r>
      <w:r w:rsidR="00B14020" w:rsidRPr="009B40A5">
        <w:noBreakHyphen/>
      </w:r>
      <w:r w:rsidRPr="009B40A5">
        <w:t>3. WestEnd Office Building B torony</w:t>
      </w:r>
    </w:p>
    <w:p w14:paraId="2670AC19" w14:textId="77777777" w:rsidR="00120603" w:rsidRPr="009B40A5" w:rsidRDefault="00120603" w:rsidP="00120603">
      <w:r w:rsidRPr="009B40A5">
        <w:t>Ungarn</w:t>
      </w:r>
    </w:p>
    <w:p w14:paraId="169BC80E" w14:textId="77777777" w:rsidR="004A425F" w:rsidRPr="009B40A5" w:rsidRDefault="004A425F" w:rsidP="00641834">
      <w:pPr>
        <w:pStyle w:val="a4"/>
        <w:ind w:left="0"/>
        <w:rPr>
          <w:lang w:val="en-US"/>
        </w:rPr>
      </w:pPr>
    </w:p>
    <w:p w14:paraId="715675AF" w14:textId="77777777" w:rsidR="00CE3DBA" w:rsidRPr="009B40A5" w:rsidRDefault="00CE3DBA" w:rsidP="00641834">
      <w:pPr>
        <w:pStyle w:val="a4"/>
        <w:ind w:left="0"/>
        <w:rPr>
          <w:lang w:val="en-US"/>
        </w:rPr>
      </w:pPr>
    </w:p>
    <w:p w14:paraId="1CEDA80C"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12.</w:t>
      </w:r>
      <w:r w:rsidRPr="00A942F6">
        <w:rPr>
          <w:b/>
          <w:lang w:val="nb-NO"/>
        </w:rPr>
        <w:tab/>
        <w:t>MARKEDSFØRINGSTILLATELSESNUMMER (NUMRE)</w:t>
      </w:r>
    </w:p>
    <w:p w14:paraId="6454965F" w14:textId="77777777" w:rsidR="004A425F" w:rsidRPr="00A942F6" w:rsidRDefault="004A425F" w:rsidP="00641834">
      <w:pPr>
        <w:pStyle w:val="a4"/>
        <w:ind w:left="0"/>
        <w:rPr>
          <w:lang w:val="nb-NO"/>
        </w:rPr>
      </w:pPr>
    </w:p>
    <w:p w14:paraId="32F677FF" w14:textId="484C57A2" w:rsidR="00D22552" w:rsidRPr="00A942F6" w:rsidRDefault="00DA5031" w:rsidP="00641834">
      <w:pPr>
        <w:pStyle w:val="a4"/>
        <w:ind w:left="0"/>
        <w:rPr>
          <w:lang w:val="nb-NO"/>
        </w:rPr>
      </w:pPr>
      <w:r w:rsidRPr="00840707">
        <w:t>EU/</w:t>
      </w:r>
      <w:r w:rsidRPr="00DA3B0A">
        <w:t xml:space="preserve">1/24/1896/012 12 (3 x 4) </w:t>
      </w:r>
      <w:r>
        <w:t>f</w:t>
      </w:r>
      <w:r w:rsidR="00E17B0A">
        <w:t>erdig</w:t>
      </w:r>
      <w:r>
        <w:t>fylte penner</w:t>
      </w:r>
      <w:r w:rsidRPr="00DA3B0A">
        <w:t xml:space="preserve"> (</w:t>
      </w:r>
      <w:r>
        <w:t>flerpakning</w:t>
      </w:r>
      <w:r w:rsidRPr="00DA3B0A">
        <w:t>)</w:t>
      </w:r>
    </w:p>
    <w:p w14:paraId="1C8270B0" w14:textId="77777777" w:rsidR="004A425F" w:rsidRPr="00A942F6" w:rsidRDefault="004A425F" w:rsidP="00641834">
      <w:pPr>
        <w:pStyle w:val="a4"/>
        <w:ind w:left="0"/>
        <w:rPr>
          <w:lang w:val="nb-NO"/>
        </w:rPr>
      </w:pPr>
    </w:p>
    <w:p w14:paraId="5329DA1E" w14:textId="77777777" w:rsidR="00CE3DBA" w:rsidRPr="00A942F6" w:rsidRDefault="00CE3DBA" w:rsidP="00641834">
      <w:pPr>
        <w:pStyle w:val="a4"/>
        <w:ind w:left="0"/>
        <w:rPr>
          <w:lang w:val="nb-NO"/>
        </w:rPr>
      </w:pPr>
    </w:p>
    <w:p w14:paraId="07A183FF"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13.</w:t>
      </w:r>
      <w:r w:rsidRPr="00A942F6">
        <w:rPr>
          <w:b/>
          <w:lang w:val="nb-NO"/>
        </w:rPr>
        <w:tab/>
        <w:t>PRODUKSJONSNUMMER</w:t>
      </w:r>
    </w:p>
    <w:p w14:paraId="5A5191F8" w14:textId="77777777" w:rsidR="004A425F" w:rsidRPr="00A942F6" w:rsidRDefault="004A425F" w:rsidP="00641834">
      <w:pPr>
        <w:pStyle w:val="a4"/>
        <w:ind w:left="0"/>
        <w:rPr>
          <w:lang w:val="nb-NO"/>
        </w:rPr>
      </w:pPr>
    </w:p>
    <w:p w14:paraId="0659CA1D" w14:textId="77777777" w:rsidR="004A425F" w:rsidRPr="00A942F6" w:rsidRDefault="004A425F" w:rsidP="00641834">
      <w:pPr>
        <w:pStyle w:val="a4"/>
        <w:ind w:left="0"/>
        <w:rPr>
          <w:lang w:val="nb-NO"/>
        </w:rPr>
      </w:pPr>
      <w:r w:rsidRPr="00A942F6">
        <w:rPr>
          <w:lang w:val="nb-NO"/>
        </w:rPr>
        <w:t>Lot</w:t>
      </w:r>
    </w:p>
    <w:p w14:paraId="3DAB670B" w14:textId="77777777" w:rsidR="004A425F" w:rsidRPr="00A942F6" w:rsidRDefault="004A425F" w:rsidP="00641834">
      <w:pPr>
        <w:pStyle w:val="a4"/>
        <w:ind w:left="0"/>
        <w:rPr>
          <w:lang w:val="nb-NO"/>
        </w:rPr>
      </w:pPr>
    </w:p>
    <w:p w14:paraId="739CE6C9" w14:textId="77777777" w:rsidR="00CE3DBA" w:rsidRPr="00A942F6" w:rsidRDefault="00CE3DBA" w:rsidP="00641834">
      <w:pPr>
        <w:pStyle w:val="a4"/>
        <w:ind w:left="0"/>
        <w:rPr>
          <w:lang w:val="nb-NO"/>
        </w:rPr>
      </w:pPr>
    </w:p>
    <w:p w14:paraId="654EAC65"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14.</w:t>
      </w:r>
      <w:r w:rsidRPr="00A942F6">
        <w:rPr>
          <w:b/>
          <w:lang w:val="nb-NO"/>
        </w:rPr>
        <w:tab/>
        <w:t>GENERELL KLASSIFIKASJON FOR UTLEVERING</w:t>
      </w:r>
    </w:p>
    <w:p w14:paraId="163896CE" w14:textId="77777777" w:rsidR="004A425F" w:rsidRPr="00A942F6" w:rsidRDefault="004A425F" w:rsidP="00641834">
      <w:pPr>
        <w:pStyle w:val="a4"/>
        <w:ind w:left="0"/>
        <w:rPr>
          <w:lang w:val="nb-NO"/>
        </w:rPr>
      </w:pPr>
    </w:p>
    <w:p w14:paraId="13FE16D5" w14:textId="77777777" w:rsidR="004A425F" w:rsidRPr="00A942F6" w:rsidRDefault="004A425F" w:rsidP="00641834">
      <w:pPr>
        <w:pStyle w:val="a4"/>
        <w:ind w:left="0"/>
        <w:rPr>
          <w:lang w:val="nb-NO"/>
        </w:rPr>
      </w:pPr>
    </w:p>
    <w:p w14:paraId="15BEB37C"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15.</w:t>
      </w:r>
      <w:r w:rsidRPr="00A942F6">
        <w:rPr>
          <w:b/>
          <w:lang w:val="nb-NO"/>
        </w:rPr>
        <w:tab/>
        <w:t>BRUKSANVISNING</w:t>
      </w:r>
    </w:p>
    <w:p w14:paraId="4FF8682C" w14:textId="77777777" w:rsidR="004A425F" w:rsidRPr="00A942F6" w:rsidRDefault="004A425F" w:rsidP="00641834">
      <w:pPr>
        <w:pStyle w:val="a4"/>
        <w:ind w:left="0"/>
        <w:rPr>
          <w:lang w:val="nb-NO"/>
        </w:rPr>
      </w:pPr>
    </w:p>
    <w:p w14:paraId="07C14ECF" w14:textId="77777777" w:rsidR="004A425F" w:rsidRPr="00A942F6" w:rsidRDefault="004A425F" w:rsidP="00641834">
      <w:pPr>
        <w:pStyle w:val="a4"/>
        <w:ind w:left="0"/>
        <w:rPr>
          <w:lang w:val="nb-NO"/>
        </w:rPr>
      </w:pPr>
    </w:p>
    <w:p w14:paraId="1DF9011E"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16.</w:t>
      </w:r>
      <w:r w:rsidRPr="00A942F6">
        <w:rPr>
          <w:b/>
          <w:lang w:val="nb-NO"/>
        </w:rPr>
        <w:tab/>
        <w:t>INFORMASJON PÅ BLINDESKRIFT</w:t>
      </w:r>
    </w:p>
    <w:p w14:paraId="74AC8BED" w14:textId="77777777" w:rsidR="004A425F" w:rsidRPr="00A942F6" w:rsidRDefault="004A425F" w:rsidP="00641834">
      <w:pPr>
        <w:pStyle w:val="a4"/>
        <w:ind w:left="0"/>
        <w:rPr>
          <w:lang w:val="nb-NO"/>
        </w:rPr>
      </w:pPr>
    </w:p>
    <w:p w14:paraId="1A80ED80" w14:textId="33CAAAD5" w:rsidR="004A425F" w:rsidRPr="00A942F6" w:rsidRDefault="00120603" w:rsidP="00641834">
      <w:pPr>
        <w:pStyle w:val="a4"/>
        <w:ind w:left="0"/>
        <w:rPr>
          <w:lang w:val="nb-NO"/>
        </w:rPr>
      </w:pPr>
      <w:r w:rsidRPr="00A942F6">
        <w:rPr>
          <w:lang w:val="nb-NO"/>
        </w:rPr>
        <w:t>a</w:t>
      </w:r>
      <w:r w:rsidR="00923E68" w:rsidRPr="00A942F6">
        <w:rPr>
          <w:lang w:val="nb-NO"/>
        </w:rPr>
        <w:t>vtozma</w:t>
      </w:r>
      <w:r w:rsidR="004A425F" w:rsidRPr="00A942F6">
        <w:rPr>
          <w:lang w:val="nb-NO"/>
        </w:rPr>
        <w:t xml:space="preserve"> 162 mg</w:t>
      </w:r>
    </w:p>
    <w:p w14:paraId="5F23F847" w14:textId="77777777" w:rsidR="004A425F" w:rsidRPr="00A942F6" w:rsidRDefault="004A425F" w:rsidP="00641834">
      <w:pPr>
        <w:pStyle w:val="a4"/>
        <w:ind w:left="0"/>
        <w:rPr>
          <w:lang w:val="nb-NO"/>
        </w:rPr>
      </w:pPr>
    </w:p>
    <w:p w14:paraId="01F89F27" w14:textId="77777777" w:rsidR="00CE3DBA" w:rsidRPr="00A942F6" w:rsidRDefault="00CE3DBA" w:rsidP="00641834">
      <w:pPr>
        <w:pStyle w:val="a4"/>
        <w:ind w:left="0"/>
        <w:rPr>
          <w:lang w:val="nb-NO"/>
        </w:rPr>
      </w:pPr>
    </w:p>
    <w:p w14:paraId="39FE491A"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17.</w:t>
      </w:r>
      <w:r w:rsidRPr="00A942F6">
        <w:rPr>
          <w:b/>
          <w:lang w:val="nb-NO"/>
        </w:rPr>
        <w:tab/>
        <w:t>SIKKERHETSANORDNING (UNIK IDENTITET) – TODIMENSJONAL STREKKODE</w:t>
      </w:r>
    </w:p>
    <w:p w14:paraId="6B472B2F" w14:textId="77777777" w:rsidR="004A425F" w:rsidRPr="00A942F6" w:rsidRDefault="004A425F" w:rsidP="00641834">
      <w:pPr>
        <w:pStyle w:val="a4"/>
        <w:ind w:left="0"/>
        <w:rPr>
          <w:lang w:val="nb-NO"/>
        </w:rPr>
      </w:pPr>
    </w:p>
    <w:p w14:paraId="24509885" w14:textId="77777777" w:rsidR="004A425F" w:rsidRPr="00A942F6" w:rsidRDefault="004A425F" w:rsidP="00641834">
      <w:pPr>
        <w:pStyle w:val="a4"/>
        <w:ind w:left="0"/>
        <w:rPr>
          <w:lang w:val="nb-NO"/>
        </w:rPr>
      </w:pPr>
      <w:r w:rsidRPr="00CB45D2">
        <w:rPr>
          <w:color w:val="000000"/>
          <w:highlight w:val="lightGray"/>
          <w:shd w:val="pct35" w:color="auto" w:fill="auto"/>
          <w:lang w:val="nb-NO"/>
        </w:rPr>
        <w:t>Todimensjonal strekkode, inkludert unik identitet</w:t>
      </w:r>
    </w:p>
    <w:p w14:paraId="42F7F644" w14:textId="77777777" w:rsidR="004A425F" w:rsidRPr="00A942F6" w:rsidRDefault="004A425F" w:rsidP="00641834">
      <w:pPr>
        <w:pStyle w:val="a4"/>
        <w:ind w:left="0"/>
        <w:rPr>
          <w:lang w:val="nb-NO"/>
        </w:rPr>
      </w:pPr>
    </w:p>
    <w:p w14:paraId="3DAF6146" w14:textId="77777777" w:rsidR="00CE3DBA" w:rsidRPr="00A942F6" w:rsidRDefault="00CE3DBA" w:rsidP="00641834">
      <w:pPr>
        <w:pStyle w:val="a4"/>
        <w:ind w:left="0"/>
        <w:rPr>
          <w:lang w:val="nb-NO"/>
        </w:rPr>
      </w:pPr>
    </w:p>
    <w:p w14:paraId="0C339AB7"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18.</w:t>
      </w:r>
      <w:r w:rsidRPr="00A942F6">
        <w:rPr>
          <w:b/>
          <w:lang w:val="nb-NO"/>
        </w:rPr>
        <w:tab/>
        <w:t>SIKKERHETSANORDNING (UNIK IDENTITET) – I ET FORMAT LESBART FOR MENNESKER</w:t>
      </w:r>
    </w:p>
    <w:p w14:paraId="32C3219E" w14:textId="77777777" w:rsidR="004A425F" w:rsidRPr="00A942F6" w:rsidRDefault="004A425F" w:rsidP="00641834">
      <w:pPr>
        <w:pStyle w:val="a4"/>
        <w:ind w:left="0"/>
        <w:rPr>
          <w:lang w:val="nb-NO"/>
        </w:rPr>
      </w:pPr>
    </w:p>
    <w:p w14:paraId="283F75D8" w14:textId="77777777" w:rsidR="004A425F" w:rsidRPr="00A942F6" w:rsidRDefault="004A425F" w:rsidP="00641834">
      <w:pPr>
        <w:jc w:val="both"/>
        <w:rPr>
          <w:lang w:val="nb-NO"/>
        </w:rPr>
      </w:pPr>
    </w:p>
    <w:p w14:paraId="6A21B5E2" w14:textId="61A4FF84" w:rsidR="00FF3BAB"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FF3BAB" w:rsidRPr="00A942F6">
        <w:rPr>
          <w:b/>
          <w:lang w:val="nb-NO"/>
        </w:rPr>
        <w:lastRenderedPageBreak/>
        <w:t>MINSTEKRAV TIL OPPLYSNINGER SOM SKAL ANGIS PÅ SMÅ INDRE EMBALLASJER</w:t>
      </w:r>
    </w:p>
    <w:p w14:paraId="2A4B9CAF" w14:textId="77777777" w:rsidR="00CE3DBA" w:rsidRPr="00A942F6" w:rsidRDefault="00CE3DBA" w:rsidP="00641834">
      <w:pPr>
        <w:pBdr>
          <w:top w:val="single" w:sz="4" w:space="1" w:color="auto"/>
          <w:left w:val="single" w:sz="4" w:space="4" w:color="auto"/>
          <w:bottom w:val="single" w:sz="4" w:space="1" w:color="auto"/>
          <w:right w:val="single" w:sz="4" w:space="4" w:color="auto"/>
        </w:pBdr>
        <w:rPr>
          <w:b/>
          <w:lang w:val="nb-NO"/>
        </w:rPr>
      </w:pPr>
    </w:p>
    <w:p w14:paraId="31C6A989" w14:textId="77777777" w:rsidR="00FF3BAB" w:rsidRPr="00A942F6" w:rsidRDefault="00FF3BAB"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HETTEGLASS</w:t>
      </w:r>
    </w:p>
    <w:p w14:paraId="2D62BCF2" w14:textId="77777777" w:rsidR="004A425F" w:rsidRPr="00A942F6" w:rsidRDefault="004A425F" w:rsidP="00641834">
      <w:pPr>
        <w:pStyle w:val="a4"/>
        <w:ind w:left="0"/>
        <w:rPr>
          <w:lang w:val="nb-NO"/>
        </w:rPr>
      </w:pPr>
    </w:p>
    <w:p w14:paraId="3FF75107" w14:textId="77777777" w:rsidR="00CE3DBA" w:rsidRPr="00A942F6" w:rsidRDefault="00CE3DBA" w:rsidP="00641834">
      <w:pPr>
        <w:pStyle w:val="a4"/>
        <w:ind w:left="0"/>
        <w:rPr>
          <w:lang w:val="nb-NO"/>
        </w:rPr>
      </w:pPr>
    </w:p>
    <w:p w14:paraId="0DEC4D77"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 OG ADMINISTRASJONSVEI</w:t>
      </w:r>
    </w:p>
    <w:p w14:paraId="3D64927E" w14:textId="77777777" w:rsidR="004A425F" w:rsidRPr="00A942F6" w:rsidRDefault="004A425F" w:rsidP="00641834">
      <w:pPr>
        <w:pStyle w:val="a4"/>
        <w:ind w:left="0"/>
        <w:rPr>
          <w:lang w:val="nb-NO"/>
        </w:rPr>
      </w:pPr>
    </w:p>
    <w:p w14:paraId="5654B175" w14:textId="034814AE" w:rsidR="00875DFA" w:rsidRPr="00A942F6" w:rsidRDefault="00923E68" w:rsidP="00641834">
      <w:pPr>
        <w:pStyle w:val="a4"/>
        <w:ind w:left="0"/>
        <w:rPr>
          <w:lang w:val="nb-NO"/>
        </w:rPr>
      </w:pPr>
      <w:r w:rsidRPr="00A942F6">
        <w:rPr>
          <w:lang w:val="nb-NO"/>
        </w:rPr>
        <w:t>Avtozma</w:t>
      </w:r>
      <w:r w:rsidR="004A425F" w:rsidRPr="00A942F6">
        <w:rPr>
          <w:lang w:val="nb-NO"/>
        </w:rPr>
        <w:t xml:space="preserve"> 20 mg/ml sterilt </w:t>
      </w:r>
      <w:r w:rsidR="00875DFA" w:rsidRPr="00A942F6">
        <w:rPr>
          <w:lang w:val="nb-NO"/>
        </w:rPr>
        <w:t>konsentrat</w:t>
      </w:r>
    </w:p>
    <w:p w14:paraId="0A28AC80" w14:textId="77777777" w:rsidR="004A425F" w:rsidRPr="00A942F6" w:rsidRDefault="004A425F" w:rsidP="00641834">
      <w:pPr>
        <w:pStyle w:val="a4"/>
        <w:ind w:left="0"/>
        <w:rPr>
          <w:lang w:val="nb-NO"/>
        </w:rPr>
      </w:pPr>
      <w:r w:rsidRPr="00A942F6">
        <w:rPr>
          <w:lang w:val="nb-NO"/>
        </w:rPr>
        <w:t>tocilizumab</w:t>
      </w:r>
    </w:p>
    <w:p w14:paraId="556E598E" w14:textId="77777777" w:rsidR="004A425F" w:rsidRPr="00A942F6" w:rsidRDefault="004A425F" w:rsidP="00641834">
      <w:pPr>
        <w:pStyle w:val="a4"/>
        <w:ind w:left="0"/>
        <w:rPr>
          <w:lang w:val="nb-NO"/>
        </w:rPr>
      </w:pPr>
      <w:r w:rsidRPr="00A942F6">
        <w:rPr>
          <w:lang w:val="nb-NO"/>
        </w:rPr>
        <w:t>i.v.</w:t>
      </w:r>
    </w:p>
    <w:p w14:paraId="056E7920" w14:textId="77777777" w:rsidR="004A425F" w:rsidRPr="00A942F6" w:rsidRDefault="004A425F" w:rsidP="00641834">
      <w:pPr>
        <w:pStyle w:val="a4"/>
        <w:ind w:left="0"/>
        <w:rPr>
          <w:lang w:val="nb-NO"/>
        </w:rPr>
      </w:pPr>
    </w:p>
    <w:p w14:paraId="7A29809C" w14:textId="77777777" w:rsidR="00CE3DBA" w:rsidRPr="00A942F6" w:rsidRDefault="00CE3DBA" w:rsidP="00641834">
      <w:pPr>
        <w:pStyle w:val="a4"/>
        <w:ind w:left="0"/>
        <w:rPr>
          <w:lang w:val="nb-NO"/>
        </w:rPr>
      </w:pPr>
    </w:p>
    <w:p w14:paraId="2537E586"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ADMINISTRASJONSMÅTE</w:t>
      </w:r>
    </w:p>
    <w:p w14:paraId="6C6CFB1A" w14:textId="77777777" w:rsidR="004A425F" w:rsidRPr="00A942F6" w:rsidRDefault="004A425F" w:rsidP="00641834">
      <w:pPr>
        <w:pStyle w:val="a4"/>
        <w:ind w:left="0"/>
        <w:rPr>
          <w:lang w:val="nb-NO"/>
        </w:rPr>
      </w:pPr>
    </w:p>
    <w:p w14:paraId="2BEA01D8" w14:textId="7F4E1A58" w:rsidR="004A425F" w:rsidRPr="00A942F6" w:rsidRDefault="004A425F" w:rsidP="00641834">
      <w:pPr>
        <w:pStyle w:val="a4"/>
        <w:ind w:left="0"/>
        <w:rPr>
          <w:lang w:val="nb-NO"/>
        </w:rPr>
      </w:pPr>
      <w:r w:rsidRPr="00A942F6">
        <w:rPr>
          <w:lang w:val="nb-NO"/>
        </w:rPr>
        <w:t>i.v.</w:t>
      </w:r>
      <w:r w:rsidR="00602B8B" w:rsidRPr="00A942F6">
        <w:rPr>
          <w:lang w:val="nb-NO"/>
        </w:rPr>
        <w:t xml:space="preserve"> </w:t>
      </w:r>
      <w:r w:rsidR="00120603" w:rsidRPr="00A942F6">
        <w:rPr>
          <w:lang w:val="nb-NO"/>
        </w:rPr>
        <w:t>bruk</w:t>
      </w:r>
    </w:p>
    <w:p w14:paraId="4B557670" w14:textId="77777777" w:rsidR="004A425F" w:rsidRPr="00A942F6" w:rsidRDefault="004A425F" w:rsidP="00641834">
      <w:pPr>
        <w:pStyle w:val="a4"/>
        <w:ind w:left="0"/>
        <w:rPr>
          <w:lang w:val="nb-NO"/>
        </w:rPr>
      </w:pPr>
    </w:p>
    <w:p w14:paraId="28AD7EA8" w14:textId="77777777" w:rsidR="00CE3DBA" w:rsidRPr="00A942F6" w:rsidRDefault="00CE3DBA" w:rsidP="00641834">
      <w:pPr>
        <w:pStyle w:val="a4"/>
        <w:ind w:left="0"/>
        <w:rPr>
          <w:lang w:val="nb-NO"/>
        </w:rPr>
      </w:pPr>
    </w:p>
    <w:p w14:paraId="22E0AFF3"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UTLØPSDATO</w:t>
      </w:r>
    </w:p>
    <w:p w14:paraId="20CACA9B" w14:textId="77777777" w:rsidR="004A425F" w:rsidRPr="00A942F6" w:rsidRDefault="004A425F" w:rsidP="00641834">
      <w:pPr>
        <w:pStyle w:val="a4"/>
        <w:ind w:left="0"/>
        <w:rPr>
          <w:lang w:val="nb-NO"/>
        </w:rPr>
      </w:pPr>
    </w:p>
    <w:p w14:paraId="1ECB612C" w14:textId="77777777" w:rsidR="004A425F" w:rsidRPr="00A942F6" w:rsidRDefault="004A425F" w:rsidP="00641834">
      <w:pPr>
        <w:pStyle w:val="a4"/>
        <w:ind w:left="0"/>
        <w:rPr>
          <w:lang w:val="nb-NO"/>
        </w:rPr>
      </w:pPr>
      <w:r w:rsidRPr="00A942F6">
        <w:rPr>
          <w:lang w:val="nb-NO"/>
        </w:rPr>
        <w:t>EXP</w:t>
      </w:r>
    </w:p>
    <w:p w14:paraId="7B5B85AF" w14:textId="77777777" w:rsidR="004A425F" w:rsidRPr="00A942F6" w:rsidRDefault="004A425F" w:rsidP="00641834">
      <w:pPr>
        <w:pStyle w:val="a4"/>
        <w:ind w:left="0"/>
        <w:rPr>
          <w:lang w:val="nb-NO"/>
        </w:rPr>
      </w:pPr>
    </w:p>
    <w:p w14:paraId="01248D54" w14:textId="77777777" w:rsidR="00CE3DBA" w:rsidRPr="00A942F6" w:rsidRDefault="00CE3DBA" w:rsidP="00641834">
      <w:pPr>
        <w:pStyle w:val="a4"/>
        <w:ind w:left="0"/>
        <w:rPr>
          <w:lang w:val="nb-NO"/>
        </w:rPr>
      </w:pPr>
    </w:p>
    <w:p w14:paraId="724E81A4"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PRODUKSJONSNUMMER</w:t>
      </w:r>
    </w:p>
    <w:p w14:paraId="48D05E46" w14:textId="77777777" w:rsidR="004A425F" w:rsidRPr="00A942F6" w:rsidRDefault="004A425F" w:rsidP="00641834">
      <w:pPr>
        <w:pStyle w:val="a4"/>
        <w:ind w:left="0"/>
        <w:rPr>
          <w:lang w:val="nb-NO"/>
        </w:rPr>
      </w:pPr>
    </w:p>
    <w:p w14:paraId="7CBD85CF" w14:textId="77777777" w:rsidR="004A425F" w:rsidRPr="00A942F6" w:rsidRDefault="004A425F" w:rsidP="00641834">
      <w:pPr>
        <w:pStyle w:val="a4"/>
        <w:ind w:left="0"/>
        <w:rPr>
          <w:lang w:val="nb-NO"/>
        </w:rPr>
      </w:pPr>
      <w:r w:rsidRPr="00A942F6">
        <w:rPr>
          <w:lang w:val="nb-NO"/>
        </w:rPr>
        <w:t>Lot</w:t>
      </w:r>
    </w:p>
    <w:p w14:paraId="0DC34300" w14:textId="77777777" w:rsidR="004A425F" w:rsidRPr="00A942F6" w:rsidRDefault="004A425F" w:rsidP="00641834">
      <w:pPr>
        <w:pStyle w:val="a4"/>
        <w:ind w:left="0"/>
        <w:rPr>
          <w:lang w:val="nb-NO"/>
        </w:rPr>
      </w:pPr>
    </w:p>
    <w:p w14:paraId="16EE0097" w14:textId="77777777" w:rsidR="00CE3DBA" w:rsidRPr="00A942F6" w:rsidRDefault="00CE3DBA" w:rsidP="00641834">
      <w:pPr>
        <w:pStyle w:val="a4"/>
        <w:ind w:left="0"/>
        <w:rPr>
          <w:lang w:val="nb-NO"/>
        </w:rPr>
      </w:pPr>
    </w:p>
    <w:p w14:paraId="43994D10"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INNHOLD ANGITT ETTER VEKT, VOLUM ELLER ANTALL DOSER</w:t>
      </w:r>
    </w:p>
    <w:p w14:paraId="6B2E3F18" w14:textId="77777777" w:rsidR="004A425F" w:rsidRPr="00A942F6" w:rsidRDefault="004A425F" w:rsidP="00641834">
      <w:pPr>
        <w:pStyle w:val="a4"/>
        <w:ind w:left="0"/>
        <w:rPr>
          <w:lang w:val="nb-NO"/>
        </w:rPr>
      </w:pPr>
    </w:p>
    <w:p w14:paraId="68376537" w14:textId="77777777" w:rsidR="004A425F" w:rsidRPr="00A942F6" w:rsidRDefault="004A425F" w:rsidP="00641834">
      <w:pPr>
        <w:pStyle w:val="a4"/>
        <w:ind w:left="0"/>
        <w:rPr>
          <w:lang w:val="nb-NO"/>
        </w:rPr>
      </w:pPr>
      <w:r w:rsidRPr="00A942F6">
        <w:rPr>
          <w:lang w:val="nb-NO"/>
        </w:rPr>
        <w:t>80 mg/4 ml</w:t>
      </w:r>
    </w:p>
    <w:p w14:paraId="3032E598" w14:textId="77777777" w:rsidR="004A425F" w:rsidRPr="00A942F6" w:rsidRDefault="004A425F" w:rsidP="00641834">
      <w:pPr>
        <w:pStyle w:val="a4"/>
        <w:ind w:left="0"/>
        <w:rPr>
          <w:lang w:val="nb-NO"/>
        </w:rPr>
      </w:pPr>
    </w:p>
    <w:p w14:paraId="2B9EC04D" w14:textId="77777777" w:rsidR="00CE3DBA" w:rsidRPr="00A942F6" w:rsidRDefault="00CE3DBA" w:rsidP="00641834">
      <w:pPr>
        <w:pStyle w:val="a4"/>
        <w:ind w:left="0"/>
        <w:rPr>
          <w:lang w:val="nb-NO"/>
        </w:rPr>
      </w:pPr>
    </w:p>
    <w:p w14:paraId="044419C6"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6.</w:t>
      </w:r>
      <w:r w:rsidRPr="00A942F6">
        <w:rPr>
          <w:b/>
          <w:lang w:val="nb-NO"/>
        </w:rPr>
        <w:tab/>
        <w:t>ANNET</w:t>
      </w:r>
    </w:p>
    <w:p w14:paraId="439D8590" w14:textId="77777777" w:rsidR="004A425F" w:rsidRPr="00A942F6" w:rsidRDefault="004A425F" w:rsidP="00641834">
      <w:pPr>
        <w:pStyle w:val="a4"/>
        <w:ind w:left="0"/>
        <w:rPr>
          <w:lang w:val="nb-NO"/>
        </w:rPr>
      </w:pPr>
    </w:p>
    <w:p w14:paraId="0D19CDD7" w14:textId="77777777" w:rsidR="004A425F" w:rsidRPr="00A942F6" w:rsidRDefault="004A425F" w:rsidP="00641834">
      <w:pPr>
        <w:rPr>
          <w:lang w:val="nb-NO"/>
        </w:rPr>
      </w:pPr>
    </w:p>
    <w:p w14:paraId="702D8010" w14:textId="4DC14156" w:rsidR="00FF3BAB"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FF3BAB" w:rsidRPr="00A942F6">
        <w:rPr>
          <w:b/>
          <w:lang w:val="nb-NO"/>
        </w:rPr>
        <w:lastRenderedPageBreak/>
        <w:t>MINSTEKRAV TIL OPPLYSNINGER SOM SKAL ANGIS PÅ SMÅ INDRE EMBALLASJER</w:t>
      </w:r>
    </w:p>
    <w:p w14:paraId="1C96D71B" w14:textId="77777777" w:rsidR="00CE3DBA" w:rsidRPr="00A942F6" w:rsidRDefault="00CE3DBA" w:rsidP="00641834">
      <w:pPr>
        <w:pBdr>
          <w:top w:val="single" w:sz="4" w:space="1" w:color="auto"/>
          <w:left w:val="single" w:sz="4" w:space="4" w:color="auto"/>
          <w:bottom w:val="single" w:sz="4" w:space="1" w:color="auto"/>
          <w:right w:val="single" w:sz="4" w:space="4" w:color="auto"/>
        </w:pBdr>
        <w:rPr>
          <w:b/>
          <w:lang w:val="nb-NO"/>
        </w:rPr>
      </w:pPr>
    </w:p>
    <w:p w14:paraId="61C6F2DC" w14:textId="77777777" w:rsidR="00FF3BAB" w:rsidRPr="00A942F6" w:rsidRDefault="00FF3BAB"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HETTEGLASS</w:t>
      </w:r>
    </w:p>
    <w:p w14:paraId="285FC9C6" w14:textId="77777777" w:rsidR="004A425F" w:rsidRPr="00A942F6" w:rsidRDefault="004A425F" w:rsidP="00641834">
      <w:pPr>
        <w:pStyle w:val="a4"/>
        <w:ind w:left="0"/>
        <w:rPr>
          <w:lang w:val="nb-NO"/>
        </w:rPr>
      </w:pPr>
    </w:p>
    <w:p w14:paraId="7DCC8153" w14:textId="77777777" w:rsidR="00CE3DBA" w:rsidRPr="00A942F6" w:rsidRDefault="00CE3DBA" w:rsidP="00641834">
      <w:pPr>
        <w:pStyle w:val="a4"/>
        <w:ind w:left="0"/>
        <w:rPr>
          <w:lang w:val="nb-NO"/>
        </w:rPr>
      </w:pPr>
    </w:p>
    <w:p w14:paraId="298A4989"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 OG ADMINISTRASJONSVEI</w:t>
      </w:r>
    </w:p>
    <w:p w14:paraId="3933D454" w14:textId="77777777" w:rsidR="004A425F" w:rsidRPr="00A942F6" w:rsidRDefault="004A425F" w:rsidP="00641834">
      <w:pPr>
        <w:pStyle w:val="a4"/>
        <w:ind w:left="0"/>
        <w:rPr>
          <w:lang w:val="nb-NO"/>
        </w:rPr>
      </w:pPr>
    </w:p>
    <w:p w14:paraId="14655FE7" w14:textId="72559894" w:rsidR="00875DFA" w:rsidRPr="00A942F6" w:rsidRDefault="00923E68" w:rsidP="00641834">
      <w:pPr>
        <w:pStyle w:val="a4"/>
        <w:ind w:left="0"/>
        <w:rPr>
          <w:lang w:val="nb-NO"/>
        </w:rPr>
      </w:pPr>
      <w:r w:rsidRPr="00A942F6">
        <w:rPr>
          <w:lang w:val="nb-NO"/>
        </w:rPr>
        <w:t>Avtozma</w:t>
      </w:r>
      <w:r w:rsidR="004A425F" w:rsidRPr="00A942F6">
        <w:rPr>
          <w:lang w:val="nb-NO"/>
        </w:rPr>
        <w:t xml:space="preserve"> 20 mg/ml sterilt </w:t>
      </w:r>
      <w:r w:rsidR="00875DFA" w:rsidRPr="00A942F6">
        <w:rPr>
          <w:lang w:val="nb-NO"/>
        </w:rPr>
        <w:t>konsentrat</w:t>
      </w:r>
    </w:p>
    <w:p w14:paraId="101CDC0A" w14:textId="77777777" w:rsidR="004A425F" w:rsidRPr="00A942F6" w:rsidRDefault="004A425F" w:rsidP="00641834">
      <w:pPr>
        <w:pStyle w:val="a4"/>
        <w:ind w:left="0"/>
        <w:rPr>
          <w:lang w:val="nb-NO"/>
        </w:rPr>
      </w:pPr>
      <w:r w:rsidRPr="00A942F6">
        <w:rPr>
          <w:lang w:val="nb-NO"/>
        </w:rPr>
        <w:t>tocilizumab</w:t>
      </w:r>
    </w:p>
    <w:p w14:paraId="3E322B2C" w14:textId="77777777" w:rsidR="004A425F" w:rsidRPr="00A942F6" w:rsidRDefault="004A425F" w:rsidP="00641834">
      <w:pPr>
        <w:pStyle w:val="a4"/>
        <w:ind w:left="0"/>
        <w:rPr>
          <w:lang w:val="nb-NO"/>
        </w:rPr>
      </w:pPr>
      <w:r w:rsidRPr="00A942F6">
        <w:rPr>
          <w:lang w:val="nb-NO"/>
        </w:rPr>
        <w:t>i.v.</w:t>
      </w:r>
    </w:p>
    <w:p w14:paraId="25AF1206" w14:textId="77777777" w:rsidR="004A425F" w:rsidRPr="00A942F6" w:rsidRDefault="004A425F" w:rsidP="00641834">
      <w:pPr>
        <w:pStyle w:val="a4"/>
        <w:ind w:left="0"/>
        <w:rPr>
          <w:lang w:val="nb-NO"/>
        </w:rPr>
      </w:pPr>
    </w:p>
    <w:p w14:paraId="48533E41" w14:textId="77777777" w:rsidR="00CE3DBA" w:rsidRPr="00A942F6" w:rsidRDefault="00CE3DBA" w:rsidP="00641834">
      <w:pPr>
        <w:pStyle w:val="a4"/>
        <w:ind w:left="0"/>
        <w:rPr>
          <w:lang w:val="nb-NO"/>
        </w:rPr>
      </w:pPr>
    </w:p>
    <w:p w14:paraId="3C8827CB"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ADMINISTRASJONSMÅTE</w:t>
      </w:r>
    </w:p>
    <w:p w14:paraId="4E6B6AF7" w14:textId="77777777" w:rsidR="004A425F" w:rsidRPr="00A942F6" w:rsidRDefault="004A425F" w:rsidP="00641834">
      <w:pPr>
        <w:pStyle w:val="a4"/>
        <w:ind w:left="0"/>
        <w:rPr>
          <w:lang w:val="nb-NO"/>
        </w:rPr>
      </w:pPr>
    </w:p>
    <w:p w14:paraId="09F365DE" w14:textId="58CB6B36" w:rsidR="004A425F" w:rsidRPr="00A942F6" w:rsidRDefault="004A425F" w:rsidP="00641834">
      <w:pPr>
        <w:pStyle w:val="a4"/>
        <w:ind w:left="0"/>
        <w:rPr>
          <w:lang w:val="nb-NO"/>
        </w:rPr>
      </w:pPr>
      <w:r w:rsidRPr="00A942F6">
        <w:rPr>
          <w:lang w:val="nb-NO"/>
        </w:rPr>
        <w:t>i.v.</w:t>
      </w:r>
      <w:r w:rsidR="00614D1E" w:rsidRPr="00A942F6">
        <w:rPr>
          <w:lang w:val="nb-NO"/>
        </w:rPr>
        <w:t xml:space="preserve"> </w:t>
      </w:r>
      <w:r w:rsidR="00120603" w:rsidRPr="00A942F6">
        <w:rPr>
          <w:lang w:val="nb-NO"/>
        </w:rPr>
        <w:t>bruk</w:t>
      </w:r>
    </w:p>
    <w:p w14:paraId="5997AAD9" w14:textId="77777777" w:rsidR="004A425F" w:rsidRPr="00A942F6" w:rsidRDefault="004A425F" w:rsidP="00641834">
      <w:pPr>
        <w:pStyle w:val="a4"/>
        <w:ind w:left="0"/>
        <w:rPr>
          <w:lang w:val="nb-NO"/>
        </w:rPr>
      </w:pPr>
    </w:p>
    <w:p w14:paraId="2A821F53" w14:textId="77777777" w:rsidR="00CE3DBA" w:rsidRPr="00A942F6" w:rsidRDefault="00CE3DBA" w:rsidP="00641834">
      <w:pPr>
        <w:pStyle w:val="a4"/>
        <w:ind w:left="0"/>
        <w:rPr>
          <w:lang w:val="nb-NO"/>
        </w:rPr>
      </w:pPr>
    </w:p>
    <w:p w14:paraId="5CF87A7C"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UTLØPSDATO</w:t>
      </w:r>
    </w:p>
    <w:p w14:paraId="437FBDE4" w14:textId="77777777" w:rsidR="004A425F" w:rsidRPr="00A942F6" w:rsidRDefault="004A425F" w:rsidP="00641834">
      <w:pPr>
        <w:pStyle w:val="a4"/>
        <w:ind w:left="0"/>
        <w:rPr>
          <w:lang w:val="nb-NO"/>
        </w:rPr>
      </w:pPr>
    </w:p>
    <w:p w14:paraId="16A49B50" w14:textId="77777777" w:rsidR="004A425F" w:rsidRPr="00A942F6" w:rsidRDefault="004A425F" w:rsidP="00641834">
      <w:pPr>
        <w:pStyle w:val="a4"/>
        <w:ind w:left="0"/>
        <w:rPr>
          <w:lang w:val="nb-NO"/>
        </w:rPr>
      </w:pPr>
      <w:r w:rsidRPr="00A942F6">
        <w:rPr>
          <w:lang w:val="nb-NO"/>
        </w:rPr>
        <w:t>EXP</w:t>
      </w:r>
    </w:p>
    <w:p w14:paraId="43E70A7A" w14:textId="77777777" w:rsidR="004A425F" w:rsidRPr="00A942F6" w:rsidRDefault="004A425F" w:rsidP="00641834">
      <w:pPr>
        <w:pStyle w:val="a4"/>
        <w:ind w:left="0"/>
        <w:rPr>
          <w:lang w:val="nb-NO"/>
        </w:rPr>
      </w:pPr>
    </w:p>
    <w:p w14:paraId="1189CFED" w14:textId="77777777" w:rsidR="00CE3DBA" w:rsidRPr="00A942F6" w:rsidRDefault="00CE3DBA" w:rsidP="00641834">
      <w:pPr>
        <w:pStyle w:val="a4"/>
        <w:ind w:left="0"/>
        <w:rPr>
          <w:lang w:val="nb-NO"/>
        </w:rPr>
      </w:pPr>
    </w:p>
    <w:p w14:paraId="6EFA7642"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PRODUKSJONSNUMMER</w:t>
      </w:r>
    </w:p>
    <w:p w14:paraId="1997C6E7" w14:textId="77777777" w:rsidR="004A425F" w:rsidRPr="00A942F6" w:rsidRDefault="004A425F" w:rsidP="00641834">
      <w:pPr>
        <w:pStyle w:val="a4"/>
        <w:ind w:left="0"/>
        <w:rPr>
          <w:lang w:val="nb-NO"/>
        </w:rPr>
      </w:pPr>
    </w:p>
    <w:p w14:paraId="6EB64862" w14:textId="77777777" w:rsidR="004A425F" w:rsidRPr="00A942F6" w:rsidRDefault="004A425F" w:rsidP="00641834">
      <w:pPr>
        <w:pStyle w:val="a4"/>
        <w:ind w:left="0"/>
        <w:rPr>
          <w:lang w:val="nb-NO"/>
        </w:rPr>
      </w:pPr>
      <w:r w:rsidRPr="00A942F6">
        <w:rPr>
          <w:lang w:val="nb-NO"/>
        </w:rPr>
        <w:t>Lot</w:t>
      </w:r>
    </w:p>
    <w:p w14:paraId="6203C7D8" w14:textId="77777777" w:rsidR="004A425F" w:rsidRPr="00A942F6" w:rsidRDefault="004A425F" w:rsidP="00641834">
      <w:pPr>
        <w:pStyle w:val="a4"/>
        <w:ind w:left="0"/>
        <w:rPr>
          <w:lang w:val="nb-NO"/>
        </w:rPr>
      </w:pPr>
    </w:p>
    <w:p w14:paraId="46168734" w14:textId="77777777" w:rsidR="00CE3DBA" w:rsidRPr="00A942F6" w:rsidRDefault="00CE3DBA" w:rsidP="00641834">
      <w:pPr>
        <w:pStyle w:val="a4"/>
        <w:ind w:left="0"/>
        <w:rPr>
          <w:lang w:val="nb-NO"/>
        </w:rPr>
      </w:pPr>
    </w:p>
    <w:p w14:paraId="694DB8A5"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INNHOLD ANGITT ETTER VEKT, VOLUM ELLER ANTALL DOSER</w:t>
      </w:r>
    </w:p>
    <w:p w14:paraId="65B17B37" w14:textId="77777777" w:rsidR="004A425F" w:rsidRPr="00A942F6" w:rsidRDefault="004A425F" w:rsidP="00641834">
      <w:pPr>
        <w:pStyle w:val="a4"/>
        <w:ind w:left="0"/>
        <w:rPr>
          <w:lang w:val="nb-NO"/>
        </w:rPr>
      </w:pPr>
    </w:p>
    <w:p w14:paraId="64D0CEAF" w14:textId="77777777" w:rsidR="004A425F" w:rsidRPr="00A942F6" w:rsidRDefault="004A425F" w:rsidP="00641834">
      <w:pPr>
        <w:pStyle w:val="a4"/>
        <w:ind w:left="0"/>
        <w:rPr>
          <w:lang w:val="nb-NO"/>
        </w:rPr>
      </w:pPr>
      <w:r w:rsidRPr="00A942F6">
        <w:rPr>
          <w:lang w:val="nb-NO"/>
        </w:rPr>
        <w:t>200 mg/10 ml</w:t>
      </w:r>
    </w:p>
    <w:p w14:paraId="39960A62" w14:textId="77777777" w:rsidR="004A425F" w:rsidRPr="00A942F6" w:rsidRDefault="004A425F" w:rsidP="00641834">
      <w:pPr>
        <w:pStyle w:val="a4"/>
        <w:ind w:left="0"/>
        <w:rPr>
          <w:lang w:val="nb-NO"/>
        </w:rPr>
      </w:pPr>
    </w:p>
    <w:p w14:paraId="4C192047" w14:textId="77777777" w:rsidR="00CE3DBA" w:rsidRPr="00A942F6" w:rsidRDefault="00CE3DBA" w:rsidP="00641834">
      <w:pPr>
        <w:pStyle w:val="a4"/>
        <w:ind w:left="0"/>
        <w:rPr>
          <w:lang w:val="nb-NO"/>
        </w:rPr>
      </w:pPr>
    </w:p>
    <w:p w14:paraId="7AF812FD"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6.</w:t>
      </w:r>
      <w:r w:rsidRPr="00A942F6">
        <w:rPr>
          <w:b/>
          <w:lang w:val="nb-NO"/>
        </w:rPr>
        <w:tab/>
        <w:t>ANNET</w:t>
      </w:r>
    </w:p>
    <w:p w14:paraId="19FD73E4" w14:textId="77777777" w:rsidR="004A425F" w:rsidRPr="00A942F6" w:rsidRDefault="004A425F" w:rsidP="00641834">
      <w:pPr>
        <w:pStyle w:val="a4"/>
        <w:ind w:left="0"/>
        <w:rPr>
          <w:lang w:val="nb-NO"/>
        </w:rPr>
      </w:pPr>
    </w:p>
    <w:p w14:paraId="2B53AE99" w14:textId="77777777" w:rsidR="004A425F" w:rsidRPr="00A942F6" w:rsidRDefault="004A425F" w:rsidP="00641834">
      <w:pPr>
        <w:rPr>
          <w:lang w:val="nb-NO"/>
        </w:rPr>
      </w:pPr>
    </w:p>
    <w:p w14:paraId="60D9378E" w14:textId="022FBE4B" w:rsidR="00FF3BAB"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FF3BAB" w:rsidRPr="00A942F6">
        <w:rPr>
          <w:b/>
          <w:lang w:val="nb-NO"/>
        </w:rPr>
        <w:lastRenderedPageBreak/>
        <w:t>MINSTEKRAV TIL OPPLYSNINGER SOM SKAL ANGIS PÅ SMÅ INDRE EMBALLASJER</w:t>
      </w:r>
    </w:p>
    <w:p w14:paraId="08353F45" w14:textId="77777777" w:rsidR="00CE3DBA" w:rsidRPr="00A942F6" w:rsidRDefault="00CE3DBA" w:rsidP="00641834">
      <w:pPr>
        <w:pBdr>
          <w:top w:val="single" w:sz="4" w:space="1" w:color="auto"/>
          <w:left w:val="single" w:sz="4" w:space="4" w:color="auto"/>
          <w:bottom w:val="single" w:sz="4" w:space="1" w:color="auto"/>
          <w:right w:val="single" w:sz="4" w:space="4" w:color="auto"/>
        </w:pBdr>
        <w:rPr>
          <w:b/>
          <w:lang w:val="nb-NO"/>
        </w:rPr>
      </w:pPr>
    </w:p>
    <w:p w14:paraId="7DC8F721" w14:textId="77777777" w:rsidR="00FF3BAB" w:rsidRPr="00A942F6" w:rsidRDefault="00FF3BAB"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HETTEGLASS</w:t>
      </w:r>
    </w:p>
    <w:p w14:paraId="21BDAE9E" w14:textId="77777777" w:rsidR="004A425F" w:rsidRPr="00A942F6" w:rsidRDefault="004A425F" w:rsidP="00641834">
      <w:pPr>
        <w:pStyle w:val="a4"/>
        <w:ind w:left="0"/>
        <w:rPr>
          <w:lang w:val="nb-NO"/>
        </w:rPr>
      </w:pPr>
    </w:p>
    <w:p w14:paraId="04E0A02B" w14:textId="77777777" w:rsidR="00CE3DBA" w:rsidRPr="00A942F6" w:rsidRDefault="00CE3DBA" w:rsidP="00641834">
      <w:pPr>
        <w:pStyle w:val="a4"/>
        <w:ind w:left="0"/>
        <w:rPr>
          <w:lang w:val="nb-NO"/>
        </w:rPr>
      </w:pPr>
    </w:p>
    <w:p w14:paraId="386D5103"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 OG ADMINISTRASJONSVEI</w:t>
      </w:r>
    </w:p>
    <w:p w14:paraId="54C9AD31" w14:textId="77777777" w:rsidR="004A425F" w:rsidRPr="00A942F6" w:rsidRDefault="004A425F" w:rsidP="00641834">
      <w:pPr>
        <w:pStyle w:val="a4"/>
        <w:ind w:left="0"/>
        <w:rPr>
          <w:lang w:val="nb-NO"/>
        </w:rPr>
      </w:pPr>
    </w:p>
    <w:p w14:paraId="5806071E" w14:textId="0EDCE3CB" w:rsidR="00875DFA" w:rsidRPr="00A942F6" w:rsidRDefault="00923E68" w:rsidP="00641834">
      <w:pPr>
        <w:pStyle w:val="a4"/>
        <w:ind w:left="0"/>
        <w:rPr>
          <w:lang w:val="nb-NO"/>
        </w:rPr>
      </w:pPr>
      <w:r w:rsidRPr="00A942F6">
        <w:rPr>
          <w:lang w:val="nb-NO"/>
        </w:rPr>
        <w:t>Avtozma</w:t>
      </w:r>
      <w:r w:rsidR="004A425F" w:rsidRPr="00A942F6">
        <w:rPr>
          <w:lang w:val="nb-NO"/>
        </w:rPr>
        <w:t xml:space="preserve"> 20 mg/ml sterilt konsentrat </w:t>
      </w:r>
    </w:p>
    <w:p w14:paraId="7A4BED53" w14:textId="77777777" w:rsidR="004A425F" w:rsidRPr="00A942F6" w:rsidRDefault="004A425F" w:rsidP="00641834">
      <w:pPr>
        <w:pStyle w:val="a4"/>
        <w:ind w:left="0"/>
        <w:rPr>
          <w:lang w:val="nb-NO"/>
        </w:rPr>
      </w:pPr>
      <w:r w:rsidRPr="00A942F6">
        <w:rPr>
          <w:lang w:val="nb-NO"/>
        </w:rPr>
        <w:t>tocilizumab</w:t>
      </w:r>
    </w:p>
    <w:p w14:paraId="4DDC8AC7" w14:textId="77777777" w:rsidR="004A425F" w:rsidRPr="00A942F6" w:rsidRDefault="004A425F" w:rsidP="00641834">
      <w:pPr>
        <w:pStyle w:val="a4"/>
        <w:ind w:left="0"/>
        <w:rPr>
          <w:lang w:val="nb-NO"/>
        </w:rPr>
      </w:pPr>
      <w:r w:rsidRPr="00A942F6">
        <w:rPr>
          <w:lang w:val="nb-NO"/>
        </w:rPr>
        <w:t>i.v.</w:t>
      </w:r>
    </w:p>
    <w:p w14:paraId="20C4D76D" w14:textId="77777777" w:rsidR="004A425F" w:rsidRPr="00A942F6" w:rsidRDefault="004A425F" w:rsidP="00641834">
      <w:pPr>
        <w:pStyle w:val="a4"/>
        <w:ind w:left="0"/>
        <w:rPr>
          <w:lang w:val="nb-NO"/>
        </w:rPr>
      </w:pPr>
    </w:p>
    <w:p w14:paraId="3A892FFD" w14:textId="77777777" w:rsidR="00CE3DBA" w:rsidRPr="00A942F6" w:rsidRDefault="00CE3DBA" w:rsidP="00641834">
      <w:pPr>
        <w:pStyle w:val="a4"/>
        <w:ind w:left="0"/>
        <w:rPr>
          <w:lang w:val="nb-NO"/>
        </w:rPr>
      </w:pPr>
    </w:p>
    <w:p w14:paraId="3C02CA03"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ADMINISTRASJONSMÅTE</w:t>
      </w:r>
    </w:p>
    <w:p w14:paraId="520CAB68" w14:textId="77777777" w:rsidR="004A425F" w:rsidRPr="00A942F6" w:rsidRDefault="004A425F" w:rsidP="00641834">
      <w:pPr>
        <w:pStyle w:val="a4"/>
        <w:ind w:left="0"/>
        <w:rPr>
          <w:lang w:val="nb-NO"/>
        </w:rPr>
      </w:pPr>
    </w:p>
    <w:p w14:paraId="4B189836" w14:textId="01088413" w:rsidR="004A425F" w:rsidRPr="00A942F6" w:rsidRDefault="004A425F" w:rsidP="00641834">
      <w:pPr>
        <w:pStyle w:val="a4"/>
        <w:ind w:left="0"/>
        <w:rPr>
          <w:lang w:val="nb-NO"/>
        </w:rPr>
      </w:pPr>
      <w:r w:rsidRPr="00A942F6">
        <w:rPr>
          <w:lang w:val="nb-NO"/>
        </w:rPr>
        <w:t>i.v.</w:t>
      </w:r>
      <w:r w:rsidR="00F61C73">
        <w:rPr>
          <w:lang w:val="nb-NO"/>
        </w:rPr>
        <w:t>-bruk</w:t>
      </w:r>
    </w:p>
    <w:p w14:paraId="09942AE2" w14:textId="77777777" w:rsidR="004A425F" w:rsidRPr="00A942F6" w:rsidRDefault="004A425F" w:rsidP="00641834">
      <w:pPr>
        <w:pStyle w:val="a4"/>
        <w:ind w:left="0"/>
        <w:rPr>
          <w:lang w:val="nb-NO"/>
        </w:rPr>
      </w:pPr>
    </w:p>
    <w:p w14:paraId="143DDCB9" w14:textId="77777777" w:rsidR="00CE3DBA" w:rsidRPr="00A942F6" w:rsidRDefault="00CE3DBA" w:rsidP="00641834">
      <w:pPr>
        <w:pStyle w:val="a4"/>
        <w:ind w:left="0"/>
        <w:rPr>
          <w:lang w:val="nb-NO"/>
        </w:rPr>
      </w:pPr>
    </w:p>
    <w:p w14:paraId="244956A9"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UTLØPSDATO</w:t>
      </w:r>
    </w:p>
    <w:p w14:paraId="2C8E66BD" w14:textId="77777777" w:rsidR="004A425F" w:rsidRPr="00A942F6" w:rsidRDefault="004A425F" w:rsidP="00641834">
      <w:pPr>
        <w:pStyle w:val="a4"/>
        <w:ind w:left="0"/>
        <w:rPr>
          <w:lang w:val="nb-NO"/>
        </w:rPr>
      </w:pPr>
    </w:p>
    <w:p w14:paraId="6E08363A" w14:textId="77777777" w:rsidR="004A425F" w:rsidRPr="00A942F6" w:rsidRDefault="004A425F" w:rsidP="00641834">
      <w:pPr>
        <w:pStyle w:val="a4"/>
        <w:ind w:left="0"/>
        <w:rPr>
          <w:lang w:val="nb-NO"/>
        </w:rPr>
      </w:pPr>
      <w:r w:rsidRPr="00A942F6">
        <w:rPr>
          <w:lang w:val="nb-NO"/>
        </w:rPr>
        <w:t>EXP</w:t>
      </w:r>
    </w:p>
    <w:p w14:paraId="4C15398B" w14:textId="77777777" w:rsidR="004A425F" w:rsidRPr="00A942F6" w:rsidRDefault="004A425F" w:rsidP="00641834">
      <w:pPr>
        <w:pStyle w:val="a4"/>
        <w:ind w:left="0"/>
        <w:rPr>
          <w:lang w:val="nb-NO"/>
        </w:rPr>
      </w:pPr>
    </w:p>
    <w:p w14:paraId="654D67AE" w14:textId="77777777" w:rsidR="00CE3DBA" w:rsidRPr="00A942F6" w:rsidRDefault="00CE3DBA" w:rsidP="00641834">
      <w:pPr>
        <w:pStyle w:val="a4"/>
        <w:ind w:left="0"/>
        <w:rPr>
          <w:lang w:val="nb-NO"/>
        </w:rPr>
      </w:pPr>
    </w:p>
    <w:p w14:paraId="658F6469"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PRODUKSJONSNUMMER</w:t>
      </w:r>
    </w:p>
    <w:p w14:paraId="490C070E" w14:textId="77777777" w:rsidR="004A425F" w:rsidRPr="00A942F6" w:rsidRDefault="004A425F" w:rsidP="00641834">
      <w:pPr>
        <w:pStyle w:val="a4"/>
        <w:ind w:left="0"/>
        <w:rPr>
          <w:lang w:val="nb-NO"/>
        </w:rPr>
      </w:pPr>
    </w:p>
    <w:p w14:paraId="6D77880A" w14:textId="77777777" w:rsidR="004A425F" w:rsidRPr="00A942F6" w:rsidRDefault="004A425F" w:rsidP="00641834">
      <w:pPr>
        <w:pStyle w:val="a4"/>
        <w:ind w:left="0"/>
        <w:rPr>
          <w:lang w:val="nb-NO"/>
        </w:rPr>
      </w:pPr>
      <w:r w:rsidRPr="00A942F6">
        <w:rPr>
          <w:lang w:val="nb-NO"/>
        </w:rPr>
        <w:t>Lot</w:t>
      </w:r>
    </w:p>
    <w:p w14:paraId="1DAACD50" w14:textId="77777777" w:rsidR="004A425F" w:rsidRPr="00A942F6" w:rsidRDefault="004A425F" w:rsidP="00641834">
      <w:pPr>
        <w:pStyle w:val="a4"/>
        <w:ind w:left="0"/>
        <w:rPr>
          <w:lang w:val="nb-NO"/>
        </w:rPr>
      </w:pPr>
    </w:p>
    <w:p w14:paraId="3C933C45" w14:textId="77777777" w:rsidR="00CE3DBA" w:rsidRPr="00A942F6" w:rsidRDefault="00CE3DBA" w:rsidP="00641834">
      <w:pPr>
        <w:pStyle w:val="a4"/>
        <w:ind w:left="0"/>
        <w:rPr>
          <w:lang w:val="nb-NO"/>
        </w:rPr>
      </w:pPr>
    </w:p>
    <w:p w14:paraId="777C0478"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INNHOLD ANGITT ETTER VEKT, VOLUM ELLER ANTALL DOSER</w:t>
      </w:r>
    </w:p>
    <w:p w14:paraId="6BC474E4" w14:textId="77777777" w:rsidR="004A425F" w:rsidRPr="00A942F6" w:rsidRDefault="004A425F" w:rsidP="00641834">
      <w:pPr>
        <w:pStyle w:val="a4"/>
        <w:ind w:left="0"/>
        <w:rPr>
          <w:lang w:val="nb-NO"/>
        </w:rPr>
      </w:pPr>
    </w:p>
    <w:p w14:paraId="6AC52E0F" w14:textId="77777777" w:rsidR="004A425F" w:rsidRPr="00A942F6" w:rsidRDefault="004A425F" w:rsidP="00641834">
      <w:pPr>
        <w:pStyle w:val="a4"/>
        <w:ind w:left="0"/>
        <w:rPr>
          <w:lang w:val="nb-NO"/>
        </w:rPr>
      </w:pPr>
      <w:r w:rsidRPr="00A942F6">
        <w:rPr>
          <w:lang w:val="nb-NO"/>
        </w:rPr>
        <w:t>400 mg/20 ml</w:t>
      </w:r>
    </w:p>
    <w:p w14:paraId="2984F08F" w14:textId="77777777" w:rsidR="004A425F" w:rsidRPr="00A942F6" w:rsidRDefault="004A425F" w:rsidP="00641834">
      <w:pPr>
        <w:pStyle w:val="a4"/>
        <w:ind w:left="0"/>
        <w:rPr>
          <w:lang w:val="nb-NO"/>
        </w:rPr>
      </w:pPr>
    </w:p>
    <w:p w14:paraId="6C0D6235" w14:textId="77777777" w:rsidR="00CE3DBA" w:rsidRPr="00A942F6" w:rsidRDefault="00CE3DBA" w:rsidP="00641834">
      <w:pPr>
        <w:pStyle w:val="a4"/>
        <w:ind w:left="0"/>
        <w:rPr>
          <w:lang w:val="nb-NO"/>
        </w:rPr>
      </w:pPr>
    </w:p>
    <w:p w14:paraId="587D774D"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74"/>
        </w:tabs>
        <w:ind w:left="567" w:hanging="567"/>
        <w:rPr>
          <w:b/>
          <w:lang w:val="nb-NO"/>
        </w:rPr>
      </w:pPr>
      <w:r w:rsidRPr="00A942F6">
        <w:rPr>
          <w:b/>
          <w:lang w:val="nb-NO"/>
        </w:rPr>
        <w:t>6.</w:t>
      </w:r>
      <w:r w:rsidRPr="00A942F6">
        <w:rPr>
          <w:b/>
          <w:lang w:val="nb-NO"/>
        </w:rPr>
        <w:tab/>
        <w:t>ANNET</w:t>
      </w:r>
    </w:p>
    <w:p w14:paraId="60569C1D" w14:textId="77777777" w:rsidR="004A425F" w:rsidRPr="00A942F6" w:rsidRDefault="004A425F" w:rsidP="00641834">
      <w:pPr>
        <w:pStyle w:val="a4"/>
        <w:ind w:left="0"/>
        <w:rPr>
          <w:lang w:val="nb-NO"/>
        </w:rPr>
      </w:pPr>
    </w:p>
    <w:p w14:paraId="75AFE7E3" w14:textId="77777777" w:rsidR="004A425F" w:rsidRPr="00A942F6" w:rsidRDefault="004A425F" w:rsidP="00641834">
      <w:pPr>
        <w:rPr>
          <w:lang w:val="nb-NO"/>
        </w:rPr>
      </w:pPr>
    </w:p>
    <w:p w14:paraId="12A58E71" w14:textId="758DD4C1" w:rsidR="00FF3BAB"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FF3BAB" w:rsidRPr="00A942F6">
        <w:rPr>
          <w:b/>
          <w:lang w:val="nb-NO"/>
        </w:rPr>
        <w:lastRenderedPageBreak/>
        <w:t>MINSTEKRAV TIL OPPLYSNINGER SOM SKAL ANGIS PÅ SMÅ INDRE EMBALLASJER</w:t>
      </w:r>
    </w:p>
    <w:p w14:paraId="74563D2B" w14:textId="77777777" w:rsidR="00CE3DBA" w:rsidRPr="00A942F6" w:rsidRDefault="00CE3DBA" w:rsidP="00641834">
      <w:pPr>
        <w:pBdr>
          <w:top w:val="single" w:sz="4" w:space="1" w:color="auto"/>
          <w:left w:val="single" w:sz="4" w:space="4" w:color="auto"/>
          <w:bottom w:val="single" w:sz="4" w:space="1" w:color="auto"/>
          <w:right w:val="single" w:sz="4" w:space="4" w:color="auto"/>
        </w:pBdr>
        <w:rPr>
          <w:b/>
          <w:lang w:val="nb-NO"/>
        </w:rPr>
      </w:pPr>
    </w:p>
    <w:p w14:paraId="2B759CB3" w14:textId="77777777" w:rsidR="00FF3BAB" w:rsidRPr="00A942F6" w:rsidRDefault="00FF3BAB"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ETIKETT FERDIGFYLT SPRØYTE</w:t>
      </w:r>
    </w:p>
    <w:p w14:paraId="5A093F17" w14:textId="77777777" w:rsidR="004A425F" w:rsidRPr="00A942F6" w:rsidRDefault="004A425F" w:rsidP="00641834">
      <w:pPr>
        <w:pStyle w:val="a4"/>
        <w:ind w:left="0"/>
        <w:rPr>
          <w:lang w:val="nb-NO"/>
        </w:rPr>
      </w:pPr>
    </w:p>
    <w:p w14:paraId="2FC63ACF" w14:textId="77777777" w:rsidR="00CE3DBA" w:rsidRPr="00A942F6" w:rsidRDefault="00CE3DBA" w:rsidP="00641834">
      <w:pPr>
        <w:pStyle w:val="a4"/>
        <w:ind w:left="0"/>
        <w:rPr>
          <w:lang w:val="nb-NO"/>
        </w:rPr>
      </w:pPr>
    </w:p>
    <w:p w14:paraId="62CAEECA"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 OG ADMINISTRASJONSVEI</w:t>
      </w:r>
    </w:p>
    <w:p w14:paraId="1E37A230" w14:textId="77777777" w:rsidR="004A425F" w:rsidRPr="00A942F6" w:rsidRDefault="004A425F" w:rsidP="00641834">
      <w:pPr>
        <w:pStyle w:val="a4"/>
        <w:ind w:left="0"/>
        <w:rPr>
          <w:lang w:val="nb-NO"/>
        </w:rPr>
      </w:pPr>
    </w:p>
    <w:p w14:paraId="5755C701" w14:textId="4B1B88CF" w:rsidR="00875DFA" w:rsidRPr="00A942F6" w:rsidRDefault="00923E68" w:rsidP="00641834">
      <w:pPr>
        <w:pStyle w:val="a4"/>
        <w:ind w:left="0"/>
        <w:rPr>
          <w:lang w:val="nb-NO"/>
        </w:rPr>
      </w:pPr>
      <w:r w:rsidRPr="00A942F6">
        <w:rPr>
          <w:lang w:val="nb-NO"/>
        </w:rPr>
        <w:t>Avtozma</w:t>
      </w:r>
      <w:r w:rsidR="004A425F" w:rsidRPr="00A942F6">
        <w:rPr>
          <w:lang w:val="nb-NO"/>
        </w:rPr>
        <w:t xml:space="preserve"> 162 mg </w:t>
      </w:r>
      <w:r w:rsidR="00875DFA" w:rsidRPr="00A942F6">
        <w:rPr>
          <w:lang w:val="nb-NO"/>
        </w:rPr>
        <w:t>injeksjon</w:t>
      </w:r>
    </w:p>
    <w:p w14:paraId="10C05AB7" w14:textId="77777777" w:rsidR="004A425F" w:rsidRPr="00A942F6" w:rsidRDefault="004A425F" w:rsidP="00641834">
      <w:pPr>
        <w:pStyle w:val="a4"/>
        <w:ind w:left="0"/>
        <w:rPr>
          <w:lang w:val="nb-NO"/>
        </w:rPr>
      </w:pPr>
      <w:r w:rsidRPr="00A942F6">
        <w:rPr>
          <w:lang w:val="nb-NO"/>
        </w:rPr>
        <w:t>tocilizumab</w:t>
      </w:r>
    </w:p>
    <w:p w14:paraId="3E64E0CB" w14:textId="77777777" w:rsidR="004A425F" w:rsidRPr="00A942F6" w:rsidRDefault="004A425F" w:rsidP="00641834">
      <w:pPr>
        <w:pStyle w:val="a4"/>
        <w:ind w:left="0"/>
        <w:rPr>
          <w:lang w:val="nb-NO"/>
        </w:rPr>
      </w:pPr>
      <w:r w:rsidRPr="00A942F6">
        <w:rPr>
          <w:lang w:val="nb-NO"/>
        </w:rPr>
        <w:t>s.c.</w:t>
      </w:r>
    </w:p>
    <w:p w14:paraId="3F109C12" w14:textId="77777777" w:rsidR="004A425F" w:rsidRPr="00A942F6" w:rsidRDefault="004A425F" w:rsidP="00641834">
      <w:pPr>
        <w:pStyle w:val="a4"/>
        <w:ind w:left="0"/>
        <w:rPr>
          <w:lang w:val="nb-NO"/>
        </w:rPr>
      </w:pPr>
    </w:p>
    <w:p w14:paraId="7B402D96" w14:textId="77777777" w:rsidR="00CE3DBA" w:rsidRPr="00A942F6" w:rsidRDefault="00CE3DBA" w:rsidP="00641834">
      <w:pPr>
        <w:pStyle w:val="a4"/>
        <w:ind w:left="0"/>
        <w:rPr>
          <w:lang w:val="nb-NO"/>
        </w:rPr>
      </w:pPr>
    </w:p>
    <w:p w14:paraId="6821C588"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ADMINISTRASJONSMÅTE</w:t>
      </w:r>
    </w:p>
    <w:p w14:paraId="72A3DDED" w14:textId="77777777" w:rsidR="004A425F" w:rsidRPr="00A942F6" w:rsidRDefault="004A425F" w:rsidP="00641834">
      <w:pPr>
        <w:pStyle w:val="a4"/>
        <w:ind w:left="0"/>
        <w:rPr>
          <w:lang w:val="nb-NO"/>
        </w:rPr>
      </w:pPr>
    </w:p>
    <w:p w14:paraId="1385C00A" w14:textId="77777777" w:rsidR="004A425F" w:rsidRPr="00A942F6" w:rsidRDefault="004A425F" w:rsidP="00641834">
      <w:pPr>
        <w:pStyle w:val="a4"/>
        <w:ind w:left="0"/>
        <w:rPr>
          <w:lang w:val="nb-NO"/>
        </w:rPr>
      </w:pPr>
    </w:p>
    <w:p w14:paraId="0D250BB0"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UTLØPSDATO</w:t>
      </w:r>
    </w:p>
    <w:p w14:paraId="613E206C" w14:textId="77777777" w:rsidR="004A425F" w:rsidRPr="00A942F6" w:rsidRDefault="004A425F" w:rsidP="00641834">
      <w:pPr>
        <w:pStyle w:val="a4"/>
        <w:ind w:left="0"/>
        <w:rPr>
          <w:lang w:val="nb-NO"/>
        </w:rPr>
      </w:pPr>
    </w:p>
    <w:p w14:paraId="276EC5FF" w14:textId="77777777" w:rsidR="004A425F" w:rsidRPr="00A942F6" w:rsidRDefault="004A425F" w:rsidP="00641834">
      <w:pPr>
        <w:pStyle w:val="a4"/>
        <w:ind w:left="0"/>
        <w:rPr>
          <w:lang w:val="nb-NO"/>
        </w:rPr>
      </w:pPr>
      <w:r w:rsidRPr="00A942F6">
        <w:rPr>
          <w:lang w:val="nb-NO"/>
        </w:rPr>
        <w:t>EXP</w:t>
      </w:r>
    </w:p>
    <w:p w14:paraId="5FAE9DA7" w14:textId="77777777" w:rsidR="004A425F" w:rsidRPr="00A942F6" w:rsidRDefault="004A425F" w:rsidP="00641834">
      <w:pPr>
        <w:pStyle w:val="a4"/>
        <w:ind w:left="0"/>
        <w:rPr>
          <w:lang w:val="nb-NO"/>
        </w:rPr>
      </w:pPr>
    </w:p>
    <w:p w14:paraId="48E2FD96" w14:textId="77777777" w:rsidR="00CE3DBA" w:rsidRPr="00A942F6" w:rsidRDefault="00CE3DBA" w:rsidP="00641834">
      <w:pPr>
        <w:pStyle w:val="a4"/>
        <w:ind w:left="0"/>
        <w:rPr>
          <w:lang w:val="nb-NO"/>
        </w:rPr>
      </w:pPr>
    </w:p>
    <w:p w14:paraId="47274F3D"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PRODUKSJONSNUMMER</w:t>
      </w:r>
    </w:p>
    <w:p w14:paraId="4A17B8A4" w14:textId="77777777" w:rsidR="004A425F" w:rsidRPr="00A942F6" w:rsidRDefault="004A425F" w:rsidP="00641834">
      <w:pPr>
        <w:pStyle w:val="a4"/>
        <w:ind w:left="0"/>
        <w:rPr>
          <w:lang w:val="nb-NO"/>
        </w:rPr>
      </w:pPr>
    </w:p>
    <w:p w14:paraId="0B13517C" w14:textId="77777777" w:rsidR="004A425F" w:rsidRPr="00A942F6" w:rsidRDefault="004A425F" w:rsidP="00641834">
      <w:pPr>
        <w:pStyle w:val="a4"/>
        <w:ind w:left="0"/>
        <w:rPr>
          <w:lang w:val="nb-NO"/>
        </w:rPr>
      </w:pPr>
      <w:r w:rsidRPr="00A942F6">
        <w:rPr>
          <w:lang w:val="nb-NO"/>
        </w:rPr>
        <w:t>Lot</w:t>
      </w:r>
    </w:p>
    <w:p w14:paraId="7F29B6B8" w14:textId="77777777" w:rsidR="004A425F" w:rsidRPr="00A942F6" w:rsidRDefault="004A425F" w:rsidP="00641834">
      <w:pPr>
        <w:pStyle w:val="a4"/>
        <w:ind w:left="0"/>
        <w:rPr>
          <w:lang w:val="nb-NO"/>
        </w:rPr>
      </w:pPr>
    </w:p>
    <w:p w14:paraId="7E53A547" w14:textId="77777777" w:rsidR="00CE3DBA" w:rsidRPr="00A942F6" w:rsidRDefault="00CE3DBA" w:rsidP="00641834">
      <w:pPr>
        <w:pStyle w:val="a4"/>
        <w:ind w:left="0"/>
        <w:rPr>
          <w:lang w:val="nb-NO"/>
        </w:rPr>
      </w:pPr>
    </w:p>
    <w:p w14:paraId="69F89F7C"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INNHOLD ANGITT ETTER VEKT, VOLUM ELLER ANTALL DOSER</w:t>
      </w:r>
    </w:p>
    <w:p w14:paraId="020B3A48" w14:textId="77777777" w:rsidR="004A425F" w:rsidRPr="00A942F6" w:rsidRDefault="004A425F" w:rsidP="00641834">
      <w:pPr>
        <w:pStyle w:val="a4"/>
        <w:ind w:left="0"/>
        <w:rPr>
          <w:lang w:val="nb-NO"/>
        </w:rPr>
      </w:pPr>
    </w:p>
    <w:p w14:paraId="03C794A8" w14:textId="77777777" w:rsidR="004A425F" w:rsidRPr="00A942F6" w:rsidRDefault="004A425F" w:rsidP="00641834">
      <w:pPr>
        <w:pStyle w:val="a4"/>
        <w:ind w:left="0"/>
        <w:rPr>
          <w:lang w:val="nb-NO"/>
        </w:rPr>
      </w:pPr>
      <w:r w:rsidRPr="00A942F6">
        <w:rPr>
          <w:lang w:val="nb-NO"/>
        </w:rPr>
        <w:t>162 mg/0,9 ml</w:t>
      </w:r>
    </w:p>
    <w:p w14:paraId="1A9EA2DD" w14:textId="77777777" w:rsidR="004A425F" w:rsidRPr="00A942F6" w:rsidRDefault="004A425F" w:rsidP="00641834">
      <w:pPr>
        <w:pStyle w:val="a4"/>
        <w:ind w:left="0"/>
        <w:rPr>
          <w:lang w:val="nb-NO"/>
        </w:rPr>
      </w:pPr>
    </w:p>
    <w:p w14:paraId="52DABABD" w14:textId="77777777" w:rsidR="00CE3DBA" w:rsidRPr="00A942F6" w:rsidRDefault="00CE3DBA" w:rsidP="00641834">
      <w:pPr>
        <w:pStyle w:val="a4"/>
        <w:ind w:left="0"/>
        <w:rPr>
          <w:lang w:val="nb-NO"/>
        </w:rPr>
      </w:pPr>
    </w:p>
    <w:p w14:paraId="2C3AB3AC"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6.</w:t>
      </w:r>
      <w:r w:rsidRPr="00A942F6">
        <w:rPr>
          <w:b/>
          <w:lang w:val="nb-NO"/>
        </w:rPr>
        <w:tab/>
        <w:t>ANNET</w:t>
      </w:r>
    </w:p>
    <w:p w14:paraId="630BA8E5" w14:textId="77777777" w:rsidR="004A425F" w:rsidRPr="00A942F6" w:rsidRDefault="004A425F" w:rsidP="00641834">
      <w:pPr>
        <w:pStyle w:val="a4"/>
        <w:ind w:left="0"/>
        <w:rPr>
          <w:lang w:val="nb-NO"/>
        </w:rPr>
      </w:pPr>
    </w:p>
    <w:p w14:paraId="515B4A1C" w14:textId="77777777" w:rsidR="004A425F" w:rsidRPr="00A942F6" w:rsidRDefault="004A425F" w:rsidP="00641834">
      <w:pPr>
        <w:rPr>
          <w:lang w:val="nb-NO"/>
        </w:rPr>
      </w:pPr>
    </w:p>
    <w:p w14:paraId="72CBEC7A" w14:textId="188B3DD6" w:rsidR="00FF3BAB" w:rsidRPr="00A942F6" w:rsidRDefault="00C77BE2" w:rsidP="0036729A">
      <w:pPr>
        <w:pStyle w:val="a4"/>
        <w:pBdr>
          <w:top w:val="single" w:sz="4" w:space="1" w:color="auto"/>
          <w:left w:val="single" w:sz="4" w:space="4" w:color="auto"/>
          <w:bottom w:val="single" w:sz="4" w:space="1" w:color="auto"/>
          <w:right w:val="single" w:sz="4" w:space="4" w:color="auto"/>
        </w:pBdr>
        <w:ind w:left="0"/>
        <w:rPr>
          <w:b/>
          <w:lang w:val="nb-NO"/>
        </w:rPr>
      </w:pPr>
      <w:r w:rsidRPr="00A942F6">
        <w:rPr>
          <w:lang w:val="nb-NO"/>
        </w:rPr>
        <w:br w:type="page"/>
      </w:r>
      <w:r w:rsidR="00FF3BAB" w:rsidRPr="00A942F6">
        <w:rPr>
          <w:b/>
          <w:lang w:val="nb-NO"/>
        </w:rPr>
        <w:lastRenderedPageBreak/>
        <w:t>MINSTEKRAV TIL OPPLYSNINGER SOM SKAL ANGIS PÅ SMÅ INDRE EMBALLASJER</w:t>
      </w:r>
    </w:p>
    <w:p w14:paraId="143BF936" w14:textId="77777777" w:rsidR="004461E7" w:rsidRPr="00A942F6" w:rsidRDefault="004461E7" w:rsidP="00641834">
      <w:pPr>
        <w:pBdr>
          <w:top w:val="single" w:sz="4" w:space="1" w:color="auto"/>
          <w:left w:val="single" w:sz="4" w:space="4" w:color="auto"/>
          <w:bottom w:val="single" w:sz="4" w:space="1" w:color="auto"/>
          <w:right w:val="single" w:sz="4" w:space="4" w:color="auto"/>
        </w:pBdr>
        <w:rPr>
          <w:b/>
          <w:lang w:val="nb-NO"/>
        </w:rPr>
      </w:pPr>
    </w:p>
    <w:p w14:paraId="5BD44DE1" w14:textId="77777777" w:rsidR="00FF3BAB" w:rsidRPr="00A942F6" w:rsidRDefault="00FF3BAB" w:rsidP="00641834">
      <w:pPr>
        <w:pBdr>
          <w:top w:val="single" w:sz="4" w:space="1" w:color="auto"/>
          <w:left w:val="single" w:sz="4" w:space="4" w:color="auto"/>
          <w:bottom w:val="single" w:sz="4" w:space="1" w:color="auto"/>
          <w:right w:val="single" w:sz="4" w:space="4" w:color="auto"/>
        </w:pBdr>
        <w:rPr>
          <w:b/>
          <w:lang w:val="nb-NO"/>
        </w:rPr>
      </w:pPr>
      <w:r w:rsidRPr="00A942F6">
        <w:rPr>
          <w:b/>
          <w:lang w:val="nb-NO"/>
        </w:rPr>
        <w:t>ETIKETT FERDIGFYLT PENN</w:t>
      </w:r>
    </w:p>
    <w:p w14:paraId="7ABC9297" w14:textId="77777777" w:rsidR="004A425F" w:rsidRPr="00A942F6" w:rsidRDefault="004A425F" w:rsidP="00641834">
      <w:pPr>
        <w:pStyle w:val="a4"/>
        <w:ind w:left="0"/>
        <w:rPr>
          <w:lang w:val="nb-NO"/>
        </w:rPr>
      </w:pPr>
    </w:p>
    <w:p w14:paraId="2F50B39A" w14:textId="77777777" w:rsidR="00CE3DBA" w:rsidRPr="00A942F6" w:rsidRDefault="00CE3DBA" w:rsidP="00641834">
      <w:pPr>
        <w:pStyle w:val="a4"/>
        <w:ind w:left="0"/>
        <w:rPr>
          <w:lang w:val="nb-NO"/>
        </w:rPr>
      </w:pPr>
    </w:p>
    <w:p w14:paraId="4606E174"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1.</w:t>
      </w:r>
      <w:r w:rsidRPr="00A942F6">
        <w:rPr>
          <w:b/>
          <w:lang w:val="nb-NO"/>
        </w:rPr>
        <w:tab/>
        <w:t>LEGEMIDLETS NAVN OG ADMINISTRASJONSVEI</w:t>
      </w:r>
    </w:p>
    <w:p w14:paraId="1103F610" w14:textId="77777777" w:rsidR="004A425F" w:rsidRPr="00A942F6" w:rsidRDefault="004A425F" w:rsidP="00641834">
      <w:pPr>
        <w:pStyle w:val="a4"/>
        <w:ind w:left="0"/>
        <w:rPr>
          <w:lang w:val="nb-NO"/>
        </w:rPr>
      </w:pPr>
    </w:p>
    <w:p w14:paraId="60036BE6" w14:textId="7A5C5186" w:rsidR="00875DFA" w:rsidRPr="00A942F6" w:rsidRDefault="00923E68" w:rsidP="00641834">
      <w:pPr>
        <w:pStyle w:val="a4"/>
        <w:ind w:left="0"/>
        <w:rPr>
          <w:lang w:val="nb-NO"/>
        </w:rPr>
      </w:pPr>
      <w:r w:rsidRPr="00A942F6">
        <w:rPr>
          <w:lang w:val="nb-NO"/>
        </w:rPr>
        <w:t>Avtozma</w:t>
      </w:r>
      <w:r w:rsidR="004A425F" w:rsidRPr="00A942F6">
        <w:rPr>
          <w:lang w:val="nb-NO"/>
        </w:rPr>
        <w:t xml:space="preserve"> 162 mg injeksjon</w:t>
      </w:r>
    </w:p>
    <w:p w14:paraId="7E4F3735" w14:textId="77777777" w:rsidR="004A425F" w:rsidRPr="00A942F6" w:rsidRDefault="004A425F" w:rsidP="00641834">
      <w:pPr>
        <w:pStyle w:val="a4"/>
        <w:ind w:left="0"/>
        <w:rPr>
          <w:lang w:val="nb-NO"/>
        </w:rPr>
      </w:pPr>
      <w:r w:rsidRPr="00A942F6">
        <w:rPr>
          <w:lang w:val="nb-NO"/>
        </w:rPr>
        <w:t>tocilizumab</w:t>
      </w:r>
    </w:p>
    <w:p w14:paraId="4005F898" w14:textId="77777777" w:rsidR="004A425F" w:rsidRPr="00A942F6" w:rsidRDefault="004A425F" w:rsidP="00641834">
      <w:pPr>
        <w:pStyle w:val="a4"/>
        <w:ind w:left="0"/>
        <w:rPr>
          <w:lang w:val="nb-NO"/>
        </w:rPr>
      </w:pPr>
      <w:r w:rsidRPr="00A942F6">
        <w:rPr>
          <w:lang w:val="nb-NO"/>
        </w:rPr>
        <w:t>s.c.</w:t>
      </w:r>
    </w:p>
    <w:p w14:paraId="401EC14D" w14:textId="77777777" w:rsidR="004A425F" w:rsidRPr="00A942F6" w:rsidRDefault="004A425F" w:rsidP="00641834">
      <w:pPr>
        <w:pStyle w:val="a4"/>
        <w:ind w:left="0"/>
        <w:rPr>
          <w:lang w:val="nb-NO"/>
        </w:rPr>
      </w:pPr>
    </w:p>
    <w:p w14:paraId="76EA77E4" w14:textId="77777777" w:rsidR="00CE3DBA" w:rsidRPr="00A942F6" w:rsidRDefault="00CE3DBA" w:rsidP="00641834">
      <w:pPr>
        <w:pStyle w:val="a4"/>
        <w:ind w:left="0"/>
        <w:rPr>
          <w:lang w:val="nb-NO"/>
        </w:rPr>
      </w:pPr>
    </w:p>
    <w:p w14:paraId="1C066CA0"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2.</w:t>
      </w:r>
      <w:r w:rsidRPr="00A942F6">
        <w:rPr>
          <w:b/>
          <w:lang w:val="nb-NO"/>
        </w:rPr>
        <w:tab/>
        <w:t>ADMINISTRASJONSMÅTE</w:t>
      </w:r>
    </w:p>
    <w:p w14:paraId="3D820746" w14:textId="77777777" w:rsidR="004A425F" w:rsidRPr="00A942F6" w:rsidRDefault="004A425F" w:rsidP="00641834">
      <w:pPr>
        <w:pStyle w:val="a4"/>
        <w:ind w:left="0"/>
        <w:rPr>
          <w:lang w:val="nb-NO"/>
        </w:rPr>
      </w:pPr>
    </w:p>
    <w:p w14:paraId="405DD768" w14:textId="77777777" w:rsidR="004A425F" w:rsidRPr="00A942F6" w:rsidRDefault="004A425F" w:rsidP="00641834">
      <w:pPr>
        <w:pStyle w:val="a4"/>
        <w:ind w:left="0"/>
        <w:rPr>
          <w:lang w:val="nb-NO"/>
        </w:rPr>
      </w:pPr>
    </w:p>
    <w:p w14:paraId="6B1D757D"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3.</w:t>
      </w:r>
      <w:r w:rsidRPr="00A942F6">
        <w:rPr>
          <w:b/>
          <w:lang w:val="nb-NO"/>
        </w:rPr>
        <w:tab/>
        <w:t>UTLØPSDATO</w:t>
      </w:r>
    </w:p>
    <w:p w14:paraId="64312BE7" w14:textId="77777777" w:rsidR="004A425F" w:rsidRPr="00A942F6" w:rsidRDefault="004A425F" w:rsidP="00641834">
      <w:pPr>
        <w:pStyle w:val="a4"/>
        <w:ind w:left="0"/>
        <w:rPr>
          <w:lang w:val="nb-NO"/>
        </w:rPr>
      </w:pPr>
    </w:p>
    <w:p w14:paraId="4D6E218C" w14:textId="77777777" w:rsidR="004A425F" w:rsidRPr="00A942F6" w:rsidRDefault="004A425F" w:rsidP="00641834">
      <w:pPr>
        <w:pStyle w:val="a4"/>
        <w:ind w:left="0"/>
        <w:rPr>
          <w:lang w:val="nb-NO"/>
        </w:rPr>
      </w:pPr>
      <w:r w:rsidRPr="00A942F6">
        <w:rPr>
          <w:lang w:val="nb-NO"/>
        </w:rPr>
        <w:t>EXP</w:t>
      </w:r>
    </w:p>
    <w:p w14:paraId="1509CF87" w14:textId="77777777" w:rsidR="004A425F" w:rsidRPr="00A942F6" w:rsidRDefault="004A425F" w:rsidP="00641834">
      <w:pPr>
        <w:pStyle w:val="a4"/>
        <w:ind w:left="0"/>
        <w:rPr>
          <w:lang w:val="nb-NO"/>
        </w:rPr>
      </w:pPr>
    </w:p>
    <w:p w14:paraId="346B3573" w14:textId="77777777" w:rsidR="00CE3DBA" w:rsidRPr="00A942F6" w:rsidRDefault="00CE3DBA" w:rsidP="00641834">
      <w:pPr>
        <w:pStyle w:val="a4"/>
        <w:ind w:left="0"/>
        <w:rPr>
          <w:lang w:val="nb-NO"/>
        </w:rPr>
      </w:pPr>
    </w:p>
    <w:p w14:paraId="0FEE5A97"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4.</w:t>
      </w:r>
      <w:r w:rsidRPr="00A942F6">
        <w:rPr>
          <w:b/>
          <w:lang w:val="nb-NO"/>
        </w:rPr>
        <w:tab/>
        <w:t>PRODUKSJONSNUMMER</w:t>
      </w:r>
    </w:p>
    <w:p w14:paraId="46161637" w14:textId="77777777" w:rsidR="004A425F" w:rsidRPr="00A942F6" w:rsidRDefault="004A425F" w:rsidP="00641834">
      <w:pPr>
        <w:pStyle w:val="a4"/>
        <w:ind w:left="0"/>
        <w:rPr>
          <w:lang w:val="nb-NO"/>
        </w:rPr>
      </w:pPr>
    </w:p>
    <w:p w14:paraId="585F2122" w14:textId="77777777" w:rsidR="004A425F" w:rsidRPr="00A942F6" w:rsidRDefault="004A425F" w:rsidP="00641834">
      <w:pPr>
        <w:pStyle w:val="a4"/>
        <w:ind w:left="0"/>
        <w:rPr>
          <w:lang w:val="nb-NO"/>
        </w:rPr>
      </w:pPr>
      <w:r w:rsidRPr="00A942F6">
        <w:rPr>
          <w:lang w:val="nb-NO"/>
        </w:rPr>
        <w:t>Lot</w:t>
      </w:r>
    </w:p>
    <w:p w14:paraId="5486F76F" w14:textId="77777777" w:rsidR="004A425F" w:rsidRPr="00A942F6" w:rsidRDefault="004A425F" w:rsidP="00641834">
      <w:pPr>
        <w:pStyle w:val="a4"/>
        <w:ind w:left="0"/>
        <w:rPr>
          <w:lang w:val="nb-NO"/>
        </w:rPr>
      </w:pPr>
    </w:p>
    <w:p w14:paraId="58CF2E3F" w14:textId="77777777" w:rsidR="00CE3DBA" w:rsidRPr="00A942F6" w:rsidRDefault="00CE3DBA" w:rsidP="00641834">
      <w:pPr>
        <w:pStyle w:val="a4"/>
        <w:ind w:left="0"/>
        <w:rPr>
          <w:lang w:val="nb-NO"/>
        </w:rPr>
      </w:pPr>
    </w:p>
    <w:p w14:paraId="1F2E0752"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5.</w:t>
      </w:r>
      <w:r w:rsidRPr="00A942F6">
        <w:rPr>
          <w:b/>
          <w:lang w:val="nb-NO"/>
        </w:rPr>
        <w:tab/>
        <w:t>INNHOLD ANGITT ETTER VEKT, VOLUM ELLER ANTALL DOSER</w:t>
      </w:r>
    </w:p>
    <w:p w14:paraId="43DBA5DD" w14:textId="77777777" w:rsidR="004A425F" w:rsidRPr="00A942F6" w:rsidRDefault="004A425F" w:rsidP="00641834">
      <w:pPr>
        <w:pStyle w:val="a4"/>
        <w:ind w:left="0"/>
        <w:rPr>
          <w:lang w:val="nb-NO"/>
        </w:rPr>
      </w:pPr>
    </w:p>
    <w:p w14:paraId="5C76D74A" w14:textId="77777777" w:rsidR="004A425F" w:rsidRPr="00A942F6" w:rsidRDefault="004A425F" w:rsidP="00641834">
      <w:pPr>
        <w:pStyle w:val="a4"/>
        <w:ind w:left="0"/>
        <w:rPr>
          <w:lang w:val="nb-NO"/>
        </w:rPr>
      </w:pPr>
      <w:r w:rsidRPr="00A942F6">
        <w:rPr>
          <w:lang w:val="nb-NO"/>
        </w:rPr>
        <w:t>162 mg/0,9 ml</w:t>
      </w:r>
    </w:p>
    <w:p w14:paraId="562E2113" w14:textId="77777777" w:rsidR="004A425F" w:rsidRPr="00A942F6" w:rsidRDefault="004A425F" w:rsidP="00641834">
      <w:pPr>
        <w:pStyle w:val="a4"/>
        <w:ind w:left="0"/>
        <w:rPr>
          <w:lang w:val="nb-NO"/>
        </w:rPr>
      </w:pPr>
    </w:p>
    <w:p w14:paraId="42B7C505" w14:textId="77777777" w:rsidR="00CE3DBA" w:rsidRPr="00A942F6" w:rsidRDefault="00CE3DBA" w:rsidP="00641834">
      <w:pPr>
        <w:pStyle w:val="a4"/>
        <w:ind w:left="0"/>
        <w:rPr>
          <w:lang w:val="nb-NO"/>
        </w:rPr>
      </w:pPr>
    </w:p>
    <w:p w14:paraId="1F0E38F8" w14:textId="77777777" w:rsidR="00FF3BAB" w:rsidRPr="00A942F6" w:rsidRDefault="00FF3BAB" w:rsidP="00641834">
      <w:pPr>
        <w:pBdr>
          <w:top w:val="single" w:sz="4" w:space="1" w:color="auto"/>
          <w:left w:val="single" w:sz="4" w:space="4" w:color="auto"/>
          <w:bottom w:val="single" w:sz="4" w:space="1" w:color="auto"/>
          <w:right w:val="single" w:sz="4" w:space="4" w:color="auto"/>
        </w:pBdr>
        <w:tabs>
          <w:tab w:val="left" w:pos="669"/>
        </w:tabs>
        <w:ind w:left="567" w:hanging="567"/>
        <w:rPr>
          <w:b/>
          <w:lang w:val="nb-NO"/>
        </w:rPr>
      </w:pPr>
      <w:r w:rsidRPr="00A942F6">
        <w:rPr>
          <w:b/>
          <w:lang w:val="nb-NO"/>
        </w:rPr>
        <w:t>6.</w:t>
      </w:r>
      <w:r w:rsidRPr="00A942F6">
        <w:rPr>
          <w:b/>
          <w:lang w:val="nb-NO"/>
        </w:rPr>
        <w:tab/>
        <w:t>ANNET</w:t>
      </w:r>
    </w:p>
    <w:p w14:paraId="7FAC4800" w14:textId="77777777" w:rsidR="004A425F" w:rsidRPr="00A942F6" w:rsidRDefault="004A425F" w:rsidP="00641834">
      <w:pPr>
        <w:pStyle w:val="a4"/>
        <w:ind w:left="0"/>
        <w:rPr>
          <w:lang w:val="nb-NO"/>
        </w:rPr>
      </w:pPr>
    </w:p>
    <w:p w14:paraId="0F5313E6" w14:textId="77777777" w:rsidR="004A425F" w:rsidRPr="00A942F6" w:rsidRDefault="004A425F" w:rsidP="00641834">
      <w:pPr>
        <w:rPr>
          <w:lang w:val="nb-NO"/>
        </w:rPr>
      </w:pPr>
    </w:p>
    <w:p w14:paraId="012F279D" w14:textId="77777777" w:rsidR="00C77BE2" w:rsidRPr="00A942F6" w:rsidRDefault="00C77BE2" w:rsidP="00641834">
      <w:pPr>
        <w:rPr>
          <w:rFonts w:eastAsia="Times New Roman" w:cs="Times New Roman"/>
          <w:kern w:val="0"/>
          <w:lang w:val="nb-NO" w:eastAsia="en-US"/>
        </w:rPr>
      </w:pPr>
      <w:r w:rsidRPr="00A942F6">
        <w:rPr>
          <w:rFonts w:eastAsia="Times New Roman" w:cs="Times New Roman"/>
          <w:kern w:val="0"/>
          <w:lang w:val="nb-NO" w:eastAsia="en-US"/>
        </w:rPr>
        <w:br w:type="page"/>
      </w:r>
    </w:p>
    <w:p w14:paraId="090F6956" w14:textId="77777777" w:rsidR="004A425F" w:rsidRPr="00A942F6" w:rsidRDefault="004A425F" w:rsidP="00641834">
      <w:pPr>
        <w:rPr>
          <w:lang w:val="nb-NO"/>
        </w:rPr>
      </w:pPr>
    </w:p>
    <w:p w14:paraId="2F48BDAB" w14:textId="77777777" w:rsidR="004A425F" w:rsidRPr="00A942F6" w:rsidRDefault="004A425F" w:rsidP="00641834">
      <w:pPr>
        <w:rPr>
          <w:lang w:val="nb-NO"/>
        </w:rPr>
      </w:pPr>
    </w:p>
    <w:p w14:paraId="14A11BA8" w14:textId="77777777" w:rsidR="004A425F" w:rsidRPr="00A942F6" w:rsidRDefault="004A425F" w:rsidP="00641834">
      <w:pPr>
        <w:rPr>
          <w:lang w:val="nb-NO"/>
        </w:rPr>
      </w:pPr>
    </w:p>
    <w:p w14:paraId="03AEC5A7" w14:textId="77777777" w:rsidR="004A425F" w:rsidRPr="00A942F6" w:rsidRDefault="004A425F" w:rsidP="00641834">
      <w:pPr>
        <w:rPr>
          <w:lang w:val="nb-NO"/>
        </w:rPr>
      </w:pPr>
    </w:p>
    <w:p w14:paraId="62E149AE" w14:textId="77777777" w:rsidR="004A425F" w:rsidRPr="00A942F6" w:rsidRDefault="004A425F" w:rsidP="00641834">
      <w:pPr>
        <w:rPr>
          <w:lang w:val="nb-NO"/>
        </w:rPr>
      </w:pPr>
    </w:p>
    <w:p w14:paraId="77D48EA2" w14:textId="77777777" w:rsidR="004A425F" w:rsidRPr="00A942F6" w:rsidRDefault="004A425F" w:rsidP="00641834">
      <w:pPr>
        <w:rPr>
          <w:lang w:val="nb-NO"/>
        </w:rPr>
      </w:pPr>
    </w:p>
    <w:p w14:paraId="3070CD18" w14:textId="77777777" w:rsidR="004A425F" w:rsidRPr="00A942F6" w:rsidRDefault="004A425F" w:rsidP="00641834">
      <w:pPr>
        <w:rPr>
          <w:lang w:val="nb-NO"/>
        </w:rPr>
      </w:pPr>
    </w:p>
    <w:p w14:paraId="7278EF74" w14:textId="77777777" w:rsidR="004A425F" w:rsidRPr="00A942F6" w:rsidRDefault="004A425F" w:rsidP="00641834">
      <w:pPr>
        <w:rPr>
          <w:lang w:val="nb-NO"/>
        </w:rPr>
      </w:pPr>
    </w:p>
    <w:p w14:paraId="248717E6" w14:textId="77777777" w:rsidR="004A425F" w:rsidRPr="00A942F6" w:rsidRDefault="004A425F" w:rsidP="00641834">
      <w:pPr>
        <w:rPr>
          <w:lang w:val="nb-NO"/>
        </w:rPr>
      </w:pPr>
    </w:p>
    <w:p w14:paraId="6DAC959D" w14:textId="77777777" w:rsidR="004A425F" w:rsidRPr="00A942F6" w:rsidRDefault="004A425F" w:rsidP="00641834">
      <w:pPr>
        <w:rPr>
          <w:lang w:val="nb-NO"/>
        </w:rPr>
      </w:pPr>
    </w:p>
    <w:p w14:paraId="10F497AE" w14:textId="77777777" w:rsidR="004A425F" w:rsidRPr="00A942F6" w:rsidRDefault="004A425F" w:rsidP="00641834">
      <w:pPr>
        <w:rPr>
          <w:lang w:val="nb-NO"/>
        </w:rPr>
      </w:pPr>
    </w:p>
    <w:p w14:paraId="126BBA91" w14:textId="77777777" w:rsidR="004A425F" w:rsidRPr="00A942F6" w:rsidRDefault="004A425F" w:rsidP="00641834">
      <w:pPr>
        <w:rPr>
          <w:lang w:val="nb-NO"/>
        </w:rPr>
      </w:pPr>
    </w:p>
    <w:p w14:paraId="49E103AC" w14:textId="77777777" w:rsidR="004A425F" w:rsidRPr="00A942F6" w:rsidRDefault="004A425F" w:rsidP="00641834">
      <w:pPr>
        <w:rPr>
          <w:lang w:val="nb-NO"/>
        </w:rPr>
      </w:pPr>
    </w:p>
    <w:p w14:paraId="5856C3C3" w14:textId="77777777" w:rsidR="004A425F" w:rsidRPr="00A942F6" w:rsidRDefault="004A425F" w:rsidP="00641834">
      <w:pPr>
        <w:rPr>
          <w:lang w:val="nb-NO"/>
        </w:rPr>
      </w:pPr>
    </w:p>
    <w:p w14:paraId="13A0E75C" w14:textId="77777777" w:rsidR="004A425F" w:rsidRPr="00A942F6" w:rsidRDefault="004A425F" w:rsidP="00641834">
      <w:pPr>
        <w:rPr>
          <w:lang w:val="nb-NO"/>
        </w:rPr>
      </w:pPr>
    </w:p>
    <w:p w14:paraId="1ED86DE5" w14:textId="77777777" w:rsidR="004A425F" w:rsidRPr="00A942F6" w:rsidRDefault="004A425F" w:rsidP="00641834">
      <w:pPr>
        <w:rPr>
          <w:lang w:val="nb-NO"/>
        </w:rPr>
      </w:pPr>
    </w:p>
    <w:p w14:paraId="6FFCA9E1" w14:textId="77777777" w:rsidR="004A425F" w:rsidRPr="00A942F6" w:rsidRDefault="004A425F" w:rsidP="00641834">
      <w:pPr>
        <w:rPr>
          <w:lang w:val="nb-NO"/>
        </w:rPr>
      </w:pPr>
    </w:p>
    <w:p w14:paraId="4B0E05B6" w14:textId="77777777" w:rsidR="00426296" w:rsidRPr="00A942F6" w:rsidRDefault="00426296" w:rsidP="00641834">
      <w:pPr>
        <w:rPr>
          <w:lang w:val="nb-NO"/>
        </w:rPr>
      </w:pPr>
    </w:p>
    <w:p w14:paraId="73FE0363" w14:textId="77777777" w:rsidR="00426296" w:rsidRPr="00A942F6" w:rsidRDefault="00426296" w:rsidP="00641834">
      <w:pPr>
        <w:rPr>
          <w:lang w:val="nb-NO"/>
        </w:rPr>
      </w:pPr>
    </w:p>
    <w:p w14:paraId="72D4D8DC" w14:textId="77777777" w:rsidR="00426296" w:rsidRPr="00A942F6" w:rsidRDefault="00426296" w:rsidP="00641834">
      <w:pPr>
        <w:rPr>
          <w:lang w:val="nb-NO"/>
        </w:rPr>
      </w:pPr>
    </w:p>
    <w:p w14:paraId="6A905F57" w14:textId="77777777" w:rsidR="00426296" w:rsidRPr="00A942F6" w:rsidRDefault="00426296" w:rsidP="00641834">
      <w:pPr>
        <w:rPr>
          <w:lang w:val="nb-NO"/>
        </w:rPr>
      </w:pPr>
    </w:p>
    <w:p w14:paraId="3FA66A57" w14:textId="77777777" w:rsidR="00426296" w:rsidRPr="00A942F6" w:rsidRDefault="00426296" w:rsidP="00641834">
      <w:pPr>
        <w:rPr>
          <w:lang w:val="nb-NO"/>
        </w:rPr>
      </w:pPr>
    </w:p>
    <w:p w14:paraId="6E4A6E5C" w14:textId="77777777" w:rsidR="004A425F" w:rsidRPr="00A942F6" w:rsidRDefault="00E31057" w:rsidP="00641834">
      <w:pPr>
        <w:pStyle w:val="1"/>
        <w:jc w:val="center"/>
        <w:rPr>
          <w:lang w:val="nb-NO"/>
        </w:rPr>
      </w:pPr>
      <w:r w:rsidRPr="00A942F6">
        <w:rPr>
          <w:lang w:val="nb-NO"/>
        </w:rPr>
        <w:t xml:space="preserve">B. </w:t>
      </w:r>
      <w:r w:rsidR="004A425F" w:rsidRPr="00A942F6">
        <w:rPr>
          <w:lang w:val="nb-NO"/>
        </w:rPr>
        <w:t>PAKNINGSVEDLEGG</w:t>
      </w:r>
    </w:p>
    <w:p w14:paraId="3878A8B2" w14:textId="77777777" w:rsidR="004A425F" w:rsidRPr="00A942F6" w:rsidRDefault="004A425F" w:rsidP="00641834">
      <w:pPr>
        <w:rPr>
          <w:lang w:val="nb-NO"/>
        </w:rPr>
      </w:pPr>
    </w:p>
    <w:p w14:paraId="1A546ED4" w14:textId="30CFFA0F" w:rsidR="004A425F" w:rsidRPr="00A942F6" w:rsidRDefault="004A425F" w:rsidP="0036729A">
      <w:pPr>
        <w:jc w:val="center"/>
        <w:rPr>
          <w:lang w:val="nb-NO"/>
        </w:rPr>
      </w:pPr>
      <w:r w:rsidRPr="00A942F6">
        <w:rPr>
          <w:lang w:val="nb-NO"/>
        </w:rPr>
        <w:br w:type="page"/>
      </w:r>
      <w:r w:rsidRPr="0036729A">
        <w:rPr>
          <w:b/>
          <w:bCs/>
          <w:lang w:val="nb-NO"/>
        </w:rPr>
        <w:lastRenderedPageBreak/>
        <w:t>Pakningsvedlegg: Informasjon til brukeren</w:t>
      </w:r>
    </w:p>
    <w:p w14:paraId="342C8592" w14:textId="77777777" w:rsidR="004A425F" w:rsidRPr="00A942F6" w:rsidRDefault="004A425F" w:rsidP="00641834">
      <w:pPr>
        <w:rPr>
          <w:lang w:val="nb-NO"/>
        </w:rPr>
      </w:pPr>
    </w:p>
    <w:p w14:paraId="2B0D019D" w14:textId="42B08A33" w:rsidR="004A425F" w:rsidRPr="00A942F6" w:rsidRDefault="00923E68" w:rsidP="00641834">
      <w:pPr>
        <w:pStyle w:val="Boldcenter"/>
        <w:rPr>
          <w:lang w:val="nb-NO"/>
        </w:rPr>
      </w:pPr>
      <w:r w:rsidRPr="00A942F6">
        <w:rPr>
          <w:lang w:val="nb-NO"/>
        </w:rPr>
        <w:t>Avtozma</w:t>
      </w:r>
      <w:r w:rsidR="004A425F" w:rsidRPr="00A942F6">
        <w:rPr>
          <w:lang w:val="nb-NO"/>
        </w:rPr>
        <w:t xml:space="preserve"> 20 mg/ml konsentrat til infusjonsvæske, oppløsning</w:t>
      </w:r>
    </w:p>
    <w:p w14:paraId="2D03BA21" w14:textId="77777777" w:rsidR="004A425F" w:rsidRPr="00A942F6" w:rsidRDefault="004A425F" w:rsidP="00641834">
      <w:pPr>
        <w:jc w:val="center"/>
        <w:rPr>
          <w:lang w:val="nb-NO"/>
        </w:rPr>
      </w:pPr>
      <w:r w:rsidRPr="00A942F6">
        <w:rPr>
          <w:lang w:val="nb-NO"/>
        </w:rPr>
        <w:t>tocilizumab</w:t>
      </w:r>
    </w:p>
    <w:p w14:paraId="03085284" w14:textId="77777777" w:rsidR="004A425F" w:rsidRPr="00A942F6" w:rsidRDefault="004A425F" w:rsidP="00641834">
      <w:pPr>
        <w:rPr>
          <w:lang w:val="nb-NO"/>
        </w:rPr>
      </w:pPr>
    </w:p>
    <w:p w14:paraId="71525337" w14:textId="67B30E87" w:rsidR="00D9672B" w:rsidRPr="00A942F6" w:rsidRDefault="00D94A8B" w:rsidP="00641834">
      <w:pPr>
        <w:rPr>
          <w:lang w:val="nb-NO"/>
        </w:rPr>
      </w:pPr>
      <w:r>
        <w:rPr>
          <w:noProof/>
          <w:lang w:eastAsia="ko-KR"/>
        </w:rPr>
        <w:drawing>
          <wp:inline distT="0" distB="0" distL="0" distR="0" wp14:anchorId="05FF8A43" wp14:editId="38D89403">
            <wp:extent cx="207010" cy="170815"/>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70815"/>
                    </a:xfrm>
                    <a:prstGeom prst="rect">
                      <a:avLst/>
                    </a:prstGeom>
                    <a:noFill/>
                    <a:ln>
                      <a:noFill/>
                    </a:ln>
                  </pic:spPr>
                </pic:pic>
              </a:graphicData>
            </a:graphic>
          </wp:inline>
        </w:drawing>
      </w:r>
      <w:r w:rsidR="00D9672B" w:rsidRPr="00A942F6">
        <w:rPr>
          <w:lang w:val="nb-NO"/>
        </w:rPr>
        <w:t>Dette legemidlet er underlagt særlig overvåking for å oppdage ny sikkerhetsinformasjon så raskt som mulig. Du kan bidra ved å melde enhver mistenkt bivirkning. Se avsnitt 4 for informasjon om hvordan du melder bivirkninger.</w:t>
      </w:r>
    </w:p>
    <w:p w14:paraId="7E4F46D6" w14:textId="77777777" w:rsidR="00D9672B" w:rsidRPr="00A942F6" w:rsidRDefault="00D9672B" w:rsidP="00641834">
      <w:pPr>
        <w:rPr>
          <w:lang w:val="nb-NO"/>
        </w:rPr>
      </w:pPr>
    </w:p>
    <w:p w14:paraId="425D7933" w14:textId="77777777" w:rsidR="004A425F" w:rsidRPr="00A942F6" w:rsidRDefault="004A425F" w:rsidP="00641834">
      <w:pPr>
        <w:pStyle w:val="bold"/>
        <w:rPr>
          <w:lang w:val="nb-NO"/>
        </w:rPr>
      </w:pPr>
      <w:r w:rsidRPr="00A942F6">
        <w:rPr>
          <w:lang w:val="nb-NO"/>
        </w:rPr>
        <w:t>Les nøye gjennom dette pakningsvedlegget før du blir gitt dette legemidlet. Det inneholder informasjon som er viktig for deg.</w:t>
      </w:r>
    </w:p>
    <w:p w14:paraId="16FF844E" w14:textId="77777777" w:rsidR="003929D4" w:rsidRPr="00A942F6" w:rsidRDefault="003929D4" w:rsidP="00641834">
      <w:pPr>
        <w:rPr>
          <w:lang w:val="nb-NO"/>
        </w:rPr>
      </w:pPr>
    </w:p>
    <w:p w14:paraId="63835197" w14:textId="77777777" w:rsidR="004A425F" w:rsidRPr="00A942F6" w:rsidRDefault="004A425F" w:rsidP="00641834">
      <w:pPr>
        <w:pStyle w:val="Bullet1cm"/>
        <w:rPr>
          <w:lang w:val="nb-NO"/>
        </w:rPr>
      </w:pPr>
      <w:r w:rsidRPr="00A942F6">
        <w:rPr>
          <w:lang w:val="nb-NO"/>
        </w:rPr>
        <w:t>Ta vare på dette pakningsvedlegget. Du kan få behov for å lese det igjen.</w:t>
      </w:r>
    </w:p>
    <w:p w14:paraId="3FDE02F8" w14:textId="77777777" w:rsidR="004A425F" w:rsidRPr="00A942F6" w:rsidRDefault="004A425F" w:rsidP="00641834">
      <w:pPr>
        <w:pStyle w:val="Bullet1cm"/>
        <w:rPr>
          <w:lang w:val="nb-NO"/>
        </w:rPr>
      </w:pPr>
      <w:r w:rsidRPr="00A942F6">
        <w:rPr>
          <w:lang w:val="nb-NO"/>
        </w:rPr>
        <w:t>Spør lege eller sykepleier hvis du har flere spørsmål eller trenger mer informasjon.</w:t>
      </w:r>
    </w:p>
    <w:p w14:paraId="4324BA43" w14:textId="77777777" w:rsidR="004A425F" w:rsidRPr="00A942F6" w:rsidRDefault="004A425F" w:rsidP="00641834">
      <w:pPr>
        <w:pStyle w:val="Bullet1cm"/>
        <w:rPr>
          <w:lang w:val="nb-NO"/>
        </w:rPr>
      </w:pPr>
      <w:r w:rsidRPr="00A942F6">
        <w:rPr>
          <w:lang w:val="nb-NO"/>
        </w:rPr>
        <w:t>Dette legemidlet er skrevet ut kun til deg.</w:t>
      </w:r>
    </w:p>
    <w:p w14:paraId="730A71D5" w14:textId="77777777" w:rsidR="004A425F" w:rsidRPr="00A942F6" w:rsidRDefault="004A425F" w:rsidP="00641834">
      <w:pPr>
        <w:pStyle w:val="Bullet1cm"/>
        <w:rPr>
          <w:lang w:val="nb-NO"/>
        </w:rPr>
      </w:pPr>
      <w:r w:rsidRPr="00A942F6">
        <w:rPr>
          <w:lang w:val="nb-NO"/>
        </w:rPr>
        <w:t>Kontakt lege eller sykepleier dersom du opplever bivirkninger, inkludert mulige bivirkninger som ikke er nevnt i dette pakningsvedlegget. Se avsnitt 4.</w:t>
      </w:r>
    </w:p>
    <w:p w14:paraId="72BDDBE2" w14:textId="77777777" w:rsidR="003929D4" w:rsidRPr="00A942F6" w:rsidRDefault="003929D4" w:rsidP="00641834">
      <w:pPr>
        <w:rPr>
          <w:lang w:val="nb-NO"/>
        </w:rPr>
      </w:pPr>
    </w:p>
    <w:p w14:paraId="78A94F54" w14:textId="09B29E92" w:rsidR="004A425F" w:rsidRPr="00A942F6" w:rsidRDefault="004A425F" w:rsidP="00641834">
      <w:pPr>
        <w:rPr>
          <w:lang w:val="nb-NO"/>
        </w:rPr>
      </w:pPr>
      <w:r w:rsidRPr="00A942F6">
        <w:rPr>
          <w:lang w:val="nb-NO"/>
        </w:rPr>
        <w:t xml:space="preserve">I tillegg til dette pakningsvedlegget vil du få et </w:t>
      </w:r>
      <w:r w:rsidRPr="00A942F6">
        <w:rPr>
          <w:b/>
          <w:bCs/>
          <w:lang w:val="nb-NO"/>
        </w:rPr>
        <w:t>pasientkort</w:t>
      </w:r>
      <w:r w:rsidRPr="00A942F6">
        <w:rPr>
          <w:lang w:val="nb-NO"/>
        </w:rPr>
        <w:t xml:space="preserve"> som inneholder viktig sikkerhetsinformasjon som du må være oppmerksom på før og under behandling med </w:t>
      </w:r>
      <w:r w:rsidR="00923E68" w:rsidRPr="00A942F6">
        <w:rPr>
          <w:lang w:val="nb-NO"/>
        </w:rPr>
        <w:t>Avtozma</w:t>
      </w:r>
      <w:r w:rsidRPr="00A942F6">
        <w:rPr>
          <w:lang w:val="nb-NO"/>
        </w:rPr>
        <w:t>.</w:t>
      </w:r>
    </w:p>
    <w:p w14:paraId="12554ED1" w14:textId="77777777" w:rsidR="004A425F" w:rsidRPr="00A942F6" w:rsidRDefault="004A425F" w:rsidP="00641834">
      <w:pPr>
        <w:rPr>
          <w:lang w:val="nb-NO"/>
        </w:rPr>
      </w:pPr>
    </w:p>
    <w:p w14:paraId="6DBD60CB" w14:textId="77777777" w:rsidR="004A425F" w:rsidRPr="00A942F6" w:rsidRDefault="004A425F" w:rsidP="00641834">
      <w:pPr>
        <w:pStyle w:val="bold"/>
        <w:rPr>
          <w:lang w:val="nb-NO"/>
        </w:rPr>
      </w:pPr>
      <w:r w:rsidRPr="00A942F6">
        <w:rPr>
          <w:lang w:val="nb-NO"/>
        </w:rPr>
        <w:t>I dette pakningsvedlegget finner du informasjon om:</w:t>
      </w:r>
    </w:p>
    <w:p w14:paraId="153746C8" w14:textId="247A0AED" w:rsidR="004A425F" w:rsidRPr="00A942F6" w:rsidRDefault="004A425F" w:rsidP="00641834">
      <w:pPr>
        <w:pStyle w:val="a5"/>
        <w:numPr>
          <w:ilvl w:val="3"/>
          <w:numId w:val="11"/>
        </w:numPr>
        <w:ind w:left="567" w:hanging="567"/>
        <w:rPr>
          <w:lang w:val="nb-NO"/>
        </w:rPr>
      </w:pPr>
      <w:r w:rsidRPr="00A942F6">
        <w:rPr>
          <w:lang w:val="nb-NO"/>
        </w:rPr>
        <w:t xml:space="preserve">Hva </w:t>
      </w:r>
      <w:r w:rsidR="00923E68" w:rsidRPr="00A942F6">
        <w:rPr>
          <w:lang w:val="nb-NO"/>
        </w:rPr>
        <w:t>Avtozma</w:t>
      </w:r>
      <w:r w:rsidRPr="00A942F6">
        <w:rPr>
          <w:lang w:val="nb-NO"/>
        </w:rPr>
        <w:t xml:space="preserve"> er og hva det brukes mot</w:t>
      </w:r>
    </w:p>
    <w:p w14:paraId="04A32407" w14:textId="7901EF4D" w:rsidR="004A425F" w:rsidRPr="00A942F6" w:rsidRDefault="004A425F" w:rsidP="00641834">
      <w:pPr>
        <w:pStyle w:val="a5"/>
        <w:numPr>
          <w:ilvl w:val="3"/>
          <w:numId w:val="11"/>
        </w:numPr>
        <w:ind w:left="567" w:hanging="567"/>
        <w:rPr>
          <w:lang w:val="nb-NO"/>
        </w:rPr>
      </w:pPr>
      <w:r w:rsidRPr="00A942F6">
        <w:rPr>
          <w:lang w:val="nb-NO"/>
        </w:rPr>
        <w:t xml:space="preserve">Hva du må vite før du blir gitt </w:t>
      </w:r>
      <w:r w:rsidR="00923E68" w:rsidRPr="00A942F6">
        <w:rPr>
          <w:lang w:val="nb-NO"/>
        </w:rPr>
        <w:t>Avtozma</w:t>
      </w:r>
    </w:p>
    <w:p w14:paraId="01A9CAF5" w14:textId="5A464892" w:rsidR="004A425F" w:rsidRPr="00A942F6" w:rsidRDefault="004A425F" w:rsidP="00641834">
      <w:pPr>
        <w:pStyle w:val="a5"/>
        <w:numPr>
          <w:ilvl w:val="3"/>
          <w:numId w:val="11"/>
        </w:numPr>
        <w:ind w:left="567" w:hanging="567"/>
        <w:rPr>
          <w:lang w:val="nb-NO"/>
        </w:rPr>
      </w:pPr>
      <w:r w:rsidRPr="00A942F6">
        <w:rPr>
          <w:lang w:val="nb-NO"/>
        </w:rPr>
        <w:t xml:space="preserve">Hvordan </w:t>
      </w:r>
      <w:r w:rsidR="00923E68" w:rsidRPr="00A942F6">
        <w:rPr>
          <w:lang w:val="nb-NO"/>
        </w:rPr>
        <w:t>Avtozma</w:t>
      </w:r>
      <w:r w:rsidRPr="00A942F6">
        <w:rPr>
          <w:lang w:val="nb-NO"/>
        </w:rPr>
        <w:t xml:space="preserve"> blir gitt</w:t>
      </w:r>
    </w:p>
    <w:p w14:paraId="69DBC522" w14:textId="77777777" w:rsidR="004A425F" w:rsidRPr="00A942F6" w:rsidRDefault="004A425F" w:rsidP="00641834">
      <w:pPr>
        <w:pStyle w:val="a5"/>
        <w:numPr>
          <w:ilvl w:val="3"/>
          <w:numId w:val="11"/>
        </w:numPr>
        <w:ind w:left="567" w:hanging="567"/>
        <w:rPr>
          <w:lang w:val="nb-NO"/>
        </w:rPr>
      </w:pPr>
      <w:r w:rsidRPr="00A942F6">
        <w:rPr>
          <w:lang w:val="nb-NO"/>
        </w:rPr>
        <w:t>Mulige bivirkninger</w:t>
      </w:r>
    </w:p>
    <w:p w14:paraId="2F26A908" w14:textId="555ADC95" w:rsidR="004A425F" w:rsidRPr="00A942F6" w:rsidRDefault="004A425F" w:rsidP="00641834">
      <w:pPr>
        <w:pStyle w:val="a5"/>
        <w:numPr>
          <w:ilvl w:val="3"/>
          <w:numId w:val="11"/>
        </w:numPr>
        <w:ind w:left="567" w:hanging="567"/>
        <w:rPr>
          <w:lang w:val="nb-NO"/>
        </w:rPr>
      </w:pPr>
      <w:r w:rsidRPr="00A942F6">
        <w:rPr>
          <w:lang w:val="nb-NO"/>
        </w:rPr>
        <w:t xml:space="preserve">Hvordan du oppbevarer </w:t>
      </w:r>
      <w:r w:rsidR="00923E68" w:rsidRPr="00A942F6">
        <w:rPr>
          <w:lang w:val="nb-NO"/>
        </w:rPr>
        <w:t>Avtozma</w:t>
      </w:r>
    </w:p>
    <w:p w14:paraId="792F6AA0" w14:textId="77777777" w:rsidR="004A425F" w:rsidRPr="00A942F6" w:rsidRDefault="004A425F" w:rsidP="00641834">
      <w:pPr>
        <w:pStyle w:val="a5"/>
        <w:numPr>
          <w:ilvl w:val="3"/>
          <w:numId w:val="11"/>
        </w:numPr>
        <w:ind w:left="567" w:hanging="567"/>
        <w:rPr>
          <w:lang w:val="nb-NO"/>
        </w:rPr>
      </w:pPr>
      <w:r w:rsidRPr="00A942F6">
        <w:rPr>
          <w:lang w:val="nb-NO"/>
        </w:rPr>
        <w:t>Innholdet i pakningen og ytterligere informasjon</w:t>
      </w:r>
    </w:p>
    <w:p w14:paraId="2B1A6A59" w14:textId="77777777" w:rsidR="004A425F" w:rsidRPr="00A942F6" w:rsidRDefault="004A425F" w:rsidP="00641834">
      <w:pPr>
        <w:rPr>
          <w:lang w:val="nb-NO"/>
        </w:rPr>
      </w:pPr>
    </w:p>
    <w:p w14:paraId="2F6E934D" w14:textId="77777777" w:rsidR="004A425F" w:rsidRPr="00A942F6" w:rsidRDefault="004A425F" w:rsidP="00641834">
      <w:pPr>
        <w:rPr>
          <w:lang w:val="nb-NO"/>
        </w:rPr>
      </w:pPr>
    </w:p>
    <w:p w14:paraId="4015C8F0" w14:textId="19CD2E47" w:rsidR="004A425F" w:rsidRPr="00A942F6" w:rsidRDefault="004A425F" w:rsidP="00641834">
      <w:pPr>
        <w:pStyle w:val="H2"/>
        <w:rPr>
          <w:lang w:val="nb-NO"/>
        </w:rPr>
      </w:pPr>
      <w:r w:rsidRPr="00A942F6">
        <w:rPr>
          <w:lang w:val="nb-NO"/>
        </w:rPr>
        <w:t>1.</w:t>
      </w:r>
      <w:r w:rsidRPr="00A942F6">
        <w:rPr>
          <w:lang w:val="nb-NO"/>
        </w:rPr>
        <w:tab/>
        <w:t xml:space="preserve">Hva </w:t>
      </w:r>
      <w:r w:rsidR="00923E68" w:rsidRPr="00A942F6">
        <w:rPr>
          <w:lang w:val="nb-NO"/>
        </w:rPr>
        <w:t>Avtozma</w:t>
      </w:r>
      <w:r w:rsidRPr="00A942F6">
        <w:rPr>
          <w:lang w:val="nb-NO"/>
        </w:rPr>
        <w:t xml:space="preserve"> er og hva det brukes mot</w:t>
      </w:r>
    </w:p>
    <w:p w14:paraId="1ECA8278" w14:textId="77777777" w:rsidR="002155E9" w:rsidRPr="00A942F6" w:rsidRDefault="002155E9" w:rsidP="00641834">
      <w:pPr>
        <w:rPr>
          <w:lang w:val="nb-NO"/>
        </w:rPr>
      </w:pPr>
    </w:p>
    <w:p w14:paraId="59FC02EB" w14:textId="18A96465" w:rsidR="004A425F" w:rsidRPr="00A942F6" w:rsidRDefault="00923E68" w:rsidP="00641834">
      <w:pPr>
        <w:rPr>
          <w:lang w:val="nb-NO"/>
        </w:rPr>
      </w:pPr>
      <w:r w:rsidRPr="00A942F6">
        <w:rPr>
          <w:lang w:val="nb-NO"/>
        </w:rPr>
        <w:t>Avtozma</w:t>
      </w:r>
      <w:r w:rsidR="004A425F" w:rsidRPr="00A942F6">
        <w:rPr>
          <w:lang w:val="nb-NO"/>
        </w:rPr>
        <w:t xml:space="preserve"> inneholder virkestoffet tocilizumab, som er et protein laget fra spesifikke immunceller (et monoklonalt antistoff), som blokkerer virkningen av et spesifikt protein (cytokin) som kalles interleukin-6. Dette proteinet er involvert i kroppens betennelsesprosesser, og ved å blokkere det kan betennelsen i kroppen reduseres. </w:t>
      </w:r>
      <w:r w:rsidRPr="00A942F6">
        <w:rPr>
          <w:lang w:val="nb-NO"/>
        </w:rPr>
        <w:t>Avtozma</w:t>
      </w:r>
      <w:r w:rsidR="004A425F" w:rsidRPr="00A942F6">
        <w:rPr>
          <w:lang w:val="nb-NO"/>
        </w:rPr>
        <w:t xml:space="preserve"> reduserer symptomer som smerter og hevelse i leddene, og kan også forbedre din evne til å utføre daglige gjøremål. Det er blitt vist at </w:t>
      </w:r>
      <w:r w:rsidRPr="00A942F6">
        <w:rPr>
          <w:lang w:val="nb-NO"/>
        </w:rPr>
        <w:t>Avtozma</w:t>
      </w:r>
      <w:r w:rsidR="004A425F" w:rsidRPr="00A942F6">
        <w:rPr>
          <w:lang w:val="nb-NO"/>
        </w:rPr>
        <w:t xml:space="preserve"> kan utsette ødeleggelsene av brusk og knokler i leddene forårsaket av sykdommen, samt forbedre din evne til å utføre vanlige, daglige aktiviteter.</w:t>
      </w:r>
    </w:p>
    <w:p w14:paraId="3408DC98" w14:textId="77777777" w:rsidR="004A425F" w:rsidRPr="00A942F6" w:rsidRDefault="004A425F" w:rsidP="00641834">
      <w:pPr>
        <w:rPr>
          <w:b/>
          <w:bCs/>
          <w:lang w:val="nb-NO"/>
        </w:rPr>
      </w:pPr>
    </w:p>
    <w:p w14:paraId="53038A49" w14:textId="2D09E537" w:rsidR="004A425F" w:rsidRPr="00A942F6" w:rsidRDefault="00923E68" w:rsidP="00641834">
      <w:pPr>
        <w:pStyle w:val="Bullet1cm"/>
        <w:rPr>
          <w:lang w:val="nb-NO"/>
        </w:rPr>
      </w:pPr>
      <w:r w:rsidRPr="00A942F6">
        <w:rPr>
          <w:b/>
          <w:bCs/>
          <w:lang w:val="nb-NO"/>
        </w:rPr>
        <w:t>Avtozma</w:t>
      </w:r>
      <w:r w:rsidR="004A425F" w:rsidRPr="00A942F6">
        <w:rPr>
          <w:b/>
          <w:bCs/>
          <w:lang w:val="nb-NO"/>
        </w:rPr>
        <w:t xml:space="preserve"> brukes til behandling av voksne</w:t>
      </w:r>
      <w:r w:rsidR="004A425F" w:rsidRPr="00A942F6">
        <w:rPr>
          <w:lang w:val="nb-NO"/>
        </w:rPr>
        <w:t xml:space="preserve"> med moderat til alvorlig aktiv revmatoid artritt (RA), en autoimmun sykdom, der tidligere behandling har vært ineffektiv. </w:t>
      </w:r>
      <w:r w:rsidRPr="00A942F6">
        <w:rPr>
          <w:lang w:val="nb-NO"/>
        </w:rPr>
        <w:t>Avtozma</w:t>
      </w:r>
      <w:r w:rsidR="004A425F" w:rsidRPr="00A942F6">
        <w:rPr>
          <w:lang w:val="nb-NO"/>
        </w:rPr>
        <w:t xml:space="preserve"> gis vanligvis sammen med metotreksat. </w:t>
      </w:r>
      <w:r w:rsidRPr="00A942F6">
        <w:rPr>
          <w:lang w:val="nb-NO"/>
        </w:rPr>
        <w:t>Avtozma</w:t>
      </w:r>
      <w:r w:rsidR="004A425F" w:rsidRPr="00A942F6">
        <w:rPr>
          <w:lang w:val="nb-NO"/>
        </w:rPr>
        <w:t xml:space="preserve"> kan også gis alene hvis legen avgjør at metotreksat ikke er egnet.</w:t>
      </w:r>
    </w:p>
    <w:p w14:paraId="49DCEEE8" w14:textId="77777777" w:rsidR="003929D4" w:rsidRPr="00A942F6" w:rsidRDefault="003929D4" w:rsidP="00641834">
      <w:pPr>
        <w:pStyle w:val="Bullet1cm"/>
        <w:numPr>
          <w:ilvl w:val="0"/>
          <w:numId w:val="0"/>
        </w:numPr>
        <w:ind w:left="567"/>
        <w:rPr>
          <w:lang w:val="nb-NO"/>
        </w:rPr>
      </w:pPr>
    </w:p>
    <w:p w14:paraId="3BC612B2" w14:textId="6FAB351C" w:rsidR="004A425F" w:rsidRPr="00A942F6" w:rsidRDefault="00923E68" w:rsidP="00641834">
      <w:pPr>
        <w:pStyle w:val="Bullet1cm"/>
        <w:rPr>
          <w:lang w:val="nb-NO"/>
        </w:rPr>
      </w:pPr>
      <w:r w:rsidRPr="00A942F6">
        <w:rPr>
          <w:lang w:val="nb-NO"/>
        </w:rPr>
        <w:t>Avtozma</w:t>
      </w:r>
      <w:r w:rsidR="004A425F" w:rsidRPr="00A942F6">
        <w:rPr>
          <w:lang w:val="nb-NO"/>
        </w:rPr>
        <w:t xml:space="preserve"> kan også brukes til å behandle alvorlig, aktiv og progressiv revmatoid artritt hvor man ikke tidligere har vært behandlet med metotreksat.</w:t>
      </w:r>
    </w:p>
    <w:p w14:paraId="38C81D64" w14:textId="77777777" w:rsidR="003929D4" w:rsidRPr="00A942F6" w:rsidRDefault="003929D4" w:rsidP="00641834">
      <w:pPr>
        <w:pStyle w:val="Bullet1cm"/>
        <w:numPr>
          <w:ilvl w:val="0"/>
          <w:numId w:val="0"/>
        </w:numPr>
        <w:ind w:left="567"/>
        <w:rPr>
          <w:lang w:val="nb-NO"/>
        </w:rPr>
      </w:pPr>
    </w:p>
    <w:p w14:paraId="701C604A" w14:textId="4F1C323F" w:rsidR="004A425F" w:rsidRPr="00A942F6" w:rsidRDefault="00923E68" w:rsidP="00641834">
      <w:pPr>
        <w:pStyle w:val="Bullet1cm"/>
        <w:rPr>
          <w:lang w:val="nb-NO"/>
        </w:rPr>
      </w:pPr>
      <w:r w:rsidRPr="00A942F6">
        <w:rPr>
          <w:b/>
          <w:bCs/>
          <w:lang w:val="nb-NO"/>
        </w:rPr>
        <w:t>Avtozma</w:t>
      </w:r>
      <w:r w:rsidR="004A425F" w:rsidRPr="00A942F6">
        <w:rPr>
          <w:b/>
          <w:bCs/>
          <w:lang w:val="nb-NO"/>
        </w:rPr>
        <w:t xml:space="preserve"> brukes til å behandle barn med sJIA.</w:t>
      </w:r>
      <w:r w:rsidR="004A425F" w:rsidRPr="00A942F6">
        <w:rPr>
          <w:lang w:val="nb-NO"/>
        </w:rPr>
        <w:t xml:space="preserve"> </w:t>
      </w:r>
      <w:r w:rsidRPr="00A942F6">
        <w:rPr>
          <w:lang w:val="nb-NO"/>
        </w:rPr>
        <w:t>Avtozma</w:t>
      </w:r>
      <w:r w:rsidR="004A425F" w:rsidRPr="00A942F6">
        <w:rPr>
          <w:lang w:val="nb-NO"/>
        </w:rPr>
        <w:t xml:space="preserve"> brukes til barn i alderen 2 år og oppover som har </w:t>
      </w:r>
      <w:r w:rsidR="004A425F" w:rsidRPr="00A942F6">
        <w:rPr>
          <w:b/>
          <w:bCs/>
          <w:i/>
          <w:iCs/>
          <w:lang w:val="nb-NO"/>
        </w:rPr>
        <w:t>aktiv systemisk juvenil idiopatisk artritt (sJIA)</w:t>
      </w:r>
      <w:r w:rsidR="004A425F" w:rsidRPr="00A942F6">
        <w:rPr>
          <w:lang w:val="nb-NO"/>
        </w:rPr>
        <w:t xml:space="preserve">, en inflammatorisk sykdom som forårsaker smerter og opphovning av ett eller flere ledd, samt feber og utslett. </w:t>
      </w:r>
      <w:r w:rsidRPr="00A942F6">
        <w:rPr>
          <w:lang w:val="nb-NO"/>
        </w:rPr>
        <w:t>Avtozma</w:t>
      </w:r>
      <w:r w:rsidR="004A425F" w:rsidRPr="00A942F6">
        <w:rPr>
          <w:lang w:val="nb-NO"/>
        </w:rPr>
        <w:t xml:space="preserve"> brukes for å bedre symptomene ved sJIA og kan gis sammen med metotreksat eller alene.</w:t>
      </w:r>
    </w:p>
    <w:p w14:paraId="0BA6E45B" w14:textId="77777777" w:rsidR="004A425F" w:rsidRPr="00A942F6" w:rsidRDefault="004A425F" w:rsidP="00641834">
      <w:pPr>
        <w:pStyle w:val="Bullet1cm"/>
        <w:numPr>
          <w:ilvl w:val="0"/>
          <w:numId w:val="0"/>
        </w:numPr>
        <w:ind w:left="567"/>
        <w:rPr>
          <w:lang w:val="nb-NO"/>
        </w:rPr>
      </w:pPr>
    </w:p>
    <w:p w14:paraId="1C933913" w14:textId="00213381" w:rsidR="004A425F" w:rsidRPr="00A942F6" w:rsidRDefault="00923E68" w:rsidP="00641834">
      <w:pPr>
        <w:pStyle w:val="Bullet1cm"/>
        <w:rPr>
          <w:lang w:val="nb-NO"/>
        </w:rPr>
      </w:pPr>
      <w:r w:rsidRPr="00A942F6">
        <w:rPr>
          <w:b/>
          <w:bCs/>
          <w:lang w:val="nb-NO"/>
        </w:rPr>
        <w:t>Avtozma</w:t>
      </w:r>
      <w:r w:rsidR="004A425F" w:rsidRPr="00A942F6">
        <w:rPr>
          <w:b/>
          <w:bCs/>
          <w:lang w:val="nb-NO"/>
        </w:rPr>
        <w:t xml:space="preserve"> brukes til å behandle barn med pJIA.</w:t>
      </w:r>
      <w:r w:rsidR="004A425F" w:rsidRPr="00A942F6">
        <w:rPr>
          <w:lang w:val="nb-NO"/>
        </w:rPr>
        <w:t xml:space="preserve"> </w:t>
      </w:r>
      <w:r w:rsidRPr="00A942F6">
        <w:rPr>
          <w:lang w:val="nb-NO"/>
        </w:rPr>
        <w:t>Avtozma</w:t>
      </w:r>
      <w:r w:rsidR="004A425F" w:rsidRPr="00A942F6">
        <w:rPr>
          <w:lang w:val="nb-NO"/>
        </w:rPr>
        <w:t xml:space="preserve"> brukes til barn i alderen 2 år og oppover som har aktiv polyartikulær juvenil idiopatisk artritt (pJIA), en inflammatorisk sykdom </w:t>
      </w:r>
      <w:r w:rsidR="004A425F" w:rsidRPr="00A942F6">
        <w:rPr>
          <w:lang w:val="nb-NO"/>
        </w:rPr>
        <w:lastRenderedPageBreak/>
        <w:t xml:space="preserve">som forårsaker smerter og hevelser i ett eller flere ledd. </w:t>
      </w:r>
      <w:r w:rsidRPr="00A942F6">
        <w:rPr>
          <w:lang w:val="nb-NO"/>
        </w:rPr>
        <w:t>Avtozma</w:t>
      </w:r>
      <w:r w:rsidR="004A425F" w:rsidRPr="00A942F6">
        <w:rPr>
          <w:lang w:val="nb-NO"/>
        </w:rPr>
        <w:t xml:space="preserve"> brukes til å bedre symptomene på pJIA og kan gis sammen med metotreksat eller alene.</w:t>
      </w:r>
    </w:p>
    <w:p w14:paraId="5701425A" w14:textId="77777777" w:rsidR="004A425F" w:rsidRPr="00A942F6" w:rsidRDefault="004A425F" w:rsidP="00641834">
      <w:pPr>
        <w:pStyle w:val="Bullet1cm"/>
        <w:numPr>
          <w:ilvl w:val="0"/>
          <w:numId w:val="0"/>
        </w:numPr>
        <w:ind w:left="567"/>
        <w:rPr>
          <w:lang w:val="nb-NO"/>
        </w:rPr>
      </w:pPr>
    </w:p>
    <w:p w14:paraId="665B563A" w14:textId="14C190D7" w:rsidR="004A425F" w:rsidRPr="00A942F6" w:rsidRDefault="00923E68" w:rsidP="00641834">
      <w:pPr>
        <w:pStyle w:val="Bullet1cm"/>
        <w:rPr>
          <w:lang w:val="nb-NO"/>
        </w:rPr>
      </w:pPr>
      <w:r w:rsidRPr="00A942F6">
        <w:rPr>
          <w:b/>
          <w:bCs/>
          <w:lang w:val="nb-NO"/>
        </w:rPr>
        <w:t>Avtozma</w:t>
      </w:r>
      <w:r w:rsidR="004A425F" w:rsidRPr="00A942F6">
        <w:rPr>
          <w:b/>
          <w:bCs/>
          <w:lang w:val="nb-NO"/>
        </w:rPr>
        <w:t xml:space="preserve"> brukes til å behandle voksne og barn</w:t>
      </w:r>
      <w:r w:rsidR="004A425F" w:rsidRPr="00A942F6">
        <w:rPr>
          <w:lang w:val="nb-NO"/>
        </w:rPr>
        <w:t xml:space="preserve"> i alderen 2 år og oppover med alvorlig eller livstruende cytokinfrigjøringssyndrom (CRS), en bivirkning hos pasienter behandlet med kimær antigenreseptor (CAR) T-celleterapi, som brukes i behandling av visse typer kreft.</w:t>
      </w:r>
    </w:p>
    <w:p w14:paraId="5907DF9D" w14:textId="77777777" w:rsidR="004A425F" w:rsidRPr="00A942F6" w:rsidRDefault="004A425F" w:rsidP="00641834">
      <w:pPr>
        <w:pStyle w:val="Bullet1cm"/>
        <w:numPr>
          <w:ilvl w:val="0"/>
          <w:numId w:val="0"/>
        </w:numPr>
        <w:ind w:left="567"/>
        <w:rPr>
          <w:lang w:val="nb-NO"/>
        </w:rPr>
      </w:pPr>
    </w:p>
    <w:p w14:paraId="1E1A5D22" w14:textId="60DE4BB1" w:rsidR="004A425F" w:rsidRPr="00A942F6" w:rsidRDefault="00923E68" w:rsidP="00641834">
      <w:pPr>
        <w:pStyle w:val="Bullet1cm"/>
        <w:rPr>
          <w:lang w:val="nb-NO"/>
        </w:rPr>
      </w:pPr>
      <w:r w:rsidRPr="00A942F6">
        <w:rPr>
          <w:b/>
          <w:bCs/>
          <w:lang w:val="nb-NO"/>
        </w:rPr>
        <w:t>Avtozma</w:t>
      </w:r>
      <w:r w:rsidR="004A425F" w:rsidRPr="00A942F6">
        <w:rPr>
          <w:b/>
          <w:bCs/>
          <w:lang w:val="nb-NO"/>
        </w:rPr>
        <w:t xml:space="preserve"> brukes til å behandle voksne</w:t>
      </w:r>
      <w:r w:rsidR="004A425F" w:rsidRPr="00A942F6">
        <w:rPr>
          <w:lang w:val="nb-NO"/>
        </w:rPr>
        <w:t xml:space="preserve"> med koronavirussykdom 2019 (covid-19) som får systemiske kortikosteroider og trenger supplerende oksygen eller mekanisk ventilasjon.</w:t>
      </w:r>
    </w:p>
    <w:p w14:paraId="7473A5AF" w14:textId="77777777" w:rsidR="002155E9" w:rsidRPr="00A942F6" w:rsidRDefault="002155E9" w:rsidP="00641834">
      <w:pPr>
        <w:pStyle w:val="H2"/>
        <w:rPr>
          <w:lang w:val="nb-NO"/>
        </w:rPr>
      </w:pPr>
    </w:p>
    <w:p w14:paraId="13A81D98" w14:textId="77777777" w:rsidR="002155E9" w:rsidRPr="00A942F6" w:rsidRDefault="002155E9" w:rsidP="00641834">
      <w:pPr>
        <w:pStyle w:val="H2"/>
        <w:rPr>
          <w:lang w:val="nb-NO"/>
        </w:rPr>
      </w:pPr>
    </w:p>
    <w:p w14:paraId="3383FCCD" w14:textId="4B0AA75D" w:rsidR="003929D4" w:rsidRPr="00A942F6" w:rsidRDefault="004A425F" w:rsidP="00641834">
      <w:pPr>
        <w:pStyle w:val="H2"/>
        <w:rPr>
          <w:lang w:val="nb-NO"/>
        </w:rPr>
      </w:pPr>
      <w:r w:rsidRPr="00A942F6">
        <w:rPr>
          <w:lang w:val="nb-NO"/>
        </w:rPr>
        <w:t>2.</w:t>
      </w:r>
      <w:r w:rsidRPr="00A942F6">
        <w:rPr>
          <w:lang w:val="nb-NO"/>
        </w:rPr>
        <w:tab/>
        <w:t xml:space="preserve">Hva du må vite før du blir gitt </w:t>
      </w:r>
      <w:r w:rsidR="00923E68" w:rsidRPr="00A942F6">
        <w:rPr>
          <w:lang w:val="nb-NO"/>
        </w:rPr>
        <w:t>Avtozma</w:t>
      </w:r>
      <w:r w:rsidRPr="00A942F6">
        <w:rPr>
          <w:lang w:val="nb-NO"/>
        </w:rPr>
        <w:t xml:space="preserve"> </w:t>
      </w:r>
    </w:p>
    <w:p w14:paraId="6986213B" w14:textId="77777777" w:rsidR="003929D4" w:rsidRPr="00A942F6" w:rsidRDefault="003929D4" w:rsidP="00641834">
      <w:pPr>
        <w:pStyle w:val="H2"/>
        <w:rPr>
          <w:lang w:val="nb-NO"/>
        </w:rPr>
      </w:pPr>
    </w:p>
    <w:p w14:paraId="59B5CFB0" w14:textId="72C37393" w:rsidR="004A425F" w:rsidRPr="00A942F6" w:rsidRDefault="004A425F" w:rsidP="00641834">
      <w:pPr>
        <w:pStyle w:val="H2"/>
        <w:rPr>
          <w:lang w:val="nb-NO"/>
        </w:rPr>
      </w:pPr>
      <w:r w:rsidRPr="00A942F6">
        <w:rPr>
          <w:lang w:val="nb-NO"/>
        </w:rPr>
        <w:t xml:space="preserve">Du skal ikke gis </w:t>
      </w:r>
      <w:r w:rsidR="00923E68" w:rsidRPr="00A942F6">
        <w:rPr>
          <w:lang w:val="nb-NO"/>
        </w:rPr>
        <w:t>Avtozma</w:t>
      </w:r>
    </w:p>
    <w:p w14:paraId="2EED8B6C" w14:textId="1CEE3231" w:rsidR="004A425F" w:rsidRPr="00A942F6" w:rsidRDefault="004A425F" w:rsidP="00641834">
      <w:pPr>
        <w:pStyle w:val="Bullet1cm"/>
        <w:rPr>
          <w:lang w:val="nb-NO"/>
        </w:rPr>
      </w:pPr>
      <w:r w:rsidRPr="00A942F6">
        <w:rPr>
          <w:lang w:val="nb-NO"/>
        </w:rPr>
        <w:t xml:space="preserve">hvis du er </w:t>
      </w:r>
      <w:r w:rsidRPr="00A942F6">
        <w:rPr>
          <w:b/>
          <w:bCs/>
          <w:lang w:val="nb-NO"/>
        </w:rPr>
        <w:t>allergisk</w:t>
      </w:r>
      <w:r w:rsidRPr="00A942F6">
        <w:rPr>
          <w:lang w:val="nb-NO"/>
        </w:rPr>
        <w:t xml:space="preserve"> overfor tocilizumab eller noen av de andre innholdsstoffene i dette legemidlet (listet opp i avsnitt 6).</w:t>
      </w:r>
      <w:r w:rsidR="001A221C">
        <w:rPr>
          <w:lang w:val="nb-NO"/>
        </w:rPr>
        <w:t xml:space="preserve"> (Se spesielle advarsler på slutten av dette punktet under </w:t>
      </w:r>
      <w:r w:rsidR="003F726E">
        <w:rPr>
          <w:lang w:val="nb-NO"/>
        </w:rPr>
        <w:t>underpunktet «Avtozma inneholder polysorbat».)</w:t>
      </w:r>
    </w:p>
    <w:p w14:paraId="6A0A8B11" w14:textId="77777777" w:rsidR="004A425F" w:rsidRPr="00A942F6" w:rsidRDefault="004A425F" w:rsidP="00641834">
      <w:pPr>
        <w:pStyle w:val="Bullet1cm"/>
        <w:rPr>
          <w:lang w:val="nb-NO"/>
        </w:rPr>
      </w:pPr>
      <w:r w:rsidRPr="00A942F6">
        <w:rPr>
          <w:lang w:val="nb-NO"/>
        </w:rPr>
        <w:t>hvis du har en aktiv, alvorlig infeksjon.</w:t>
      </w:r>
    </w:p>
    <w:p w14:paraId="31860D67" w14:textId="77777777" w:rsidR="004A425F" w:rsidRPr="00A942F6" w:rsidRDefault="004A425F" w:rsidP="00641834">
      <w:pPr>
        <w:rPr>
          <w:lang w:val="nb-NO"/>
        </w:rPr>
      </w:pPr>
      <w:r w:rsidRPr="00A942F6">
        <w:rPr>
          <w:lang w:val="nb-NO"/>
        </w:rPr>
        <w:t>Hvis noe av dette gjelder for deg, skal du underrette lege eller sykepleier som skal gi deg infusjonen.</w:t>
      </w:r>
    </w:p>
    <w:p w14:paraId="7EBCF66A" w14:textId="77777777" w:rsidR="004A425F" w:rsidRPr="00A942F6" w:rsidRDefault="004A425F" w:rsidP="00641834">
      <w:pPr>
        <w:rPr>
          <w:lang w:val="nb-NO"/>
        </w:rPr>
      </w:pPr>
    </w:p>
    <w:p w14:paraId="32464415" w14:textId="77777777" w:rsidR="004A425F" w:rsidRPr="00A942F6" w:rsidRDefault="004A425F" w:rsidP="00641834">
      <w:pPr>
        <w:pStyle w:val="bold"/>
        <w:rPr>
          <w:lang w:val="nb-NO"/>
        </w:rPr>
      </w:pPr>
      <w:r w:rsidRPr="00A942F6">
        <w:rPr>
          <w:lang w:val="nb-NO"/>
        </w:rPr>
        <w:t>Advarsler og forsiktighetsregler</w:t>
      </w:r>
    </w:p>
    <w:p w14:paraId="4CAEB1F8" w14:textId="4F35B19B" w:rsidR="004A425F" w:rsidRPr="00A942F6" w:rsidRDefault="004A425F" w:rsidP="00641834">
      <w:pPr>
        <w:rPr>
          <w:lang w:val="nb-NO"/>
        </w:rPr>
      </w:pPr>
      <w:r w:rsidRPr="00A942F6">
        <w:rPr>
          <w:lang w:val="nb-NO"/>
        </w:rPr>
        <w:t xml:space="preserve">Snakk med lege eller sykepleier før du gis </w:t>
      </w:r>
      <w:r w:rsidR="00923E68" w:rsidRPr="00A942F6">
        <w:rPr>
          <w:lang w:val="nb-NO"/>
        </w:rPr>
        <w:t>Avtozma</w:t>
      </w:r>
      <w:r w:rsidRPr="00A942F6">
        <w:rPr>
          <w:lang w:val="nb-NO"/>
        </w:rPr>
        <w:t>.</w:t>
      </w:r>
    </w:p>
    <w:p w14:paraId="64EE56DA" w14:textId="77777777" w:rsidR="004A425F" w:rsidRPr="00A942F6" w:rsidRDefault="004A425F" w:rsidP="00641834">
      <w:pPr>
        <w:rPr>
          <w:lang w:val="nb-NO"/>
        </w:rPr>
      </w:pPr>
    </w:p>
    <w:p w14:paraId="2686C848" w14:textId="77777777" w:rsidR="004A425F" w:rsidRPr="00A942F6" w:rsidRDefault="004A425F" w:rsidP="00641834">
      <w:pPr>
        <w:pStyle w:val="Bullet1cm"/>
        <w:rPr>
          <w:lang w:val="nb-NO"/>
        </w:rPr>
      </w:pPr>
      <w:r w:rsidRPr="00A942F6">
        <w:rPr>
          <w:b/>
          <w:bCs/>
          <w:lang w:val="nb-NO"/>
        </w:rPr>
        <w:t>Informer legen din umiddelbart</w:t>
      </w:r>
      <w:r w:rsidRPr="00A942F6">
        <w:rPr>
          <w:lang w:val="nb-NO"/>
        </w:rPr>
        <w:t xml:space="preserve"> dersom du får en </w:t>
      </w:r>
      <w:r w:rsidRPr="00A942F6">
        <w:rPr>
          <w:b/>
          <w:bCs/>
          <w:lang w:val="nb-NO"/>
        </w:rPr>
        <w:t>allergisk reaksjon</w:t>
      </w:r>
      <w:r w:rsidRPr="00A942F6">
        <w:rPr>
          <w:lang w:val="nb-NO"/>
        </w:rPr>
        <w:t xml:space="preserve"> som tett bryst, hvesende pust, alvorlig svimmelhet eller ørhet, opphovnede lepper eller utslett under eller etter infusjonen.</w:t>
      </w:r>
    </w:p>
    <w:p w14:paraId="1BBE38E4" w14:textId="77777777" w:rsidR="004A425F" w:rsidRPr="00A942F6" w:rsidRDefault="004A425F" w:rsidP="00641834">
      <w:pPr>
        <w:pStyle w:val="Bullet1cm"/>
        <w:numPr>
          <w:ilvl w:val="0"/>
          <w:numId w:val="0"/>
        </w:numPr>
        <w:ind w:left="567"/>
        <w:rPr>
          <w:lang w:val="nb-NO"/>
        </w:rPr>
      </w:pPr>
    </w:p>
    <w:p w14:paraId="6B994849" w14:textId="59EB7407" w:rsidR="004A425F" w:rsidRPr="00A942F6" w:rsidRDefault="004A425F" w:rsidP="00641834">
      <w:pPr>
        <w:pStyle w:val="Bullet1cm"/>
        <w:rPr>
          <w:lang w:val="nb-NO"/>
        </w:rPr>
      </w:pPr>
      <w:r w:rsidRPr="00A942F6">
        <w:rPr>
          <w:lang w:val="nb-NO"/>
        </w:rPr>
        <w:t xml:space="preserve">Dersom du har en </w:t>
      </w:r>
      <w:r w:rsidRPr="00A942F6">
        <w:rPr>
          <w:b/>
          <w:bCs/>
          <w:lang w:val="nb-NO"/>
        </w:rPr>
        <w:t>infeksjon</w:t>
      </w:r>
      <w:r w:rsidRPr="00A942F6">
        <w:rPr>
          <w:lang w:val="nb-NO"/>
        </w:rPr>
        <w:t xml:space="preserve">, kortvarig eller langvarig, eller dersom du ofte får infeksjoner. </w:t>
      </w:r>
      <w:r w:rsidRPr="00A942F6">
        <w:rPr>
          <w:b/>
          <w:bCs/>
          <w:lang w:val="nb-NO"/>
        </w:rPr>
        <w:t xml:space="preserve">Informer legen din umiddelbart </w:t>
      </w:r>
      <w:r w:rsidRPr="00A942F6">
        <w:rPr>
          <w:lang w:val="nb-NO"/>
        </w:rPr>
        <w:t xml:space="preserve">dersom du føler deg uvel. </w:t>
      </w:r>
      <w:r w:rsidR="00923E68" w:rsidRPr="00A942F6">
        <w:rPr>
          <w:lang w:val="nb-NO"/>
        </w:rPr>
        <w:t>Avtozma</w:t>
      </w:r>
      <w:r w:rsidRPr="00A942F6">
        <w:rPr>
          <w:lang w:val="nb-NO"/>
        </w:rPr>
        <w:t xml:space="preserve"> kan redusere kroppens evne til å respondere på infeksjoner og kan forverre en eksisterende infeksjon eller øke risiko for å få nye infeksjoner.</w:t>
      </w:r>
    </w:p>
    <w:p w14:paraId="727700F8" w14:textId="77777777" w:rsidR="003929D4" w:rsidRPr="00A942F6" w:rsidRDefault="003929D4" w:rsidP="00641834">
      <w:pPr>
        <w:pStyle w:val="Bullet1cm"/>
        <w:numPr>
          <w:ilvl w:val="0"/>
          <w:numId w:val="0"/>
        </w:numPr>
        <w:ind w:left="567"/>
        <w:rPr>
          <w:lang w:val="nb-NO"/>
        </w:rPr>
      </w:pPr>
    </w:p>
    <w:p w14:paraId="5A6D0C06" w14:textId="38CF1FE3" w:rsidR="004A425F" w:rsidRPr="00A942F6" w:rsidRDefault="004A425F" w:rsidP="00641834">
      <w:pPr>
        <w:pStyle w:val="Bullet1cm"/>
        <w:rPr>
          <w:lang w:val="nb-NO"/>
        </w:rPr>
      </w:pPr>
      <w:r w:rsidRPr="00A942F6">
        <w:rPr>
          <w:lang w:val="nb-NO"/>
        </w:rPr>
        <w:t xml:space="preserve">Informer legen din dersom du har hatt </w:t>
      </w:r>
      <w:r w:rsidRPr="00A942F6">
        <w:rPr>
          <w:b/>
          <w:bCs/>
          <w:lang w:val="nb-NO"/>
        </w:rPr>
        <w:t>tuberkulose</w:t>
      </w:r>
      <w:r w:rsidRPr="00A942F6">
        <w:rPr>
          <w:lang w:val="nb-NO"/>
        </w:rPr>
        <w:t xml:space="preserve">. Legen din vil undersøke deg for tegn og symptomer på tuberkulose før du starter behandlingen med </w:t>
      </w:r>
      <w:r w:rsidR="00923E68" w:rsidRPr="00A942F6">
        <w:rPr>
          <w:lang w:val="nb-NO"/>
        </w:rPr>
        <w:t>Avtozma</w:t>
      </w:r>
      <w:r w:rsidRPr="00A942F6">
        <w:rPr>
          <w:lang w:val="nb-NO"/>
        </w:rPr>
        <w:t>. Ved symptomer på tuberkulose (vedvarende hoste, vekttap, slapphet, mild feber), eller hvis annen infeksjon oppstår under eller etter behandlingen må du fortelle det til legen din umiddelbart.</w:t>
      </w:r>
    </w:p>
    <w:p w14:paraId="24732B9B" w14:textId="77777777" w:rsidR="004A425F" w:rsidRPr="00A942F6" w:rsidRDefault="004A425F" w:rsidP="00641834">
      <w:pPr>
        <w:pStyle w:val="Bullet1cm"/>
        <w:numPr>
          <w:ilvl w:val="0"/>
          <w:numId w:val="0"/>
        </w:numPr>
        <w:ind w:left="567"/>
        <w:rPr>
          <w:lang w:val="nb-NO"/>
        </w:rPr>
      </w:pPr>
    </w:p>
    <w:p w14:paraId="715CA296" w14:textId="77777777" w:rsidR="004A425F" w:rsidRPr="00A942F6" w:rsidRDefault="004A425F" w:rsidP="00641834">
      <w:pPr>
        <w:pStyle w:val="Bullet1cm"/>
        <w:rPr>
          <w:lang w:val="nb-NO"/>
        </w:rPr>
      </w:pPr>
      <w:r w:rsidRPr="00A942F6">
        <w:rPr>
          <w:lang w:val="nb-NO"/>
        </w:rPr>
        <w:t xml:space="preserve">Informer legen din dersom du har hatt </w:t>
      </w:r>
      <w:r w:rsidRPr="00A942F6">
        <w:rPr>
          <w:b/>
          <w:bCs/>
          <w:lang w:val="nb-NO"/>
        </w:rPr>
        <w:t>magesår</w:t>
      </w:r>
      <w:r w:rsidRPr="00A942F6">
        <w:rPr>
          <w:lang w:val="nb-NO"/>
        </w:rPr>
        <w:t xml:space="preserve"> eller </w:t>
      </w:r>
      <w:r w:rsidRPr="00A942F6">
        <w:rPr>
          <w:b/>
          <w:bCs/>
          <w:lang w:val="nb-NO"/>
        </w:rPr>
        <w:t>divertikulitt</w:t>
      </w:r>
      <w:r w:rsidRPr="00A942F6">
        <w:rPr>
          <w:lang w:val="nb-NO"/>
        </w:rPr>
        <w:t>. Symptomer kan være magesmerter og uforklarlige endringer i avføringsmønster med feber.</w:t>
      </w:r>
    </w:p>
    <w:p w14:paraId="09D64710" w14:textId="77777777" w:rsidR="004A425F" w:rsidRPr="00A942F6" w:rsidRDefault="004A425F" w:rsidP="00641834">
      <w:pPr>
        <w:pStyle w:val="Bullet1cm"/>
        <w:numPr>
          <w:ilvl w:val="0"/>
          <w:numId w:val="0"/>
        </w:numPr>
        <w:ind w:left="567"/>
        <w:rPr>
          <w:lang w:val="nb-NO"/>
        </w:rPr>
      </w:pPr>
    </w:p>
    <w:p w14:paraId="7C70D9F2" w14:textId="7D071E27" w:rsidR="004A425F" w:rsidRPr="00A942F6" w:rsidRDefault="004A425F" w:rsidP="00641834">
      <w:pPr>
        <w:pStyle w:val="Bullet1cm"/>
        <w:rPr>
          <w:lang w:val="nb-NO"/>
        </w:rPr>
      </w:pPr>
      <w:r w:rsidRPr="00A942F6">
        <w:rPr>
          <w:lang w:val="nb-NO"/>
        </w:rPr>
        <w:t xml:space="preserve">Informer legen din dersom du har en </w:t>
      </w:r>
      <w:r w:rsidRPr="00A942F6">
        <w:rPr>
          <w:b/>
          <w:bCs/>
          <w:lang w:val="nb-NO"/>
        </w:rPr>
        <w:t>leversykdom</w:t>
      </w:r>
      <w:r w:rsidRPr="00A942F6">
        <w:rPr>
          <w:lang w:val="nb-NO"/>
        </w:rPr>
        <w:t xml:space="preserve">. Før du bruker </w:t>
      </w:r>
      <w:r w:rsidR="00923E68" w:rsidRPr="00A942F6">
        <w:rPr>
          <w:lang w:val="nb-NO"/>
        </w:rPr>
        <w:t>Avtozma</w:t>
      </w:r>
      <w:r w:rsidRPr="00A942F6">
        <w:rPr>
          <w:lang w:val="nb-NO"/>
        </w:rPr>
        <w:t xml:space="preserve"> kan legen velge å ta en blodprøve for å måle leverfunksjonen din.</w:t>
      </w:r>
    </w:p>
    <w:p w14:paraId="10660E68" w14:textId="77777777" w:rsidR="003929D4" w:rsidRPr="00A942F6" w:rsidRDefault="003929D4" w:rsidP="00641834">
      <w:pPr>
        <w:pStyle w:val="Bullet1cm"/>
        <w:numPr>
          <w:ilvl w:val="0"/>
          <w:numId w:val="0"/>
        </w:numPr>
        <w:ind w:left="567"/>
        <w:rPr>
          <w:lang w:val="nb-NO"/>
        </w:rPr>
      </w:pPr>
    </w:p>
    <w:p w14:paraId="36435811" w14:textId="0BA8E9B6" w:rsidR="004A425F" w:rsidRPr="00A942F6" w:rsidRDefault="004A425F" w:rsidP="00641834">
      <w:pPr>
        <w:pStyle w:val="Bullet1cm"/>
        <w:rPr>
          <w:lang w:val="nb-NO"/>
        </w:rPr>
      </w:pPr>
      <w:r w:rsidRPr="00A942F6">
        <w:rPr>
          <w:b/>
          <w:bCs/>
          <w:lang w:val="nb-NO"/>
        </w:rPr>
        <w:t>Informer pasientens lege dersom pasienten som skal behandles</w:t>
      </w:r>
      <w:r w:rsidRPr="00A942F6">
        <w:rPr>
          <w:lang w:val="nb-NO"/>
        </w:rPr>
        <w:t xml:space="preserve"> (både barn og voksne) nylig har fått en vaksine, eller planlegger å bli vaksinert. Det anbefales at alle pasienter, spesielt barn, er ajour med all vaksinering før oppstart av behandling med </w:t>
      </w:r>
      <w:r w:rsidR="00923E68" w:rsidRPr="00A942F6">
        <w:rPr>
          <w:lang w:val="nb-NO"/>
        </w:rPr>
        <w:t>Avtozma</w:t>
      </w:r>
      <w:r w:rsidRPr="00A942F6">
        <w:rPr>
          <w:lang w:val="nb-NO"/>
        </w:rPr>
        <w:t xml:space="preserve">, med mindre akutt behandlingsstart er nødvendig. Noen typer vaksiner bør ikke gis ved behandling med </w:t>
      </w:r>
      <w:r w:rsidR="00923E68" w:rsidRPr="00A942F6">
        <w:rPr>
          <w:lang w:val="nb-NO"/>
        </w:rPr>
        <w:t>Avtozma</w:t>
      </w:r>
      <w:r w:rsidRPr="00A942F6">
        <w:rPr>
          <w:lang w:val="nb-NO"/>
        </w:rPr>
        <w:t>.</w:t>
      </w:r>
    </w:p>
    <w:p w14:paraId="50964510" w14:textId="77777777" w:rsidR="003929D4" w:rsidRPr="00A942F6" w:rsidRDefault="003929D4" w:rsidP="0036729A">
      <w:pPr>
        <w:pStyle w:val="a5"/>
        <w:ind w:left="567" w:hanging="567"/>
        <w:rPr>
          <w:lang w:val="nb-NO"/>
        </w:rPr>
      </w:pPr>
    </w:p>
    <w:p w14:paraId="2FE45C31" w14:textId="6A1AA99B" w:rsidR="004A425F" w:rsidRPr="00A942F6" w:rsidRDefault="004A425F" w:rsidP="00641834">
      <w:pPr>
        <w:pStyle w:val="Bullet1cm"/>
        <w:rPr>
          <w:lang w:val="nb-NO"/>
        </w:rPr>
      </w:pPr>
      <w:r w:rsidRPr="00A942F6">
        <w:rPr>
          <w:lang w:val="nb-NO"/>
        </w:rPr>
        <w:t xml:space="preserve">Informer legen din hvis du har </w:t>
      </w:r>
      <w:r w:rsidRPr="00A942F6">
        <w:rPr>
          <w:b/>
          <w:bCs/>
          <w:lang w:val="nb-NO"/>
        </w:rPr>
        <w:t>kreft</w:t>
      </w:r>
      <w:r w:rsidRPr="00A942F6">
        <w:rPr>
          <w:lang w:val="nb-NO"/>
        </w:rPr>
        <w:t xml:space="preserve">. Legen vil avgjøre om du likevel kan få </w:t>
      </w:r>
      <w:r w:rsidR="00923E68" w:rsidRPr="00A942F6">
        <w:rPr>
          <w:lang w:val="nb-NO"/>
        </w:rPr>
        <w:t>Avtozma</w:t>
      </w:r>
      <w:r w:rsidRPr="00A942F6">
        <w:rPr>
          <w:lang w:val="nb-NO"/>
        </w:rPr>
        <w:t>.</w:t>
      </w:r>
    </w:p>
    <w:p w14:paraId="66B1946C" w14:textId="77777777" w:rsidR="004A425F" w:rsidRPr="00A942F6" w:rsidRDefault="004A425F" w:rsidP="0036729A">
      <w:pPr>
        <w:pStyle w:val="Bullet1cm"/>
        <w:widowControl w:val="0"/>
        <w:numPr>
          <w:ilvl w:val="0"/>
          <w:numId w:val="0"/>
        </w:numPr>
        <w:autoSpaceDE w:val="0"/>
        <w:autoSpaceDN w:val="0"/>
        <w:ind w:left="567" w:hanging="567"/>
        <w:rPr>
          <w:lang w:val="nb-NO"/>
        </w:rPr>
      </w:pPr>
    </w:p>
    <w:p w14:paraId="4597DE28" w14:textId="1BE98BE2" w:rsidR="004A425F" w:rsidRPr="00A942F6" w:rsidRDefault="004A425F" w:rsidP="00641834">
      <w:pPr>
        <w:pStyle w:val="Bullet1cm"/>
        <w:rPr>
          <w:lang w:val="nb-NO"/>
        </w:rPr>
      </w:pPr>
      <w:r w:rsidRPr="00A942F6">
        <w:rPr>
          <w:lang w:val="nb-NO"/>
        </w:rPr>
        <w:t>Informer legen din hvis du har</w:t>
      </w:r>
      <w:r w:rsidRPr="00A942F6">
        <w:rPr>
          <w:b/>
          <w:bCs/>
          <w:lang w:val="nb-NO"/>
        </w:rPr>
        <w:t xml:space="preserve"> kardiovaskulære risikofaktorer</w:t>
      </w:r>
      <w:r w:rsidRPr="00A942F6">
        <w:rPr>
          <w:lang w:val="nb-NO"/>
        </w:rPr>
        <w:t xml:space="preserve"> som økt blodtrykk og økt kolesterol. Disse faktorene må overvåkes mens du får </w:t>
      </w:r>
      <w:r w:rsidR="00923E68" w:rsidRPr="00A942F6">
        <w:rPr>
          <w:lang w:val="nb-NO"/>
        </w:rPr>
        <w:t>Avtozma</w:t>
      </w:r>
      <w:r w:rsidRPr="00A942F6">
        <w:rPr>
          <w:lang w:val="nb-NO"/>
        </w:rPr>
        <w:t>.</w:t>
      </w:r>
    </w:p>
    <w:p w14:paraId="6E328616" w14:textId="77777777" w:rsidR="003929D4" w:rsidRPr="00A942F6" w:rsidRDefault="003929D4" w:rsidP="0036729A">
      <w:pPr>
        <w:pStyle w:val="a5"/>
        <w:ind w:left="567" w:hanging="567"/>
        <w:rPr>
          <w:lang w:val="nb-NO"/>
        </w:rPr>
      </w:pPr>
    </w:p>
    <w:p w14:paraId="234EE6DD" w14:textId="77777777" w:rsidR="004A425F" w:rsidRPr="00A942F6" w:rsidRDefault="004A425F" w:rsidP="00641834">
      <w:pPr>
        <w:pStyle w:val="Bullet1cm"/>
        <w:rPr>
          <w:lang w:val="nb-NO"/>
        </w:rPr>
      </w:pPr>
      <w:r w:rsidRPr="00A942F6">
        <w:rPr>
          <w:lang w:val="nb-NO"/>
        </w:rPr>
        <w:t>Legen vil følge deg opp nøye hvis du har moderate til alvorlige problemer med</w:t>
      </w:r>
      <w:r w:rsidR="003929D4" w:rsidRPr="00A942F6">
        <w:rPr>
          <w:lang w:val="nb-NO"/>
        </w:rPr>
        <w:t xml:space="preserve"> </w:t>
      </w:r>
      <w:r w:rsidRPr="00A942F6">
        <w:rPr>
          <w:b/>
          <w:bCs/>
          <w:lang w:val="nb-NO"/>
        </w:rPr>
        <w:t>nyrefunksjonen</w:t>
      </w:r>
      <w:r w:rsidRPr="00A942F6">
        <w:rPr>
          <w:lang w:val="nb-NO"/>
        </w:rPr>
        <w:t>.</w:t>
      </w:r>
    </w:p>
    <w:p w14:paraId="24FB8347" w14:textId="77777777" w:rsidR="004A425F" w:rsidRPr="00A942F6" w:rsidRDefault="004A425F" w:rsidP="0036729A">
      <w:pPr>
        <w:pStyle w:val="Bullet1cm"/>
        <w:widowControl w:val="0"/>
        <w:numPr>
          <w:ilvl w:val="0"/>
          <w:numId w:val="0"/>
        </w:numPr>
        <w:autoSpaceDE w:val="0"/>
        <w:autoSpaceDN w:val="0"/>
        <w:ind w:left="567" w:hanging="567"/>
        <w:rPr>
          <w:lang w:val="nb-NO"/>
        </w:rPr>
      </w:pPr>
    </w:p>
    <w:p w14:paraId="5FE81036" w14:textId="77777777" w:rsidR="004A425F" w:rsidRPr="00A942F6" w:rsidRDefault="004A425F" w:rsidP="00641834">
      <w:pPr>
        <w:pStyle w:val="Bullet1cm"/>
        <w:rPr>
          <w:lang w:val="nb-NO"/>
        </w:rPr>
      </w:pPr>
      <w:r w:rsidRPr="00A942F6">
        <w:rPr>
          <w:lang w:val="nb-NO"/>
        </w:rPr>
        <w:lastRenderedPageBreak/>
        <w:t xml:space="preserve">Hvis du har </w:t>
      </w:r>
      <w:r w:rsidRPr="00A942F6">
        <w:rPr>
          <w:b/>
          <w:bCs/>
          <w:lang w:val="nb-NO"/>
        </w:rPr>
        <w:t>vedvarende hodepine</w:t>
      </w:r>
      <w:r w:rsidRPr="00A942F6">
        <w:rPr>
          <w:lang w:val="nb-NO"/>
        </w:rPr>
        <w:t>.</w:t>
      </w:r>
    </w:p>
    <w:p w14:paraId="64C2C427" w14:textId="77777777" w:rsidR="003929D4" w:rsidRPr="00A942F6" w:rsidRDefault="003929D4" w:rsidP="0036729A">
      <w:pPr>
        <w:pStyle w:val="a5"/>
        <w:ind w:left="567" w:hanging="567"/>
        <w:rPr>
          <w:lang w:val="nb-NO"/>
        </w:rPr>
      </w:pPr>
    </w:p>
    <w:p w14:paraId="1EEBF286" w14:textId="69A81825" w:rsidR="004A425F" w:rsidRPr="00A942F6" w:rsidRDefault="004A425F" w:rsidP="00641834">
      <w:pPr>
        <w:rPr>
          <w:lang w:val="nb-NO"/>
        </w:rPr>
      </w:pPr>
      <w:r w:rsidRPr="00A942F6">
        <w:rPr>
          <w:lang w:val="nb-NO"/>
        </w:rPr>
        <w:t xml:space="preserve">Legen din vil ta blodprøver av deg før du får </w:t>
      </w:r>
      <w:r w:rsidR="00923E68" w:rsidRPr="00A942F6">
        <w:rPr>
          <w:lang w:val="nb-NO"/>
        </w:rPr>
        <w:t>Avtozma</w:t>
      </w:r>
      <w:r w:rsidRPr="00A942F6">
        <w:rPr>
          <w:lang w:val="nb-NO"/>
        </w:rPr>
        <w:t xml:space="preserve"> og under behandlingen for å undersøke om du har lavt antall hvite blodceller, lavt antall blodplater eller høye verdier av leverenzymer.</w:t>
      </w:r>
    </w:p>
    <w:p w14:paraId="5CC3B6CD" w14:textId="77777777" w:rsidR="004A425F" w:rsidRPr="00A942F6" w:rsidRDefault="004A425F" w:rsidP="00641834">
      <w:pPr>
        <w:rPr>
          <w:lang w:val="nb-NO"/>
        </w:rPr>
      </w:pPr>
    </w:p>
    <w:p w14:paraId="5B48B22F" w14:textId="77777777" w:rsidR="004A425F" w:rsidRPr="00A942F6" w:rsidRDefault="004A425F" w:rsidP="00641834">
      <w:pPr>
        <w:pStyle w:val="bold"/>
        <w:keepNext/>
        <w:rPr>
          <w:lang w:val="nb-NO"/>
        </w:rPr>
      </w:pPr>
      <w:r w:rsidRPr="00A942F6">
        <w:rPr>
          <w:lang w:val="nb-NO"/>
        </w:rPr>
        <w:t>Barn og ungdom</w:t>
      </w:r>
    </w:p>
    <w:p w14:paraId="0EE89B81" w14:textId="70B3225F" w:rsidR="004A425F" w:rsidRPr="00A942F6" w:rsidRDefault="004A425F" w:rsidP="00641834">
      <w:pPr>
        <w:rPr>
          <w:lang w:val="nb-NO"/>
        </w:rPr>
      </w:pPr>
      <w:r w:rsidRPr="00A942F6">
        <w:rPr>
          <w:lang w:val="nb-NO"/>
        </w:rPr>
        <w:t xml:space="preserve">Det er ikke anbefalt å bruke </w:t>
      </w:r>
      <w:r w:rsidR="00923E68" w:rsidRPr="00A942F6">
        <w:rPr>
          <w:lang w:val="nb-NO"/>
        </w:rPr>
        <w:t>Avtozma</w:t>
      </w:r>
      <w:r w:rsidRPr="00A942F6">
        <w:rPr>
          <w:lang w:val="nb-NO"/>
        </w:rPr>
        <w:t xml:space="preserve"> hos pasienter under 2 år.</w:t>
      </w:r>
    </w:p>
    <w:p w14:paraId="0CA262F5" w14:textId="77777777" w:rsidR="004A425F" w:rsidRPr="00A942F6" w:rsidRDefault="004A425F" w:rsidP="00641834">
      <w:pPr>
        <w:rPr>
          <w:lang w:val="nb-NO"/>
        </w:rPr>
      </w:pPr>
    </w:p>
    <w:p w14:paraId="4CBB023B" w14:textId="233A9C09" w:rsidR="004A425F" w:rsidRPr="00A942F6" w:rsidRDefault="004A425F" w:rsidP="00641834">
      <w:pPr>
        <w:rPr>
          <w:lang w:val="nb-NO"/>
        </w:rPr>
      </w:pPr>
      <w:r w:rsidRPr="00A942F6">
        <w:rPr>
          <w:lang w:val="nb-NO"/>
        </w:rPr>
        <w:t xml:space="preserve">Informer barnets lege dersom barnet tidligere har hatt </w:t>
      </w:r>
      <w:r w:rsidRPr="00A942F6">
        <w:rPr>
          <w:b/>
          <w:bCs/>
          <w:i/>
          <w:iCs/>
          <w:lang w:val="nb-NO"/>
        </w:rPr>
        <w:t>makrofag aktiveringssyndrom</w:t>
      </w:r>
      <w:r w:rsidRPr="00A942F6">
        <w:rPr>
          <w:lang w:val="nb-NO"/>
        </w:rPr>
        <w:t xml:space="preserve">, (aktivering og ukontrollert deling av spesifikke blodceller). Legen vil avgjøre om barnet likevel kan gis </w:t>
      </w:r>
      <w:r w:rsidR="00923E68" w:rsidRPr="00A942F6">
        <w:rPr>
          <w:lang w:val="nb-NO"/>
        </w:rPr>
        <w:t>Avtozma</w:t>
      </w:r>
      <w:r w:rsidRPr="00A942F6">
        <w:rPr>
          <w:lang w:val="nb-NO"/>
        </w:rPr>
        <w:t>.</w:t>
      </w:r>
    </w:p>
    <w:p w14:paraId="3D51783C" w14:textId="77777777" w:rsidR="004A425F" w:rsidRPr="00A942F6" w:rsidRDefault="004A425F" w:rsidP="00641834">
      <w:pPr>
        <w:rPr>
          <w:lang w:val="nb-NO"/>
        </w:rPr>
      </w:pPr>
    </w:p>
    <w:p w14:paraId="797E77BA" w14:textId="1A80D31F" w:rsidR="004A425F" w:rsidRPr="00A942F6" w:rsidRDefault="004A425F" w:rsidP="00641834">
      <w:pPr>
        <w:pStyle w:val="bold"/>
        <w:rPr>
          <w:lang w:val="nb-NO"/>
        </w:rPr>
      </w:pPr>
      <w:r w:rsidRPr="00A942F6">
        <w:rPr>
          <w:lang w:val="nb-NO"/>
        </w:rPr>
        <w:t xml:space="preserve">Andre legemidler og </w:t>
      </w:r>
      <w:r w:rsidR="00923E68" w:rsidRPr="00A942F6">
        <w:rPr>
          <w:lang w:val="nb-NO"/>
        </w:rPr>
        <w:t>Avtozma</w:t>
      </w:r>
    </w:p>
    <w:p w14:paraId="03C403EC" w14:textId="5B301B89" w:rsidR="004A425F" w:rsidRPr="00A942F6" w:rsidRDefault="004A425F" w:rsidP="00641834">
      <w:pPr>
        <w:rPr>
          <w:lang w:val="nb-NO"/>
        </w:rPr>
      </w:pPr>
      <w:r w:rsidRPr="00A942F6">
        <w:rPr>
          <w:lang w:val="nb-NO"/>
        </w:rPr>
        <w:t xml:space="preserve">Snakk med lege dersom du (eller barnet ditt, hvis han/hun er pasienten) bruker, nylig har brukt eller planlegger å bruke andre legemidler. Dette gjelder også andre legemidler uten resept. </w:t>
      </w:r>
      <w:r w:rsidR="00923E68" w:rsidRPr="00A942F6">
        <w:rPr>
          <w:lang w:val="nb-NO"/>
        </w:rPr>
        <w:t>Avtozma</w:t>
      </w:r>
      <w:r w:rsidRPr="00A942F6">
        <w:rPr>
          <w:lang w:val="nb-NO"/>
        </w:rPr>
        <w:t xml:space="preserve"> kan påvirke effekten av noen legemidler, og det kan bli nødvendig å justere doseringen av disse. Du må </w:t>
      </w:r>
      <w:r w:rsidRPr="00A942F6">
        <w:rPr>
          <w:b/>
          <w:bCs/>
          <w:lang w:val="nb-NO"/>
        </w:rPr>
        <w:t>informere legen din</w:t>
      </w:r>
      <w:r w:rsidRPr="00A942F6">
        <w:rPr>
          <w:lang w:val="nb-NO"/>
        </w:rPr>
        <w:t xml:space="preserve"> hvis du bruker legemidler som inneholder noen av følgende virkestoffer:</w:t>
      </w:r>
    </w:p>
    <w:p w14:paraId="11D73733" w14:textId="77777777" w:rsidR="003929D4" w:rsidRPr="00A942F6" w:rsidRDefault="003929D4" w:rsidP="0036729A">
      <w:pPr>
        <w:pStyle w:val="Bullet1cm"/>
        <w:widowControl w:val="0"/>
        <w:numPr>
          <w:ilvl w:val="0"/>
          <w:numId w:val="0"/>
        </w:numPr>
        <w:autoSpaceDE w:val="0"/>
        <w:autoSpaceDN w:val="0"/>
        <w:ind w:left="567" w:hanging="567"/>
        <w:rPr>
          <w:lang w:val="nb-NO"/>
        </w:rPr>
      </w:pPr>
    </w:p>
    <w:p w14:paraId="086D576D" w14:textId="77777777" w:rsidR="004A425F" w:rsidRPr="00A942F6" w:rsidRDefault="004A425F" w:rsidP="00641834">
      <w:pPr>
        <w:pStyle w:val="Bullet1cm"/>
        <w:rPr>
          <w:lang w:val="nb-NO"/>
        </w:rPr>
      </w:pPr>
      <w:r w:rsidRPr="00A942F6">
        <w:rPr>
          <w:lang w:val="nb-NO"/>
        </w:rPr>
        <w:t>metylprednisolon, deksametason, brukes for å dempe betennelse (</w:t>
      </w:r>
      <w:r w:rsidRPr="00FF318D">
        <w:rPr>
          <w:b/>
          <w:bCs/>
          <w:lang w:val="nb-NO"/>
        </w:rPr>
        <w:t>inflammasjon</w:t>
      </w:r>
      <w:r w:rsidRPr="00A942F6">
        <w:rPr>
          <w:lang w:val="nb-NO"/>
        </w:rPr>
        <w:t>)</w:t>
      </w:r>
    </w:p>
    <w:p w14:paraId="65BFB767" w14:textId="77777777" w:rsidR="004A425F" w:rsidRPr="00A942F6" w:rsidRDefault="004A425F" w:rsidP="00641834">
      <w:pPr>
        <w:pStyle w:val="Bullet1cm"/>
        <w:rPr>
          <w:lang w:val="nb-NO"/>
        </w:rPr>
      </w:pPr>
      <w:r w:rsidRPr="00A942F6">
        <w:rPr>
          <w:lang w:val="nb-NO"/>
        </w:rPr>
        <w:t xml:space="preserve">simvastatin eller atorvastatin, brukes for å redusere </w:t>
      </w:r>
      <w:r w:rsidRPr="00A942F6">
        <w:rPr>
          <w:b/>
          <w:bCs/>
          <w:lang w:val="nb-NO"/>
        </w:rPr>
        <w:t>kolesterolnivået</w:t>
      </w:r>
    </w:p>
    <w:p w14:paraId="06EBDD36" w14:textId="77777777" w:rsidR="004A425F" w:rsidRPr="00A942F6" w:rsidRDefault="004A425F" w:rsidP="00641834">
      <w:pPr>
        <w:pStyle w:val="Bullet1cm"/>
        <w:rPr>
          <w:lang w:val="nb-NO"/>
        </w:rPr>
      </w:pPr>
      <w:r w:rsidRPr="00A942F6">
        <w:rPr>
          <w:lang w:val="nb-NO"/>
        </w:rPr>
        <w:t xml:space="preserve">kalsiumkanal-blokkere (f.eks. amlodipin), brukes ved behandling av </w:t>
      </w:r>
      <w:r w:rsidRPr="00A942F6">
        <w:rPr>
          <w:b/>
          <w:bCs/>
          <w:lang w:val="nb-NO"/>
        </w:rPr>
        <w:t>høyt blodtrykk</w:t>
      </w:r>
    </w:p>
    <w:p w14:paraId="21921E96" w14:textId="77777777" w:rsidR="004A425F" w:rsidRPr="00A942F6" w:rsidRDefault="004A425F" w:rsidP="00641834">
      <w:pPr>
        <w:pStyle w:val="Bullet1cm"/>
        <w:rPr>
          <w:lang w:val="nb-NO"/>
        </w:rPr>
      </w:pPr>
      <w:r w:rsidRPr="00A942F6">
        <w:rPr>
          <w:lang w:val="nb-NO"/>
        </w:rPr>
        <w:t xml:space="preserve">teofyllin, brukes ved behandling av </w:t>
      </w:r>
      <w:r w:rsidRPr="00A942F6">
        <w:rPr>
          <w:b/>
          <w:bCs/>
          <w:lang w:val="nb-NO"/>
        </w:rPr>
        <w:t>astma</w:t>
      </w:r>
    </w:p>
    <w:p w14:paraId="7DAC1C48" w14:textId="77777777" w:rsidR="004A425F" w:rsidRPr="00A942F6" w:rsidRDefault="004A425F" w:rsidP="00641834">
      <w:pPr>
        <w:pStyle w:val="Bullet1cm"/>
        <w:rPr>
          <w:lang w:val="nb-NO"/>
        </w:rPr>
      </w:pPr>
      <w:r w:rsidRPr="00A942F6">
        <w:rPr>
          <w:lang w:val="nb-NO"/>
        </w:rPr>
        <w:t xml:space="preserve">warfarin eller fenprokumon, brukes som </w:t>
      </w:r>
      <w:r w:rsidRPr="00A942F6">
        <w:rPr>
          <w:b/>
          <w:bCs/>
          <w:lang w:val="nb-NO"/>
        </w:rPr>
        <w:t>blodfortynnende midler</w:t>
      </w:r>
    </w:p>
    <w:p w14:paraId="4EC5F469" w14:textId="77777777" w:rsidR="004A425F" w:rsidRPr="00A942F6" w:rsidRDefault="004A425F" w:rsidP="00641834">
      <w:pPr>
        <w:pStyle w:val="Bullet1cm"/>
        <w:rPr>
          <w:lang w:val="nb-NO"/>
        </w:rPr>
      </w:pPr>
      <w:r w:rsidRPr="00A942F6">
        <w:rPr>
          <w:lang w:val="nb-NO"/>
        </w:rPr>
        <w:t>fenytoin, brukes ved behandling av krampeanfall</w:t>
      </w:r>
    </w:p>
    <w:p w14:paraId="1B3E3C89" w14:textId="77777777" w:rsidR="004A425F" w:rsidRPr="00A942F6" w:rsidRDefault="004A425F" w:rsidP="00641834">
      <w:pPr>
        <w:pStyle w:val="Bullet1cm"/>
        <w:rPr>
          <w:lang w:val="nb-NO"/>
        </w:rPr>
      </w:pPr>
      <w:r w:rsidRPr="00A942F6">
        <w:rPr>
          <w:lang w:val="nb-NO"/>
        </w:rPr>
        <w:t xml:space="preserve">ciklosporin, brukes for å </w:t>
      </w:r>
      <w:r w:rsidRPr="00A942F6">
        <w:rPr>
          <w:b/>
          <w:bCs/>
          <w:lang w:val="nb-NO"/>
        </w:rPr>
        <w:t>undertrykke immunsystemet</w:t>
      </w:r>
      <w:r w:rsidRPr="00A942F6">
        <w:rPr>
          <w:lang w:val="nb-NO"/>
        </w:rPr>
        <w:t xml:space="preserve"> ved organtransplantasjoner</w:t>
      </w:r>
    </w:p>
    <w:p w14:paraId="3DA505D2" w14:textId="77777777" w:rsidR="004A425F" w:rsidRPr="00A942F6" w:rsidRDefault="004A425F" w:rsidP="00641834">
      <w:pPr>
        <w:pStyle w:val="Bullet1cm"/>
        <w:rPr>
          <w:lang w:val="nb-NO"/>
        </w:rPr>
      </w:pPr>
      <w:r w:rsidRPr="00A942F6">
        <w:rPr>
          <w:lang w:val="nb-NO"/>
        </w:rPr>
        <w:t xml:space="preserve">benzodiazepiner (f.eks. temazepam), brukes for å </w:t>
      </w:r>
      <w:r w:rsidRPr="00A942F6">
        <w:rPr>
          <w:b/>
          <w:bCs/>
          <w:lang w:val="nb-NO"/>
        </w:rPr>
        <w:t>lindre angst</w:t>
      </w:r>
      <w:r w:rsidRPr="00A942F6">
        <w:rPr>
          <w:lang w:val="nb-NO"/>
        </w:rPr>
        <w:t>.</w:t>
      </w:r>
    </w:p>
    <w:p w14:paraId="7EDD3003" w14:textId="77777777" w:rsidR="003929D4" w:rsidRPr="00A942F6" w:rsidRDefault="003929D4" w:rsidP="00641834">
      <w:pPr>
        <w:rPr>
          <w:lang w:val="nb-NO"/>
        </w:rPr>
      </w:pPr>
    </w:p>
    <w:p w14:paraId="0687E46B" w14:textId="5F9D375A" w:rsidR="004A425F" w:rsidRPr="00A942F6" w:rsidRDefault="004A425F" w:rsidP="00641834">
      <w:pPr>
        <w:rPr>
          <w:lang w:val="nb-NO"/>
        </w:rPr>
      </w:pPr>
      <w:r w:rsidRPr="00A942F6">
        <w:rPr>
          <w:lang w:val="nb-NO"/>
        </w:rPr>
        <w:t xml:space="preserve">På grunn av mangel på klinisk erfaring, anbefales det ikke å bruke </w:t>
      </w:r>
      <w:r w:rsidR="00D9672B" w:rsidRPr="00A942F6">
        <w:rPr>
          <w:lang w:val="nb-NO"/>
        </w:rPr>
        <w:t>tocilizumab</w:t>
      </w:r>
      <w:r w:rsidRPr="00A942F6">
        <w:rPr>
          <w:lang w:val="nb-NO"/>
        </w:rPr>
        <w:t xml:space="preserve"> sammen med andre biologiske legemidler for behandling av RA, sJIA eller pJIA.</w:t>
      </w:r>
    </w:p>
    <w:p w14:paraId="2652A421" w14:textId="77777777" w:rsidR="004A425F" w:rsidRPr="00A942F6" w:rsidRDefault="004A425F" w:rsidP="00641834">
      <w:pPr>
        <w:rPr>
          <w:lang w:val="nb-NO"/>
        </w:rPr>
      </w:pPr>
    </w:p>
    <w:p w14:paraId="4B6F55DD" w14:textId="77777777" w:rsidR="004A425F" w:rsidRPr="00A942F6" w:rsidRDefault="004A425F" w:rsidP="00641834">
      <w:pPr>
        <w:pStyle w:val="bold"/>
        <w:rPr>
          <w:lang w:val="nb-NO"/>
        </w:rPr>
      </w:pPr>
      <w:r w:rsidRPr="00A942F6">
        <w:rPr>
          <w:lang w:val="nb-NO"/>
        </w:rPr>
        <w:t>Graviditet, amming og fertilitet</w:t>
      </w:r>
    </w:p>
    <w:p w14:paraId="093DCAE4" w14:textId="2D6156B5" w:rsidR="004A425F" w:rsidRPr="00A942F6" w:rsidRDefault="00923E68" w:rsidP="00641834">
      <w:pPr>
        <w:rPr>
          <w:lang w:val="nb-NO"/>
        </w:rPr>
      </w:pPr>
      <w:r w:rsidRPr="00A942F6">
        <w:rPr>
          <w:b/>
          <w:bCs/>
          <w:lang w:val="nb-NO"/>
        </w:rPr>
        <w:t>Avtozma</w:t>
      </w:r>
      <w:r w:rsidR="004A425F" w:rsidRPr="00A942F6">
        <w:rPr>
          <w:b/>
          <w:bCs/>
          <w:lang w:val="nb-NO"/>
        </w:rPr>
        <w:t xml:space="preserve"> skal ikke brukes under graviditet,</w:t>
      </w:r>
      <w:r w:rsidR="004A425F" w:rsidRPr="00A942F6">
        <w:rPr>
          <w:lang w:val="nb-NO"/>
        </w:rPr>
        <w:t xml:space="preserve"> hvis ikke strengt nødvendig. Snakk med legen før du tar dette legemidlet dersom du er gravid, tror at du kan være gravid eller planlegger å bli gravid.</w:t>
      </w:r>
    </w:p>
    <w:p w14:paraId="229D4ADF" w14:textId="77777777" w:rsidR="003929D4" w:rsidRPr="00A942F6" w:rsidRDefault="003929D4" w:rsidP="00641834">
      <w:pPr>
        <w:rPr>
          <w:lang w:val="nb-NO"/>
        </w:rPr>
      </w:pPr>
    </w:p>
    <w:p w14:paraId="074E0FC7" w14:textId="77777777" w:rsidR="004A425F" w:rsidRPr="00A942F6" w:rsidRDefault="004A425F" w:rsidP="00641834">
      <w:pPr>
        <w:rPr>
          <w:lang w:val="nb-NO"/>
        </w:rPr>
      </w:pPr>
      <w:r w:rsidRPr="00A942F6">
        <w:rPr>
          <w:b/>
          <w:bCs/>
          <w:lang w:val="nb-NO"/>
        </w:rPr>
        <w:t>Fruktbare kvinner (fertile kvinner)</w:t>
      </w:r>
      <w:r w:rsidRPr="00A942F6">
        <w:rPr>
          <w:lang w:val="nb-NO"/>
        </w:rPr>
        <w:t xml:space="preserve"> må bruke sikker prevensjon under og opptil 3 måneder etter behandlingen.</w:t>
      </w:r>
    </w:p>
    <w:p w14:paraId="58BFF2B3" w14:textId="77777777" w:rsidR="003929D4" w:rsidRPr="00A942F6" w:rsidRDefault="003929D4" w:rsidP="00641834">
      <w:pPr>
        <w:rPr>
          <w:lang w:val="nb-NO"/>
        </w:rPr>
      </w:pPr>
    </w:p>
    <w:p w14:paraId="56CE99B6" w14:textId="44437944" w:rsidR="004A425F" w:rsidRPr="00A942F6" w:rsidRDefault="004A425F" w:rsidP="00641834">
      <w:pPr>
        <w:rPr>
          <w:lang w:val="nb-NO"/>
        </w:rPr>
      </w:pPr>
      <w:r w:rsidRPr="00A942F6">
        <w:rPr>
          <w:b/>
          <w:bCs/>
          <w:lang w:val="nb-NO"/>
        </w:rPr>
        <w:t xml:space="preserve">Avbryt ammingen hvis du skal få </w:t>
      </w:r>
      <w:r w:rsidR="00923E68" w:rsidRPr="00A942F6">
        <w:rPr>
          <w:b/>
          <w:bCs/>
          <w:lang w:val="nb-NO"/>
        </w:rPr>
        <w:t>Avtozma</w:t>
      </w:r>
      <w:r w:rsidRPr="00A942F6">
        <w:rPr>
          <w:lang w:val="nb-NO"/>
        </w:rPr>
        <w:t xml:space="preserve"> og snakk med lege. Før du starter å amme bør du ha fått siste dose av </w:t>
      </w:r>
      <w:r w:rsidR="00923E68" w:rsidRPr="00A942F6">
        <w:rPr>
          <w:lang w:val="nb-NO"/>
        </w:rPr>
        <w:t>Avtozma</w:t>
      </w:r>
      <w:r w:rsidRPr="00A942F6">
        <w:rPr>
          <w:lang w:val="nb-NO"/>
        </w:rPr>
        <w:t xml:space="preserve"> for minst 3 måneder siden. Det er ukjent om </w:t>
      </w:r>
      <w:r w:rsidR="00923E68" w:rsidRPr="00A942F6">
        <w:rPr>
          <w:lang w:val="nb-NO"/>
        </w:rPr>
        <w:t>Avtozma</w:t>
      </w:r>
      <w:r w:rsidRPr="00A942F6">
        <w:rPr>
          <w:lang w:val="nb-NO"/>
        </w:rPr>
        <w:t xml:space="preserve"> skilles ut i morsmelk.</w:t>
      </w:r>
    </w:p>
    <w:p w14:paraId="4EEBCF68" w14:textId="77777777" w:rsidR="004A425F" w:rsidRPr="00A942F6" w:rsidRDefault="004A425F" w:rsidP="00641834">
      <w:pPr>
        <w:rPr>
          <w:lang w:val="nb-NO"/>
        </w:rPr>
      </w:pPr>
    </w:p>
    <w:p w14:paraId="47809F06" w14:textId="77777777" w:rsidR="004A425F" w:rsidRPr="00A942F6" w:rsidRDefault="004A425F" w:rsidP="00641834">
      <w:pPr>
        <w:rPr>
          <w:lang w:val="nb-NO"/>
        </w:rPr>
      </w:pPr>
      <w:r w:rsidRPr="00A942F6">
        <w:rPr>
          <w:lang w:val="nb-NO"/>
        </w:rPr>
        <w:t>Data som så langt er tilgjengelige, antyder ingen effekt på fruktbarheten ved denne behandlingen.</w:t>
      </w:r>
    </w:p>
    <w:p w14:paraId="2C6185A5" w14:textId="77777777" w:rsidR="004A425F" w:rsidRPr="00A942F6" w:rsidRDefault="004A425F" w:rsidP="00641834">
      <w:pPr>
        <w:rPr>
          <w:lang w:val="nb-NO"/>
        </w:rPr>
      </w:pPr>
    </w:p>
    <w:p w14:paraId="3450C3F6" w14:textId="77777777" w:rsidR="004A425F" w:rsidRPr="00A942F6" w:rsidRDefault="004A425F" w:rsidP="00641834">
      <w:pPr>
        <w:pStyle w:val="bold"/>
        <w:rPr>
          <w:lang w:val="nb-NO"/>
        </w:rPr>
      </w:pPr>
      <w:r w:rsidRPr="00A942F6">
        <w:rPr>
          <w:lang w:val="nb-NO"/>
        </w:rPr>
        <w:t>Kjøring og bruk av maskiner</w:t>
      </w:r>
    </w:p>
    <w:p w14:paraId="197A96FA" w14:textId="77777777" w:rsidR="004A425F" w:rsidRPr="00A942F6" w:rsidRDefault="004A425F" w:rsidP="00641834">
      <w:pPr>
        <w:rPr>
          <w:lang w:val="nb-NO"/>
        </w:rPr>
      </w:pPr>
      <w:r w:rsidRPr="00A942F6">
        <w:rPr>
          <w:lang w:val="nb-NO"/>
        </w:rPr>
        <w:t>Dette legemidlet kan forårsake svimmelhet. Hvis du opplever å bli svimmel, skal du ikke kjøre bil eller bruke maskiner.</w:t>
      </w:r>
    </w:p>
    <w:p w14:paraId="0EFEA9CC" w14:textId="77777777" w:rsidR="003929D4" w:rsidRPr="00A942F6" w:rsidRDefault="003929D4" w:rsidP="00641834">
      <w:pPr>
        <w:rPr>
          <w:lang w:val="nb-NO"/>
        </w:rPr>
      </w:pPr>
    </w:p>
    <w:p w14:paraId="5AC4BAB2" w14:textId="10031562" w:rsidR="004A425F" w:rsidRPr="00A942F6" w:rsidRDefault="00923E68" w:rsidP="00641834">
      <w:pPr>
        <w:pStyle w:val="bold"/>
        <w:rPr>
          <w:lang w:val="nb-NO"/>
        </w:rPr>
      </w:pPr>
      <w:r w:rsidRPr="00A942F6">
        <w:rPr>
          <w:lang w:val="nb-NO"/>
        </w:rPr>
        <w:t>Avtozma</w:t>
      </w:r>
      <w:r w:rsidR="004A425F" w:rsidRPr="00A942F6">
        <w:rPr>
          <w:lang w:val="nb-NO"/>
        </w:rPr>
        <w:t xml:space="preserve"> inneholder </w:t>
      </w:r>
      <w:r w:rsidR="00DA39F0" w:rsidRPr="00A942F6">
        <w:rPr>
          <w:lang w:val="nb-NO"/>
        </w:rPr>
        <w:t>polysorbat</w:t>
      </w:r>
    </w:p>
    <w:p w14:paraId="483B125C" w14:textId="0BD1A036" w:rsidR="004A425F" w:rsidRPr="00A942F6" w:rsidRDefault="004A425F" w:rsidP="00641834">
      <w:pPr>
        <w:rPr>
          <w:lang w:val="nb-NO"/>
        </w:rPr>
      </w:pPr>
      <w:r w:rsidRPr="00A942F6">
        <w:rPr>
          <w:lang w:val="nb-NO"/>
        </w:rPr>
        <w:t xml:space="preserve">Dette legemidlet inneholder </w:t>
      </w:r>
      <w:r w:rsidR="00DA39F0" w:rsidRPr="00A942F6">
        <w:rPr>
          <w:lang w:val="nb-NO"/>
        </w:rPr>
        <w:t xml:space="preserve">0,5 mg polysorbat 80 per ml. Polysorbater kan forårsake allergiske reaksjoner. </w:t>
      </w:r>
      <w:r w:rsidR="00094F69" w:rsidRPr="00A942F6">
        <w:rPr>
          <w:lang w:val="nb-NO"/>
        </w:rPr>
        <w:t>Snakk med</w:t>
      </w:r>
      <w:r w:rsidR="00DA39F0" w:rsidRPr="00A942F6">
        <w:rPr>
          <w:lang w:val="nb-NO"/>
        </w:rPr>
        <w:t xml:space="preserve"> legen din </w:t>
      </w:r>
      <w:r w:rsidR="00094F69" w:rsidRPr="00A942F6">
        <w:rPr>
          <w:lang w:val="nb-NO"/>
        </w:rPr>
        <w:t xml:space="preserve">hvis </w:t>
      </w:r>
      <w:r w:rsidR="00DA39F0" w:rsidRPr="00A942F6">
        <w:rPr>
          <w:lang w:val="nb-NO"/>
        </w:rPr>
        <w:t>du har kjente allergier</w:t>
      </w:r>
      <w:r w:rsidRPr="00A942F6">
        <w:rPr>
          <w:lang w:val="nb-NO"/>
        </w:rPr>
        <w:t>.</w:t>
      </w:r>
    </w:p>
    <w:p w14:paraId="1D3C2924" w14:textId="77777777" w:rsidR="004A425F" w:rsidRPr="00A942F6" w:rsidRDefault="004A425F" w:rsidP="00641834">
      <w:pPr>
        <w:rPr>
          <w:lang w:val="nb-NO"/>
        </w:rPr>
      </w:pPr>
    </w:p>
    <w:p w14:paraId="28031C20" w14:textId="77777777" w:rsidR="004A425F" w:rsidRPr="00A942F6" w:rsidRDefault="004A425F" w:rsidP="00641834">
      <w:pPr>
        <w:rPr>
          <w:lang w:val="nb-NO"/>
        </w:rPr>
      </w:pPr>
    </w:p>
    <w:p w14:paraId="1A5ACD7F" w14:textId="03FBFD87" w:rsidR="004A425F" w:rsidRPr="00A942F6" w:rsidRDefault="004A425F" w:rsidP="00641834">
      <w:pPr>
        <w:pStyle w:val="H2"/>
        <w:rPr>
          <w:lang w:val="nb-NO"/>
        </w:rPr>
      </w:pPr>
      <w:r w:rsidRPr="00A942F6">
        <w:rPr>
          <w:lang w:val="nb-NO"/>
        </w:rPr>
        <w:t>3.</w:t>
      </w:r>
      <w:r w:rsidRPr="00A942F6">
        <w:rPr>
          <w:lang w:val="nb-NO"/>
        </w:rPr>
        <w:tab/>
        <w:t xml:space="preserve">Hvordan </w:t>
      </w:r>
      <w:r w:rsidR="00923E68" w:rsidRPr="00A942F6">
        <w:rPr>
          <w:lang w:val="nb-NO"/>
        </w:rPr>
        <w:t>Avtozma</w:t>
      </w:r>
      <w:r w:rsidRPr="00A942F6">
        <w:rPr>
          <w:lang w:val="nb-NO"/>
        </w:rPr>
        <w:t xml:space="preserve"> blir gitt</w:t>
      </w:r>
    </w:p>
    <w:p w14:paraId="288A3AC2" w14:textId="77777777" w:rsidR="004A425F" w:rsidRPr="00A942F6" w:rsidRDefault="004A425F" w:rsidP="00641834">
      <w:pPr>
        <w:rPr>
          <w:lang w:val="nb-NO"/>
        </w:rPr>
      </w:pPr>
    </w:p>
    <w:p w14:paraId="59FCF21A" w14:textId="77777777" w:rsidR="004A425F" w:rsidRPr="00A942F6" w:rsidRDefault="004A425F" w:rsidP="00641834">
      <w:pPr>
        <w:rPr>
          <w:lang w:val="nb-NO"/>
        </w:rPr>
      </w:pPr>
      <w:r w:rsidRPr="00A942F6">
        <w:rPr>
          <w:lang w:val="nb-NO"/>
        </w:rPr>
        <w:t>Dette legemidlet er underlagt begrenset forskriving av legen din.</w:t>
      </w:r>
    </w:p>
    <w:p w14:paraId="57E0B02D" w14:textId="77777777" w:rsidR="004A425F" w:rsidRPr="00A942F6" w:rsidRDefault="004A425F" w:rsidP="00641834">
      <w:pPr>
        <w:rPr>
          <w:lang w:val="nb-NO"/>
        </w:rPr>
      </w:pPr>
    </w:p>
    <w:p w14:paraId="61D39B4B" w14:textId="7539E993" w:rsidR="004A425F" w:rsidRPr="00A942F6" w:rsidRDefault="00923E68" w:rsidP="00641834">
      <w:pPr>
        <w:rPr>
          <w:lang w:val="nb-NO"/>
        </w:rPr>
      </w:pPr>
      <w:r w:rsidRPr="00A942F6">
        <w:rPr>
          <w:lang w:val="nb-NO"/>
        </w:rPr>
        <w:t>Avtozma</w:t>
      </w:r>
      <w:r w:rsidR="004A425F" w:rsidRPr="00A942F6">
        <w:rPr>
          <w:lang w:val="nb-NO"/>
        </w:rPr>
        <w:t xml:space="preserve"> vil bli gitt til </w:t>
      </w:r>
      <w:r w:rsidR="004A425F" w:rsidRPr="00A942F6">
        <w:rPr>
          <w:b/>
          <w:bCs/>
          <w:lang w:val="nb-NO"/>
        </w:rPr>
        <w:t>deg</w:t>
      </w:r>
      <w:r w:rsidR="004A425F" w:rsidRPr="00A942F6">
        <w:rPr>
          <w:lang w:val="nb-NO"/>
        </w:rPr>
        <w:t xml:space="preserve"> av en lege eller sykepleier </w:t>
      </w:r>
      <w:r w:rsidR="004A425F" w:rsidRPr="00A942F6">
        <w:rPr>
          <w:b/>
          <w:bCs/>
          <w:lang w:val="nb-NO"/>
        </w:rPr>
        <w:t>som et drypp i en blodåre (en vene)</w:t>
      </w:r>
      <w:r w:rsidR="004A425F" w:rsidRPr="00A942F6">
        <w:rPr>
          <w:lang w:val="nb-NO"/>
        </w:rPr>
        <w:t>. De vil fortynne oppløsningen, sette opp den intravenøse oppløsningen og overvåke deg under og etter behandlingen.</w:t>
      </w:r>
    </w:p>
    <w:p w14:paraId="0DF96A22" w14:textId="77777777" w:rsidR="004A425F" w:rsidRPr="00A942F6" w:rsidRDefault="004A425F" w:rsidP="00641834">
      <w:pPr>
        <w:rPr>
          <w:lang w:val="nb-NO"/>
        </w:rPr>
      </w:pPr>
    </w:p>
    <w:p w14:paraId="346964AE" w14:textId="77777777" w:rsidR="004A425F" w:rsidRPr="00A942F6" w:rsidRDefault="004A425F" w:rsidP="00641834">
      <w:pPr>
        <w:pStyle w:val="bold"/>
        <w:keepNext/>
        <w:rPr>
          <w:lang w:val="nb-NO"/>
        </w:rPr>
      </w:pPr>
      <w:r w:rsidRPr="00A942F6">
        <w:rPr>
          <w:lang w:val="nb-NO"/>
        </w:rPr>
        <w:t>Voksne RA-pasienter</w:t>
      </w:r>
    </w:p>
    <w:p w14:paraId="4A48483E" w14:textId="49C29BD2" w:rsidR="004A425F" w:rsidRPr="00A942F6" w:rsidRDefault="004A425F" w:rsidP="00641834">
      <w:pPr>
        <w:rPr>
          <w:lang w:val="nb-NO"/>
        </w:rPr>
      </w:pPr>
      <w:r w:rsidRPr="00A942F6">
        <w:rPr>
          <w:lang w:val="nb-NO"/>
        </w:rPr>
        <w:t xml:space="preserve">Vanlig dosering for </w:t>
      </w:r>
      <w:r w:rsidR="00923E68" w:rsidRPr="00A942F6">
        <w:rPr>
          <w:lang w:val="nb-NO"/>
        </w:rPr>
        <w:t>Avtozma</w:t>
      </w:r>
      <w:r w:rsidRPr="00A942F6">
        <w:rPr>
          <w:lang w:val="nb-NO"/>
        </w:rPr>
        <w:t xml:space="preserve"> er 8 mg per kg kroppsvekt. Avhengig av respons kan legen redusere dosen til 4 mg/kg og øke tilbake til 8 mg/kg ved behov.</w:t>
      </w:r>
    </w:p>
    <w:p w14:paraId="520854FA" w14:textId="77777777" w:rsidR="002665E3" w:rsidRPr="00A942F6" w:rsidRDefault="002665E3" w:rsidP="00641834">
      <w:pPr>
        <w:rPr>
          <w:lang w:val="nb-NO"/>
        </w:rPr>
      </w:pPr>
    </w:p>
    <w:p w14:paraId="24B0EE96" w14:textId="49E0A506" w:rsidR="004A425F" w:rsidRPr="00A942F6" w:rsidRDefault="004A425F" w:rsidP="00641834">
      <w:pPr>
        <w:rPr>
          <w:lang w:val="nb-NO"/>
        </w:rPr>
      </w:pPr>
      <w:r w:rsidRPr="00A942F6">
        <w:rPr>
          <w:lang w:val="nb-NO"/>
        </w:rPr>
        <w:t xml:space="preserve">Voksne vil få </w:t>
      </w:r>
      <w:r w:rsidR="00923E68" w:rsidRPr="00A942F6">
        <w:rPr>
          <w:lang w:val="nb-NO"/>
        </w:rPr>
        <w:t>Avtozma</w:t>
      </w:r>
      <w:r w:rsidRPr="00A942F6">
        <w:rPr>
          <w:lang w:val="nb-NO"/>
        </w:rPr>
        <w:t xml:space="preserve"> en gang hver 4. uke som drypp i en blodåre (intravenøs infusjon i en vene) over én time.</w:t>
      </w:r>
    </w:p>
    <w:p w14:paraId="32BDBC52" w14:textId="77777777" w:rsidR="004A425F" w:rsidRPr="00A942F6" w:rsidRDefault="004A425F" w:rsidP="00641834">
      <w:pPr>
        <w:rPr>
          <w:lang w:val="nb-NO"/>
        </w:rPr>
      </w:pPr>
    </w:p>
    <w:p w14:paraId="33EE68BC" w14:textId="77777777" w:rsidR="004A425F" w:rsidRPr="00A942F6" w:rsidRDefault="004A425F" w:rsidP="00641834">
      <w:pPr>
        <w:pStyle w:val="boldunderline"/>
        <w:rPr>
          <w:lang w:val="nb-NO"/>
        </w:rPr>
      </w:pPr>
      <w:r w:rsidRPr="00A942F6">
        <w:rPr>
          <w:lang w:val="nb-NO"/>
        </w:rPr>
        <w:t>Barn med sJIA (2 år og oppover)</w:t>
      </w:r>
    </w:p>
    <w:p w14:paraId="5C34D10F" w14:textId="4A27B9EF" w:rsidR="004A425F" w:rsidRPr="00A942F6" w:rsidRDefault="004A425F" w:rsidP="00641834">
      <w:pPr>
        <w:rPr>
          <w:lang w:val="nb-NO"/>
        </w:rPr>
      </w:pPr>
      <w:r w:rsidRPr="00A942F6">
        <w:rPr>
          <w:lang w:val="nb-NO"/>
        </w:rPr>
        <w:t xml:space="preserve">Den vanlige dosen av </w:t>
      </w:r>
      <w:r w:rsidR="00923E68" w:rsidRPr="00A942F6">
        <w:rPr>
          <w:lang w:val="nb-NO"/>
        </w:rPr>
        <w:t>Avtozma</w:t>
      </w:r>
      <w:r w:rsidRPr="00A942F6">
        <w:rPr>
          <w:lang w:val="nb-NO"/>
        </w:rPr>
        <w:t xml:space="preserve"> er avhengig av vekten din.</w:t>
      </w:r>
    </w:p>
    <w:p w14:paraId="71450157" w14:textId="77777777" w:rsidR="004A425F" w:rsidRPr="00A942F6" w:rsidRDefault="004A425F" w:rsidP="00641834">
      <w:pPr>
        <w:pStyle w:val="Bullet1cm"/>
        <w:rPr>
          <w:lang w:val="nb-NO"/>
        </w:rPr>
      </w:pPr>
      <w:r w:rsidRPr="00A942F6">
        <w:rPr>
          <w:lang w:val="nb-NO"/>
        </w:rPr>
        <w:t xml:space="preserve">Hvis du veier mindre enn 30 kg, er dosen </w:t>
      </w:r>
      <w:r w:rsidRPr="00A942F6">
        <w:rPr>
          <w:b/>
          <w:bCs/>
          <w:lang w:val="nb-NO"/>
        </w:rPr>
        <w:t>12 mg for hver kilo kroppsvekt</w:t>
      </w:r>
    </w:p>
    <w:p w14:paraId="7F515F16" w14:textId="77777777" w:rsidR="004A425F" w:rsidRPr="00A942F6" w:rsidRDefault="004A425F" w:rsidP="00641834">
      <w:pPr>
        <w:pStyle w:val="Bullet1cm"/>
        <w:rPr>
          <w:b/>
          <w:bCs/>
          <w:lang w:val="nb-NO"/>
        </w:rPr>
      </w:pPr>
      <w:r w:rsidRPr="00A942F6">
        <w:rPr>
          <w:lang w:val="nb-NO"/>
        </w:rPr>
        <w:t xml:space="preserve">Hvis du veier 30 kg eller mer, er dosen </w:t>
      </w:r>
      <w:r w:rsidRPr="00A942F6">
        <w:rPr>
          <w:b/>
          <w:bCs/>
          <w:lang w:val="nb-NO"/>
        </w:rPr>
        <w:t>8 mg for hver kilo kroppsvekt</w:t>
      </w:r>
    </w:p>
    <w:p w14:paraId="6FB9D230" w14:textId="7114EF19" w:rsidR="004A425F" w:rsidRPr="00A942F6" w:rsidRDefault="004A425F" w:rsidP="00641834">
      <w:pPr>
        <w:rPr>
          <w:lang w:val="nb-NO"/>
        </w:rPr>
      </w:pPr>
      <w:r w:rsidRPr="00A942F6">
        <w:rPr>
          <w:lang w:val="nb-NO"/>
        </w:rPr>
        <w:t xml:space="preserve">Dosen beregnes ut fra kroppsvekten din hver gang du skal ha </w:t>
      </w:r>
      <w:r w:rsidR="00923E68" w:rsidRPr="00A942F6">
        <w:rPr>
          <w:lang w:val="nb-NO"/>
        </w:rPr>
        <w:t>Avtozma</w:t>
      </w:r>
      <w:r w:rsidRPr="00A942F6">
        <w:rPr>
          <w:lang w:val="nb-NO"/>
        </w:rPr>
        <w:t>.</w:t>
      </w:r>
    </w:p>
    <w:p w14:paraId="46C17DBD" w14:textId="77777777" w:rsidR="004A425F" w:rsidRPr="00A942F6" w:rsidRDefault="004A425F" w:rsidP="00641834">
      <w:pPr>
        <w:rPr>
          <w:lang w:val="nb-NO"/>
        </w:rPr>
      </w:pPr>
    </w:p>
    <w:p w14:paraId="080190B5" w14:textId="4B2573CA" w:rsidR="004A425F" w:rsidRPr="00A942F6" w:rsidRDefault="004A425F" w:rsidP="00641834">
      <w:pPr>
        <w:rPr>
          <w:lang w:val="nb-NO"/>
        </w:rPr>
      </w:pPr>
      <w:r w:rsidRPr="00A942F6">
        <w:rPr>
          <w:lang w:val="nb-NO"/>
        </w:rPr>
        <w:t xml:space="preserve">Barn med sJIA vil få </w:t>
      </w:r>
      <w:r w:rsidR="00923E68" w:rsidRPr="00A942F6">
        <w:rPr>
          <w:lang w:val="nb-NO"/>
        </w:rPr>
        <w:t>Avtozma</w:t>
      </w:r>
      <w:r w:rsidRPr="00A942F6">
        <w:rPr>
          <w:lang w:val="nb-NO"/>
        </w:rPr>
        <w:t xml:space="preserve"> en gang hver 2. uke som drypp i en blodåre (intravenøs infusjon i en vene) over 1 time.</w:t>
      </w:r>
    </w:p>
    <w:p w14:paraId="3F192973" w14:textId="77777777" w:rsidR="004A425F" w:rsidRPr="00A942F6" w:rsidRDefault="004A425F" w:rsidP="00641834">
      <w:pPr>
        <w:rPr>
          <w:lang w:val="nb-NO"/>
        </w:rPr>
      </w:pPr>
    </w:p>
    <w:p w14:paraId="4357F55F" w14:textId="77777777" w:rsidR="004A425F" w:rsidRPr="00A942F6" w:rsidRDefault="004A425F" w:rsidP="00641834">
      <w:pPr>
        <w:pStyle w:val="boldunderline"/>
        <w:rPr>
          <w:lang w:val="nb-NO"/>
        </w:rPr>
      </w:pPr>
      <w:r w:rsidRPr="00A942F6">
        <w:rPr>
          <w:lang w:val="nb-NO"/>
        </w:rPr>
        <w:t>Barn med pJIA (2 år og oppover)</w:t>
      </w:r>
    </w:p>
    <w:p w14:paraId="206D1A20" w14:textId="76D7E0D3" w:rsidR="004A425F" w:rsidRPr="00A942F6" w:rsidRDefault="004A425F" w:rsidP="00641834">
      <w:pPr>
        <w:rPr>
          <w:lang w:val="nb-NO"/>
        </w:rPr>
      </w:pPr>
      <w:r w:rsidRPr="00A942F6">
        <w:rPr>
          <w:lang w:val="nb-NO"/>
        </w:rPr>
        <w:t xml:space="preserve">Vanlig dose av </w:t>
      </w:r>
      <w:r w:rsidR="00923E68" w:rsidRPr="00A942F6">
        <w:rPr>
          <w:lang w:val="nb-NO"/>
        </w:rPr>
        <w:t>Avtozma</w:t>
      </w:r>
      <w:r w:rsidRPr="00A942F6">
        <w:rPr>
          <w:lang w:val="nb-NO"/>
        </w:rPr>
        <w:t xml:space="preserve"> er avhengig av vekten din.</w:t>
      </w:r>
    </w:p>
    <w:p w14:paraId="14900496" w14:textId="77777777" w:rsidR="004A425F" w:rsidRPr="00A942F6" w:rsidRDefault="004A425F" w:rsidP="00641834">
      <w:pPr>
        <w:pStyle w:val="Bullet1cm"/>
        <w:rPr>
          <w:b/>
          <w:bCs/>
          <w:lang w:val="nb-NO"/>
        </w:rPr>
      </w:pPr>
      <w:r w:rsidRPr="00A942F6">
        <w:rPr>
          <w:lang w:val="nb-NO"/>
        </w:rPr>
        <w:t xml:space="preserve">Hvis du veier mindre enn 30 kg, er dosen </w:t>
      </w:r>
      <w:r w:rsidRPr="00A942F6">
        <w:rPr>
          <w:b/>
          <w:bCs/>
          <w:lang w:val="nb-NO"/>
        </w:rPr>
        <w:t>10 mg for hver kilo kroppsvekt</w:t>
      </w:r>
    </w:p>
    <w:p w14:paraId="740CA27D" w14:textId="77777777" w:rsidR="004A425F" w:rsidRPr="00A942F6" w:rsidRDefault="004A425F" w:rsidP="00641834">
      <w:pPr>
        <w:pStyle w:val="Bullet1cm"/>
        <w:rPr>
          <w:b/>
          <w:bCs/>
          <w:lang w:val="nb-NO"/>
        </w:rPr>
      </w:pPr>
      <w:r w:rsidRPr="00A942F6">
        <w:rPr>
          <w:lang w:val="nb-NO"/>
        </w:rPr>
        <w:t xml:space="preserve">Hvis du veier 30 kg eller mer, er dosen </w:t>
      </w:r>
      <w:r w:rsidRPr="00A942F6">
        <w:rPr>
          <w:b/>
          <w:bCs/>
          <w:lang w:val="nb-NO"/>
        </w:rPr>
        <w:t>8 mg for hver kilo kroppsvekt</w:t>
      </w:r>
    </w:p>
    <w:p w14:paraId="23C297DD" w14:textId="52D8F3B1" w:rsidR="004A425F" w:rsidRPr="00A942F6" w:rsidRDefault="004A425F" w:rsidP="00641834">
      <w:pPr>
        <w:rPr>
          <w:lang w:val="nb-NO"/>
        </w:rPr>
      </w:pPr>
      <w:r w:rsidRPr="00A942F6">
        <w:rPr>
          <w:lang w:val="nb-NO"/>
        </w:rPr>
        <w:t xml:space="preserve">Dosen beregnes ut fra kroppsvekten din hver gang du skal ha </w:t>
      </w:r>
      <w:r w:rsidR="00923E68" w:rsidRPr="00A942F6">
        <w:rPr>
          <w:lang w:val="nb-NO"/>
        </w:rPr>
        <w:t>Avtozma</w:t>
      </w:r>
      <w:r w:rsidRPr="00A942F6">
        <w:rPr>
          <w:lang w:val="nb-NO"/>
        </w:rPr>
        <w:t>.</w:t>
      </w:r>
    </w:p>
    <w:p w14:paraId="7B48B5E6" w14:textId="77777777" w:rsidR="004A425F" w:rsidRPr="00A942F6" w:rsidRDefault="004A425F" w:rsidP="00641834">
      <w:pPr>
        <w:rPr>
          <w:lang w:val="nb-NO"/>
        </w:rPr>
      </w:pPr>
    </w:p>
    <w:p w14:paraId="2F7736BC" w14:textId="68099CA6" w:rsidR="004A425F" w:rsidRPr="00A942F6" w:rsidRDefault="004A425F" w:rsidP="00641834">
      <w:pPr>
        <w:rPr>
          <w:lang w:val="nb-NO"/>
        </w:rPr>
      </w:pPr>
      <w:r w:rsidRPr="00A942F6">
        <w:rPr>
          <w:lang w:val="nb-NO"/>
        </w:rPr>
        <w:t xml:space="preserve">Barn med pJIA vil få </w:t>
      </w:r>
      <w:r w:rsidR="00923E68" w:rsidRPr="00A942F6">
        <w:rPr>
          <w:lang w:val="nb-NO"/>
        </w:rPr>
        <w:t>Avtozma</w:t>
      </w:r>
      <w:r w:rsidRPr="00A942F6">
        <w:rPr>
          <w:lang w:val="nb-NO"/>
        </w:rPr>
        <w:t xml:space="preserve"> én gang hver 4. uke som drypp i en blodåre (intravenøs infusjon) over én time.</w:t>
      </w:r>
    </w:p>
    <w:p w14:paraId="0B7B9FA5" w14:textId="77777777" w:rsidR="004A425F" w:rsidRPr="00A942F6" w:rsidRDefault="004A425F" w:rsidP="00641834">
      <w:pPr>
        <w:rPr>
          <w:lang w:val="nb-NO"/>
        </w:rPr>
      </w:pPr>
    </w:p>
    <w:p w14:paraId="20A82C26" w14:textId="77777777" w:rsidR="004A425F" w:rsidRPr="00A942F6" w:rsidRDefault="004A425F" w:rsidP="00641834">
      <w:pPr>
        <w:pStyle w:val="boldunderline"/>
        <w:rPr>
          <w:lang w:val="nb-NO"/>
        </w:rPr>
      </w:pPr>
      <w:r w:rsidRPr="00A942F6">
        <w:rPr>
          <w:lang w:val="nb-NO"/>
        </w:rPr>
        <w:t>Pasienter med CRS</w:t>
      </w:r>
    </w:p>
    <w:p w14:paraId="6EB271E9" w14:textId="53CB73DB" w:rsidR="004A425F" w:rsidRPr="00A942F6" w:rsidRDefault="004A425F" w:rsidP="00641834">
      <w:pPr>
        <w:rPr>
          <w:lang w:val="nb-NO"/>
        </w:rPr>
      </w:pPr>
      <w:r w:rsidRPr="00A942F6">
        <w:rPr>
          <w:lang w:val="nb-NO"/>
        </w:rPr>
        <w:t xml:space="preserve">Den vanlige dosen av </w:t>
      </w:r>
      <w:r w:rsidR="00923E68" w:rsidRPr="00A942F6">
        <w:rPr>
          <w:lang w:val="nb-NO"/>
        </w:rPr>
        <w:t>Avtozma</w:t>
      </w:r>
      <w:r w:rsidRPr="00A942F6">
        <w:rPr>
          <w:lang w:val="nb-NO"/>
        </w:rPr>
        <w:t xml:space="preserve"> er </w:t>
      </w:r>
      <w:r w:rsidRPr="00A942F6">
        <w:rPr>
          <w:b/>
          <w:bCs/>
          <w:lang w:val="nb-NO"/>
        </w:rPr>
        <w:t>8 mg for hver kg kroppsvekt hvis du veier 30 kg eller mer.</w:t>
      </w:r>
    </w:p>
    <w:p w14:paraId="4EC8FC1E" w14:textId="77777777" w:rsidR="004A425F" w:rsidRPr="00A942F6" w:rsidRDefault="004A425F" w:rsidP="00641834">
      <w:pPr>
        <w:rPr>
          <w:b/>
          <w:bCs/>
          <w:lang w:val="nb-NO"/>
        </w:rPr>
      </w:pPr>
      <w:r w:rsidRPr="00A942F6">
        <w:rPr>
          <w:lang w:val="nb-NO"/>
        </w:rPr>
        <w:t xml:space="preserve">Dosen er </w:t>
      </w:r>
      <w:r w:rsidRPr="00A942F6">
        <w:rPr>
          <w:b/>
          <w:bCs/>
          <w:lang w:val="nb-NO"/>
        </w:rPr>
        <w:t>12 mg for hver kg kroppsvekt hvis du veier mindre enn 30 kg.</w:t>
      </w:r>
    </w:p>
    <w:p w14:paraId="0F7CEA23" w14:textId="3F287372" w:rsidR="004A425F" w:rsidRPr="00A942F6" w:rsidRDefault="00923E68" w:rsidP="00641834">
      <w:pPr>
        <w:rPr>
          <w:lang w:val="nb-NO"/>
        </w:rPr>
      </w:pPr>
      <w:r w:rsidRPr="00A942F6">
        <w:rPr>
          <w:lang w:val="nb-NO"/>
        </w:rPr>
        <w:t>Avtozma</w:t>
      </w:r>
      <w:r w:rsidR="004A425F" w:rsidRPr="00A942F6">
        <w:rPr>
          <w:lang w:val="nb-NO"/>
        </w:rPr>
        <w:t xml:space="preserve"> kan gis alene eller i kombinasjon med kortikosteroider.</w:t>
      </w:r>
    </w:p>
    <w:p w14:paraId="462EEF05" w14:textId="77777777" w:rsidR="004A425F" w:rsidRPr="00A942F6" w:rsidRDefault="004A425F" w:rsidP="00641834">
      <w:pPr>
        <w:rPr>
          <w:lang w:val="nb-NO"/>
        </w:rPr>
      </w:pPr>
    </w:p>
    <w:p w14:paraId="11947666" w14:textId="77777777" w:rsidR="004A425F" w:rsidRPr="00A942F6" w:rsidRDefault="004A425F" w:rsidP="00641834">
      <w:pPr>
        <w:pStyle w:val="boldunderline"/>
        <w:rPr>
          <w:lang w:val="nb-NO"/>
        </w:rPr>
      </w:pPr>
      <w:r w:rsidRPr="00A942F6">
        <w:rPr>
          <w:lang w:val="nb-NO"/>
        </w:rPr>
        <w:t>Pasienter med covid-19</w:t>
      </w:r>
    </w:p>
    <w:p w14:paraId="078EE9E5" w14:textId="0DE1C2EB" w:rsidR="004A425F" w:rsidRPr="00A942F6" w:rsidRDefault="004A425F" w:rsidP="00641834">
      <w:pPr>
        <w:rPr>
          <w:lang w:val="nb-NO"/>
        </w:rPr>
      </w:pPr>
      <w:r w:rsidRPr="00A942F6">
        <w:rPr>
          <w:lang w:val="nb-NO"/>
        </w:rPr>
        <w:t xml:space="preserve">Den vanlige dosen av </w:t>
      </w:r>
      <w:r w:rsidR="00923E68" w:rsidRPr="00A942F6">
        <w:rPr>
          <w:lang w:val="nb-NO"/>
        </w:rPr>
        <w:t>Avtozma</w:t>
      </w:r>
      <w:r w:rsidRPr="00A942F6">
        <w:rPr>
          <w:lang w:val="nb-NO"/>
        </w:rPr>
        <w:t xml:space="preserve"> er </w:t>
      </w:r>
      <w:r w:rsidRPr="00A942F6">
        <w:rPr>
          <w:b/>
          <w:bCs/>
          <w:lang w:val="nb-NO"/>
        </w:rPr>
        <w:t xml:space="preserve">8 mg for hver kg kroppsvekt. </w:t>
      </w:r>
      <w:r w:rsidRPr="00A942F6">
        <w:rPr>
          <w:lang w:val="nb-NO"/>
        </w:rPr>
        <w:t>En andre dose kan være nødvendig.</w:t>
      </w:r>
    </w:p>
    <w:p w14:paraId="10AFAA92" w14:textId="77777777" w:rsidR="004A425F" w:rsidRPr="00A942F6" w:rsidRDefault="004A425F" w:rsidP="00641834">
      <w:pPr>
        <w:rPr>
          <w:lang w:val="nb-NO"/>
        </w:rPr>
      </w:pPr>
    </w:p>
    <w:p w14:paraId="3E2F553E" w14:textId="28FF776E" w:rsidR="004A425F" w:rsidRPr="00A942F6" w:rsidRDefault="004A425F" w:rsidP="00641834">
      <w:pPr>
        <w:rPr>
          <w:b/>
          <w:bCs/>
          <w:lang w:val="nb-NO"/>
        </w:rPr>
      </w:pPr>
      <w:r w:rsidRPr="00A942F6">
        <w:rPr>
          <w:b/>
          <w:bCs/>
          <w:lang w:val="nb-NO"/>
        </w:rPr>
        <w:t xml:space="preserve">Dersom du gis for mye av </w:t>
      </w:r>
      <w:r w:rsidR="00923E68" w:rsidRPr="00A942F6">
        <w:rPr>
          <w:b/>
          <w:bCs/>
          <w:lang w:val="nb-NO"/>
        </w:rPr>
        <w:t>Avtozma</w:t>
      </w:r>
    </w:p>
    <w:p w14:paraId="38E5F9D3" w14:textId="6B958A6E" w:rsidR="004A425F" w:rsidRPr="00A942F6" w:rsidRDefault="004A425F" w:rsidP="00641834">
      <w:pPr>
        <w:rPr>
          <w:lang w:val="nb-NO"/>
        </w:rPr>
      </w:pPr>
      <w:r w:rsidRPr="00A942F6">
        <w:rPr>
          <w:lang w:val="nb-NO"/>
        </w:rPr>
        <w:t xml:space="preserve">Siden </w:t>
      </w:r>
      <w:r w:rsidR="00923E68" w:rsidRPr="00A942F6">
        <w:rPr>
          <w:lang w:val="nb-NO"/>
        </w:rPr>
        <w:t>Avtozma</w:t>
      </w:r>
      <w:r w:rsidRPr="00A942F6">
        <w:rPr>
          <w:lang w:val="nb-NO"/>
        </w:rPr>
        <w:t xml:space="preserve"> gis av lege eller sykepleier er det lite sannsynlig at du vil få for mye. Snakk med legen din dersom du likevel er bekymret.</w:t>
      </w:r>
    </w:p>
    <w:p w14:paraId="69ADE65F" w14:textId="77777777" w:rsidR="002665E3" w:rsidRPr="00A942F6" w:rsidRDefault="002665E3" w:rsidP="00641834">
      <w:pPr>
        <w:rPr>
          <w:lang w:val="nb-NO"/>
        </w:rPr>
      </w:pPr>
    </w:p>
    <w:p w14:paraId="4F6BB8BB" w14:textId="62EC8523" w:rsidR="004A425F" w:rsidRPr="00A942F6" w:rsidRDefault="004A425F" w:rsidP="00641834">
      <w:pPr>
        <w:rPr>
          <w:b/>
          <w:bCs/>
          <w:lang w:val="nb-NO"/>
        </w:rPr>
      </w:pPr>
      <w:r w:rsidRPr="00A942F6">
        <w:rPr>
          <w:b/>
          <w:bCs/>
          <w:lang w:val="nb-NO"/>
        </w:rPr>
        <w:t xml:space="preserve">Dersom du går glipp av en dose av </w:t>
      </w:r>
      <w:r w:rsidR="00923E68" w:rsidRPr="00A942F6">
        <w:rPr>
          <w:b/>
          <w:bCs/>
          <w:lang w:val="nb-NO"/>
        </w:rPr>
        <w:t>Avtozma</w:t>
      </w:r>
    </w:p>
    <w:p w14:paraId="729ABF30" w14:textId="26BC6E34" w:rsidR="004A425F" w:rsidRPr="00A942F6" w:rsidRDefault="004A425F" w:rsidP="00641834">
      <w:pPr>
        <w:rPr>
          <w:lang w:val="nb-NO"/>
        </w:rPr>
      </w:pPr>
      <w:r w:rsidRPr="00A942F6">
        <w:rPr>
          <w:lang w:val="nb-NO"/>
        </w:rPr>
        <w:t xml:space="preserve">Siden </w:t>
      </w:r>
      <w:r w:rsidR="00923E68" w:rsidRPr="00A942F6">
        <w:rPr>
          <w:lang w:val="nb-NO"/>
        </w:rPr>
        <w:t>Avtozma</w:t>
      </w:r>
      <w:r w:rsidRPr="00A942F6">
        <w:rPr>
          <w:lang w:val="nb-NO"/>
        </w:rPr>
        <w:t xml:space="preserve"> gis av lege eller sykepleiere er det lite trolig at du går glipp av en dose. Snakk med legen din eller sykepleier dersom du likevel er bekymret.</w:t>
      </w:r>
    </w:p>
    <w:p w14:paraId="35A58BCD" w14:textId="77777777" w:rsidR="004A425F" w:rsidRPr="00A942F6" w:rsidRDefault="004A425F" w:rsidP="00641834">
      <w:pPr>
        <w:rPr>
          <w:lang w:val="nb-NO"/>
        </w:rPr>
      </w:pPr>
    </w:p>
    <w:p w14:paraId="2AF0F896" w14:textId="25DC763E" w:rsidR="004A425F" w:rsidRPr="00A942F6" w:rsidRDefault="004A425F" w:rsidP="00641834">
      <w:pPr>
        <w:rPr>
          <w:b/>
          <w:bCs/>
          <w:lang w:val="nb-NO"/>
        </w:rPr>
      </w:pPr>
      <w:r w:rsidRPr="00A942F6">
        <w:rPr>
          <w:b/>
          <w:bCs/>
          <w:lang w:val="nb-NO"/>
        </w:rPr>
        <w:t xml:space="preserve">Dersom du avbryter behandling med </w:t>
      </w:r>
      <w:r w:rsidR="00923E68" w:rsidRPr="00A942F6">
        <w:rPr>
          <w:b/>
          <w:bCs/>
          <w:lang w:val="nb-NO"/>
        </w:rPr>
        <w:t>Avtozma</w:t>
      </w:r>
    </w:p>
    <w:p w14:paraId="797D6669" w14:textId="15B0E897" w:rsidR="002665E3" w:rsidRPr="00A942F6" w:rsidRDefault="004A425F" w:rsidP="00641834">
      <w:pPr>
        <w:rPr>
          <w:lang w:val="nb-NO"/>
        </w:rPr>
      </w:pPr>
      <w:r w:rsidRPr="00A942F6">
        <w:rPr>
          <w:lang w:val="nb-NO"/>
        </w:rPr>
        <w:t xml:space="preserve">Du skal ikke avbryte behandling med </w:t>
      </w:r>
      <w:r w:rsidR="00923E68" w:rsidRPr="00A942F6">
        <w:rPr>
          <w:lang w:val="nb-NO"/>
        </w:rPr>
        <w:t>Avtozma</w:t>
      </w:r>
      <w:r w:rsidRPr="00A942F6">
        <w:rPr>
          <w:lang w:val="nb-NO"/>
        </w:rPr>
        <w:t xml:space="preserve"> uten å diskutere dette med legen din først. </w:t>
      </w:r>
    </w:p>
    <w:p w14:paraId="5ACEB4C4" w14:textId="77777777" w:rsidR="002665E3" w:rsidRPr="00A942F6" w:rsidRDefault="002665E3" w:rsidP="00641834">
      <w:pPr>
        <w:rPr>
          <w:lang w:val="nb-NO"/>
        </w:rPr>
      </w:pPr>
    </w:p>
    <w:p w14:paraId="46F9AF53" w14:textId="77777777" w:rsidR="004A425F" w:rsidRPr="00A942F6" w:rsidRDefault="004A425F" w:rsidP="00641834">
      <w:pPr>
        <w:rPr>
          <w:lang w:val="nb-NO"/>
        </w:rPr>
      </w:pPr>
      <w:r w:rsidRPr="00A942F6">
        <w:rPr>
          <w:lang w:val="nb-NO"/>
        </w:rPr>
        <w:t>Spør lege eller sykepleier dersom du har noen spørsmål om bruken av dette legemidlet.</w:t>
      </w:r>
    </w:p>
    <w:p w14:paraId="73C7E11C" w14:textId="77777777" w:rsidR="004A425F" w:rsidRPr="00A942F6" w:rsidRDefault="004A425F" w:rsidP="00641834">
      <w:pPr>
        <w:rPr>
          <w:lang w:val="nb-NO"/>
        </w:rPr>
      </w:pPr>
    </w:p>
    <w:p w14:paraId="5613E6D5" w14:textId="77777777" w:rsidR="002155E9" w:rsidRPr="00A942F6" w:rsidRDefault="002155E9" w:rsidP="00641834">
      <w:pPr>
        <w:rPr>
          <w:lang w:val="nb-NO"/>
        </w:rPr>
      </w:pPr>
    </w:p>
    <w:p w14:paraId="548B565D" w14:textId="77777777" w:rsidR="004A425F" w:rsidRPr="00A942F6" w:rsidRDefault="004A425F" w:rsidP="00641834">
      <w:pPr>
        <w:pStyle w:val="H2"/>
        <w:rPr>
          <w:lang w:val="nb-NO"/>
        </w:rPr>
      </w:pPr>
      <w:r w:rsidRPr="00A942F6">
        <w:rPr>
          <w:lang w:val="nb-NO"/>
        </w:rPr>
        <w:t>4.</w:t>
      </w:r>
      <w:r w:rsidRPr="00A942F6">
        <w:rPr>
          <w:lang w:val="nb-NO"/>
        </w:rPr>
        <w:tab/>
        <w:t>Mulige bivirkninger</w:t>
      </w:r>
    </w:p>
    <w:p w14:paraId="007D1797" w14:textId="77777777" w:rsidR="002155E9" w:rsidRPr="00A942F6" w:rsidRDefault="002155E9" w:rsidP="00641834">
      <w:pPr>
        <w:rPr>
          <w:lang w:val="nb-NO"/>
        </w:rPr>
      </w:pPr>
    </w:p>
    <w:p w14:paraId="59FE9B40" w14:textId="3ED7A7F2" w:rsidR="002665E3" w:rsidRPr="00A942F6" w:rsidRDefault="004A425F" w:rsidP="00641834">
      <w:pPr>
        <w:rPr>
          <w:lang w:val="nb-NO"/>
        </w:rPr>
      </w:pPr>
      <w:r w:rsidRPr="00A942F6">
        <w:rPr>
          <w:lang w:val="nb-NO"/>
        </w:rPr>
        <w:t xml:space="preserve">Som alle legemidler kan </w:t>
      </w:r>
      <w:r w:rsidR="00923E68" w:rsidRPr="00A942F6">
        <w:rPr>
          <w:lang w:val="nb-NO"/>
        </w:rPr>
        <w:t>Avtozma</w:t>
      </w:r>
      <w:r w:rsidRPr="00A942F6">
        <w:rPr>
          <w:lang w:val="nb-NO"/>
        </w:rPr>
        <w:t xml:space="preserve"> forårsake bivir</w:t>
      </w:r>
      <w:r w:rsidR="002665E3" w:rsidRPr="00A942F6">
        <w:rPr>
          <w:lang w:val="nb-NO"/>
        </w:rPr>
        <w:t>kninger, men ikke alle får det.</w:t>
      </w:r>
    </w:p>
    <w:p w14:paraId="1796C437" w14:textId="7252C681" w:rsidR="004A425F" w:rsidRPr="00A942F6" w:rsidRDefault="004A425F" w:rsidP="00641834">
      <w:pPr>
        <w:rPr>
          <w:lang w:val="nb-NO"/>
        </w:rPr>
      </w:pPr>
      <w:r w:rsidRPr="00A942F6">
        <w:rPr>
          <w:lang w:val="nb-NO"/>
        </w:rPr>
        <w:t xml:space="preserve">Bivirkninger kan oppstå opp til minst 3 måneder etter siste dose </w:t>
      </w:r>
      <w:r w:rsidR="00923E68" w:rsidRPr="00A942F6">
        <w:rPr>
          <w:lang w:val="nb-NO"/>
        </w:rPr>
        <w:t>Avtozma</w:t>
      </w:r>
      <w:r w:rsidRPr="00A942F6">
        <w:rPr>
          <w:lang w:val="nb-NO"/>
        </w:rPr>
        <w:t>.</w:t>
      </w:r>
    </w:p>
    <w:p w14:paraId="0DF22862" w14:textId="77777777" w:rsidR="004A425F" w:rsidRPr="00A942F6" w:rsidRDefault="004A425F" w:rsidP="00641834">
      <w:pPr>
        <w:rPr>
          <w:lang w:val="nb-NO"/>
        </w:rPr>
      </w:pPr>
    </w:p>
    <w:p w14:paraId="1E03E622" w14:textId="77777777" w:rsidR="004A425F" w:rsidRPr="00A942F6" w:rsidRDefault="004A425F" w:rsidP="00641834">
      <w:pPr>
        <w:rPr>
          <w:lang w:val="nb-NO"/>
        </w:rPr>
      </w:pPr>
      <w:r w:rsidRPr="00A942F6">
        <w:rPr>
          <w:b/>
          <w:bCs/>
          <w:lang w:val="nb-NO"/>
        </w:rPr>
        <w:t>Mulige alvorlige bivirkninger:</w:t>
      </w:r>
      <w:r w:rsidRPr="00A942F6">
        <w:rPr>
          <w:lang w:val="nb-NO"/>
        </w:rPr>
        <w:t xml:space="preserve"> Informer legen din umiddelbart.</w:t>
      </w:r>
    </w:p>
    <w:p w14:paraId="16A0787A" w14:textId="77777777" w:rsidR="004A425F" w:rsidRPr="00A942F6" w:rsidRDefault="004A425F" w:rsidP="00641834">
      <w:pPr>
        <w:pStyle w:val="Style1Iitaic"/>
        <w:rPr>
          <w:lang w:val="nb-NO"/>
        </w:rPr>
      </w:pPr>
      <w:r w:rsidRPr="00A942F6">
        <w:rPr>
          <w:lang w:val="nb-NO"/>
        </w:rPr>
        <w:t>Disse er vanlige: de kan forekomme hos opptil 1 av 10 brukere</w:t>
      </w:r>
    </w:p>
    <w:p w14:paraId="253A96CC" w14:textId="77777777" w:rsidR="004A425F" w:rsidRPr="00A942F6" w:rsidRDefault="004A425F" w:rsidP="00641834">
      <w:pPr>
        <w:rPr>
          <w:lang w:val="nb-NO"/>
        </w:rPr>
      </w:pPr>
    </w:p>
    <w:p w14:paraId="53B7C59B" w14:textId="77777777" w:rsidR="004A425F" w:rsidRPr="00A942F6" w:rsidRDefault="004A425F" w:rsidP="00641834">
      <w:pPr>
        <w:keepNext/>
        <w:rPr>
          <w:lang w:val="nb-NO"/>
        </w:rPr>
      </w:pPr>
      <w:r w:rsidRPr="00A942F6">
        <w:rPr>
          <w:b/>
          <w:bCs/>
          <w:lang w:val="nb-NO"/>
        </w:rPr>
        <w:lastRenderedPageBreak/>
        <w:t xml:space="preserve">Allergiske reaksjoner </w:t>
      </w:r>
      <w:r w:rsidRPr="00A942F6">
        <w:rPr>
          <w:lang w:val="nb-NO"/>
        </w:rPr>
        <w:t>under eller etter infusjon:</w:t>
      </w:r>
    </w:p>
    <w:p w14:paraId="4C24BFAC" w14:textId="77777777" w:rsidR="004A425F" w:rsidRPr="00A942F6" w:rsidRDefault="004A425F" w:rsidP="00641834">
      <w:pPr>
        <w:pStyle w:val="Bullet1cm"/>
        <w:rPr>
          <w:lang w:val="nb-NO"/>
        </w:rPr>
      </w:pPr>
      <w:r w:rsidRPr="00A942F6">
        <w:rPr>
          <w:lang w:val="nb-NO"/>
        </w:rPr>
        <w:t>pustevansker, tetthet i brystet eller ørhet</w:t>
      </w:r>
    </w:p>
    <w:p w14:paraId="38DA06B2" w14:textId="77777777" w:rsidR="004A425F" w:rsidRPr="00A942F6" w:rsidRDefault="004A425F" w:rsidP="00641834">
      <w:pPr>
        <w:pStyle w:val="Bullet1cm"/>
        <w:rPr>
          <w:lang w:val="nb-NO"/>
        </w:rPr>
      </w:pPr>
      <w:r w:rsidRPr="00A942F6">
        <w:rPr>
          <w:lang w:val="nb-NO"/>
        </w:rPr>
        <w:t>utslett, kløe, elveblest, hevelse på lepper, tungen eller i ansiktet</w:t>
      </w:r>
    </w:p>
    <w:p w14:paraId="1F3FB302" w14:textId="77777777" w:rsidR="004A425F" w:rsidRPr="00A942F6" w:rsidRDefault="004A425F" w:rsidP="00641834">
      <w:pPr>
        <w:rPr>
          <w:lang w:val="nb-NO"/>
        </w:rPr>
      </w:pPr>
      <w:r w:rsidRPr="00A942F6">
        <w:rPr>
          <w:lang w:val="nb-NO"/>
        </w:rPr>
        <w:t xml:space="preserve">Hvis du merker noen av disse bivirkningene, må du fortelle det til lege </w:t>
      </w:r>
      <w:r w:rsidRPr="00A942F6">
        <w:rPr>
          <w:b/>
          <w:bCs/>
          <w:lang w:val="nb-NO"/>
        </w:rPr>
        <w:t>umiddelbart</w:t>
      </w:r>
      <w:r w:rsidRPr="00A942F6">
        <w:rPr>
          <w:lang w:val="nb-NO"/>
        </w:rPr>
        <w:t>.</w:t>
      </w:r>
    </w:p>
    <w:p w14:paraId="69C30D1F" w14:textId="77777777" w:rsidR="004A425F" w:rsidRPr="00A942F6" w:rsidRDefault="004A425F" w:rsidP="00641834">
      <w:pPr>
        <w:rPr>
          <w:lang w:val="nb-NO"/>
        </w:rPr>
      </w:pPr>
    </w:p>
    <w:p w14:paraId="7ADB3D58" w14:textId="77777777" w:rsidR="004A425F" w:rsidRPr="00A942F6" w:rsidRDefault="004A425F" w:rsidP="00641834">
      <w:pPr>
        <w:pStyle w:val="bold"/>
        <w:rPr>
          <w:lang w:val="nb-NO"/>
        </w:rPr>
      </w:pPr>
      <w:r w:rsidRPr="00A942F6">
        <w:rPr>
          <w:lang w:val="nb-NO"/>
        </w:rPr>
        <w:t>Tegn på alvorlige infeksjoner:</w:t>
      </w:r>
    </w:p>
    <w:p w14:paraId="47CD4610" w14:textId="77777777" w:rsidR="004A425F" w:rsidRPr="00A942F6" w:rsidRDefault="004A425F" w:rsidP="00641834">
      <w:pPr>
        <w:pStyle w:val="Bullet1cm"/>
        <w:rPr>
          <w:lang w:val="nb-NO"/>
        </w:rPr>
      </w:pPr>
      <w:r w:rsidRPr="00A942F6">
        <w:rPr>
          <w:lang w:val="nb-NO"/>
        </w:rPr>
        <w:t>feber og frysninger</w:t>
      </w:r>
    </w:p>
    <w:p w14:paraId="2905BFA3" w14:textId="77777777" w:rsidR="004A425F" w:rsidRPr="00A942F6" w:rsidRDefault="004A425F" w:rsidP="00641834">
      <w:pPr>
        <w:pStyle w:val="Bullet1cm"/>
        <w:rPr>
          <w:lang w:val="nb-NO"/>
        </w:rPr>
      </w:pPr>
      <w:r w:rsidRPr="00A942F6">
        <w:rPr>
          <w:lang w:val="nb-NO"/>
        </w:rPr>
        <w:t>blemmer på huden eller i munnen</w:t>
      </w:r>
    </w:p>
    <w:p w14:paraId="5C95924D" w14:textId="77777777" w:rsidR="004A425F" w:rsidRPr="00A942F6" w:rsidRDefault="004A425F" w:rsidP="00641834">
      <w:pPr>
        <w:pStyle w:val="Bullet1cm"/>
        <w:rPr>
          <w:lang w:val="nb-NO"/>
        </w:rPr>
      </w:pPr>
      <w:r w:rsidRPr="00A942F6">
        <w:rPr>
          <w:lang w:val="nb-NO"/>
        </w:rPr>
        <w:t>magesmerter</w:t>
      </w:r>
    </w:p>
    <w:p w14:paraId="711A75C0" w14:textId="77777777" w:rsidR="004A425F" w:rsidRPr="00A942F6" w:rsidRDefault="004A425F" w:rsidP="00641834">
      <w:pPr>
        <w:rPr>
          <w:lang w:val="nb-NO"/>
        </w:rPr>
      </w:pPr>
    </w:p>
    <w:p w14:paraId="1F244887" w14:textId="77777777" w:rsidR="004A425F" w:rsidRPr="00A942F6" w:rsidRDefault="004A425F" w:rsidP="00641834">
      <w:pPr>
        <w:pStyle w:val="bold"/>
        <w:rPr>
          <w:lang w:val="nb-NO"/>
        </w:rPr>
      </w:pPr>
      <w:r w:rsidRPr="00A942F6">
        <w:rPr>
          <w:lang w:val="nb-NO"/>
        </w:rPr>
        <w:t>Tegn og symptomer på levertoksisitet</w:t>
      </w:r>
    </w:p>
    <w:p w14:paraId="4DFF2D99" w14:textId="77777777" w:rsidR="004A425F" w:rsidRPr="00A942F6" w:rsidRDefault="004A425F" w:rsidP="00641834">
      <w:pPr>
        <w:pStyle w:val="Style1Iitaic"/>
        <w:rPr>
          <w:lang w:val="nb-NO"/>
        </w:rPr>
      </w:pPr>
      <w:r w:rsidRPr="00A942F6">
        <w:rPr>
          <w:lang w:val="nb-NO"/>
        </w:rPr>
        <w:t>Disse kan forekomme hos opptil 1 av 1000 brukere</w:t>
      </w:r>
    </w:p>
    <w:p w14:paraId="51851628" w14:textId="77777777" w:rsidR="004A425F" w:rsidRPr="00A942F6" w:rsidRDefault="004A425F" w:rsidP="00641834">
      <w:pPr>
        <w:pStyle w:val="Bullet1cm"/>
        <w:rPr>
          <w:lang w:val="nb-NO"/>
        </w:rPr>
      </w:pPr>
      <w:r w:rsidRPr="00A942F6">
        <w:rPr>
          <w:lang w:val="nb-NO"/>
        </w:rPr>
        <w:t>trøtthet</w:t>
      </w:r>
    </w:p>
    <w:p w14:paraId="79AFD29F" w14:textId="77777777" w:rsidR="004A425F" w:rsidRPr="00A942F6" w:rsidRDefault="004A425F" w:rsidP="00641834">
      <w:pPr>
        <w:pStyle w:val="Bullet1cm"/>
        <w:rPr>
          <w:lang w:val="nb-NO"/>
        </w:rPr>
      </w:pPr>
      <w:r w:rsidRPr="00A942F6">
        <w:rPr>
          <w:lang w:val="nb-NO"/>
        </w:rPr>
        <w:t>magesmerter</w:t>
      </w:r>
    </w:p>
    <w:p w14:paraId="693012A6" w14:textId="77777777" w:rsidR="004A425F" w:rsidRPr="00A942F6" w:rsidRDefault="004A425F" w:rsidP="00641834">
      <w:pPr>
        <w:pStyle w:val="Bullet1cm"/>
        <w:rPr>
          <w:lang w:val="nb-NO"/>
        </w:rPr>
      </w:pPr>
      <w:r w:rsidRPr="00A942F6">
        <w:rPr>
          <w:lang w:val="nb-NO"/>
        </w:rPr>
        <w:t>gulsott (gulfarging av hud eller øyne)</w:t>
      </w:r>
    </w:p>
    <w:p w14:paraId="744851ED" w14:textId="77777777" w:rsidR="002665E3" w:rsidRPr="00A942F6" w:rsidRDefault="002665E3" w:rsidP="00641834">
      <w:pPr>
        <w:rPr>
          <w:lang w:val="nb-NO"/>
        </w:rPr>
      </w:pPr>
    </w:p>
    <w:p w14:paraId="157BF952" w14:textId="77777777" w:rsidR="002665E3" w:rsidRPr="00A942F6" w:rsidRDefault="004A425F" w:rsidP="00641834">
      <w:pPr>
        <w:rPr>
          <w:lang w:val="nb-NO"/>
        </w:rPr>
      </w:pPr>
      <w:r w:rsidRPr="00A942F6">
        <w:rPr>
          <w:lang w:val="nb-NO"/>
        </w:rPr>
        <w:t xml:space="preserve">Hvis du merker noen av disse skal du underette legen din </w:t>
      </w:r>
      <w:r w:rsidRPr="00A942F6">
        <w:rPr>
          <w:b/>
          <w:bCs/>
          <w:lang w:val="nb-NO"/>
        </w:rPr>
        <w:t>snarest mulig</w:t>
      </w:r>
      <w:r w:rsidRPr="00A942F6">
        <w:rPr>
          <w:lang w:val="nb-NO"/>
        </w:rPr>
        <w:t>.</w:t>
      </w:r>
    </w:p>
    <w:p w14:paraId="50187AF5" w14:textId="77777777" w:rsidR="002665E3" w:rsidRPr="00A942F6" w:rsidRDefault="002665E3" w:rsidP="00641834">
      <w:pPr>
        <w:rPr>
          <w:lang w:val="nb-NO"/>
        </w:rPr>
      </w:pPr>
    </w:p>
    <w:p w14:paraId="5631DD5F" w14:textId="77777777" w:rsidR="004A425F" w:rsidRPr="00A942F6" w:rsidRDefault="004A425F" w:rsidP="00641834">
      <w:pPr>
        <w:pStyle w:val="bold"/>
        <w:rPr>
          <w:lang w:val="nb-NO"/>
        </w:rPr>
      </w:pPr>
      <w:r w:rsidRPr="00A942F6">
        <w:rPr>
          <w:lang w:val="nb-NO"/>
        </w:rPr>
        <w:t>Svært vanlige bivirkninger:</w:t>
      </w:r>
    </w:p>
    <w:p w14:paraId="52067395" w14:textId="77777777" w:rsidR="004A425F" w:rsidRPr="00A942F6" w:rsidRDefault="004A425F" w:rsidP="00641834">
      <w:pPr>
        <w:pStyle w:val="Style1Iitaic"/>
        <w:rPr>
          <w:lang w:val="nb-NO"/>
        </w:rPr>
      </w:pPr>
      <w:r w:rsidRPr="00A942F6">
        <w:rPr>
          <w:lang w:val="nb-NO"/>
        </w:rPr>
        <w:t>Disse kan forekomme hos flere enn 1 av 10 brukere</w:t>
      </w:r>
    </w:p>
    <w:p w14:paraId="5C8CEE73" w14:textId="77777777" w:rsidR="004A425F" w:rsidRPr="00A942F6" w:rsidRDefault="004A425F" w:rsidP="00641834">
      <w:pPr>
        <w:pStyle w:val="Bullet1cm"/>
        <w:rPr>
          <w:lang w:val="nb-NO"/>
        </w:rPr>
      </w:pPr>
      <w:r w:rsidRPr="00A942F6">
        <w:rPr>
          <w:lang w:val="nb-NO"/>
        </w:rPr>
        <w:t>øvre luftveisinfeksjoner med typiske symptomer slik som hoste, tett nese, rennende nese, sår hals og hodepine</w:t>
      </w:r>
    </w:p>
    <w:p w14:paraId="25A48B05" w14:textId="77777777" w:rsidR="004A425F" w:rsidRPr="00A942F6" w:rsidRDefault="004A425F" w:rsidP="00641834">
      <w:pPr>
        <w:pStyle w:val="Bullet1cm"/>
        <w:rPr>
          <w:lang w:val="nb-NO"/>
        </w:rPr>
      </w:pPr>
      <w:r w:rsidRPr="00A942F6">
        <w:rPr>
          <w:lang w:val="nb-NO"/>
        </w:rPr>
        <w:t>høye nivåer av fett (kolesterol) i blodet</w:t>
      </w:r>
    </w:p>
    <w:p w14:paraId="3475FF1B" w14:textId="77777777" w:rsidR="002665E3" w:rsidRPr="00A942F6" w:rsidRDefault="002665E3" w:rsidP="00641834">
      <w:pPr>
        <w:pStyle w:val="bold"/>
        <w:rPr>
          <w:lang w:val="nb-NO"/>
        </w:rPr>
      </w:pPr>
    </w:p>
    <w:p w14:paraId="2DC882CE" w14:textId="77777777" w:rsidR="004A425F" w:rsidRPr="00A942F6" w:rsidRDefault="004A425F" w:rsidP="00641834">
      <w:pPr>
        <w:pStyle w:val="bold"/>
        <w:rPr>
          <w:lang w:val="nb-NO"/>
        </w:rPr>
      </w:pPr>
      <w:r w:rsidRPr="00A942F6">
        <w:rPr>
          <w:lang w:val="nb-NO"/>
        </w:rPr>
        <w:t>Vanlige bivirkninger:</w:t>
      </w:r>
    </w:p>
    <w:p w14:paraId="004EE411" w14:textId="77777777" w:rsidR="004A425F" w:rsidRPr="00A942F6" w:rsidRDefault="004A425F" w:rsidP="00641834">
      <w:pPr>
        <w:pStyle w:val="Style1Iitaic"/>
        <w:rPr>
          <w:lang w:val="nb-NO"/>
        </w:rPr>
      </w:pPr>
      <w:r w:rsidRPr="00A942F6">
        <w:rPr>
          <w:lang w:val="nb-NO"/>
        </w:rPr>
        <w:t>Disse kan forekomme hos opptil 1 av 10 brukere</w:t>
      </w:r>
    </w:p>
    <w:p w14:paraId="6D9021BC" w14:textId="77777777" w:rsidR="004A425F" w:rsidRPr="00A942F6" w:rsidRDefault="004A425F" w:rsidP="00641834">
      <w:pPr>
        <w:pStyle w:val="Bullet1cm"/>
        <w:rPr>
          <w:lang w:val="nb-NO"/>
        </w:rPr>
      </w:pPr>
      <w:r w:rsidRPr="00A942F6">
        <w:rPr>
          <w:lang w:val="nb-NO"/>
        </w:rPr>
        <w:t>lungebetennelse (pneumoni)</w:t>
      </w:r>
    </w:p>
    <w:p w14:paraId="4D6B2707" w14:textId="77777777" w:rsidR="004A425F" w:rsidRPr="00A942F6" w:rsidRDefault="004A425F" w:rsidP="00641834">
      <w:pPr>
        <w:pStyle w:val="Bullet1cm"/>
        <w:rPr>
          <w:lang w:val="nb-NO"/>
        </w:rPr>
      </w:pPr>
      <w:r w:rsidRPr="00A942F6">
        <w:rPr>
          <w:lang w:val="nb-NO"/>
        </w:rPr>
        <w:t>helevetesild (herpes zoster)</w:t>
      </w:r>
    </w:p>
    <w:p w14:paraId="22C517D4" w14:textId="77777777" w:rsidR="004A425F" w:rsidRPr="00A942F6" w:rsidRDefault="004A425F" w:rsidP="00641834">
      <w:pPr>
        <w:pStyle w:val="Bullet1cm"/>
        <w:rPr>
          <w:lang w:val="nb-NO"/>
        </w:rPr>
      </w:pPr>
      <w:r w:rsidRPr="00A942F6">
        <w:rPr>
          <w:lang w:val="nb-NO"/>
        </w:rPr>
        <w:t>forkjølelsessår (oral herpes simplex), blemmer</w:t>
      </w:r>
    </w:p>
    <w:p w14:paraId="7E2FE326" w14:textId="77777777" w:rsidR="004A425F" w:rsidRPr="00A942F6" w:rsidRDefault="004A425F" w:rsidP="00641834">
      <w:pPr>
        <w:pStyle w:val="Bullet1cm"/>
        <w:rPr>
          <w:lang w:val="nb-NO"/>
        </w:rPr>
      </w:pPr>
      <w:r w:rsidRPr="00A942F6">
        <w:rPr>
          <w:lang w:val="nb-NO"/>
        </w:rPr>
        <w:t>hudinfeksjon (cellulitter) noen ganger med feber og frysninger</w:t>
      </w:r>
    </w:p>
    <w:p w14:paraId="0E2A1F6B" w14:textId="77777777" w:rsidR="004A425F" w:rsidRPr="00A942F6" w:rsidRDefault="004A425F" w:rsidP="00641834">
      <w:pPr>
        <w:pStyle w:val="Bullet1cm"/>
        <w:rPr>
          <w:lang w:val="nb-NO"/>
        </w:rPr>
      </w:pPr>
      <w:r w:rsidRPr="00A942F6">
        <w:rPr>
          <w:lang w:val="nb-NO"/>
        </w:rPr>
        <w:t>utslett og kløe, elveblest</w:t>
      </w:r>
    </w:p>
    <w:p w14:paraId="01041408" w14:textId="77777777" w:rsidR="004A425F" w:rsidRPr="00A942F6" w:rsidRDefault="004A425F" w:rsidP="00641834">
      <w:pPr>
        <w:pStyle w:val="Bullet1cm"/>
        <w:rPr>
          <w:lang w:val="nb-NO"/>
        </w:rPr>
      </w:pPr>
      <w:r w:rsidRPr="00A942F6">
        <w:rPr>
          <w:lang w:val="nb-NO"/>
        </w:rPr>
        <w:t>allergiske (hypersensitivitets) reaksjoner</w:t>
      </w:r>
    </w:p>
    <w:p w14:paraId="14812750" w14:textId="77777777" w:rsidR="004A425F" w:rsidRPr="00A942F6" w:rsidRDefault="004A425F" w:rsidP="00641834">
      <w:pPr>
        <w:pStyle w:val="Bullet1cm"/>
        <w:rPr>
          <w:lang w:val="nb-NO"/>
        </w:rPr>
      </w:pPr>
      <w:r w:rsidRPr="00A942F6">
        <w:rPr>
          <w:lang w:val="nb-NO"/>
        </w:rPr>
        <w:t>øyeinfeksjon (konjunktivitt)</w:t>
      </w:r>
    </w:p>
    <w:p w14:paraId="39CDE894" w14:textId="77777777" w:rsidR="004A425F" w:rsidRPr="00A942F6" w:rsidRDefault="004A425F" w:rsidP="00641834">
      <w:pPr>
        <w:pStyle w:val="Bullet1cm"/>
        <w:rPr>
          <w:lang w:val="nb-NO"/>
        </w:rPr>
      </w:pPr>
      <w:r w:rsidRPr="00A942F6">
        <w:rPr>
          <w:lang w:val="nb-NO"/>
        </w:rPr>
        <w:t>hodepine, svimmelhet, høyt blodtrykk</w:t>
      </w:r>
    </w:p>
    <w:p w14:paraId="2B6043CE" w14:textId="77777777" w:rsidR="004A425F" w:rsidRPr="00A942F6" w:rsidRDefault="004A425F" w:rsidP="00641834">
      <w:pPr>
        <w:pStyle w:val="Bullet1cm"/>
        <w:rPr>
          <w:lang w:val="nb-NO"/>
        </w:rPr>
      </w:pPr>
      <w:r w:rsidRPr="00A942F6">
        <w:rPr>
          <w:lang w:val="nb-NO"/>
        </w:rPr>
        <w:t>sår i munn, magesmerter</w:t>
      </w:r>
    </w:p>
    <w:p w14:paraId="27160350" w14:textId="77777777" w:rsidR="004A425F" w:rsidRPr="00A942F6" w:rsidRDefault="004A425F" w:rsidP="00641834">
      <w:pPr>
        <w:pStyle w:val="Bullet1cm"/>
        <w:rPr>
          <w:lang w:val="nb-NO"/>
        </w:rPr>
      </w:pPr>
      <w:r w:rsidRPr="00A942F6">
        <w:rPr>
          <w:lang w:val="nb-NO"/>
        </w:rPr>
        <w:t>væskeretensjon (ødem) i nedre del av beina, vektøkning</w:t>
      </w:r>
    </w:p>
    <w:p w14:paraId="1289E6DD" w14:textId="77777777" w:rsidR="004A425F" w:rsidRPr="00A942F6" w:rsidRDefault="004A425F" w:rsidP="00641834">
      <w:pPr>
        <w:pStyle w:val="Bullet1cm"/>
        <w:rPr>
          <w:lang w:val="nb-NO"/>
        </w:rPr>
      </w:pPr>
      <w:r w:rsidRPr="00A942F6">
        <w:rPr>
          <w:lang w:val="nb-NO"/>
        </w:rPr>
        <w:t>hoste, kortpustethet</w:t>
      </w:r>
    </w:p>
    <w:p w14:paraId="4F6A54BF" w14:textId="77777777" w:rsidR="004A425F" w:rsidRPr="00A942F6" w:rsidRDefault="004A425F" w:rsidP="00641834">
      <w:pPr>
        <w:pStyle w:val="Bullet1cm"/>
        <w:rPr>
          <w:lang w:val="nb-NO"/>
        </w:rPr>
      </w:pPr>
      <w:r w:rsidRPr="00A942F6">
        <w:rPr>
          <w:lang w:val="nb-NO"/>
        </w:rPr>
        <w:t>lavt antall hvite blodceller påvist ved blodprøve (nøytropeni, leukopeni)</w:t>
      </w:r>
    </w:p>
    <w:p w14:paraId="3D420086" w14:textId="77777777" w:rsidR="004A425F" w:rsidRPr="00A942F6" w:rsidRDefault="004A425F" w:rsidP="00641834">
      <w:pPr>
        <w:pStyle w:val="Bullet1cm"/>
        <w:rPr>
          <w:lang w:val="nb-NO"/>
        </w:rPr>
      </w:pPr>
      <w:r w:rsidRPr="00A942F6">
        <w:rPr>
          <w:lang w:val="nb-NO"/>
        </w:rPr>
        <w:t>unormale leverfunksjonsprøver (økte transaminaser)</w:t>
      </w:r>
    </w:p>
    <w:p w14:paraId="281AE60E" w14:textId="77777777" w:rsidR="004A425F" w:rsidRPr="00A942F6" w:rsidRDefault="004A425F" w:rsidP="00641834">
      <w:pPr>
        <w:pStyle w:val="Bullet1cm"/>
        <w:rPr>
          <w:lang w:val="nb-NO"/>
        </w:rPr>
      </w:pPr>
      <w:r w:rsidRPr="00A942F6">
        <w:rPr>
          <w:lang w:val="nb-NO"/>
        </w:rPr>
        <w:t>påvist økt bilirubin i blodprøver</w:t>
      </w:r>
    </w:p>
    <w:p w14:paraId="2AF8649B" w14:textId="77777777" w:rsidR="004A425F" w:rsidRPr="00A942F6" w:rsidRDefault="004A425F" w:rsidP="00641834">
      <w:pPr>
        <w:pStyle w:val="Bullet1cm"/>
        <w:rPr>
          <w:lang w:val="nb-NO"/>
        </w:rPr>
      </w:pPr>
      <w:r w:rsidRPr="00A942F6">
        <w:rPr>
          <w:lang w:val="nb-NO"/>
        </w:rPr>
        <w:t>lave nivåer av fibrinogen i blodet (et protein som er involvert i blodlevring)</w:t>
      </w:r>
    </w:p>
    <w:p w14:paraId="163846A8" w14:textId="77777777" w:rsidR="002665E3" w:rsidRPr="00A942F6" w:rsidRDefault="002665E3" w:rsidP="00641834">
      <w:pPr>
        <w:rPr>
          <w:lang w:val="nb-NO"/>
        </w:rPr>
      </w:pPr>
    </w:p>
    <w:p w14:paraId="07FB654A" w14:textId="77777777" w:rsidR="004A425F" w:rsidRPr="00A942F6" w:rsidRDefault="004A425F" w:rsidP="00641834">
      <w:pPr>
        <w:pStyle w:val="bold"/>
        <w:rPr>
          <w:lang w:val="nb-NO"/>
        </w:rPr>
      </w:pPr>
      <w:r w:rsidRPr="00A942F6">
        <w:rPr>
          <w:lang w:val="nb-NO"/>
        </w:rPr>
        <w:t>Mindre vanlige bivirkninger:</w:t>
      </w:r>
    </w:p>
    <w:p w14:paraId="52697B95" w14:textId="77777777" w:rsidR="004A425F" w:rsidRPr="00A942F6" w:rsidRDefault="004A425F" w:rsidP="00641834">
      <w:pPr>
        <w:pStyle w:val="Style1Iitaic"/>
        <w:rPr>
          <w:lang w:val="nb-NO"/>
        </w:rPr>
      </w:pPr>
      <w:r w:rsidRPr="00A942F6">
        <w:rPr>
          <w:lang w:val="nb-NO"/>
        </w:rPr>
        <w:t>Disse kan forekomme hos opptil 1 av 100 brukere</w:t>
      </w:r>
    </w:p>
    <w:p w14:paraId="33B6E9B5" w14:textId="77777777" w:rsidR="004A425F" w:rsidRPr="00A942F6" w:rsidRDefault="004A425F" w:rsidP="00641834">
      <w:pPr>
        <w:pStyle w:val="Bullet1cm"/>
        <w:rPr>
          <w:lang w:val="nb-NO"/>
        </w:rPr>
      </w:pPr>
      <w:r w:rsidRPr="00A942F6">
        <w:rPr>
          <w:lang w:val="nb-NO"/>
        </w:rPr>
        <w:t>divertikulitt (feber, kvalme, diaré, forstoppelse, magesmerter)</w:t>
      </w:r>
    </w:p>
    <w:p w14:paraId="0B3091C9" w14:textId="77777777" w:rsidR="004A425F" w:rsidRPr="00A942F6" w:rsidRDefault="004A425F" w:rsidP="00641834">
      <w:pPr>
        <w:pStyle w:val="Bullet1cm"/>
        <w:rPr>
          <w:lang w:val="nb-NO"/>
        </w:rPr>
      </w:pPr>
      <w:r w:rsidRPr="00A942F6">
        <w:rPr>
          <w:lang w:val="nb-NO"/>
        </w:rPr>
        <w:t>røde opphovnede områder i munnen</w:t>
      </w:r>
    </w:p>
    <w:p w14:paraId="61557501" w14:textId="77777777" w:rsidR="004A425F" w:rsidRPr="00A942F6" w:rsidRDefault="004A425F" w:rsidP="00641834">
      <w:pPr>
        <w:pStyle w:val="Bullet1cm"/>
        <w:rPr>
          <w:lang w:val="nb-NO"/>
        </w:rPr>
      </w:pPr>
      <w:r w:rsidRPr="00A942F6">
        <w:rPr>
          <w:lang w:val="nb-NO"/>
        </w:rPr>
        <w:t>høye blodfettnivåer (triglyserider)</w:t>
      </w:r>
    </w:p>
    <w:p w14:paraId="26768EEB" w14:textId="77777777" w:rsidR="004A425F" w:rsidRPr="00A942F6" w:rsidRDefault="004A425F" w:rsidP="00641834">
      <w:pPr>
        <w:pStyle w:val="Bullet1cm"/>
        <w:rPr>
          <w:lang w:val="nb-NO"/>
        </w:rPr>
      </w:pPr>
      <w:r w:rsidRPr="00A942F6">
        <w:rPr>
          <w:lang w:val="nb-NO"/>
        </w:rPr>
        <w:t>magesår</w:t>
      </w:r>
    </w:p>
    <w:p w14:paraId="2D5581E6" w14:textId="77777777" w:rsidR="004A425F" w:rsidRPr="00A942F6" w:rsidRDefault="004A425F" w:rsidP="00641834">
      <w:pPr>
        <w:pStyle w:val="Bullet1cm"/>
        <w:rPr>
          <w:lang w:val="nb-NO"/>
        </w:rPr>
      </w:pPr>
      <w:r w:rsidRPr="00A942F6">
        <w:rPr>
          <w:lang w:val="nb-NO"/>
        </w:rPr>
        <w:t>nyrestein</w:t>
      </w:r>
    </w:p>
    <w:p w14:paraId="446514B2" w14:textId="77777777" w:rsidR="004A425F" w:rsidRPr="00A942F6" w:rsidRDefault="004A425F" w:rsidP="00641834">
      <w:pPr>
        <w:pStyle w:val="Bullet1cm"/>
        <w:rPr>
          <w:lang w:val="nb-NO"/>
        </w:rPr>
      </w:pPr>
      <w:r w:rsidRPr="00A942F6">
        <w:rPr>
          <w:lang w:val="nb-NO"/>
        </w:rPr>
        <w:t>underaktiv skjoldbruskkjertel</w:t>
      </w:r>
    </w:p>
    <w:p w14:paraId="74D7B6B8" w14:textId="77777777" w:rsidR="004A425F" w:rsidRPr="00A942F6" w:rsidRDefault="004A425F" w:rsidP="00641834">
      <w:pPr>
        <w:rPr>
          <w:lang w:val="nb-NO"/>
        </w:rPr>
      </w:pPr>
    </w:p>
    <w:p w14:paraId="1289AAAE" w14:textId="77777777" w:rsidR="004A425F" w:rsidRPr="00A942F6" w:rsidRDefault="004A425F" w:rsidP="00641834">
      <w:pPr>
        <w:pStyle w:val="bold"/>
        <w:rPr>
          <w:lang w:val="nb-NO"/>
        </w:rPr>
      </w:pPr>
      <w:r w:rsidRPr="00A942F6">
        <w:rPr>
          <w:lang w:val="nb-NO"/>
        </w:rPr>
        <w:t>Sjeldne bivirkninger:</w:t>
      </w:r>
    </w:p>
    <w:p w14:paraId="4665962C" w14:textId="77777777" w:rsidR="004A425F" w:rsidRPr="00A942F6" w:rsidRDefault="004A425F" w:rsidP="00641834">
      <w:pPr>
        <w:pStyle w:val="Style1Iitaic"/>
        <w:rPr>
          <w:lang w:val="nb-NO"/>
        </w:rPr>
      </w:pPr>
      <w:r w:rsidRPr="00A942F6">
        <w:rPr>
          <w:lang w:val="nb-NO"/>
        </w:rPr>
        <w:t>Disse kan forekomme hos opptil 1 av 1000 brukere</w:t>
      </w:r>
    </w:p>
    <w:p w14:paraId="423F0255" w14:textId="77777777" w:rsidR="004A425F" w:rsidRPr="00A942F6" w:rsidRDefault="004A425F" w:rsidP="00641834">
      <w:pPr>
        <w:pStyle w:val="Bullet1cm"/>
        <w:rPr>
          <w:lang w:val="nb-NO"/>
        </w:rPr>
      </w:pPr>
      <w:r w:rsidRPr="00A942F6">
        <w:rPr>
          <w:lang w:val="nb-NO"/>
        </w:rPr>
        <w:t>Stevens-Johnson syndrom (hudutslett som kan føre til alvorlig blemmedannelse og avskalling av huden)</w:t>
      </w:r>
    </w:p>
    <w:p w14:paraId="06494362" w14:textId="77777777" w:rsidR="004A425F" w:rsidRPr="00A942F6" w:rsidRDefault="004A425F" w:rsidP="00641834">
      <w:pPr>
        <w:pStyle w:val="Bullet1cm"/>
        <w:rPr>
          <w:lang w:val="nb-NO"/>
        </w:rPr>
      </w:pPr>
      <w:r w:rsidRPr="00A942F6">
        <w:rPr>
          <w:lang w:val="nb-NO"/>
        </w:rPr>
        <w:lastRenderedPageBreak/>
        <w:t>dødelige allergiske reaksjoner (anafylaksi [dødelig])</w:t>
      </w:r>
    </w:p>
    <w:p w14:paraId="43AACB89" w14:textId="77777777" w:rsidR="004A425F" w:rsidRPr="00A942F6" w:rsidRDefault="004A425F" w:rsidP="00641834">
      <w:pPr>
        <w:pStyle w:val="Bullet1cm"/>
        <w:rPr>
          <w:lang w:val="nb-NO"/>
        </w:rPr>
      </w:pPr>
      <w:r w:rsidRPr="00A942F6">
        <w:rPr>
          <w:lang w:val="nb-NO"/>
        </w:rPr>
        <w:t>leverbetennelse (hepatitt), gulsott</w:t>
      </w:r>
    </w:p>
    <w:p w14:paraId="0A4F24CF" w14:textId="77777777" w:rsidR="004A425F" w:rsidRPr="00A942F6" w:rsidRDefault="004A425F" w:rsidP="00641834">
      <w:pPr>
        <w:rPr>
          <w:lang w:val="nb-NO"/>
        </w:rPr>
      </w:pPr>
    </w:p>
    <w:p w14:paraId="1943CB1B" w14:textId="77777777" w:rsidR="004A425F" w:rsidRPr="00A942F6" w:rsidRDefault="004A425F" w:rsidP="00641834">
      <w:pPr>
        <w:pStyle w:val="bold"/>
        <w:rPr>
          <w:lang w:val="nb-NO"/>
        </w:rPr>
      </w:pPr>
      <w:r w:rsidRPr="00A942F6">
        <w:rPr>
          <w:lang w:val="nb-NO"/>
        </w:rPr>
        <w:t>Svært sjeldne bivirkninger:</w:t>
      </w:r>
    </w:p>
    <w:p w14:paraId="58D37D3C" w14:textId="77777777" w:rsidR="004A425F" w:rsidRPr="00A942F6" w:rsidRDefault="004A425F" w:rsidP="00641834">
      <w:pPr>
        <w:pStyle w:val="Style1Iitaic"/>
        <w:rPr>
          <w:lang w:val="nb-NO"/>
        </w:rPr>
      </w:pPr>
      <w:r w:rsidRPr="00A942F6">
        <w:rPr>
          <w:lang w:val="nb-NO"/>
        </w:rPr>
        <w:t>Disse kan forekomme hos opptil 1 av 10 000 brukere</w:t>
      </w:r>
    </w:p>
    <w:p w14:paraId="44784A01" w14:textId="77777777" w:rsidR="004A425F" w:rsidRPr="00A942F6" w:rsidRDefault="004A425F" w:rsidP="00641834">
      <w:pPr>
        <w:pStyle w:val="Bullet1cm"/>
        <w:rPr>
          <w:lang w:val="nb-NO"/>
        </w:rPr>
      </w:pPr>
      <w:r w:rsidRPr="00A942F6">
        <w:rPr>
          <w:lang w:val="nb-NO"/>
        </w:rPr>
        <w:t>lave blodverdier av hvite blodceller, røde blodceller og blodplater i blodprøver</w:t>
      </w:r>
    </w:p>
    <w:p w14:paraId="55BBCEB8" w14:textId="77777777" w:rsidR="004A425F" w:rsidRPr="00A942F6" w:rsidRDefault="004A425F" w:rsidP="00641834">
      <w:pPr>
        <w:pStyle w:val="Bullet1cm"/>
        <w:rPr>
          <w:lang w:val="nb-NO"/>
        </w:rPr>
      </w:pPr>
      <w:r w:rsidRPr="00A942F6">
        <w:rPr>
          <w:lang w:val="nb-NO"/>
        </w:rPr>
        <w:t>leversvikt</w:t>
      </w:r>
    </w:p>
    <w:p w14:paraId="20F65830" w14:textId="77777777" w:rsidR="004A425F" w:rsidRPr="00A942F6" w:rsidRDefault="004A425F" w:rsidP="00641834">
      <w:pPr>
        <w:rPr>
          <w:lang w:val="nb-NO"/>
        </w:rPr>
      </w:pPr>
    </w:p>
    <w:p w14:paraId="25A20022" w14:textId="77777777" w:rsidR="004A425F" w:rsidRPr="00A942F6" w:rsidRDefault="004A425F" w:rsidP="00641834">
      <w:pPr>
        <w:pStyle w:val="bold"/>
        <w:rPr>
          <w:lang w:val="nb-NO"/>
        </w:rPr>
      </w:pPr>
      <w:r w:rsidRPr="00A942F6">
        <w:rPr>
          <w:lang w:val="nb-NO"/>
        </w:rPr>
        <w:t>Melding av bivirkninger</w:t>
      </w:r>
    </w:p>
    <w:p w14:paraId="52EBD1E5" w14:textId="77777777" w:rsidR="004A425F" w:rsidRPr="00A942F6" w:rsidRDefault="004A425F" w:rsidP="00641834">
      <w:pPr>
        <w:rPr>
          <w:lang w:val="nb-NO"/>
        </w:rPr>
      </w:pPr>
      <w:r w:rsidRPr="00A942F6">
        <w:rPr>
          <w:lang w:val="nb-NO"/>
        </w:rPr>
        <w:t xml:space="preserve">Kontakt lege, apotek eller sykepleier dersom du opplever bivirkninger. Dette gjelder også bivirkninger som ikke er nevnt i pakningsvedlegget. Du kan også melde fra om bivirkninger direkte via </w:t>
      </w:r>
      <w:r w:rsidRPr="00CB45D2">
        <w:rPr>
          <w:highlight w:val="lightGray"/>
          <w:shd w:val="pct35" w:color="auto" w:fill="auto"/>
          <w:lang w:val="nb-NO"/>
        </w:rPr>
        <w:t xml:space="preserve">det nasjonale meldesystemet som beskrevet i </w:t>
      </w:r>
      <w:hyperlink r:id="rId21" w:history="1">
        <w:r w:rsidRPr="00CB45D2">
          <w:rPr>
            <w:rStyle w:val="a6"/>
            <w:color w:val="0000FF"/>
            <w:highlight w:val="lightGray"/>
            <w:shd w:val="pct35" w:color="auto" w:fill="auto"/>
            <w:lang w:val="nb-NO"/>
          </w:rPr>
          <w:t>Appendix V</w:t>
        </w:r>
      </w:hyperlink>
      <w:r w:rsidRPr="00A942F6">
        <w:rPr>
          <w:lang w:val="nb-NO"/>
        </w:rPr>
        <w:t>. Ved å melde fra om bivirkninger bidrar du med informasjon om sikkerheten ved bruk av dette legemidlet.</w:t>
      </w:r>
    </w:p>
    <w:p w14:paraId="3BE02B36" w14:textId="77777777" w:rsidR="004A425F" w:rsidRPr="00A942F6" w:rsidRDefault="004A425F" w:rsidP="00641834">
      <w:pPr>
        <w:rPr>
          <w:lang w:val="nb-NO"/>
        </w:rPr>
      </w:pPr>
    </w:p>
    <w:p w14:paraId="21E69B79" w14:textId="77777777" w:rsidR="004A425F" w:rsidRPr="00A942F6" w:rsidRDefault="004A425F" w:rsidP="00641834">
      <w:pPr>
        <w:pStyle w:val="bold"/>
        <w:rPr>
          <w:lang w:val="nb-NO"/>
        </w:rPr>
      </w:pPr>
      <w:r w:rsidRPr="00A942F6">
        <w:rPr>
          <w:lang w:val="nb-NO"/>
        </w:rPr>
        <w:t>Barn med sJIA</w:t>
      </w:r>
    </w:p>
    <w:p w14:paraId="26E7372B" w14:textId="77777777" w:rsidR="004A425F" w:rsidRPr="00A942F6" w:rsidRDefault="004A425F" w:rsidP="00641834">
      <w:pPr>
        <w:rPr>
          <w:lang w:val="nb-NO"/>
        </w:rPr>
      </w:pPr>
      <w:r w:rsidRPr="00A942F6">
        <w:rPr>
          <w:lang w:val="nb-NO"/>
        </w:rPr>
        <w:t>Generelt var bivirkninger hos sJIA-pasienter av en liknende type som hos voksne med RA. Noen bivirkninger ble observert oftere: betennelse i nese eller hals, diarè, lavere antall hvite blodceller og forhøyete leverenzymer.</w:t>
      </w:r>
    </w:p>
    <w:p w14:paraId="0F3C27AB" w14:textId="77777777" w:rsidR="004A425F" w:rsidRPr="00A942F6" w:rsidRDefault="004A425F" w:rsidP="00641834">
      <w:pPr>
        <w:rPr>
          <w:lang w:val="nb-NO"/>
        </w:rPr>
      </w:pPr>
    </w:p>
    <w:p w14:paraId="11CA83B2" w14:textId="77777777" w:rsidR="004A425F" w:rsidRPr="00A942F6" w:rsidRDefault="004A425F" w:rsidP="00641834">
      <w:pPr>
        <w:pStyle w:val="bold"/>
        <w:rPr>
          <w:lang w:val="nb-NO"/>
        </w:rPr>
      </w:pPr>
      <w:r w:rsidRPr="00A942F6">
        <w:rPr>
          <w:lang w:val="nb-NO"/>
        </w:rPr>
        <w:t>Barn med pJIA</w:t>
      </w:r>
    </w:p>
    <w:p w14:paraId="212AFC76" w14:textId="77777777" w:rsidR="004A425F" w:rsidRPr="00A942F6" w:rsidRDefault="004A425F" w:rsidP="00641834">
      <w:pPr>
        <w:rPr>
          <w:lang w:val="nb-NO"/>
        </w:rPr>
      </w:pPr>
      <w:r w:rsidRPr="00A942F6">
        <w:rPr>
          <w:lang w:val="nb-NO"/>
        </w:rPr>
        <w:t>Generelt var bivirkninger hos pJIA-pasienter av en liknende type som hos voksne med RA.Noen bivirkniger ble sett oftere: betennelse i nese og hals, hodepine, kvalme og lavere antall hvite blodceller.</w:t>
      </w:r>
    </w:p>
    <w:p w14:paraId="09240892" w14:textId="77777777" w:rsidR="004A425F" w:rsidRPr="00A942F6" w:rsidRDefault="004A425F" w:rsidP="00641834">
      <w:pPr>
        <w:rPr>
          <w:lang w:val="nb-NO"/>
        </w:rPr>
      </w:pPr>
    </w:p>
    <w:p w14:paraId="46698A60" w14:textId="77777777" w:rsidR="004A425F" w:rsidRPr="00A942F6" w:rsidRDefault="004A425F" w:rsidP="00641834">
      <w:pPr>
        <w:rPr>
          <w:lang w:val="nb-NO"/>
        </w:rPr>
      </w:pPr>
    </w:p>
    <w:p w14:paraId="59EE6DB3" w14:textId="6C9629AA" w:rsidR="004A425F" w:rsidRPr="00A942F6" w:rsidRDefault="004A425F" w:rsidP="00641834">
      <w:pPr>
        <w:pStyle w:val="H2"/>
        <w:rPr>
          <w:lang w:val="nb-NO"/>
        </w:rPr>
      </w:pPr>
      <w:r w:rsidRPr="00A942F6">
        <w:rPr>
          <w:lang w:val="nb-NO"/>
        </w:rPr>
        <w:t>5.</w:t>
      </w:r>
      <w:r w:rsidRPr="00A942F6">
        <w:rPr>
          <w:lang w:val="nb-NO"/>
        </w:rPr>
        <w:tab/>
        <w:t xml:space="preserve">Hvordan du oppbevarer </w:t>
      </w:r>
      <w:r w:rsidR="00923E68" w:rsidRPr="00A942F6">
        <w:rPr>
          <w:lang w:val="nb-NO"/>
        </w:rPr>
        <w:t>Avtozma</w:t>
      </w:r>
    </w:p>
    <w:p w14:paraId="2AF34A4A" w14:textId="77777777" w:rsidR="002155E9" w:rsidRPr="00A942F6" w:rsidRDefault="002155E9" w:rsidP="00641834">
      <w:pPr>
        <w:rPr>
          <w:lang w:val="nb-NO"/>
        </w:rPr>
      </w:pPr>
    </w:p>
    <w:p w14:paraId="5275BFB0" w14:textId="77777777" w:rsidR="004A425F" w:rsidRPr="00A942F6" w:rsidRDefault="004A425F" w:rsidP="00641834">
      <w:pPr>
        <w:rPr>
          <w:lang w:val="nb-NO"/>
        </w:rPr>
      </w:pPr>
      <w:r w:rsidRPr="00A942F6">
        <w:rPr>
          <w:lang w:val="nb-NO"/>
        </w:rPr>
        <w:t>Oppbevares utilgjengelig for barn.</w:t>
      </w:r>
    </w:p>
    <w:p w14:paraId="0A47B5BB" w14:textId="77777777" w:rsidR="002665E3" w:rsidRPr="00A942F6" w:rsidRDefault="002665E3" w:rsidP="00641834">
      <w:pPr>
        <w:rPr>
          <w:lang w:val="nb-NO"/>
        </w:rPr>
      </w:pPr>
    </w:p>
    <w:p w14:paraId="7C1384E5" w14:textId="77777777" w:rsidR="002665E3" w:rsidRPr="00A942F6" w:rsidRDefault="004A425F" w:rsidP="00641834">
      <w:pPr>
        <w:rPr>
          <w:lang w:val="nb-NO"/>
        </w:rPr>
      </w:pPr>
      <w:r w:rsidRPr="00A942F6">
        <w:rPr>
          <w:lang w:val="nb-NO"/>
        </w:rPr>
        <w:t>Bruk ikke dette legemidlet etter utløpsdatoen som er angitt på esken.</w:t>
      </w:r>
      <w:r w:rsidR="00DA39F0" w:rsidRPr="00A942F6">
        <w:rPr>
          <w:lang w:val="nb-NO"/>
        </w:rPr>
        <w:t xml:space="preserve"> Utløpsdatoen er den siste dagen i den angitte måneden.</w:t>
      </w:r>
    </w:p>
    <w:p w14:paraId="13DE4DB7" w14:textId="77777777" w:rsidR="002665E3" w:rsidRPr="00A942F6" w:rsidRDefault="002665E3" w:rsidP="00641834">
      <w:pPr>
        <w:rPr>
          <w:lang w:val="nb-NO"/>
        </w:rPr>
      </w:pPr>
    </w:p>
    <w:p w14:paraId="52581728" w14:textId="77777777" w:rsidR="004A425F" w:rsidRPr="00A942F6" w:rsidRDefault="004A425F" w:rsidP="00641834">
      <w:pPr>
        <w:rPr>
          <w:lang w:val="nb-NO"/>
        </w:rPr>
      </w:pPr>
      <w:r w:rsidRPr="00A942F6">
        <w:rPr>
          <w:lang w:val="nb-NO"/>
        </w:rPr>
        <w:t>Oppbevares i kjøleskap (2 ºC - 8 ºC). Skal ikke fryses.</w:t>
      </w:r>
    </w:p>
    <w:p w14:paraId="187D43C8" w14:textId="77777777" w:rsidR="002665E3" w:rsidRPr="00A942F6" w:rsidRDefault="002665E3" w:rsidP="00641834">
      <w:pPr>
        <w:rPr>
          <w:lang w:val="nb-NO"/>
        </w:rPr>
      </w:pPr>
    </w:p>
    <w:p w14:paraId="189E18DD" w14:textId="77777777" w:rsidR="00DA39F0" w:rsidRPr="00A942F6" w:rsidRDefault="004A425F" w:rsidP="00641834">
      <w:pPr>
        <w:rPr>
          <w:lang w:val="nb-NO"/>
        </w:rPr>
      </w:pPr>
      <w:r w:rsidRPr="00A942F6">
        <w:rPr>
          <w:lang w:val="nb-NO"/>
        </w:rPr>
        <w:t>Oppbevar hetteglassene i ytteremballasjen for å beskytte mot lys.</w:t>
      </w:r>
    </w:p>
    <w:p w14:paraId="042C9B86" w14:textId="77777777" w:rsidR="00DA39F0" w:rsidRPr="00A942F6" w:rsidRDefault="00DA39F0" w:rsidP="00641834">
      <w:pPr>
        <w:rPr>
          <w:lang w:val="nb-NO"/>
        </w:rPr>
      </w:pPr>
      <w:r w:rsidRPr="00A942F6">
        <w:rPr>
          <w:lang w:val="nb-NO"/>
        </w:rPr>
        <w:t>Om nødvendig kan den fortynnede infusjons</w:t>
      </w:r>
      <w:r w:rsidR="006003A4">
        <w:rPr>
          <w:lang w:val="nb-NO"/>
        </w:rPr>
        <w:t>opp</w:t>
      </w:r>
      <w:r w:rsidRPr="00A942F6">
        <w:rPr>
          <w:lang w:val="nb-NO"/>
        </w:rPr>
        <w:t>løsningen med 0,9 % natriumkloridinjeksjonsvæske eller 0,45 % natriumkloridinjeksjonvæske oppbevares nedkjølt i opptil 1 måned eller</w:t>
      </w:r>
      <w:r w:rsidR="00E86487" w:rsidRPr="00A942F6">
        <w:rPr>
          <w:lang w:val="nb-NO"/>
        </w:rPr>
        <w:t xml:space="preserve"> ved</w:t>
      </w:r>
      <w:r w:rsidRPr="00A942F6">
        <w:rPr>
          <w:lang w:val="nb-NO"/>
        </w:rPr>
        <w:t xml:space="preserve"> romtemperatur opptil 30 °C i opptil 48 timer.</w:t>
      </w:r>
    </w:p>
    <w:p w14:paraId="3E5710DD" w14:textId="77777777" w:rsidR="004A425F" w:rsidRPr="00A942F6" w:rsidRDefault="004A425F" w:rsidP="00641834">
      <w:pPr>
        <w:rPr>
          <w:lang w:val="nb-NO"/>
        </w:rPr>
      </w:pPr>
    </w:p>
    <w:p w14:paraId="2D2EB611" w14:textId="77777777" w:rsidR="00DA39F0" w:rsidRPr="00A942F6" w:rsidRDefault="00DA39F0" w:rsidP="00641834">
      <w:pPr>
        <w:rPr>
          <w:lang w:val="nb-NO"/>
        </w:rPr>
      </w:pPr>
      <w:r w:rsidRPr="00A942F6">
        <w:rPr>
          <w:noProof/>
          <w:lang w:val="nb-NO"/>
        </w:rPr>
        <w:t>Legemidler skal ikke kastes i avløpsvann eller sammen med husholdningsavfall. Spør på apoteket hvordan du skal kaste legemidler som du ikke lenger bruker. Disse tiltakene bidrar til å beskytte miljøet.</w:t>
      </w:r>
    </w:p>
    <w:p w14:paraId="740B8476" w14:textId="77777777" w:rsidR="00DA39F0" w:rsidRPr="00A942F6" w:rsidRDefault="00DA39F0" w:rsidP="00641834">
      <w:pPr>
        <w:rPr>
          <w:lang w:val="nb-NO"/>
        </w:rPr>
      </w:pPr>
    </w:p>
    <w:p w14:paraId="78E59E59" w14:textId="77777777" w:rsidR="002155E9" w:rsidRPr="00A942F6" w:rsidRDefault="002155E9" w:rsidP="00641834">
      <w:pPr>
        <w:rPr>
          <w:lang w:val="nb-NO"/>
        </w:rPr>
      </w:pPr>
    </w:p>
    <w:p w14:paraId="1BF8A35C" w14:textId="77777777" w:rsidR="002665E3" w:rsidRPr="00A942F6" w:rsidRDefault="004A425F" w:rsidP="00641834">
      <w:pPr>
        <w:pStyle w:val="H2"/>
        <w:rPr>
          <w:lang w:val="nb-NO"/>
        </w:rPr>
      </w:pPr>
      <w:r w:rsidRPr="00A942F6">
        <w:rPr>
          <w:lang w:val="nb-NO"/>
        </w:rPr>
        <w:t>6.</w:t>
      </w:r>
      <w:r w:rsidRPr="00A942F6">
        <w:rPr>
          <w:lang w:val="nb-NO"/>
        </w:rPr>
        <w:tab/>
        <w:t>Innholdet i pakni</w:t>
      </w:r>
      <w:r w:rsidR="002665E3" w:rsidRPr="00A942F6">
        <w:rPr>
          <w:lang w:val="nb-NO"/>
        </w:rPr>
        <w:t>ngen og ytterligere informasjon</w:t>
      </w:r>
    </w:p>
    <w:p w14:paraId="2C9FD0F9" w14:textId="77777777" w:rsidR="002665E3" w:rsidRPr="00A942F6" w:rsidRDefault="002665E3" w:rsidP="00641834">
      <w:pPr>
        <w:pStyle w:val="H2"/>
        <w:rPr>
          <w:lang w:val="nb-NO"/>
        </w:rPr>
      </w:pPr>
    </w:p>
    <w:p w14:paraId="0A209E0D" w14:textId="57C940B0" w:rsidR="004A425F" w:rsidRPr="00A942F6" w:rsidRDefault="004A425F" w:rsidP="00641834">
      <w:pPr>
        <w:pStyle w:val="bold"/>
        <w:rPr>
          <w:lang w:val="nb-NO"/>
        </w:rPr>
      </w:pPr>
      <w:r w:rsidRPr="00A942F6">
        <w:rPr>
          <w:lang w:val="nb-NO"/>
        </w:rPr>
        <w:t xml:space="preserve">Sammensetning av </w:t>
      </w:r>
      <w:r w:rsidR="00923E68" w:rsidRPr="00A942F6">
        <w:rPr>
          <w:lang w:val="nb-NO"/>
        </w:rPr>
        <w:t>Avtozma</w:t>
      </w:r>
    </w:p>
    <w:p w14:paraId="205C180A" w14:textId="77777777" w:rsidR="002155E9" w:rsidRPr="00A942F6" w:rsidRDefault="002155E9" w:rsidP="00641834">
      <w:pPr>
        <w:rPr>
          <w:lang w:val="nb-NO"/>
        </w:rPr>
      </w:pPr>
    </w:p>
    <w:p w14:paraId="0812FDC5" w14:textId="77777777" w:rsidR="004A425F" w:rsidRPr="00A942F6" w:rsidRDefault="004A425F" w:rsidP="00641834">
      <w:pPr>
        <w:pStyle w:val="Bullet1cm"/>
        <w:rPr>
          <w:lang w:val="nb-NO"/>
        </w:rPr>
      </w:pPr>
      <w:r w:rsidRPr="00A942F6">
        <w:rPr>
          <w:lang w:val="nb-NO"/>
        </w:rPr>
        <w:t>Virkestoffet er tocilizumab.</w:t>
      </w:r>
    </w:p>
    <w:p w14:paraId="5B9E22A4" w14:textId="77777777" w:rsidR="002665E3" w:rsidRPr="00A942F6" w:rsidRDefault="004A425F" w:rsidP="00641834">
      <w:pPr>
        <w:ind w:left="567"/>
        <w:rPr>
          <w:lang w:val="nb-NO"/>
        </w:rPr>
      </w:pPr>
      <w:r w:rsidRPr="00A942F6">
        <w:rPr>
          <w:lang w:val="nb-NO"/>
        </w:rPr>
        <w:t>Hvert hetteglass på 4 ml innehold</w:t>
      </w:r>
      <w:r w:rsidR="002665E3" w:rsidRPr="00A942F6">
        <w:rPr>
          <w:lang w:val="nb-NO"/>
        </w:rPr>
        <w:t>er 80 mg tocilizumab (20 mg/ml)</w:t>
      </w:r>
    </w:p>
    <w:p w14:paraId="5CA3D0A2" w14:textId="77777777" w:rsidR="002665E3" w:rsidRPr="00A942F6" w:rsidRDefault="004A425F" w:rsidP="00641834">
      <w:pPr>
        <w:ind w:left="567"/>
        <w:rPr>
          <w:lang w:val="nb-NO"/>
        </w:rPr>
      </w:pPr>
      <w:r w:rsidRPr="00A942F6">
        <w:rPr>
          <w:lang w:val="nb-NO"/>
        </w:rPr>
        <w:t>Hvert hetteglass på 10 ml inneholde</w:t>
      </w:r>
      <w:r w:rsidR="002665E3" w:rsidRPr="00A942F6">
        <w:rPr>
          <w:lang w:val="nb-NO"/>
        </w:rPr>
        <w:t>r 200 mg tocilizumab (20 mg/ml)</w:t>
      </w:r>
    </w:p>
    <w:p w14:paraId="1387B5A4" w14:textId="77777777" w:rsidR="004A425F" w:rsidRPr="00A942F6" w:rsidRDefault="004A425F" w:rsidP="00641834">
      <w:pPr>
        <w:ind w:left="567"/>
        <w:rPr>
          <w:lang w:val="nb-NO"/>
        </w:rPr>
      </w:pPr>
      <w:r w:rsidRPr="00A942F6">
        <w:rPr>
          <w:lang w:val="nb-NO"/>
        </w:rPr>
        <w:t>Hvert hetteglass på 20 ml inneholder 400 mg tocilizumab (20 mg/ml)</w:t>
      </w:r>
    </w:p>
    <w:p w14:paraId="584FFF70" w14:textId="77777777" w:rsidR="00AD4736" w:rsidRPr="00A942F6" w:rsidRDefault="00AD4736" w:rsidP="00641834">
      <w:pPr>
        <w:ind w:left="567"/>
        <w:rPr>
          <w:lang w:val="nb-NO"/>
        </w:rPr>
      </w:pPr>
    </w:p>
    <w:p w14:paraId="100741A2" w14:textId="357A8054" w:rsidR="004A425F" w:rsidRPr="00A942F6" w:rsidRDefault="004A425F" w:rsidP="00641834">
      <w:pPr>
        <w:pStyle w:val="Bullet1cm"/>
        <w:rPr>
          <w:lang w:val="nb-NO"/>
        </w:rPr>
      </w:pPr>
      <w:r w:rsidRPr="00A942F6">
        <w:rPr>
          <w:lang w:val="nb-NO"/>
        </w:rPr>
        <w:t xml:space="preserve">Andre innholdsstoffer er </w:t>
      </w:r>
      <w:r w:rsidR="00DA39F0" w:rsidRPr="00A942F6">
        <w:rPr>
          <w:lang w:val="nb-NO"/>
        </w:rPr>
        <w:t>L</w:t>
      </w:r>
      <w:r w:rsidR="00B14020">
        <w:rPr>
          <w:lang w:val="nb-NO"/>
        </w:rPr>
        <w:noBreakHyphen/>
      </w:r>
      <w:r w:rsidR="00DA39F0" w:rsidRPr="00A942F6">
        <w:rPr>
          <w:lang w:val="nb-NO"/>
        </w:rPr>
        <w:t>histidin,</w:t>
      </w:r>
      <w:r w:rsidR="00220441">
        <w:rPr>
          <w:rFonts w:eastAsia="맑은 고딕" w:hint="eastAsia"/>
          <w:lang w:val="nb-NO" w:eastAsia="ko-KR"/>
        </w:rPr>
        <w:t xml:space="preserve"> </w:t>
      </w:r>
      <w:r w:rsidR="001B685D" w:rsidRPr="001B685D">
        <w:rPr>
          <w:rFonts w:eastAsia="맑은 고딕"/>
          <w:lang w:eastAsia="ko-KR"/>
        </w:rPr>
        <w:t>L-histidin monohydroklorid monohydrat</w:t>
      </w:r>
      <w:r w:rsidR="00220441" w:rsidRPr="00220441">
        <w:rPr>
          <w:rFonts w:eastAsia="맑은 고딕"/>
          <w:lang w:val="nb-NO" w:eastAsia="ko-KR"/>
        </w:rPr>
        <w:t>,</w:t>
      </w:r>
      <w:r w:rsidR="00DA39F0" w:rsidRPr="00A942F6">
        <w:rPr>
          <w:lang w:val="nb-NO"/>
        </w:rPr>
        <w:t xml:space="preserve"> L</w:t>
      </w:r>
      <w:r w:rsidR="00B14020">
        <w:rPr>
          <w:lang w:val="nb-NO"/>
        </w:rPr>
        <w:noBreakHyphen/>
      </w:r>
      <w:r w:rsidR="00DA39F0" w:rsidRPr="00A942F6">
        <w:rPr>
          <w:lang w:val="nb-NO"/>
        </w:rPr>
        <w:t>treonin, L</w:t>
      </w:r>
      <w:r w:rsidR="00B14020">
        <w:rPr>
          <w:lang w:val="nb-NO"/>
        </w:rPr>
        <w:noBreakHyphen/>
      </w:r>
      <w:r w:rsidR="00DA39F0" w:rsidRPr="00A942F6">
        <w:rPr>
          <w:lang w:val="nb-NO"/>
        </w:rPr>
        <w:t>met</w:t>
      </w:r>
      <w:r w:rsidR="00E86487" w:rsidRPr="00A942F6">
        <w:rPr>
          <w:lang w:val="nb-NO"/>
        </w:rPr>
        <w:t>i</w:t>
      </w:r>
      <w:r w:rsidR="00DA39F0" w:rsidRPr="00A942F6">
        <w:rPr>
          <w:lang w:val="nb-NO"/>
        </w:rPr>
        <w:t>onin</w:t>
      </w:r>
      <w:r w:rsidRPr="00A942F6">
        <w:rPr>
          <w:lang w:val="nb-NO"/>
        </w:rPr>
        <w:t>, polysorbat 80 og vann til injeksjonsvæsker.</w:t>
      </w:r>
    </w:p>
    <w:p w14:paraId="016DA472" w14:textId="77777777" w:rsidR="004A425F" w:rsidRPr="00A942F6" w:rsidRDefault="004A425F" w:rsidP="00641834">
      <w:pPr>
        <w:rPr>
          <w:lang w:val="nb-NO"/>
        </w:rPr>
      </w:pPr>
    </w:p>
    <w:p w14:paraId="664A4C8E" w14:textId="48283EA9" w:rsidR="004A425F" w:rsidRPr="00A942F6" w:rsidRDefault="004A425F" w:rsidP="00641834">
      <w:pPr>
        <w:pStyle w:val="bold"/>
        <w:rPr>
          <w:lang w:val="nb-NO"/>
        </w:rPr>
      </w:pPr>
      <w:r w:rsidRPr="00A942F6">
        <w:rPr>
          <w:lang w:val="nb-NO"/>
        </w:rPr>
        <w:t xml:space="preserve">Hvordan </w:t>
      </w:r>
      <w:r w:rsidR="00923E68" w:rsidRPr="00A942F6">
        <w:rPr>
          <w:lang w:val="nb-NO"/>
        </w:rPr>
        <w:t>Avtozma</w:t>
      </w:r>
      <w:r w:rsidRPr="00A942F6">
        <w:rPr>
          <w:lang w:val="nb-NO"/>
        </w:rPr>
        <w:t xml:space="preserve"> ser ut og innholdet i pakningen</w:t>
      </w:r>
    </w:p>
    <w:p w14:paraId="4B67C4B2" w14:textId="4AF8C7EA" w:rsidR="004A425F" w:rsidRPr="00A942F6" w:rsidRDefault="00923E68" w:rsidP="00641834">
      <w:pPr>
        <w:rPr>
          <w:lang w:val="nb-NO"/>
        </w:rPr>
      </w:pPr>
      <w:r w:rsidRPr="00A942F6">
        <w:rPr>
          <w:lang w:val="nb-NO"/>
        </w:rPr>
        <w:lastRenderedPageBreak/>
        <w:t>Avtozma</w:t>
      </w:r>
      <w:r w:rsidR="004A425F" w:rsidRPr="00A942F6">
        <w:rPr>
          <w:lang w:val="nb-NO"/>
        </w:rPr>
        <w:t xml:space="preserve"> er et konsentrat til infusjonsvæske, oppløsning. Konsentratet er en klar til </w:t>
      </w:r>
      <w:r w:rsidR="00DA39F0" w:rsidRPr="00A942F6">
        <w:rPr>
          <w:lang w:val="nb-NO"/>
        </w:rPr>
        <w:t xml:space="preserve">lett </w:t>
      </w:r>
      <w:r w:rsidR="004A425F" w:rsidRPr="00A942F6">
        <w:rPr>
          <w:lang w:val="nb-NO"/>
        </w:rPr>
        <w:t>opaliserende, fargeløs til lys gul oppløsning.</w:t>
      </w:r>
    </w:p>
    <w:p w14:paraId="66F1AF30" w14:textId="451A32C6" w:rsidR="004A425F" w:rsidRPr="00A942F6" w:rsidRDefault="00923E68" w:rsidP="00641834">
      <w:pPr>
        <w:rPr>
          <w:lang w:val="nb-NO"/>
        </w:rPr>
      </w:pPr>
      <w:r w:rsidRPr="00A942F6">
        <w:rPr>
          <w:lang w:val="nb-NO"/>
        </w:rPr>
        <w:t>Avtozma</w:t>
      </w:r>
      <w:r w:rsidR="004A425F" w:rsidRPr="00A942F6">
        <w:rPr>
          <w:lang w:val="nb-NO"/>
        </w:rPr>
        <w:t xml:space="preserve"> leveres i hetteglass som inneholder 4 ml, 10 ml eller 20 ml konsentrat til infusjonsvæske, oppløsning.</w:t>
      </w:r>
    </w:p>
    <w:p w14:paraId="60DAAC10" w14:textId="77777777" w:rsidR="004A425F" w:rsidRPr="00A942F6" w:rsidRDefault="004A425F" w:rsidP="00641834">
      <w:pPr>
        <w:rPr>
          <w:lang w:val="nb-NO"/>
        </w:rPr>
      </w:pPr>
      <w:r w:rsidRPr="00A942F6">
        <w:rPr>
          <w:lang w:val="nb-NO"/>
        </w:rPr>
        <w:t>Pakningsstørrelser på 1 og 4 hetteglass. Ikke alle pakningsstørrelser vil nødvendigvis bli markedsført.</w:t>
      </w:r>
    </w:p>
    <w:p w14:paraId="4007C3AB" w14:textId="77777777" w:rsidR="004A425F" w:rsidRPr="00A942F6" w:rsidRDefault="004A425F" w:rsidP="00641834">
      <w:pPr>
        <w:rPr>
          <w:lang w:val="nb-NO"/>
        </w:rPr>
      </w:pPr>
    </w:p>
    <w:p w14:paraId="04EA5982" w14:textId="77777777" w:rsidR="004A425F" w:rsidRPr="00A942F6" w:rsidRDefault="004A425F" w:rsidP="008A72DA">
      <w:pPr>
        <w:pStyle w:val="bold"/>
        <w:keepNext/>
        <w:rPr>
          <w:lang w:val="nb-NO"/>
        </w:rPr>
      </w:pPr>
      <w:r w:rsidRPr="00A942F6">
        <w:rPr>
          <w:lang w:val="nb-NO"/>
        </w:rPr>
        <w:t>Innehaver av markedsføringstillatelsen</w:t>
      </w:r>
    </w:p>
    <w:p w14:paraId="2D78704C" w14:textId="77777777" w:rsidR="00DA39F0" w:rsidRPr="00BD4D94" w:rsidRDefault="00DA39F0" w:rsidP="00DA39F0">
      <w:pPr>
        <w:keepNext/>
        <w:rPr>
          <w:lang w:val="nb-NO"/>
        </w:rPr>
      </w:pPr>
      <w:r w:rsidRPr="00BD4D94">
        <w:rPr>
          <w:lang w:val="nb-NO"/>
        </w:rPr>
        <w:t xml:space="preserve">Celltrion Healthcare Hungary Kft. </w:t>
      </w:r>
    </w:p>
    <w:p w14:paraId="0078E390" w14:textId="77777777" w:rsidR="00DA39F0" w:rsidRPr="009B40A5" w:rsidRDefault="00DA39F0" w:rsidP="00DA39F0">
      <w:pPr>
        <w:keepNext/>
      </w:pPr>
      <w:r w:rsidRPr="009B40A5">
        <w:t>1062 Budapest</w:t>
      </w:r>
    </w:p>
    <w:p w14:paraId="38BEB785" w14:textId="77777777" w:rsidR="00DA39F0" w:rsidRPr="009B40A5" w:rsidRDefault="00DA39F0" w:rsidP="00DA39F0">
      <w:pPr>
        <w:keepNext/>
      </w:pPr>
      <w:r w:rsidRPr="009B40A5">
        <w:t>Váci út 1</w:t>
      </w:r>
      <w:r w:rsidR="00B14020" w:rsidRPr="009B40A5">
        <w:noBreakHyphen/>
      </w:r>
      <w:r w:rsidRPr="009B40A5">
        <w:t>3. WestEnd Office Building B torony</w:t>
      </w:r>
    </w:p>
    <w:p w14:paraId="0793499B" w14:textId="77777777" w:rsidR="00DA39F0" w:rsidRPr="009B40A5" w:rsidRDefault="00DA39F0" w:rsidP="00DA39F0">
      <w:r w:rsidRPr="009B40A5">
        <w:t>Ungarn</w:t>
      </w:r>
    </w:p>
    <w:p w14:paraId="1BB09252" w14:textId="77777777" w:rsidR="002665E3" w:rsidRPr="009B40A5" w:rsidRDefault="002665E3" w:rsidP="00641834">
      <w:pPr>
        <w:pStyle w:val="bold"/>
        <w:rPr>
          <w:lang w:val="en-US"/>
        </w:rPr>
      </w:pPr>
    </w:p>
    <w:p w14:paraId="5FEA0B29" w14:textId="77777777" w:rsidR="004A425F" w:rsidRPr="00CD583D" w:rsidRDefault="004A425F" w:rsidP="00641834">
      <w:pPr>
        <w:pStyle w:val="bold"/>
        <w:rPr>
          <w:lang w:val="fr-FR"/>
        </w:rPr>
      </w:pPr>
      <w:r w:rsidRPr="00CD583D">
        <w:rPr>
          <w:lang w:val="fr-FR"/>
        </w:rPr>
        <w:t>Tilvirker</w:t>
      </w:r>
    </w:p>
    <w:p w14:paraId="30BB06A7" w14:textId="77777777" w:rsidR="00DA39F0" w:rsidRPr="00CD583D" w:rsidRDefault="00DA39F0" w:rsidP="00DA39F0">
      <w:pPr>
        <w:keepNext/>
        <w:rPr>
          <w:lang w:val="fr-FR"/>
        </w:rPr>
      </w:pPr>
      <w:r w:rsidRPr="00CD583D">
        <w:rPr>
          <w:lang w:val="fr-FR"/>
        </w:rPr>
        <w:t>Nuvisan France SARL</w:t>
      </w:r>
    </w:p>
    <w:p w14:paraId="11FAF795" w14:textId="77777777" w:rsidR="00DA39F0" w:rsidRPr="00CD583D" w:rsidRDefault="00DA39F0" w:rsidP="00DA39F0">
      <w:pPr>
        <w:keepNext/>
        <w:rPr>
          <w:lang w:val="fr-FR"/>
        </w:rPr>
      </w:pPr>
      <w:r w:rsidRPr="00CD583D">
        <w:rPr>
          <w:lang w:val="fr-FR"/>
        </w:rPr>
        <w:t xml:space="preserve">2400, Route des Colles, </w:t>
      </w:r>
    </w:p>
    <w:p w14:paraId="63F8CA78" w14:textId="77777777" w:rsidR="00DA39F0" w:rsidRPr="00CD583D" w:rsidRDefault="00DA39F0" w:rsidP="00DA39F0">
      <w:pPr>
        <w:keepNext/>
        <w:rPr>
          <w:lang w:val="de-DE"/>
        </w:rPr>
      </w:pPr>
      <w:r w:rsidRPr="00CD583D">
        <w:rPr>
          <w:lang w:val="de-DE"/>
        </w:rPr>
        <w:t xml:space="preserve">06410, Biot, </w:t>
      </w:r>
    </w:p>
    <w:p w14:paraId="5A7C5866" w14:textId="77777777" w:rsidR="00DA39F0" w:rsidRPr="00CD583D" w:rsidRDefault="00DA39F0" w:rsidP="00DA39F0">
      <w:pPr>
        <w:rPr>
          <w:lang w:val="de-DE"/>
        </w:rPr>
      </w:pPr>
      <w:r w:rsidRPr="00CD583D">
        <w:rPr>
          <w:lang w:val="de-DE"/>
        </w:rPr>
        <w:t>Frankrike</w:t>
      </w:r>
    </w:p>
    <w:p w14:paraId="6F583617" w14:textId="77777777" w:rsidR="00DA39F0" w:rsidRPr="00CD583D" w:rsidRDefault="00DA39F0" w:rsidP="00DA39F0">
      <w:pPr>
        <w:rPr>
          <w:lang w:val="de-DE"/>
        </w:rPr>
      </w:pPr>
    </w:p>
    <w:p w14:paraId="262005EB" w14:textId="77777777" w:rsidR="00DA39F0" w:rsidRPr="00CD583D" w:rsidRDefault="00DA39F0" w:rsidP="00DA39F0">
      <w:pPr>
        <w:keepNext/>
        <w:rPr>
          <w:lang w:val="de-DE"/>
        </w:rPr>
      </w:pPr>
      <w:r w:rsidRPr="00CD583D">
        <w:rPr>
          <w:lang w:val="de-DE"/>
        </w:rPr>
        <w:t>Midas Pharma GmbH</w:t>
      </w:r>
    </w:p>
    <w:p w14:paraId="358FE210" w14:textId="77777777" w:rsidR="00DA39F0" w:rsidRPr="009B40A5" w:rsidRDefault="00DA39F0" w:rsidP="00DA39F0">
      <w:pPr>
        <w:keepNext/>
        <w:rPr>
          <w:lang w:val="sv-SE"/>
        </w:rPr>
      </w:pPr>
      <w:r w:rsidRPr="00CD583D">
        <w:rPr>
          <w:lang w:val="de-DE"/>
        </w:rPr>
        <w:t xml:space="preserve">Rheinstr. </w:t>
      </w:r>
      <w:r w:rsidRPr="009B40A5">
        <w:rPr>
          <w:lang w:val="sv-SE"/>
        </w:rPr>
        <w:t xml:space="preserve">49, </w:t>
      </w:r>
    </w:p>
    <w:p w14:paraId="6BE0438C" w14:textId="77777777" w:rsidR="00DA39F0" w:rsidRPr="009B40A5" w:rsidRDefault="00DA39F0" w:rsidP="00DA39F0">
      <w:pPr>
        <w:keepNext/>
        <w:rPr>
          <w:lang w:val="sv-SE"/>
        </w:rPr>
      </w:pPr>
      <w:r w:rsidRPr="009B40A5">
        <w:rPr>
          <w:lang w:val="sv-SE"/>
        </w:rPr>
        <w:t>55218 Ingelheim,</w:t>
      </w:r>
    </w:p>
    <w:p w14:paraId="158C337E" w14:textId="77777777" w:rsidR="00DA39F0" w:rsidRPr="009B40A5" w:rsidRDefault="00DA39F0" w:rsidP="00DA39F0">
      <w:pPr>
        <w:rPr>
          <w:lang w:val="sv-SE"/>
        </w:rPr>
      </w:pPr>
      <w:r w:rsidRPr="009B40A5">
        <w:rPr>
          <w:lang w:val="sv-SE"/>
        </w:rPr>
        <w:t>Tyskland</w:t>
      </w:r>
    </w:p>
    <w:p w14:paraId="3EA03653" w14:textId="77777777" w:rsidR="00DA39F0" w:rsidRPr="009B40A5" w:rsidRDefault="00DA39F0" w:rsidP="00DA39F0">
      <w:pPr>
        <w:rPr>
          <w:lang w:val="sv-SE"/>
        </w:rPr>
      </w:pPr>
    </w:p>
    <w:p w14:paraId="2350E7EB" w14:textId="77777777" w:rsidR="00DA39F0" w:rsidRPr="009B40A5" w:rsidRDefault="00DA39F0" w:rsidP="00DA39F0">
      <w:pPr>
        <w:keepNext/>
        <w:rPr>
          <w:lang w:val="sv-SE"/>
        </w:rPr>
      </w:pPr>
      <w:r w:rsidRPr="009B40A5">
        <w:rPr>
          <w:lang w:val="sv-SE"/>
        </w:rPr>
        <w:t xml:space="preserve">KYMOS S.L. </w:t>
      </w:r>
    </w:p>
    <w:p w14:paraId="71DDED12" w14:textId="77777777" w:rsidR="00DA39F0" w:rsidRPr="009B40A5" w:rsidRDefault="00DA39F0" w:rsidP="00DA39F0">
      <w:pPr>
        <w:keepNext/>
        <w:rPr>
          <w:lang w:val="sv-SE"/>
        </w:rPr>
      </w:pPr>
      <w:r w:rsidRPr="009B40A5">
        <w:rPr>
          <w:lang w:val="sv-SE"/>
        </w:rPr>
        <w:t xml:space="preserve">Ronda Can Fatjó, 7B. </w:t>
      </w:r>
    </w:p>
    <w:p w14:paraId="69DCCF69" w14:textId="77777777" w:rsidR="00DA39F0" w:rsidRPr="009B40A5" w:rsidRDefault="00DA39F0" w:rsidP="00DA39F0">
      <w:pPr>
        <w:keepNext/>
        <w:rPr>
          <w:lang w:val="sv-SE"/>
        </w:rPr>
      </w:pPr>
      <w:r w:rsidRPr="009B40A5">
        <w:rPr>
          <w:lang w:val="sv-SE"/>
        </w:rPr>
        <w:t xml:space="preserve">08290 Cerdanyola del Vallès, </w:t>
      </w:r>
    </w:p>
    <w:p w14:paraId="570DE35B" w14:textId="77777777" w:rsidR="00DA39F0" w:rsidRPr="00A942F6" w:rsidRDefault="00DA39F0" w:rsidP="00DA39F0">
      <w:pPr>
        <w:keepNext/>
        <w:rPr>
          <w:lang w:val="nb-NO"/>
        </w:rPr>
      </w:pPr>
      <w:r w:rsidRPr="00A942F6">
        <w:rPr>
          <w:lang w:val="nb-NO"/>
        </w:rPr>
        <w:t xml:space="preserve">Barcelona, </w:t>
      </w:r>
    </w:p>
    <w:p w14:paraId="4AD80FB2" w14:textId="77777777" w:rsidR="00DA39F0" w:rsidRPr="00A942F6" w:rsidRDefault="00DA39F0" w:rsidP="00DA39F0">
      <w:pPr>
        <w:rPr>
          <w:lang w:val="nb-NO"/>
        </w:rPr>
      </w:pPr>
      <w:r w:rsidRPr="00A942F6">
        <w:rPr>
          <w:lang w:val="nb-NO"/>
        </w:rPr>
        <w:t>Spania</w:t>
      </w:r>
    </w:p>
    <w:p w14:paraId="56EC9F39" w14:textId="77777777" w:rsidR="002665E3" w:rsidRPr="00A942F6" w:rsidRDefault="002665E3" w:rsidP="00641834">
      <w:pPr>
        <w:rPr>
          <w:lang w:val="nb-NO"/>
        </w:rPr>
      </w:pPr>
    </w:p>
    <w:p w14:paraId="4EA53302" w14:textId="77777777" w:rsidR="004A425F" w:rsidRPr="00A942F6" w:rsidRDefault="004A425F" w:rsidP="00641834">
      <w:pPr>
        <w:rPr>
          <w:lang w:val="nb-NO"/>
        </w:rPr>
      </w:pPr>
      <w:r w:rsidRPr="00A942F6">
        <w:rPr>
          <w:lang w:val="nb-NO"/>
        </w:rPr>
        <w:t>Ta kontakt med den lokale representanten for innehaveren av markedsføringstillatelsen for ytterligere informasjon om dette legemidlet:</w:t>
      </w:r>
    </w:p>
    <w:p w14:paraId="32A2C3BF" w14:textId="77777777" w:rsidR="00DA39F0" w:rsidRPr="00A942F6" w:rsidRDefault="00DA39F0" w:rsidP="00641834">
      <w:pPr>
        <w:rPr>
          <w:lang w:val="nb-NO"/>
        </w:rPr>
      </w:pPr>
    </w:p>
    <w:tbl>
      <w:tblPr>
        <w:tblW w:w="5000" w:type="pct"/>
        <w:tblLayout w:type="fixed"/>
        <w:tblCellMar>
          <w:top w:w="28" w:type="dxa"/>
          <w:bottom w:w="28" w:type="dxa"/>
        </w:tblCellMar>
        <w:tblLook w:val="04A0" w:firstRow="1" w:lastRow="0" w:firstColumn="1" w:lastColumn="0" w:noHBand="0" w:noVBand="1"/>
      </w:tblPr>
      <w:tblGrid>
        <w:gridCol w:w="4535"/>
        <w:gridCol w:w="4536"/>
      </w:tblGrid>
      <w:tr w:rsidR="007461B0" w:rsidRPr="00A942F6" w14:paraId="149413A2" w14:textId="77777777">
        <w:trPr>
          <w:cantSplit/>
        </w:trPr>
        <w:tc>
          <w:tcPr>
            <w:tcW w:w="2500" w:type="pct"/>
            <w:hideMark/>
          </w:tcPr>
          <w:p w14:paraId="293C3F12" w14:textId="77777777" w:rsidR="00DA39F0" w:rsidRPr="009B40A5" w:rsidRDefault="00DA39F0">
            <w:pPr>
              <w:widowControl w:val="0"/>
              <w:suppressAutoHyphens/>
              <w:rPr>
                <w:rFonts w:eastAsia="새굴림" w:cs="새굴림"/>
                <w:b/>
                <w:noProof/>
                <w:lang w:eastAsia="fr-FR"/>
              </w:rPr>
            </w:pPr>
            <w:r w:rsidRPr="009B40A5">
              <w:rPr>
                <w:rFonts w:eastAsia="맑은 고딕" w:cs="새굴림"/>
                <w:b/>
                <w:noProof/>
                <w:lang w:eastAsia="fr-FR"/>
              </w:rPr>
              <w:t>België/Belgique/Belgien</w:t>
            </w:r>
          </w:p>
          <w:p w14:paraId="074C505D" w14:textId="77777777" w:rsidR="00DA39F0" w:rsidRPr="009B40A5" w:rsidRDefault="00DA39F0">
            <w:pPr>
              <w:widowControl w:val="0"/>
              <w:suppressAutoHyphens/>
              <w:rPr>
                <w:rFonts w:eastAsia="맑은 고딕" w:cs="새굴림"/>
                <w:noProof/>
                <w:lang w:eastAsia="fr-FR"/>
              </w:rPr>
            </w:pPr>
            <w:r w:rsidRPr="009B40A5">
              <w:rPr>
                <w:rFonts w:eastAsia="맑은 고딕" w:cs="새굴림"/>
                <w:noProof/>
                <w:lang w:eastAsia="fr-FR"/>
              </w:rPr>
              <w:t>Celltrion Healthcare Belgium BVBA</w:t>
            </w:r>
          </w:p>
          <w:p w14:paraId="15B3A374" w14:textId="77777777" w:rsidR="00DA39F0" w:rsidRPr="00A942F6" w:rsidRDefault="00DA39F0">
            <w:pPr>
              <w:widowControl w:val="0"/>
              <w:suppressAutoHyphens/>
              <w:rPr>
                <w:rFonts w:eastAsia="새굴림" w:cs="새굴림"/>
                <w:b/>
                <w:noProof/>
                <w:lang w:val="nb-NO" w:eastAsia="fr-FR"/>
              </w:rPr>
            </w:pPr>
            <w:r w:rsidRPr="00A942F6">
              <w:rPr>
                <w:rFonts w:eastAsia="맑은 고딕" w:cs="새굴림"/>
                <w:noProof/>
                <w:lang w:val="nb-NO" w:eastAsia="fr-FR"/>
              </w:rPr>
              <w:t>Tél/Tel: +32 2 643 71 81</w:t>
            </w:r>
          </w:p>
          <w:p w14:paraId="27925E4D"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BEinfo@celltrionhc.com</w:t>
            </w:r>
          </w:p>
          <w:p w14:paraId="35387C8D" w14:textId="77777777" w:rsidR="00DA39F0" w:rsidRPr="00A942F6" w:rsidRDefault="00DA39F0">
            <w:pPr>
              <w:widowControl w:val="0"/>
              <w:suppressAutoHyphens/>
              <w:rPr>
                <w:rFonts w:eastAsia="맑은 고딕" w:cs="새굴림"/>
                <w:noProof/>
                <w:lang w:val="nb-NO" w:eastAsia="ko-KR"/>
              </w:rPr>
            </w:pPr>
          </w:p>
        </w:tc>
        <w:tc>
          <w:tcPr>
            <w:tcW w:w="2500" w:type="pct"/>
          </w:tcPr>
          <w:p w14:paraId="530EF920" w14:textId="77777777" w:rsidR="00DA39F0" w:rsidRPr="009B40A5" w:rsidRDefault="00DA39F0">
            <w:pPr>
              <w:widowControl w:val="0"/>
              <w:tabs>
                <w:tab w:val="left" w:pos="-720"/>
              </w:tabs>
              <w:suppressAutoHyphens/>
              <w:rPr>
                <w:rFonts w:eastAsia="새굴림" w:cs="새굴림"/>
                <w:b/>
                <w:noProof/>
                <w:lang w:eastAsia="fr-FR"/>
              </w:rPr>
            </w:pPr>
            <w:r w:rsidRPr="009B40A5">
              <w:rPr>
                <w:rFonts w:eastAsia="새굴림" w:cs="새굴림"/>
                <w:b/>
                <w:noProof/>
                <w:lang w:eastAsia="fr-FR"/>
              </w:rPr>
              <w:t>Lietuva</w:t>
            </w:r>
          </w:p>
          <w:p w14:paraId="00781A8B"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1A9EF8C7" w14:textId="77777777" w:rsidR="00DA39F0" w:rsidRPr="00A942F6" w:rsidRDefault="00DA39F0">
            <w:pPr>
              <w:widowControl w:val="0"/>
              <w:suppressAutoHyphens/>
              <w:autoSpaceDE w:val="0"/>
              <w:autoSpaceDN w:val="0"/>
              <w:adjustRightInd w:val="0"/>
              <w:rPr>
                <w:rFonts w:eastAsia="새굴림" w:cs="새굴림"/>
                <w:noProof/>
                <w:lang w:val="nb-NO" w:eastAsia="fr-FR"/>
              </w:rPr>
            </w:pPr>
            <w:r w:rsidRPr="00A942F6">
              <w:rPr>
                <w:rFonts w:eastAsia="맑은 고딕" w:cs="새굴림"/>
                <w:noProof/>
                <w:lang w:val="nb-NO" w:eastAsia="fr-FR"/>
              </w:rPr>
              <w:t>Tel.: +36 1 231 0493</w:t>
            </w:r>
          </w:p>
          <w:p w14:paraId="5FBA9933" w14:textId="77777777" w:rsidR="00DA39F0" w:rsidRPr="00A942F6" w:rsidRDefault="00DA39F0">
            <w:pPr>
              <w:widowControl w:val="0"/>
              <w:suppressAutoHyphens/>
              <w:autoSpaceDE w:val="0"/>
              <w:autoSpaceDN w:val="0"/>
              <w:adjustRightInd w:val="0"/>
              <w:rPr>
                <w:rFonts w:eastAsia="새굴림" w:cs="새굴림"/>
                <w:noProof/>
                <w:lang w:val="nb-NO" w:eastAsia="fr-FR"/>
              </w:rPr>
            </w:pPr>
          </w:p>
        </w:tc>
      </w:tr>
      <w:tr w:rsidR="007461B0" w:rsidRPr="00A942F6" w14:paraId="68B5F405" w14:textId="77777777">
        <w:trPr>
          <w:cantSplit/>
        </w:trPr>
        <w:tc>
          <w:tcPr>
            <w:tcW w:w="2500" w:type="pct"/>
          </w:tcPr>
          <w:p w14:paraId="0FC1DE69" w14:textId="77777777" w:rsidR="00DA39F0" w:rsidRPr="009B40A5" w:rsidRDefault="00DA39F0">
            <w:pPr>
              <w:widowControl w:val="0"/>
              <w:suppressAutoHyphens/>
              <w:rPr>
                <w:rFonts w:eastAsia="맑은 고딕" w:cs="새굴림"/>
                <w:b/>
                <w:noProof/>
                <w:lang w:eastAsia="fr-FR"/>
              </w:rPr>
            </w:pPr>
            <w:r w:rsidRPr="00A942F6">
              <w:rPr>
                <w:rFonts w:eastAsia="새굴림" w:cs="새굴림"/>
                <w:b/>
                <w:bCs/>
                <w:lang w:val="nb-NO"/>
              </w:rPr>
              <w:t>България</w:t>
            </w:r>
          </w:p>
          <w:p w14:paraId="1B7E0A3C"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4D5B5A17"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Teл.: +36 1 231 0493</w:t>
            </w:r>
          </w:p>
          <w:p w14:paraId="449C0A55" w14:textId="77777777" w:rsidR="00DA39F0" w:rsidRPr="00A942F6" w:rsidRDefault="00DA39F0">
            <w:pPr>
              <w:widowControl w:val="0"/>
              <w:suppressAutoHyphens/>
              <w:rPr>
                <w:rFonts w:eastAsia="새굴림" w:cs="새굴림"/>
                <w:noProof/>
                <w:lang w:val="nb-NO" w:eastAsia="fr-FR"/>
              </w:rPr>
            </w:pPr>
          </w:p>
        </w:tc>
        <w:tc>
          <w:tcPr>
            <w:tcW w:w="2500" w:type="pct"/>
            <w:hideMark/>
          </w:tcPr>
          <w:p w14:paraId="314540E3" w14:textId="77777777" w:rsidR="00DA39F0" w:rsidRPr="00CD583D" w:rsidRDefault="00DA39F0">
            <w:pPr>
              <w:widowControl w:val="0"/>
              <w:tabs>
                <w:tab w:val="left" w:pos="-720"/>
              </w:tabs>
              <w:suppressAutoHyphens/>
              <w:rPr>
                <w:rFonts w:eastAsia="새굴림" w:cs="새굴림"/>
                <w:noProof/>
                <w:lang w:val="de-DE" w:eastAsia="fr-FR"/>
              </w:rPr>
            </w:pPr>
            <w:r w:rsidRPr="00CD583D">
              <w:rPr>
                <w:rFonts w:eastAsia="맑은 고딕" w:cs="새굴림"/>
                <w:b/>
                <w:noProof/>
                <w:lang w:val="de-DE" w:eastAsia="fr-FR"/>
              </w:rPr>
              <w:t>Luxembourg/Luxemburg</w:t>
            </w:r>
          </w:p>
          <w:p w14:paraId="48D70E6B" w14:textId="77777777" w:rsidR="00DA39F0" w:rsidRPr="00CD583D" w:rsidRDefault="00DA39F0">
            <w:pPr>
              <w:widowControl w:val="0"/>
              <w:suppressAutoHyphens/>
              <w:rPr>
                <w:rFonts w:eastAsia="맑은 고딕" w:cs="새굴림"/>
                <w:noProof/>
                <w:lang w:val="de-DE" w:eastAsia="fr-FR"/>
              </w:rPr>
            </w:pPr>
            <w:r w:rsidRPr="00CD583D">
              <w:rPr>
                <w:rFonts w:eastAsia="맑은 고딕" w:cs="새굴림"/>
                <w:noProof/>
                <w:lang w:val="de-DE" w:eastAsia="fr-FR"/>
              </w:rPr>
              <w:t>Celltrion Healthcare Belgium BVBA</w:t>
            </w:r>
          </w:p>
          <w:p w14:paraId="7D51036C" w14:textId="77777777" w:rsidR="00DA39F0" w:rsidRPr="00A942F6" w:rsidRDefault="00DA39F0">
            <w:pPr>
              <w:widowControl w:val="0"/>
              <w:tabs>
                <w:tab w:val="left" w:pos="-720"/>
              </w:tabs>
              <w:suppressAutoHyphens/>
              <w:rPr>
                <w:rFonts w:eastAsia="맑은 고딕" w:cs="새굴림"/>
                <w:noProof/>
                <w:lang w:val="nb-NO" w:eastAsia="fr-FR"/>
              </w:rPr>
            </w:pPr>
            <w:r w:rsidRPr="00A942F6">
              <w:rPr>
                <w:rFonts w:eastAsia="맑은 고딕" w:cs="새굴림"/>
                <w:noProof/>
                <w:lang w:val="nb-NO" w:eastAsia="fr-FR"/>
              </w:rPr>
              <w:t>Tél/Tel: +32 2 643 71 81</w:t>
            </w:r>
          </w:p>
          <w:p w14:paraId="27FD3D4C" w14:textId="77777777" w:rsidR="00DA39F0" w:rsidRPr="00A942F6" w:rsidRDefault="00DA39F0">
            <w:pPr>
              <w:widowControl w:val="0"/>
              <w:suppressAutoHyphens/>
              <w:rPr>
                <w:rFonts w:eastAsia="맑은 고딕" w:cs="새굴림"/>
                <w:lang w:val="nb-NO" w:eastAsia="ko-KR"/>
              </w:rPr>
            </w:pPr>
            <w:r w:rsidRPr="00A942F6">
              <w:rPr>
                <w:rFonts w:eastAsia="맑은 고딕" w:cs="새굴림"/>
                <w:noProof/>
                <w:lang w:val="nb-NO" w:eastAsia="fr-FR"/>
              </w:rPr>
              <w:t>BEinfo@celltrionhc.com</w:t>
            </w:r>
          </w:p>
          <w:p w14:paraId="39255836" w14:textId="77777777" w:rsidR="00DA39F0" w:rsidRPr="00A942F6" w:rsidRDefault="00DA39F0">
            <w:pPr>
              <w:widowControl w:val="0"/>
              <w:tabs>
                <w:tab w:val="left" w:pos="-720"/>
              </w:tabs>
              <w:suppressAutoHyphens/>
              <w:rPr>
                <w:rFonts w:eastAsia="맑은 고딕" w:cs="새굴림"/>
                <w:lang w:val="nb-NO" w:eastAsia="ko-KR"/>
              </w:rPr>
            </w:pPr>
          </w:p>
        </w:tc>
      </w:tr>
      <w:tr w:rsidR="007461B0" w:rsidRPr="00A942F6" w14:paraId="3E6569D7" w14:textId="77777777">
        <w:trPr>
          <w:cantSplit/>
        </w:trPr>
        <w:tc>
          <w:tcPr>
            <w:tcW w:w="2500" w:type="pct"/>
            <w:hideMark/>
          </w:tcPr>
          <w:p w14:paraId="275F4CF1" w14:textId="77777777" w:rsidR="00DA39F0" w:rsidRPr="009B40A5" w:rsidRDefault="00DA39F0">
            <w:pPr>
              <w:widowControl w:val="0"/>
              <w:tabs>
                <w:tab w:val="left" w:pos="-720"/>
              </w:tabs>
              <w:suppressAutoHyphens/>
              <w:rPr>
                <w:rFonts w:eastAsia="맑은 고딕" w:cs="새굴림"/>
                <w:b/>
                <w:noProof/>
                <w:lang w:eastAsia="fr-FR"/>
              </w:rPr>
            </w:pPr>
            <w:r w:rsidRPr="009B40A5">
              <w:rPr>
                <w:rFonts w:eastAsia="맑은 고딕" w:cs="새굴림"/>
                <w:b/>
                <w:noProof/>
                <w:lang w:eastAsia="fr-FR"/>
              </w:rPr>
              <w:t>Česká republika</w:t>
            </w:r>
          </w:p>
          <w:p w14:paraId="0E178D53"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38955F7A" w14:textId="77777777" w:rsidR="00DA39F0" w:rsidRPr="00A942F6" w:rsidRDefault="00DA39F0">
            <w:pPr>
              <w:widowControl w:val="0"/>
              <w:tabs>
                <w:tab w:val="left" w:pos="-720"/>
              </w:tabs>
              <w:suppressAutoHyphens/>
              <w:rPr>
                <w:rFonts w:eastAsia="맑은 고딕" w:cs="새굴림"/>
                <w:noProof/>
                <w:lang w:val="nb-NO" w:eastAsia="fr-FR"/>
              </w:rPr>
            </w:pPr>
            <w:r w:rsidRPr="00A942F6">
              <w:rPr>
                <w:rFonts w:eastAsia="맑은 고딕" w:cs="새굴림"/>
                <w:noProof/>
                <w:lang w:val="nb-NO" w:eastAsia="fr-FR"/>
              </w:rPr>
              <w:t>Tel: +36 1 231 0493</w:t>
            </w:r>
          </w:p>
          <w:p w14:paraId="557C993F" w14:textId="77777777" w:rsidR="00DA39F0" w:rsidRPr="00A942F6" w:rsidRDefault="00DA39F0">
            <w:pPr>
              <w:widowControl w:val="0"/>
              <w:tabs>
                <w:tab w:val="left" w:pos="-720"/>
              </w:tabs>
              <w:suppressAutoHyphens/>
              <w:rPr>
                <w:rFonts w:eastAsia="새굴림" w:cs="새굴림"/>
                <w:noProof/>
                <w:lang w:val="nb-NO" w:eastAsia="fr-FR"/>
              </w:rPr>
            </w:pPr>
          </w:p>
        </w:tc>
        <w:tc>
          <w:tcPr>
            <w:tcW w:w="2500" w:type="pct"/>
          </w:tcPr>
          <w:p w14:paraId="280FDC22" w14:textId="77777777" w:rsidR="00DA39F0" w:rsidRPr="009B40A5" w:rsidRDefault="00DA39F0">
            <w:pPr>
              <w:widowControl w:val="0"/>
              <w:suppressAutoHyphens/>
              <w:rPr>
                <w:rFonts w:eastAsia="맑은 고딕" w:cs="새굴림"/>
                <w:b/>
                <w:noProof/>
                <w:lang w:eastAsia="fr-FR"/>
              </w:rPr>
            </w:pPr>
            <w:r w:rsidRPr="009B40A5">
              <w:rPr>
                <w:rFonts w:eastAsia="새굴림" w:cs="새굴림"/>
                <w:b/>
                <w:noProof/>
              </w:rPr>
              <w:t>Magyarország</w:t>
            </w:r>
          </w:p>
          <w:p w14:paraId="037CBA74"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6309AD29"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0544E081" w14:textId="77777777" w:rsidR="00DA39F0" w:rsidRPr="00A942F6" w:rsidRDefault="00DA39F0">
            <w:pPr>
              <w:widowControl w:val="0"/>
              <w:suppressAutoHyphens/>
              <w:rPr>
                <w:rFonts w:eastAsia="맑은 고딕" w:cs="새굴림"/>
                <w:noProof/>
                <w:lang w:val="nb-NO" w:eastAsia="ko-KR"/>
              </w:rPr>
            </w:pPr>
          </w:p>
        </w:tc>
      </w:tr>
      <w:tr w:rsidR="007461B0" w:rsidRPr="00A942F6" w14:paraId="725BBF18" w14:textId="77777777">
        <w:trPr>
          <w:cantSplit/>
        </w:trPr>
        <w:tc>
          <w:tcPr>
            <w:tcW w:w="2500" w:type="pct"/>
            <w:hideMark/>
          </w:tcPr>
          <w:p w14:paraId="539A20B1" w14:textId="3799F6A6" w:rsidR="00DA39F0" w:rsidRPr="009B40A5" w:rsidRDefault="00DA39F0">
            <w:pPr>
              <w:widowControl w:val="0"/>
              <w:tabs>
                <w:tab w:val="left" w:pos="-720"/>
              </w:tabs>
              <w:suppressAutoHyphens/>
              <w:rPr>
                <w:rFonts w:eastAsia="새굴림" w:cs="새굴림"/>
                <w:b/>
                <w:bCs/>
                <w:i/>
                <w:iCs/>
                <w:noProof/>
                <w:lang w:eastAsia="fr-FR"/>
              </w:rPr>
            </w:pPr>
            <w:r w:rsidRPr="009B40A5">
              <w:rPr>
                <w:rFonts w:eastAsia="새굴림" w:cs="새굴림"/>
                <w:b/>
                <w:noProof/>
              </w:rPr>
              <w:t>D</w:t>
            </w:r>
            <w:r w:rsidR="00552215">
              <w:rPr>
                <w:rFonts w:eastAsia="새굴림" w:cs="새굴림" w:hint="eastAsia"/>
                <w:b/>
                <w:noProof/>
                <w:lang w:eastAsia="ko-KR"/>
              </w:rPr>
              <w:t>e</w:t>
            </w:r>
            <w:r w:rsidRPr="009B40A5">
              <w:rPr>
                <w:rFonts w:eastAsia="새굴림" w:cs="새굴림"/>
                <w:b/>
                <w:noProof/>
              </w:rPr>
              <w:t>nmark</w:t>
            </w:r>
          </w:p>
          <w:p w14:paraId="13243CB5" w14:textId="77777777" w:rsidR="00552215" w:rsidRPr="00DC6A50" w:rsidRDefault="00DA39F0" w:rsidP="00552215">
            <w:pPr>
              <w:tabs>
                <w:tab w:val="left" w:pos="-720"/>
              </w:tabs>
              <w:suppressAutoHyphens/>
              <w:rPr>
                <w:rFonts w:eastAsia="맑은 고딕" w:cs="Times New Roman"/>
                <w:noProof/>
                <w:lang w:eastAsia="ko-KR"/>
              </w:rPr>
            </w:pPr>
            <w:r w:rsidRPr="009B40A5">
              <w:rPr>
                <w:rFonts w:eastAsia="맑은 고딕" w:cs="새굴림"/>
                <w:noProof/>
                <w:lang w:eastAsia="fr-FR"/>
              </w:rPr>
              <w:t xml:space="preserve">Celltrion Healthcare </w:t>
            </w:r>
            <w:r w:rsidR="00552215" w:rsidRPr="00200A6E">
              <w:rPr>
                <w:rFonts w:eastAsia="맑은 고딕" w:cs="Times New Roman" w:hint="eastAsia"/>
                <w:noProof/>
                <w:lang w:eastAsia="ko-KR"/>
              </w:rPr>
              <w:t>Denmark</w:t>
            </w:r>
            <w:r w:rsidR="00552215">
              <w:rPr>
                <w:rFonts w:eastAsia="맑은 고딕" w:cs="Times New Roman" w:hint="eastAsia"/>
                <w:noProof/>
                <w:lang w:eastAsia="ko-KR"/>
              </w:rPr>
              <w:t xml:space="preserve"> ApS</w:t>
            </w:r>
          </w:p>
          <w:p w14:paraId="20E9BC36" w14:textId="77777777" w:rsidR="00552215" w:rsidRPr="006F04E0" w:rsidRDefault="00552215" w:rsidP="00552215">
            <w:pPr>
              <w:tabs>
                <w:tab w:val="left" w:pos="-720"/>
              </w:tabs>
              <w:suppressAutoHyphens/>
              <w:rPr>
                <w:rFonts w:eastAsia="맑은 고딕" w:cs="Times New Roman"/>
                <w:noProof/>
                <w:lang w:eastAsia="fr-FR"/>
              </w:rPr>
            </w:pPr>
            <w:r w:rsidRPr="006F04E0">
              <w:rPr>
                <w:rFonts w:eastAsia="맑은 고딕" w:cs="Times New Roman"/>
                <w:noProof/>
                <w:lang w:eastAsia="fr-FR"/>
              </w:rPr>
              <w:t>Tel: + 45 3535 2989</w:t>
            </w:r>
          </w:p>
          <w:p w14:paraId="713053A0" w14:textId="6E253223" w:rsidR="00552215" w:rsidRDefault="00552215">
            <w:pPr>
              <w:widowControl w:val="0"/>
              <w:tabs>
                <w:tab w:val="left" w:pos="-720"/>
              </w:tabs>
              <w:suppressAutoHyphens/>
              <w:rPr>
                <w:rFonts w:eastAsia="맑은 고딕" w:cs="새굴림"/>
                <w:noProof/>
                <w:lang w:eastAsia="ko-KR"/>
              </w:rPr>
            </w:pPr>
            <w:r w:rsidRPr="006F04E0">
              <w:rPr>
                <w:rFonts w:eastAsia="맑은 고딕" w:cs="Times New Roman"/>
                <w:noProof/>
                <w:lang w:eastAsia="fr-FR"/>
              </w:rPr>
              <w:t>Contact_dk@celltrionhc.com</w:t>
            </w:r>
          </w:p>
          <w:p w14:paraId="50CF748D" w14:textId="77777777" w:rsidR="00552215" w:rsidRPr="00552215" w:rsidRDefault="00552215">
            <w:pPr>
              <w:widowControl w:val="0"/>
              <w:tabs>
                <w:tab w:val="left" w:pos="-720"/>
              </w:tabs>
              <w:suppressAutoHyphens/>
              <w:rPr>
                <w:rFonts w:eastAsia="맑은 고딕" w:cs="새굴림"/>
                <w:noProof/>
                <w:lang w:eastAsia="ko-KR"/>
              </w:rPr>
            </w:pPr>
          </w:p>
          <w:p w14:paraId="1D57815B" w14:textId="24015669" w:rsidR="00DA39F0" w:rsidRPr="00BD4D94" w:rsidRDefault="00DA39F0">
            <w:pPr>
              <w:widowControl w:val="0"/>
              <w:tabs>
                <w:tab w:val="left" w:pos="-720"/>
              </w:tabs>
              <w:suppressAutoHyphens/>
              <w:rPr>
                <w:rFonts w:eastAsia="맑은 고딕" w:cs="새굴림"/>
                <w:noProof/>
                <w:lang w:eastAsia="fr-FR"/>
              </w:rPr>
            </w:pPr>
          </w:p>
        </w:tc>
        <w:tc>
          <w:tcPr>
            <w:tcW w:w="2500" w:type="pct"/>
          </w:tcPr>
          <w:p w14:paraId="410A521B" w14:textId="77777777" w:rsidR="00DA39F0" w:rsidRPr="009B40A5" w:rsidRDefault="00DA39F0">
            <w:pPr>
              <w:widowControl w:val="0"/>
              <w:suppressAutoHyphens/>
              <w:rPr>
                <w:rFonts w:eastAsia="새굴림" w:cs="새굴림"/>
                <w:noProof/>
                <w:lang w:eastAsia="fr-FR"/>
              </w:rPr>
            </w:pPr>
            <w:r w:rsidRPr="009B40A5">
              <w:rPr>
                <w:rFonts w:eastAsia="맑은 고딕" w:cs="새굴림"/>
                <w:b/>
                <w:noProof/>
                <w:lang w:eastAsia="fr-FR"/>
              </w:rPr>
              <w:t>Malta</w:t>
            </w:r>
          </w:p>
          <w:p w14:paraId="43FCABAD"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Mint Health Ltd.</w:t>
            </w:r>
          </w:p>
          <w:p w14:paraId="4F52EBD5" w14:textId="77777777" w:rsidR="00DA39F0" w:rsidRPr="009B40A5" w:rsidRDefault="00DA39F0">
            <w:pPr>
              <w:widowControl w:val="0"/>
              <w:suppressAutoHyphens/>
              <w:rPr>
                <w:rFonts w:eastAsia="맑은 고딕" w:cs="새굴림"/>
                <w:noProof/>
                <w:lang w:eastAsia="ko-KR"/>
              </w:rPr>
            </w:pPr>
            <w:r w:rsidRPr="009B40A5">
              <w:rPr>
                <w:rFonts w:eastAsia="맑은 고딕" w:cs="새굴림"/>
                <w:noProof/>
                <w:lang w:eastAsia="fr-FR"/>
              </w:rPr>
              <w:t>Tel: +356 2093 9800</w:t>
            </w:r>
          </w:p>
          <w:p w14:paraId="3B2E1801" w14:textId="77777777" w:rsidR="00DA39F0" w:rsidRPr="009B40A5" w:rsidRDefault="00DA39F0">
            <w:pPr>
              <w:widowControl w:val="0"/>
              <w:suppressAutoHyphens/>
              <w:rPr>
                <w:rFonts w:eastAsia="맑은 고딕" w:cs="새굴림"/>
                <w:noProof/>
                <w:lang w:eastAsia="ko-KR"/>
              </w:rPr>
            </w:pPr>
          </w:p>
        </w:tc>
      </w:tr>
      <w:tr w:rsidR="007461B0" w:rsidRPr="00A942F6" w14:paraId="23843ADB" w14:textId="77777777">
        <w:trPr>
          <w:cantSplit/>
        </w:trPr>
        <w:tc>
          <w:tcPr>
            <w:tcW w:w="2500" w:type="pct"/>
            <w:hideMark/>
          </w:tcPr>
          <w:p w14:paraId="44BEE8AA" w14:textId="77777777" w:rsidR="00DA39F0" w:rsidRPr="00CD583D" w:rsidRDefault="00DA39F0">
            <w:pPr>
              <w:widowControl w:val="0"/>
              <w:suppressAutoHyphens/>
              <w:rPr>
                <w:rFonts w:eastAsia="새굴림" w:cs="새굴림"/>
                <w:b/>
                <w:noProof/>
                <w:lang w:val="de-DE" w:eastAsia="fr-FR"/>
              </w:rPr>
            </w:pPr>
            <w:r w:rsidRPr="00CD583D">
              <w:rPr>
                <w:rFonts w:eastAsia="맑은 고딕" w:cs="새굴림"/>
                <w:b/>
                <w:noProof/>
                <w:lang w:val="de-DE" w:eastAsia="fr-FR"/>
              </w:rPr>
              <w:lastRenderedPageBreak/>
              <w:t>Deutschland</w:t>
            </w:r>
          </w:p>
          <w:p w14:paraId="6AF09FCA" w14:textId="77777777" w:rsidR="00DA39F0" w:rsidRPr="00CD583D" w:rsidRDefault="00DA39F0">
            <w:pPr>
              <w:widowControl w:val="0"/>
              <w:tabs>
                <w:tab w:val="left" w:pos="-720"/>
              </w:tabs>
              <w:suppressAutoHyphens/>
              <w:rPr>
                <w:rFonts w:eastAsia="맑은 고딕" w:cs="새굴림"/>
                <w:noProof/>
                <w:lang w:val="de-DE" w:eastAsia="fr-FR"/>
              </w:rPr>
            </w:pPr>
            <w:r w:rsidRPr="00CD583D">
              <w:rPr>
                <w:rFonts w:eastAsia="맑은 고딕" w:cs="새굴림"/>
                <w:noProof/>
                <w:lang w:val="de-DE" w:eastAsia="fr-FR"/>
              </w:rPr>
              <w:t>Celltrion Healthcare Deutschland GmbH</w:t>
            </w:r>
          </w:p>
          <w:p w14:paraId="2C2F0703" w14:textId="77777777" w:rsidR="00DA39F0" w:rsidRPr="00CD583D" w:rsidRDefault="00DA39F0">
            <w:pPr>
              <w:widowControl w:val="0"/>
              <w:tabs>
                <w:tab w:val="left" w:pos="-720"/>
              </w:tabs>
              <w:suppressAutoHyphens/>
              <w:rPr>
                <w:rFonts w:eastAsia="맑은 고딕" w:cs="새굴림"/>
                <w:noProof/>
                <w:lang w:val="de-DE" w:eastAsia="fr-FR"/>
              </w:rPr>
            </w:pPr>
            <w:r w:rsidRPr="00CD583D">
              <w:rPr>
                <w:rFonts w:eastAsia="맑은 고딕" w:cs="새굴림"/>
                <w:noProof/>
                <w:lang w:val="de-DE" w:eastAsia="fr-FR"/>
              </w:rPr>
              <w:t>Tel: +49(0)30 346494150</w:t>
            </w:r>
          </w:p>
          <w:p w14:paraId="232CD708" w14:textId="77777777" w:rsidR="00DA39F0" w:rsidRPr="00A942F6" w:rsidRDefault="00DA39F0">
            <w:pPr>
              <w:widowControl w:val="0"/>
              <w:tabs>
                <w:tab w:val="left" w:pos="-720"/>
              </w:tabs>
              <w:suppressAutoHyphens/>
              <w:rPr>
                <w:rFonts w:eastAsia="맑은 고딕" w:cs="새굴림"/>
                <w:noProof/>
                <w:lang w:val="nb-NO" w:eastAsia="fr-FR"/>
              </w:rPr>
            </w:pPr>
            <w:r w:rsidRPr="00A942F6">
              <w:rPr>
                <w:rFonts w:eastAsia="맑은 고딕" w:cs="새굴림"/>
                <w:noProof/>
                <w:lang w:val="nb-NO" w:eastAsia="fr-FR"/>
              </w:rPr>
              <w:t>infoDE@celltrionhc.com</w:t>
            </w:r>
          </w:p>
          <w:p w14:paraId="0A4218B0" w14:textId="77777777" w:rsidR="00DA39F0" w:rsidRPr="00A942F6" w:rsidRDefault="00DA39F0">
            <w:pPr>
              <w:widowControl w:val="0"/>
              <w:tabs>
                <w:tab w:val="left" w:pos="-720"/>
              </w:tabs>
              <w:suppressAutoHyphens/>
              <w:rPr>
                <w:rFonts w:eastAsia="맑은 고딕" w:cs="새굴림"/>
                <w:noProof/>
                <w:lang w:val="nb-NO" w:eastAsia="fr-FR"/>
              </w:rPr>
            </w:pPr>
          </w:p>
        </w:tc>
        <w:tc>
          <w:tcPr>
            <w:tcW w:w="2500" w:type="pct"/>
          </w:tcPr>
          <w:p w14:paraId="24B9D60E" w14:textId="77777777" w:rsidR="00DA39F0" w:rsidRPr="009B40A5" w:rsidRDefault="00DA39F0">
            <w:pPr>
              <w:widowControl w:val="0"/>
              <w:suppressAutoHyphens/>
              <w:rPr>
                <w:rFonts w:eastAsia="새굴림" w:cs="새굴림"/>
                <w:noProof/>
                <w:lang w:eastAsia="fr-FR"/>
              </w:rPr>
            </w:pPr>
            <w:r w:rsidRPr="009B40A5">
              <w:rPr>
                <w:rFonts w:eastAsia="맑은 고딕" w:cs="새굴림"/>
                <w:b/>
                <w:noProof/>
                <w:lang w:eastAsia="fr-FR"/>
              </w:rPr>
              <w:t>Nederland</w:t>
            </w:r>
          </w:p>
          <w:p w14:paraId="0855A0D2" w14:textId="77777777" w:rsidR="00DA39F0" w:rsidRPr="009B40A5" w:rsidRDefault="00DA39F0">
            <w:pPr>
              <w:widowControl w:val="0"/>
              <w:suppressAutoHyphens/>
              <w:rPr>
                <w:rFonts w:eastAsia="맑은 고딕" w:cs="새굴림"/>
                <w:noProof/>
                <w:lang w:eastAsia="fr-FR"/>
              </w:rPr>
            </w:pPr>
            <w:r w:rsidRPr="009B40A5">
              <w:rPr>
                <w:rFonts w:eastAsia="맑은 고딕" w:cs="새굴림"/>
                <w:noProof/>
                <w:lang w:eastAsia="fr-FR"/>
              </w:rPr>
              <w:t>Celltrion Healthcare Netherlands B.V.</w:t>
            </w:r>
          </w:p>
          <w:p w14:paraId="58074193"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+ 31 20 888 7300</w:t>
            </w:r>
          </w:p>
          <w:p w14:paraId="296B8177" w14:textId="77777777" w:rsidR="00DA39F0" w:rsidRPr="00A942F6" w:rsidRDefault="00DA39F0">
            <w:pPr>
              <w:widowControl w:val="0"/>
              <w:suppressAutoHyphens/>
              <w:rPr>
                <w:rFonts w:eastAsia="맑은 고딕" w:cs="새굴림"/>
                <w:noProof/>
                <w:lang w:val="nb-NO" w:eastAsia="fr-FR"/>
              </w:rPr>
            </w:pPr>
            <w:hyperlink r:id="rId22" w:history="1">
              <w:r w:rsidRPr="00A942F6">
                <w:rPr>
                  <w:rStyle w:val="a6"/>
                  <w:rFonts w:eastAsia="맑은 고딕" w:cs="새굴림"/>
                  <w:noProof/>
                  <w:lang w:val="nb-NO" w:eastAsia="fr-FR"/>
                </w:rPr>
                <w:t>NLinfo@celltrionh</w:t>
              </w:r>
              <w:r w:rsidRPr="00A942F6">
                <w:rPr>
                  <w:rStyle w:val="a6"/>
                  <w:rFonts w:eastAsia="새굴림" w:cs="새굴림"/>
                  <w:lang w:val="nb-NO"/>
                </w:rPr>
                <w:t>c</w:t>
              </w:r>
              <w:r w:rsidRPr="00A942F6">
                <w:rPr>
                  <w:rStyle w:val="a6"/>
                  <w:rFonts w:eastAsia="맑은 고딕" w:cs="새굴림"/>
                  <w:noProof/>
                  <w:lang w:val="nb-NO" w:eastAsia="fr-FR"/>
                </w:rPr>
                <w:t>.com</w:t>
              </w:r>
            </w:hyperlink>
          </w:p>
          <w:p w14:paraId="1C527CA3" w14:textId="77777777" w:rsidR="00DA39F0" w:rsidRPr="00A942F6" w:rsidRDefault="00DA39F0">
            <w:pPr>
              <w:widowControl w:val="0"/>
              <w:suppressAutoHyphens/>
              <w:rPr>
                <w:rFonts w:eastAsia="맑은 고딕" w:cs="새굴림"/>
                <w:noProof/>
                <w:lang w:val="nb-NO" w:eastAsia="fr-FR"/>
              </w:rPr>
            </w:pPr>
          </w:p>
        </w:tc>
      </w:tr>
      <w:tr w:rsidR="007461B0" w:rsidRPr="00A942F6" w14:paraId="52D234F4" w14:textId="77777777">
        <w:trPr>
          <w:cantSplit/>
        </w:trPr>
        <w:tc>
          <w:tcPr>
            <w:tcW w:w="2500" w:type="pct"/>
            <w:hideMark/>
          </w:tcPr>
          <w:p w14:paraId="22D29B88" w14:textId="77777777" w:rsidR="00DA39F0" w:rsidRPr="009B40A5" w:rsidRDefault="00DA39F0">
            <w:pPr>
              <w:widowControl w:val="0"/>
              <w:tabs>
                <w:tab w:val="left" w:pos="-720"/>
                <w:tab w:val="left" w:pos="4536"/>
              </w:tabs>
              <w:suppressAutoHyphens/>
              <w:rPr>
                <w:rFonts w:eastAsia="새굴림" w:cs="새굴림"/>
                <w:b/>
                <w:noProof/>
                <w:lang w:eastAsia="fr-FR"/>
              </w:rPr>
            </w:pPr>
            <w:r w:rsidRPr="009B40A5">
              <w:rPr>
                <w:rFonts w:eastAsia="맑은 고딕" w:cs="새굴림"/>
                <w:b/>
                <w:noProof/>
                <w:lang w:eastAsia="fr-FR"/>
              </w:rPr>
              <w:t>Eesti</w:t>
            </w:r>
          </w:p>
          <w:p w14:paraId="04A57E30"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5BE69961" w14:textId="77777777" w:rsidR="00DA39F0" w:rsidRPr="00CD583D" w:rsidRDefault="00DA39F0">
            <w:pPr>
              <w:widowControl w:val="0"/>
              <w:tabs>
                <w:tab w:val="left" w:pos="-720"/>
              </w:tabs>
              <w:suppressAutoHyphens/>
              <w:rPr>
                <w:rFonts w:eastAsia="맑은 고딕" w:cs="새굴림"/>
                <w:noProof/>
                <w:lang w:eastAsia="fr-FR"/>
              </w:rPr>
            </w:pPr>
            <w:r w:rsidRPr="00CD583D">
              <w:rPr>
                <w:rFonts w:eastAsia="맑은 고딕" w:cs="새굴림"/>
                <w:noProof/>
                <w:lang w:eastAsia="fr-FR"/>
              </w:rPr>
              <w:t>Tel: +36 1 231 0493</w:t>
            </w:r>
          </w:p>
          <w:p w14:paraId="389702F1" w14:textId="77777777" w:rsidR="00DA39F0" w:rsidRPr="00CD583D" w:rsidRDefault="00DA39F0">
            <w:pPr>
              <w:widowControl w:val="0"/>
              <w:tabs>
                <w:tab w:val="left" w:pos="-720"/>
              </w:tabs>
              <w:suppressAutoHyphens/>
              <w:rPr>
                <w:rFonts w:eastAsia="맑은 고딕" w:cs="새굴림"/>
                <w:noProof/>
                <w:lang w:eastAsia="ko-KR"/>
              </w:rPr>
            </w:pPr>
          </w:p>
        </w:tc>
        <w:tc>
          <w:tcPr>
            <w:tcW w:w="2500" w:type="pct"/>
          </w:tcPr>
          <w:p w14:paraId="1458B630" w14:textId="77777777" w:rsidR="00DA39F0" w:rsidRPr="009B40A5" w:rsidRDefault="00DA39F0">
            <w:pPr>
              <w:widowControl w:val="0"/>
              <w:tabs>
                <w:tab w:val="left" w:pos="-720"/>
              </w:tabs>
              <w:suppressAutoHyphens/>
              <w:rPr>
                <w:rFonts w:eastAsia="새굴림" w:cs="새굴림"/>
                <w:noProof/>
                <w:lang w:eastAsia="fr-FR"/>
              </w:rPr>
            </w:pPr>
            <w:r w:rsidRPr="009B40A5">
              <w:rPr>
                <w:rFonts w:eastAsia="맑은 고딕" w:cs="새굴림"/>
                <w:b/>
                <w:noProof/>
                <w:lang w:eastAsia="fr-FR"/>
              </w:rPr>
              <w:t>Norge</w:t>
            </w:r>
          </w:p>
          <w:p w14:paraId="0519966E" w14:textId="77777777" w:rsidR="00552215" w:rsidRPr="006F04E0" w:rsidRDefault="00DA39F0" w:rsidP="00552215">
            <w:pPr>
              <w:tabs>
                <w:tab w:val="left" w:pos="-720"/>
              </w:tabs>
              <w:suppressAutoHyphens/>
              <w:rPr>
                <w:rFonts w:eastAsia="맑은 고딕" w:cs="Times New Roman"/>
                <w:noProof/>
                <w:lang w:eastAsia="fr-FR"/>
              </w:rPr>
            </w:pPr>
            <w:r w:rsidRPr="009B40A5">
              <w:rPr>
                <w:rFonts w:eastAsia="맑은 고딕" w:cs="새굴림"/>
                <w:noProof/>
                <w:lang w:eastAsia="fr-FR"/>
              </w:rPr>
              <w:t xml:space="preserve">Celltrion Healthcare </w:t>
            </w:r>
            <w:r w:rsidR="00552215" w:rsidRPr="006F04E0">
              <w:rPr>
                <w:rFonts w:eastAsia="맑은 고딕" w:cs="Times New Roman"/>
                <w:noProof/>
                <w:lang w:eastAsia="fr-FR"/>
              </w:rPr>
              <w:t>Norway AS</w:t>
            </w:r>
          </w:p>
          <w:p w14:paraId="29A52165" w14:textId="733B7E1B" w:rsidR="00DA39F0" w:rsidRPr="00BD4D94" w:rsidRDefault="00552215">
            <w:pPr>
              <w:widowControl w:val="0"/>
              <w:tabs>
                <w:tab w:val="left" w:pos="-720"/>
              </w:tabs>
              <w:suppressAutoHyphens/>
              <w:rPr>
                <w:rFonts w:eastAsia="맑은 고딕" w:cs="새굴림"/>
                <w:noProof/>
                <w:lang w:eastAsia="ko-KR"/>
              </w:rPr>
            </w:pPr>
            <w:r w:rsidRPr="006F04E0">
              <w:rPr>
                <w:rFonts w:eastAsia="맑은 고딕" w:cs="Times New Roman"/>
                <w:noProof/>
                <w:lang w:eastAsia="fr-FR"/>
              </w:rPr>
              <w:t>Contact_no@celltrionhc.com</w:t>
            </w:r>
          </w:p>
          <w:p w14:paraId="3EFEDF88" w14:textId="77777777" w:rsidR="00DA39F0" w:rsidRPr="00A942F6" w:rsidRDefault="00DA39F0">
            <w:pPr>
              <w:widowControl w:val="0"/>
              <w:tabs>
                <w:tab w:val="left" w:pos="-720"/>
              </w:tabs>
              <w:suppressAutoHyphens/>
              <w:rPr>
                <w:rFonts w:eastAsia="맑은 고딕" w:cs="새굴림"/>
                <w:noProof/>
                <w:lang w:val="nb-NO" w:eastAsia="ko-KR"/>
              </w:rPr>
            </w:pPr>
          </w:p>
        </w:tc>
      </w:tr>
      <w:tr w:rsidR="007461B0" w:rsidRPr="00B477E5" w14:paraId="7ED2C25A" w14:textId="77777777">
        <w:trPr>
          <w:cantSplit/>
        </w:trPr>
        <w:tc>
          <w:tcPr>
            <w:tcW w:w="2500" w:type="pct"/>
            <w:hideMark/>
          </w:tcPr>
          <w:p w14:paraId="65465898" w14:textId="77777777" w:rsidR="00DA39F0" w:rsidRPr="00CD583D" w:rsidRDefault="00DA39F0">
            <w:pPr>
              <w:widowControl w:val="0"/>
              <w:suppressAutoHyphens/>
              <w:rPr>
                <w:rFonts w:eastAsia="새굴림" w:cs="새굴림"/>
                <w:noProof/>
                <w:lang w:val="it-IT" w:eastAsia="fr-FR"/>
              </w:rPr>
            </w:pPr>
            <w:r w:rsidRPr="00CD583D">
              <w:rPr>
                <w:rFonts w:eastAsia="새굴림" w:cs="새굴림"/>
                <w:b/>
                <w:noProof/>
                <w:lang w:val="it-IT"/>
              </w:rPr>
              <w:t>España</w:t>
            </w:r>
          </w:p>
          <w:p w14:paraId="56C1A4E5" w14:textId="77777777" w:rsidR="00DA39F0" w:rsidRPr="00CD583D" w:rsidRDefault="00DA39F0">
            <w:pPr>
              <w:widowControl w:val="0"/>
              <w:suppressAutoHyphens/>
              <w:rPr>
                <w:rFonts w:eastAsia="맑은 고딕" w:cs="새굴림"/>
                <w:noProof/>
                <w:lang w:val="it-IT" w:eastAsia="fr-FR"/>
              </w:rPr>
            </w:pPr>
            <w:r w:rsidRPr="00CD583D">
              <w:rPr>
                <w:rFonts w:eastAsia="맑은 고딕" w:cs="새굴림"/>
                <w:noProof/>
                <w:lang w:val="it-IT" w:eastAsia="fr-FR"/>
              </w:rPr>
              <w:t>CELLTRION FARMACEUTICA (ESPAÑA) S.L..</w:t>
            </w:r>
          </w:p>
          <w:p w14:paraId="5DDFD1B0" w14:textId="525B75C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 xml:space="preserve">Tel: +34 </w:t>
            </w:r>
            <w:r w:rsidR="00CC516D">
              <w:rPr>
                <w:rFonts w:eastAsia="맑은 고딕" w:cs="새굴림"/>
                <w:noProof/>
                <w:lang w:val="nb-NO" w:eastAsia="fr-FR"/>
              </w:rPr>
              <w:t>910 498 478</w:t>
            </w:r>
          </w:p>
          <w:p w14:paraId="6E7C2760" w14:textId="77777777" w:rsidR="00DA39F0" w:rsidRPr="00A942F6" w:rsidRDefault="00DA39F0">
            <w:pPr>
              <w:widowControl w:val="0"/>
              <w:suppressAutoHyphens/>
              <w:rPr>
                <w:rFonts w:eastAsia="새굴림" w:cs="새굴림"/>
                <w:b/>
                <w:noProof/>
                <w:lang w:val="nb-NO" w:eastAsia="fr-FR"/>
              </w:rPr>
            </w:pPr>
          </w:p>
        </w:tc>
        <w:tc>
          <w:tcPr>
            <w:tcW w:w="2500" w:type="pct"/>
          </w:tcPr>
          <w:p w14:paraId="2BFF70EF" w14:textId="77777777" w:rsidR="00DA39F0" w:rsidRPr="009B40A5" w:rsidRDefault="00DA39F0">
            <w:pPr>
              <w:widowControl w:val="0"/>
              <w:suppressAutoHyphens/>
              <w:rPr>
                <w:rFonts w:eastAsia="새굴림" w:cs="새굴림"/>
                <w:noProof/>
                <w:lang w:val="sv-SE" w:eastAsia="fr-FR"/>
              </w:rPr>
            </w:pPr>
            <w:r w:rsidRPr="009B40A5">
              <w:rPr>
                <w:rFonts w:eastAsia="새굴림" w:cs="새굴림"/>
                <w:b/>
                <w:noProof/>
                <w:lang w:val="sv-SE"/>
              </w:rPr>
              <w:t>Österreich</w:t>
            </w:r>
          </w:p>
          <w:p w14:paraId="019C3966" w14:textId="77777777" w:rsidR="00DA39F0" w:rsidRPr="009B40A5" w:rsidRDefault="00DA39F0">
            <w:pPr>
              <w:widowControl w:val="0"/>
              <w:suppressAutoHyphens/>
              <w:rPr>
                <w:rFonts w:eastAsia="맑은 고딕" w:cs="새굴림"/>
                <w:noProof/>
                <w:lang w:val="sv-SE" w:eastAsia="ko-KR"/>
              </w:rPr>
            </w:pPr>
            <w:r w:rsidRPr="009B40A5">
              <w:rPr>
                <w:rFonts w:eastAsia="맑은 고딕" w:cs="새굴림"/>
                <w:noProof/>
                <w:lang w:val="sv-SE" w:eastAsia="fr-FR"/>
              </w:rPr>
              <w:t>Astro-Pharma GmbH</w:t>
            </w:r>
          </w:p>
          <w:p w14:paraId="6152B6D9" w14:textId="77777777" w:rsidR="00DA39F0" w:rsidRPr="009B40A5" w:rsidRDefault="00DA39F0">
            <w:pPr>
              <w:widowControl w:val="0"/>
              <w:tabs>
                <w:tab w:val="left" w:pos="-720"/>
              </w:tabs>
              <w:suppressAutoHyphens/>
              <w:rPr>
                <w:rFonts w:eastAsia="맑은 고딕" w:cs="새굴림"/>
                <w:noProof/>
                <w:lang w:val="sv-SE" w:eastAsia="fr-FR"/>
              </w:rPr>
            </w:pPr>
            <w:r w:rsidRPr="009B40A5">
              <w:rPr>
                <w:rFonts w:eastAsia="맑은 고딕" w:cs="새굴림"/>
                <w:noProof/>
                <w:lang w:val="sv-SE" w:eastAsia="fr-FR"/>
              </w:rPr>
              <w:t>Tel: +43 1 97 99 860</w:t>
            </w:r>
          </w:p>
          <w:p w14:paraId="3D3D96E6" w14:textId="77777777" w:rsidR="00DA39F0" w:rsidRPr="009B40A5" w:rsidRDefault="00DA39F0">
            <w:pPr>
              <w:widowControl w:val="0"/>
              <w:tabs>
                <w:tab w:val="left" w:pos="-720"/>
              </w:tabs>
              <w:suppressAutoHyphens/>
              <w:rPr>
                <w:rFonts w:eastAsia="새굴림" w:cs="새굴림"/>
                <w:noProof/>
                <w:lang w:val="sv-SE" w:eastAsia="fr-FR"/>
              </w:rPr>
            </w:pPr>
          </w:p>
        </w:tc>
      </w:tr>
      <w:tr w:rsidR="007461B0" w:rsidRPr="00A942F6" w14:paraId="3DC9B8D1" w14:textId="77777777">
        <w:trPr>
          <w:cantSplit/>
        </w:trPr>
        <w:tc>
          <w:tcPr>
            <w:tcW w:w="2500" w:type="pct"/>
          </w:tcPr>
          <w:p w14:paraId="7676FDDD" w14:textId="77777777" w:rsidR="00DA39F0" w:rsidRPr="009B40A5" w:rsidRDefault="00DA39F0">
            <w:pPr>
              <w:widowControl w:val="0"/>
              <w:suppressAutoHyphens/>
              <w:rPr>
                <w:rFonts w:eastAsia="새굴림" w:cs="새굴림"/>
                <w:b/>
                <w:noProof/>
                <w:lang w:val="sv-SE" w:eastAsia="fr-FR"/>
              </w:rPr>
            </w:pPr>
            <w:r w:rsidRPr="00A942F6">
              <w:rPr>
                <w:rFonts w:eastAsia="새굴림" w:cs="새굴림"/>
                <w:b/>
                <w:noProof/>
                <w:lang w:val="nb-NO" w:eastAsia="fr-FR"/>
              </w:rPr>
              <w:t>Ελλάδα</w:t>
            </w:r>
          </w:p>
          <w:p w14:paraId="4DF5FB33" w14:textId="77777777" w:rsidR="00DA39F0" w:rsidRPr="009B40A5" w:rsidRDefault="00DA39F0">
            <w:pPr>
              <w:widowControl w:val="0"/>
              <w:suppressAutoHyphens/>
              <w:rPr>
                <w:rFonts w:eastAsia="새굴림" w:cs="새굴림"/>
                <w:noProof/>
                <w:lang w:val="sv-SE" w:eastAsia="fr-FR"/>
              </w:rPr>
            </w:pPr>
            <w:r w:rsidRPr="00A942F6">
              <w:rPr>
                <w:rFonts w:eastAsia="새굴림" w:cs="새굴림"/>
                <w:noProof/>
                <w:lang w:val="nb-NO" w:eastAsia="fr-FR"/>
              </w:rPr>
              <w:t>ΒΙΑΝΕΞ</w:t>
            </w:r>
            <w:r w:rsidRPr="009B40A5">
              <w:rPr>
                <w:rFonts w:eastAsia="새굴림" w:cs="새굴림"/>
                <w:noProof/>
                <w:lang w:val="sv-SE" w:eastAsia="fr-FR"/>
              </w:rPr>
              <w:t xml:space="preserve"> </w:t>
            </w:r>
            <w:r w:rsidRPr="00A942F6">
              <w:rPr>
                <w:rFonts w:eastAsia="새굴림" w:cs="새굴림"/>
                <w:noProof/>
                <w:lang w:val="nb-NO" w:eastAsia="fr-FR"/>
              </w:rPr>
              <w:t>Α</w:t>
            </w:r>
            <w:r w:rsidRPr="009B40A5">
              <w:rPr>
                <w:rFonts w:eastAsia="새굴림" w:cs="새굴림"/>
                <w:noProof/>
                <w:lang w:val="sv-SE" w:eastAsia="fr-FR"/>
              </w:rPr>
              <w:t>.</w:t>
            </w:r>
            <w:r w:rsidRPr="00A942F6">
              <w:rPr>
                <w:rFonts w:eastAsia="새굴림" w:cs="새굴림"/>
                <w:noProof/>
                <w:lang w:val="nb-NO" w:eastAsia="fr-FR"/>
              </w:rPr>
              <w:t>Ε</w:t>
            </w:r>
            <w:r w:rsidRPr="009B40A5">
              <w:rPr>
                <w:rFonts w:eastAsia="새굴림" w:cs="새굴림"/>
                <w:noProof/>
                <w:lang w:val="sv-SE" w:eastAsia="fr-FR"/>
              </w:rPr>
              <w:t>.</w:t>
            </w:r>
          </w:p>
          <w:p w14:paraId="70B2AD5D" w14:textId="77777777" w:rsidR="00DA39F0" w:rsidRPr="009B40A5" w:rsidRDefault="00DA39F0">
            <w:pPr>
              <w:widowControl w:val="0"/>
              <w:suppressAutoHyphens/>
              <w:rPr>
                <w:rFonts w:eastAsia="새굴림" w:cs="새굴림"/>
                <w:noProof/>
                <w:lang w:val="sv-SE" w:eastAsia="fr-FR"/>
              </w:rPr>
            </w:pPr>
            <w:r w:rsidRPr="00A942F6">
              <w:rPr>
                <w:rFonts w:eastAsia="새굴림" w:cs="새굴림"/>
                <w:noProof/>
                <w:lang w:val="nb-NO" w:eastAsia="fr-FR"/>
              </w:rPr>
              <w:t>Τηλ</w:t>
            </w:r>
            <w:r w:rsidRPr="009B40A5">
              <w:rPr>
                <w:rFonts w:eastAsia="새굴림" w:cs="새굴림"/>
                <w:noProof/>
                <w:lang w:val="sv-SE" w:eastAsia="fr-FR"/>
              </w:rPr>
              <w:t xml:space="preserve">: +30 210 8009111 </w:t>
            </w:r>
          </w:p>
          <w:p w14:paraId="11B1C0D3" w14:textId="77777777" w:rsidR="00DA39F0" w:rsidRPr="009B40A5" w:rsidRDefault="00DA39F0">
            <w:pPr>
              <w:widowControl w:val="0"/>
              <w:suppressAutoHyphens/>
              <w:rPr>
                <w:rFonts w:eastAsia="맑은 고딕" w:cs="새굴림"/>
                <w:noProof/>
                <w:lang w:val="sv-SE" w:eastAsia="fr-FR"/>
              </w:rPr>
            </w:pPr>
          </w:p>
        </w:tc>
        <w:tc>
          <w:tcPr>
            <w:tcW w:w="2500" w:type="pct"/>
          </w:tcPr>
          <w:p w14:paraId="6B3F11D3" w14:textId="77777777" w:rsidR="00DA39F0" w:rsidRPr="009B40A5" w:rsidRDefault="00DA39F0">
            <w:pPr>
              <w:widowControl w:val="0"/>
              <w:suppressAutoHyphens/>
              <w:rPr>
                <w:rFonts w:eastAsia="맑은 고딕" w:cs="새굴림"/>
                <w:b/>
                <w:noProof/>
                <w:lang w:eastAsia="fr-FR"/>
              </w:rPr>
            </w:pPr>
            <w:r w:rsidRPr="009B40A5">
              <w:rPr>
                <w:rFonts w:eastAsia="맑은 고딕" w:cs="새굴림"/>
                <w:b/>
                <w:noProof/>
                <w:lang w:eastAsia="fr-FR"/>
              </w:rPr>
              <w:t>Polska</w:t>
            </w:r>
          </w:p>
          <w:p w14:paraId="6D9BCE2D"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0D417E60"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2499DD40" w14:textId="77777777" w:rsidR="00DA39F0" w:rsidRPr="00A942F6" w:rsidRDefault="00DA39F0">
            <w:pPr>
              <w:widowControl w:val="0"/>
              <w:suppressAutoHyphens/>
              <w:rPr>
                <w:rFonts w:eastAsia="새굴림" w:cs="새굴림"/>
                <w:b/>
                <w:noProof/>
                <w:lang w:val="nb-NO"/>
              </w:rPr>
            </w:pPr>
          </w:p>
        </w:tc>
      </w:tr>
      <w:tr w:rsidR="007461B0" w:rsidRPr="00A942F6" w14:paraId="6DC325B1" w14:textId="77777777">
        <w:trPr>
          <w:cantSplit/>
        </w:trPr>
        <w:tc>
          <w:tcPr>
            <w:tcW w:w="2500" w:type="pct"/>
          </w:tcPr>
          <w:p w14:paraId="7EC3F839" w14:textId="77777777" w:rsidR="00DA39F0" w:rsidRPr="009B40A5" w:rsidRDefault="00DA39F0">
            <w:pPr>
              <w:widowControl w:val="0"/>
              <w:suppressAutoHyphens/>
              <w:rPr>
                <w:rFonts w:eastAsia="새굴림" w:cs="새굴림"/>
                <w:b/>
                <w:noProof/>
                <w:lang w:eastAsia="ko-KR"/>
              </w:rPr>
            </w:pPr>
            <w:r w:rsidRPr="009B40A5">
              <w:rPr>
                <w:rFonts w:eastAsia="새굴림" w:cs="새굴림"/>
                <w:b/>
                <w:noProof/>
                <w:lang w:eastAsia="ko-KR"/>
              </w:rPr>
              <w:t>France</w:t>
            </w:r>
          </w:p>
          <w:p w14:paraId="3F169BCB" w14:textId="77777777" w:rsidR="00DA39F0" w:rsidRPr="009B40A5" w:rsidRDefault="00DA39F0">
            <w:pPr>
              <w:widowControl w:val="0"/>
              <w:suppressAutoHyphens/>
              <w:rPr>
                <w:rFonts w:eastAsia="새굴림" w:cs="새굴림"/>
                <w:noProof/>
                <w:lang w:eastAsia="ko-KR"/>
              </w:rPr>
            </w:pPr>
            <w:r w:rsidRPr="009B40A5">
              <w:rPr>
                <w:rFonts w:eastAsia="새굴림" w:cs="새굴림"/>
                <w:noProof/>
                <w:lang w:eastAsia="ko-KR"/>
              </w:rPr>
              <w:t>Celltrion Healthcare France SAS</w:t>
            </w:r>
          </w:p>
          <w:p w14:paraId="6163829A" w14:textId="77777777" w:rsidR="00DA39F0" w:rsidRPr="009B40A5" w:rsidRDefault="00DA39F0">
            <w:pPr>
              <w:widowControl w:val="0"/>
              <w:suppressAutoHyphens/>
              <w:rPr>
                <w:rFonts w:eastAsia="맑은 고딕" w:cs="새굴림"/>
                <w:noProof/>
                <w:lang w:eastAsia="ko-KR"/>
              </w:rPr>
            </w:pPr>
            <w:r w:rsidRPr="009B40A5">
              <w:rPr>
                <w:rFonts w:eastAsia="새굴림" w:cs="새굴림"/>
                <w:noProof/>
                <w:lang w:eastAsia="ko-KR"/>
              </w:rPr>
              <w:t>T</w:t>
            </w:r>
            <w:r w:rsidRPr="009B40A5">
              <w:rPr>
                <w:rFonts w:eastAsia="새굴림" w:cs="새굴림"/>
              </w:rPr>
              <w:t>é</w:t>
            </w:r>
            <w:r w:rsidRPr="009B40A5">
              <w:rPr>
                <w:rFonts w:eastAsia="새굴림" w:cs="새굴림"/>
                <w:noProof/>
                <w:lang w:eastAsia="ko-KR"/>
              </w:rPr>
              <w:t>l.: +33 (0)1 71 25 27 00</w:t>
            </w:r>
          </w:p>
          <w:p w14:paraId="41962F34" w14:textId="77777777" w:rsidR="00DA39F0" w:rsidRPr="009B40A5" w:rsidRDefault="00DA39F0">
            <w:pPr>
              <w:widowControl w:val="0"/>
              <w:suppressAutoHyphens/>
              <w:rPr>
                <w:rFonts w:eastAsia="맑은 고딕" w:cs="새굴림"/>
                <w:noProof/>
                <w:lang w:eastAsia="fr-FR"/>
              </w:rPr>
            </w:pPr>
          </w:p>
        </w:tc>
        <w:tc>
          <w:tcPr>
            <w:tcW w:w="2500" w:type="pct"/>
          </w:tcPr>
          <w:p w14:paraId="399DAEE4" w14:textId="77777777" w:rsidR="00DA39F0" w:rsidRPr="00CD583D" w:rsidRDefault="00DA39F0">
            <w:pPr>
              <w:widowControl w:val="0"/>
              <w:suppressAutoHyphens/>
              <w:autoSpaceDE w:val="0"/>
              <w:autoSpaceDN w:val="0"/>
              <w:adjustRightInd w:val="0"/>
              <w:rPr>
                <w:rFonts w:eastAsia="새굴림" w:cs="새굴림"/>
                <w:noProof/>
                <w:lang w:val="fr-FR" w:eastAsia="fr-FR"/>
              </w:rPr>
            </w:pPr>
            <w:r w:rsidRPr="00CD583D">
              <w:rPr>
                <w:rFonts w:eastAsia="맑은 고딕" w:cs="새굴림"/>
                <w:b/>
                <w:noProof/>
                <w:lang w:val="fr-FR" w:eastAsia="fr-FR"/>
              </w:rPr>
              <w:t>Portugal</w:t>
            </w:r>
          </w:p>
          <w:p w14:paraId="714B21DD" w14:textId="77777777" w:rsidR="00DA39F0" w:rsidRPr="00CD583D" w:rsidRDefault="00DA39F0">
            <w:pPr>
              <w:widowControl w:val="0"/>
              <w:suppressAutoHyphens/>
              <w:autoSpaceDE w:val="0"/>
              <w:autoSpaceDN w:val="0"/>
              <w:adjustRightInd w:val="0"/>
              <w:rPr>
                <w:rFonts w:eastAsia="맑은 고딕" w:cs="새굴림"/>
                <w:noProof/>
                <w:lang w:val="fr-FR" w:eastAsia="ko-KR"/>
              </w:rPr>
            </w:pPr>
            <w:r w:rsidRPr="00CD583D">
              <w:rPr>
                <w:rFonts w:eastAsia="맑은 고딕" w:cs="새굴림"/>
                <w:noProof/>
                <w:lang w:val="fr-FR" w:eastAsia="fr-FR"/>
              </w:rPr>
              <w:t>CELLTRION PORTUGAL, UNIPESSOAL LDA.</w:t>
            </w:r>
          </w:p>
          <w:p w14:paraId="6A5F0E99" w14:textId="77777777" w:rsidR="00DA39F0" w:rsidRPr="00A942F6" w:rsidRDefault="00DA39F0">
            <w:pPr>
              <w:widowControl w:val="0"/>
              <w:suppressAutoHyphens/>
              <w:rPr>
                <w:rFonts w:eastAsia="새굴림" w:cs="새굴림"/>
                <w:b/>
                <w:lang w:val="nb-NO"/>
              </w:rPr>
            </w:pPr>
            <w:r w:rsidRPr="00A942F6">
              <w:rPr>
                <w:rFonts w:eastAsia="새굴림" w:cs="새굴림"/>
                <w:lang w:val="nb-NO"/>
              </w:rPr>
              <w:t xml:space="preserve">Tel: </w:t>
            </w:r>
            <w:r w:rsidRPr="00A942F6">
              <w:rPr>
                <w:rFonts w:eastAsia="맑은 고딕" w:cs="새굴림"/>
                <w:noProof/>
                <w:lang w:val="nb-NO" w:eastAsia="fr-FR"/>
              </w:rPr>
              <w:t>+351 21 936 8542</w:t>
            </w:r>
          </w:p>
          <w:p w14:paraId="5BBFF266" w14:textId="77777777" w:rsidR="00DA39F0" w:rsidRPr="00A942F6" w:rsidRDefault="00DA39F0">
            <w:pPr>
              <w:widowControl w:val="0"/>
              <w:suppressAutoHyphens/>
              <w:rPr>
                <w:rFonts w:eastAsia="새굴림" w:cs="새굴림"/>
                <w:b/>
                <w:noProof/>
                <w:lang w:val="nb-NO"/>
              </w:rPr>
            </w:pPr>
          </w:p>
        </w:tc>
      </w:tr>
      <w:tr w:rsidR="007461B0" w:rsidRPr="00A942F6" w14:paraId="6FF066EE" w14:textId="77777777">
        <w:trPr>
          <w:cantSplit/>
        </w:trPr>
        <w:tc>
          <w:tcPr>
            <w:tcW w:w="2500" w:type="pct"/>
          </w:tcPr>
          <w:p w14:paraId="7289F40E" w14:textId="77777777" w:rsidR="00DA39F0" w:rsidRPr="009B40A5" w:rsidRDefault="00DA39F0">
            <w:pPr>
              <w:widowControl w:val="0"/>
              <w:suppressAutoHyphens/>
              <w:rPr>
                <w:rFonts w:eastAsia="새굴림" w:cs="새굴림"/>
                <w:b/>
                <w:noProof/>
                <w:lang w:val="sv-SE" w:eastAsia="ko-KR"/>
              </w:rPr>
            </w:pPr>
            <w:r w:rsidRPr="009B40A5">
              <w:rPr>
                <w:rFonts w:eastAsia="새굴림" w:cs="새굴림"/>
                <w:b/>
                <w:noProof/>
                <w:lang w:val="sv-SE" w:eastAsia="ko-KR"/>
              </w:rPr>
              <w:t>Hrvatska</w:t>
            </w:r>
          </w:p>
          <w:p w14:paraId="3164A78F" w14:textId="77777777" w:rsidR="00DA39F0" w:rsidRPr="009B40A5" w:rsidRDefault="00DA39F0">
            <w:pPr>
              <w:widowControl w:val="0"/>
              <w:suppressAutoHyphens/>
              <w:rPr>
                <w:rFonts w:eastAsia="새굴림" w:cs="새굴림"/>
                <w:noProof/>
                <w:lang w:val="sv-SE" w:eastAsia="ko-KR"/>
              </w:rPr>
            </w:pPr>
            <w:r w:rsidRPr="009B40A5">
              <w:rPr>
                <w:rFonts w:eastAsia="새굴림" w:cs="새굴림"/>
                <w:noProof/>
                <w:lang w:val="sv-SE" w:eastAsia="ko-KR"/>
              </w:rPr>
              <w:t>Oktal Pharma d.o.o.</w:t>
            </w:r>
          </w:p>
          <w:p w14:paraId="7D7CF721" w14:textId="77777777" w:rsidR="00DA39F0" w:rsidRPr="00A942F6" w:rsidRDefault="00DA39F0">
            <w:pPr>
              <w:widowControl w:val="0"/>
              <w:suppressAutoHyphens/>
              <w:rPr>
                <w:rFonts w:eastAsia="새굴림" w:cs="새굴림"/>
                <w:noProof/>
                <w:lang w:val="nb-NO" w:eastAsia="ko-KR"/>
              </w:rPr>
            </w:pPr>
            <w:r w:rsidRPr="00A942F6">
              <w:rPr>
                <w:rFonts w:eastAsia="새굴림" w:cs="새굴림"/>
                <w:noProof/>
                <w:lang w:val="nb-NO" w:eastAsia="ko-KR"/>
              </w:rPr>
              <w:t>Tel: +385 1 6595 777</w:t>
            </w:r>
          </w:p>
          <w:p w14:paraId="3E21B98E" w14:textId="77777777" w:rsidR="00DA39F0" w:rsidRPr="00A942F6" w:rsidRDefault="00DA39F0">
            <w:pPr>
              <w:widowControl w:val="0"/>
              <w:suppressAutoHyphens/>
              <w:rPr>
                <w:rFonts w:eastAsia="맑은 고딕" w:cs="새굴림"/>
                <w:noProof/>
                <w:lang w:val="nb-NO" w:eastAsia="fr-FR"/>
              </w:rPr>
            </w:pPr>
          </w:p>
        </w:tc>
        <w:tc>
          <w:tcPr>
            <w:tcW w:w="2500" w:type="pct"/>
          </w:tcPr>
          <w:p w14:paraId="2ED84D23" w14:textId="77777777" w:rsidR="00DA39F0" w:rsidRPr="009B40A5" w:rsidRDefault="00DA39F0">
            <w:pPr>
              <w:widowControl w:val="0"/>
              <w:tabs>
                <w:tab w:val="left" w:pos="-720"/>
              </w:tabs>
              <w:suppressAutoHyphens/>
              <w:rPr>
                <w:rFonts w:eastAsia="맑은 고딕" w:cs="새굴림"/>
                <w:b/>
                <w:noProof/>
                <w:lang w:eastAsia="fr-FR"/>
              </w:rPr>
            </w:pPr>
            <w:r w:rsidRPr="009B40A5">
              <w:rPr>
                <w:rFonts w:eastAsia="새굴림" w:cs="새굴림"/>
                <w:b/>
                <w:noProof/>
              </w:rPr>
              <w:t>România</w:t>
            </w:r>
          </w:p>
          <w:p w14:paraId="3B13F54E"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07B69704"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02CC3A97" w14:textId="77777777" w:rsidR="00DA39F0" w:rsidRPr="00A942F6" w:rsidRDefault="00DA39F0">
            <w:pPr>
              <w:widowControl w:val="0"/>
              <w:suppressAutoHyphens/>
              <w:rPr>
                <w:rFonts w:eastAsia="새굴림" w:cs="새굴림"/>
                <w:b/>
                <w:noProof/>
                <w:lang w:val="nb-NO"/>
              </w:rPr>
            </w:pPr>
          </w:p>
        </w:tc>
      </w:tr>
      <w:tr w:rsidR="007461B0" w:rsidRPr="00A942F6" w14:paraId="0E78F475" w14:textId="77777777">
        <w:trPr>
          <w:cantSplit/>
        </w:trPr>
        <w:tc>
          <w:tcPr>
            <w:tcW w:w="2500" w:type="pct"/>
          </w:tcPr>
          <w:p w14:paraId="74A99B84" w14:textId="77777777" w:rsidR="00DA39F0" w:rsidRPr="009B40A5" w:rsidRDefault="00DA39F0">
            <w:pPr>
              <w:widowControl w:val="0"/>
              <w:tabs>
                <w:tab w:val="left" w:pos="-720"/>
              </w:tabs>
              <w:suppressAutoHyphens/>
              <w:rPr>
                <w:rFonts w:eastAsia="새굴림" w:cs="새굴림"/>
                <w:noProof/>
                <w:lang w:eastAsia="fr-FR"/>
              </w:rPr>
            </w:pPr>
            <w:r w:rsidRPr="009B40A5">
              <w:rPr>
                <w:rFonts w:eastAsia="맑은 고딕" w:cs="새굴림"/>
                <w:b/>
                <w:noProof/>
                <w:lang w:eastAsia="fr-FR"/>
              </w:rPr>
              <w:t>Ireland</w:t>
            </w:r>
          </w:p>
          <w:p w14:paraId="29C00CD1" w14:textId="77777777" w:rsidR="00DA39F0" w:rsidRPr="009B40A5" w:rsidRDefault="00DA39F0">
            <w:pPr>
              <w:widowControl w:val="0"/>
              <w:suppressAutoHyphens/>
              <w:rPr>
                <w:rFonts w:eastAsia="맑은 고딕" w:cs="새굴림"/>
                <w:noProof/>
                <w:lang w:eastAsia="fr-FR"/>
              </w:rPr>
            </w:pPr>
            <w:r w:rsidRPr="009B40A5">
              <w:rPr>
                <w:rFonts w:eastAsia="맑은 고딕" w:cs="새굴림"/>
                <w:noProof/>
                <w:lang w:eastAsia="fr-FR"/>
              </w:rPr>
              <w:t>Celltrion Healthcare Ireland Limited</w:t>
            </w:r>
          </w:p>
          <w:p w14:paraId="47B87D20" w14:textId="77777777" w:rsidR="00DA39F0" w:rsidRPr="009B40A5" w:rsidRDefault="00DA39F0">
            <w:pPr>
              <w:widowControl w:val="0"/>
              <w:suppressAutoHyphens/>
              <w:rPr>
                <w:rFonts w:eastAsia="맑은 고딕" w:cs="새굴림"/>
                <w:noProof/>
                <w:lang w:eastAsia="fr-FR"/>
              </w:rPr>
            </w:pPr>
            <w:r w:rsidRPr="009B40A5">
              <w:rPr>
                <w:rFonts w:eastAsia="맑은 고딕" w:cs="새굴림"/>
                <w:noProof/>
                <w:lang w:eastAsia="fr-FR"/>
              </w:rPr>
              <w:t>Tel: +353 1 223 4026</w:t>
            </w:r>
          </w:p>
          <w:p w14:paraId="0BA50E3E" w14:textId="77777777" w:rsidR="00DA39F0" w:rsidRPr="009B40A5" w:rsidRDefault="00DA39F0">
            <w:pPr>
              <w:widowControl w:val="0"/>
              <w:suppressAutoHyphens/>
              <w:rPr>
                <w:rFonts w:eastAsia="맑은 고딕" w:cs="새굴림"/>
                <w:noProof/>
                <w:lang w:eastAsia="fr-FR"/>
              </w:rPr>
            </w:pPr>
          </w:p>
        </w:tc>
        <w:tc>
          <w:tcPr>
            <w:tcW w:w="2500" w:type="pct"/>
          </w:tcPr>
          <w:p w14:paraId="56201D4A" w14:textId="77777777" w:rsidR="00DA39F0" w:rsidRPr="00CD583D" w:rsidRDefault="00DA39F0">
            <w:pPr>
              <w:widowControl w:val="0"/>
              <w:suppressAutoHyphens/>
              <w:rPr>
                <w:rFonts w:eastAsia="맑은 고딕" w:cs="새굴림"/>
                <w:b/>
                <w:noProof/>
                <w:lang w:eastAsia="fr-FR"/>
              </w:rPr>
            </w:pPr>
            <w:r w:rsidRPr="00CD583D">
              <w:rPr>
                <w:rFonts w:eastAsia="맑은 고딕" w:cs="새굴림"/>
                <w:b/>
                <w:noProof/>
                <w:lang w:eastAsia="fr-FR"/>
              </w:rPr>
              <w:t>Slovenija</w:t>
            </w:r>
          </w:p>
          <w:p w14:paraId="291085A3" w14:textId="77777777" w:rsidR="00DA39F0" w:rsidRPr="00CD583D" w:rsidRDefault="00DA39F0">
            <w:pPr>
              <w:widowControl w:val="0"/>
              <w:suppressAutoHyphens/>
              <w:rPr>
                <w:rFonts w:eastAsia="맑은 고딕" w:cs="새굴림"/>
                <w:noProof/>
                <w:lang w:eastAsia="fr-FR"/>
              </w:rPr>
            </w:pPr>
            <w:r w:rsidRPr="00CD583D">
              <w:rPr>
                <w:rFonts w:eastAsia="맑은 고딕" w:cs="새굴림"/>
                <w:noProof/>
                <w:lang w:eastAsia="fr-FR"/>
              </w:rPr>
              <w:t>OPH Oktal Pharma d.o.o.</w:t>
            </w:r>
          </w:p>
          <w:p w14:paraId="79E38B50"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+386 1 519 29 22</w:t>
            </w:r>
          </w:p>
          <w:p w14:paraId="296478BF" w14:textId="77777777" w:rsidR="00DA39F0" w:rsidRPr="00A942F6" w:rsidRDefault="00DA39F0">
            <w:pPr>
              <w:widowControl w:val="0"/>
              <w:suppressAutoHyphens/>
              <w:rPr>
                <w:rFonts w:eastAsia="새굴림" w:cs="새굴림"/>
                <w:b/>
                <w:noProof/>
                <w:lang w:val="nb-NO"/>
              </w:rPr>
            </w:pPr>
          </w:p>
        </w:tc>
      </w:tr>
      <w:tr w:rsidR="007461B0" w:rsidRPr="00A942F6" w14:paraId="6E36CF9B" w14:textId="77777777">
        <w:trPr>
          <w:cantSplit/>
        </w:trPr>
        <w:tc>
          <w:tcPr>
            <w:tcW w:w="2500" w:type="pct"/>
          </w:tcPr>
          <w:p w14:paraId="5146E167" w14:textId="77777777" w:rsidR="00DA39F0" w:rsidRPr="009B40A5" w:rsidRDefault="00DA39F0">
            <w:pPr>
              <w:widowControl w:val="0"/>
              <w:suppressAutoHyphens/>
              <w:rPr>
                <w:rFonts w:eastAsia="맑은 고딕" w:cs="새굴림"/>
                <w:noProof/>
                <w:lang w:eastAsia="fr-FR"/>
              </w:rPr>
            </w:pPr>
            <w:r w:rsidRPr="009B40A5">
              <w:rPr>
                <w:rFonts w:eastAsia="맑은 고딕" w:cs="새굴림"/>
                <w:b/>
                <w:noProof/>
                <w:lang w:eastAsia="fr-FR"/>
              </w:rPr>
              <w:t>Ísland</w:t>
            </w:r>
          </w:p>
          <w:p w14:paraId="27420F66"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2C5593DF"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Sími: +36 1 231 0493</w:t>
            </w:r>
          </w:p>
          <w:p w14:paraId="6A16A75A" w14:textId="77777777" w:rsidR="00DA39F0" w:rsidRPr="00A942F6" w:rsidRDefault="00DA39F0">
            <w:pPr>
              <w:widowControl w:val="0"/>
              <w:suppressAutoHyphens/>
              <w:rPr>
                <w:rFonts w:eastAsia="맑은 고딕" w:cs="새굴림"/>
                <w:noProof/>
                <w:lang w:val="nb-NO" w:eastAsia="fr-FR"/>
              </w:rPr>
            </w:pPr>
          </w:p>
        </w:tc>
        <w:tc>
          <w:tcPr>
            <w:tcW w:w="2500" w:type="pct"/>
          </w:tcPr>
          <w:p w14:paraId="021F23A1" w14:textId="77777777" w:rsidR="00DA39F0" w:rsidRPr="009B40A5" w:rsidRDefault="00DA39F0">
            <w:pPr>
              <w:widowControl w:val="0"/>
              <w:suppressAutoHyphens/>
              <w:rPr>
                <w:rFonts w:eastAsia="맑은 고딕" w:cs="새굴림"/>
                <w:b/>
                <w:noProof/>
                <w:lang w:eastAsia="fr-FR"/>
              </w:rPr>
            </w:pPr>
            <w:r w:rsidRPr="009B40A5">
              <w:rPr>
                <w:rFonts w:eastAsia="새굴림" w:cs="새굴림"/>
                <w:b/>
                <w:noProof/>
              </w:rPr>
              <w:t>Slovenská republika</w:t>
            </w:r>
          </w:p>
          <w:p w14:paraId="7FA69B98"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35AC1AB2"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2688EE9D" w14:textId="77777777" w:rsidR="00DA39F0" w:rsidRPr="00A942F6" w:rsidRDefault="00DA39F0">
            <w:pPr>
              <w:widowControl w:val="0"/>
              <w:suppressAutoHyphens/>
              <w:rPr>
                <w:rFonts w:eastAsia="맑은 고딕" w:cs="새굴림"/>
                <w:b/>
                <w:noProof/>
                <w:lang w:val="nb-NO" w:eastAsia="fr-FR"/>
              </w:rPr>
            </w:pPr>
          </w:p>
        </w:tc>
      </w:tr>
      <w:tr w:rsidR="007461B0" w:rsidRPr="00A942F6" w14:paraId="06E172F0" w14:textId="77777777">
        <w:trPr>
          <w:cantSplit/>
        </w:trPr>
        <w:tc>
          <w:tcPr>
            <w:tcW w:w="2500" w:type="pct"/>
          </w:tcPr>
          <w:p w14:paraId="47C74D97" w14:textId="77777777" w:rsidR="00DA39F0" w:rsidRPr="009B40A5" w:rsidRDefault="00DA39F0">
            <w:pPr>
              <w:widowControl w:val="0"/>
              <w:suppressAutoHyphens/>
              <w:rPr>
                <w:rFonts w:eastAsia="새굴림" w:cs="새굴림"/>
                <w:noProof/>
                <w:lang w:eastAsia="fr-FR"/>
              </w:rPr>
            </w:pPr>
            <w:r w:rsidRPr="009B40A5">
              <w:rPr>
                <w:rFonts w:eastAsia="맑은 고딕" w:cs="새굴림"/>
                <w:b/>
                <w:noProof/>
                <w:lang w:eastAsia="fr-FR"/>
              </w:rPr>
              <w:t>Italia</w:t>
            </w:r>
          </w:p>
          <w:p w14:paraId="43F8836E" w14:textId="77777777" w:rsidR="00DA39F0" w:rsidRPr="009B40A5" w:rsidRDefault="00DA39F0">
            <w:pPr>
              <w:widowControl w:val="0"/>
              <w:suppressAutoHyphens/>
              <w:rPr>
                <w:rFonts w:eastAsia="맑은 고딕" w:cs="새굴림"/>
                <w:noProof/>
                <w:lang w:eastAsia="fr-FR"/>
              </w:rPr>
            </w:pPr>
            <w:r w:rsidRPr="009B40A5">
              <w:rPr>
                <w:rFonts w:eastAsia="맑은 고딕" w:cs="새굴림"/>
                <w:noProof/>
                <w:lang w:eastAsia="fr-FR"/>
              </w:rPr>
              <w:t>Celltrion Healthcare Italy S.r.l.</w:t>
            </w:r>
          </w:p>
          <w:p w14:paraId="2FD6EA2E" w14:textId="77777777" w:rsidR="00DA39F0" w:rsidRPr="00A942F6" w:rsidRDefault="00DA39F0">
            <w:pPr>
              <w:widowControl w:val="0"/>
              <w:suppressAutoHyphens/>
              <w:rPr>
                <w:rFonts w:eastAsia="맑은 고딕" w:cs="새굴림"/>
                <w:noProof/>
                <w:lang w:val="nb-NO" w:eastAsia="fr-FR"/>
              </w:rPr>
            </w:pPr>
            <w:r w:rsidRPr="00A942F6">
              <w:rPr>
                <w:rFonts w:eastAsia="맑은 고딕" w:cs="새굴림"/>
                <w:noProof/>
                <w:lang w:val="nb-NO" w:eastAsia="fr-FR"/>
              </w:rPr>
              <w:t>Tel: +39 02 47927040</w:t>
            </w:r>
          </w:p>
          <w:p w14:paraId="62E2AAAB" w14:textId="77777777" w:rsidR="00DA39F0" w:rsidRPr="00A942F6" w:rsidRDefault="00DA39F0">
            <w:pPr>
              <w:widowControl w:val="0"/>
              <w:suppressAutoHyphens/>
              <w:rPr>
                <w:rFonts w:eastAsia="맑은 고딕" w:cs="새굴림"/>
                <w:noProof/>
                <w:lang w:val="nb-NO" w:eastAsia="fr-FR"/>
              </w:rPr>
            </w:pPr>
          </w:p>
        </w:tc>
        <w:tc>
          <w:tcPr>
            <w:tcW w:w="2500" w:type="pct"/>
          </w:tcPr>
          <w:p w14:paraId="2CBA58A9" w14:textId="77777777" w:rsidR="00DA39F0" w:rsidRPr="009B40A5" w:rsidRDefault="00DA39F0">
            <w:pPr>
              <w:widowControl w:val="0"/>
              <w:suppressAutoHyphens/>
              <w:rPr>
                <w:rFonts w:eastAsia="새굴림" w:cs="새굴림"/>
                <w:noProof/>
                <w:lang w:eastAsia="fr-FR"/>
              </w:rPr>
            </w:pPr>
            <w:r w:rsidRPr="009B40A5">
              <w:rPr>
                <w:rFonts w:eastAsia="맑은 고딕" w:cs="새굴림"/>
                <w:b/>
                <w:noProof/>
                <w:lang w:eastAsia="fr-FR"/>
              </w:rPr>
              <w:t>Suomi/Finland</w:t>
            </w:r>
          </w:p>
          <w:p w14:paraId="03E80C83"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 xml:space="preserve">Celltrion Healthcare Finland Oy. </w:t>
            </w:r>
          </w:p>
          <w:p w14:paraId="7834AB25" w14:textId="4C61B769" w:rsidR="00DA39F0" w:rsidRPr="00CD583D" w:rsidRDefault="00DA39F0">
            <w:pPr>
              <w:widowControl w:val="0"/>
              <w:suppressAutoHyphens/>
              <w:autoSpaceDE w:val="0"/>
              <w:autoSpaceDN w:val="0"/>
              <w:adjustRightInd w:val="0"/>
              <w:rPr>
                <w:rFonts w:eastAsia="맑은 고딕" w:cs="새굴림"/>
                <w:noProof/>
                <w:lang w:eastAsia="fr-FR"/>
              </w:rPr>
            </w:pPr>
            <w:r w:rsidRPr="00CD583D">
              <w:rPr>
                <w:rFonts w:eastAsia="맑은 고딕" w:cs="새굴림"/>
                <w:noProof/>
                <w:lang w:eastAsia="fr-FR"/>
              </w:rPr>
              <w:t>Tel: +358 29 170 7755</w:t>
            </w:r>
          </w:p>
          <w:p w14:paraId="34B7BB62" w14:textId="77777777" w:rsidR="00DA39F0" w:rsidRDefault="00552215">
            <w:pPr>
              <w:widowControl w:val="0"/>
              <w:suppressAutoHyphens/>
              <w:autoSpaceDE w:val="0"/>
              <w:autoSpaceDN w:val="0"/>
              <w:adjustRightInd w:val="0"/>
              <w:rPr>
                <w:rFonts w:eastAsia="맑은 고딕" w:cs="Times New Roman"/>
                <w:noProof/>
                <w:lang w:val="en-GB" w:eastAsia="ko-KR"/>
              </w:rPr>
            </w:pPr>
            <w:r w:rsidRPr="006F04E0">
              <w:rPr>
                <w:rFonts w:eastAsia="맑은 고딕" w:cs="Times New Roman"/>
                <w:noProof/>
                <w:lang w:val="en-GB" w:eastAsia="ko-KR"/>
              </w:rPr>
              <w:t>contact_fi@celltrionhc.com</w:t>
            </w:r>
          </w:p>
          <w:p w14:paraId="17969511" w14:textId="4DC67F2E" w:rsidR="00552215" w:rsidRPr="00BD4D94" w:rsidRDefault="00552215">
            <w:pPr>
              <w:widowControl w:val="0"/>
              <w:suppressAutoHyphens/>
              <w:autoSpaceDE w:val="0"/>
              <w:autoSpaceDN w:val="0"/>
              <w:adjustRightInd w:val="0"/>
              <w:rPr>
                <w:rFonts w:eastAsia="맑은 고딕" w:cs="새굴림"/>
                <w:noProof/>
                <w:lang w:val="en-GB" w:eastAsia="ko-KR"/>
              </w:rPr>
            </w:pPr>
          </w:p>
        </w:tc>
      </w:tr>
      <w:tr w:rsidR="007461B0" w:rsidRPr="00A942F6" w14:paraId="5C799238" w14:textId="77777777">
        <w:trPr>
          <w:cantSplit/>
        </w:trPr>
        <w:tc>
          <w:tcPr>
            <w:tcW w:w="2500" w:type="pct"/>
          </w:tcPr>
          <w:p w14:paraId="120318CA" w14:textId="77777777" w:rsidR="00DA39F0" w:rsidRPr="009B40A5" w:rsidRDefault="00DA39F0">
            <w:pPr>
              <w:widowControl w:val="0"/>
              <w:tabs>
                <w:tab w:val="left" w:pos="-720"/>
              </w:tabs>
              <w:suppressAutoHyphens/>
              <w:rPr>
                <w:rFonts w:eastAsia="새굴림" w:cs="새굴림"/>
                <w:b/>
                <w:bCs/>
                <w:noProof/>
                <w:lang w:eastAsia="fr-FR"/>
              </w:rPr>
            </w:pPr>
            <w:r w:rsidRPr="00A942F6">
              <w:rPr>
                <w:rFonts w:eastAsia="새굴림" w:cs="새굴림"/>
                <w:b/>
                <w:noProof/>
                <w:lang w:val="nb-NO"/>
              </w:rPr>
              <w:t>Κύπρος</w:t>
            </w:r>
          </w:p>
          <w:p w14:paraId="1BDAA852" w14:textId="77777777" w:rsidR="00DA39F0" w:rsidRPr="009B40A5" w:rsidRDefault="00DA39F0">
            <w:pPr>
              <w:widowControl w:val="0"/>
              <w:tabs>
                <w:tab w:val="left" w:pos="-720"/>
              </w:tabs>
              <w:suppressAutoHyphens/>
              <w:rPr>
                <w:rFonts w:eastAsia="맑은 고딕" w:cs="새굴림"/>
                <w:noProof/>
                <w:lang w:eastAsia="ko-KR"/>
              </w:rPr>
            </w:pPr>
            <w:r w:rsidRPr="009B40A5">
              <w:rPr>
                <w:rFonts w:eastAsia="맑은 고딕" w:cs="새굴림"/>
                <w:noProof/>
                <w:lang w:eastAsia="fr-FR"/>
              </w:rPr>
              <w:t>C.A. Papaellinas Ltd</w:t>
            </w:r>
          </w:p>
          <w:p w14:paraId="2E780857" w14:textId="77777777" w:rsidR="00DA39F0" w:rsidRPr="009B40A5" w:rsidRDefault="00DA39F0">
            <w:pPr>
              <w:widowControl w:val="0"/>
              <w:suppressAutoHyphens/>
              <w:autoSpaceDE w:val="0"/>
              <w:autoSpaceDN w:val="0"/>
              <w:adjustRightInd w:val="0"/>
              <w:rPr>
                <w:rFonts w:eastAsia="맑은 고딕" w:cs="새굴림"/>
                <w:b/>
                <w:bCs/>
                <w:lang w:eastAsia="fr-FR"/>
              </w:rPr>
            </w:pPr>
            <w:r w:rsidRPr="00A942F6">
              <w:rPr>
                <w:rFonts w:eastAsia="새굴림" w:cs="새굴림"/>
                <w:noProof/>
                <w:lang w:val="nb-NO"/>
              </w:rPr>
              <w:t>Τηλ</w:t>
            </w:r>
            <w:r w:rsidRPr="009B40A5">
              <w:rPr>
                <w:rFonts w:eastAsia="새굴림" w:cs="새굴림"/>
                <w:noProof/>
              </w:rPr>
              <w:t xml:space="preserve">: </w:t>
            </w:r>
            <w:r w:rsidRPr="009B40A5">
              <w:rPr>
                <w:rFonts w:eastAsia="맑은 고딕" w:cs="새굴림"/>
                <w:noProof/>
                <w:lang w:eastAsia="fr-FR"/>
              </w:rPr>
              <w:t>+357 22741741</w:t>
            </w:r>
          </w:p>
          <w:p w14:paraId="4DE4AE12" w14:textId="77777777" w:rsidR="00DA39F0" w:rsidRPr="009B40A5" w:rsidRDefault="00DA39F0">
            <w:pPr>
              <w:widowControl w:val="0"/>
              <w:suppressAutoHyphens/>
              <w:autoSpaceDE w:val="0"/>
              <w:autoSpaceDN w:val="0"/>
              <w:adjustRightInd w:val="0"/>
              <w:rPr>
                <w:rFonts w:eastAsia="맑은 고딕" w:cs="새굴림"/>
                <w:b/>
                <w:noProof/>
                <w:lang w:eastAsia="fr-FR"/>
              </w:rPr>
            </w:pPr>
          </w:p>
        </w:tc>
        <w:tc>
          <w:tcPr>
            <w:tcW w:w="2500" w:type="pct"/>
          </w:tcPr>
          <w:p w14:paraId="58F6D8C8" w14:textId="77777777" w:rsidR="00DA39F0" w:rsidRPr="009B40A5" w:rsidRDefault="00DA39F0">
            <w:pPr>
              <w:widowControl w:val="0"/>
              <w:tabs>
                <w:tab w:val="left" w:pos="-720"/>
              </w:tabs>
              <w:suppressAutoHyphens/>
              <w:rPr>
                <w:rFonts w:eastAsia="새굴림" w:cs="새굴림"/>
                <w:b/>
                <w:noProof/>
                <w:lang w:eastAsia="fr-FR"/>
              </w:rPr>
            </w:pPr>
            <w:r w:rsidRPr="009B40A5">
              <w:rPr>
                <w:rFonts w:eastAsia="새굴림" w:cs="새굴림"/>
                <w:b/>
                <w:noProof/>
              </w:rPr>
              <w:t>Sverige</w:t>
            </w:r>
          </w:p>
          <w:p w14:paraId="1BB93535" w14:textId="77777777" w:rsidR="00CB4C49" w:rsidRDefault="00CB4C49" w:rsidP="00CB4C49">
            <w:pPr>
              <w:tabs>
                <w:tab w:val="left" w:pos="-720"/>
              </w:tabs>
              <w:suppressAutoHyphens/>
              <w:rPr>
                <w:rFonts w:eastAsia="맑은 고딕"/>
                <w:noProof/>
                <w:lang w:val="en-GB" w:eastAsia="fr-FR"/>
              </w:rPr>
            </w:pPr>
            <w:r w:rsidRPr="00FD2965">
              <w:rPr>
                <w:rFonts w:eastAsia="맑은 고딕"/>
                <w:noProof/>
                <w:lang w:val="en-GB" w:eastAsia="fr-FR"/>
              </w:rPr>
              <w:t>Celltrion Sweden AB</w:t>
            </w:r>
          </w:p>
          <w:p w14:paraId="74814C8B" w14:textId="69A293CF" w:rsidR="00552215" w:rsidRPr="00BD4D94" w:rsidRDefault="00552215" w:rsidP="00CB4C49">
            <w:pPr>
              <w:tabs>
                <w:tab w:val="left" w:pos="-720"/>
              </w:tabs>
              <w:suppressAutoHyphens/>
              <w:rPr>
                <w:rFonts w:eastAsia="맑은 고딕" w:cs="Times New Roman"/>
                <w:noProof/>
                <w:lang w:eastAsia="ko-KR"/>
              </w:rPr>
            </w:pPr>
            <w:r w:rsidRPr="002738BB">
              <w:rPr>
                <w:rFonts w:eastAsia="맑은 고딕" w:cs="Times New Roman"/>
                <w:noProof/>
                <w:lang w:eastAsia="fr-FR"/>
              </w:rPr>
              <w:t>Tel: +46 8 80 11 77</w:t>
            </w:r>
          </w:p>
          <w:p w14:paraId="2B3AF83D" w14:textId="5BC61CAC" w:rsidR="00CB4C49" w:rsidRPr="00FD2965" w:rsidRDefault="00552215" w:rsidP="00CB4C49">
            <w:pPr>
              <w:tabs>
                <w:tab w:val="left" w:pos="-720"/>
              </w:tabs>
              <w:suppressAutoHyphens/>
              <w:rPr>
                <w:rFonts w:eastAsia="맑은 고딕"/>
                <w:b/>
                <w:noProof/>
                <w:lang w:val="en-GB" w:eastAsia="fr-FR"/>
              </w:rPr>
            </w:pPr>
            <w:r>
              <w:rPr>
                <w:rFonts w:eastAsia="맑은 고딕" w:hint="eastAsia"/>
                <w:noProof/>
                <w:lang w:val="en-GB" w:eastAsia="ko-KR"/>
              </w:rPr>
              <w:t>C</w:t>
            </w:r>
            <w:r w:rsidR="00CB4C49" w:rsidRPr="00FD2965">
              <w:rPr>
                <w:rFonts w:eastAsia="맑은 고딕"/>
                <w:noProof/>
                <w:lang w:val="en-GB" w:eastAsia="fr-FR"/>
              </w:rPr>
              <w:t>ontact_se@celltrionhc.com</w:t>
            </w:r>
          </w:p>
          <w:p w14:paraId="76EF7C1E" w14:textId="77777777" w:rsidR="00DA39F0" w:rsidRPr="00CB4C49" w:rsidRDefault="00DA39F0">
            <w:pPr>
              <w:widowControl w:val="0"/>
              <w:tabs>
                <w:tab w:val="left" w:pos="-720"/>
              </w:tabs>
              <w:suppressAutoHyphens/>
              <w:rPr>
                <w:rFonts w:eastAsia="맑은 고딕" w:cs="새굴림"/>
                <w:b/>
                <w:noProof/>
                <w:lang w:eastAsia="fr-FR"/>
              </w:rPr>
            </w:pPr>
          </w:p>
        </w:tc>
      </w:tr>
      <w:tr w:rsidR="007461B0" w:rsidRPr="00A942F6" w14:paraId="2EB89246" w14:textId="77777777">
        <w:trPr>
          <w:cantSplit/>
        </w:trPr>
        <w:tc>
          <w:tcPr>
            <w:tcW w:w="2500" w:type="pct"/>
          </w:tcPr>
          <w:p w14:paraId="3EEB49FB" w14:textId="77777777" w:rsidR="00DA39F0" w:rsidRPr="009B40A5" w:rsidRDefault="00DA39F0">
            <w:pPr>
              <w:widowControl w:val="0"/>
              <w:suppressAutoHyphens/>
              <w:rPr>
                <w:rFonts w:eastAsia="맑은 고딕" w:cs="새굴림"/>
                <w:b/>
                <w:noProof/>
                <w:lang w:eastAsia="fr-FR"/>
              </w:rPr>
            </w:pPr>
            <w:r w:rsidRPr="009B40A5">
              <w:rPr>
                <w:rFonts w:eastAsia="맑은 고딕" w:cs="새굴림"/>
                <w:b/>
                <w:noProof/>
                <w:lang w:eastAsia="fr-FR"/>
              </w:rPr>
              <w:t>Latvija</w:t>
            </w:r>
          </w:p>
          <w:p w14:paraId="638201A4" w14:textId="77777777" w:rsidR="00DA39F0" w:rsidRPr="009B40A5" w:rsidRDefault="00DA39F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0D85DA28" w14:textId="77777777" w:rsidR="00DA39F0" w:rsidRPr="00A942F6" w:rsidRDefault="00DA39F0">
            <w:pPr>
              <w:widowControl w:val="0"/>
              <w:suppressAutoHyphens/>
              <w:autoSpaceDE w:val="0"/>
              <w:autoSpaceDN w:val="0"/>
              <w:adjustRightInd w:val="0"/>
              <w:rPr>
                <w:rFonts w:eastAsia="맑은 고딕" w:cs="새굴림"/>
                <w:noProof/>
                <w:lang w:val="nb-NO" w:eastAsia="fr-FR"/>
              </w:rPr>
            </w:pPr>
            <w:r w:rsidRPr="00A942F6">
              <w:rPr>
                <w:rFonts w:eastAsia="맑은 고딕" w:cs="새굴림"/>
                <w:noProof/>
                <w:lang w:val="nb-NO" w:eastAsia="fr-FR"/>
              </w:rPr>
              <w:t>Tālr.: +36 1 231 0493</w:t>
            </w:r>
          </w:p>
          <w:p w14:paraId="630EE162" w14:textId="77777777" w:rsidR="00DA39F0" w:rsidRPr="00A942F6" w:rsidRDefault="00DA39F0">
            <w:pPr>
              <w:widowControl w:val="0"/>
              <w:suppressAutoHyphens/>
              <w:autoSpaceDE w:val="0"/>
              <w:autoSpaceDN w:val="0"/>
              <w:adjustRightInd w:val="0"/>
              <w:rPr>
                <w:rFonts w:eastAsia="맑은 고딕" w:cs="새굴림"/>
                <w:b/>
                <w:bCs/>
                <w:lang w:val="nb-NO" w:eastAsia="fr-FR"/>
              </w:rPr>
            </w:pPr>
          </w:p>
        </w:tc>
        <w:tc>
          <w:tcPr>
            <w:tcW w:w="2500" w:type="pct"/>
          </w:tcPr>
          <w:p w14:paraId="4CE956ED" w14:textId="77777777" w:rsidR="00DA39F0" w:rsidRPr="00A942F6" w:rsidRDefault="00DA39F0">
            <w:pPr>
              <w:widowControl w:val="0"/>
              <w:tabs>
                <w:tab w:val="left" w:pos="-720"/>
              </w:tabs>
              <w:suppressAutoHyphens/>
              <w:rPr>
                <w:rFonts w:eastAsia="맑은 고딕" w:cs="새굴림"/>
                <w:b/>
                <w:noProof/>
                <w:lang w:val="nb-NO" w:eastAsia="fr-FR"/>
              </w:rPr>
            </w:pPr>
          </w:p>
        </w:tc>
      </w:tr>
    </w:tbl>
    <w:p w14:paraId="79D0488A" w14:textId="77777777" w:rsidR="00DF56D8" w:rsidRPr="00A942F6" w:rsidRDefault="00DF56D8" w:rsidP="00641834">
      <w:pPr>
        <w:rPr>
          <w:lang w:val="nb-NO"/>
        </w:rPr>
      </w:pPr>
    </w:p>
    <w:p w14:paraId="4524DA04" w14:textId="77777777" w:rsidR="006D41EF" w:rsidRPr="00A942F6" w:rsidRDefault="004A425F" w:rsidP="00641834">
      <w:pPr>
        <w:pStyle w:val="bold"/>
        <w:rPr>
          <w:lang w:val="nb-NO"/>
        </w:rPr>
      </w:pPr>
      <w:r w:rsidRPr="00A942F6">
        <w:rPr>
          <w:lang w:val="nb-NO"/>
        </w:rPr>
        <w:t>Dette pakningsvedlegget ble sist oppdatert</w:t>
      </w:r>
    </w:p>
    <w:p w14:paraId="31CC9BDA" w14:textId="77777777" w:rsidR="006D41EF" w:rsidRPr="00A942F6" w:rsidRDefault="006D41EF" w:rsidP="00641834">
      <w:pPr>
        <w:rPr>
          <w:lang w:val="nb-NO"/>
        </w:rPr>
      </w:pPr>
    </w:p>
    <w:p w14:paraId="1183D037" w14:textId="77777777" w:rsidR="004A425F" w:rsidRPr="00A942F6" w:rsidRDefault="004A425F" w:rsidP="00641834">
      <w:pPr>
        <w:pStyle w:val="bold"/>
        <w:rPr>
          <w:lang w:val="nb-NO"/>
        </w:rPr>
      </w:pPr>
      <w:r w:rsidRPr="00A942F6">
        <w:rPr>
          <w:lang w:val="nb-NO"/>
        </w:rPr>
        <w:t>Andre informasjonskilder</w:t>
      </w:r>
    </w:p>
    <w:p w14:paraId="08D7958A" w14:textId="57FDF3E0" w:rsidR="004A425F" w:rsidRPr="00A942F6" w:rsidRDefault="004A425F" w:rsidP="00641834">
      <w:pPr>
        <w:rPr>
          <w:lang w:val="nb-NO"/>
        </w:rPr>
      </w:pPr>
      <w:r w:rsidRPr="00A942F6">
        <w:rPr>
          <w:lang w:val="nb-NO"/>
        </w:rPr>
        <w:lastRenderedPageBreak/>
        <w:t xml:space="preserve">Detaljert informasjon om dette legemidlet er tilgjengelig på nettstedet til Det europeiske legemiddelkontoret (the European Medicines Agency): </w:t>
      </w:r>
      <w:hyperlink r:id="rId23" w:history="1">
        <w:r w:rsidR="00815D31">
          <w:rPr>
            <w:rStyle w:val="a6"/>
            <w:color w:val="0000FF"/>
            <w:lang w:val="nb-NO"/>
          </w:rPr>
          <w:t>https:</w:t>
        </w:r>
        <w:r w:rsidRPr="00A942F6">
          <w:rPr>
            <w:rStyle w:val="a6"/>
            <w:color w:val="0000FF"/>
            <w:lang w:val="nb-NO"/>
          </w:rPr>
          <w:t>//www.ema.europa.eu</w:t>
        </w:r>
      </w:hyperlink>
      <w:r w:rsidRPr="00A942F6">
        <w:rPr>
          <w:lang w:val="nb-NO"/>
        </w:rPr>
        <w:t xml:space="preserve">, og på nettstedet til </w:t>
      </w:r>
      <w:hyperlink r:id="rId24" w:history="1">
        <w:r w:rsidR="00AD4736" w:rsidRPr="00A942F6">
          <w:rPr>
            <w:rStyle w:val="a6"/>
            <w:color w:val="0000FF"/>
            <w:lang w:val="nb-NO"/>
          </w:rPr>
          <w:t>www.felleskatalogen.no</w:t>
        </w:r>
      </w:hyperlink>
      <w:r w:rsidRPr="00A942F6">
        <w:rPr>
          <w:lang w:val="nb-NO"/>
        </w:rPr>
        <w:t>.</w:t>
      </w:r>
    </w:p>
    <w:p w14:paraId="51909484" w14:textId="77777777" w:rsidR="004A425F" w:rsidRPr="00A942F6" w:rsidRDefault="004A425F" w:rsidP="00641834">
      <w:pPr>
        <w:rPr>
          <w:lang w:val="nb-NO"/>
        </w:rPr>
      </w:pPr>
    </w:p>
    <w:p w14:paraId="02D9213B" w14:textId="335F76F6" w:rsidR="004A425F" w:rsidRPr="003F072B" w:rsidRDefault="001A4A64" w:rsidP="003F072B">
      <w:pPr>
        <w:rPr>
          <w:b/>
          <w:bCs/>
          <w:lang w:val="nb-NO"/>
        </w:rPr>
      </w:pPr>
      <w:r w:rsidRPr="003F072B">
        <w:rPr>
          <w:b/>
          <w:bCs/>
          <w:lang w:val="nb-NO"/>
        </w:rPr>
        <w:br w:type="page"/>
      </w:r>
      <w:r w:rsidR="004A425F" w:rsidRPr="003F072B">
        <w:rPr>
          <w:b/>
          <w:bCs/>
          <w:lang w:val="nb-NO"/>
        </w:rPr>
        <w:lastRenderedPageBreak/>
        <w:t>Påfølgende informasjon er bare beregnet på helsepersonell:</w:t>
      </w:r>
    </w:p>
    <w:p w14:paraId="5EDC891B" w14:textId="77777777" w:rsidR="004A425F" w:rsidRPr="00A942F6" w:rsidRDefault="004A425F" w:rsidP="00641834">
      <w:pPr>
        <w:rPr>
          <w:lang w:val="nb-NO"/>
        </w:rPr>
      </w:pPr>
    </w:p>
    <w:p w14:paraId="4D84C540" w14:textId="77777777" w:rsidR="004A425F" w:rsidRPr="00A942F6" w:rsidRDefault="004A425F" w:rsidP="00641834">
      <w:pPr>
        <w:pStyle w:val="bold"/>
        <w:rPr>
          <w:lang w:val="nb-NO"/>
        </w:rPr>
      </w:pPr>
      <w:r w:rsidRPr="00A942F6">
        <w:rPr>
          <w:lang w:val="nb-NO"/>
        </w:rPr>
        <w:t>Instruksjoner til tilberedning før bruk</w:t>
      </w:r>
    </w:p>
    <w:p w14:paraId="798FFD11" w14:textId="3E0C2040" w:rsidR="004A425F" w:rsidRPr="00A942F6" w:rsidRDefault="004A425F" w:rsidP="00641834">
      <w:pPr>
        <w:rPr>
          <w:lang w:val="nb-NO"/>
        </w:rPr>
      </w:pPr>
      <w:r w:rsidRPr="00A942F6">
        <w:rPr>
          <w:lang w:val="nb-NO"/>
        </w:rPr>
        <w:t xml:space="preserve">Parenterale legemidler bør inspiseres visuelt for partikler og misfarging før bruk. Kun løsninger som er klare til </w:t>
      </w:r>
      <w:r w:rsidR="002E7A48">
        <w:rPr>
          <w:lang w:val="nb-NO"/>
        </w:rPr>
        <w:t xml:space="preserve">svakt </w:t>
      </w:r>
      <w:r w:rsidRPr="00A942F6">
        <w:rPr>
          <w:lang w:val="nb-NO"/>
        </w:rPr>
        <w:t xml:space="preserve">opaliserende, fargeløse til lys gul og fri for synlige partikler skal fortynnes. Bruk steril kanyle og sprøyte for å tilberede </w:t>
      </w:r>
      <w:r w:rsidR="00923E68" w:rsidRPr="00A942F6">
        <w:rPr>
          <w:lang w:val="nb-NO"/>
        </w:rPr>
        <w:t>Avtozma</w:t>
      </w:r>
      <w:r w:rsidRPr="00A942F6">
        <w:rPr>
          <w:lang w:val="nb-NO"/>
        </w:rPr>
        <w:t>.</w:t>
      </w:r>
      <w:r w:rsidR="002E7A48">
        <w:rPr>
          <w:lang w:val="nb-NO"/>
        </w:rPr>
        <w:t xml:space="preserve"> </w:t>
      </w:r>
      <w:r w:rsidR="00C65986">
        <w:rPr>
          <w:lang w:val="nb-NO"/>
        </w:rPr>
        <w:t>Ved bruk av</w:t>
      </w:r>
      <w:r w:rsidR="002E7A48">
        <w:rPr>
          <w:lang w:val="nb-NO"/>
        </w:rPr>
        <w:t xml:space="preserve"> infusjonsposer laget av polyvinylklorid (PVC), </w:t>
      </w:r>
      <w:r w:rsidR="00F15D3E">
        <w:rPr>
          <w:lang w:val="nb-NO"/>
        </w:rPr>
        <w:t xml:space="preserve">skal infusjonsposer som er </w:t>
      </w:r>
      <w:r w:rsidR="00C65986">
        <w:rPr>
          <w:lang w:val="nb-NO"/>
        </w:rPr>
        <w:t xml:space="preserve">fri for </w:t>
      </w:r>
      <w:r w:rsidR="00F15D3E">
        <w:rPr>
          <w:lang w:val="nb-NO"/>
        </w:rPr>
        <w:t>di(2-etylheksyl)ftalat (DEHP-frie) brukes.</w:t>
      </w:r>
    </w:p>
    <w:p w14:paraId="23EC66B2" w14:textId="77777777" w:rsidR="004A425F" w:rsidRPr="00A942F6" w:rsidRDefault="004A425F" w:rsidP="00641834">
      <w:pPr>
        <w:rPr>
          <w:lang w:val="nb-NO"/>
        </w:rPr>
      </w:pPr>
    </w:p>
    <w:p w14:paraId="3F2C7555" w14:textId="77777777" w:rsidR="004A425F" w:rsidRPr="00A942F6" w:rsidRDefault="004A425F" w:rsidP="00641834">
      <w:pPr>
        <w:pStyle w:val="bold"/>
        <w:rPr>
          <w:lang w:val="nb-NO"/>
        </w:rPr>
      </w:pPr>
      <w:r w:rsidRPr="00A942F6">
        <w:rPr>
          <w:lang w:val="nb-NO"/>
        </w:rPr>
        <w:t>Voksne RA-, covid-19- og CRS-pasienter (</w:t>
      </w:r>
      <w:r w:rsidRPr="00A942F6">
        <w:rPr>
          <w:rFonts w:cs="Times New Roman"/>
          <w:lang w:val="nb-NO"/>
        </w:rPr>
        <w:t>≥</w:t>
      </w:r>
      <w:r w:rsidRPr="00A942F6">
        <w:rPr>
          <w:lang w:val="nb-NO"/>
        </w:rPr>
        <w:t xml:space="preserve"> 30 kg)</w:t>
      </w:r>
    </w:p>
    <w:p w14:paraId="279E2056" w14:textId="589F3AF0" w:rsidR="004A425F" w:rsidRPr="00A942F6" w:rsidRDefault="004A425F" w:rsidP="00641834">
      <w:pPr>
        <w:rPr>
          <w:lang w:val="nb-NO"/>
        </w:rPr>
      </w:pPr>
      <w:r w:rsidRPr="00A942F6">
        <w:rPr>
          <w:lang w:val="nb-NO"/>
        </w:rPr>
        <w:t>Trekk opp steril, pyrogenfri natriumklorid injeksjonsvæske 9 mg/ml (0,9 %)</w:t>
      </w:r>
      <w:r w:rsidR="00497950" w:rsidRPr="00497950">
        <w:rPr>
          <w:lang w:val="nb-NO"/>
        </w:rPr>
        <w:t xml:space="preserve"> </w:t>
      </w:r>
      <w:r w:rsidR="00497950">
        <w:rPr>
          <w:lang w:val="nb-NO"/>
        </w:rPr>
        <w:t>eller 4,5 mg/ml (0,45 %)</w:t>
      </w:r>
      <w:r w:rsidRPr="00A942F6">
        <w:rPr>
          <w:lang w:val="nb-NO"/>
        </w:rPr>
        <w:t xml:space="preserve"> aseptisk fra en 100 ml infusjonspose, tilsvarende det volumet av </w:t>
      </w:r>
      <w:r w:rsidR="00923E68" w:rsidRPr="00A942F6">
        <w:rPr>
          <w:lang w:val="nb-NO"/>
        </w:rPr>
        <w:t>Avtozma</w:t>
      </w:r>
      <w:r w:rsidRPr="00A942F6">
        <w:rPr>
          <w:lang w:val="nb-NO"/>
        </w:rPr>
        <w:t xml:space="preserve"> konsentrat som pasienten skal ha i sin dose. Trekk opp den forskrevne mengde </w:t>
      </w:r>
      <w:r w:rsidR="00923E68" w:rsidRPr="00A942F6">
        <w:rPr>
          <w:lang w:val="nb-NO"/>
        </w:rPr>
        <w:t>Avtozma</w:t>
      </w:r>
      <w:r w:rsidRPr="00A942F6">
        <w:rPr>
          <w:lang w:val="nb-NO"/>
        </w:rPr>
        <w:t xml:space="preserve"> konsentrat (0,4 ml/kg) fra hetteglasset og overfør til infusjonsposen, som da får et sluttvolum på 100 ml. Bland oppløsningen ved sakte å vende posen for å unngå skumdannelse.</w:t>
      </w:r>
    </w:p>
    <w:p w14:paraId="784B50A4" w14:textId="77777777" w:rsidR="004A425F" w:rsidRPr="00A942F6" w:rsidRDefault="004A425F" w:rsidP="00641834">
      <w:pPr>
        <w:rPr>
          <w:lang w:val="nb-NO"/>
        </w:rPr>
      </w:pPr>
    </w:p>
    <w:p w14:paraId="7C6195C4" w14:textId="77777777" w:rsidR="004A425F" w:rsidRPr="000A3D8B" w:rsidRDefault="004A425F" w:rsidP="00641834">
      <w:pPr>
        <w:pStyle w:val="boldunderline"/>
        <w:keepNext/>
        <w:rPr>
          <w:u w:val="none"/>
          <w:lang w:val="nb-NO"/>
        </w:rPr>
      </w:pPr>
      <w:r w:rsidRPr="000A3D8B">
        <w:rPr>
          <w:u w:val="none"/>
          <w:lang w:val="nb-NO"/>
        </w:rPr>
        <w:t>Bruk hos den pediatriske populasjonen</w:t>
      </w:r>
    </w:p>
    <w:p w14:paraId="46BB7983" w14:textId="77777777" w:rsidR="004A425F" w:rsidRPr="00A942F6" w:rsidRDefault="004A425F" w:rsidP="00641834">
      <w:pPr>
        <w:keepNext/>
        <w:rPr>
          <w:lang w:val="nb-NO"/>
        </w:rPr>
      </w:pPr>
    </w:p>
    <w:p w14:paraId="2131736E" w14:textId="77777777" w:rsidR="004A425F" w:rsidRPr="00A942F6" w:rsidRDefault="004A425F" w:rsidP="00641834">
      <w:pPr>
        <w:pStyle w:val="bold"/>
        <w:keepNext/>
        <w:rPr>
          <w:lang w:val="nb-NO"/>
        </w:rPr>
      </w:pPr>
      <w:r w:rsidRPr="00A942F6">
        <w:rPr>
          <w:lang w:val="nb-NO"/>
        </w:rPr>
        <w:t xml:space="preserve">sJIA-, pJIA- og CRS-pasienter </w:t>
      </w:r>
      <w:r w:rsidRPr="00A942F6">
        <w:rPr>
          <w:rFonts w:cs="Times New Roman"/>
          <w:lang w:val="nb-NO"/>
        </w:rPr>
        <w:t>≥</w:t>
      </w:r>
      <w:r w:rsidRPr="00A942F6">
        <w:rPr>
          <w:lang w:val="nb-NO"/>
        </w:rPr>
        <w:t xml:space="preserve"> 30 kg</w:t>
      </w:r>
    </w:p>
    <w:p w14:paraId="0125F877" w14:textId="78A5C732" w:rsidR="004A425F" w:rsidRPr="00A942F6" w:rsidRDefault="004A425F" w:rsidP="00641834">
      <w:pPr>
        <w:rPr>
          <w:lang w:val="nb-NO"/>
        </w:rPr>
      </w:pPr>
      <w:r w:rsidRPr="00A942F6">
        <w:rPr>
          <w:lang w:val="nb-NO"/>
        </w:rPr>
        <w:t xml:space="preserve">Trekk opp steril, pyrogenfri natriumklorid injeksjonsvæske 9 mg/ml (0,9 %) </w:t>
      </w:r>
      <w:r w:rsidR="00F15D3E">
        <w:rPr>
          <w:lang w:val="nb-NO"/>
        </w:rPr>
        <w:t xml:space="preserve">eller 4,5 mg/ml (0,45 %) </w:t>
      </w:r>
      <w:r w:rsidRPr="00A942F6">
        <w:rPr>
          <w:lang w:val="nb-NO"/>
        </w:rPr>
        <w:t xml:space="preserve">aseptisk fra en 100 ml infusjonspose, tilsvarende det volumet av </w:t>
      </w:r>
      <w:r w:rsidR="00923E68" w:rsidRPr="00A942F6">
        <w:rPr>
          <w:lang w:val="nb-NO"/>
        </w:rPr>
        <w:t>Avtozma</w:t>
      </w:r>
      <w:r w:rsidRPr="00A942F6">
        <w:rPr>
          <w:lang w:val="nb-NO"/>
        </w:rPr>
        <w:t xml:space="preserve"> konsentrat som pasienten skal ha. Trekk opp den forskrevne mengde </w:t>
      </w:r>
      <w:r w:rsidR="00923E68" w:rsidRPr="00A942F6">
        <w:rPr>
          <w:lang w:val="nb-NO"/>
        </w:rPr>
        <w:t>Avtozma</w:t>
      </w:r>
      <w:r w:rsidRPr="00A942F6">
        <w:rPr>
          <w:lang w:val="nb-NO"/>
        </w:rPr>
        <w:t xml:space="preserve"> konsentrat (</w:t>
      </w:r>
      <w:r w:rsidRPr="00A942F6">
        <w:rPr>
          <w:b/>
          <w:bCs/>
          <w:lang w:val="nb-NO"/>
        </w:rPr>
        <w:t>0,4 ml/kg</w:t>
      </w:r>
      <w:r w:rsidRPr="00A942F6">
        <w:rPr>
          <w:lang w:val="nb-NO"/>
        </w:rPr>
        <w:t>) fra hetteglasset og overfør til infusjonsposen, som da får et sluttvolum på 100 ml. Bland oppløsningen ved sakte å vende posen for å unngå skumdannelse.</w:t>
      </w:r>
    </w:p>
    <w:p w14:paraId="28B994DF" w14:textId="77777777" w:rsidR="004A425F" w:rsidRPr="00A942F6" w:rsidRDefault="004A425F" w:rsidP="00641834">
      <w:pPr>
        <w:rPr>
          <w:lang w:val="nb-NO"/>
        </w:rPr>
      </w:pPr>
    </w:p>
    <w:p w14:paraId="7290E5DC" w14:textId="77777777" w:rsidR="004A425F" w:rsidRPr="00A942F6" w:rsidRDefault="004A425F" w:rsidP="00641834">
      <w:pPr>
        <w:pStyle w:val="bold"/>
        <w:rPr>
          <w:lang w:val="nb-NO"/>
        </w:rPr>
      </w:pPr>
      <w:r w:rsidRPr="00A942F6">
        <w:rPr>
          <w:lang w:val="nb-NO"/>
        </w:rPr>
        <w:t>sJIA- og CRS-pasienter &lt; 30 kg</w:t>
      </w:r>
    </w:p>
    <w:p w14:paraId="3BCF0CC4" w14:textId="5BA3A803" w:rsidR="004A425F" w:rsidRPr="00A942F6" w:rsidRDefault="004A425F" w:rsidP="00641834">
      <w:pPr>
        <w:rPr>
          <w:lang w:val="nb-NO"/>
        </w:rPr>
      </w:pPr>
      <w:r w:rsidRPr="00A942F6">
        <w:rPr>
          <w:lang w:val="nb-NO"/>
        </w:rPr>
        <w:t xml:space="preserve">Trekk opp steril, pyrogenfri natriumklorid injeksjonsvæske 9 mg/ml (0,9 %) </w:t>
      </w:r>
      <w:r w:rsidR="00EF07F0">
        <w:rPr>
          <w:lang w:val="nb-NO"/>
        </w:rPr>
        <w:t xml:space="preserve">eller 4,5 mg/ml (0,45 %) </w:t>
      </w:r>
      <w:r w:rsidRPr="00A942F6">
        <w:rPr>
          <w:lang w:val="nb-NO"/>
        </w:rPr>
        <w:t xml:space="preserve">aseptisk fra en 50 ml infusjonspose, tilsvarende det volumet av </w:t>
      </w:r>
      <w:r w:rsidR="00923E68" w:rsidRPr="00A942F6">
        <w:rPr>
          <w:lang w:val="nb-NO"/>
        </w:rPr>
        <w:t>Avtozma</w:t>
      </w:r>
      <w:r w:rsidRPr="00A942F6">
        <w:rPr>
          <w:lang w:val="nb-NO"/>
        </w:rPr>
        <w:t xml:space="preserve"> konsentrat som pasienten skal ha i sin dose. Trekk opp den forskrevne mengde </w:t>
      </w:r>
      <w:r w:rsidR="00923E68" w:rsidRPr="00A942F6">
        <w:rPr>
          <w:lang w:val="nb-NO"/>
        </w:rPr>
        <w:t>Avtozma</w:t>
      </w:r>
      <w:r w:rsidRPr="00A942F6">
        <w:rPr>
          <w:lang w:val="nb-NO"/>
        </w:rPr>
        <w:t xml:space="preserve"> konsentrat (</w:t>
      </w:r>
      <w:r w:rsidRPr="00A942F6">
        <w:rPr>
          <w:b/>
          <w:bCs/>
          <w:lang w:val="nb-NO"/>
        </w:rPr>
        <w:t>0,6 ml/kg</w:t>
      </w:r>
      <w:r w:rsidRPr="00A942F6">
        <w:rPr>
          <w:lang w:val="nb-NO"/>
        </w:rPr>
        <w:t>) fra hetteglasset og overfør til infusjonsposen, som da får et sluttvolum på 50 ml. Bland oppløsningen ved sakte å vende posen for å unngå skumdannelse.</w:t>
      </w:r>
    </w:p>
    <w:p w14:paraId="1129835D" w14:textId="77777777" w:rsidR="004A425F" w:rsidRPr="00A942F6" w:rsidRDefault="004A425F" w:rsidP="00641834">
      <w:pPr>
        <w:rPr>
          <w:lang w:val="nb-NO"/>
        </w:rPr>
      </w:pPr>
    </w:p>
    <w:p w14:paraId="00A13731" w14:textId="77777777" w:rsidR="004A425F" w:rsidRPr="00A942F6" w:rsidRDefault="004A425F" w:rsidP="00641834">
      <w:pPr>
        <w:pStyle w:val="bold"/>
        <w:rPr>
          <w:lang w:val="nb-NO"/>
        </w:rPr>
      </w:pPr>
      <w:r w:rsidRPr="00A942F6">
        <w:rPr>
          <w:lang w:val="nb-NO"/>
        </w:rPr>
        <w:t>pJIA-pasienter &lt; 30 kg</w:t>
      </w:r>
    </w:p>
    <w:p w14:paraId="43CF1350" w14:textId="12FD0ABF" w:rsidR="004A425F" w:rsidRPr="00A942F6" w:rsidRDefault="004A425F" w:rsidP="00641834">
      <w:pPr>
        <w:rPr>
          <w:lang w:val="nb-NO"/>
        </w:rPr>
      </w:pPr>
      <w:r w:rsidRPr="00A942F6">
        <w:rPr>
          <w:lang w:val="nb-NO"/>
        </w:rPr>
        <w:t>Trekk opp steril, pyrogenfri natriumklorid injeksjonsvæske 9 mg/ml (0,9 %)</w:t>
      </w:r>
      <w:r w:rsidR="00EF07F0">
        <w:rPr>
          <w:lang w:val="nb-NO"/>
        </w:rPr>
        <w:t xml:space="preserve"> eller 4,5 mg/ml (0,45 %)</w:t>
      </w:r>
      <w:r w:rsidRPr="00A942F6">
        <w:rPr>
          <w:lang w:val="nb-NO"/>
        </w:rPr>
        <w:t xml:space="preserve"> aseptisk fra en 50 ml infusjonspose, tilsvarende det volumet av </w:t>
      </w:r>
      <w:r w:rsidR="00923E68" w:rsidRPr="00A942F6">
        <w:rPr>
          <w:lang w:val="nb-NO"/>
        </w:rPr>
        <w:t>Avtozma</w:t>
      </w:r>
      <w:r w:rsidRPr="00A942F6">
        <w:rPr>
          <w:lang w:val="nb-NO"/>
        </w:rPr>
        <w:t xml:space="preserve"> konsentrat som pasienten skal ha i sin dose. Trekk opp den forskrevne mengde </w:t>
      </w:r>
      <w:r w:rsidR="00923E68" w:rsidRPr="00A942F6">
        <w:rPr>
          <w:lang w:val="nb-NO"/>
        </w:rPr>
        <w:t>Avtozma</w:t>
      </w:r>
      <w:r w:rsidRPr="00A942F6">
        <w:rPr>
          <w:lang w:val="nb-NO"/>
        </w:rPr>
        <w:t xml:space="preserve"> konsentrat (</w:t>
      </w:r>
      <w:r w:rsidRPr="00A942F6">
        <w:rPr>
          <w:b/>
          <w:bCs/>
          <w:lang w:val="nb-NO"/>
        </w:rPr>
        <w:t>0,5 ml/kg</w:t>
      </w:r>
      <w:r w:rsidRPr="00A942F6">
        <w:rPr>
          <w:lang w:val="nb-NO"/>
        </w:rPr>
        <w:t>) fra hetteglasset og overfør til infusjonsposen, som da får et sluttvolum på 50 ml. Bland oppløsningen ved sakte å vende posen for å unngå skumdannelse.</w:t>
      </w:r>
    </w:p>
    <w:p w14:paraId="7A24CCF6" w14:textId="77777777" w:rsidR="004A425F" w:rsidRPr="00A942F6" w:rsidRDefault="004A425F" w:rsidP="00641834">
      <w:pPr>
        <w:rPr>
          <w:lang w:val="nb-NO"/>
        </w:rPr>
      </w:pPr>
    </w:p>
    <w:p w14:paraId="70D7EA0F" w14:textId="7969724F" w:rsidR="004A425F" w:rsidRPr="00A942F6" w:rsidRDefault="00923E68" w:rsidP="00641834">
      <w:pPr>
        <w:rPr>
          <w:lang w:val="nb-NO"/>
        </w:rPr>
      </w:pPr>
      <w:r w:rsidRPr="00A942F6">
        <w:rPr>
          <w:lang w:val="nb-NO"/>
        </w:rPr>
        <w:t>Avtozma</w:t>
      </w:r>
      <w:r w:rsidR="004A425F" w:rsidRPr="00A942F6">
        <w:rPr>
          <w:lang w:val="nb-NO"/>
        </w:rPr>
        <w:t xml:space="preserve"> er kun til engangsbruk.</w:t>
      </w:r>
    </w:p>
    <w:p w14:paraId="263B227C" w14:textId="77777777" w:rsidR="004A425F" w:rsidRPr="00A942F6" w:rsidRDefault="004A425F" w:rsidP="00641834">
      <w:pPr>
        <w:rPr>
          <w:lang w:val="nb-NO"/>
        </w:rPr>
      </w:pPr>
    </w:p>
    <w:p w14:paraId="45A6AB37" w14:textId="77777777" w:rsidR="004A425F" w:rsidRPr="00A942F6" w:rsidRDefault="004A425F" w:rsidP="00641834">
      <w:pPr>
        <w:rPr>
          <w:lang w:val="nb-NO"/>
        </w:rPr>
      </w:pPr>
      <w:r w:rsidRPr="00A942F6">
        <w:rPr>
          <w:lang w:val="nb-NO"/>
        </w:rPr>
        <w:t>Ikke anvendt legemiddel samt avfall bør destrueres i overensstemmelse med lokale krav.</w:t>
      </w:r>
    </w:p>
    <w:p w14:paraId="2603315A" w14:textId="77777777" w:rsidR="004A425F" w:rsidRPr="00A942F6" w:rsidRDefault="004A425F" w:rsidP="00641834">
      <w:pPr>
        <w:rPr>
          <w:lang w:val="nb-NO"/>
        </w:rPr>
      </w:pPr>
    </w:p>
    <w:p w14:paraId="1C6D6FBE" w14:textId="1D8F35DF" w:rsidR="004A425F" w:rsidRPr="00A942F6" w:rsidRDefault="004A425F" w:rsidP="003F072B">
      <w:pPr>
        <w:jc w:val="center"/>
        <w:rPr>
          <w:lang w:val="nb-NO"/>
        </w:rPr>
      </w:pPr>
      <w:r w:rsidRPr="00A942F6">
        <w:rPr>
          <w:lang w:val="nb-NO"/>
        </w:rPr>
        <w:br w:type="page"/>
      </w:r>
      <w:r w:rsidRPr="003F072B">
        <w:rPr>
          <w:b/>
          <w:bCs/>
          <w:lang w:val="nb-NO"/>
        </w:rPr>
        <w:lastRenderedPageBreak/>
        <w:t>Pakningsvedlegg: Informasjon til brukeren</w:t>
      </w:r>
    </w:p>
    <w:p w14:paraId="2D647EE7" w14:textId="77777777" w:rsidR="004A425F" w:rsidRPr="00A942F6" w:rsidRDefault="004A425F" w:rsidP="00641834">
      <w:pPr>
        <w:rPr>
          <w:lang w:val="nb-NO"/>
        </w:rPr>
      </w:pPr>
    </w:p>
    <w:p w14:paraId="03652436" w14:textId="5D5330B7" w:rsidR="00F77629" w:rsidRPr="00A942F6" w:rsidRDefault="00923E68" w:rsidP="00641834">
      <w:pPr>
        <w:pStyle w:val="Boldcenter"/>
        <w:rPr>
          <w:lang w:val="nb-NO"/>
        </w:rPr>
      </w:pPr>
      <w:r w:rsidRPr="00A942F6">
        <w:rPr>
          <w:lang w:val="nb-NO"/>
        </w:rPr>
        <w:t>Avtozma</w:t>
      </w:r>
      <w:r w:rsidR="004A425F" w:rsidRPr="00A942F6">
        <w:rPr>
          <w:lang w:val="nb-NO"/>
        </w:rPr>
        <w:t xml:space="preserve"> 162 mg injeksjonsvæske, oppløsning i ferdigfylt sprøyte</w:t>
      </w:r>
    </w:p>
    <w:p w14:paraId="5A2AD93F" w14:textId="77777777" w:rsidR="004A425F" w:rsidRPr="00A942F6" w:rsidRDefault="004A425F" w:rsidP="00641834">
      <w:pPr>
        <w:jc w:val="center"/>
        <w:rPr>
          <w:lang w:val="nb-NO"/>
        </w:rPr>
      </w:pPr>
      <w:r w:rsidRPr="00A942F6">
        <w:rPr>
          <w:lang w:val="nb-NO"/>
        </w:rPr>
        <w:t>tocilizumab</w:t>
      </w:r>
    </w:p>
    <w:p w14:paraId="38DD377B" w14:textId="77777777" w:rsidR="007D497A" w:rsidRPr="00A942F6" w:rsidRDefault="007D497A" w:rsidP="007D497A">
      <w:pPr>
        <w:jc w:val="center"/>
        <w:rPr>
          <w:lang w:val="nb-NO"/>
        </w:rPr>
      </w:pPr>
    </w:p>
    <w:p w14:paraId="19A62B40" w14:textId="03FD1214" w:rsidR="007D497A" w:rsidRPr="00A942F6" w:rsidRDefault="00D94A8B" w:rsidP="007D497A">
      <w:pPr>
        <w:rPr>
          <w:lang w:val="nb-NO"/>
        </w:rPr>
      </w:pPr>
      <w:r>
        <w:rPr>
          <w:noProof/>
          <w:lang w:eastAsia="ko-KR"/>
        </w:rPr>
        <w:drawing>
          <wp:inline distT="0" distB="0" distL="0" distR="0" wp14:anchorId="60EF108C" wp14:editId="36235192">
            <wp:extent cx="207010" cy="170815"/>
            <wp:effectExtent l="0" t="0" r="0" b="0"/>
            <wp:docPr id="5" name="Bilde 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70815"/>
                    </a:xfrm>
                    <a:prstGeom prst="rect">
                      <a:avLst/>
                    </a:prstGeom>
                    <a:noFill/>
                    <a:ln>
                      <a:noFill/>
                    </a:ln>
                  </pic:spPr>
                </pic:pic>
              </a:graphicData>
            </a:graphic>
          </wp:inline>
        </w:drawing>
      </w:r>
      <w:r w:rsidR="007D497A" w:rsidRPr="00A942F6">
        <w:rPr>
          <w:lang w:val="nb-NO"/>
        </w:rPr>
        <w:t>Dette legemidlet er underlagt særlig overvåking for å oppdage ny sikkerhetsinformasjon så raskt som mulig. Du kan bidra ved å melde enhver mistenkt bivirkning. Se avsnitt 4 for informasjon om hvordan du melder bivirkninger.</w:t>
      </w:r>
    </w:p>
    <w:p w14:paraId="16D5E742" w14:textId="77777777" w:rsidR="004A425F" w:rsidRPr="00A942F6" w:rsidRDefault="004A425F" w:rsidP="00641834">
      <w:pPr>
        <w:rPr>
          <w:lang w:val="nb-NO"/>
        </w:rPr>
      </w:pPr>
    </w:p>
    <w:p w14:paraId="27157A83" w14:textId="77777777" w:rsidR="004A425F" w:rsidRPr="00A942F6" w:rsidRDefault="004A425F" w:rsidP="00641834">
      <w:pPr>
        <w:rPr>
          <w:b/>
          <w:bCs/>
          <w:lang w:val="nb-NO"/>
        </w:rPr>
      </w:pPr>
      <w:r w:rsidRPr="00A942F6">
        <w:rPr>
          <w:b/>
          <w:bCs/>
          <w:lang w:val="nb-NO"/>
        </w:rPr>
        <w:t>Les nøye gjennom dette pakningsvedlegget før du begynner å bruke dette legemidlet. Det inneholder informasjon som er viktig for deg.</w:t>
      </w:r>
    </w:p>
    <w:p w14:paraId="7E09BB84" w14:textId="77777777" w:rsidR="006D41EF" w:rsidRPr="00A942F6" w:rsidRDefault="006D41EF" w:rsidP="00641834">
      <w:pPr>
        <w:rPr>
          <w:b/>
          <w:bCs/>
          <w:lang w:val="nb-NO"/>
        </w:rPr>
      </w:pPr>
    </w:p>
    <w:p w14:paraId="566BC58A" w14:textId="77777777" w:rsidR="004A425F" w:rsidRPr="00A942F6" w:rsidRDefault="004A425F" w:rsidP="00641834">
      <w:pPr>
        <w:pStyle w:val="Bullet1cm"/>
        <w:rPr>
          <w:lang w:val="nb-NO"/>
        </w:rPr>
      </w:pPr>
      <w:r w:rsidRPr="00A942F6">
        <w:rPr>
          <w:lang w:val="nb-NO"/>
        </w:rPr>
        <w:t>Ta vare på dette pakningsvedlegget. Du kan få behov for å lese det igjen.</w:t>
      </w:r>
    </w:p>
    <w:p w14:paraId="7F863272" w14:textId="77777777" w:rsidR="004A425F" w:rsidRPr="00A942F6" w:rsidRDefault="004A425F" w:rsidP="00641834">
      <w:pPr>
        <w:pStyle w:val="Bullet1cm"/>
        <w:rPr>
          <w:lang w:val="nb-NO"/>
        </w:rPr>
      </w:pPr>
      <w:r w:rsidRPr="00A942F6">
        <w:rPr>
          <w:lang w:val="nb-NO"/>
        </w:rPr>
        <w:t>Spør lege, apotek eller sykepleier hvis du har flere spørsmål eller trenger mer informasjon.</w:t>
      </w:r>
    </w:p>
    <w:p w14:paraId="5A4A2E28" w14:textId="77777777" w:rsidR="004A425F" w:rsidRPr="00A942F6" w:rsidRDefault="004A425F" w:rsidP="00641834">
      <w:pPr>
        <w:pStyle w:val="Bullet1cm"/>
        <w:rPr>
          <w:lang w:val="nb-NO"/>
        </w:rPr>
      </w:pPr>
      <w:r w:rsidRPr="00A942F6">
        <w:rPr>
          <w:lang w:val="nb-NO"/>
        </w:rPr>
        <w:t>Dette legemidlet er skrevet ut kun til deg. Ikke gi det videre til andre. Det kan skade dem, selv om de har symptomer på sykdom som ligner dine.</w:t>
      </w:r>
    </w:p>
    <w:p w14:paraId="6AD9A05A" w14:textId="77777777" w:rsidR="004A425F" w:rsidRPr="00A942F6" w:rsidRDefault="004A425F" w:rsidP="00641834">
      <w:pPr>
        <w:pStyle w:val="Bullet1cm"/>
        <w:rPr>
          <w:lang w:val="nb-NO"/>
        </w:rPr>
      </w:pPr>
      <w:r w:rsidRPr="00A942F6">
        <w:rPr>
          <w:lang w:val="nb-NO"/>
        </w:rPr>
        <w:t>Kontakt lege, apotek eller sykepleier dersom du opplever bivirkninger, inkludert mulige bivirkninger som ikke er nevnt i dette pakningsvedlegget. Se avsnitt 4.</w:t>
      </w:r>
    </w:p>
    <w:p w14:paraId="39E98525" w14:textId="77777777" w:rsidR="006D41EF" w:rsidRPr="00A942F6" w:rsidRDefault="006D41EF" w:rsidP="00641834">
      <w:pPr>
        <w:rPr>
          <w:lang w:val="nb-NO"/>
        </w:rPr>
      </w:pPr>
    </w:p>
    <w:p w14:paraId="4EA5BE5F" w14:textId="5B80CB99" w:rsidR="004A425F" w:rsidRPr="00A942F6" w:rsidRDefault="004A425F" w:rsidP="00641834">
      <w:pPr>
        <w:rPr>
          <w:lang w:val="nb-NO"/>
        </w:rPr>
      </w:pPr>
      <w:r w:rsidRPr="00A942F6">
        <w:rPr>
          <w:lang w:val="nb-NO"/>
        </w:rPr>
        <w:t xml:space="preserve">I tillegg til dette pakningsvedlegget vil du få et pasientkort som inneholder viktig sikkerhetsinformasjon som du må være oppmerksom på før og under behandling med </w:t>
      </w:r>
      <w:r w:rsidR="00923E68" w:rsidRPr="00A942F6">
        <w:rPr>
          <w:lang w:val="nb-NO"/>
        </w:rPr>
        <w:t>Avtozma</w:t>
      </w:r>
      <w:r w:rsidRPr="00A942F6">
        <w:rPr>
          <w:lang w:val="nb-NO"/>
        </w:rPr>
        <w:t>.</w:t>
      </w:r>
    </w:p>
    <w:p w14:paraId="47852BDC" w14:textId="77777777" w:rsidR="004A425F" w:rsidRPr="00A942F6" w:rsidRDefault="004A425F" w:rsidP="00641834">
      <w:pPr>
        <w:rPr>
          <w:lang w:val="nb-NO"/>
        </w:rPr>
      </w:pPr>
    </w:p>
    <w:p w14:paraId="5AF07F98" w14:textId="77777777" w:rsidR="004A425F" w:rsidRPr="00A942F6" w:rsidRDefault="004A425F" w:rsidP="00641834">
      <w:pPr>
        <w:pStyle w:val="bold"/>
        <w:rPr>
          <w:lang w:val="nb-NO"/>
        </w:rPr>
      </w:pPr>
      <w:r w:rsidRPr="00A942F6">
        <w:rPr>
          <w:lang w:val="nb-NO"/>
        </w:rPr>
        <w:t>I dette pakningsvedlegget finner du informasjon om:</w:t>
      </w:r>
    </w:p>
    <w:p w14:paraId="575BE0E7" w14:textId="770F94BB" w:rsidR="004A425F" w:rsidRPr="00A942F6" w:rsidRDefault="004A425F" w:rsidP="00641834">
      <w:pPr>
        <w:pStyle w:val="a5"/>
        <w:numPr>
          <w:ilvl w:val="6"/>
          <w:numId w:val="11"/>
        </w:numPr>
        <w:ind w:left="567" w:hanging="567"/>
        <w:rPr>
          <w:lang w:val="nb-NO"/>
        </w:rPr>
      </w:pPr>
      <w:r w:rsidRPr="00A942F6">
        <w:rPr>
          <w:lang w:val="nb-NO"/>
        </w:rPr>
        <w:t xml:space="preserve">Hva </w:t>
      </w:r>
      <w:r w:rsidR="00923E68" w:rsidRPr="00A942F6">
        <w:rPr>
          <w:lang w:val="nb-NO"/>
        </w:rPr>
        <w:t>Avtozma</w:t>
      </w:r>
      <w:r w:rsidRPr="00A942F6">
        <w:rPr>
          <w:lang w:val="nb-NO"/>
        </w:rPr>
        <w:t xml:space="preserve"> er og hva det brukes mot</w:t>
      </w:r>
    </w:p>
    <w:p w14:paraId="7ACFF354" w14:textId="2BC9B635" w:rsidR="004A425F" w:rsidRPr="00A942F6" w:rsidRDefault="004A425F" w:rsidP="00641834">
      <w:pPr>
        <w:pStyle w:val="a5"/>
        <w:numPr>
          <w:ilvl w:val="6"/>
          <w:numId w:val="11"/>
        </w:numPr>
        <w:ind w:left="567" w:hanging="567"/>
        <w:rPr>
          <w:lang w:val="nb-NO"/>
        </w:rPr>
      </w:pPr>
      <w:r w:rsidRPr="00A942F6">
        <w:rPr>
          <w:lang w:val="nb-NO"/>
        </w:rPr>
        <w:t xml:space="preserve">Hva du må vite før du bruker </w:t>
      </w:r>
      <w:r w:rsidR="00923E68" w:rsidRPr="00A942F6">
        <w:rPr>
          <w:lang w:val="nb-NO"/>
        </w:rPr>
        <w:t>Avtozma</w:t>
      </w:r>
    </w:p>
    <w:p w14:paraId="16B6CF8F" w14:textId="745FD4DC" w:rsidR="004A425F" w:rsidRPr="00A942F6" w:rsidRDefault="004A425F" w:rsidP="00641834">
      <w:pPr>
        <w:pStyle w:val="a5"/>
        <w:numPr>
          <w:ilvl w:val="6"/>
          <w:numId w:val="11"/>
        </w:numPr>
        <w:ind w:left="567" w:hanging="567"/>
        <w:rPr>
          <w:lang w:val="nb-NO"/>
        </w:rPr>
      </w:pPr>
      <w:r w:rsidRPr="00A942F6">
        <w:rPr>
          <w:lang w:val="nb-NO"/>
        </w:rPr>
        <w:t xml:space="preserve">Hvordan du bruker </w:t>
      </w:r>
      <w:r w:rsidR="00923E68" w:rsidRPr="00A942F6">
        <w:rPr>
          <w:lang w:val="nb-NO"/>
        </w:rPr>
        <w:t>Avtozma</w:t>
      </w:r>
    </w:p>
    <w:p w14:paraId="7E45661B" w14:textId="77777777" w:rsidR="004A425F" w:rsidRPr="00A942F6" w:rsidRDefault="004A425F" w:rsidP="00641834">
      <w:pPr>
        <w:pStyle w:val="a5"/>
        <w:numPr>
          <w:ilvl w:val="6"/>
          <w:numId w:val="11"/>
        </w:numPr>
        <w:ind w:left="567" w:hanging="567"/>
        <w:rPr>
          <w:lang w:val="nb-NO"/>
        </w:rPr>
      </w:pPr>
      <w:r w:rsidRPr="00A942F6">
        <w:rPr>
          <w:lang w:val="nb-NO"/>
        </w:rPr>
        <w:t>Mulige bivirkninger</w:t>
      </w:r>
    </w:p>
    <w:p w14:paraId="476B0CC0" w14:textId="1B75F250" w:rsidR="004A425F" w:rsidRPr="00A942F6" w:rsidRDefault="004A425F" w:rsidP="00641834">
      <w:pPr>
        <w:pStyle w:val="a5"/>
        <w:numPr>
          <w:ilvl w:val="6"/>
          <w:numId w:val="11"/>
        </w:numPr>
        <w:ind w:left="567" w:hanging="567"/>
        <w:rPr>
          <w:lang w:val="nb-NO"/>
        </w:rPr>
      </w:pPr>
      <w:r w:rsidRPr="00A942F6">
        <w:rPr>
          <w:lang w:val="nb-NO"/>
        </w:rPr>
        <w:t xml:space="preserve">Hvordan du oppbevarer </w:t>
      </w:r>
      <w:r w:rsidR="00923E68" w:rsidRPr="00A942F6">
        <w:rPr>
          <w:lang w:val="nb-NO"/>
        </w:rPr>
        <w:t>Avtozma</w:t>
      </w:r>
    </w:p>
    <w:p w14:paraId="70D4EDCD" w14:textId="77777777" w:rsidR="004A425F" w:rsidRDefault="004A425F" w:rsidP="00641834">
      <w:pPr>
        <w:pStyle w:val="a5"/>
        <w:numPr>
          <w:ilvl w:val="6"/>
          <w:numId w:val="11"/>
        </w:numPr>
        <w:ind w:left="567" w:hanging="567"/>
        <w:rPr>
          <w:lang w:val="nb-NO"/>
        </w:rPr>
      </w:pPr>
      <w:r w:rsidRPr="00A942F6">
        <w:rPr>
          <w:lang w:val="nb-NO"/>
        </w:rPr>
        <w:t>Innholdet i pakningen og ytterligere informasjon</w:t>
      </w:r>
    </w:p>
    <w:p w14:paraId="5506507E" w14:textId="4C77C9D8" w:rsidR="00FF269E" w:rsidRPr="00A942F6" w:rsidRDefault="00FF269E" w:rsidP="00641834">
      <w:pPr>
        <w:pStyle w:val="a5"/>
        <w:numPr>
          <w:ilvl w:val="6"/>
          <w:numId w:val="11"/>
        </w:numPr>
        <w:ind w:left="567" w:hanging="567"/>
        <w:rPr>
          <w:lang w:val="nb-NO"/>
        </w:rPr>
      </w:pPr>
      <w:r>
        <w:rPr>
          <w:lang w:val="nb-NO"/>
        </w:rPr>
        <w:t>Bruksanvisning</w:t>
      </w:r>
    </w:p>
    <w:p w14:paraId="33B3B953" w14:textId="77777777" w:rsidR="004A425F" w:rsidRPr="00A942F6" w:rsidRDefault="004A425F" w:rsidP="00641834">
      <w:pPr>
        <w:rPr>
          <w:lang w:val="nb-NO"/>
        </w:rPr>
      </w:pPr>
    </w:p>
    <w:p w14:paraId="10D975B4" w14:textId="77777777" w:rsidR="004A425F" w:rsidRPr="00A942F6" w:rsidRDefault="004A425F" w:rsidP="00641834">
      <w:pPr>
        <w:rPr>
          <w:lang w:val="nb-NO"/>
        </w:rPr>
      </w:pPr>
    </w:p>
    <w:p w14:paraId="018537FC" w14:textId="16DD9A3E" w:rsidR="004A425F" w:rsidRPr="00A942F6" w:rsidRDefault="004A425F" w:rsidP="00641834">
      <w:pPr>
        <w:pStyle w:val="H2"/>
        <w:rPr>
          <w:lang w:val="nb-NO"/>
        </w:rPr>
      </w:pPr>
      <w:r w:rsidRPr="00A942F6">
        <w:rPr>
          <w:lang w:val="nb-NO"/>
        </w:rPr>
        <w:t>1.</w:t>
      </w:r>
      <w:r w:rsidRPr="00A942F6">
        <w:rPr>
          <w:lang w:val="nb-NO"/>
        </w:rPr>
        <w:tab/>
        <w:t xml:space="preserve">Hva </w:t>
      </w:r>
      <w:r w:rsidR="00923E68" w:rsidRPr="00A942F6">
        <w:rPr>
          <w:lang w:val="nb-NO"/>
        </w:rPr>
        <w:t>Avtozma</w:t>
      </w:r>
      <w:r w:rsidRPr="00A942F6">
        <w:rPr>
          <w:lang w:val="nb-NO"/>
        </w:rPr>
        <w:t xml:space="preserve"> er og hva det brukes mot</w:t>
      </w:r>
    </w:p>
    <w:p w14:paraId="6EC17DDC" w14:textId="77777777" w:rsidR="006D41EF" w:rsidRPr="00A942F6" w:rsidRDefault="006D41EF" w:rsidP="00641834">
      <w:pPr>
        <w:rPr>
          <w:lang w:val="nb-NO"/>
        </w:rPr>
      </w:pPr>
    </w:p>
    <w:p w14:paraId="10064D6C" w14:textId="2AC71DAA" w:rsidR="004A425F" w:rsidRPr="00A942F6" w:rsidRDefault="00923E68" w:rsidP="00641834">
      <w:pPr>
        <w:rPr>
          <w:lang w:val="nb-NO"/>
        </w:rPr>
      </w:pPr>
      <w:r w:rsidRPr="00A942F6">
        <w:rPr>
          <w:lang w:val="nb-NO"/>
        </w:rPr>
        <w:t>Avtozma</w:t>
      </w:r>
      <w:r w:rsidR="004A425F" w:rsidRPr="00A942F6">
        <w:rPr>
          <w:lang w:val="nb-NO"/>
        </w:rPr>
        <w:t xml:space="preserve"> inneholder virkestoffet tocilizumab, som er et protein laget i spesifikke immunceller (monoklonalt antistoff) som blokkerer virkningen av et spesifikt protein (cytokin) som kalles interleukin-6. Dette proteinet er involvert i kroppens betennelsesprosesser, og ved å blokkere det kan betennelsen i kroppen reduseres. </w:t>
      </w:r>
      <w:r w:rsidRPr="00A942F6">
        <w:rPr>
          <w:lang w:val="nb-NO"/>
        </w:rPr>
        <w:t>Avtozma</w:t>
      </w:r>
      <w:r w:rsidR="004A425F" w:rsidRPr="00A942F6">
        <w:rPr>
          <w:lang w:val="nb-NO"/>
        </w:rPr>
        <w:t xml:space="preserve"> brukes til behandling av:</w:t>
      </w:r>
    </w:p>
    <w:p w14:paraId="5CD4E7D9" w14:textId="77777777" w:rsidR="004A425F" w:rsidRPr="00A942F6" w:rsidRDefault="004A425F" w:rsidP="00641834">
      <w:pPr>
        <w:rPr>
          <w:lang w:val="nb-NO"/>
        </w:rPr>
      </w:pPr>
    </w:p>
    <w:p w14:paraId="6ECF51D6" w14:textId="77777777" w:rsidR="004A425F" w:rsidRPr="00A942F6" w:rsidRDefault="004A425F" w:rsidP="00641834">
      <w:pPr>
        <w:pStyle w:val="Bullet1cm"/>
        <w:rPr>
          <w:lang w:val="nb-NO"/>
        </w:rPr>
      </w:pPr>
      <w:r w:rsidRPr="00A942F6">
        <w:rPr>
          <w:b/>
          <w:bCs/>
          <w:lang w:val="nb-NO"/>
        </w:rPr>
        <w:t>voksne med moderat til alvorlig aktiv revmatoid artritt (RA),</w:t>
      </w:r>
      <w:r w:rsidRPr="00A942F6">
        <w:rPr>
          <w:lang w:val="nb-NO"/>
        </w:rPr>
        <w:t xml:space="preserve"> en autoimmun sykdom, der tidligere behandling har vært ineffektiv.</w:t>
      </w:r>
    </w:p>
    <w:p w14:paraId="22836F10" w14:textId="77777777" w:rsidR="006D41EF" w:rsidRPr="00A942F6" w:rsidRDefault="006D41EF" w:rsidP="00641834">
      <w:pPr>
        <w:rPr>
          <w:lang w:val="nb-NO"/>
        </w:rPr>
      </w:pPr>
    </w:p>
    <w:p w14:paraId="27487714" w14:textId="77777777" w:rsidR="004A425F" w:rsidRPr="00A942F6" w:rsidRDefault="004A425F" w:rsidP="00641834">
      <w:pPr>
        <w:pStyle w:val="Bullet1cm"/>
        <w:rPr>
          <w:lang w:val="nb-NO"/>
        </w:rPr>
      </w:pPr>
      <w:r w:rsidRPr="00A942F6">
        <w:rPr>
          <w:b/>
          <w:bCs/>
          <w:lang w:val="nb-NO"/>
        </w:rPr>
        <w:t>voksne med alvorlig, aktiv og progressiv revmatoid artritt (RA),</w:t>
      </w:r>
      <w:r w:rsidRPr="00A942F6">
        <w:rPr>
          <w:lang w:val="nb-NO"/>
        </w:rPr>
        <w:t xml:space="preserve"> som ikke tidligere har vært behandlet med metotreksat.</w:t>
      </w:r>
    </w:p>
    <w:p w14:paraId="220D11EF" w14:textId="77777777" w:rsidR="006D41EF" w:rsidRPr="00A942F6" w:rsidRDefault="006D41EF" w:rsidP="00641834">
      <w:pPr>
        <w:rPr>
          <w:lang w:val="nb-NO"/>
        </w:rPr>
      </w:pPr>
    </w:p>
    <w:p w14:paraId="6A75C53B" w14:textId="6029A1E2" w:rsidR="004A425F" w:rsidRPr="00A942F6" w:rsidRDefault="00923E68" w:rsidP="00641834">
      <w:pPr>
        <w:rPr>
          <w:lang w:val="nb-NO"/>
        </w:rPr>
      </w:pPr>
      <w:r w:rsidRPr="00A942F6">
        <w:rPr>
          <w:lang w:val="nb-NO"/>
        </w:rPr>
        <w:t>Avtozma</w:t>
      </w:r>
      <w:r w:rsidR="004A425F" w:rsidRPr="00A942F6">
        <w:rPr>
          <w:lang w:val="nb-NO"/>
        </w:rPr>
        <w:t xml:space="preserve"> reduserer symptomer på RA som smerter og hevelser i leddene, og kan også forbedre din evne til å utføre daglige gjøremål. Det er blitt vist at </w:t>
      </w:r>
      <w:r w:rsidRPr="00A942F6">
        <w:rPr>
          <w:lang w:val="nb-NO"/>
        </w:rPr>
        <w:t>Avtozma</w:t>
      </w:r>
      <w:r w:rsidR="004A425F" w:rsidRPr="00A942F6">
        <w:rPr>
          <w:lang w:val="nb-NO"/>
        </w:rPr>
        <w:t xml:space="preserve"> kan utsette ødeleggelsen av brusk og knokler i leddene forårsaket av sykdommen, og forbedre din evne til å utføre vanlige, daglige aktiviteter.</w:t>
      </w:r>
    </w:p>
    <w:p w14:paraId="431C463E" w14:textId="77777777" w:rsidR="006D41EF" w:rsidRPr="00A942F6" w:rsidRDefault="006D41EF" w:rsidP="00641834">
      <w:pPr>
        <w:rPr>
          <w:lang w:val="nb-NO"/>
        </w:rPr>
      </w:pPr>
    </w:p>
    <w:p w14:paraId="2EBFA240" w14:textId="4A663F1B" w:rsidR="004A425F" w:rsidRPr="00A942F6" w:rsidRDefault="00923E68" w:rsidP="00641834">
      <w:pPr>
        <w:rPr>
          <w:lang w:val="nb-NO"/>
        </w:rPr>
      </w:pPr>
      <w:r w:rsidRPr="00A942F6">
        <w:rPr>
          <w:lang w:val="nb-NO"/>
        </w:rPr>
        <w:t>Avtozma</w:t>
      </w:r>
      <w:r w:rsidR="004A425F" w:rsidRPr="00A942F6">
        <w:rPr>
          <w:lang w:val="nb-NO"/>
        </w:rPr>
        <w:t xml:space="preserve"> gis vanligvis sammen med et annet legemiddel mot RA som heter metotreksat. </w:t>
      </w:r>
      <w:r w:rsidRPr="00A942F6">
        <w:rPr>
          <w:lang w:val="nb-NO"/>
        </w:rPr>
        <w:t>Avtozma</w:t>
      </w:r>
      <w:r w:rsidR="004A425F" w:rsidRPr="00A942F6">
        <w:rPr>
          <w:lang w:val="nb-NO"/>
        </w:rPr>
        <w:t xml:space="preserve"> kan også gis alene hvis legen mener at metotreksat ikke er egnet.</w:t>
      </w:r>
    </w:p>
    <w:p w14:paraId="08C0300B" w14:textId="77777777" w:rsidR="004A425F" w:rsidRPr="00A942F6" w:rsidRDefault="004A425F" w:rsidP="00641834">
      <w:pPr>
        <w:rPr>
          <w:lang w:val="nb-NO"/>
        </w:rPr>
      </w:pPr>
    </w:p>
    <w:p w14:paraId="4FFFD1B7" w14:textId="77777777" w:rsidR="004A425F" w:rsidRPr="00A942F6" w:rsidRDefault="004A425F" w:rsidP="00641834">
      <w:pPr>
        <w:pStyle w:val="Bullet1cm"/>
        <w:rPr>
          <w:lang w:val="nb-NO"/>
        </w:rPr>
      </w:pPr>
      <w:r w:rsidRPr="00A942F6">
        <w:rPr>
          <w:b/>
          <w:bCs/>
          <w:lang w:val="nb-NO"/>
        </w:rPr>
        <w:t>voksne med en sykdom i pulsårene som kalles kjempecelle arteritt (GCA),</w:t>
      </w:r>
      <w:r w:rsidRPr="00A942F6">
        <w:rPr>
          <w:lang w:val="nb-NO"/>
        </w:rPr>
        <w:t xml:space="preserve"> forårsaket av betennelse i kroppens største pulsårer, særlig de som forsyner blod til hodet og nakken. </w:t>
      </w:r>
      <w:r w:rsidRPr="00A942F6">
        <w:rPr>
          <w:lang w:val="nb-NO"/>
        </w:rPr>
        <w:lastRenderedPageBreak/>
        <w:t>Symptomene inkluderer hodepine, utmattelse og smerter i kjeven. Det kan resultere i slag og blindhet.</w:t>
      </w:r>
    </w:p>
    <w:p w14:paraId="241D2A68" w14:textId="77777777" w:rsidR="006D41EF" w:rsidRPr="00A942F6" w:rsidRDefault="006D41EF" w:rsidP="00641834">
      <w:pPr>
        <w:rPr>
          <w:lang w:val="nb-NO"/>
        </w:rPr>
      </w:pPr>
    </w:p>
    <w:p w14:paraId="0DF091DB" w14:textId="4F8FBD08" w:rsidR="004A425F" w:rsidRPr="00A942F6" w:rsidRDefault="00923E68" w:rsidP="00641834">
      <w:pPr>
        <w:rPr>
          <w:lang w:val="nb-NO"/>
        </w:rPr>
      </w:pPr>
      <w:r w:rsidRPr="00A942F6">
        <w:rPr>
          <w:lang w:val="nb-NO"/>
        </w:rPr>
        <w:t>Avtozma</w:t>
      </w:r>
      <w:r w:rsidR="004A425F" w:rsidRPr="00A942F6">
        <w:rPr>
          <w:lang w:val="nb-NO"/>
        </w:rPr>
        <w:t xml:space="preserve"> kan redusere smerte og hevelse i pulsårer og vener i hodet, nakken og armer.</w:t>
      </w:r>
    </w:p>
    <w:p w14:paraId="61182944" w14:textId="77777777" w:rsidR="004A425F" w:rsidRPr="00A942F6" w:rsidRDefault="004A425F" w:rsidP="00641834">
      <w:pPr>
        <w:rPr>
          <w:lang w:val="nb-NO"/>
        </w:rPr>
      </w:pPr>
    </w:p>
    <w:p w14:paraId="76F40412" w14:textId="5853CE05" w:rsidR="004A425F" w:rsidRPr="00A942F6" w:rsidRDefault="004A425F" w:rsidP="00641834">
      <w:pPr>
        <w:rPr>
          <w:lang w:val="nb-NO"/>
        </w:rPr>
      </w:pPr>
      <w:r w:rsidRPr="00A942F6">
        <w:rPr>
          <w:lang w:val="nb-NO"/>
        </w:rPr>
        <w:t xml:space="preserve">GCA blir ofte behandlet med legemidler som kalles steroider. De er vanligvis effektive, men kan ha bivirkninger dersom de brukes ved høye doser over lang tid. Reduksjon av dosen med steroider kan også føre til en oppblussing av GCA. Ved å legge til </w:t>
      </w:r>
      <w:r w:rsidR="00923E68" w:rsidRPr="00A942F6">
        <w:rPr>
          <w:lang w:val="nb-NO"/>
        </w:rPr>
        <w:t>Avtozma</w:t>
      </w:r>
      <w:r w:rsidRPr="00A942F6">
        <w:rPr>
          <w:lang w:val="nb-NO"/>
        </w:rPr>
        <w:t xml:space="preserve"> til behandlingen kan man bruke steroider i et kortere tidsrom, samtidig som GCA holdes under kontroll.</w:t>
      </w:r>
    </w:p>
    <w:p w14:paraId="0A4D15BC" w14:textId="77777777" w:rsidR="004A425F" w:rsidRPr="00A942F6" w:rsidRDefault="004A425F" w:rsidP="00641834">
      <w:pPr>
        <w:rPr>
          <w:lang w:val="nb-NO"/>
        </w:rPr>
      </w:pPr>
    </w:p>
    <w:p w14:paraId="4A47960D" w14:textId="77777777" w:rsidR="004A425F" w:rsidRPr="00A942F6" w:rsidRDefault="004A425F" w:rsidP="00641834">
      <w:pPr>
        <w:pStyle w:val="Bullet1cm"/>
        <w:rPr>
          <w:lang w:val="nb-NO"/>
        </w:rPr>
      </w:pPr>
      <w:r w:rsidRPr="00A942F6">
        <w:rPr>
          <w:b/>
          <w:bCs/>
          <w:lang w:val="nb-NO"/>
        </w:rPr>
        <w:t xml:space="preserve">barn og ungdom, i alderen 1 år og oppover, med aktiv systemisk juvenil idiopatisk artritt (sJIA), </w:t>
      </w:r>
      <w:r w:rsidRPr="00A942F6">
        <w:rPr>
          <w:lang w:val="nb-NO"/>
        </w:rPr>
        <w:t>en inflammatorisk sykdom som forårsaker smerte og hevelse i ett eller flere ledd, samt feber og utslett.</w:t>
      </w:r>
    </w:p>
    <w:p w14:paraId="375458E0" w14:textId="77777777" w:rsidR="004A425F" w:rsidRPr="00A942F6" w:rsidRDefault="004A425F" w:rsidP="00641834">
      <w:pPr>
        <w:rPr>
          <w:lang w:val="nb-NO"/>
        </w:rPr>
      </w:pPr>
    </w:p>
    <w:p w14:paraId="39E24F49" w14:textId="22138829" w:rsidR="004A425F" w:rsidRPr="00A942F6" w:rsidRDefault="00923E68" w:rsidP="00641834">
      <w:pPr>
        <w:rPr>
          <w:lang w:val="nb-NO"/>
        </w:rPr>
      </w:pPr>
      <w:r w:rsidRPr="00A942F6">
        <w:rPr>
          <w:lang w:val="nb-NO"/>
        </w:rPr>
        <w:t>Avtozma</w:t>
      </w:r>
      <w:r w:rsidR="004A425F" w:rsidRPr="00A942F6">
        <w:rPr>
          <w:lang w:val="nb-NO"/>
        </w:rPr>
        <w:t xml:space="preserve"> brukes for å bedre symptomene ved sJIA. Det kan gis i kombinasjon med metotreksat eller alene.</w:t>
      </w:r>
    </w:p>
    <w:p w14:paraId="3A08690E" w14:textId="77777777" w:rsidR="004A425F" w:rsidRPr="00A942F6" w:rsidRDefault="004A425F" w:rsidP="00641834">
      <w:pPr>
        <w:rPr>
          <w:lang w:val="nb-NO"/>
        </w:rPr>
      </w:pPr>
    </w:p>
    <w:p w14:paraId="6FB30723" w14:textId="77777777" w:rsidR="004A425F" w:rsidRPr="00A942F6" w:rsidRDefault="004A425F" w:rsidP="00641834">
      <w:pPr>
        <w:pStyle w:val="Bullet1cm"/>
        <w:rPr>
          <w:lang w:val="nb-NO"/>
        </w:rPr>
      </w:pPr>
      <w:r w:rsidRPr="00A942F6">
        <w:rPr>
          <w:b/>
          <w:bCs/>
          <w:lang w:val="nb-NO"/>
        </w:rPr>
        <w:t xml:space="preserve">barn og ungdom, i alderen 2 år og oppover, med aktiv </w:t>
      </w:r>
      <w:r w:rsidRPr="00A942F6">
        <w:rPr>
          <w:b/>
          <w:bCs/>
          <w:i/>
          <w:iCs/>
          <w:lang w:val="nb-NO"/>
        </w:rPr>
        <w:t>polyartikulær juvenil idiopatisk artritt (pJIA).</w:t>
      </w:r>
      <w:r w:rsidRPr="00A942F6">
        <w:rPr>
          <w:b/>
          <w:bCs/>
          <w:lang w:val="nb-NO"/>
        </w:rPr>
        <w:t xml:space="preserve"> </w:t>
      </w:r>
      <w:r w:rsidRPr="00A942F6">
        <w:rPr>
          <w:lang w:val="nb-NO"/>
        </w:rPr>
        <w:t>Dette er en inflammatorisk sykdom som forårsaker smerte og hevelse i ett eller flere ledd.</w:t>
      </w:r>
    </w:p>
    <w:p w14:paraId="4225CDBD" w14:textId="77777777" w:rsidR="004A425F" w:rsidRPr="00A942F6" w:rsidRDefault="004A425F" w:rsidP="00641834">
      <w:pPr>
        <w:rPr>
          <w:lang w:val="nb-NO"/>
        </w:rPr>
      </w:pPr>
    </w:p>
    <w:p w14:paraId="3F52A799" w14:textId="625B4769" w:rsidR="004A425F" w:rsidRPr="00A942F6" w:rsidRDefault="00923E68" w:rsidP="00641834">
      <w:pPr>
        <w:ind w:left="567"/>
        <w:rPr>
          <w:lang w:val="nb-NO"/>
        </w:rPr>
      </w:pPr>
      <w:r w:rsidRPr="00A942F6">
        <w:rPr>
          <w:lang w:val="nb-NO"/>
        </w:rPr>
        <w:t>Avtozma</w:t>
      </w:r>
      <w:r w:rsidR="004A425F" w:rsidRPr="00A942F6">
        <w:rPr>
          <w:lang w:val="nb-NO"/>
        </w:rPr>
        <w:t xml:space="preserve"> brukes til å bedre symptomene ved pJIA. Det kan gis i kombinasjon med metotreksat eller alene.</w:t>
      </w:r>
    </w:p>
    <w:p w14:paraId="60F46D8D" w14:textId="77777777" w:rsidR="004A425F" w:rsidRPr="00A942F6" w:rsidRDefault="004A425F" w:rsidP="00641834">
      <w:pPr>
        <w:rPr>
          <w:lang w:val="nb-NO"/>
        </w:rPr>
      </w:pPr>
    </w:p>
    <w:p w14:paraId="1C1B9351" w14:textId="77777777" w:rsidR="006D41EF" w:rsidRPr="00A942F6" w:rsidRDefault="006D41EF" w:rsidP="00641834">
      <w:pPr>
        <w:rPr>
          <w:lang w:val="nb-NO"/>
        </w:rPr>
      </w:pPr>
    </w:p>
    <w:p w14:paraId="68EF3CC7" w14:textId="62CF8206" w:rsidR="006D41EF" w:rsidRPr="00A942F6" w:rsidRDefault="004A425F" w:rsidP="00641834">
      <w:pPr>
        <w:pStyle w:val="H2"/>
        <w:rPr>
          <w:lang w:val="nb-NO"/>
        </w:rPr>
      </w:pPr>
      <w:r w:rsidRPr="00A942F6">
        <w:rPr>
          <w:lang w:val="nb-NO"/>
        </w:rPr>
        <w:t>2.</w:t>
      </w:r>
      <w:r w:rsidRPr="00A942F6">
        <w:rPr>
          <w:lang w:val="nb-NO"/>
        </w:rPr>
        <w:tab/>
        <w:t xml:space="preserve">Hva du må vite før du bruker </w:t>
      </w:r>
      <w:r w:rsidR="00923E68" w:rsidRPr="00A942F6">
        <w:rPr>
          <w:lang w:val="nb-NO"/>
        </w:rPr>
        <w:t>Avtozma</w:t>
      </w:r>
      <w:r w:rsidRPr="00A942F6">
        <w:rPr>
          <w:lang w:val="nb-NO"/>
        </w:rPr>
        <w:t xml:space="preserve"> </w:t>
      </w:r>
    </w:p>
    <w:p w14:paraId="3CFB7A88" w14:textId="77777777" w:rsidR="006D41EF" w:rsidRPr="00A942F6" w:rsidRDefault="006D41EF" w:rsidP="00641834">
      <w:pPr>
        <w:pStyle w:val="H2"/>
        <w:rPr>
          <w:lang w:val="nb-NO"/>
        </w:rPr>
      </w:pPr>
    </w:p>
    <w:p w14:paraId="16987DE3" w14:textId="4DBC1C2F" w:rsidR="004A425F" w:rsidRPr="00A942F6" w:rsidRDefault="004A425F" w:rsidP="00641834">
      <w:pPr>
        <w:pStyle w:val="H2"/>
        <w:rPr>
          <w:lang w:val="nb-NO"/>
        </w:rPr>
      </w:pPr>
      <w:r w:rsidRPr="00A942F6">
        <w:rPr>
          <w:lang w:val="nb-NO"/>
        </w:rPr>
        <w:t xml:space="preserve">Bruk ikke </w:t>
      </w:r>
      <w:r w:rsidR="00923E68" w:rsidRPr="00A942F6">
        <w:rPr>
          <w:lang w:val="nb-NO"/>
        </w:rPr>
        <w:t>Avtozma</w:t>
      </w:r>
    </w:p>
    <w:p w14:paraId="73223611" w14:textId="77777777" w:rsidR="004A425F" w:rsidRPr="00A942F6" w:rsidRDefault="004A425F" w:rsidP="00641834">
      <w:pPr>
        <w:pStyle w:val="Bullet1cm"/>
        <w:rPr>
          <w:lang w:val="nb-NO"/>
        </w:rPr>
      </w:pPr>
      <w:r w:rsidRPr="00A942F6">
        <w:rPr>
          <w:lang w:val="nb-NO"/>
        </w:rPr>
        <w:t>hvis du eller en pasient (barn) du har omsorg for er allergisk overfor tocilizumab eller noen av de andre innholdsstoffene i dette legemidlet (listet opp i avsnitt 6).</w:t>
      </w:r>
      <w:r w:rsidR="00AC01D0" w:rsidRPr="00A942F6">
        <w:rPr>
          <w:lang w:val="nb-NO"/>
        </w:rPr>
        <w:t xml:space="preserve"> (Se spesifikke advarsler </w:t>
      </w:r>
      <w:r w:rsidR="00B14020">
        <w:rPr>
          <w:lang w:val="nb-NO"/>
        </w:rPr>
        <w:t>på</w:t>
      </w:r>
      <w:r w:rsidR="00AC01D0" w:rsidRPr="00A942F6">
        <w:rPr>
          <w:lang w:val="nb-NO"/>
        </w:rPr>
        <w:t xml:space="preserve"> slutten av dette avsnittet under «Avtozma inneholder polysorbat».</w:t>
      </w:r>
    </w:p>
    <w:p w14:paraId="02812AC2" w14:textId="77777777" w:rsidR="00F77629" w:rsidRPr="00A942F6" w:rsidRDefault="004A425F" w:rsidP="00641834">
      <w:pPr>
        <w:pStyle w:val="Bullet1cm"/>
        <w:rPr>
          <w:lang w:val="nb-NO"/>
        </w:rPr>
      </w:pPr>
      <w:r w:rsidRPr="00A942F6">
        <w:rPr>
          <w:lang w:val="nb-NO"/>
        </w:rPr>
        <w:t>hvis du eller en pasient (barn) du har omsorg for har en aktiv, alvorlig infeksjon.</w:t>
      </w:r>
    </w:p>
    <w:p w14:paraId="3051FC44" w14:textId="44922884" w:rsidR="004A425F" w:rsidRPr="00A942F6" w:rsidRDefault="004A425F" w:rsidP="00641834">
      <w:pPr>
        <w:pStyle w:val="Bullet1cm"/>
        <w:numPr>
          <w:ilvl w:val="0"/>
          <w:numId w:val="0"/>
        </w:numPr>
        <w:rPr>
          <w:lang w:val="nb-NO"/>
        </w:rPr>
      </w:pPr>
      <w:r w:rsidRPr="00A942F6">
        <w:rPr>
          <w:lang w:val="nb-NO"/>
        </w:rPr>
        <w:t>Snakk med lege hvis noe av dette gjelder for deg. Bruk ikke</w:t>
      </w:r>
      <w:r w:rsidR="00B9487C" w:rsidRPr="00A942F6">
        <w:rPr>
          <w:lang w:val="nb-NO"/>
        </w:rPr>
        <w:t xml:space="preserve"> </w:t>
      </w:r>
      <w:r w:rsidR="00923E68" w:rsidRPr="00A942F6">
        <w:rPr>
          <w:lang w:val="nb-NO"/>
        </w:rPr>
        <w:t>Avtozma</w:t>
      </w:r>
      <w:r w:rsidRPr="00A942F6">
        <w:rPr>
          <w:lang w:val="nb-NO"/>
        </w:rPr>
        <w:t>.</w:t>
      </w:r>
    </w:p>
    <w:p w14:paraId="5447817D" w14:textId="77777777" w:rsidR="004A425F" w:rsidRPr="00A942F6" w:rsidRDefault="004A425F" w:rsidP="00641834">
      <w:pPr>
        <w:rPr>
          <w:lang w:val="nb-NO"/>
        </w:rPr>
      </w:pPr>
    </w:p>
    <w:p w14:paraId="563F7F83" w14:textId="77777777" w:rsidR="004A425F" w:rsidRPr="00A942F6" w:rsidRDefault="004A425F" w:rsidP="00641834">
      <w:pPr>
        <w:pStyle w:val="bold"/>
        <w:rPr>
          <w:lang w:val="nb-NO"/>
        </w:rPr>
      </w:pPr>
      <w:r w:rsidRPr="00A942F6">
        <w:rPr>
          <w:lang w:val="nb-NO"/>
        </w:rPr>
        <w:t>Advarsler og forsiktighetsregler</w:t>
      </w:r>
    </w:p>
    <w:p w14:paraId="5D0B9C08" w14:textId="77777777" w:rsidR="006D41EF" w:rsidRPr="00A942F6" w:rsidRDefault="006D41EF" w:rsidP="00641834">
      <w:pPr>
        <w:rPr>
          <w:lang w:val="nb-NO"/>
        </w:rPr>
      </w:pPr>
    </w:p>
    <w:p w14:paraId="216DB7C6" w14:textId="362929F1" w:rsidR="004A425F" w:rsidRPr="00A942F6" w:rsidRDefault="004A425F" w:rsidP="00641834">
      <w:pPr>
        <w:rPr>
          <w:lang w:val="nb-NO"/>
        </w:rPr>
      </w:pPr>
      <w:r w:rsidRPr="00A942F6">
        <w:rPr>
          <w:lang w:val="nb-NO"/>
        </w:rPr>
        <w:t xml:space="preserve">Snakk med lege, apotek eller sykepleier før du bruker </w:t>
      </w:r>
      <w:r w:rsidR="00923E68" w:rsidRPr="00A942F6">
        <w:rPr>
          <w:lang w:val="nb-NO"/>
        </w:rPr>
        <w:t>Avtozma</w:t>
      </w:r>
      <w:r w:rsidRPr="00A942F6">
        <w:rPr>
          <w:lang w:val="nb-NO"/>
        </w:rPr>
        <w:t>.</w:t>
      </w:r>
    </w:p>
    <w:p w14:paraId="092FEABE" w14:textId="77777777" w:rsidR="004A425F" w:rsidRPr="00A942F6" w:rsidRDefault="004A425F" w:rsidP="00641834">
      <w:pPr>
        <w:rPr>
          <w:lang w:val="nb-NO"/>
        </w:rPr>
      </w:pPr>
    </w:p>
    <w:p w14:paraId="0E4D3D43" w14:textId="77777777" w:rsidR="004A425F" w:rsidRPr="00A942F6" w:rsidRDefault="004A425F" w:rsidP="00641834">
      <w:pPr>
        <w:pStyle w:val="Bullet1cm"/>
        <w:rPr>
          <w:lang w:val="nb-NO"/>
        </w:rPr>
      </w:pPr>
      <w:r w:rsidRPr="00A942F6">
        <w:rPr>
          <w:b/>
          <w:bCs/>
          <w:lang w:val="nb-NO"/>
        </w:rPr>
        <w:t xml:space="preserve">Informer legen din umiddelbart dersom du får en allergisk reaksjon </w:t>
      </w:r>
      <w:r w:rsidRPr="00A942F6">
        <w:rPr>
          <w:lang w:val="nb-NO"/>
        </w:rPr>
        <w:t>som tett bryst, hvesende pust, alvorlig svimmelhet eller ørhet, opphovnede lepper, hevelse i tunge eller ansikt, hudkløe, elveblest eller utslett under eller etter injeksjonen.</w:t>
      </w:r>
    </w:p>
    <w:p w14:paraId="4433FCB2" w14:textId="77777777" w:rsidR="00F77629" w:rsidRPr="00A942F6" w:rsidRDefault="00F77629" w:rsidP="00641834">
      <w:pPr>
        <w:pStyle w:val="Bullet1cm"/>
        <w:numPr>
          <w:ilvl w:val="0"/>
          <w:numId w:val="0"/>
        </w:numPr>
        <w:ind w:left="567"/>
        <w:rPr>
          <w:lang w:val="nb-NO"/>
        </w:rPr>
      </w:pPr>
    </w:p>
    <w:p w14:paraId="19720BD6" w14:textId="643AE228" w:rsidR="004A425F" w:rsidRPr="00A942F6" w:rsidRDefault="004A425F" w:rsidP="00641834">
      <w:pPr>
        <w:pStyle w:val="Bullet1cm"/>
        <w:rPr>
          <w:lang w:val="nb-NO"/>
        </w:rPr>
      </w:pPr>
      <w:r w:rsidRPr="00A942F6">
        <w:rPr>
          <w:lang w:val="nb-NO"/>
        </w:rPr>
        <w:t xml:space="preserve">Ta ikke neste dose før du har informert legen din OG legen din har fortalt deg at du kan ta neste dose, dersom du har opplevd symptomer på allergisk reaksjon etter injisering av </w:t>
      </w:r>
      <w:r w:rsidR="00923E68" w:rsidRPr="00A942F6">
        <w:rPr>
          <w:lang w:val="nb-NO"/>
        </w:rPr>
        <w:t>Avtozma</w:t>
      </w:r>
      <w:r w:rsidRPr="00A942F6">
        <w:rPr>
          <w:lang w:val="nb-NO"/>
        </w:rPr>
        <w:t>.</w:t>
      </w:r>
    </w:p>
    <w:p w14:paraId="473CDC0C" w14:textId="77777777" w:rsidR="004A425F" w:rsidRPr="00A942F6" w:rsidRDefault="004A425F" w:rsidP="00641834">
      <w:pPr>
        <w:pStyle w:val="Bullet1cm"/>
        <w:numPr>
          <w:ilvl w:val="0"/>
          <w:numId w:val="0"/>
        </w:numPr>
        <w:ind w:left="567"/>
        <w:rPr>
          <w:lang w:val="nb-NO"/>
        </w:rPr>
      </w:pPr>
    </w:p>
    <w:p w14:paraId="04D280E5" w14:textId="4203100B" w:rsidR="004A425F" w:rsidRPr="00A942F6" w:rsidRDefault="004A425F" w:rsidP="00641834">
      <w:pPr>
        <w:pStyle w:val="Bullet1cm"/>
        <w:rPr>
          <w:lang w:val="nb-NO"/>
        </w:rPr>
      </w:pPr>
      <w:r w:rsidRPr="00A942F6">
        <w:rPr>
          <w:lang w:val="nb-NO"/>
        </w:rPr>
        <w:t xml:space="preserve">Dersom du har en infeksjon, kortvarig eller langvarig, eller dersom du ofte får infeksjoner. </w:t>
      </w:r>
      <w:r w:rsidRPr="00A942F6">
        <w:rPr>
          <w:b/>
          <w:bCs/>
          <w:lang w:val="nb-NO"/>
        </w:rPr>
        <w:t>Informer legen din umiddelbart</w:t>
      </w:r>
      <w:r w:rsidRPr="00A942F6">
        <w:rPr>
          <w:lang w:val="nb-NO"/>
        </w:rPr>
        <w:t xml:space="preserve"> dersom du føler deg uvel. </w:t>
      </w:r>
      <w:r w:rsidR="00923E68" w:rsidRPr="00A942F6">
        <w:rPr>
          <w:lang w:val="nb-NO"/>
        </w:rPr>
        <w:t>Avtozma</w:t>
      </w:r>
      <w:r w:rsidRPr="00A942F6">
        <w:rPr>
          <w:lang w:val="nb-NO"/>
        </w:rPr>
        <w:t xml:space="preserve"> kan redusere kroppens evne til å respondere på infeksjoner og kan forverre en eksisterende infeksjon eller øke risiko for å få nye infeksjoner.</w:t>
      </w:r>
    </w:p>
    <w:p w14:paraId="1AA77E13" w14:textId="77777777" w:rsidR="00F77629" w:rsidRPr="00A942F6" w:rsidRDefault="00F77629" w:rsidP="00641834">
      <w:pPr>
        <w:pStyle w:val="Bullet1cm"/>
        <w:numPr>
          <w:ilvl w:val="0"/>
          <w:numId w:val="0"/>
        </w:numPr>
        <w:ind w:left="567"/>
        <w:rPr>
          <w:lang w:val="nb-NO"/>
        </w:rPr>
      </w:pPr>
    </w:p>
    <w:p w14:paraId="269C712D" w14:textId="0A8B44F9" w:rsidR="004A425F" w:rsidRPr="00A942F6" w:rsidRDefault="004A425F" w:rsidP="00641834">
      <w:pPr>
        <w:pStyle w:val="Bullet1cm"/>
        <w:rPr>
          <w:lang w:val="nb-NO"/>
        </w:rPr>
      </w:pPr>
      <w:r w:rsidRPr="00A942F6">
        <w:rPr>
          <w:lang w:val="nb-NO"/>
        </w:rPr>
        <w:t xml:space="preserve">Informer legen din dersom du har hatt </w:t>
      </w:r>
      <w:r w:rsidRPr="00A942F6">
        <w:rPr>
          <w:b/>
          <w:bCs/>
          <w:lang w:val="nb-NO"/>
        </w:rPr>
        <w:t>tuberkulose</w:t>
      </w:r>
      <w:r w:rsidRPr="00A942F6">
        <w:rPr>
          <w:lang w:val="nb-NO"/>
        </w:rPr>
        <w:t xml:space="preserve">. Legen din vil undersøke deg for tegn og symptomer på tuberkulose før du starter behandlingen med </w:t>
      </w:r>
      <w:r w:rsidR="00923E68" w:rsidRPr="00A942F6">
        <w:rPr>
          <w:lang w:val="nb-NO"/>
        </w:rPr>
        <w:t>Avtozma</w:t>
      </w:r>
      <w:r w:rsidRPr="00A942F6">
        <w:rPr>
          <w:lang w:val="nb-NO"/>
        </w:rPr>
        <w:t>. Ved symptomer på tuberkulose (vedvarende hoste, vekttap, slapphet, mild feber), eller hvis annen infeksjon oppstår under eller etter behandlingen må du fortelle det til legen din umiddelbart.</w:t>
      </w:r>
    </w:p>
    <w:p w14:paraId="5AAE8FC2" w14:textId="77777777" w:rsidR="004A425F" w:rsidRPr="00A942F6" w:rsidRDefault="004A425F" w:rsidP="00641834">
      <w:pPr>
        <w:pStyle w:val="Bullet1cm"/>
        <w:numPr>
          <w:ilvl w:val="0"/>
          <w:numId w:val="0"/>
        </w:numPr>
        <w:ind w:left="567"/>
        <w:rPr>
          <w:lang w:val="nb-NO"/>
        </w:rPr>
      </w:pPr>
    </w:p>
    <w:p w14:paraId="75CDD918" w14:textId="77777777" w:rsidR="004A425F" w:rsidRPr="00A942F6" w:rsidRDefault="004A425F" w:rsidP="00641834">
      <w:pPr>
        <w:pStyle w:val="Bullet1cm"/>
        <w:rPr>
          <w:lang w:val="nb-NO"/>
        </w:rPr>
      </w:pPr>
      <w:r w:rsidRPr="00A942F6">
        <w:rPr>
          <w:lang w:val="nb-NO"/>
        </w:rPr>
        <w:t xml:space="preserve">Informer legen din dersom du har hatt </w:t>
      </w:r>
      <w:r w:rsidRPr="00A942F6">
        <w:rPr>
          <w:b/>
          <w:bCs/>
          <w:lang w:val="nb-NO"/>
        </w:rPr>
        <w:t>magesår eller divertikulitt</w:t>
      </w:r>
      <w:r w:rsidRPr="00A942F6">
        <w:rPr>
          <w:lang w:val="nb-NO"/>
        </w:rPr>
        <w:t>. Symptomer kan være magesmerter og uforklarlige endringer i avføringsmønster med feber.</w:t>
      </w:r>
    </w:p>
    <w:p w14:paraId="750E62D4" w14:textId="77777777" w:rsidR="004A425F" w:rsidRPr="00A942F6" w:rsidRDefault="004A425F" w:rsidP="00641834">
      <w:pPr>
        <w:pStyle w:val="Bullet1cm"/>
        <w:numPr>
          <w:ilvl w:val="0"/>
          <w:numId w:val="0"/>
        </w:numPr>
        <w:ind w:left="567"/>
        <w:rPr>
          <w:lang w:val="nb-NO"/>
        </w:rPr>
      </w:pPr>
    </w:p>
    <w:p w14:paraId="43F25B9F" w14:textId="1BE1C92B" w:rsidR="004A425F" w:rsidRPr="00A942F6" w:rsidRDefault="004A425F" w:rsidP="00641834">
      <w:pPr>
        <w:pStyle w:val="Bullet1cm"/>
        <w:rPr>
          <w:lang w:val="nb-NO"/>
        </w:rPr>
      </w:pPr>
      <w:r w:rsidRPr="00A942F6">
        <w:rPr>
          <w:lang w:val="nb-NO"/>
        </w:rPr>
        <w:t xml:space="preserve">Informer legen din dersom du har en </w:t>
      </w:r>
      <w:r w:rsidRPr="00A942F6">
        <w:rPr>
          <w:b/>
          <w:bCs/>
          <w:lang w:val="nb-NO"/>
        </w:rPr>
        <w:t>leversykdom</w:t>
      </w:r>
      <w:r w:rsidRPr="00A942F6">
        <w:rPr>
          <w:lang w:val="nb-NO"/>
        </w:rPr>
        <w:t xml:space="preserve">. Før du bruker </w:t>
      </w:r>
      <w:r w:rsidR="00923E68" w:rsidRPr="00A942F6">
        <w:rPr>
          <w:lang w:val="nb-NO"/>
        </w:rPr>
        <w:t>Avtozma</w:t>
      </w:r>
      <w:r w:rsidRPr="00A942F6">
        <w:rPr>
          <w:lang w:val="nb-NO"/>
        </w:rPr>
        <w:t xml:space="preserve"> kan legen velge å ta en blodprøve for å måle leverfunksjonen din.</w:t>
      </w:r>
    </w:p>
    <w:p w14:paraId="43B1BF4C" w14:textId="77777777" w:rsidR="004A425F" w:rsidRPr="00A942F6" w:rsidRDefault="004A425F" w:rsidP="00641834">
      <w:pPr>
        <w:pStyle w:val="Bullet1cm"/>
        <w:numPr>
          <w:ilvl w:val="0"/>
          <w:numId w:val="0"/>
        </w:numPr>
        <w:ind w:left="567"/>
        <w:rPr>
          <w:lang w:val="nb-NO"/>
        </w:rPr>
      </w:pPr>
    </w:p>
    <w:p w14:paraId="1504ACF7" w14:textId="586D8D61" w:rsidR="004A425F" w:rsidRPr="00A942F6" w:rsidRDefault="004A425F" w:rsidP="00641834">
      <w:pPr>
        <w:pStyle w:val="Bullet1cm"/>
        <w:rPr>
          <w:lang w:val="nb-NO"/>
        </w:rPr>
      </w:pPr>
      <w:r w:rsidRPr="00A942F6">
        <w:rPr>
          <w:lang w:val="nb-NO"/>
        </w:rPr>
        <w:t xml:space="preserve">Informer legen din </w:t>
      </w:r>
      <w:r w:rsidRPr="00A942F6">
        <w:rPr>
          <w:b/>
          <w:bCs/>
          <w:lang w:val="nb-NO"/>
        </w:rPr>
        <w:t>dersom du nylig har fått en vaksine eller planlegger vaksinering</w:t>
      </w:r>
      <w:r w:rsidRPr="00A942F6">
        <w:rPr>
          <w:lang w:val="nb-NO"/>
        </w:rPr>
        <w:t xml:space="preserve">. Alle pasienter bør være ajour med all vaksinering før oppstart av behandling med </w:t>
      </w:r>
      <w:r w:rsidR="00923E68" w:rsidRPr="00A942F6">
        <w:rPr>
          <w:lang w:val="nb-NO"/>
        </w:rPr>
        <w:t>Avtozma</w:t>
      </w:r>
      <w:r w:rsidRPr="00A942F6">
        <w:rPr>
          <w:lang w:val="nb-NO"/>
        </w:rPr>
        <w:t xml:space="preserve">. Noen typer vaksiner bør ikke gis ved behandling med </w:t>
      </w:r>
      <w:r w:rsidR="00923E68" w:rsidRPr="00A942F6">
        <w:rPr>
          <w:lang w:val="nb-NO"/>
        </w:rPr>
        <w:t>Avtozma</w:t>
      </w:r>
      <w:r w:rsidRPr="00A942F6">
        <w:rPr>
          <w:lang w:val="nb-NO"/>
        </w:rPr>
        <w:t>.</w:t>
      </w:r>
    </w:p>
    <w:p w14:paraId="6F6C37D9" w14:textId="77777777" w:rsidR="00F77629" w:rsidRPr="00A942F6" w:rsidRDefault="00F77629" w:rsidP="00641834">
      <w:pPr>
        <w:pStyle w:val="Bullet1cm"/>
        <w:numPr>
          <w:ilvl w:val="0"/>
          <w:numId w:val="0"/>
        </w:numPr>
        <w:ind w:left="567"/>
        <w:rPr>
          <w:lang w:val="nb-NO"/>
        </w:rPr>
      </w:pPr>
    </w:p>
    <w:p w14:paraId="25A781E9" w14:textId="7DD599E7" w:rsidR="004A425F" w:rsidRPr="00A942F6" w:rsidRDefault="004A425F" w:rsidP="00641834">
      <w:pPr>
        <w:pStyle w:val="Bullet1cm"/>
        <w:rPr>
          <w:lang w:val="nb-NO"/>
        </w:rPr>
      </w:pPr>
      <w:r w:rsidRPr="00A942F6">
        <w:rPr>
          <w:lang w:val="nb-NO"/>
        </w:rPr>
        <w:t xml:space="preserve">Informer legen din hvis du har </w:t>
      </w:r>
      <w:r w:rsidRPr="00A942F6">
        <w:rPr>
          <w:b/>
          <w:bCs/>
          <w:lang w:val="nb-NO"/>
        </w:rPr>
        <w:t>kreft</w:t>
      </w:r>
      <w:r w:rsidRPr="00A942F6">
        <w:rPr>
          <w:lang w:val="nb-NO"/>
        </w:rPr>
        <w:t xml:space="preserve">. Legen vil avgjøre om du likevel kan få </w:t>
      </w:r>
      <w:r w:rsidR="00923E68" w:rsidRPr="00A942F6">
        <w:rPr>
          <w:lang w:val="nb-NO"/>
        </w:rPr>
        <w:t>Avtozma</w:t>
      </w:r>
      <w:r w:rsidRPr="00A942F6">
        <w:rPr>
          <w:lang w:val="nb-NO"/>
        </w:rPr>
        <w:t>.</w:t>
      </w:r>
    </w:p>
    <w:p w14:paraId="262F87B6" w14:textId="77777777" w:rsidR="004A425F" w:rsidRPr="00A942F6" w:rsidRDefault="004A425F" w:rsidP="00641834">
      <w:pPr>
        <w:pStyle w:val="Bullet1cm"/>
        <w:numPr>
          <w:ilvl w:val="0"/>
          <w:numId w:val="0"/>
        </w:numPr>
        <w:ind w:left="567"/>
        <w:rPr>
          <w:lang w:val="nb-NO"/>
        </w:rPr>
      </w:pPr>
    </w:p>
    <w:p w14:paraId="08761036" w14:textId="067E20B1" w:rsidR="004A425F" w:rsidRPr="00A942F6" w:rsidRDefault="004A425F" w:rsidP="00641834">
      <w:pPr>
        <w:pStyle w:val="Bullet1cm"/>
        <w:rPr>
          <w:lang w:val="nb-NO"/>
        </w:rPr>
      </w:pPr>
      <w:r w:rsidRPr="00A942F6">
        <w:rPr>
          <w:lang w:val="nb-NO"/>
        </w:rPr>
        <w:t xml:space="preserve">Informer legen din hvis du har </w:t>
      </w:r>
      <w:r w:rsidRPr="00A942F6">
        <w:rPr>
          <w:b/>
          <w:bCs/>
          <w:lang w:val="nb-NO"/>
        </w:rPr>
        <w:t>kardiovaskulære risikofaktorer</w:t>
      </w:r>
      <w:r w:rsidRPr="00A942F6">
        <w:rPr>
          <w:lang w:val="nb-NO"/>
        </w:rPr>
        <w:t xml:space="preserve"> som økt blodtrykk og økt kolesterol. Disse faktorene må overvåkes mens du får </w:t>
      </w:r>
      <w:r w:rsidR="00923E68" w:rsidRPr="00A942F6">
        <w:rPr>
          <w:lang w:val="nb-NO"/>
        </w:rPr>
        <w:t>Avtozma</w:t>
      </w:r>
      <w:r w:rsidRPr="00A942F6">
        <w:rPr>
          <w:lang w:val="nb-NO"/>
        </w:rPr>
        <w:t>.</w:t>
      </w:r>
    </w:p>
    <w:p w14:paraId="345898D9" w14:textId="77777777" w:rsidR="00F77629" w:rsidRPr="00A942F6" w:rsidRDefault="00F77629" w:rsidP="00641834">
      <w:pPr>
        <w:pStyle w:val="Bullet1cm"/>
        <w:numPr>
          <w:ilvl w:val="0"/>
          <w:numId w:val="0"/>
        </w:numPr>
        <w:ind w:left="567"/>
        <w:rPr>
          <w:lang w:val="nb-NO"/>
        </w:rPr>
      </w:pPr>
    </w:p>
    <w:p w14:paraId="45EC7D45" w14:textId="77777777" w:rsidR="004A425F" w:rsidRPr="00A942F6" w:rsidRDefault="004A425F" w:rsidP="00641834">
      <w:pPr>
        <w:pStyle w:val="Bullet1cm"/>
        <w:rPr>
          <w:lang w:val="nb-NO"/>
        </w:rPr>
      </w:pPr>
      <w:r w:rsidRPr="00A942F6">
        <w:rPr>
          <w:lang w:val="nb-NO"/>
        </w:rPr>
        <w:t>Legen vil følge deg opp nøye hvis du har moderate til alvorlige problemer med</w:t>
      </w:r>
      <w:r w:rsidR="00F77629" w:rsidRPr="00A942F6">
        <w:rPr>
          <w:lang w:val="nb-NO"/>
        </w:rPr>
        <w:t xml:space="preserve"> </w:t>
      </w:r>
      <w:r w:rsidRPr="00A942F6">
        <w:rPr>
          <w:b/>
          <w:bCs/>
          <w:lang w:val="nb-NO"/>
        </w:rPr>
        <w:t>nyrefunksjonen</w:t>
      </w:r>
      <w:r w:rsidRPr="00A942F6">
        <w:rPr>
          <w:lang w:val="nb-NO"/>
        </w:rPr>
        <w:t>.</w:t>
      </w:r>
    </w:p>
    <w:p w14:paraId="1C8EA200" w14:textId="77777777" w:rsidR="004A425F" w:rsidRPr="00A942F6" w:rsidRDefault="004A425F" w:rsidP="00641834">
      <w:pPr>
        <w:pStyle w:val="Bullet1cm"/>
        <w:numPr>
          <w:ilvl w:val="0"/>
          <w:numId w:val="0"/>
        </w:numPr>
        <w:ind w:left="567"/>
        <w:rPr>
          <w:lang w:val="nb-NO"/>
        </w:rPr>
      </w:pPr>
    </w:p>
    <w:p w14:paraId="26E99CFD" w14:textId="77777777" w:rsidR="004A425F" w:rsidRPr="00A942F6" w:rsidRDefault="004A425F" w:rsidP="00641834">
      <w:pPr>
        <w:pStyle w:val="Bullet1cm"/>
        <w:rPr>
          <w:lang w:val="nb-NO"/>
        </w:rPr>
      </w:pPr>
      <w:r w:rsidRPr="00A942F6">
        <w:rPr>
          <w:lang w:val="nb-NO"/>
        </w:rPr>
        <w:t xml:space="preserve">Hvis du har </w:t>
      </w:r>
      <w:r w:rsidRPr="00A942F6">
        <w:rPr>
          <w:b/>
          <w:bCs/>
          <w:lang w:val="nb-NO"/>
        </w:rPr>
        <w:t>vedvarende hodepine</w:t>
      </w:r>
      <w:r w:rsidRPr="00A942F6">
        <w:rPr>
          <w:lang w:val="nb-NO"/>
        </w:rPr>
        <w:t>.</w:t>
      </w:r>
    </w:p>
    <w:p w14:paraId="6B385838" w14:textId="77777777" w:rsidR="006D41EF" w:rsidRPr="00A942F6" w:rsidRDefault="006D41EF" w:rsidP="00641834">
      <w:pPr>
        <w:rPr>
          <w:lang w:val="nb-NO"/>
        </w:rPr>
      </w:pPr>
    </w:p>
    <w:p w14:paraId="6B9D5307" w14:textId="2FB8DDD3" w:rsidR="004A425F" w:rsidRPr="00A942F6" w:rsidRDefault="004A425F" w:rsidP="00641834">
      <w:pPr>
        <w:rPr>
          <w:lang w:val="nb-NO"/>
        </w:rPr>
      </w:pPr>
      <w:r w:rsidRPr="00A942F6">
        <w:rPr>
          <w:lang w:val="nb-NO"/>
        </w:rPr>
        <w:t xml:space="preserve">Legen din vil ta blodprøver av deg før du får </w:t>
      </w:r>
      <w:r w:rsidR="00923E68" w:rsidRPr="00A942F6">
        <w:rPr>
          <w:lang w:val="nb-NO"/>
        </w:rPr>
        <w:t>Avtozma</w:t>
      </w:r>
      <w:r w:rsidRPr="00A942F6">
        <w:rPr>
          <w:lang w:val="nb-NO"/>
        </w:rPr>
        <w:t xml:space="preserve"> for å undersøke om du har lavt antall hvite blodceller, lavt blodplatetall eller høye verdier av leverenzymer.</w:t>
      </w:r>
    </w:p>
    <w:p w14:paraId="0D8728F6" w14:textId="77777777" w:rsidR="004A425F" w:rsidRPr="00A942F6" w:rsidRDefault="004A425F" w:rsidP="00641834">
      <w:pPr>
        <w:rPr>
          <w:lang w:val="nb-NO"/>
        </w:rPr>
      </w:pPr>
    </w:p>
    <w:p w14:paraId="153B0AC2" w14:textId="77777777" w:rsidR="004A425F" w:rsidRPr="00A942F6" w:rsidRDefault="004A425F" w:rsidP="00641834">
      <w:pPr>
        <w:pStyle w:val="bold"/>
        <w:rPr>
          <w:lang w:val="nb-NO"/>
        </w:rPr>
      </w:pPr>
      <w:r w:rsidRPr="00A942F6">
        <w:rPr>
          <w:lang w:val="nb-NO"/>
        </w:rPr>
        <w:t>Barn og ungdom</w:t>
      </w:r>
    </w:p>
    <w:p w14:paraId="15188075" w14:textId="6812CB37" w:rsidR="004A425F" w:rsidRPr="00A942F6" w:rsidRDefault="004A425F" w:rsidP="00641834">
      <w:pPr>
        <w:rPr>
          <w:lang w:val="nb-NO"/>
        </w:rPr>
      </w:pPr>
      <w:r w:rsidRPr="00A942F6">
        <w:rPr>
          <w:lang w:val="nb-NO"/>
        </w:rPr>
        <w:t xml:space="preserve">Det er ikke anbefalt å bruke </w:t>
      </w:r>
      <w:r w:rsidR="00923E68" w:rsidRPr="00A942F6">
        <w:rPr>
          <w:lang w:val="nb-NO"/>
        </w:rPr>
        <w:t>Avtozma</w:t>
      </w:r>
      <w:r w:rsidRPr="00A942F6">
        <w:rPr>
          <w:lang w:val="nb-NO"/>
        </w:rPr>
        <w:t xml:space="preserve"> subkutan injeksjon hos barn under 1 år. </w:t>
      </w:r>
      <w:r w:rsidR="00923E68" w:rsidRPr="00A942F6">
        <w:rPr>
          <w:lang w:val="nb-NO"/>
        </w:rPr>
        <w:t>Avtozma</w:t>
      </w:r>
      <w:r w:rsidRPr="00A942F6">
        <w:rPr>
          <w:lang w:val="nb-NO"/>
        </w:rPr>
        <w:t xml:space="preserve"> skal ikke gis til barn med sJIA som veier mindre enn 10 kg.</w:t>
      </w:r>
    </w:p>
    <w:p w14:paraId="6804C305" w14:textId="77777777" w:rsidR="006D41EF" w:rsidRPr="00A942F6" w:rsidRDefault="006D41EF" w:rsidP="00641834">
      <w:pPr>
        <w:rPr>
          <w:lang w:val="nb-NO"/>
        </w:rPr>
      </w:pPr>
    </w:p>
    <w:p w14:paraId="19BA91B4" w14:textId="340ADF70" w:rsidR="004A425F" w:rsidRPr="00A942F6" w:rsidRDefault="004A425F" w:rsidP="00641834">
      <w:pPr>
        <w:rPr>
          <w:lang w:val="nb-NO"/>
        </w:rPr>
      </w:pPr>
      <w:r w:rsidRPr="00A942F6">
        <w:rPr>
          <w:lang w:val="nb-NO"/>
        </w:rPr>
        <w:t xml:space="preserve">Informer barnets lege dersom barnet tidligere har hatt </w:t>
      </w:r>
      <w:r w:rsidRPr="00A942F6">
        <w:rPr>
          <w:i/>
          <w:iCs/>
          <w:lang w:val="nb-NO"/>
        </w:rPr>
        <w:t>makrofagaktivering-syndrom</w:t>
      </w:r>
      <w:r w:rsidRPr="00A942F6">
        <w:rPr>
          <w:lang w:val="nb-NO"/>
        </w:rPr>
        <w:t xml:space="preserve"> (aktivering og ukontrollert deling av spesifikke blodceller). Legen vil avgjøre om barnet likevel kan gis </w:t>
      </w:r>
      <w:r w:rsidR="00923E68" w:rsidRPr="00A942F6">
        <w:rPr>
          <w:lang w:val="nb-NO"/>
        </w:rPr>
        <w:t>Avtozma</w:t>
      </w:r>
      <w:r w:rsidRPr="00A942F6">
        <w:rPr>
          <w:lang w:val="nb-NO"/>
        </w:rPr>
        <w:t>.</w:t>
      </w:r>
    </w:p>
    <w:p w14:paraId="257455AC" w14:textId="77777777" w:rsidR="004A425F" w:rsidRPr="00A942F6" w:rsidRDefault="004A425F" w:rsidP="00641834">
      <w:pPr>
        <w:rPr>
          <w:lang w:val="nb-NO"/>
        </w:rPr>
      </w:pPr>
    </w:p>
    <w:p w14:paraId="7B07728F" w14:textId="202A9917" w:rsidR="004A425F" w:rsidRPr="00A942F6" w:rsidRDefault="004A425F" w:rsidP="00641834">
      <w:pPr>
        <w:pStyle w:val="bold"/>
        <w:rPr>
          <w:lang w:val="nb-NO"/>
        </w:rPr>
      </w:pPr>
      <w:r w:rsidRPr="00A942F6">
        <w:rPr>
          <w:lang w:val="nb-NO"/>
        </w:rPr>
        <w:t xml:space="preserve">Andre legemidler og </w:t>
      </w:r>
      <w:r w:rsidR="00923E68" w:rsidRPr="00A942F6">
        <w:rPr>
          <w:lang w:val="nb-NO"/>
        </w:rPr>
        <w:t>Avtozma</w:t>
      </w:r>
    </w:p>
    <w:p w14:paraId="67C2D84D" w14:textId="1D3FD32F" w:rsidR="004A425F" w:rsidRPr="00A942F6" w:rsidRDefault="004A425F" w:rsidP="00641834">
      <w:pPr>
        <w:rPr>
          <w:lang w:val="nb-NO"/>
        </w:rPr>
      </w:pPr>
      <w:r w:rsidRPr="00A942F6">
        <w:rPr>
          <w:lang w:val="nb-NO"/>
        </w:rPr>
        <w:t xml:space="preserve">Snakk med lege dersom du bruker, nylig har brukt eller planlegger å bruke andre legemidler. </w:t>
      </w:r>
      <w:r w:rsidR="00923E68" w:rsidRPr="00A942F6">
        <w:rPr>
          <w:lang w:val="nb-NO"/>
        </w:rPr>
        <w:t>Avtozma</w:t>
      </w:r>
      <w:r w:rsidRPr="00A942F6">
        <w:rPr>
          <w:lang w:val="nb-NO"/>
        </w:rPr>
        <w:t xml:space="preserve"> kan påvirke hvordan noen legemidler virker, og det kan bli nødvendig å justere doseringen av disse. Du må </w:t>
      </w:r>
      <w:r w:rsidRPr="00A942F6">
        <w:rPr>
          <w:b/>
          <w:bCs/>
          <w:lang w:val="nb-NO"/>
        </w:rPr>
        <w:t>informere legen din</w:t>
      </w:r>
      <w:r w:rsidRPr="00A942F6">
        <w:rPr>
          <w:lang w:val="nb-NO"/>
        </w:rPr>
        <w:t xml:space="preserve"> hvis du bruker legemidler som inneholder noen av følgende virkestoffer:</w:t>
      </w:r>
    </w:p>
    <w:p w14:paraId="38F0E1A8" w14:textId="77777777" w:rsidR="006D41EF" w:rsidRPr="00A942F6" w:rsidRDefault="006D41EF" w:rsidP="00641834">
      <w:pPr>
        <w:rPr>
          <w:lang w:val="nb-NO"/>
        </w:rPr>
      </w:pPr>
    </w:p>
    <w:p w14:paraId="0C0DC227" w14:textId="77777777" w:rsidR="004A425F" w:rsidRPr="00A942F6" w:rsidRDefault="004A425F" w:rsidP="00641834">
      <w:pPr>
        <w:pStyle w:val="Bullet1cm"/>
        <w:rPr>
          <w:lang w:val="nb-NO"/>
        </w:rPr>
      </w:pPr>
      <w:r w:rsidRPr="00A942F6">
        <w:rPr>
          <w:lang w:val="nb-NO"/>
        </w:rPr>
        <w:t>metylprednisolon, deksametason, brukes for å dempe betennelse (inflammasjon)</w:t>
      </w:r>
    </w:p>
    <w:p w14:paraId="06DDF6A9" w14:textId="77777777" w:rsidR="004A425F" w:rsidRPr="00A942F6" w:rsidRDefault="004A425F" w:rsidP="00641834">
      <w:pPr>
        <w:pStyle w:val="Bullet1cm"/>
        <w:rPr>
          <w:lang w:val="nb-NO"/>
        </w:rPr>
      </w:pPr>
      <w:r w:rsidRPr="00A942F6">
        <w:rPr>
          <w:lang w:val="nb-NO"/>
        </w:rPr>
        <w:t>simvastatin eller atorvastatin, brukes for å redusere kolesterolnivået</w:t>
      </w:r>
    </w:p>
    <w:p w14:paraId="0C4C767B" w14:textId="77777777" w:rsidR="004A425F" w:rsidRPr="00A942F6" w:rsidRDefault="004A425F" w:rsidP="00641834">
      <w:pPr>
        <w:pStyle w:val="Bullet1cm"/>
        <w:rPr>
          <w:lang w:val="nb-NO"/>
        </w:rPr>
      </w:pPr>
      <w:r w:rsidRPr="00A942F6">
        <w:rPr>
          <w:lang w:val="nb-NO"/>
        </w:rPr>
        <w:t>kalsiumkanalblokkere (f.eks. amlodipin), brukes ved behandling av høyt blodtrykk</w:t>
      </w:r>
    </w:p>
    <w:p w14:paraId="6C6A124A" w14:textId="77777777" w:rsidR="004A425F" w:rsidRPr="00A942F6" w:rsidRDefault="004A425F" w:rsidP="00641834">
      <w:pPr>
        <w:pStyle w:val="Bullet1cm"/>
        <w:rPr>
          <w:lang w:val="nb-NO"/>
        </w:rPr>
      </w:pPr>
      <w:r w:rsidRPr="00A942F6">
        <w:rPr>
          <w:lang w:val="nb-NO"/>
        </w:rPr>
        <w:t>teofyllin, brukes ved behandling av astma</w:t>
      </w:r>
    </w:p>
    <w:p w14:paraId="3C4C9745" w14:textId="77777777" w:rsidR="004A425F" w:rsidRPr="00A942F6" w:rsidRDefault="004A425F" w:rsidP="00641834">
      <w:pPr>
        <w:pStyle w:val="Bullet1cm"/>
        <w:rPr>
          <w:lang w:val="nb-NO"/>
        </w:rPr>
      </w:pPr>
      <w:r w:rsidRPr="00A942F6">
        <w:rPr>
          <w:lang w:val="nb-NO"/>
        </w:rPr>
        <w:t>warfarin eller fenprokumon, brukes som blodfortynnende midler</w:t>
      </w:r>
    </w:p>
    <w:p w14:paraId="61540B9B" w14:textId="77777777" w:rsidR="004A425F" w:rsidRPr="00A942F6" w:rsidRDefault="004A425F" w:rsidP="00641834">
      <w:pPr>
        <w:pStyle w:val="Bullet1cm"/>
        <w:rPr>
          <w:lang w:val="nb-NO"/>
        </w:rPr>
      </w:pPr>
      <w:r w:rsidRPr="00A942F6">
        <w:rPr>
          <w:lang w:val="nb-NO"/>
        </w:rPr>
        <w:t>fenytoin, brukes ved behandling av krampeanfall</w:t>
      </w:r>
    </w:p>
    <w:p w14:paraId="704E1578" w14:textId="77777777" w:rsidR="004A425F" w:rsidRPr="00A942F6" w:rsidRDefault="004A425F" w:rsidP="00641834">
      <w:pPr>
        <w:pStyle w:val="Bullet1cm"/>
        <w:rPr>
          <w:lang w:val="nb-NO"/>
        </w:rPr>
      </w:pPr>
      <w:r w:rsidRPr="00A942F6">
        <w:rPr>
          <w:lang w:val="nb-NO"/>
        </w:rPr>
        <w:t>ciklosporin, brukes for å undertrykke immunsystemet ved organtransplantasjoner</w:t>
      </w:r>
    </w:p>
    <w:p w14:paraId="7E9A8677" w14:textId="77777777" w:rsidR="004A425F" w:rsidRPr="00A942F6" w:rsidRDefault="004A425F" w:rsidP="00641834">
      <w:pPr>
        <w:pStyle w:val="Bullet1cm"/>
        <w:rPr>
          <w:lang w:val="nb-NO"/>
        </w:rPr>
      </w:pPr>
      <w:r w:rsidRPr="00A942F6">
        <w:rPr>
          <w:lang w:val="nb-NO"/>
        </w:rPr>
        <w:t>benzodiazepiner (f.eks. temazepam), brukes for å lindre angst</w:t>
      </w:r>
    </w:p>
    <w:p w14:paraId="09257666" w14:textId="77777777" w:rsidR="006D41EF" w:rsidRPr="00A942F6" w:rsidRDefault="006D41EF" w:rsidP="00641834">
      <w:pPr>
        <w:rPr>
          <w:lang w:val="nb-NO"/>
        </w:rPr>
      </w:pPr>
    </w:p>
    <w:p w14:paraId="7D3BE192" w14:textId="34958505" w:rsidR="004A425F" w:rsidRPr="00A942F6" w:rsidRDefault="004A425F" w:rsidP="00641834">
      <w:pPr>
        <w:rPr>
          <w:lang w:val="nb-NO"/>
        </w:rPr>
      </w:pPr>
      <w:r w:rsidRPr="00A942F6">
        <w:rPr>
          <w:lang w:val="nb-NO"/>
        </w:rPr>
        <w:t xml:space="preserve">På grunn av mangel på klinisk erfaring, anbefales det ikke å bruke </w:t>
      </w:r>
      <w:r w:rsidR="00AC01D0" w:rsidRPr="00A942F6">
        <w:rPr>
          <w:lang w:val="nb-NO" w:eastAsia="ko-KR"/>
        </w:rPr>
        <w:t>tocilizumab</w:t>
      </w:r>
      <w:r w:rsidRPr="00A942F6">
        <w:rPr>
          <w:lang w:val="nb-NO"/>
        </w:rPr>
        <w:t xml:space="preserve"> sammen med andre biologiske legemidler til behandling av RA, sJIA, pJIA eller GCA.</w:t>
      </w:r>
    </w:p>
    <w:p w14:paraId="7D4998EB" w14:textId="77777777" w:rsidR="004A425F" w:rsidRPr="00A942F6" w:rsidRDefault="004A425F" w:rsidP="00641834">
      <w:pPr>
        <w:rPr>
          <w:lang w:val="nb-NO"/>
        </w:rPr>
      </w:pPr>
    </w:p>
    <w:p w14:paraId="0B7C6B62" w14:textId="77777777" w:rsidR="004A425F" w:rsidRPr="00A942F6" w:rsidRDefault="004A425F" w:rsidP="00641834">
      <w:pPr>
        <w:pStyle w:val="bold"/>
        <w:rPr>
          <w:lang w:val="nb-NO"/>
        </w:rPr>
      </w:pPr>
      <w:r w:rsidRPr="00A942F6">
        <w:rPr>
          <w:lang w:val="nb-NO"/>
        </w:rPr>
        <w:t>Graviditet, amming og fertilitet</w:t>
      </w:r>
    </w:p>
    <w:p w14:paraId="3F303364" w14:textId="77777777" w:rsidR="006D41EF" w:rsidRPr="00A942F6" w:rsidRDefault="006D41EF" w:rsidP="00641834">
      <w:pPr>
        <w:rPr>
          <w:lang w:val="nb-NO"/>
        </w:rPr>
      </w:pPr>
    </w:p>
    <w:p w14:paraId="37306449" w14:textId="671CED93" w:rsidR="004A425F" w:rsidRPr="00A942F6" w:rsidRDefault="00923E68" w:rsidP="00641834">
      <w:pPr>
        <w:rPr>
          <w:lang w:val="nb-NO"/>
        </w:rPr>
      </w:pPr>
      <w:r w:rsidRPr="00A942F6">
        <w:rPr>
          <w:b/>
          <w:bCs/>
          <w:lang w:val="nb-NO"/>
        </w:rPr>
        <w:t>Avtozma</w:t>
      </w:r>
      <w:r w:rsidR="004A425F" w:rsidRPr="00A942F6">
        <w:rPr>
          <w:b/>
          <w:bCs/>
          <w:lang w:val="nb-NO"/>
        </w:rPr>
        <w:t xml:space="preserve"> skal ikke brukes under graviditet,</w:t>
      </w:r>
      <w:r w:rsidR="004A425F" w:rsidRPr="00A942F6">
        <w:rPr>
          <w:lang w:val="nb-NO"/>
        </w:rPr>
        <w:t xml:space="preserve"> hvis ikke strengt nødvendig. Snakk med lege før du tar dette legemidlet dersom du er gravid, tror at du kan være gravid eller planlegger å bli gravid.</w:t>
      </w:r>
    </w:p>
    <w:p w14:paraId="56842002" w14:textId="77777777" w:rsidR="004A425F" w:rsidRPr="00A942F6" w:rsidRDefault="004A425F" w:rsidP="00641834">
      <w:pPr>
        <w:rPr>
          <w:lang w:val="nb-NO"/>
        </w:rPr>
      </w:pPr>
    </w:p>
    <w:p w14:paraId="25CCBE40" w14:textId="77777777" w:rsidR="004A425F" w:rsidRPr="00A942F6" w:rsidRDefault="004A425F" w:rsidP="00641834">
      <w:pPr>
        <w:rPr>
          <w:lang w:val="nb-NO"/>
        </w:rPr>
      </w:pPr>
      <w:r w:rsidRPr="00A942F6">
        <w:rPr>
          <w:b/>
          <w:bCs/>
          <w:lang w:val="nb-NO"/>
        </w:rPr>
        <w:t>Fruktbare kvinner (fertile kvinner)</w:t>
      </w:r>
      <w:r w:rsidRPr="00A942F6">
        <w:rPr>
          <w:lang w:val="nb-NO"/>
        </w:rPr>
        <w:t xml:space="preserve"> må bruke sikker prevensjon under og opptil 3 måneder etter behandlingen.</w:t>
      </w:r>
    </w:p>
    <w:p w14:paraId="3AAB68B4" w14:textId="77777777" w:rsidR="004A425F" w:rsidRPr="00A942F6" w:rsidRDefault="004A425F" w:rsidP="00641834">
      <w:pPr>
        <w:rPr>
          <w:lang w:val="nb-NO"/>
        </w:rPr>
      </w:pPr>
    </w:p>
    <w:p w14:paraId="5CDC97DB" w14:textId="3A2948CA" w:rsidR="004A425F" w:rsidRPr="00A942F6" w:rsidRDefault="004A425F" w:rsidP="00641834">
      <w:pPr>
        <w:rPr>
          <w:lang w:val="nb-NO"/>
        </w:rPr>
      </w:pPr>
      <w:r w:rsidRPr="00A942F6">
        <w:rPr>
          <w:b/>
          <w:bCs/>
          <w:lang w:val="nb-NO"/>
        </w:rPr>
        <w:t xml:space="preserve">Avbryt ammingen hvis du skal få </w:t>
      </w:r>
      <w:r w:rsidR="00923E68" w:rsidRPr="00A942F6">
        <w:rPr>
          <w:b/>
          <w:bCs/>
          <w:lang w:val="nb-NO"/>
        </w:rPr>
        <w:t>Avtozma</w:t>
      </w:r>
      <w:r w:rsidRPr="00A942F6">
        <w:rPr>
          <w:lang w:val="nb-NO"/>
        </w:rPr>
        <w:t xml:space="preserve"> og snakk med lege. Før du starter å amme bør du ha fått siste dose av </w:t>
      </w:r>
      <w:r w:rsidR="00923E68" w:rsidRPr="00A942F6">
        <w:rPr>
          <w:lang w:val="nb-NO"/>
        </w:rPr>
        <w:t>Avtozma</w:t>
      </w:r>
      <w:r w:rsidRPr="00A942F6">
        <w:rPr>
          <w:lang w:val="nb-NO"/>
        </w:rPr>
        <w:t xml:space="preserve"> for minst 3 måneder siden. Det er ukjent om </w:t>
      </w:r>
      <w:r w:rsidR="00923E68" w:rsidRPr="00A942F6">
        <w:rPr>
          <w:lang w:val="nb-NO"/>
        </w:rPr>
        <w:t>Avtozma</w:t>
      </w:r>
      <w:r w:rsidRPr="00A942F6">
        <w:rPr>
          <w:lang w:val="nb-NO"/>
        </w:rPr>
        <w:t xml:space="preserve"> skilles ut i morsmelk.</w:t>
      </w:r>
    </w:p>
    <w:p w14:paraId="15BA9DEE" w14:textId="77777777" w:rsidR="004A425F" w:rsidRPr="00A942F6" w:rsidRDefault="004A425F" w:rsidP="00641834">
      <w:pPr>
        <w:rPr>
          <w:lang w:val="nb-NO"/>
        </w:rPr>
      </w:pPr>
    </w:p>
    <w:p w14:paraId="3349601F" w14:textId="77777777" w:rsidR="004A425F" w:rsidRPr="00A942F6" w:rsidRDefault="004A425F" w:rsidP="003F072B">
      <w:pPr>
        <w:keepNext/>
        <w:rPr>
          <w:b/>
          <w:bCs/>
          <w:lang w:val="nb-NO"/>
        </w:rPr>
      </w:pPr>
      <w:r w:rsidRPr="00A942F6">
        <w:rPr>
          <w:b/>
          <w:bCs/>
          <w:lang w:val="nb-NO"/>
        </w:rPr>
        <w:lastRenderedPageBreak/>
        <w:t>Kjøring og bruk av maskiner</w:t>
      </w:r>
    </w:p>
    <w:p w14:paraId="20F942A1" w14:textId="77777777" w:rsidR="004A425F" w:rsidRPr="00A942F6" w:rsidRDefault="004A425F" w:rsidP="00641834">
      <w:pPr>
        <w:rPr>
          <w:lang w:val="nb-NO"/>
        </w:rPr>
      </w:pPr>
      <w:r w:rsidRPr="00A942F6">
        <w:rPr>
          <w:lang w:val="nb-NO"/>
        </w:rPr>
        <w:t>Dette legemidlet kan forårsake svimmelhet. Hvis du opplever å bli svimmel, skal du ikke kjøre bil eller bruke maskiner.</w:t>
      </w:r>
    </w:p>
    <w:p w14:paraId="157DEB44" w14:textId="77777777" w:rsidR="004A425F" w:rsidRPr="00A942F6" w:rsidRDefault="004A425F" w:rsidP="00641834">
      <w:pPr>
        <w:rPr>
          <w:lang w:val="nb-NO"/>
        </w:rPr>
      </w:pPr>
    </w:p>
    <w:p w14:paraId="1AB73BD7" w14:textId="77777777" w:rsidR="00AC01D0" w:rsidRPr="00A942F6" w:rsidRDefault="00AC01D0" w:rsidP="00641834">
      <w:pPr>
        <w:rPr>
          <w:b/>
          <w:bCs/>
          <w:lang w:val="nb-NO"/>
        </w:rPr>
      </w:pPr>
      <w:r w:rsidRPr="00A942F6">
        <w:rPr>
          <w:b/>
          <w:bCs/>
          <w:lang w:val="nb-NO"/>
        </w:rPr>
        <w:t>Avtozma inneholder polysorbat</w:t>
      </w:r>
    </w:p>
    <w:p w14:paraId="027F5A10" w14:textId="77777777" w:rsidR="00AC01D0" w:rsidRPr="00A942F6" w:rsidRDefault="00AC01D0" w:rsidP="00641834">
      <w:pPr>
        <w:rPr>
          <w:lang w:val="nb-NO"/>
        </w:rPr>
      </w:pPr>
      <w:r w:rsidRPr="00A942F6">
        <w:rPr>
          <w:lang w:val="nb-NO"/>
        </w:rPr>
        <w:t xml:space="preserve">Dette legemidlet inneholder 0,2 mg polysorbat 80 </w:t>
      </w:r>
      <w:r w:rsidR="00B9487C" w:rsidRPr="00A942F6">
        <w:rPr>
          <w:lang w:val="nb-NO"/>
        </w:rPr>
        <w:t>i hv</w:t>
      </w:r>
      <w:r w:rsidRPr="00A942F6">
        <w:rPr>
          <w:lang w:val="nb-NO"/>
        </w:rPr>
        <w:t xml:space="preserve">er ferdigfylte sprøyte. Polysorbater kan forårsake allergiske reaksjoner. </w:t>
      </w:r>
      <w:r w:rsidR="00B9487C" w:rsidRPr="00A942F6">
        <w:rPr>
          <w:lang w:val="nb-NO"/>
        </w:rPr>
        <w:t>Snakk med</w:t>
      </w:r>
      <w:r w:rsidRPr="00A942F6">
        <w:rPr>
          <w:lang w:val="nb-NO"/>
        </w:rPr>
        <w:t xml:space="preserve"> legen din </w:t>
      </w:r>
      <w:r w:rsidR="00F059AC" w:rsidRPr="00A942F6">
        <w:rPr>
          <w:lang w:val="nb-NO"/>
        </w:rPr>
        <w:t>h</w:t>
      </w:r>
      <w:r w:rsidR="00B9487C" w:rsidRPr="00A942F6">
        <w:rPr>
          <w:lang w:val="nb-NO"/>
        </w:rPr>
        <w:t>v</w:t>
      </w:r>
      <w:r w:rsidR="00F059AC" w:rsidRPr="00A942F6">
        <w:rPr>
          <w:lang w:val="nb-NO"/>
        </w:rPr>
        <w:t>i</w:t>
      </w:r>
      <w:r w:rsidR="00B9487C" w:rsidRPr="00A942F6">
        <w:rPr>
          <w:lang w:val="nb-NO"/>
        </w:rPr>
        <w:t xml:space="preserve">s </w:t>
      </w:r>
      <w:r w:rsidRPr="00A942F6">
        <w:rPr>
          <w:lang w:val="nb-NO"/>
        </w:rPr>
        <w:t>du har kjente allergier.</w:t>
      </w:r>
    </w:p>
    <w:p w14:paraId="6AAEB8B4" w14:textId="77777777" w:rsidR="00AC01D0" w:rsidRPr="00A942F6" w:rsidRDefault="00AC01D0" w:rsidP="00641834">
      <w:pPr>
        <w:rPr>
          <w:lang w:val="nb-NO"/>
        </w:rPr>
      </w:pPr>
    </w:p>
    <w:p w14:paraId="4BF0C7A1" w14:textId="77777777" w:rsidR="004A425F" w:rsidRPr="00A942F6" w:rsidRDefault="004A425F" w:rsidP="00641834">
      <w:pPr>
        <w:rPr>
          <w:lang w:val="nb-NO"/>
        </w:rPr>
      </w:pPr>
    </w:p>
    <w:p w14:paraId="6F274E17" w14:textId="5CDA493E" w:rsidR="004A425F" w:rsidRPr="00A942F6" w:rsidRDefault="004A425F" w:rsidP="00641834">
      <w:pPr>
        <w:pStyle w:val="H2"/>
        <w:rPr>
          <w:lang w:val="nb-NO"/>
        </w:rPr>
      </w:pPr>
      <w:r w:rsidRPr="00A942F6">
        <w:rPr>
          <w:lang w:val="nb-NO"/>
        </w:rPr>
        <w:t>3.</w:t>
      </w:r>
      <w:r w:rsidRPr="00A942F6">
        <w:rPr>
          <w:lang w:val="nb-NO"/>
        </w:rPr>
        <w:tab/>
        <w:t xml:space="preserve">Hvordan du bruker </w:t>
      </w:r>
      <w:r w:rsidR="00923E68" w:rsidRPr="00A942F6">
        <w:rPr>
          <w:lang w:val="nb-NO"/>
        </w:rPr>
        <w:t>Avtozma</w:t>
      </w:r>
    </w:p>
    <w:p w14:paraId="51EBCA0E" w14:textId="77777777" w:rsidR="006D41EF" w:rsidRPr="00A942F6" w:rsidRDefault="006D41EF" w:rsidP="00641834">
      <w:pPr>
        <w:rPr>
          <w:lang w:val="nb-NO"/>
        </w:rPr>
      </w:pPr>
    </w:p>
    <w:p w14:paraId="5DB3651C" w14:textId="77777777" w:rsidR="004A425F" w:rsidRPr="00A942F6" w:rsidRDefault="004A425F" w:rsidP="00641834">
      <w:pPr>
        <w:rPr>
          <w:lang w:val="nb-NO"/>
        </w:rPr>
      </w:pPr>
      <w:r w:rsidRPr="00A942F6">
        <w:rPr>
          <w:lang w:val="nb-NO"/>
        </w:rPr>
        <w:t>Bruk alltid dette legemidlet nøyaktig slik lege, apotek eller sykepleier har fortalt deg. Kontakt lege, apotek eller sykepleier hvis du er usikker.</w:t>
      </w:r>
    </w:p>
    <w:p w14:paraId="463ABDD6" w14:textId="77777777" w:rsidR="006D41EF" w:rsidRPr="00A942F6" w:rsidRDefault="006D41EF" w:rsidP="00641834">
      <w:pPr>
        <w:rPr>
          <w:lang w:val="nb-NO"/>
        </w:rPr>
      </w:pPr>
    </w:p>
    <w:p w14:paraId="56918C57" w14:textId="77777777" w:rsidR="004A425F" w:rsidRPr="00A942F6" w:rsidRDefault="004A425F" w:rsidP="00641834">
      <w:pPr>
        <w:rPr>
          <w:lang w:val="nb-NO"/>
        </w:rPr>
      </w:pPr>
      <w:r w:rsidRPr="00A942F6">
        <w:rPr>
          <w:lang w:val="nb-NO"/>
        </w:rPr>
        <w:t>Behandlingen blir forskrevet og startet opp av lege med erfaring i diagnostikk og behandling av RA, sJIA, pJIA eller GCA.</w:t>
      </w:r>
    </w:p>
    <w:p w14:paraId="28C1B807" w14:textId="77777777" w:rsidR="004A425F" w:rsidRPr="00A942F6" w:rsidRDefault="004A425F" w:rsidP="00641834">
      <w:pPr>
        <w:rPr>
          <w:lang w:val="nb-NO"/>
        </w:rPr>
      </w:pPr>
    </w:p>
    <w:p w14:paraId="2ABDB6E4" w14:textId="77777777" w:rsidR="004A425F" w:rsidRPr="00A942F6" w:rsidRDefault="004A425F" w:rsidP="00641834">
      <w:pPr>
        <w:rPr>
          <w:b/>
          <w:bCs/>
          <w:lang w:val="nb-NO"/>
        </w:rPr>
      </w:pPr>
      <w:r w:rsidRPr="00A942F6">
        <w:rPr>
          <w:b/>
          <w:bCs/>
          <w:lang w:val="nb-NO"/>
        </w:rPr>
        <w:t>Den anbefalte dosen</w:t>
      </w:r>
    </w:p>
    <w:p w14:paraId="4B1E1435" w14:textId="77777777" w:rsidR="004A425F" w:rsidRPr="00A942F6" w:rsidRDefault="004A425F" w:rsidP="00641834">
      <w:pPr>
        <w:rPr>
          <w:lang w:val="nb-NO"/>
        </w:rPr>
      </w:pPr>
      <w:r w:rsidRPr="00A942F6">
        <w:rPr>
          <w:lang w:val="nb-NO"/>
        </w:rPr>
        <w:t>Dosering for voksne med RA eller GCA er 162 mg (innholdet av 1 ferdigfylt sprøyte) gitt én gang i uken.</w:t>
      </w:r>
    </w:p>
    <w:p w14:paraId="5BFA04C0" w14:textId="77777777" w:rsidR="004A425F" w:rsidRPr="00A942F6" w:rsidRDefault="004A425F" w:rsidP="00641834">
      <w:pPr>
        <w:rPr>
          <w:lang w:val="nb-NO"/>
        </w:rPr>
      </w:pPr>
    </w:p>
    <w:p w14:paraId="21952F3D" w14:textId="77777777" w:rsidR="004A425F" w:rsidRPr="00A942F6" w:rsidRDefault="004A425F" w:rsidP="00641834">
      <w:pPr>
        <w:rPr>
          <w:b/>
          <w:bCs/>
          <w:lang w:val="nb-NO"/>
        </w:rPr>
      </w:pPr>
      <w:r w:rsidRPr="00A942F6">
        <w:rPr>
          <w:b/>
          <w:bCs/>
          <w:lang w:val="nb-NO"/>
        </w:rPr>
        <w:t>Barn og ungdom med sJIA (i alderen 1 år og oppover)</w:t>
      </w:r>
    </w:p>
    <w:p w14:paraId="734209CE" w14:textId="3D38C3E3" w:rsidR="004A425F" w:rsidRPr="00A942F6" w:rsidRDefault="004A425F" w:rsidP="00641834">
      <w:pPr>
        <w:rPr>
          <w:b/>
          <w:bCs/>
          <w:lang w:val="nb-NO"/>
        </w:rPr>
      </w:pPr>
      <w:r w:rsidRPr="00A942F6">
        <w:rPr>
          <w:b/>
          <w:bCs/>
          <w:lang w:val="nb-NO"/>
        </w:rPr>
        <w:t xml:space="preserve">Den vanlige dosen med </w:t>
      </w:r>
      <w:r w:rsidR="00923E68" w:rsidRPr="00A942F6">
        <w:rPr>
          <w:b/>
          <w:bCs/>
          <w:lang w:val="nb-NO"/>
        </w:rPr>
        <w:t>Avtozma</w:t>
      </w:r>
      <w:r w:rsidRPr="00A942F6">
        <w:rPr>
          <w:b/>
          <w:bCs/>
          <w:lang w:val="nb-NO"/>
        </w:rPr>
        <w:t xml:space="preserve"> avhenger av pasientens vekt.</w:t>
      </w:r>
    </w:p>
    <w:p w14:paraId="477F0B16" w14:textId="77777777" w:rsidR="004A425F" w:rsidRPr="00A942F6" w:rsidRDefault="004A425F" w:rsidP="00641834">
      <w:pPr>
        <w:pStyle w:val="Bullet1cm"/>
        <w:rPr>
          <w:lang w:val="nb-NO"/>
        </w:rPr>
      </w:pPr>
      <w:r w:rsidRPr="00A942F6">
        <w:rPr>
          <w:lang w:val="nb-NO"/>
        </w:rPr>
        <w:t xml:space="preserve">Hvis pasienten veier </w:t>
      </w:r>
      <w:r w:rsidRPr="00A942F6">
        <w:rPr>
          <w:b/>
          <w:bCs/>
          <w:lang w:val="nb-NO"/>
        </w:rPr>
        <w:t>mindre enn 30 kg</w:t>
      </w:r>
      <w:r w:rsidRPr="00A942F6">
        <w:rPr>
          <w:lang w:val="nb-NO"/>
        </w:rPr>
        <w:t>: dosen er 162 mg (innholdet i 1 ferdigfylt sprøyte) én gang annenhver uke</w:t>
      </w:r>
    </w:p>
    <w:p w14:paraId="6FD93084" w14:textId="77777777" w:rsidR="004A425F" w:rsidRPr="00A942F6" w:rsidRDefault="004A425F" w:rsidP="00641834">
      <w:pPr>
        <w:pStyle w:val="Bullet1cm"/>
        <w:rPr>
          <w:lang w:val="nb-NO"/>
        </w:rPr>
      </w:pPr>
      <w:r w:rsidRPr="00A942F6">
        <w:rPr>
          <w:lang w:val="nb-NO"/>
        </w:rPr>
        <w:t xml:space="preserve">Hvis pasienten veier </w:t>
      </w:r>
      <w:r w:rsidRPr="00A942F6">
        <w:rPr>
          <w:b/>
          <w:bCs/>
          <w:lang w:val="nb-NO"/>
        </w:rPr>
        <w:t>30 kg eller mer</w:t>
      </w:r>
      <w:r w:rsidRPr="00A942F6">
        <w:rPr>
          <w:lang w:val="nb-NO"/>
        </w:rPr>
        <w:t>: dosen er 162 mg (innholdet i 1 ferdigfylt sprøyte) én gang hver uke</w:t>
      </w:r>
    </w:p>
    <w:p w14:paraId="7A273CDF" w14:textId="77777777" w:rsidR="004A425F" w:rsidRPr="00A942F6" w:rsidRDefault="004A425F" w:rsidP="00641834">
      <w:pPr>
        <w:rPr>
          <w:lang w:val="nb-NO"/>
        </w:rPr>
      </w:pPr>
    </w:p>
    <w:p w14:paraId="4E574034" w14:textId="77777777" w:rsidR="004A425F" w:rsidRPr="00A942F6" w:rsidRDefault="004A425F" w:rsidP="00641834">
      <w:pPr>
        <w:pStyle w:val="bold"/>
        <w:rPr>
          <w:lang w:val="nb-NO"/>
        </w:rPr>
      </w:pPr>
      <w:r w:rsidRPr="00A942F6">
        <w:rPr>
          <w:lang w:val="nb-NO"/>
        </w:rPr>
        <w:t>Barn og ungdom med pJIA (i alderen 2 år og oppover)</w:t>
      </w:r>
    </w:p>
    <w:p w14:paraId="0446FB36" w14:textId="45BFB8AD" w:rsidR="004A425F" w:rsidRPr="00A942F6" w:rsidRDefault="004A425F" w:rsidP="00641834">
      <w:pPr>
        <w:pStyle w:val="bold"/>
        <w:rPr>
          <w:lang w:val="nb-NO"/>
        </w:rPr>
      </w:pPr>
      <w:r w:rsidRPr="00A942F6">
        <w:rPr>
          <w:lang w:val="nb-NO"/>
        </w:rPr>
        <w:t xml:space="preserve">Den vanlige dosen med </w:t>
      </w:r>
      <w:r w:rsidR="00923E68" w:rsidRPr="00A942F6">
        <w:rPr>
          <w:lang w:val="nb-NO"/>
        </w:rPr>
        <w:t>Avtozma</w:t>
      </w:r>
      <w:r w:rsidRPr="00A942F6">
        <w:rPr>
          <w:lang w:val="nb-NO"/>
        </w:rPr>
        <w:t xml:space="preserve"> avhenger av pasientens vekt.</w:t>
      </w:r>
    </w:p>
    <w:p w14:paraId="322004CF" w14:textId="77777777" w:rsidR="004A425F" w:rsidRPr="00A942F6" w:rsidRDefault="004A425F" w:rsidP="00641834">
      <w:pPr>
        <w:pStyle w:val="Bullet1cm"/>
        <w:rPr>
          <w:b/>
          <w:bCs/>
          <w:lang w:val="nb-NO"/>
        </w:rPr>
      </w:pPr>
      <w:r w:rsidRPr="00A942F6">
        <w:rPr>
          <w:lang w:val="nb-NO"/>
        </w:rPr>
        <w:t xml:space="preserve">Hvis pasienten veier </w:t>
      </w:r>
      <w:r w:rsidRPr="00A942F6">
        <w:rPr>
          <w:b/>
          <w:bCs/>
          <w:lang w:val="nb-NO"/>
        </w:rPr>
        <w:t>mindre enn 30 kg</w:t>
      </w:r>
      <w:r w:rsidRPr="00A942F6">
        <w:rPr>
          <w:lang w:val="nb-NO"/>
        </w:rPr>
        <w:t xml:space="preserve">: dosen er 162 mg (innholdet i 1 ferdigfylt sprøyte) </w:t>
      </w:r>
      <w:r w:rsidRPr="00A942F6">
        <w:rPr>
          <w:b/>
          <w:bCs/>
          <w:lang w:val="nb-NO"/>
        </w:rPr>
        <w:t>én gang hver tredje uke</w:t>
      </w:r>
    </w:p>
    <w:p w14:paraId="116549E6" w14:textId="77777777" w:rsidR="004A425F" w:rsidRPr="00A942F6" w:rsidRDefault="004A425F" w:rsidP="00641834">
      <w:pPr>
        <w:pStyle w:val="Bullet1cm"/>
        <w:rPr>
          <w:b/>
          <w:bCs/>
          <w:lang w:val="nb-NO"/>
        </w:rPr>
      </w:pPr>
      <w:r w:rsidRPr="00A942F6">
        <w:rPr>
          <w:lang w:val="nb-NO"/>
        </w:rPr>
        <w:t>Hvis pasienten veier</w:t>
      </w:r>
      <w:r w:rsidRPr="00A942F6">
        <w:rPr>
          <w:b/>
          <w:bCs/>
          <w:lang w:val="nb-NO"/>
        </w:rPr>
        <w:t xml:space="preserve"> 30 kg eller mer</w:t>
      </w:r>
      <w:r w:rsidRPr="00A942F6">
        <w:rPr>
          <w:lang w:val="nb-NO"/>
        </w:rPr>
        <w:t xml:space="preserve">: dosen er 162 mg (innholdet i 1 ferdigfylt sprøyte) </w:t>
      </w:r>
      <w:r w:rsidRPr="00A942F6">
        <w:rPr>
          <w:b/>
          <w:bCs/>
          <w:lang w:val="nb-NO"/>
        </w:rPr>
        <w:t>én gang annenhver uke.</w:t>
      </w:r>
    </w:p>
    <w:p w14:paraId="75D0C814" w14:textId="77777777" w:rsidR="006D41EF" w:rsidRPr="00A942F6" w:rsidRDefault="006D41EF" w:rsidP="00641834">
      <w:pPr>
        <w:rPr>
          <w:lang w:val="nb-NO"/>
        </w:rPr>
      </w:pPr>
    </w:p>
    <w:p w14:paraId="6598AB10" w14:textId="7BF9D901" w:rsidR="004A425F" w:rsidRPr="00A942F6" w:rsidRDefault="00923E68" w:rsidP="00641834">
      <w:pPr>
        <w:rPr>
          <w:lang w:val="nb-NO"/>
        </w:rPr>
      </w:pPr>
      <w:r w:rsidRPr="00A942F6">
        <w:rPr>
          <w:lang w:val="nb-NO"/>
        </w:rPr>
        <w:t>Avtozma</w:t>
      </w:r>
      <w:r w:rsidR="004A425F" w:rsidRPr="00A942F6">
        <w:rPr>
          <w:lang w:val="nb-NO"/>
        </w:rPr>
        <w:t xml:space="preserve"> blir gitt som en injeksjon under huden (subkutant). Ved oppstart kan lege eller sykepleier injisere </w:t>
      </w:r>
      <w:r w:rsidRPr="00A942F6">
        <w:rPr>
          <w:lang w:val="nb-NO"/>
        </w:rPr>
        <w:t>Avtozma</w:t>
      </w:r>
      <w:r w:rsidR="004A425F" w:rsidRPr="00A942F6">
        <w:rPr>
          <w:lang w:val="nb-NO"/>
        </w:rPr>
        <w:t xml:space="preserve">. Legen din kan imidlertid bestemme at du kan injisere </w:t>
      </w:r>
      <w:r w:rsidRPr="00A942F6">
        <w:rPr>
          <w:lang w:val="nb-NO"/>
        </w:rPr>
        <w:t>Avtozma</w:t>
      </w:r>
      <w:r w:rsidR="004A425F" w:rsidRPr="00A942F6">
        <w:rPr>
          <w:lang w:val="nb-NO"/>
        </w:rPr>
        <w:t xml:space="preserve"> selv. I så fall vil du få opplæring i hvordan du injiserer </w:t>
      </w:r>
      <w:r w:rsidRPr="00A942F6">
        <w:rPr>
          <w:lang w:val="nb-NO"/>
        </w:rPr>
        <w:t>Avtozma</w:t>
      </w:r>
      <w:r w:rsidR="004A425F" w:rsidRPr="00A942F6">
        <w:rPr>
          <w:lang w:val="nb-NO"/>
        </w:rPr>
        <w:t xml:space="preserve"> selv. Foreldre og omsorgspersoner vil få opplæring i hvordan man injiserer </w:t>
      </w:r>
      <w:r w:rsidRPr="00A942F6">
        <w:rPr>
          <w:lang w:val="nb-NO"/>
        </w:rPr>
        <w:t>Avtozma</w:t>
      </w:r>
      <w:r w:rsidR="004A425F" w:rsidRPr="00A942F6">
        <w:rPr>
          <w:lang w:val="nb-NO"/>
        </w:rPr>
        <w:t xml:space="preserve"> for pasienter som ikke kan injisere selv, slik som barn.</w:t>
      </w:r>
    </w:p>
    <w:p w14:paraId="2CE77222" w14:textId="77777777" w:rsidR="006D41EF" w:rsidRPr="00A942F6" w:rsidRDefault="006D41EF" w:rsidP="00641834">
      <w:pPr>
        <w:rPr>
          <w:lang w:val="nb-NO"/>
        </w:rPr>
      </w:pPr>
    </w:p>
    <w:p w14:paraId="46125CB7" w14:textId="77777777" w:rsidR="004A425F" w:rsidRPr="00A942F6" w:rsidRDefault="004A425F" w:rsidP="00641834">
      <w:pPr>
        <w:rPr>
          <w:lang w:val="nb-NO"/>
        </w:rPr>
      </w:pPr>
      <w:r w:rsidRPr="00A942F6">
        <w:rPr>
          <w:lang w:val="nb-NO"/>
        </w:rPr>
        <w:t>Snakk med legen din dersom du har noen spørsmål om å injisere deg selv eller en pasient (barn) du passer på. Du finner en detaljert "Bruksanvisning for administrering" på slutten av dette pakningsvedlegget.</w:t>
      </w:r>
    </w:p>
    <w:p w14:paraId="497BB491" w14:textId="77777777" w:rsidR="004A425F" w:rsidRPr="00A942F6" w:rsidRDefault="004A425F" w:rsidP="00641834">
      <w:pPr>
        <w:rPr>
          <w:lang w:val="nb-NO"/>
        </w:rPr>
      </w:pPr>
    </w:p>
    <w:p w14:paraId="29CB0195" w14:textId="3B06E3E4" w:rsidR="004A425F" w:rsidRPr="00A942F6" w:rsidRDefault="004A425F" w:rsidP="00641834">
      <w:pPr>
        <w:pStyle w:val="bold"/>
        <w:rPr>
          <w:lang w:val="nb-NO"/>
        </w:rPr>
      </w:pPr>
      <w:r w:rsidRPr="00A942F6">
        <w:rPr>
          <w:lang w:val="nb-NO"/>
        </w:rPr>
        <w:t xml:space="preserve">Dersom du tar for mye av </w:t>
      </w:r>
      <w:r w:rsidR="00923E68" w:rsidRPr="00A942F6">
        <w:rPr>
          <w:lang w:val="nb-NO"/>
        </w:rPr>
        <w:t>Avtozma</w:t>
      </w:r>
    </w:p>
    <w:p w14:paraId="6C0881F9" w14:textId="1261644B" w:rsidR="004A425F" w:rsidRPr="00A942F6" w:rsidRDefault="004A425F" w:rsidP="00641834">
      <w:pPr>
        <w:rPr>
          <w:lang w:val="nb-NO"/>
        </w:rPr>
      </w:pPr>
      <w:r w:rsidRPr="00A942F6">
        <w:rPr>
          <w:lang w:val="nb-NO"/>
        </w:rPr>
        <w:t xml:space="preserve">Siden </w:t>
      </w:r>
      <w:r w:rsidR="00923E68" w:rsidRPr="00A942F6">
        <w:rPr>
          <w:lang w:val="nb-NO"/>
        </w:rPr>
        <w:t>Avtozma</w:t>
      </w:r>
      <w:r w:rsidRPr="00A942F6">
        <w:rPr>
          <w:lang w:val="nb-NO"/>
        </w:rPr>
        <w:t xml:space="preserve"> gis i en ferdigfylt sprøyte er det lite sannsynlig at du vil få for mye. Snakk med lege, apotek eller sykepleier dersom du likevel er bekymret.</w:t>
      </w:r>
    </w:p>
    <w:p w14:paraId="1D6F2D4A" w14:textId="77777777" w:rsidR="006D41EF" w:rsidRPr="00A942F6" w:rsidRDefault="006D41EF" w:rsidP="00641834">
      <w:pPr>
        <w:rPr>
          <w:lang w:val="nb-NO"/>
        </w:rPr>
      </w:pPr>
    </w:p>
    <w:p w14:paraId="4D291EDD" w14:textId="77777777" w:rsidR="004A425F" w:rsidRPr="00A942F6" w:rsidRDefault="004A425F" w:rsidP="00641834">
      <w:pPr>
        <w:pStyle w:val="bold"/>
        <w:rPr>
          <w:lang w:val="nb-NO"/>
        </w:rPr>
      </w:pPr>
      <w:r w:rsidRPr="00A942F6">
        <w:rPr>
          <w:lang w:val="nb-NO"/>
        </w:rPr>
        <w:t>Dersom en voksen med RA eller GCA eller et barn eller en ungdom med sJIA glemmer eller går glipp av en dose</w:t>
      </w:r>
    </w:p>
    <w:p w14:paraId="3D91D9DB" w14:textId="3D514925" w:rsidR="004A425F" w:rsidRPr="00A942F6" w:rsidRDefault="004A425F" w:rsidP="00641834">
      <w:pPr>
        <w:rPr>
          <w:lang w:val="nb-NO"/>
        </w:rPr>
      </w:pPr>
      <w:r w:rsidRPr="00A942F6">
        <w:rPr>
          <w:lang w:val="nb-NO"/>
        </w:rPr>
        <w:t xml:space="preserve">Det er veldig viktig å bruke </w:t>
      </w:r>
      <w:r w:rsidR="00923E68" w:rsidRPr="00A942F6">
        <w:rPr>
          <w:lang w:val="nb-NO"/>
        </w:rPr>
        <w:t>Avtozma</w:t>
      </w:r>
      <w:r w:rsidRPr="00A942F6">
        <w:rPr>
          <w:lang w:val="nb-NO"/>
        </w:rPr>
        <w:t xml:space="preserve"> nøyaktig som forskrevet av legen. Hold oversikt over din neste dose.</w:t>
      </w:r>
    </w:p>
    <w:p w14:paraId="1F5F6AAC" w14:textId="77777777" w:rsidR="004A425F" w:rsidRPr="00A942F6" w:rsidRDefault="004A425F" w:rsidP="00641834">
      <w:pPr>
        <w:pStyle w:val="Bullet1cm"/>
        <w:rPr>
          <w:lang w:val="nb-NO"/>
        </w:rPr>
      </w:pPr>
      <w:r w:rsidRPr="00A942F6">
        <w:rPr>
          <w:lang w:val="nb-NO"/>
        </w:rPr>
        <w:t>Dersom du glemmer å ta din ukentlige dose, men husker det innen 7 dager, ta dosen på den neste planlagte datoen.</w:t>
      </w:r>
    </w:p>
    <w:p w14:paraId="2A8C003C" w14:textId="77777777" w:rsidR="004A425F" w:rsidRPr="00A942F6" w:rsidRDefault="004A425F" w:rsidP="00641834">
      <w:pPr>
        <w:pStyle w:val="Bullet1cm"/>
        <w:rPr>
          <w:lang w:val="nb-NO"/>
        </w:rPr>
      </w:pPr>
      <w:r w:rsidRPr="00A942F6">
        <w:rPr>
          <w:lang w:val="nb-NO"/>
        </w:rPr>
        <w:t>Dersom du glemmer å ta dosen som du tar annenhver uke, men husker det innen 7 dager, injiser dosen så snart du husker det, og ta neste dose til vanlig planlagt tid.</w:t>
      </w:r>
    </w:p>
    <w:p w14:paraId="57F1B6AB" w14:textId="726FD73F" w:rsidR="004A425F" w:rsidRPr="00A942F6" w:rsidRDefault="004A425F" w:rsidP="00641834">
      <w:pPr>
        <w:pStyle w:val="Bullet1cm"/>
        <w:rPr>
          <w:lang w:val="nb-NO"/>
        </w:rPr>
      </w:pPr>
      <w:r w:rsidRPr="00A942F6">
        <w:rPr>
          <w:lang w:val="nb-NO"/>
        </w:rPr>
        <w:lastRenderedPageBreak/>
        <w:t xml:space="preserve">Dersom du glemmer dosen din i mer enn 7 dager før du husker det, eller du er usikker på når du skal injisere </w:t>
      </w:r>
      <w:r w:rsidR="00923E68" w:rsidRPr="00A942F6">
        <w:rPr>
          <w:lang w:val="nb-NO"/>
        </w:rPr>
        <w:t>Avtozma</w:t>
      </w:r>
      <w:r w:rsidRPr="00A942F6">
        <w:rPr>
          <w:lang w:val="nb-NO"/>
        </w:rPr>
        <w:t>, kontakt lege eller apotek.</w:t>
      </w:r>
    </w:p>
    <w:p w14:paraId="6EF992CA" w14:textId="77777777" w:rsidR="004A425F" w:rsidRPr="00A942F6" w:rsidRDefault="004A425F" w:rsidP="00641834">
      <w:pPr>
        <w:rPr>
          <w:lang w:val="nb-NO"/>
        </w:rPr>
      </w:pPr>
    </w:p>
    <w:p w14:paraId="778132F6" w14:textId="77777777" w:rsidR="004A425F" w:rsidRPr="00A942F6" w:rsidRDefault="004A425F" w:rsidP="00641834">
      <w:pPr>
        <w:pStyle w:val="bold"/>
        <w:rPr>
          <w:lang w:val="nb-NO"/>
        </w:rPr>
      </w:pPr>
      <w:r w:rsidRPr="00A942F6">
        <w:rPr>
          <w:lang w:val="nb-NO"/>
        </w:rPr>
        <w:t>Dersom et barn eller en ungdom med pJIA glemmer eller går glipp av en dose</w:t>
      </w:r>
    </w:p>
    <w:p w14:paraId="328CF0A5" w14:textId="47A17EAD" w:rsidR="004A425F" w:rsidRPr="00A942F6" w:rsidRDefault="004A425F" w:rsidP="00641834">
      <w:pPr>
        <w:rPr>
          <w:lang w:val="nb-NO"/>
        </w:rPr>
      </w:pPr>
      <w:r w:rsidRPr="00A942F6">
        <w:rPr>
          <w:lang w:val="nb-NO"/>
        </w:rPr>
        <w:t xml:space="preserve">Det er veldig viktig å bruke </w:t>
      </w:r>
      <w:r w:rsidR="00923E68" w:rsidRPr="00A942F6">
        <w:rPr>
          <w:lang w:val="nb-NO"/>
        </w:rPr>
        <w:t>Avtozma</w:t>
      </w:r>
      <w:r w:rsidRPr="00A942F6">
        <w:rPr>
          <w:lang w:val="nb-NO"/>
        </w:rPr>
        <w:t xml:space="preserve"> nøyaktig som forskrevet av legen. Hold oversikt over din neste dose.</w:t>
      </w:r>
    </w:p>
    <w:p w14:paraId="63F8A55C" w14:textId="77777777" w:rsidR="004A425F" w:rsidRPr="00A942F6" w:rsidRDefault="004A425F" w:rsidP="00641834">
      <w:pPr>
        <w:pStyle w:val="Bullet1cm"/>
        <w:rPr>
          <w:lang w:val="nb-NO"/>
        </w:rPr>
      </w:pPr>
      <w:r w:rsidRPr="00A942F6">
        <w:rPr>
          <w:lang w:val="nb-NO"/>
        </w:rPr>
        <w:t>Dersom en dose er glemt, men du husker det innen 7 dager, injiser en dose så snart du husker det og gi neste dose til vanlig planlagt tid.</w:t>
      </w:r>
    </w:p>
    <w:p w14:paraId="54EC95D5" w14:textId="1985972E" w:rsidR="004A425F" w:rsidRPr="00A942F6" w:rsidRDefault="004A425F" w:rsidP="00641834">
      <w:pPr>
        <w:pStyle w:val="Bullet1cm"/>
        <w:rPr>
          <w:lang w:val="nb-NO"/>
        </w:rPr>
      </w:pPr>
      <w:r w:rsidRPr="00A942F6">
        <w:rPr>
          <w:lang w:val="nb-NO"/>
        </w:rPr>
        <w:t xml:space="preserve">Dersom en dose er glemt i mer enn 7 dager før du husker det, eller du er usikker på når du skal injisere </w:t>
      </w:r>
      <w:r w:rsidR="00923E68" w:rsidRPr="00A942F6">
        <w:rPr>
          <w:lang w:val="nb-NO"/>
        </w:rPr>
        <w:t>Avtozma</w:t>
      </w:r>
      <w:r w:rsidRPr="00A942F6">
        <w:rPr>
          <w:lang w:val="nb-NO"/>
        </w:rPr>
        <w:t>, kontakt lege eller apotek.</w:t>
      </w:r>
    </w:p>
    <w:p w14:paraId="133CFD4D" w14:textId="77777777" w:rsidR="004A425F" w:rsidRPr="00A942F6" w:rsidRDefault="004A425F" w:rsidP="00641834">
      <w:pPr>
        <w:rPr>
          <w:lang w:val="nb-NO"/>
        </w:rPr>
      </w:pPr>
    </w:p>
    <w:p w14:paraId="25CE1C2F" w14:textId="35057B81" w:rsidR="004A425F" w:rsidRPr="00A942F6" w:rsidRDefault="004A425F" w:rsidP="00641834">
      <w:pPr>
        <w:pStyle w:val="bold"/>
        <w:rPr>
          <w:lang w:val="nb-NO"/>
        </w:rPr>
      </w:pPr>
      <w:r w:rsidRPr="00A942F6">
        <w:rPr>
          <w:lang w:val="nb-NO"/>
        </w:rPr>
        <w:t xml:space="preserve">Dersom du avbryter behandling med </w:t>
      </w:r>
      <w:r w:rsidR="00923E68" w:rsidRPr="00A942F6">
        <w:rPr>
          <w:lang w:val="nb-NO"/>
        </w:rPr>
        <w:t>Avtozma</w:t>
      </w:r>
    </w:p>
    <w:p w14:paraId="6F1C0D2A" w14:textId="2E5FDBC1" w:rsidR="00310ABA" w:rsidRPr="00A942F6" w:rsidRDefault="004A425F" w:rsidP="00641834">
      <w:pPr>
        <w:rPr>
          <w:lang w:val="nb-NO"/>
        </w:rPr>
      </w:pPr>
      <w:r w:rsidRPr="00A942F6">
        <w:rPr>
          <w:lang w:val="nb-NO"/>
        </w:rPr>
        <w:t xml:space="preserve">Du skal ikke avbryte behandling med </w:t>
      </w:r>
      <w:r w:rsidR="00923E68" w:rsidRPr="00A942F6">
        <w:rPr>
          <w:lang w:val="nb-NO"/>
        </w:rPr>
        <w:t>Avtozma</w:t>
      </w:r>
      <w:r w:rsidRPr="00A942F6">
        <w:rPr>
          <w:lang w:val="nb-NO"/>
        </w:rPr>
        <w:t xml:space="preserve"> uten å disku</w:t>
      </w:r>
      <w:r w:rsidR="00310ABA" w:rsidRPr="00A942F6">
        <w:rPr>
          <w:lang w:val="nb-NO"/>
        </w:rPr>
        <w:t>tere dette med legen din først.</w:t>
      </w:r>
    </w:p>
    <w:p w14:paraId="2231F926" w14:textId="77777777" w:rsidR="00310ABA" w:rsidRPr="00A942F6" w:rsidRDefault="00310ABA" w:rsidP="00641834">
      <w:pPr>
        <w:rPr>
          <w:lang w:val="nb-NO"/>
        </w:rPr>
      </w:pPr>
    </w:p>
    <w:p w14:paraId="722FE811" w14:textId="77777777" w:rsidR="004A425F" w:rsidRPr="00A942F6" w:rsidRDefault="004A425F" w:rsidP="00641834">
      <w:pPr>
        <w:rPr>
          <w:lang w:val="nb-NO"/>
        </w:rPr>
      </w:pPr>
      <w:r w:rsidRPr="00A942F6">
        <w:rPr>
          <w:lang w:val="nb-NO"/>
        </w:rPr>
        <w:t>Spør lege, apotek eller sykepleier dersom du har noen spørsmål om bruken av dette legemidlet.</w:t>
      </w:r>
    </w:p>
    <w:p w14:paraId="32E6B609" w14:textId="77777777" w:rsidR="004A425F" w:rsidRPr="00A942F6" w:rsidRDefault="004A425F" w:rsidP="00641834">
      <w:pPr>
        <w:rPr>
          <w:lang w:val="nb-NO"/>
        </w:rPr>
      </w:pPr>
    </w:p>
    <w:p w14:paraId="57E23370" w14:textId="77777777" w:rsidR="006D41EF" w:rsidRPr="00A942F6" w:rsidRDefault="006D41EF" w:rsidP="00641834">
      <w:pPr>
        <w:rPr>
          <w:lang w:val="nb-NO"/>
        </w:rPr>
      </w:pPr>
    </w:p>
    <w:p w14:paraId="1BDC240F" w14:textId="77777777" w:rsidR="004A425F" w:rsidRPr="00A942F6" w:rsidRDefault="004A425F" w:rsidP="00641834">
      <w:pPr>
        <w:pStyle w:val="H2"/>
        <w:rPr>
          <w:lang w:val="nb-NO"/>
        </w:rPr>
      </w:pPr>
      <w:r w:rsidRPr="00A942F6">
        <w:rPr>
          <w:lang w:val="nb-NO"/>
        </w:rPr>
        <w:t>4.</w:t>
      </w:r>
      <w:r w:rsidRPr="00A942F6">
        <w:rPr>
          <w:lang w:val="nb-NO"/>
        </w:rPr>
        <w:tab/>
        <w:t>Mulige bivirkninger</w:t>
      </w:r>
    </w:p>
    <w:p w14:paraId="67601B27" w14:textId="77777777" w:rsidR="006D41EF" w:rsidRPr="00A942F6" w:rsidRDefault="006D41EF" w:rsidP="00641834">
      <w:pPr>
        <w:pStyle w:val="H2"/>
        <w:rPr>
          <w:lang w:val="nb-NO"/>
        </w:rPr>
      </w:pPr>
    </w:p>
    <w:p w14:paraId="6CFEA0D9" w14:textId="2E7E576D" w:rsidR="00310ABA" w:rsidRPr="00A942F6" w:rsidRDefault="004A425F" w:rsidP="00641834">
      <w:pPr>
        <w:rPr>
          <w:lang w:val="nb-NO"/>
        </w:rPr>
      </w:pPr>
      <w:r w:rsidRPr="00A942F6">
        <w:rPr>
          <w:lang w:val="nb-NO"/>
        </w:rPr>
        <w:t xml:space="preserve">Som alle legemidler kan </w:t>
      </w:r>
      <w:r w:rsidR="00923E68" w:rsidRPr="00A942F6">
        <w:rPr>
          <w:lang w:val="nb-NO"/>
        </w:rPr>
        <w:t>Avtozma</w:t>
      </w:r>
      <w:r w:rsidRPr="00A942F6">
        <w:rPr>
          <w:lang w:val="nb-NO"/>
        </w:rPr>
        <w:t xml:space="preserve"> forårsake bivir</w:t>
      </w:r>
      <w:r w:rsidR="00310ABA" w:rsidRPr="00A942F6">
        <w:rPr>
          <w:lang w:val="nb-NO"/>
        </w:rPr>
        <w:t>kninger, men ikke alle får det.</w:t>
      </w:r>
    </w:p>
    <w:p w14:paraId="7F6DA46E" w14:textId="3FECC20C" w:rsidR="004A425F" w:rsidRPr="00A942F6" w:rsidRDefault="004A425F" w:rsidP="00641834">
      <w:pPr>
        <w:rPr>
          <w:lang w:val="nb-NO"/>
        </w:rPr>
      </w:pPr>
      <w:r w:rsidRPr="00A942F6">
        <w:rPr>
          <w:lang w:val="nb-NO"/>
        </w:rPr>
        <w:t xml:space="preserve">Bivirkninger kan oppstå etter 3 måneder eller mer etter siste dose av </w:t>
      </w:r>
      <w:r w:rsidR="00923E68" w:rsidRPr="00A942F6">
        <w:rPr>
          <w:lang w:val="nb-NO"/>
        </w:rPr>
        <w:t>Avtozma</w:t>
      </w:r>
      <w:r w:rsidRPr="00A942F6">
        <w:rPr>
          <w:lang w:val="nb-NO"/>
        </w:rPr>
        <w:t>.</w:t>
      </w:r>
    </w:p>
    <w:p w14:paraId="2C4A1D0D" w14:textId="77777777" w:rsidR="004A425F" w:rsidRPr="00A942F6" w:rsidRDefault="004A425F" w:rsidP="00641834">
      <w:pPr>
        <w:rPr>
          <w:lang w:val="nb-NO"/>
        </w:rPr>
      </w:pPr>
    </w:p>
    <w:p w14:paraId="324956C3" w14:textId="77777777" w:rsidR="004A425F" w:rsidRPr="00A942F6" w:rsidRDefault="004A425F" w:rsidP="00641834">
      <w:pPr>
        <w:pStyle w:val="bold"/>
        <w:rPr>
          <w:lang w:val="nb-NO"/>
        </w:rPr>
      </w:pPr>
      <w:r w:rsidRPr="00A942F6">
        <w:rPr>
          <w:lang w:val="nb-NO"/>
        </w:rPr>
        <w:t>Mulige alvorlige bivirkninger: informer legen din umiddelbart</w:t>
      </w:r>
    </w:p>
    <w:p w14:paraId="429244EA" w14:textId="77777777" w:rsidR="004A425F" w:rsidRPr="00A942F6" w:rsidRDefault="004A425F" w:rsidP="00641834">
      <w:pPr>
        <w:pStyle w:val="Style1Iitaic"/>
        <w:rPr>
          <w:lang w:val="nb-NO"/>
        </w:rPr>
      </w:pPr>
      <w:r w:rsidRPr="00A942F6">
        <w:rPr>
          <w:lang w:val="nb-NO"/>
        </w:rPr>
        <w:t>Disse er vanlige: De kan forekomme hos opp til 1 av 10 brukere</w:t>
      </w:r>
    </w:p>
    <w:p w14:paraId="006AA931" w14:textId="77777777" w:rsidR="004A425F" w:rsidRPr="00A942F6" w:rsidRDefault="004A425F" w:rsidP="00641834">
      <w:pPr>
        <w:rPr>
          <w:lang w:val="nb-NO"/>
        </w:rPr>
      </w:pPr>
    </w:p>
    <w:p w14:paraId="16E96AA9" w14:textId="77777777" w:rsidR="004A425F" w:rsidRPr="00A942F6" w:rsidRDefault="004A425F" w:rsidP="00641834">
      <w:pPr>
        <w:rPr>
          <w:lang w:val="nb-NO"/>
        </w:rPr>
      </w:pPr>
      <w:r w:rsidRPr="00A942F6">
        <w:rPr>
          <w:b/>
          <w:bCs/>
          <w:lang w:val="nb-NO"/>
        </w:rPr>
        <w:t xml:space="preserve">Allergiske reaksjoner </w:t>
      </w:r>
      <w:r w:rsidRPr="00A942F6">
        <w:rPr>
          <w:lang w:val="nb-NO"/>
        </w:rPr>
        <w:t>under eller etter injeksjonen:</w:t>
      </w:r>
    </w:p>
    <w:p w14:paraId="13AD8F2B" w14:textId="77777777" w:rsidR="004A425F" w:rsidRPr="00A942F6" w:rsidRDefault="004A425F" w:rsidP="00641834">
      <w:pPr>
        <w:pStyle w:val="Bullet1cm"/>
        <w:rPr>
          <w:lang w:val="nb-NO"/>
        </w:rPr>
      </w:pPr>
      <w:r w:rsidRPr="00A942F6">
        <w:rPr>
          <w:lang w:val="nb-NO"/>
        </w:rPr>
        <w:t>vanskeligheter med å puste, tetthet i brystet eller ørhet.</w:t>
      </w:r>
    </w:p>
    <w:p w14:paraId="045A2553" w14:textId="77777777" w:rsidR="004A425F" w:rsidRPr="00A942F6" w:rsidRDefault="004A425F" w:rsidP="00641834">
      <w:pPr>
        <w:pStyle w:val="Bullet1cm"/>
        <w:rPr>
          <w:lang w:val="nb-NO"/>
        </w:rPr>
      </w:pPr>
      <w:r w:rsidRPr="00A942F6">
        <w:rPr>
          <w:lang w:val="nb-NO"/>
        </w:rPr>
        <w:t>utslett, kløe, elveblest, hevelse på lepper, tunge eller i ansikt.</w:t>
      </w:r>
    </w:p>
    <w:p w14:paraId="1156A1EE" w14:textId="77777777" w:rsidR="004A425F" w:rsidRPr="00A942F6" w:rsidRDefault="004A425F" w:rsidP="00641834">
      <w:pPr>
        <w:rPr>
          <w:lang w:val="nb-NO"/>
        </w:rPr>
      </w:pPr>
      <w:r w:rsidRPr="00A942F6">
        <w:rPr>
          <w:lang w:val="nb-NO"/>
        </w:rPr>
        <w:t xml:space="preserve">Hvis du merker noen av disse bivirkningene, må du fortelle det til lege </w:t>
      </w:r>
      <w:r w:rsidRPr="00A942F6">
        <w:rPr>
          <w:b/>
          <w:bCs/>
          <w:lang w:val="nb-NO"/>
        </w:rPr>
        <w:t>umiddelbart</w:t>
      </w:r>
      <w:r w:rsidRPr="00A942F6">
        <w:rPr>
          <w:lang w:val="nb-NO"/>
        </w:rPr>
        <w:t>.</w:t>
      </w:r>
    </w:p>
    <w:p w14:paraId="438EEF34" w14:textId="77777777" w:rsidR="004A425F" w:rsidRPr="00A942F6" w:rsidRDefault="004A425F" w:rsidP="00641834">
      <w:pPr>
        <w:rPr>
          <w:lang w:val="nb-NO"/>
        </w:rPr>
      </w:pPr>
    </w:p>
    <w:p w14:paraId="5D7B87E0" w14:textId="77777777" w:rsidR="004A425F" w:rsidRPr="00A942F6" w:rsidRDefault="004A425F" w:rsidP="00641834">
      <w:pPr>
        <w:pStyle w:val="bold"/>
        <w:rPr>
          <w:lang w:val="nb-NO"/>
        </w:rPr>
      </w:pPr>
      <w:r w:rsidRPr="00A942F6">
        <w:rPr>
          <w:lang w:val="nb-NO"/>
        </w:rPr>
        <w:t>Tegn på alvorlige infeksjoner:</w:t>
      </w:r>
    </w:p>
    <w:p w14:paraId="671886C5" w14:textId="77777777" w:rsidR="004A425F" w:rsidRPr="00A942F6" w:rsidRDefault="004A425F" w:rsidP="00641834">
      <w:pPr>
        <w:pStyle w:val="Bullet1cm"/>
        <w:rPr>
          <w:lang w:val="nb-NO"/>
        </w:rPr>
      </w:pPr>
      <w:r w:rsidRPr="00A942F6">
        <w:rPr>
          <w:lang w:val="nb-NO"/>
        </w:rPr>
        <w:t>feber og frysninger</w:t>
      </w:r>
    </w:p>
    <w:p w14:paraId="32F73113" w14:textId="77777777" w:rsidR="004A425F" w:rsidRPr="00A942F6" w:rsidRDefault="004A425F" w:rsidP="00641834">
      <w:pPr>
        <w:pStyle w:val="Bullet1cm"/>
        <w:rPr>
          <w:lang w:val="nb-NO"/>
        </w:rPr>
      </w:pPr>
      <w:r w:rsidRPr="00A942F6">
        <w:rPr>
          <w:lang w:val="nb-NO"/>
        </w:rPr>
        <w:t>blemmer på huden eller i munnen</w:t>
      </w:r>
    </w:p>
    <w:p w14:paraId="502262E5" w14:textId="77777777" w:rsidR="004A425F" w:rsidRPr="00A942F6" w:rsidRDefault="004A425F" w:rsidP="00641834">
      <w:pPr>
        <w:pStyle w:val="Bullet1cm"/>
        <w:rPr>
          <w:lang w:val="nb-NO"/>
        </w:rPr>
      </w:pPr>
      <w:r w:rsidRPr="00A942F6">
        <w:rPr>
          <w:lang w:val="nb-NO"/>
        </w:rPr>
        <w:t>magesmerter</w:t>
      </w:r>
    </w:p>
    <w:p w14:paraId="5238BF7C" w14:textId="77777777" w:rsidR="004A425F" w:rsidRPr="00A942F6" w:rsidRDefault="004A425F" w:rsidP="00641834">
      <w:pPr>
        <w:rPr>
          <w:lang w:val="nb-NO"/>
        </w:rPr>
      </w:pPr>
    </w:p>
    <w:p w14:paraId="6616DF25" w14:textId="77777777" w:rsidR="004A425F" w:rsidRPr="00A942F6" w:rsidRDefault="004A425F" w:rsidP="00641834">
      <w:pPr>
        <w:pStyle w:val="bold"/>
        <w:rPr>
          <w:lang w:val="nb-NO"/>
        </w:rPr>
      </w:pPr>
      <w:r w:rsidRPr="00A942F6">
        <w:rPr>
          <w:lang w:val="nb-NO"/>
        </w:rPr>
        <w:t>Tegn og symptomer på leverbivirkninger</w:t>
      </w:r>
    </w:p>
    <w:p w14:paraId="167B8C40" w14:textId="77777777" w:rsidR="004A425F" w:rsidRPr="00A942F6" w:rsidRDefault="004A425F" w:rsidP="00641834">
      <w:pPr>
        <w:pStyle w:val="Style1Iitaic"/>
        <w:rPr>
          <w:lang w:val="nb-NO"/>
        </w:rPr>
      </w:pPr>
      <w:r w:rsidRPr="00A942F6">
        <w:rPr>
          <w:lang w:val="nb-NO"/>
        </w:rPr>
        <w:t>Disse kan forekomme hos opptil 1 av 1000 brukere</w:t>
      </w:r>
    </w:p>
    <w:p w14:paraId="1CC025C1" w14:textId="77777777" w:rsidR="004A425F" w:rsidRPr="00A942F6" w:rsidRDefault="004A425F" w:rsidP="00641834">
      <w:pPr>
        <w:pStyle w:val="Bullet1cm"/>
        <w:rPr>
          <w:lang w:val="nb-NO"/>
        </w:rPr>
      </w:pPr>
      <w:r w:rsidRPr="00A942F6">
        <w:rPr>
          <w:lang w:val="nb-NO"/>
        </w:rPr>
        <w:t>trøtthet</w:t>
      </w:r>
    </w:p>
    <w:p w14:paraId="127520ED" w14:textId="77777777" w:rsidR="004A425F" w:rsidRPr="00A942F6" w:rsidRDefault="004A425F" w:rsidP="00641834">
      <w:pPr>
        <w:pStyle w:val="Bullet1cm"/>
        <w:rPr>
          <w:lang w:val="nb-NO"/>
        </w:rPr>
      </w:pPr>
      <w:r w:rsidRPr="00A942F6">
        <w:rPr>
          <w:lang w:val="nb-NO"/>
        </w:rPr>
        <w:t>magesmerter</w:t>
      </w:r>
    </w:p>
    <w:p w14:paraId="327CE656" w14:textId="77777777" w:rsidR="004A425F" w:rsidRPr="00A942F6" w:rsidRDefault="004A425F" w:rsidP="00641834">
      <w:pPr>
        <w:pStyle w:val="Bullet1cm"/>
        <w:rPr>
          <w:lang w:val="nb-NO"/>
        </w:rPr>
      </w:pPr>
      <w:r w:rsidRPr="00A942F6">
        <w:rPr>
          <w:lang w:val="nb-NO"/>
        </w:rPr>
        <w:t>gulsott (gulfarging av hud eller øyne)</w:t>
      </w:r>
    </w:p>
    <w:p w14:paraId="7C9D3A98" w14:textId="77777777" w:rsidR="00310ABA" w:rsidRPr="00A942F6" w:rsidRDefault="00310ABA" w:rsidP="00641834">
      <w:pPr>
        <w:rPr>
          <w:lang w:val="nb-NO"/>
        </w:rPr>
      </w:pPr>
    </w:p>
    <w:p w14:paraId="36DDD2C1" w14:textId="77777777" w:rsidR="00310ABA" w:rsidRPr="00A942F6" w:rsidRDefault="004A425F" w:rsidP="00641834">
      <w:pPr>
        <w:rPr>
          <w:lang w:val="nb-NO"/>
        </w:rPr>
      </w:pPr>
      <w:r w:rsidRPr="00A942F6">
        <w:rPr>
          <w:lang w:val="nb-NO"/>
        </w:rPr>
        <w:t>Hvis du merker noen av disse skal du unde</w:t>
      </w:r>
      <w:r w:rsidR="00310ABA" w:rsidRPr="00A942F6">
        <w:rPr>
          <w:lang w:val="nb-NO"/>
        </w:rPr>
        <w:t xml:space="preserve">rrette legen din </w:t>
      </w:r>
      <w:r w:rsidR="00310ABA" w:rsidRPr="00A942F6">
        <w:rPr>
          <w:b/>
          <w:bCs/>
          <w:lang w:val="nb-NO"/>
        </w:rPr>
        <w:t>snarest mulig</w:t>
      </w:r>
      <w:r w:rsidR="00310ABA" w:rsidRPr="00A942F6">
        <w:rPr>
          <w:lang w:val="nb-NO"/>
        </w:rPr>
        <w:t>.</w:t>
      </w:r>
    </w:p>
    <w:p w14:paraId="76EB0190" w14:textId="77777777" w:rsidR="00310ABA" w:rsidRPr="00A942F6" w:rsidRDefault="00310ABA" w:rsidP="00641834">
      <w:pPr>
        <w:rPr>
          <w:lang w:val="nb-NO"/>
        </w:rPr>
      </w:pPr>
    </w:p>
    <w:p w14:paraId="30A7EE25" w14:textId="77777777" w:rsidR="004A425F" w:rsidRPr="00A942F6" w:rsidRDefault="004A425F" w:rsidP="00641834">
      <w:pPr>
        <w:pStyle w:val="bold"/>
        <w:rPr>
          <w:lang w:val="nb-NO"/>
        </w:rPr>
      </w:pPr>
      <w:r w:rsidRPr="00A942F6">
        <w:rPr>
          <w:lang w:val="nb-NO"/>
        </w:rPr>
        <w:t>Svært vanlige bivirkninger:</w:t>
      </w:r>
    </w:p>
    <w:p w14:paraId="3567CC98" w14:textId="77777777" w:rsidR="004A425F" w:rsidRPr="00A942F6" w:rsidRDefault="004A425F" w:rsidP="00641834">
      <w:pPr>
        <w:pStyle w:val="Style1Iitaic"/>
        <w:rPr>
          <w:lang w:val="nb-NO"/>
        </w:rPr>
      </w:pPr>
      <w:r w:rsidRPr="00A942F6">
        <w:rPr>
          <w:lang w:val="nb-NO"/>
        </w:rPr>
        <w:t>Disse kan forekomme hos flere enn 1 av 10 brukere</w:t>
      </w:r>
    </w:p>
    <w:p w14:paraId="6A20C42C" w14:textId="77777777" w:rsidR="004A425F" w:rsidRPr="00A942F6" w:rsidRDefault="004A425F" w:rsidP="00641834">
      <w:pPr>
        <w:pStyle w:val="Bullet1cm"/>
        <w:rPr>
          <w:lang w:val="nb-NO"/>
        </w:rPr>
      </w:pPr>
      <w:r w:rsidRPr="00A942F6">
        <w:rPr>
          <w:lang w:val="nb-NO"/>
        </w:rPr>
        <w:t>øvre luftveisinfeksjoner med typiske symptomer slik som hoste, tett nese, rennende nese, sår hals og hodepine</w:t>
      </w:r>
    </w:p>
    <w:p w14:paraId="0612CDD7" w14:textId="77777777" w:rsidR="004A425F" w:rsidRPr="00A942F6" w:rsidRDefault="004A425F" w:rsidP="00641834">
      <w:pPr>
        <w:pStyle w:val="Bullet1cm"/>
        <w:rPr>
          <w:lang w:val="nb-NO"/>
        </w:rPr>
      </w:pPr>
      <w:r w:rsidRPr="00A942F6">
        <w:rPr>
          <w:lang w:val="nb-NO"/>
        </w:rPr>
        <w:t>høye nivåer av fett (kolesterol) i blodet</w:t>
      </w:r>
    </w:p>
    <w:p w14:paraId="1A6F5C44" w14:textId="77777777" w:rsidR="004A425F" w:rsidRPr="00A942F6" w:rsidRDefault="004A425F" w:rsidP="00641834">
      <w:pPr>
        <w:pStyle w:val="Bullet1cm"/>
        <w:rPr>
          <w:lang w:val="nb-NO"/>
        </w:rPr>
      </w:pPr>
      <w:r w:rsidRPr="00A942F6">
        <w:rPr>
          <w:lang w:val="nb-NO"/>
        </w:rPr>
        <w:t>reaksjoner på injeksjonsstedet.</w:t>
      </w:r>
    </w:p>
    <w:p w14:paraId="3D336828" w14:textId="77777777" w:rsidR="00310ABA" w:rsidRPr="00A942F6" w:rsidRDefault="00310ABA" w:rsidP="00641834">
      <w:pPr>
        <w:rPr>
          <w:lang w:val="nb-NO"/>
        </w:rPr>
      </w:pPr>
    </w:p>
    <w:p w14:paraId="782F9CFF" w14:textId="77777777" w:rsidR="004A425F" w:rsidRPr="00A942F6" w:rsidRDefault="004A425F" w:rsidP="00641834">
      <w:pPr>
        <w:pStyle w:val="bold"/>
        <w:rPr>
          <w:lang w:val="nb-NO"/>
        </w:rPr>
      </w:pPr>
      <w:r w:rsidRPr="00A942F6">
        <w:rPr>
          <w:lang w:val="nb-NO"/>
        </w:rPr>
        <w:t>Vanlige bivirkninger:</w:t>
      </w:r>
    </w:p>
    <w:p w14:paraId="55A6D401" w14:textId="77777777" w:rsidR="004A425F" w:rsidRPr="00A942F6" w:rsidRDefault="004A425F" w:rsidP="00641834">
      <w:pPr>
        <w:pStyle w:val="Style1Iitaic"/>
        <w:rPr>
          <w:lang w:val="nb-NO"/>
        </w:rPr>
      </w:pPr>
      <w:r w:rsidRPr="00A942F6">
        <w:rPr>
          <w:lang w:val="nb-NO"/>
        </w:rPr>
        <w:t>Disse kan forekomme hos opptil 1 av 10 brukere</w:t>
      </w:r>
    </w:p>
    <w:p w14:paraId="7C1FFD75" w14:textId="77777777" w:rsidR="004A425F" w:rsidRPr="00A942F6" w:rsidRDefault="004A425F" w:rsidP="00641834">
      <w:pPr>
        <w:pStyle w:val="Bullet1cm"/>
        <w:rPr>
          <w:lang w:val="nb-NO"/>
        </w:rPr>
      </w:pPr>
      <w:r w:rsidRPr="00A942F6">
        <w:rPr>
          <w:lang w:val="nb-NO"/>
        </w:rPr>
        <w:t>lungebetennelse (pneumoni),</w:t>
      </w:r>
    </w:p>
    <w:p w14:paraId="724B5C33" w14:textId="77777777" w:rsidR="004A425F" w:rsidRPr="00A942F6" w:rsidRDefault="004A425F" w:rsidP="00641834">
      <w:pPr>
        <w:pStyle w:val="Bullet1cm"/>
        <w:rPr>
          <w:lang w:val="nb-NO"/>
        </w:rPr>
      </w:pPr>
      <w:r w:rsidRPr="00A942F6">
        <w:rPr>
          <w:lang w:val="nb-NO"/>
        </w:rPr>
        <w:t>helvetesild (herpes zoster)</w:t>
      </w:r>
    </w:p>
    <w:p w14:paraId="501D038B" w14:textId="77777777" w:rsidR="004A425F" w:rsidRPr="00A942F6" w:rsidRDefault="004A425F" w:rsidP="00641834">
      <w:pPr>
        <w:pStyle w:val="Bullet1cm"/>
        <w:rPr>
          <w:lang w:val="nb-NO"/>
        </w:rPr>
      </w:pPr>
      <w:r w:rsidRPr="00A942F6">
        <w:rPr>
          <w:lang w:val="nb-NO"/>
        </w:rPr>
        <w:t>forkjølelsessår (oral herpes simplex), blemmer</w:t>
      </w:r>
    </w:p>
    <w:p w14:paraId="041DBE72" w14:textId="77777777" w:rsidR="004A425F" w:rsidRPr="00A942F6" w:rsidRDefault="004A425F" w:rsidP="00641834">
      <w:pPr>
        <w:pStyle w:val="Bullet1cm"/>
        <w:rPr>
          <w:lang w:val="nb-NO"/>
        </w:rPr>
      </w:pPr>
      <w:r w:rsidRPr="00A942F6">
        <w:rPr>
          <w:lang w:val="nb-NO"/>
        </w:rPr>
        <w:t>hudinfeksjon (cellulitter) noen ganger med feber og frysninger</w:t>
      </w:r>
    </w:p>
    <w:p w14:paraId="041FD1D1" w14:textId="77777777" w:rsidR="004A425F" w:rsidRPr="00A942F6" w:rsidRDefault="004A425F" w:rsidP="00641834">
      <w:pPr>
        <w:pStyle w:val="Bullet1cm"/>
        <w:rPr>
          <w:lang w:val="nb-NO"/>
        </w:rPr>
      </w:pPr>
      <w:r w:rsidRPr="00A942F6">
        <w:rPr>
          <w:lang w:val="nb-NO"/>
        </w:rPr>
        <w:lastRenderedPageBreak/>
        <w:t>utslett og kløe, elveblest</w:t>
      </w:r>
    </w:p>
    <w:p w14:paraId="53C0ED75" w14:textId="77777777" w:rsidR="004A425F" w:rsidRPr="00A942F6" w:rsidRDefault="004A425F" w:rsidP="00641834">
      <w:pPr>
        <w:pStyle w:val="Bullet1cm"/>
        <w:rPr>
          <w:lang w:val="nb-NO"/>
        </w:rPr>
      </w:pPr>
      <w:r w:rsidRPr="00A942F6">
        <w:rPr>
          <w:lang w:val="nb-NO"/>
        </w:rPr>
        <w:t>allergiske (hypersensitivitets) reaksjoner</w:t>
      </w:r>
    </w:p>
    <w:p w14:paraId="2B6273A0" w14:textId="77777777" w:rsidR="004A425F" w:rsidRPr="00A942F6" w:rsidRDefault="004A425F" w:rsidP="00641834">
      <w:pPr>
        <w:pStyle w:val="Bullet1cm"/>
        <w:rPr>
          <w:lang w:val="nb-NO"/>
        </w:rPr>
      </w:pPr>
      <w:r w:rsidRPr="00A942F6">
        <w:rPr>
          <w:lang w:val="nb-NO"/>
        </w:rPr>
        <w:t>øyeinfeksjon (konjunktivitt)</w:t>
      </w:r>
    </w:p>
    <w:p w14:paraId="7AFA9DF5" w14:textId="77777777" w:rsidR="004A425F" w:rsidRPr="00A942F6" w:rsidRDefault="004A425F" w:rsidP="00641834">
      <w:pPr>
        <w:pStyle w:val="Bullet1cm"/>
        <w:rPr>
          <w:lang w:val="nb-NO"/>
        </w:rPr>
      </w:pPr>
      <w:r w:rsidRPr="00A942F6">
        <w:rPr>
          <w:lang w:val="nb-NO"/>
        </w:rPr>
        <w:t>hodepine, svimmelhet, høyt blodtrykk</w:t>
      </w:r>
    </w:p>
    <w:p w14:paraId="7B8AC23A" w14:textId="77777777" w:rsidR="004A425F" w:rsidRPr="00A942F6" w:rsidRDefault="004A425F" w:rsidP="00641834">
      <w:pPr>
        <w:pStyle w:val="Bullet1cm"/>
        <w:rPr>
          <w:lang w:val="nb-NO"/>
        </w:rPr>
      </w:pPr>
      <w:r w:rsidRPr="00A942F6">
        <w:rPr>
          <w:lang w:val="nb-NO"/>
        </w:rPr>
        <w:t>sår i munn, magesmerter</w:t>
      </w:r>
    </w:p>
    <w:p w14:paraId="154A1F96" w14:textId="77777777" w:rsidR="004A425F" w:rsidRPr="00A942F6" w:rsidRDefault="004A425F" w:rsidP="00641834">
      <w:pPr>
        <w:pStyle w:val="Bullet1cm"/>
        <w:rPr>
          <w:lang w:val="nb-NO"/>
        </w:rPr>
      </w:pPr>
      <w:r w:rsidRPr="00A942F6">
        <w:rPr>
          <w:lang w:val="nb-NO"/>
        </w:rPr>
        <w:t>væskeretensjon (ødem) i nedre del av beina, vektøkning</w:t>
      </w:r>
    </w:p>
    <w:p w14:paraId="57AA825A" w14:textId="77777777" w:rsidR="004A425F" w:rsidRPr="00A942F6" w:rsidRDefault="004A425F" w:rsidP="00641834">
      <w:pPr>
        <w:pStyle w:val="Bullet1cm"/>
        <w:rPr>
          <w:lang w:val="nb-NO"/>
        </w:rPr>
      </w:pPr>
      <w:r w:rsidRPr="00A942F6">
        <w:rPr>
          <w:lang w:val="nb-NO"/>
        </w:rPr>
        <w:t>hoste, kortpustethet</w:t>
      </w:r>
    </w:p>
    <w:p w14:paraId="43578DC3" w14:textId="77777777" w:rsidR="004A425F" w:rsidRPr="00A942F6" w:rsidRDefault="004A425F" w:rsidP="00641834">
      <w:pPr>
        <w:pStyle w:val="Bullet1cm"/>
        <w:rPr>
          <w:lang w:val="nb-NO"/>
        </w:rPr>
      </w:pPr>
      <w:r w:rsidRPr="00A942F6">
        <w:rPr>
          <w:lang w:val="nb-NO"/>
        </w:rPr>
        <w:t>lavt antall hvite blodceller påvist ved blodprøve (nøytropeni, leukopeni)</w:t>
      </w:r>
    </w:p>
    <w:p w14:paraId="10E64E3B" w14:textId="77777777" w:rsidR="004A425F" w:rsidRPr="00A942F6" w:rsidRDefault="004A425F" w:rsidP="00641834">
      <w:pPr>
        <w:pStyle w:val="Bullet1cm"/>
        <w:rPr>
          <w:lang w:val="nb-NO"/>
        </w:rPr>
      </w:pPr>
      <w:r w:rsidRPr="00A942F6">
        <w:rPr>
          <w:lang w:val="nb-NO"/>
        </w:rPr>
        <w:t>unormale leverfunksjonsprøver (økte transaminaser)</w:t>
      </w:r>
    </w:p>
    <w:p w14:paraId="6E53DF7C" w14:textId="77777777" w:rsidR="004A425F" w:rsidRPr="00A942F6" w:rsidRDefault="004A425F" w:rsidP="00641834">
      <w:pPr>
        <w:pStyle w:val="Bullet1cm"/>
        <w:rPr>
          <w:lang w:val="nb-NO"/>
        </w:rPr>
      </w:pPr>
      <w:r w:rsidRPr="00A942F6">
        <w:rPr>
          <w:lang w:val="nb-NO"/>
        </w:rPr>
        <w:t>påvist økt bilirubin i blodprøver</w:t>
      </w:r>
    </w:p>
    <w:p w14:paraId="22B17EC7" w14:textId="77777777" w:rsidR="004A425F" w:rsidRPr="00A942F6" w:rsidRDefault="004A425F" w:rsidP="00641834">
      <w:pPr>
        <w:pStyle w:val="Bullet1cm"/>
        <w:rPr>
          <w:lang w:val="nb-NO"/>
        </w:rPr>
      </w:pPr>
      <w:r w:rsidRPr="00A942F6">
        <w:rPr>
          <w:lang w:val="nb-NO"/>
        </w:rPr>
        <w:t>lave nivåer av fibrinogen i blodet (et protein som er involvert i blodlevring)</w:t>
      </w:r>
    </w:p>
    <w:p w14:paraId="0E594CF9" w14:textId="77777777" w:rsidR="00310ABA" w:rsidRPr="00A942F6" w:rsidRDefault="00310ABA" w:rsidP="00641834">
      <w:pPr>
        <w:rPr>
          <w:lang w:val="nb-NO"/>
        </w:rPr>
      </w:pPr>
    </w:p>
    <w:p w14:paraId="12EA942C" w14:textId="77777777" w:rsidR="004A425F" w:rsidRPr="00A942F6" w:rsidRDefault="004A425F" w:rsidP="00641834">
      <w:pPr>
        <w:pStyle w:val="bold"/>
        <w:rPr>
          <w:lang w:val="nb-NO"/>
        </w:rPr>
      </w:pPr>
      <w:r w:rsidRPr="00A942F6">
        <w:rPr>
          <w:lang w:val="nb-NO"/>
        </w:rPr>
        <w:t>Mindre vanlige bivirkninger:</w:t>
      </w:r>
    </w:p>
    <w:p w14:paraId="4C4319CD" w14:textId="77777777" w:rsidR="004A425F" w:rsidRPr="00A942F6" w:rsidRDefault="004A425F" w:rsidP="00641834">
      <w:pPr>
        <w:pStyle w:val="Style1Iitaic"/>
        <w:rPr>
          <w:lang w:val="nb-NO"/>
        </w:rPr>
      </w:pPr>
      <w:r w:rsidRPr="00A942F6">
        <w:rPr>
          <w:lang w:val="nb-NO"/>
        </w:rPr>
        <w:t>Disse kan forekomme hos opptil 1 av 100 brukere</w:t>
      </w:r>
    </w:p>
    <w:p w14:paraId="4541A1B1" w14:textId="77777777" w:rsidR="004A425F" w:rsidRPr="00A942F6" w:rsidRDefault="004A425F" w:rsidP="00641834">
      <w:pPr>
        <w:pStyle w:val="Bullet1cm"/>
        <w:rPr>
          <w:lang w:val="nb-NO"/>
        </w:rPr>
      </w:pPr>
      <w:r w:rsidRPr="00A942F6">
        <w:rPr>
          <w:lang w:val="nb-NO"/>
        </w:rPr>
        <w:t>divertikulitt (feber, kvalme, diaré, forstoppelse, magesmerter)</w:t>
      </w:r>
    </w:p>
    <w:p w14:paraId="01E4E370" w14:textId="77777777" w:rsidR="004A425F" w:rsidRPr="00A942F6" w:rsidRDefault="004A425F" w:rsidP="00641834">
      <w:pPr>
        <w:pStyle w:val="Bullet1cm"/>
        <w:rPr>
          <w:lang w:val="nb-NO"/>
        </w:rPr>
      </w:pPr>
      <w:r w:rsidRPr="00A942F6">
        <w:rPr>
          <w:lang w:val="nb-NO"/>
        </w:rPr>
        <w:t>røde opphovnede områder i munnen</w:t>
      </w:r>
    </w:p>
    <w:p w14:paraId="44F5F4E3" w14:textId="77777777" w:rsidR="004A425F" w:rsidRPr="00A942F6" w:rsidRDefault="004A425F" w:rsidP="00641834">
      <w:pPr>
        <w:pStyle w:val="Bullet1cm"/>
        <w:rPr>
          <w:lang w:val="nb-NO"/>
        </w:rPr>
      </w:pPr>
      <w:r w:rsidRPr="00A942F6">
        <w:rPr>
          <w:lang w:val="nb-NO"/>
        </w:rPr>
        <w:t>høye blodfettnivåer (triglyserider)</w:t>
      </w:r>
    </w:p>
    <w:p w14:paraId="2AC080F6" w14:textId="77777777" w:rsidR="004A425F" w:rsidRPr="00A942F6" w:rsidRDefault="004A425F" w:rsidP="00641834">
      <w:pPr>
        <w:pStyle w:val="Bullet1cm"/>
        <w:rPr>
          <w:lang w:val="nb-NO"/>
        </w:rPr>
      </w:pPr>
      <w:r w:rsidRPr="00A942F6">
        <w:rPr>
          <w:lang w:val="nb-NO"/>
        </w:rPr>
        <w:t>magesår</w:t>
      </w:r>
    </w:p>
    <w:p w14:paraId="36201557" w14:textId="77777777" w:rsidR="004A425F" w:rsidRPr="00A942F6" w:rsidRDefault="004A425F" w:rsidP="00641834">
      <w:pPr>
        <w:pStyle w:val="Bullet1cm"/>
        <w:rPr>
          <w:lang w:val="nb-NO"/>
        </w:rPr>
      </w:pPr>
      <w:r w:rsidRPr="00A942F6">
        <w:rPr>
          <w:lang w:val="nb-NO"/>
        </w:rPr>
        <w:t>nyrestein</w:t>
      </w:r>
    </w:p>
    <w:p w14:paraId="07DF7863" w14:textId="77777777" w:rsidR="004A425F" w:rsidRPr="00A942F6" w:rsidRDefault="004A425F" w:rsidP="00641834">
      <w:pPr>
        <w:pStyle w:val="Bullet1cm"/>
        <w:rPr>
          <w:lang w:val="nb-NO"/>
        </w:rPr>
      </w:pPr>
      <w:r w:rsidRPr="00A942F6">
        <w:rPr>
          <w:lang w:val="nb-NO"/>
        </w:rPr>
        <w:t>underaktiv skjoldbruskkjertel.</w:t>
      </w:r>
    </w:p>
    <w:p w14:paraId="231A0FE9" w14:textId="77777777" w:rsidR="004A425F" w:rsidRPr="00A942F6" w:rsidRDefault="004A425F" w:rsidP="00641834">
      <w:pPr>
        <w:rPr>
          <w:lang w:val="nb-NO"/>
        </w:rPr>
      </w:pPr>
    </w:p>
    <w:p w14:paraId="39E11BFC" w14:textId="77777777" w:rsidR="004A425F" w:rsidRPr="00A942F6" w:rsidRDefault="004A425F" w:rsidP="00641834">
      <w:pPr>
        <w:pStyle w:val="bold"/>
        <w:rPr>
          <w:lang w:val="nb-NO"/>
        </w:rPr>
      </w:pPr>
      <w:r w:rsidRPr="00A942F6">
        <w:rPr>
          <w:lang w:val="nb-NO"/>
        </w:rPr>
        <w:t>Sjeldne bivirkninger:</w:t>
      </w:r>
    </w:p>
    <w:p w14:paraId="0BFB712F" w14:textId="77777777" w:rsidR="004A425F" w:rsidRPr="00A942F6" w:rsidRDefault="004A425F" w:rsidP="00641834">
      <w:pPr>
        <w:pStyle w:val="Style1Iitaic"/>
        <w:rPr>
          <w:lang w:val="nb-NO"/>
        </w:rPr>
      </w:pPr>
      <w:r w:rsidRPr="00A942F6">
        <w:rPr>
          <w:lang w:val="nb-NO"/>
        </w:rPr>
        <w:t>Disse kan forekomme hos opptil 1 av 1000 brukere</w:t>
      </w:r>
    </w:p>
    <w:p w14:paraId="4831DB5C" w14:textId="77777777" w:rsidR="004A425F" w:rsidRPr="00A942F6" w:rsidRDefault="004A425F" w:rsidP="00641834">
      <w:pPr>
        <w:pStyle w:val="Bullet1cm"/>
        <w:rPr>
          <w:lang w:val="nb-NO"/>
        </w:rPr>
      </w:pPr>
      <w:r w:rsidRPr="00A942F6">
        <w:rPr>
          <w:lang w:val="nb-NO"/>
        </w:rPr>
        <w:t>Stevens-Johnson syndrom (hudutslett som kan føre til alvorlig blemmedannelse og avskalling av huden)</w:t>
      </w:r>
    </w:p>
    <w:p w14:paraId="3BB9369B" w14:textId="77777777" w:rsidR="004A425F" w:rsidRPr="00A942F6" w:rsidRDefault="004A425F" w:rsidP="00641834">
      <w:pPr>
        <w:pStyle w:val="Bullet1cm"/>
        <w:rPr>
          <w:lang w:val="nb-NO"/>
        </w:rPr>
      </w:pPr>
      <w:r w:rsidRPr="00A942F6">
        <w:rPr>
          <w:lang w:val="nb-NO"/>
        </w:rPr>
        <w:t>dødelige allergiske reaksjoner (anafylaksi [dødelig])</w:t>
      </w:r>
    </w:p>
    <w:p w14:paraId="4B70BE83" w14:textId="77777777" w:rsidR="004A425F" w:rsidRPr="00A942F6" w:rsidRDefault="004A425F" w:rsidP="00641834">
      <w:pPr>
        <w:pStyle w:val="Bullet1cm"/>
        <w:rPr>
          <w:lang w:val="nb-NO"/>
        </w:rPr>
      </w:pPr>
      <w:r w:rsidRPr="00A942F6">
        <w:rPr>
          <w:lang w:val="nb-NO"/>
        </w:rPr>
        <w:t>leverbetennelse (hepatitt), gulsott</w:t>
      </w:r>
    </w:p>
    <w:p w14:paraId="3F497823" w14:textId="77777777" w:rsidR="004A425F" w:rsidRPr="00A942F6" w:rsidRDefault="004A425F" w:rsidP="00641834">
      <w:pPr>
        <w:rPr>
          <w:lang w:val="nb-NO"/>
        </w:rPr>
      </w:pPr>
    </w:p>
    <w:p w14:paraId="0092BAAC" w14:textId="77777777" w:rsidR="004A425F" w:rsidRPr="00A942F6" w:rsidRDefault="004A425F" w:rsidP="00641834">
      <w:pPr>
        <w:pStyle w:val="bold"/>
        <w:rPr>
          <w:lang w:val="nb-NO"/>
        </w:rPr>
      </w:pPr>
      <w:r w:rsidRPr="00A942F6">
        <w:rPr>
          <w:lang w:val="nb-NO"/>
        </w:rPr>
        <w:t>Svært sjeldne bivirkninger:</w:t>
      </w:r>
    </w:p>
    <w:p w14:paraId="181017CD" w14:textId="77777777" w:rsidR="004A425F" w:rsidRPr="00A942F6" w:rsidRDefault="004A425F" w:rsidP="00641834">
      <w:pPr>
        <w:pStyle w:val="Style1Iitaic"/>
        <w:rPr>
          <w:lang w:val="nb-NO"/>
        </w:rPr>
      </w:pPr>
      <w:r w:rsidRPr="00A942F6">
        <w:rPr>
          <w:lang w:val="nb-NO"/>
        </w:rPr>
        <w:t>Disse kan forekomme hos opptil 1 av 10 000 brukere</w:t>
      </w:r>
    </w:p>
    <w:p w14:paraId="3C6DD99B" w14:textId="77777777" w:rsidR="004A425F" w:rsidRPr="00A942F6" w:rsidRDefault="004A425F" w:rsidP="00641834">
      <w:pPr>
        <w:pStyle w:val="Bullet1cm"/>
        <w:rPr>
          <w:lang w:val="nb-NO"/>
        </w:rPr>
      </w:pPr>
      <w:r w:rsidRPr="00A942F6">
        <w:rPr>
          <w:lang w:val="nb-NO"/>
        </w:rPr>
        <w:t>lave blodverdier av hvite blodceller, røde blodceller og blodplater i blodprøver</w:t>
      </w:r>
    </w:p>
    <w:p w14:paraId="5D41F53F" w14:textId="77777777" w:rsidR="004A425F" w:rsidRPr="00A942F6" w:rsidRDefault="004A425F" w:rsidP="00641834">
      <w:pPr>
        <w:pStyle w:val="Bullet1cm"/>
        <w:rPr>
          <w:lang w:val="nb-NO"/>
        </w:rPr>
      </w:pPr>
      <w:r w:rsidRPr="00A942F6">
        <w:rPr>
          <w:lang w:val="nb-NO"/>
        </w:rPr>
        <w:t>leversvikt</w:t>
      </w:r>
    </w:p>
    <w:p w14:paraId="466A63A1" w14:textId="77777777" w:rsidR="004A425F" w:rsidRPr="00A942F6" w:rsidRDefault="004A425F" w:rsidP="00641834">
      <w:pPr>
        <w:rPr>
          <w:lang w:val="nb-NO"/>
        </w:rPr>
      </w:pPr>
    </w:p>
    <w:p w14:paraId="7A7CE6FC" w14:textId="77777777" w:rsidR="004A425F" w:rsidRPr="00A942F6" w:rsidRDefault="004A425F" w:rsidP="00641834">
      <w:pPr>
        <w:pStyle w:val="bold"/>
        <w:rPr>
          <w:lang w:val="nb-NO"/>
        </w:rPr>
      </w:pPr>
      <w:r w:rsidRPr="00A942F6">
        <w:rPr>
          <w:lang w:val="nb-NO"/>
        </w:rPr>
        <w:t>Bivirkninger hos barn og ungdom med sJIA eller pJIA</w:t>
      </w:r>
    </w:p>
    <w:p w14:paraId="24B64709" w14:textId="77777777" w:rsidR="004A425F" w:rsidRPr="00A942F6" w:rsidRDefault="004A425F" w:rsidP="00641834">
      <w:pPr>
        <w:rPr>
          <w:lang w:val="nb-NO"/>
        </w:rPr>
      </w:pPr>
      <w:r w:rsidRPr="00A942F6">
        <w:rPr>
          <w:lang w:val="nb-NO"/>
        </w:rPr>
        <w:t>Bivirkninger hos barn og ungdom med sJIA eller pJIA er generelt stilsvarende som hos voksne. Noen bivirkninger er sett oftere hos barn og ungdom: betennelse i nese og hals, hodepine, kvalme og lavere antall hvite blodceller.</w:t>
      </w:r>
    </w:p>
    <w:p w14:paraId="7FCFF6E9" w14:textId="77777777" w:rsidR="004A425F" w:rsidRPr="00A942F6" w:rsidRDefault="004A425F" w:rsidP="00641834">
      <w:pPr>
        <w:rPr>
          <w:lang w:val="nb-NO"/>
        </w:rPr>
      </w:pPr>
    </w:p>
    <w:p w14:paraId="68405642" w14:textId="77777777" w:rsidR="004A425F" w:rsidRPr="00A942F6" w:rsidRDefault="004A425F" w:rsidP="00641834">
      <w:pPr>
        <w:pStyle w:val="bold"/>
        <w:rPr>
          <w:lang w:val="nb-NO"/>
        </w:rPr>
      </w:pPr>
      <w:r w:rsidRPr="00A942F6">
        <w:rPr>
          <w:lang w:val="nb-NO"/>
        </w:rPr>
        <w:t>Melding av bivirkninger</w:t>
      </w:r>
    </w:p>
    <w:p w14:paraId="073A0782" w14:textId="77777777" w:rsidR="004A425F" w:rsidRPr="00A942F6" w:rsidRDefault="004A425F" w:rsidP="00641834">
      <w:pPr>
        <w:rPr>
          <w:lang w:val="nb-NO"/>
        </w:rPr>
      </w:pPr>
      <w:r w:rsidRPr="00A942F6">
        <w:rPr>
          <w:lang w:val="nb-NO"/>
        </w:rPr>
        <w:t xml:space="preserve">Kontakt lege, apotek eller sykepleier dersom du opplever bivirkninger. Dette gjelder også bivirkninger som ikke er nevnt i pakningsvedlegget. Du kan også melde fra om bivirkninger direkte via </w:t>
      </w:r>
      <w:r w:rsidRPr="00CB45D2">
        <w:rPr>
          <w:highlight w:val="lightGray"/>
          <w:shd w:val="pct35" w:color="auto" w:fill="auto"/>
          <w:lang w:val="nb-NO"/>
        </w:rPr>
        <w:t xml:space="preserve">det nasjonale meldesystemet som beskrevet i </w:t>
      </w:r>
      <w:hyperlink r:id="rId25" w:history="1">
        <w:r w:rsidRPr="00CB45D2">
          <w:rPr>
            <w:rStyle w:val="a6"/>
            <w:color w:val="0000FF"/>
            <w:highlight w:val="lightGray"/>
            <w:shd w:val="pct35" w:color="auto" w:fill="auto"/>
            <w:lang w:val="nb-NO"/>
          </w:rPr>
          <w:t>Appendix V</w:t>
        </w:r>
      </w:hyperlink>
      <w:r w:rsidRPr="00A942F6">
        <w:rPr>
          <w:lang w:val="nb-NO"/>
        </w:rPr>
        <w:t>. Ved å melde fra om bivirkninger bidrar du med informasjon om sikkerheten ved bruk av dette legemidlet.</w:t>
      </w:r>
    </w:p>
    <w:p w14:paraId="583EBE6C" w14:textId="77777777" w:rsidR="004A425F" w:rsidRPr="00A942F6" w:rsidRDefault="004A425F" w:rsidP="00641834">
      <w:pPr>
        <w:rPr>
          <w:lang w:val="nb-NO"/>
        </w:rPr>
      </w:pPr>
    </w:p>
    <w:p w14:paraId="7A1C17E9" w14:textId="77777777" w:rsidR="004A425F" w:rsidRPr="00A942F6" w:rsidRDefault="004A425F" w:rsidP="00641834">
      <w:pPr>
        <w:rPr>
          <w:lang w:val="nb-NO"/>
        </w:rPr>
      </w:pPr>
    </w:p>
    <w:p w14:paraId="22CE4E51" w14:textId="78DD0AD7" w:rsidR="004A425F" w:rsidRPr="00A942F6" w:rsidRDefault="004A425F" w:rsidP="00641834">
      <w:pPr>
        <w:pStyle w:val="H2"/>
        <w:rPr>
          <w:lang w:val="nb-NO"/>
        </w:rPr>
      </w:pPr>
      <w:r w:rsidRPr="00A942F6">
        <w:rPr>
          <w:lang w:val="nb-NO"/>
        </w:rPr>
        <w:t>5.</w:t>
      </w:r>
      <w:r w:rsidRPr="00A942F6">
        <w:rPr>
          <w:lang w:val="nb-NO"/>
        </w:rPr>
        <w:tab/>
        <w:t xml:space="preserve">Hvordan du oppbevarer </w:t>
      </w:r>
      <w:r w:rsidR="00923E68" w:rsidRPr="00A942F6">
        <w:rPr>
          <w:lang w:val="nb-NO"/>
        </w:rPr>
        <w:t>Avtozma</w:t>
      </w:r>
    </w:p>
    <w:p w14:paraId="5F9F38E3" w14:textId="77777777" w:rsidR="006D41EF" w:rsidRPr="00A942F6" w:rsidRDefault="006D41EF" w:rsidP="00641834">
      <w:pPr>
        <w:rPr>
          <w:lang w:val="nb-NO"/>
        </w:rPr>
      </w:pPr>
    </w:p>
    <w:p w14:paraId="7A5656E5" w14:textId="77777777" w:rsidR="004A425F" w:rsidRPr="00A942F6" w:rsidRDefault="004A425F" w:rsidP="00641834">
      <w:pPr>
        <w:rPr>
          <w:lang w:val="nb-NO"/>
        </w:rPr>
      </w:pPr>
      <w:r w:rsidRPr="00A942F6">
        <w:rPr>
          <w:lang w:val="nb-NO"/>
        </w:rPr>
        <w:t>Oppbevares utilgjengelig for barn.</w:t>
      </w:r>
    </w:p>
    <w:p w14:paraId="5D5087C0" w14:textId="77777777" w:rsidR="004A425F" w:rsidRPr="00A942F6" w:rsidRDefault="004A425F" w:rsidP="00641834">
      <w:pPr>
        <w:rPr>
          <w:lang w:val="nb-NO"/>
        </w:rPr>
      </w:pPr>
    </w:p>
    <w:p w14:paraId="7574B4A0" w14:textId="77777777" w:rsidR="004A425F" w:rsidRPr="00A942F6" w:rsidRDefault="004A425F" w:rsidP="00641834">
      <w:pPr>
        <w:rPr>
          <w:lang w:val="nb-NO"/>
        </w:rPr>
      </w:pPr>
      <w:r w:rsidRPr="00A942F6">
        <w:rPr>
          <w:lang w:val="nb-NO"/>
        </w:rPr>
        <w:t>Bruk ikke dette legemidlet etter utløpsdatoen (EXP) som er angitt på den ferdigfylte sprøyten og esken. Utløpsdatoen er den siste dagen i den angitte måneden.</w:t>
      </w:r>
    </w:p>
    <w:p w14:paraId="19426333" w14:textId="77777777" w:rsidR="00310ABA" w:rsidRPr="00A942F6" w:rsidRDefault="00310ABA" w:rsidP="00641834">
      <w:pPr>
        <w:rPr>
          <w:lang w:val="nb-NO"/>
        </w:rPr>
      </w:pPr>
    </w:p>
    <w:p w14:paraId="22E465C9" w14:textId="3CE19927" w:rsidR="004A425F" w:rsidRPr="00A942F6" w:rsidRDefault="004A425F" w:rsidP="00641834">
      <w:pPr>
        <w:rPr>
          <w:lang w:val="nb-NO"/>
        </w:rPr>
      </w:pPr>
      <w:r w:rsidRPr="00A942F6">
        <w:rPr>
          <w:lang w:val="nb-NO"/>
        </w:rPr>
        <w:t xml:space="preserve">Oppbevares i kjøleskap (2 ºC – 8 ºC). Skal ikke fryses. Etter uttak fra kjøleskap kan den ferdigfylte sprøyten oppbevares i opptil </w:t>
      </w:r>
      <w:r w:rsidR="00AC01D0" w:rsidRPr="00A942F6">
        <w:rPr>
          <w:lang w:val="nb-NO"/>
        </w:rPr>
        <w:t>3 </w:t>
      </w:r>
      <w:r w:rsidRPr="00A942F6">
        <w:rPr>
          <w:lang w:val="nb-NO"/>
        </w:rPr>
        <w:t>uker ved høyst 30 °C.</w:t>
      </w:r>
    </w:p>
    <w:p w14:paraId="2F2183B9" w14:textId="77777777" w:rsidR="00310ABA" w:rsidRPr="00A942F6" w:rsidRDefault="00310ABA" w:rsidP="00641834">
      <w:pPr>
        <w:rPr>
          <w:lang w:val="nb-NO"/>
        </w:rPr>
      </w:pPr>
    </w:p>
    <w:p w14:paraId="33C7106C" w14:textId="77777777" w:rsidR="004A425F" w:rsidRPr="00A942F6" w:rsidRDefault="004A425F" w:rsidP="00641834">
      <w:pPr>
        <w:rPr>
          <w:lang w:val="nb-NO"/>
        </w:rPr>
      </w:pPr>
      <w:r w:rsidRPr="00A942F6">
        <w:rPr>
          <w:lang w:val="nb-NO"/>
        </w:rPr>
        <w:t>Oppbevar de ferdigfylte sprøytene i ytteremballasjen for å beskytte mot lys og fuktighet.</w:t>
      </w:r>
    </w:p>
    <w:p w14:paraId="76CDCC42" w14:textId="77777777" w:rsidR="004A425F" w:rsidRPr="00A942F6" w:rsidRDefault="004A425F" w:rsidP="00641834">
      <w:pPr>
        <w:rPr>
          <w:lang w:val="nb-NO"/>
        </w:rPr>
      </w:pPr>
    </w:p>
    <w:p w14:paraId="5021F5B0" w14:textId="35BD4AAE" w:rsidR="004A425F" w:rsidRPr="00A942F6" w:rsidRDefault="004A425F" w:rsidP="00641834">
      <w:pPr>
        <w:rPr>
          <w:lang w:val="nb-NO"/>
        </w:rPr>
      </w:pPr>
      <w:r w:rsidRPr="00A942F6">
        <w:rPr>
          <w:lang w:val="nb-NO"/>
        </w:rPr>
        <w:t>Ikke bruk legemidlet dersom det er uklart eller inneholder partikler, har en annen farge enn fargeløs til gul, eller noen av delene av den ferdigfylte sprøyten ser ut til å være skadet.</w:t>
      </w:r>
    </w:p>
    <w:p w14:paraId="41DB4890" w14:textId="77777777" w:rsidR="00310ABA" w:rsidRPr="00A942F6" w:rsidRDefault="00310ABA" w:rsidP="00641834">
      <w:pPr>
        <w:rPr>
          <w:lang w:val="nb-NO"/>
        </w:rPr>
      </w:pPr>
    </w:p>
    <w:p w14:paraId="656FBA00" w14:textId="615FA800" w:rsidR="004A425F" w:rsidRPr="00A942F6" w:rsidRDefault="004A425F" w:rsidP="00012510">
      <w:pPr>
        <w:rPr>
          <w:lang w:val="nb-NO"/>
        </w:rPr>
      </w:pPr>
      <w:r w:rsidRPr="00A942F6">
        <w:rPr>
          <w:lang w:val="nb-NO"/>
        </w:rPr>
        <w:t>Den ferdigfylte sprøyten skal ikke ristes. Etter å ha tatt av hetten må injeksjonen startes innen 5</w:t>
      </w:r>
      <w:r w:rsidR="001B6A3F">
        <w:rPr>
          <w:lang w:val="nb-NO"/>
        </w:rPr>
        <w:t> </w:t>
      </w:r>
      <w:r w:rsidRPr="00A942F6">
        <w:rPr>
          <w:lang w:val="nb-NO"/>
        </w:rPr>
        <w:t>minutter, for å forhindre at medisinen tørker ut og blokkerer kanylen. Dersom den ferdigfylte</w:t>
      </w:r>
      <w:r w:rsidR="00012510">
        <w:rPr>
          <w:lang w:val="nb-NO"/>
        </w:rPr>
        <w:t xml:space="preserve"> </w:t>
      </w:r>
      <w:r w:rsidRPr="00A942F6">
        <w:rPr>
          <w:lang w:val="nb-NO"/>
        </w:rPr>
        <w:t>sprøyten ikke brukes innen 5 minutter etter at hetten er fjernet, må den kastes i en avfallsbeholder for skarpe gjenstander, og en ny ferdigfylt sprøyte skal brukes.</w:t>
      </w:r>
    </w:p>
    <w:p w14:paraId="0A3F7ECD" w14:textId="77777777" w:rsidR="004A425F" w:rsidRPr="00A942F6" w:rsidRDefault="004A425F" w:rsidP="00641834">
      <w:pPr>
        <w:rPr>
          <w:lang w:val="nb-NO"/>
        </w:rPr>
      </w:pPr>
    </w:p>
    <w:p w14:paraId="40F0280F" w14:textId="77777777" w:rsidR="004A425F" w:rsidRPr="00A942F6" w:rsidRDefault="004A425F" w:rsidP="00641834">
      <w:pPr>
        <w:rPr>
          <w:lang w:val="nb-NO"/>
        </w:rPr>
      </w:pPr>
      <w:r w:rsidRPr="00A942F6">
        <w:rPr>
          <w:lang w:val="nb-NO"/>
        </w:rPr>
        <w:t>Hvis stempelet ikke kan trykkes ned når nålen er satt under huden, skal sprøyten kastes i en avfallsbeholder for skarpe gjenstander, og en ny ferdigfylt sprøyte må brukes.</w:t>
      </w:r>
    </w:p>
    <w:p w14:paraId="583D9A05" w14:textId="77777777" w:rsidR="004A425F" w:rsidRPr="00A942F6" w:rsidRDefault="004A425F" w:rsidP="00641834">
      <w:pPr>
        <w:rPr>
          <w:lang w:val="nb-NO"/>
        </w:rPr>
      </w:pPr>
    </w:p>
    <w:p w14:paraId="4E4A9219" w14:textId="77777777" w:rsidR="00310ABA" w:rsidRPr="00A942F6" w:rsidRDefault="004A425F" w:rsidP="00641834">
      <w:pPr>
        <w:pStyle w:val="H2"/>
        <w:rPr>
          <w:lang w:val="nb-NO"/>
        </w:rPr>
      </w:pPr>
      <w:r w:rsidRPr="00A942F6">
        <w:rPr>
          <w:lang w:val="nb-NO"/>
        </w:rPr>
        <w:t>6.</w:t>
      </w:r>
      <w:r w:rsidRPr="00A942F6">
        <w:rPr>
          <w:lang w:val="nb-NO"/>
        </w:rPr>
        <w:tab/>
        <w:t>Innholdet i pakningen og ytterligere informasjon</w:t>
      </w:r>
    </w:p>
    <w:p w14:paraId="1DD3B295" w14:textId="77777777" w:rsidR="00310ABA" w:rsidRPr="00A942F6" w:rsidRDefault="00310ABA" w:rsidP="00641834">
      <w:pPr>
        <w:pStyle w:val="H2"/>
        <w:rPr>
          <w:lang w:val="nb-NO"/>
        </w:rPr>
      </w:pPr>
    </w:p>
    <w:p w14:paraId="5D76CE60" w14:textId="39E6C310" w:rsidR="004A425F" w:rsidRPr="00A942F6" w:rsidRDefault="004A425F" w:rsidP="00641834">
      <w:pPr>
        <w:pStyle w:val="H2"/>
        <w:rPr>
          <w:lang w:val="nb-NO"/>
        </w:rPr>
      </w:pPr>
      <w:r w:rsidRPr="00A942F6">
        <w:rPr>
          <w:lang w:val="nb-NO"/>
        </w:rPr>
        <w:t xml:space="preserve">Sammensetning av </w:t>
      </w:r>
      <w:r w:rsidR="00923E68" w:rsidRPr="00A942F6">
        <w:rPr>
          <w:lang w:val="nb-NO"/>
        </w:rPr>
        <w:t>Avtozma</w:t>
      </w:r>
    </w:p>
    <w:p w14:paraId="31D82752" w14:textId="77777777" w:rsidR="004A425F" w:rsidRPr="00A942F6" w:rsidRDefault="004A425F" w:rsidP="00641834">
      <w:pPr>
        <w:pStyle w:val="Bullet1cm"/>
        <w:rPr>
          <w:lang w:val="nb-NO"/>
        </w:rPr>
      </w:pPr>
      <w:r w:rsidRPr="00A942F6">
        <w:rPr>
          <w:lang w:val="nb-NO"/>
        </w:rPr>
        <w:t>Virkestoffet er tocilizumab.</w:t>
      </w:r>
    </w:p>
    <w:p w14:paraId="4C694496" w14:textId="77777777" w:rsidR="004A425F" w:rsidRPr="00A942F6" w:rsidRDefault="004A425F" w:rsidP="00641834">
      <w:pPr>
        <w:ind w:left="567"/>
        <w:rPr>
          <w:lang w:val="nb-NO"/>
        </w:rPr>
      </w:pPr>
      <w:r w:rsidRPr="00A942F6">
        <w:rPr>
          <w:lang w:val="nb-NO"/>
        </w:rPr>
        <w:t>Hver ferdigfylte sprøyte inneholder 162 mg tocilizumab i 0,9 ml.</w:t>
      </w:r>
    </w:p>
    <w:p w14:paraId="7D79197D" w14:textId="77777777" w:rsidR="004A425F" w:rsidRPr="00A942F6" w:rsidRDefault="004A425F" w:rsidP="00641834">
      <w:pPr>
        <w:rPr>
          <w:lang w:val="nb-NO"/>
        </w:rPr>
      </w:pPr>
    </w:p>
    <w:p w14:paraId="29D3B8F0" w14:textId="73F543C6" w:rsidR="004A425F" w:rsidRPr="00A942F6" w:rsidRDefault="004A425F" w:rsidP="00641834">
      <w:pPr>
        <w:pStyle w:val="Bullet1cm"/>
        <w:rPr>
          <w:lang w:val="nb-NO"/>
        </w:rPr>
      </w:pPr>
      <w:r w:rsidRPr="00A942F6">
        <w:rPr>
          <w:lang w:val="nb-NO"/>
        </w:rPr>
        <w:t>Andre innholdsstoffer er L-histidin,</w:t>
      </w:r>
      <w:r w:rsidR="00CE3CFB" w:rsidRPr="00CE3CFB">
        <w:rPr>
          <w:rFonts w:eastAsia="맑은 고딕"/>
          <w:lang w:eastAsia="ko-KR"/>
        </w:rPr>
        <w:t xml:space="preserve"> </w:t>
      </w:r>
      <w:r w:rsidR="001B685D" w:rsidRPr="001B685D">
        <w:rPr>
          <w:rFonts w:eastAsia="맑은 고딕"/>
          <w:lang w:eastAsia="ko-KR"/>
        </w:rPr>
        <w:t>L-histidin monohydroklorid monohydrat</w:t>
      </w:r>
      <w:r w:rsidR="00220441" w:rsidRPr="00BD4D94">
        <w:rPr>
          <w:rFonts w:eastAsia="맑은 고딕"/>
          <w:lang w:val="nb-NO" w:eastAsia="ko-KR"/>
        </w:rPr>
        <w:t>,</w:t>
      </w:r>
      <w:r w:rsidR="00AC01D0" w:rsidRPr="00A942F6">
        <w:rPr>
          <w:lang w:val="nb-NO"/>
        </w:rPr>
        <w:t xml:space="preserve"> L</w:t>
      </w:r>
      <w:r w:rsidR="0095778D">
        <w:rPr>
          <w:lang w:val="nb-NO"/>
        </w:rPr>
        <w:noBreakHyphen/>
      </w:r>
      <w:r w:rsidR="00AC01D0" w:rsidRPr="00A942F6">
        <w:rPr>
          <w:lang w:val="nb-NO"/>
        </w:rPr>
        <w:t>treonin</w:t>
      </w:r>
      <w:r w:rsidRPr="00A942F6">
        <w:rPr>
          <w:lang w:val="nb-NO"/>
        </w:rPr>
        <w:t xml:space="preserve">, </w:t>
      </w:r>
      <w:r w:rsidR="008237A4" w:rsidRPr="00A942F6">
        <w:rPr>
          <w:lang w:val="nb-NO"/>
        </w:rPr>
        <w:t>L</w:t>
      </w:r>
      <w:r w:rsidR="008237A4">
        <w:rPr>
          <w:lang w:val="nb-NO"/>
        </w:rPr>
        <w:noBreakHyphen/>
      </w:r>
      <w:r w:rsidR="008237A4" w:rsidRPr="00A942F6">
        <w:rPr>
          <w:lang w:val="nb-NO"/>
        </w:rPr>
        <w:t xml:space="preserve">metionin, </w:t>
      </w:r>
      <w:r w:rsidRPr="00A942F6">
        <w:rPr>
          <w:lang w:val="nb-NO"/>
        </w:rPr>
        <w:t>polysorbat 80 og vann til injeksjonsvæsker.</w:t>
      </w:r>
    </w:p>
    <w:p w14:paraId="3A6A91A6" w14:textId="77777777" w:rsidR="004A425F" w:rsidRPr="00A942F6" w:rsidRDefault="004A425F" w:rsidP="00641834">
      <w:pPr>
        <w:rPr>
          <w:lang w:val="nb-NO"/>
        </w:rPr>
      </w:pPr>
    </w:p>
    <w:p w14:paraId="25626B91" w14:textId="029A8894" w:rsidR="004A425F" w:rsidRPr="00A942F6" w:rsidRDefault="004A425F" w:rsidP="00641834">
      <w:pPr>
        <w:pStyle w:val="bold"/>
        <w:rPr>
          <w:lang w:val="nb-NO"/>
        </w:rPr>
      </w:pPr>
      <w:r w:rsidRPr="00A942F6">
        <w:rPr>
          <w:lang w:val="nb-NO"/>
        </w:rPr>
        <w:t xml:space="preserve">Hvordan </w:t>
      </w:r>
      <w:r w:rsidR="00923E68" w:rsidRPr="00A942F6">
        <w:rPr>
          <w:lang w:val="nb-NO"/>
        </w:rPr>
        <w:t>Avtozma</w:t>
      </w:r>
      <w:r w:rsidRPr="00A942F6">
        <w:rPr>
          <w:lang w:val="nb-NO"/>
        </w:rPr>
        <w:t xml:space="preserve"> ser ut og innholdet i pakningen</w:t>
      </w:r>
    </w:p>
    <w:p w14:paraId="4BC5607C" w14:textId="40037603" w:rsidR="004A425F" w:rsidRPr="00A942F6" w:rsidRDefault="00923E68" w:rsidP="00641834">
      <w:pPr>
        <w:rPr>
          <w:lang w:val="nb-NO"/>
        </w:rPr>
      </w:pPr>
      <w:r w:rsidRPr="00A942F6">
        <w:rPr>
          <w:lang w:val="nb-NO"/>
        </w:rPr>
        <w:t>Avtozma</w:t>
      </w:r>
      <w:r w:rsidR="004A425F" w:rsidRPr="00A942F6">
        <w:rPr>
          <w:lang w:val="nb-NO"/>
        </w:rPr>
        <w:t xml:space="preserve"> er en injeksjonsvæske, oppløsning. Oppløsningen er fargeløs til gul.</w:t>
      </w:r>
    </w:p>
    <w:p w14:paraId="6E134179" w14:textId="77777777" w:rsidR="00310ABA" w:rsidRPr="00A942F6" w:rsidRDefault="00310ABA" w:rsidP="00641834">
      <w:pPr>
        <w:rPr>
          <w:lang w:val="nb-NO"/>
        </w:rPr>
      </w:pPr>
    </w:p>
    <w:p w14:paraId="73C3A348" w14:textId="5FD33019" w:rsidR="004A425F" w:rsidRPr="00A942F6" w:rsidRDefault="00923E68" w:rsidP="00641834">
      <w:pPr>
        <w:rPr>
          <w:lang w:val="nb-NO"/>
        </w:rPr>
      </w:pPr>
      <w:r w:rsidRPr="00A942F6">
        <w:rPr>
          <w:lang w:val="nb-NO"/>
        </w:rPr>
        <w:t>Avtozma</w:t>
      </w:r>
      <w:r w:rsidR="004A425F" w:rsidRPr="00A942F6">
        <w:rPr>
          <w:lang w:val="nb-NO"/>
        </w:rPr>
        <w:t xml:space="preserve"> leveres som en 0,9 ml ferdigfylt sprøyte som inneholder 162 mg tocilizumab injeksjonsvæske, oppløsning.</w:t>
      </w:r>
    </w:p>
    <w:p w14:paraId="335C09C0" w14:textId="77777777" w:rsidR="004A425F" w:rsidRPr="00A942F6" w:rsidRDefault="004A425F" w:rsidP="00641834">
      <w:pPr>
        <w:rPr>
          <w:lang w:val="nb-NO"/>
        </w:rPr>
      </w:pPr>
    </w:p>
    <w:p w14:paraId="6CEEE9AF" w14:textId="77777777" w:rsidR="00AC01D0" w:rsidRPr="00A942F6" w:rsidRDefault="00AC01D0" w:rsidP="00AC01D0">
      <w:pPr>
        <w:rPr>
          <w:lang w:val="nb-NO"/>
        </w:rPr>
      </w:pPr>
      <w:r w:rsidRPr="00A942F6">
        <w:rPr>
          <w:lang w:val="nb-NO"/>
        </w:rPr>
        <w:t>Avtozma ferdigfylt sprøyte for pasientbruk er tilgjengelig i pakninger som inneholder:</w:t>
      </w:r>
    </w:p>
    <w:p w14:paraId="2487BDBC" w14:textId="67AF0A0A" w:rsidR="00AC01D0" w:rsidRPr="00A942F6" w:rsidRDefault="00AC01D0" w:rsidP="00434BCD">
      <w:pPr>
        <w:numPr>
          <w:ilvl w:val="0"/>
          <w:numId w:val="64"/>
        </w:numPr>
        <w:ind w:left="567" w:hanging="567"/>
        <w:rPr>
          <w:lang w:val="nb-NO"/>
        </w:rPr>
      </w:pPr>
      <w:r w:rsidRPr="00A942F6">
        <w:rPr>
          <w:lang w:val="nb-NO"/>
        </w:rPr>
        <w:t>1 ferdigfylt sprøyte</w:t>
      </w:r>
    </w:p>
    <w:p w14:paraId="22339334" w14:textId="53F14C6A" w:rsidR="000603DA" w:rsidRPr="00A942F6" w:rsidRDefault="000603DA" w:rsidP="000603DA">
      <w:pPr>
        <w:numPr>
          <w:ilvl w:val="0"/>
          <w:numId w:val="64"/>
        </w:numPr>
        <w:ind w:left="567" w:hanging="567"/>
        <w:rPr>
          <w:ins w:id="27" w:author="만든 이"/>
          <w:lang w:val="nb-NO"/>
        </w:rPr>
      </w:pPr>
      <w:ins w:id="28" w:author="만든 이">
        <w:r>
          <w:rPr>
            <w:rFonts w:eastAsia="맑은 고딕" w:hint="eastAsia"/>
            <w:lang w:val="nb-NO" w:eastAsia="ko-KR"/>
          </w:rPr>
          <w:t>2</w:t>
        </w:r>
        <w:r w:rsidRPr="00A942F6">
          <w:rPr>
            <w:lang w:val="nb-NO"/>
          </w:rPr>
          <w:t> ferdigfylte sprøyter</w:t>
        </w:r>
      </w:ins>
    </w:p>
    <w:p w14:paraId="0686A327" w14:textId="41210D4E" w:rsidR="00AC01D0" w:rsidRPr="00A942F6" w:rsidRDefault="00AC01D0" w:rsidP="00434BCD">
      <w:pPr>
        <w:numPr>
          <w:ilvl w:val="0"/>
          <w:numId w:val="64"/>
        </w:numPr>
        <w:ind w:left="567" w:hanging="567"/>
        <w:rPr>
          <w:lang w:val="nb-NO"/>
        </w:rPr>
      </w:pPr>
      <w:r w:rsidRPr="00A942F6">
        <w:rPr>
          <w:lang w:val="nb-NO"/>
        </w:rPr>
        <w:t>4 ferdigfylte sprøyter</w:t>
      </w:r>
    </w:p>
    <w:p w14:paraId="762DB813" w14:textId="2C0843DA" w:rsidR="00AC01D0" w:rsidRPr="00A942F6" w:rsidRDefault="00AC01D0" w:rsidP="00434BCD">
      <w:pPr>
        <w:numPr>
          <w:ilvl w:val="0"/>
          <w:numId w:val="64"/>
        </w:numPr>
        <w:ind w:left="567" w:hanging="567"/>
        <w:rPr>
          <w:lang w:val="nb-NO"/>
        </w:rPr>
      </w:pPr>
      <w:r w:rsidRPr="00A942F6">
        <w:rPr>
          <w:lang w:val="nb-NO"/>
        </w:rPr>
        <w:t>12 (3 pak</w:t>
      </w:r>
      <w:r w:rsidR="000A3A78" w:rsidRPr="00A942F6">
        <w:rPr>
          <w:lang w:val="nb-NO"/>
        </w:rPr>
        <w:t>ning</w:t>
      </w:r>
      <w:r w:rsidRPr="00A942F6">
        <w:rPr>
          <w:lang w:val="nb-NO"/>
        </w:rPr>
        <w:t>er à 4) ferdigfylte sprøyter (multipakning)</w:t>
      </w:r>
    </w:p>
    <w:p w14:paraId="52FBB7D9" w14:textId="77777777" w:rsidR="00AC01D0" w:rsidRPr="00A942F6" w:rsidRDefault="00AC01D0" w:rsidP="00641834">
      <w:pPr>
        <w:rPr>
          <w:lang w:val="nb-NO"/>
        </w:rPr>
      </w:pPr>
    </w:p>
    <w:p w14:paraId="1DC8DEEB" w14:textId="43E91536" w:rsidR="004A425F" w:rsidRPr="00A942F6" w:rsidRDefault="004A425F" w:rsidP="00641834">
      <w:pPr>
        <w:rPr>
          <w:lang w:val="nb-NO"/>
        </w:rPr>
      </w:pPr>
      <w:r w:rsidRPr="00A942F6">
        <w:rPr>
          <w:lang w:val="nb-NO"/>
        </w:rPr>
        <w:t>Ikke alle pakningsstørrelser vil nødvendigvis bli markedsført.</w:t>
      </w:r>
    </w:p>
    <w:p w14:paraId="3E1CA41B" w14:textId="77777777" w:rsidR="004A425F" w:rsidRPr="00A942F6" w:rsidRDefault="004A425F" w:rsidP="00641834">
      <w:pPr>
        <w:rPr>
          <w:lang w:val="nb-NO"/>
        </w:rPr>
      </w:pPr>
    </w:p>
    <w:p w14:paraId="6BD06544" w14:textId="77777777" w:rsidR="004A425F" w:rsidRPr="00A942F6" w:rsidRDefault="004A425F" w:rsidP="00641834">
      <w:pPr>
        <w:pStyle w:val="bold"/>
        <w:rPr>
          <w:lang w:val="nb-NO"/>
        </w:rPr>
      </w:pPr>
      <w:r w:rsidRPr="00A942F6">
        <w:rPr>
          <w:lang w:val="nb-NO"/>
        </w:rPr>
        <w:t>Innehaver av markedsføringstillatelsen</w:t>
      </w:r>
    </w:p>
    <w:p w14:paraId="34C9CA27" w14:textId="77777777" w:rsidR="00AC01D0" w:rsidRPr="00BD4D94" w:rsidRDefault="00AC01D0" w:rsidP="00AC01D0">
      <w:pPr>
        <w:keepNext/>
        <w:rPr>
          <w:lang w:val="nb-NO"/>
        </w:rPr>
      </w:pPr>
      <w:r w:rsidRPr="00BD4D94">
        <w:rPr>
          <w:lang w:val="nb-NO"/>
        </w:rPr>
        <w:t>Celltrion Healthcare Hungary Kft.</w:t>
      </w:r>
    </w:p>
    <w:p w14:paraId="3C5D1C1A" w14:textId="77777777" w:rsidR="00AC01D0" w:rsidRPr="009B40A5" w:rsidRDefault="00AC01D0" w:rsidP="00AC01D0">
      <w:pPr>
        <w:keepNext/>
      </w:pPr>
      <w:r w:rsidRPr="009B40A5">
        <w:t>1062 Budapest</w:t>
      </w:r>
    </w:p>
    <w:p w14:paraId="5B0BD46E" w14:textId="77777777" w:rsidR="00AC01D0" w:rsidRPr="009B40A5" w:rsidRDefault="00AC01D0" w:rsidP="00AC01D0">
      <w:pPr>
        <w:keepNext/>
      </w:pPr>
      <w:r w:rsidRPr="009B40A5">
        <w:t>Váci út 1</w:t>
      </w:r>
      <w:r w:rsidR="005C3BF4" w:rsidRPr="009B40A5">
        <w:noBreakHyphen/>
      </w:r>
      <w:r w:rsidRPr="009B40A5">
        <w:t>3. WestEnd Office Building B torony</w:t>
      </w:r>
    </w:p>
    <w:p w14:paraId="6FE168A2" w14:textId="77777777" w:rsidR="00AC01D0" w:rsidRPr="009B40A5" w:rsidRDefault="00AC01D0" w:rsidP="00AC01D0">
      <w:r w:rsidRPr="009B40A5">
        <w:t>Ungarn</w:t>
      </w:r>
    </w:p>
    <w:p w14:paraId="045C6345" w14:textId="77777777" w:rsidR="00310ABA" w:rsidRPr="009B40A5" w:rsidRDefault="00310ABA" w:rsidP="00641834"/>
    <w:p w14:paraId="6758FBD8" w14:textId="77777777" w:rsidR="004A425F" w:rsidRPr="00CD583D" w:rsidRDefault="004A425F" w:rsidP="00641834">
      <w:pPr>
        <w:pStyle w:val="bold"/>
        <w:rPr>
          <w:lang w:val="fr-FR"/>
        </w:rPr>
      </w:pPr>
      <w:r w:rsidRPr="00CD583D">
        <w:rPr>
          <w:lang w:val="fr-FR"/>
        </w:rPr>
        <w:t>Tilvirker</w:t>
      </w:r>
    </w:p>
    <w:p w14:paraId="5BC28CFF" w14:textId="77777777" w:rsidR="00AC01D0" w:rsidRPr="00CD583D" w:rsidRDefault="00AC01D0" w:rsidP="00AC01D0">
      <w:pPr>
        <w:keepNext/>
        <w:rPr>
          <w:lang w:val="fr-FR"/>
        </w:rPr>
      </w:pPr>
      <w:r w:rsidRPr="00CD583D">
        <w:rPr>
          <w:lang w:val="fr-FR"/>
        </w:rPr>
        <w:t>Nuvisan France SARL</w:t>
      </w:r>
    </w:p>
    <w:p w14:paraId="51A7F252" w14:textId="77777777" w:rsidR="00AC01D0" w:rsidRPr="00CD583D" w:rsidRDefault="00AC01D0" w:rsidP="00AC01D0">
      <w:pPr>
        <w:keepNext/>
        <w:rPr>
          <w:lang w:val="fr-FR"/>
        </w:rPr>
      </w:pPr>
      <w:r w:rsidRPr="00CD583D">
        <w:rPr>
          <w:lang w:val="fr-FR"/>
        </w:rPr>
        <w:t xml:space="preserve">2400, Route des Colles, </w:t>
      </w:r>
    </w:p>
    <w:p w14:paraId="33080BE8" w14:textId="77777777" w:rsidR="00AC01D0" w:rsidRPr="00CD583D" w:rsidRDefault="00AC01D0" w:rsidP="00AC01D0">
      <w:pPr>
        <w:keepNext/>
        <w:rPr>
          <w:lang w:val="de-DE"/>
        </w:rPr>
      </w:pPr>
      <w:r w:rsidRPr="00CD583D">
        <w:rPr>
          <w:lang w:val="de-DE"/>
        </w:rPr>
        <w:t xml:space="preserve">06410, Biot, </w:t>
      </w:r>
    </w:p>
    <w:p w14:paraId="56BD8E22" w14:textId="77777777" w:rsidR="00AC01D0" w:rsidRPr="00CD583D" w:rsidRDefault="00AC01D0" w:rsidP="00AC01D0">
      <w:pPr>
        <w:rPr>
          <w:lang w:val="de-DE"/>
        </w:rPr>
      </w:pPr>
      <w:r w:rsidRPr="00CD583D">
        <w:rPr>
          <w:lang w:val="de-DE"/>
        </w:rPr>
        <w:t>Frankrike</w:t>
      </w:r>
    </w:p>
    <w:p w14:paraId="410299CD" w14:textId="77777777" w:rsidR="00AC01D0" w:rsidRPr="00CD583D" w:rsidRDefault="00AC01D0" w:rsidP="00AC01D0">
      <w:pPr>
        <w:rPr>
          <w:lang w:val="de-DE"/>
        </w:rPr>
      </w:pPr>
    </w:p>
    <w:p w14:paraId="1BD31315" w14:textId="77777777" w:rsidR="00AC01D0" w:rsidRPr="00CD583D" w:rsidRDefault="00AC01D0" w:rsidP="00AC01D0">
      <w:pPr>
        <w:keepNext/>
        <w:rPr>
          <w:lang w:val="de-DE"/>
        </w:rPr>
      </w:pPr>
      <w:r w:rsidRPr="00CD583D">
        <w:rPr>
          <w:lang w:val="de-DE"/>
        </w:rPr>
        <w:t>Midas Pharma GmbH</w:t>
      </w:r>
    </w:p>
    <w:p w14:paraId="0B8FDCA8" w14:textId="77777777" w:rsidR="00AC01D0" w:rsidRPr="009B40A5" w:rsidRDefault="00AC01D0" w:rsidP="00AC01D0">
      <w:pPr>
        <w:keepNext/>
        <w:rPr>
          <w:lang w:val="sv-SE"/>
        </w:rPr>
      </w:pPr>
      <w:r w:rsidRPr="00CD583D">
        <w:rPr>
          <w:lang w:val="de-DE"/>
        </w:rPr>
        <w:t xml:space="preserve">Rheinstr. </w:t>
      </w:r>
      <w:r w:rsidRPr="009B40A5">
        <w:rPr>
          <w:lang w:val="sv-SE"/>
        </w:rPr>
        <w:t xml:space="preserve">49, </w:t>
      </w:r>
    </w:p>
    <w:p w14:paraId="2910CC36" w14:textId="77777777" w:rsidR="00AC01D0" w:rsidRPr="009B40A5" w:rsidRDefault="00AC01D0" w:rsidP="00AC01D0">
      <w:pPr>
        <w:keepNext/>
        <w:rPr>
          <w:lang w:val="sv-SE"/>
        </w:rPr>
      </w:pPr>
      <w:r w:rsidRPr="009B40A5">
        <w:rPr>
          <w:lang w:val="sv-SE"/>
        </w:rPr>
        <w:t>55218 Ingelheim,</w:t>
      </w:r>
    </w:p>
    <w:p w14:paraId="0476E96B" w14:textId="77777777" w:rsidR="00AC01D0" w:rsidRPr="009B40A5" w:rsidRDefault="00AC01D0" w:rsidP="00AC01D0">
      <w:pPr>
        <w:rPr>
          <w:lang w:val="sv-SE"/>
        </w:rPr>
      </w:pPr>
      <w:r w:rsidRPr="009B40A5">
        <w:rPr>
          <w:lang w:val="sv-SE"/>
        </w:rPr>
        <w:t>Tyskland</w:t>
      </w:r>
    </w:p>
    <w:p w14:paraId="60E57161" w14:textId="77777777" w:rsidR="00AC01D0" w:rsidRPr="009B40A5" w:rsidRDefault="00AC01D0" w:rsidP="00AC01D0">
      <w:pPr>
        <w:rPr>
          <w:lang w:val="sv-SE"/>
        </w:rPr>
      </w:pPr>
    </w:p>
    <w:p w14:paraId="5D3B8954" w14:textId="77777777" w:rsidR="00AC01D0" w:rsidRPr="009B40A5" w:rsidRDefault="00AC01D0" w:rsidP="00AC01D0">
      <w:pPr>
        <w:keepNext/>
        <w:rPr>
          <w:lang w:val="sv-SE"/>
        </w:rPr>
      </w:pPr>
      <w:r w:rsidRPr="009B40A5">
        <w:rPr>
          <w:lang w:val="sv-SE"/>
        </w:rPr>
        <w:t xml:space="preserve">KYMOS S.L. </w:t>
      </w:r>
    </w:p>
    <w:p w14:paraId="5010355B" w14:textId="77777777" w:rsidR="00AC01D0" w:rsidRPr="009B40A5" w:rsidRDefault="00AC01D0" w:rsidP="00AC01D0">
      <w:pPr>
        <w:keepNext/>
        <w:rPr>
          <w:lang w:val="sv-SE"/>
        </w:rPr>
      </w:pPr>
      <w:r w:rsidRPr="009B40A5">
        <w:rPr>
          <w:lang w:val="sv-SE"/>
        </w:rPr>
        <w:t xml:space="preserve">Ronda Can Fatjó, 7B. </w:t>
      </w:r>
    </w:p>
    <w:p w14:paraId="18DBB5BC" w14:textId="77777777" w:rsidR="00AC01D0" w:rsidRPr="009B40A5" w:rsidRDefault="00AC01D0" w:rsidP="00AC01D0">
      <w:pPr>
        <w:keepNext/>
        <w:rPr>
          <w:lang w:val="sv-SE"/>
        </w:rPr>
      </w:pPr>
      <w:r w:rsidRPr="009B40A5">
        <w:rPr>
          <w:lang w:val="sv-SE"/>
        </w:rPr>
        <w:t xml:space="preserve">08290 Cerdanyola del Vallès, </w:t>
      </w:r>
    </w:p>
    <w:p w14:paraId="3FD7A053" w14:textId="77777777" w:rsidR="00AC01D0" w:rsidRPr="00A942F6" w:rsidRDefault="00AC01D0" w:rsidP="00AC01D0">
      <w:pPr>
        <w:keepNext/>
        <w:rPr>
          <w:lang w:val="nb-NO"/>
        </w:rPr>
      </w:pPr>
      <w:r w:rsidRPr="00A942F6">
        <w:rPr>
          <w:lang w:val="nb-NO"/>
        </w:rPr>
        <w:t xml:space="preserve">Barcelona, </w:t>
      </w:r>
    </w:p>
    <w:p w14:paraId="4E2E5E60" w14:textId="77777777" w:rsidR="00AC01D0" w:rsidRPr="00A942F6" w:rsidRDefault="00AC01D0" w:rsidP="00AC01D0">
      <w:pPr>
        <w:rPr>
          <w:lang w:val="nb-NO"/>
        </w:rPr>
      </w:pPr>
      <w:r w:rsidRPr="00A942F6">
        <w:rPr>
          <w:lang w:val="nb-NO"/>
        </w:rPr>
        <w:t>Spania</w:t>
      </w:r>
    </w:p>
    <w:p w14:paraId="06E41AA9" w14:textId="77777777" w:rsidR="00310ABA" w:rsidRPr="00A942F6" w:rsidRDefault="00310ABA" w:rsidP="00641834">
      <w:pPr>
        <w:rPr>
          <w:lang w:val="nb-NO"/>
        </w:rPr>
      </w:pPr>
    </w:p>
    <w:p w14:paraId="77DF6A1B" w14:textId="77777777" w:rsidR="004A425F" w:rsidRPr="00A942F6" w:rsidRDefault="004A425F" w:rsidP="00641834">
      <w:pPr>
        <w:rPr>
          <w:lang w:val="nb-NO"/>
        </w:rPr>
      </w:pPr>
      <w:r w:rsidRPr="00A942F6">
        <w:rPr>
          <w:lang w:val="nb-NO"/>
        </w:rPr>
        <w:t>Ta kontakt med den lokale representanten for innehaveren av markedsføringstillatelsen for ytterligere informasjon om dette legemidlet.:</w:t>
      </w:r>
    </w:p>
    <w:p w14:paraId="50F68E29" w14:textId="77777777" w:rsidR="004A425F" w:rsidRPr="00A942F6" w:rsidRDefault="004A425F" w:rsidP="00641834">
      <w:pPr>
        <w:rPr>
          <w:lang w:val="nb-NO"/>
        </w:rPr>
      </w:pPr>
    </w:p>
    <w:tbl>
      <w:tblPr>
        <w:tblW w:w="5000" w:type="pct"/>
        <w:tblLayout w:type="fixed"/>
        <w:tblCellMar>
          <w:top w:w="28" w:type="dxa"/>
          <w:bottom w:w="28" w:type="dxa"/>
        </w:tblCellMar>
        <w:tblLook w:val="04A0" w:firstRow="1" w:lastRow="0" w:firstColumn="1" w:lastColumn="0" w:noHBand="0" w:noVBand="1"/>
      </w:tblPr>
      <w:tblGrid>
        <w:gridCol w:w="4535"/>
        <w:gridCol w:w="4536"/>
      </w:tblGrid>
      <w:tr w:rsidR="007461B0" w:rsidRPr="00A942F6" w14:paraId="039AE18F" w14:textId="77777777">
        <w:trPr>
          <w:cantSplit/>
        </w:trPr>
        <w:tc>
          <w:tcPr>
            <w:tcW w:w="2500" w:type="pct"/>
            <w:hideMark/>
          </w:tcPr>
          <w:p w14:paraId="1DB89A95" w14:textId="77777777" w:rsidR="00AC01D0" w:rsidRPr="009B40A5" w:rsidRDefault="00AC01D0">
            <w:pPr>
              <w:widowControl w:val="0"/>
              <w:suppressAutoHyphens/>
              <w:rPr>
                <w:rFonts w:eastAsia="새굴림" w:cs="새굴림"/>
                <w:b/>
                <w:noProof/>
                <w:lang w:eastAsia="fr-FR"/>
              </w:rPr>
            </w:pPr>
            <w:r w:rsidRPr="009B40A5">
              <w:rPr>
                <w:rFonts w:eastAsia="맑은 고딕" w:cs="새굴림"/>
                <w:b/>
                <w:noProof/>
                <w:lang w:eastAsia="fr-FR"/>
              </w:rPr>
              <w:t>België/Belgique/Belgien</w:t>
            </w:r>
          </w:p>
          <w:p w14:paraId="4E0EF7E1" w14:textId="77777777" w:rsidR="00AC01D0" w:rsidRPr="009B40A5" w:rsidRDefault="00AC01D0">
            <w:pPr>
              <w:widowControl w:val="0"/>
              <w:suppressAutoHyphens/>
              <w:rPr>
                <w:rFonts w:eastAsia="맑은 고딕" w:cs="새굴림"/>
                <w:noProof/>
                <w:lang w:eastAsia="fr-FR"/>
              </w:rPr>
            </w:pPr>
            <w:r w:rsidRPr="009B40A5">
              <w:rPr>
                <w:rFonts w:eastAsia="맑은 고딕" w:cs="새굴림"/>
                <w:noProof/>
                <w:lang w:eastAsia="fr-FR"/>
              </w:rPr>
              <w:t>Celltrion Healthcare Belgium BVBA</w:t>
            </w:r>
          </w:p>
          <w:p w14:paraId="2F4863F5"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Tél/Tel: +32 2 643 71 81</w:t>
            </w:r>
          </w:p>
          <w:p w14:paraId="072F7317"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BEinfo@celltrionhc.com</w:t>
            </w:r>
          </w:p>
          <w:p w14:paraId="425EFEF7" w14:textId="77777777" w:rsidR="00AC01D0" w:rsidRPr="00A942F6" w:rsidRDefault="00AC01D0">
            <w:pPr>
              <w:widowControl w:val="0"/>
              <w:suppressAutoHyphens/>
              <w:rPr>
                <w:rFonts w:eastAsia="맑은 고딕" w:cs="새굴림"/>
                <w:noProof/>
                <w:lang w:val="nb-NO" w:eastAsia="ko-KR"/>
              </w:rPr>
            </w:pPr>
          </w:p>
        </w:tc>
        <w:tc>
          <w:tcPr>
            <w:tcW w:w="2500" w:type="pct"/>
          </w:tcPr>
          <w:p w14:paraId="516819C1" w14:textId="77777777" w:rsidR="00AC01D0" w:rsidRPr="009B40A5" w:rsidRDefault="00AC01D0">
            <w:pPr>
              <w:widowControl w:val="0"/>
              <w:tabs>
                <w:tab w:val="left" w:pos="-720"/>
              </w:tabs>
              <w:suppressAutoHyphens/>
              <w:rPr>
                <w:rFonts w:eastAsia="새굴림" w:cs="새굴림"/>
                <w:b/>
                <w:noProof/>
                <w:lang w:eastAsia="fr-FR"/>
              </w:rPr>
            </w:pPr>
            <w:r w:rsidRPr="009B40A5">
              <w:rPr>
                <w:rFonts w:eastAsia="새굴림" w:cs="새굴림"/>
                <w:b/>
                <w:noProof/>
                <w:lang w:eastAsia="fr-FR"/>
              </w:rPr>
              <w:t>Lietuva</w:t>
            </w:r>
          </w:p>
          <w:p w14:paraId="21B0DAA8"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18C114D5" w14:textId="77777777" w:rsidR="00AC01D0" w:rsidRPr="00A942F6" w:rsidRDefault="00AC01D0">
            <w:pPr>
              <w:widowControl w:val="0"/>
              <w:suppressAutoHyphens/>
              <w:autoSpaceDE w:val="0"/>
              <w:autoSpaceDN w:val="0"/>
              <w:adjustRightInd w:val="0"/>
              <w:rPr>
                <w:rFonts w:eastAsia="새굴림" w:cs="새굴림"/>
                <w:noProof/>
                <w:lang w:val="nb-NO" w:eastAsia="fr-FR"/>
              </w:rPr>
            </w:pPr>
            <w:r w:rsidRPr="00A942F6">
              <w:rPr>
                <w:rFonts w:eastAsia="맑은 고딕" w:cs="새굴림"/>
                <w:noProof/>
                <w:lang w:val="nb-NO" w:eastAsia="fr-FR"/>
              </w:rPr>
              <w:t>Tel.: +36 1 231 0493</w:t>
            </w:r>
          </w:p>
          <w:p w14:paraId="4248F2E4" w14:textId="77777777" w:rsidR="00AC01D0" w:rsidRPr="00A942F6" w:rsidRDefault="00AC01D0">
            <w:pPr>
              <w:widowControl w:val="0"/>
              <w:suppressAutoHyphens/>
              <w:autoSpaceDE w:val="0"/>
              <w:autoSpaceDN w:val="0"/>
              <w:adjustRightInd w:val="0"/>
              <w:rPr>
                <w:rFonts w:eastAsia="새굴림" w:cs="새굴림"/>
                <w:noProof/>
                <w:lang w:val="nb-NO" w:eastAsia="fr-FR"/>
              </w:rPr>
            </w:pPr>
          </w:p>
        </w:tc>
      </w:tr>
      <w:tr w:rsidR="007461B0" w:rsidRPr="00A942F6" w14:paraId="0E29A7FA" w14:textId="77777777">
        <w:trPr>
          <w:cantSplit/>
        </w:trPr>
        <w:tc>
          <w:tcPr>
            <w:tcW w:w="2500" w:type="pct"/>
          </w:tcPr>
          <w:p w14:paraId="67CBDE6C" w14:textId="77777777" w:rsidR="00AC01D0" w:rsidRPr="009B40A5" w:rsidRDefault="00AC01D0">
            <w:pPr>
              <w:widowControl w:val="0"/>
              <w:suppressAutoHyphens/>
              <w:rPr>
                <w:rFonts w:eastAsia="맑은 고딕" w:cs="새굴림"/>
                <w:b/>
                <w:noProof/>
                <w:lang w:eastAsia="fr-FR"/>
              </w:rPr>
            </w:pPr>
            <w:r w:rsidRPr="00A942F6">
              <w:rPr>
                <w:rFonts w:eastAsia="새굴림" w:cs="새굴림"/>
                <w:b/>
                <w:bCs/>
                <w:lang w:val="nb-NO"/>
              </w:rPr>
              <w:t>България</w:t>
            </w:r>
          </w:p>
          <w:p w14:paraId="1320CD46"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6C6FA974"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Teл.: +36 1 231 0493</w:t>
            </w:r>
          </w:p>
          <w:p w14:paraId="12C4BBBB" w14:textId="77777777" w:rsidR="00AC01D0" w:rsidRPr="00A942F6" w:rsidRDefault="00AC01D0">
            <w:pPr>
              <w:widowControl w:val="0"/>
              <w:suppressAutoHyphens/>
              <w:rPr>
                <w:rFonts w:eastAsia="새굴림" w:cs="새굴림"/>
                <w:noProof/>
                <w:lang w:val="nb-NO" w:eastAsia="fr-FR"/>
              </w:rPr>
            </w:pPr>
          </w:p>
        </w:tc>
        <w:tc>
          <w:tcPr>
            <w:tcW w:w="2500" w:type="pct"/>
            <w:hideMark/>
          </w:tcPr>
          <w:p w14:paraId="2062C0B0" w14:textId="77777777" w:rsidR="00AC01D0" w:rsidRPr="00CD583D" w:rsidRDefault="00AC01D0">
            <w:pPr>
              <w:widowControl w:val="0"/>
              <w:tabs>
                <w:tab w:val="left" w:pos="-720"/>
              </w:tabs>
              <w:suppressAutoHyphens/>
              <w:rPr>
                <w:rFonts w:eastAsia="새굴림" w:cs="새굴림"/>
                <w:noProof/>
                <w:lang w:val="de-DE" w:eastAsia="fr-FR"/>
              </w:rPr>
            </w:pPr>
            <w:r w:rsidRPr="00CD583D">
              <w:rPr>
                <w:rFonts w:eastAsia="맑은 고딕" w:cs="새굴림"/>
                <w:b/>
                <w:noProof/>
                <w:lang w:val="de-DE" w:eastAsia="fr-FR"/>
              </w:rPr>
              <w:t>Luxembourg/Luxemburg</w:t>
            </w:r>
          </w:p>
          <w:p w14:paraId="0786EBEB" w14:textId="77777777" w:rsidR="00AC01D0" w:rsidRPr="00CD583D" w:rsidRDefault="00AC01D0">
            <w:pPr>
              <w:widowControl w:val="0"/>
              <w:suppressAutoHyphens/>
              <w:rPr>
                <w:rFonts w:eastAsia="맑은 고딕" w:cs="새굴림"/>
                <w:noProof/>
                <w:lang w:val="de-DE" w:eastAsia="fr-FR"/>
              </w:rPr>
            </w:pPr>
            <w:r w:rsidRPr="00CD583D">
              <w:rPr>
                <w:rFonts w:eastAsia="맑은 고딕" w:cs="새굴림"/>
                <w:noProof/>
                <w:lang w:val="de-DE" w:eastAsia="fr-FR"/>
              </w:rPr>
              <w:t>Celltrion Healthcare Belgium BVBA</w:t>
            </w:r>
          </w:p>
          <w:p w14:paraId="5E1550E3" w14:textId="77777777" w:rsidR="00AC01D0" w:rsidRPr="00A942F6" w:rsidRDefault="00AC01D0">
            <w:pPr>
              <w:widowControl w:val="0"/>
              <w:tabs>
                <w:tab w:val="left" w:pos="-720"/>
              </w:tabs>
              <w:suppressAutoHyphens/>
              <w:rPr>
                <w:rFonts w:eastAsia="맑은 고딕" w:cs="새굴림"/>
                <w:lang w:val="nb-NO" w:eastAsia="ko-KR"/>
              </w:rPr>
            </w:pPr>
            <w:r w:rsidRPr="00A942F6">
              <w:rPr>
                <w:rFonts w:eastAsia="맑은 고딕" w:cs="새굴림"/>
                <w:noProof/>
                <w:lang w:val="nb-NO" w:eastAsia="fr-FR"/>
              </w:rPr>
              <w:t>Tél/Tel: +32 2 643 71 81</w:t>
            </w:r>
          </w:p>
          <w:p w14:paraId="72CD0F58"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BEinfo@celltrionhc.com</w:t>
            </w:r>
          </w:p>
          <w:p w14:paraId="3FD29EFA" w14:textId="77777777" w:rsidR="00AC01D0" w:rsidRPr="00A942F6" w:rsidRDefault="00AC01D0">
            <w:pPr>
              <w:widowControl w:val="0"/>
              <w:tabs>
                <w:tab w:val="left" w:pos="-720"/>
              </w:tabs>
              <w:suppressAutoHyphens/>
              <w:rPr>
                <w:rFonts w:eastAsia="맑은 고딕" w:cs="새굴림"/>
                <w:lang w:val="nb-NO" w:eastAsia="ko-KR"/>
              </w:rPr>
            </w:pPr>
          </w:p>
        </w:tc>
      </w:tr>
      <w:tr w:rsidR="007461B0" w:rsidRPr="00A942F6" w14:paraId="5CC0102B" w14:textId="77777777">
        <w:trPr>
          <w:cantSplit/>
        </w:trPr>
        <w:tc>
          <w:tcPr>
            <w:tcW w:w="2500" w:type="pct"/>
            <w:hideMark/>
          </w:tcPr>
          <w:p w14:paraId="6F1DDC69" w14:textId="77777777" w:rsidR="00AC01D0" w:rsidRPr="009B40A5" w:rsidRDefault="00AC01D0">
            <w:pPr>
              <w:widowControl w:val="0"/>
              <w:tabs>
                <w:tab w:val="left" w:pos="-720"/>
              </w:tabs>
              <w:suppressAutoHyphens/>
              <w:rPr>
                <w:rFonts w:eastAsia="맑은 고딕" w:cs="새굴림"/>
                <w:b/>
                <w:noProof/>
                <w:lang w:eastAsia="fr-FR"/>
              </w:rPr>
            </w:pPr>
            <w:r w:rsidRPr="009B40A5">
              <w:rPr>
                <w:rFonts w:eastAsia="맑은 고딕" w:cs="새굴림"/>
                <w:b/>
                <w:noProof/>
                <w:lang w:eastAsia="fr-FR"/>
              </w:rPr>
              <w:t>Česká republika</w:t>
            </w:r>
          </w:p>
          <w:p w14:paraId="679DA9FE"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268F6D3C" w14:textId="77777777" w:rsidR="00AC01D0" w:rsidRPr="00A942F6" w:rsidRDefault="00AC01D0">
            <w:pPr>
              <w:widowControl w:val="0"/>
              <w:tabs>
                <w:tab w:val="left" w:pos="-720"/>
              </w:tabs>
              <w:suppressAutoHyphens/>
              <w:rPr>
                <w:rFonts w:eastAsia="맑은 고딕" w:cs="새굴림"/>
                <w:noProof/>
                <w:lang w:val="nb-NO" w:eastAsia="fr-FR"/>
              </w:rPr>
            </w:pPr>
            <w:r w:rsidRPr="00A942F6">
              <w:rPr>
                <w:rFonts w:eastAsia="맑은 고딕" w:cs="새굴림"/>
                <w:noProof/>
                <w:lang w:val="nb-NO" w:eastAsia="fr-FR"/>
              </w:rPr>
              <w:t>Tel: +36 1 231 0493</w:t>
            </w:r>
          </w:p>
          <w:p w14:paraId="675E6937" w14:textId="77777777" w:rsidR="00AC01D0" w:rsidRPr="00A942F6" w:rsidRDefault="00AC01D0">
            <w:pPr>
              <w:widowControl w:val="0"/>
              <w:tabs>
                <w:tab w:val="left" w:pos="-720"/>
              </w:tabs>
              <w:suppressAutoHyphens/>
              <w:rPr>
                <w:rFonts w:eastAsia="새굴림" w:cs="새굴림"/>
                <w:noProof/>
                <w:lang w:val="nb-NO" w:eastAsia="fr-FR"/>
              </w:rPr>
            </w:pPr>
          </w:p>
        </w:tc>
        <w:tc>
          <w:tcPr>
            <w:tcW w:w="2500" w:type="pct"/>
          </w:tcPr>
          <w:p w14:paraId="2BF75BB1" w14:textId="77777777" w:rsidR="00AC01D0" w:rsidRPr="009B40A5" w:rsidRDefault="00AC01D0">
            <w:pPr>
              <w:widowControl w:val="0"/>
              <w:suppressAutoHyphens/>
              <w:rPr>
                <w:rFonts w:eastAsia="맑은 고딕" w:cs="새굴림"/>
                <w:b/>
                <w:noProof/>
                <w:lang w:eastAsia="fr-FR"/>
              </w:rPr>
            </w:pPr>
            <w:r w:rsidRPr="009B40A5">
              <w:rPr>
                <w:rFonts w:eastAsia="새굴림" w:cs="새굴림"/>
                <w:b/>
                <w:noProof/>
              </w:rPr>
              <w:t>Magyarország</w:t>
            </w:r>
          </w:p>
          <w:p w14:paraId="4B8560AE"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56DAC2B5"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216C8F3E" w14:textId="77777777" w:rsidR="00AC01D0" w:rsidRPr="00A942F6" w:rsidRDefault="00AC01D0">
            <w:pPr>
              <w:widowControl w:val="0"/>
              <w:suppressAutoHyphens/>
              <w:rPr>
                <w:rFonts w:eastAsia="맑은 고딕" w:cs="새굴림"/>
                <w:noProof/>
                <w:lang w:val="nb-NO" w:eastAsia="ko-KR"/>
              </w:rPr>
            </w:pPr>
          </w:p>
        </w:tc>
      </w:tr>
      <w:tr w:rsidR="007461B0" w:rsidRPr="00A942F6" w14:paraId="729B9519" w14:textId="77777777">
        <w:trPr>
          <w:cantSplit/>
        </w:trPr>
        <w:tc>
          <w:tcPr>
            <w:tcW w:w="2500" w:type="pct"/>
            <w:hideMark/>
          </w:tcPr>
          <w:p w14:paraId="4F3928DF" w14:textId="2336035C" w:rsidR="00AC01D0" w:rsidRPr="009B40A5" w:rsidRDefault="00AC01D0">
            <w:pPr>
              <w:widowControl w:val="0"/>
              <w:tabs>
                <w:tab w:val="left" w:pos="-720"/>
              </w:tabs>
              <w:suppressAutoHyphens/>
              <w:rPr>
                <w:rFonts w:eastAsia="새굴림" w:cs="새굴림"/>
                <w:b/>
                <w:bCs/>
                <w:i/>
                <w:iCs/>
                <w:noProof/>
                <w:lang w:eastAsia="fr-FR"/>
              </w:rPr>
            </w:pPr>
            <w:r w:rsidRPr="009B40A5">
              <w:rPr>
                <w:rFonts w:eastAsia="새굴림" w:cs="새굴림"/>
                <w:b/>
                <w:noProof/>
              </w:rPr>
              <w:t>D</w:t>
            </w:r>
            <w:r w:rsidR="00552215">
              <w:rPr>
                <w:rFonts w:eastAsia="새굴림" w:cs="새굴림" w:hint="eastAsia"/>
                <w:b/>
                <w:noProof/>
                <w:lang w:eastAsia="ko-KR"/>
              </w:rPr>
              <w:t>e</w:t>
            </w:r>
            <w:r w:rsidRPr="009B40A5">
              <w:rPr>
                <w:rFonts w:eastAsia="새굴림" w:cs="새굴림"/>
                <w:b/>
                <w:noProof/>
              </w:rPr>
              <w:t>nmark</w:t>
            </w:r>
          </w:p>
          <w:p w14:paraId="71968B7C" w14:textId="77777777" w:rsidR="00552215" w:rsidRPr="00DC6A50" w:rsidRDefault="00AC01D0" w:rsidP="00552215">
            <w:pPr>
              <w:tabs>
                <w:tab w:val="left" w:pos="-720"/>
              </w:tabs>
              <w:suppressAutoHyphens/>
              <w:rPr>
                <w:rFonts w:eastAsia="맑은 고딕" w:cs="Times New Roman"/>
                <w:noProof/>
                <w:lang w:eastAsia="ko-KR"/>
              </w:rPr>
            </w:pPr>
            <w:r w:rsidRPr="009B40A5">
              <w:rPr>
                <w:rFonts w:eastAsia="맑은 고딕" w:cs="새굴림"/>
                <w:noProof/>
                <w:lang w:eastAsia="fr-FR"/>
              </w:rPr>
              <w:t xml:space="preserve">Celltrion Healthcare </w:t>
            </w:r>
            <w:r w:rsidR="00552215" w:rsidRPr="00200A6E">
              <w:rPr>
                <w:rFonts w:eastAsia="맑은 고딕" w:cs="Times New Roman" w:hint="eastAsia"/>
                <w:noProof/>
                <w:lang w:eastAsia="ko-KR"/>
              </w:rPr>
              <w:t>Denmark</w:t>
            </w:r>
            <w:r w:rsidR="00552215">
              <w:rPr>
                <w:rFonts w:eastAsia="맑은 고딕" w:cs="Times New Roman" w:hint="eastAsia"/>
                <w:noProof/>
                <w:lang w:eastAsia="ko-KR"/>
              </w:rPr>
              <w:t xml:space="preserve"> ApS</w:t>
            </w:r>
          </w:p>
          <w:p w14:paraId="37720E1B" w14:textId="77777777" w:rsidR="00552215" w:rsidRPr="006F04E0" w:rsidRDefault="00552215" w:rsidP="00552215">
            <w:pPr>
              <w:tabs>
                <w:tab w:val="left" w:pos="-720"/>
              </w:tabs>
              <w:suppressAutoHyphens/>
              <w:rPr>
                <w:rFonts w:eastAsia="맑은 고딕" w:cs="Times New Roman"/>
                <w:noProof/>
                <w:lang w:eastAsia="fr-FR"/>
              </w:rPr>
            </w:pPr>
            <w:r w:rsidRPr="006F04E0">
              <w:rPr>
                <w:rFonts w:eastAsia="맑은 고딕" w:cs="Times New Roman"/>
                <w:noProof/>
                <w:lang w:eastAsia="fr-FR"/>
              </w:rPr>
              <w:t>Tel: + 45 3535 2989</w:t>
            </w:r>
          </w:p>
          <w:p w14:paraId="14AD6D4E" w14:textId="4C259FA7" w:rsidR="00AC01D0" w:rsidRDefault="00552215">
            <w:pPr>
              <w:widowControl w:val="0"/>
              <w:tabs>
                <w:tab w:val="left" w:pos="-720"/>
              </w:tabs>
              <w:suppressAutoHyphens/>
              <w:rPr>
                <w:rFonts w:eastAsia="맑은 고딕" w:cs="새굴림"/>
                <w:noProof/>
                <w:lang w:val="nb-NO" w:eastAsia="fr-FR"/>
              </w:rPr>
            </w:pPr>
            <w:r w:rsidRPr="006F04E0">
              <w:rPr>
                <w:rFonts w:eastAsia="맑은 고딕" w:cs="Times New Roman"/>
                <w:noProof/>
                <w:lang w:eastAsia="fr-FR"/>
              </w:rPr>
              <w:t>Contact_dk@celltrionhc.com</w:t>
            </w:r>
          </w:p>
          <w:p w14:paraId="193744F4" w14:textId="5A75BB12" w:rsidR="00552215" w:rsidRPr="00552215" w:rsidRDefault="00552215">
            <w:pPr>
              <w:widowControl w:val="0"/>
              <w:tabs>
                <w:tab w:val="left" w:pos="-720"/>
              </w:tabs>
              <w:suppressAutoHyphens/>
              <w:rPr>
                <w:rFonts w:eastAsia="맑은 고딕" w:cs="새굴림"/>
                <w:noProof/>
                <w:lang w:val="nb-NO" w:eastAsia="ko-KR"/>
              </w:rPr>
            </w:pPr>
          </w:p>
        </w:tc>
        <w:tc>
          <w:tcPr>
            <w:tcW w:w="2500" w:type="pct"/>
          </w:tcPr>
          <w:p w14:paraId="785D0932" w14:textId="77777777" w:rsidR="00AC01D0" w:rsidRPr="009B40A5" w:rsidRDefault="00AC01D0">
            <w:pPr>
              <w:widowControl w:val="0"/>
              <w:suppressAutoHyphens/>
              <w:rPr>
                <w:rFonts w:eastAsia="새굴림" w:cs="새굴림"/>
                <w:noProof/>
                <w:lang w:eastAsia="fr-FR"/>
              </w:rPr>
            </w:pPr>
            <w:r w:rsidRPr="009B40A5">
              <w:rPr>
                <w:rFonts w:eastAsia="맑은 고딕" w:cs="새굴림"/>
                <w:b/>
                <w:noProof/>
                <w:lang w:eastAsia="fr-FR"/>
              </w:rPr>
              <w:t>Malta</w:t>
            </w:r>
          </w:p>
          <w:p w14:paraId="2436CB16"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Mint Health Ltd.</w:t>
            </w:r>
          </w:p>
          <w:p w14:paraId="6519D1A6" w14:textId="77777777" w:rsidR="00AC01D0" w:rsidRPr="009B40A5" w:rsidRDefault="00AC01D0">
            <w:pPr>
              <w:widowControl w:val="0"/>
              <w:suppressAutoHyphens/>
              <w:rPr>
                <w:rFonts w:eastAsia="맑은 고딕" w:cs="새굴림"/>
                <w:noProof/>
                <w:lang w:eastAsia="ko-KR"/>
              </w:rPr>
            </w:pPr>
            <w:r w:rsidRPr="009B40A5">
              <w:rPr>
                <w:rFonts w:eastAsia="맑은 고딕" w:cs="새굴림"/>
                <w:noProof/>
                <w:lang w:eastAsia="fr-FR"/>
              </w:rPr>
              <w:t>Tel: +356 2093 9800</w:t>
            </w:r>
          </w:p>
          <w:p w14:paraId="2A8CB229" w14:textId="77777777" w:rsidR="00AC01D0" w:rsidRPr="009B40A5" w:rsidRDefault="00AC01D0">
            <w:pPr>
              <w:widowControl w:val="0"/>
              <w:suppressAutoHyphens/>
              <w:rPr>
                <w:rFonts w:eastAsia="맑은 고딕" w:cs="새굴림"/>
                <w:noProof/>
                <w:lang w:eastAsia="ko-KR"/>
              </w:rPr>
            </w:pPr>
          </w:p>
        </w:tc>
      </w:tr>
      <w:tr w:rsidR="007461B0" w:rsidRPr="00A942F6" w14:paraId="0AE53C85" w14:textId="77777777">
        <w:trPr>
          <w:cantSplit/>
        </w:trPr>
        <w:tc>
          <w:tcPr>
            <w:tcW w:w="2500" w:type="pct"/>
            <w:hideMark/>
          </w:tcPr>
          <w:p w14:paraId="55B3E7DA" w14:textId="77777777" w:rsidR="00AC01D0" w:rsidRPr="00CD583D" w:rsidRDefault="00AC01D0">
            <w:pPr>
              <w:widowControl w:val="0"/>
              <w:suppressAutoHyphens/>
              <w:rPr>
                <w:rFonts w:eastAsia="새굴림" w:cs="새굴림"/>
                <w:b/>
                <w:lang w:val="de-DE"/>
              </w:rPr>
            </w:pPr>
            <w:r w:rsidRPr="00CD583D">
              <w:rPr>
                <w:rFonts w:eastAsia="새굴림" w:cs="새굴림"/>
                <w:b/>
                <w:lang w:val="de-DE"/>
              </w:rPr>
              <w:t>Deutschland</w:t>
            </w:r>
          </w:p>
          <w:p w14:paraId="71D27520" w14:textId="77777777" w:rsidR="00AC01D0" w:rsidRPr="00CD583D" w:rsidRDefault="00AC01D0">
            <w:pPr>
              <w:widowControl w:val="0"/>
              <w:tabs>
                <w:tab w:val="left" w:pos="-720"/>
              </w:tabs>
              <w:suppressAutoHyphens/>
              <w:rPr>
                <w:rFonts w:eastAsia="새굴림" w:cs="새굴림"/>
                <w:lang w:val="de-DE"/>
              </w:rPr>
            </w:pPr>
            <w:r w:rsidRPr="00CD583D">
              <w:rPr>
                <w:rFonts w:eastAsia="새굴림" w:cs="새굴림"/>
                <w:lang w:val="de-DE"/>
              </w:rPr>
              <w:t xml:space="preserve">Celltrion Healthcare Deutschland </w:t>
            </w:r>
            <w:r w:rsidRPr="00CD583D">
              <w:rPr>
                <w:rFonts w:eastAsia="맑은 고딕" w:cs="새굴림"/>
                <w:noProof/>
                <w:lang w:val="de-DE" w:eastAsia="fr-FR"/>
              </w:rPr>
              <w:t>GmbH</w:t>
            </w:r>
          </w:p>
          <w:p w14:paraId="31E45226" w14:textId="77777777" w:rsidR="00AC01D0" w:rsidRPr="00CD583D" w:rsidRDefault="00AC01D0">
            <w:pPr>
              <w:widowControl w:val="0"/>
              <w:tabs>
                <w:tab w:val="left" w:pos="-720"/>
              </w:tabs>
              <w:suppressAutoHyphens/>
              <w:rPr>
                <w:rFonts w:eastAsia="맑은 고딕" w:cs="새굴림"/>
                <w:noProof/>
                <w:lang w:val="de-DE" w:eastAsia="fr-FR"/>
              </w:rPr>
            </w:pPr>
            <w:r w:rsidRPr="00CD583D">
              <w:rPr>
                <w:rFonts w:eastAsia="새굴림" w:cs="새굴림"/>
                <w:lang w:val="de-DE"/>
              </w:rPr>
              <w:t xml:space="preserve">Tel: </w:t>
            </w:r>
            <w:r w:rsidRPr="00CD583D">
              <w:rPr>
                <w:rFonts w:eastAsia="맑은 고딕" w:cs="새굴림"/>
                <w:noProof/>
                <w:lang w:val="de-DE" w:eastAsia="fr-FR"/>
              </w:rPr>
              <w:t>+49 (0)30 346494150</w:t>
            </w:r>
          </w:p>
          <w:p w14:paraId="1F3049A8" w14:textId="77777777" w:rsidR="00AC01D0" w:rsidRPr="00A942F6" w:rsidRDefault="00AC01D0">
            <w:pPr>
              <w:widowControl w:val="0"/>
              <w:tabs>
                <w:tab w:val="left" w:pos="-720"/>
              </w:tabs>
              <w:suppressAutoHyphens/>
              <w:rPr>
                <w:rFonts w:eastAsia="맑은 고딕" w:cs="새굴림"/>
                <w:noProof/>
                <w:lang w:val="nb-NO" w:eastAsia="fr-FR"/>
              </w:rPr>
            </w:pPr>
            <w:r w:rsidRPr="00A942F6">
              <w:rPr>
                <w:rFonts w:eastAsia="맑은 고딕" w:cs="새굴림"/>
                <w:noProof/>
                <w:lang w:val="nb-NO" w:eastAsia="fr-FR"/>
              </w:rPr>
              <w:t>infoDE@celltrionhc.com</w:t>
            </w:r>
          </w:p>
        </w:tc>
        <w:tc>
          <w:tcPr>
            <w:tcW w:w="2500" w:type="pct"/>
          </w:tcPr>
          <w:p w14:paraId="1A86814F" w14:textId="77777777" w:rsidR="00AC01D0" w:rsidRPr="009B40A5" w:rsidRDefault="00AC01D0">
            <w:pPr>
              <w:widowControl w:val="0"/>
              <w:suppressAutoHyphens/>
              <w:rPr>
                <w:rFonts w:eastAsia="새굴림" w:cs="새굴림"/>
                <w:noProof/>
                <w:lang w:eastAsia="fr-FR"/>
              </w:rPr>
            </w:pPr>
            <w:r w:rsidRPr="009B40A5">
              <w:rPr>
                <w:rFonts w:eastAsia="맑은 고딕" w:cs="새굴림"/>
                <w:b/>
                <w:noProof/>
                <w:lang w:eastAsia="fr-FR"/>
              </w:rPr>
              <w:t>Nederland</w:t>
            </w:r>
          </w:p>
          <w:p w14:paraId="351B6DEB" w14:textId="77777777" w:rsidR="00AC01D0" w:rsidRPr="009B40A5" w:rsidRDefault="00AC01D0">
            <w:pPr>
              <w:widowControl w:val="0"/>
              <w:suppressAutoHyphens/>
              <w:rPr>
                <w:rFonts w:eastAsia="맑은 고딕" w:cs="새굴림"/>
                <w:noProof/>
                <w:lang w:eastAsia="fr-FR"/>
              </w:rPr>
            </w:pPr>
            <w:r w:rsidRPr="009B40A5">
              <w:rPr>
                <w:rFonts w:eastAsia="맑은 고딕" w:cs="새굴림"/>
                <w:noProof/>
                <w:lang w:eastAsia="fr-FR"/>
              </w:rPr>
              <w:t>Celltrion Healthcare Netherlands B.V.</w:t>
            </w:r>
          </w:p>
          <w:p w14:paraId="7854AF61"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+ 31 20 888 7300</w:t>
            </w:r>
          </w:p>
          <w:p w14:paraId="63D9025D" w14:textId="77777777" w:rsidR="00AC01D0" w:rsidRPr="00394415" w:rsidRDefault="00AC01D0">
            <w:pPr>
              <w:widowControl w:val="0"/>
              <w:suppressAutoHyphens/>
              <w:rPr>
                <w:rFonts w:eastAsia="맑은 고딕" w:cs="새굴림"/>
                <w:noProof/>
                <w:lang w:val="nb-NO" w:eastAsia="fr-FR"/>
              </w:rPr>
            </w:pPr>
            <w:hyperlink r:id="rId26" w:history="1">
              <w:r w:rsidRPr="00434BCD">
                <w:rPr>
                  <w:rStyle w:val="a6"/>
                  <w:rFonts w:eastAsia="맑은 고딕" w:cs="새굴림"/>
                  <w:noProof/>
                  <w:color w:val="0000FF"/>
                  <w:lang w:val="nb-NO" w:eastAsia="fr-FR"/>
                </w:rPr>
                <w:t>NLinfo@celltrionh</w:t>
              </w:r>
              <w:r w:rsidRPr="00434BCD">
                <w:rPr>
                  <w:rStyle w:val="a6"/>
                  <w:rFonts w:eastAsia="새굴림" w:cs="새굴림"/>
                  <w:color w:val="0000FF"/>
                  <w:lang w:val="nb-NO"/>
                </w:rPr>
                <w:t>c</w:t>
              </w:r>
              <w:r w:rsidRPr="00434BCD">
                <w:rPr>
                  <w:rStyle w:val="a6"/>
                  <w:rFonts w:eastAsia="맑은 고딕" w:cs="새굴림"/>
                  <w:noProof/>
                  <w:color w:val="0000FF"/>
                  <w:lang w:val="nb-NO" w:eastAsia="fr-FR"/>
                </w:rPr>
                <w:t>.com</w:t>
              </w:r>
            </w:hyperlink>
          </w:p>
          <w:p w14:paraId="173C99CE" w14:textId="77777777" w:rsidR="00AC01D0" w:rsidRPr="00A942F6" w:rsidRDefault="00AC01D0">
            <w:pPr>
              <w:widowControl w:val="0"/>
              <w:suppressAutoHyphens/>
              <w:rPr>
                <w:rFonts w:eastAsia="맑은 고딕" w:cs="새굴림"/>
                <w:noProof/>
                <w:lang w:val="nb-NO" w:eastAsia="fr-FR"/>
              </w:rPr>
            </w:pPr>
          </w:p>
        </w:tc>
      </w:tr>
      <w:tr w:rsidR="007461B0" w:rsidRPr="00A942F6" w14:paraId="2FC51148" w14:textId="77777777">
        <w:trPr>
          <w:cantSplit/>
        </w:trPr>
        <w:tc>
          <w:tcPr>
            <w:tcW w:w="2500" w:type="pct"/>
            <w:hideMark/>
          </w:tcPr>
          <w:p w14:paraId="174F7523" w14:textId="77777777" w:rsidR="00AC01D0" w:rsidRPr="009B40A5" w:rsidRDefault="00AC01D0">
            <w:pPr>
              <w:widowControl w:val="0"/>
              <w:tabs>
                <w:tab w:val="left" w:pos="-720"/>
                <w:tab w:val="left" w:pos="4536"/>
              </w:tabs>
              <w:suppressAutoHyphens/>
              <w:rPr>
                <w:rFonts w:eastAsia="새굴림" w:cs="새굴림"/>
                <w:b/>
                <w:noProof/>
                <w:lang w:eastAsia="fr-FR"/>
              </w:rPr>
            </w:pPr>
            <w:r w:rsidRPr="009B40A5">
              <w:rPr>
                <w:rFonts w:eastAsia="맑은 고딕" w:cs="새굴림"/>
                <w:b/>
                <w:noProof/>
                <w:lang w:eastAsia="fr-FR"/>
              </w:rPr>
              <w:t>Eesti</w:t>
            </w:r>
          </w:p>
          <w:p w14:paraId="5E4D89BE"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5FAA298B" w14:textId="77777777" w:rsidR="00AC01D0" w:rsidRPr="00CD583D" w:rsidRDefault="00AC01D0">
            <w:pPr>
              <w:widowControl w:val="0"/>
              <w:tabs>
                <w:tab w:val="left" w:pos="-720"/>
              </w:tabs>
              <w:suppressAutoHyphens/>
              <w:rPr>
                <w:rFonts w:eastAsia="맑은 고딕" w:cs="새굴림"/>
                <w:noProof/>
                <w:lang w:eastAsia="fr-FR"/>
              </w:rPr>
            </w:pPr>
            <w:r w:rsidRPr="00CD583D">
              <w:rPr>
                <w:rFonts w:eastAsia="맑은 고딕" w:cs="새굴림"/>
                <w:noProof/>
                <w:lang w:eastAsia="fr-FR"/>
              </w:rPr>
              <w:t>Tel: +36 1 231 0493</w:t>
            </w:r>
          </w:p>
          <w:p w14:paraId="1E08AC70" w14:textId="77777777" w:rsidR="00AC01D0" w:rsidRPr="00CD583D" w:rsidRDefault="00AC01D0">
            <w:pPr>
              <w:widowControl w:val="0"/>
              <w:tabs>
                <w:tab w:val="left" w:pos="-720"/>
              </w:tabs>
              <w:suppressAutoHyphens/>
              <w:rPr>
                <w:rFonts w:eastAsia="맑은 고딕" w:cs="새굴림"/>
                <w:noProof/>
                <w:lang w:eastAsia="ko-KR"/>
              </w:rPr>
            </w:pPr>
          </w:p>
        </w:tc>
        <w:tc>
          <w:tcPr>
            <w:tcW w:w="2500" w:type="pct"/>
          </w:tcPr>
          <w:p w14:paraId="4DCC1097" w14:textId="77777777" w:rsidR="00AC01D0" w:rsidRPr="009B40A5" w:rsidRDefault="00AC01D0">
            <w:pPr>
              <w:widowControl w:val="0"/>
              <w:tabs>
                <w:tab w:val="left" w:pos="-720"/>
              </w:tabs>
              <w:suppressAutoHyphens/>
              <w:rPr>
                <w:rFonts w:eastAsia="새굴림" w:cs="새굴림"/>
                <w:noProof/>
                <w:lang w:eastAsia="fr-FR"/>
              </w:rPr>
            </w:pPr>
            <w:r w:rsidRPr="009B40A5">
              <w:rPr>
                <w:rFonts w:eastAsia="맑은 고딕" w:cs="새굴림"/>
                <w:b/>
                <w:noProof/>
                <w:lang w:eastAsia="fr-FR"/>
              </w:rPr>
              <w:t>Norge</w:t>
            </w:r>
          </w:p>
          <w:p w14:paraId="4203A00C" w14:textId="77777777" w:rsidR="00552215" w:rsidRPr="006F04E0" w:rsidRDefault="00AC01D0" w:rsidP="00552215">
            <w:pPr>
              <w:tabs>
                <w:tab w:val="left" w:pos="-720"/>
              </w:tabs>
              <w:suppressAutoHyphens/>
              <w:rPr>
                <w:rFonts w:eastAsia="맑은 고딕" w:cs="Times New Roman"/>
                <w:noProof/>
                <w:lang w:eastAsia="fr-FR"/>
              </w:rPr>
            </w:pPr>
            <w:r w:rsidRPr="009B40A5">
              <w:rPr>
                <w:rFonts w:eastAsia="맑은 고딕" w:cs="새굴림"/>
                <w:noProof/>
                <w:lang w:eastAsia="fr-FR"/>
              </w:rPr>
              <w:t xml:space="preserve">Celltrion Healthcare </w:t>
            </w:r>
            <w:r w:rsidR="00552215" w:rsidRPr="006F04E0">
              <w:rPr>
                <w:rFonts w:eastAsia="맑은 고딕" w:cs="Times New Roman"/>
                <w:noProof/>
                <w:lang w:eastAsia="fr-FR"/>
              </w:rPr>
              <w:t>Norway AS</w:t>
            </w:r>
          </w:p>
          <w:p w14:paraId="68324034" w14:textId="3959BCD8" w:rsidR="00AC01D0" w:rsidRPr="00BD4D94" w:rsidRDefault="00552215">
            <w:pPr>
              <w:widowControl w:val="0"/>
              <w:tabs>
                <w:tab w:val="left" w:pos="-720"/>
              </w:tabs>
              <w:suppressAutoHyphens/>
              <w:rPr>
                <w:rFonts w:eastAsia="맑은 고딕" w:cs="새굴림"/>
                <w:noProof/>
                <w:lang w:eastAsia="ko-KR"/>
              </w:rPr>
            </w:pPr>
            <w:r w:rsidRPr="006F04E0">
              <w:rPr>
                <w:rFonts w:eastAsia="맑은 고딕" w:cs="Times New Roman"/>
                <w:noProof/>
                <w:lang w:eastAsia="fr-FR"/>
              </w:rPr>
              <w:t>Contact_no@celltrionhc.com</w:t>
            </w:r>
          </w:p>
          <w:p w14:paraId="6AD60685" w14:textId="77777777" w:rsidR="00AC01D0" w:rsidRPr="00A942F6" w:rsidRDefault="00AC01D0">
            <w:pPr>
              <w:widowControl w:val="0"/>
              <w:tabs>
                <w:tab w:val="left" w:pos="-720"/>
              </w:tabs>
              <w:suppressAutoHyphens/>
              <w:rPr>
                <w:rFonts w:eastAsia="맑은 고딕" w:cs="새굴림"/>
                <w:noProof/>
                <w:lang w:val="nb-NO" w:eastAsia="ko-KR"/>
              </w:rPr>
            </w:pPr>
          </w:p>
        </w:tc>
      </w:tr>
      <w:tr w:rsidR="007461B0" w:rsidRPr="00B477E5" w14:paraId="52F23F20" w14:textId="77777777">
        <w:trPr>
          <w:cantSplit/>
        </w:trPr>
        <w:tc>
          <w:tcPr>
            <w:tcW w:w="2500" w:type="pct"/>
            <w:hideMark/>
          </w:tcPr>
          <w:p w14:paraId="3634BF77" w14:textId="77777777" w:rsidR="00AC01D0" w:rsidRPr="00CD583D" w:rsidRDefault="00AC01D0">
            <w:pPr>
              <w:widowControl w:val="0"/>
              <w:suppressAutoHyphens/>
              <w:rPr>
                <w:rFonts w:eastAsia="새굴림" w:cs="새굴림"/>
                <w:noProof/>
                <w:lang w:val="it-IT" w:eastAsia="fr-FR"/>
              </w:rPr>
            </w:pPr>
            <w:r w:rsidRPr="00CD583D">
              <w:rPr>
                <w:rFonts w:eastAsia="새굴림" w:cs="새굴림"/>
                <w:b/>
                <w:noProof/>
                <w:lang w:val="it-IT"/>
              </w:rPr>
              <w:t>España</w:t>
            </w:r>
          </w:p>
          <w:p w14:paraId="20A1F693" w14:textId="77777777" w:rsidR="00AC01D0" w:rsidRPr="00CD583D" w:rsidRDefault="00AC01D0">
            <w:pPr>
              <w:widowControl w:val="0"/>
              <w:suppressAutoHyphens/>
              <w:rPr>
                <w:rFonts w:eastAsia="맑은 고딕" w:cs="새굴림"/>
                <w:noProof/>
                <w:lang w:val="it-IT" w:eastAsia="fr-FR"/>
              </w:rPr>
            </w:pPr>
            <w:r w:rsidRPr="00CD583D">
              <w:rPr>
                <w:rFonts w:eastAsia="맑은 고딕" w:cs="새굴림"/>
                <w:noProof/>
                <w:lang w:val="it-IT" w:eastAsia="fr-FR"/>
              </w:rPr>
              <w:t>CELLTRION FARMACEUTICA (ESPAÑA) S.L..</w:t>
            </w:r>
          </w:p>
          <w:p w14:paraId="007D1DAD" w14:textId="19C23C58"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 xml:space="preserve">Tel: +34 </w:t>
            </w:r>
            <w:r w:rsidR="00CC516D">
              <w:rPr>
                <w:rFonts w:eastAsia="맑은 고딕" w:cs="새굴림"/>
                <w:noProof/>
                <w:lang w:val="nb-NO" w:eastAsia="fr-FR"/>
              </w:rPr>
              <w:t>910 498 478</w:t>
            </w:r>
          </w:p>
          <w:p w14:paraId="5AE83922" w14:textId="77777777" w:rsidR="00AC01D0" w:rsidRPr="00A942F6" w:rsidRDefault="00AC01D0">
            <w:pPr>
              <w:widowControl w:val="0"/>
              <w:suppressAutoHyphens/>
              <w:rPr>
                <w:rFonts w:eastAsia="새굴림" w:cs="새굴림"/>
                <w:b/>
                <w:noProof/>
                <w:lang w:val="nb-NO" w:eastAsia="fr-FR"/>
              </w:rPr>
            </w:pPr>
          </w:p>
        </w:tc>
        <w:tc>
          <w:tcPr>
            <w:tcW w:w="2500" w:type="pct"/>
          </w:tcPr>
          <w:p w14:paraId="19E4AB8A" w14:textId="77777777" w:rsidR="00AC01D0" w:rsidRPr="009B40A5" w:rsidRDefault="00AC01D0">
            <w:pPr>
              <w:widowControl w:val="0"/>
              <w:suppressAutoHyphens/>
              <w:rPr>
                <w:rFonts w:eastAsia="새굴림" w:cs="새굴림"/>
                <w:noProof/>
                <w:lang w:val="sv-SE" w:eastAsia="fr-FR"/>
              </w:rPr>
            </w:pPr>
            <w:r w:rsidRPr="009B40A5">
              <w:rPr>
                <w:rFonts w:eastAsia="새굴림" w:cs="새굴림"/>
                <w:b/>
                <w:noProof/>
                <w:lang w:val="sv-SE"/>
              </w:rPr>
              <w:t>Österreich</w:t>
            </w:r>
          </w:p>
          <w:p w14:paraId="7495986F" w14:textId="77777777" w:rsidR="00AC01D0" w:rsidRPr="009B40A5" w:rsidRDefault="00AC01D0">
            <w:pPr>
              <w:widowControl w:val="0"/>
              <w:suppressAutoHyphens/>
              <w:rPr>
                <w:rFonts w:eastAsia="맑은 고딕" w:cs="새굴림"/>
                <w:noProof/>
                <w:lang w:val="sv-SE" w:eastAsia="ko-KR"/>
              </w:rPr>
            </w:pPr>
            <w:r w:rsidRPr="009B40A5">
              <w:rPr>
                <w:rFonts w:eastAsia="맑은 고딕" w:cs="새굴림"/>
                <w:noProof/>
                <w:lang w:val="sv-SE" w:eastAsia="fr-FR"/>
              </w:rPr>
              <w:t>Astro-Pharma GmbH</w:t>
            </w:r>
          </w:p>
          <w:p w14:paraId="2A05C938" w14:textId="77777777" w:rsidR="00AC01D0" w:rsidRPr="009B40A5" w:rsidRDefault="00AC01D0">
            <w:pPr>
              <w:widowControl w:val="0"/>
              <w:tabs>
                <w:tab w:val="left" w:pos="-720"/>
              </w:tabs>
              <w:suppressAutoHyphens/>
              <w:rPr>
                <w:rFonts w:eastAsia="맑은 고딕" w:cs="새굴림"/>
                <w:noProof/>
                <w:lang w:val="sv-SE" w:eastAsia="fr-FR"/>
              </w:rPr>
            </w:pPr>
            <w:r w:rsidRPr="009B40A5">
              <w:rPr>
                <w:rFonts w:eastAsia="맑은 고딕" w:cs="새굴림"/>
                <w:noProof/>
                <w:lang w:val="sv-SE" w:eastAsia="fr-FR"/>
              </w:rPr>
              <w:t>Tel: +43 1 97 99 860</w:t>
            </w:r>
          </w:p>
          <w:p w14:paraId="3B053C97" w14:textId="77777777" w:rsidR="00AC01D0" w:rsidRPr="009B40A5" w:rsidRDefault="00AC01D0">
            <w:pPr>
              <w:widowControl w:val="0"/>
              <w:tabs>
                <w:tab w:val="left" w:pos="-720"/>
              </w:tabs>
              <w:suppressAutoHyphens/>
              <w:rPr>
                <w:rFonts w:eastAsia="새굴림" w:cs="새굴림"/>
                <w:noProof/>
                <w:lang w:val="sv-SE" w:eastAsia="fr-FR"/>
              </w:rPr>
            </w:pPr>
          </w:p>
        </w:tc>
      </w:tr>
      <w:tr w:rsidR="007461B0" w:rsidRPr="00A942F6" w14:paraId="13D2DD94" w14:textId="77777777">
        <w:trPr>
          <w:cantSplit/>
        </w:trPr>
        <w:tc>
          <w:tcPr>
            <w:tcW w:w="2500" w:type="pct"/>
          </w:tcPr>
          <w:p w14:paraId="326C9966" w14:textId="77777777" w:rsidR="00AC01D0" w:rsidRPr="009B40A5" w:rsidRDefault="00AC01D0">
            <w:pPr>
              <w:widowControl w:val="0"/>
              <w:suppressAutoHyphens/>
              <w:rPr>
                <w:rFonts w:eastAsia="새굴림" w:cs="새굴림"/>
                <w:b/>
                <w:noProof/>
                <w:lang w:val="sv-SE" w:eastAsia="fr-FR"/>
              </w:rPr>
            </w:pPr>
            <w:r w:rsidRPr="00A942F6">
              <w:rPr>
                <w:rFonts w:eastAsia="새굴림" w:cs="새굴림"/>
                <w:b/>
                <w:noProof/>
                <w:lang w:val="nb-NO" w:eastAsia="fr-FR"/>
              </w:rPr>
              <w:t>Ελλάδα</w:t>
            </w:r>
          </w:p>
          <w:p w14:paraId="0B45B1AE" w14:textId="77777777" w:rsidR="00AC01D0" w:rsidRPr="009B40A5" w:rsidRDefault="00AC01D0">
            <w:pPr>
              <w:widowControl w:val="0"/>
              <w:suppressAutoHyphens/>
              <w:rPr>
                <w:rFonts w:eastAsia="새굴림" w:cs="새굴림"/>
                <w:noProof/>
                <w:lang w:val="sv-SE" w:eastAsia="fr-FR"/>
              </w:rPr>
            </w:pPr>
            <w:r w:rsidRPr="00A942F6">
              <w:rPr>
                <w:rFonts w:eastAsia="새굴림" w:cs="새굴림"/>
                <w:noProof/>
                <w:lang w:val="nb-NO" w:eastAsia="fr-FR"/>
              </w:rPr>
              <w:t>ΒΙΑΝΕΞ</w:t>
            </w:r>
            <w:r w:rsidRPr="009B40A5">
              <w:rPr>
                <w:rFonts w:eastAsia="새굴림" w:cs="새굴림"/>
                <w:noProof/>
                <w:lang w:val="sv-SE" w:eastAsia="fr-FR"/>
              </w:rPr>
              <w:t xml:space="preserve"> </w:t>
            </w:r>
            <w:r w:rsidRPr="00A942F6">
              <w:rPr>
                <w:rFonts w:eastAsia="새굴림" w:cs="새굴림"/>
                <w:noProof/>
                <w:lang w:val="nb-NO" w:eastAsia="fr-FR"/>
              </w:rPr>
              <w:t>Α</w:t>
            </w:r>
            <w:r w:rsidRPr="009B40A5">
              <w:rPr>
                <w:rFonts w:eastAsia="새굴림" w:cs="새굴림"/>
                <w:noProof/>
                <w:lang w:val="sv-SE" w:eastAsia="fr-FR"/>
              </w:rPr>
              <w:t>.</w:t>
            </w:r>
            <w:r w:rsidRPr="00A942F6">
              <w:rPr>
                <w:rFonts w:eastAsia="새굴림" w:cs="새굴림"/>
                <w:noProof/>
                <w:lang w:val="nb-NO" w:eastAsia="fr-FR"/>
              </w:rPr>
              <w:t>Ε</w:t>
            </w:r>
            <w:r w:rsidRPr="009B40A5">
              <w:rPr>
                <w:rFonts w:eastAsia="새굴림" w:cs="새굴림"/>
                <w:noProof/>
                <w:lang w:val="sv-SE" w:eastAsia="fr-FR"/>
              </w:rPr>
              <w:t>.</w:t>
            </w:r>
          </w:p>
          <w:p w14:paraId="0BBE089A" w14:textId="77777777" w:rsidR="00AC01D0" w:rsidRPr="009B40A5" w:rsidRDefault="00AC01D0">
            <w:pPr>
              <w:widowControl w:val="0"/>
              <w:suppressAutoHyphens/>
              <w:rPr>
                <w:rFonts w:eastAsia="새굴림" w:cs="새굴림"/>
                <w:noProof/>
                <w:lang w:val="sv-SE" w:eastAsia="fr-FR"/>
              </w:rPr>
            </w:pPr>
            <w:r w:rsidRPr="00A942F6">
              <w:rPr>
                <w:rFonts w:eastAsia="새굴림" w:cs="새굴림"/>
                <w:noProof/>
                <w:lang w:val="nb-NO" w:eastAsia="fr-FR"/>
              </w:rPr>
              <w:t>Τηλ</w:t>
            </w:r>
            <w:r w:rsidRPr="009B40A5">
              <w:rPr>
                <w:rFonts w:eastAsia="새굴림" w:cs="새굴림"/>
                <w:noProof/>
                <w:lang w:val="sv-SE" w:eastAsia="fr-FR"/>
              </w:rPr>
              <w:t xml:space="preserve">: +30 210 8009111 </w:t>
            </w:r>
          </w:p>
          <w:p w14:paraId="145CABC1" w14:textId="77777777" w:rsidR="00AC01D0" w:rsidRPr="009B40A5" w:rsidRDefault="00AC01D0">
            <w:pPr>
              <w:widowControl w:val="0"/>
              <w:suppressAutoHyphens/>
              <w:rPr>
                <w:rFonts w:eastAsia="맑은 고딕" w:cs="새굴림"/>
                <w:noProof/>
                <w:lang w:val="sv-SE" w:eastAsia="fr-FR"/>
              </w:rPr>
            </w:pPr>
          </w:p>
        </w:tc>
        <w:tc>
          <w:tcPr>
            <w:tcW w:w="2500" w:type="pct"/>
          </w:tcPr>
          <w:p w14:paraId="4235BA3E" w14:textId="77777777" w:rsidR="00AC01D0" w:rsidRPr="009B40A5" w:rsidRDefault="00AC01D0">
            <w:pPr>
              <w:widowControl w:val="0"/>
              <w:suppressAutoHyphens/>
              <w:rPr>
                <w:rFonts w:eastAsia="맑은 고딕" w:cs="새굴림"/>
                <w:b/>
                <w:noProof/>
                <w:lang w:eastAsia="fr-FR"/>
              </w:rPr>
            </w:pPr>
            <w:r w:rsidRPr="009B40A5">
              <w:rPr>
                <w:rFonts w:eastAsia="맑은 고딕" w:cs="새굴림"/>
                <w:b/>
                <w:noProof/>
                <w:lang w:eastAsia="fr-FR"/>
              </w:rPr>
              <w:t>Polska</w:t>
            </w:r>
          </w:p>
          <w:p w14:paraId="2236C008"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2971AEC7"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094AC0CB" w14:textId="77777777" w:rsidR="00AC01D0" w:rsidRPr="00A942F6" w:rsidRDefault="00AC01D0">
            <w:pPr>
              <w:widowControl w:val="0"/>
              <w:suppressAutoHyphens/>
              <w:rPr>
                <w:rFonts w:eastAsia="새굴림" w:cs="새굴림"/>
                <w:b/>
                <w:noProof/>
                <w:lang w:val="nb-NO"/>
              </w:rPr>
            </w:pPr>
          </w:p>
        </w:tc>
      </w:tr>
      <w:tr w:rsidR="007461B0" w:rsidRPr="00A942F6" w14:paraId="2EEE990D" w14:textId="77777777">
        <w:trPr>
          <w:cantSplit/>
        </w:trPr>
        <w:tc>
          <w:tcPr>
            <w:tcW w:w="2500" w:type="pct"/>
          </w:tcPr>
          <w:p w14:paraId="1B8B223A" w14:textId="77777777" w:rsidR="00AC01D0" w:rsidRPr="009B40A5" w:rsidRDefault="00AC01D0">
            <w:pPr>
              <w:widowControl w:val="0"/>
              <w:suppressAutoHyphens/>
              <w:rPr>
                <w:rFonts w:eastAsia="새굴림" w:cs="새굴림"/>
                <w:b/>
                <w:noProof/>
                <w:lang w:eastAsia="ko-KR"/>
              </w:rPr>
            </w:pPr>
            <w:r w:rsidRPr="009B40A5">
              <w:rPr>
                <w:rFonts w:eastAsia="새굴림" w:cs="새굴림"/>
                <w:b/>
                <w:noProof/>
                <w:lang w:eastAsia="ko-KR"/>
              </w:rPr>
              <w:t>France</w:t>
            </w:r>
          </w:p>
          <w:p w14:paraId="43ACCC09" w14:textId="77777777" w:rsidR="00AC01D0" w:rsidRPr="009B40A5" w:rsidRDefault="00AC01D0">
            <w:pPr>
              <w:widowControl w:val="0"/>
              <w:suppressAutoHyphens/>
              <w:rPr>
                <w:rFonts w:eastAsia="새굴림" w:cs="새굴림"/>
                <w:noProof/>
                <w:lang w:eastAsia="ko-KR"/>
              </w:rPr>
            </w:pPr>
            <w:r w:rsidRPr="009B40A5">
              <w:rPr>
                <w:rFonts w:eastAsia="새굴림" w:cs="새굴림"/>
                <w:noProof/>
                <w:lang w:eastAsia="ko-KR"/>
              </w:rPr>
              <w:t>Celltrion Healthcare France SAS</w:t>
            </w:r>
          </w:p>
          <w:p w14:paraId="571C3B40" w14:textId="77777777" w:rsidR="00AC01D0" w:rsidRPr="009B40A5" w:rsidRDefault="00AC01D0">
            <w:pPr>
              <w:widowControl w:val="0"/>
              <w:suppressAutoHyphens/>
              <w:rPr>
                <w:rFonts w:eastAsia="맑은 고딕" w:cs="새굴림"/>
                <w:noProof/>
                <w:lang w:eastAsia="ko-KR"/>
              </w:rPr>
            </w:pPr>
            <w:r w:rsidRPr="009B40A5">
              <w:rPr>
                <w:rFonts w:eastAsia="새굴림" w:cs="새굴림"/>
                <w:noProof/>
                <w:lang w:eastAsia="ko-KR"/>
              </w:rPr>
              <w:t>T</w:t>
            </w:r>
            <w:r w:rsidRPr="009B40A5">
              <w:rPr>
                <w:rFonts w:eastAsia="새굴림" w:cs="새굴림"/>
              </w:rPr>
              <w:t>é</w:t>
            </w:r>
            <w:r w:rsidRPr="009B40A5">
              <w:rPr>
                <w:rFonts w:eastAsia="새굴림" w:cs="새굴림"/>
                <w:noProof/>
                <w:lang w:eastAsia="ko-KR"/>
              </w:rPr>
              <w:t>l.: +33 (0)1 71 25 27 00</w:t>
            </w:r>
          </w:p>
          <w:p w14:paraId="7119F91D" w14:textId="77777777" w:rsidR="00AC01D0" w:rsidRPr="009B40A5" w:rsidRDefault="00AC01D0">
            <w:pPr>
              <w:widowControl w:val="0"/>
              <w:suppressAutoHyphens/>
              <w:rPr>
                <w:rFonts w:eastAsia="맑은 고딕" w:cs="새굴림"/>
                <w:noProof/>
                <w:lang w:eastAsia="fr-FR"/>
              </w:rPr>
            </w:pPr>
          </w:p>
        </w:tc>
        <w:tc>
          <w:tcPr>
            <w:tcW w:w="2500" w:type="pct"/>
          </w:tcPr>
          <w:p w14:paraId="0C76B8D6" w14:textId="77777777" w:rsidR="00AC01D0" w:rsidRPr="00CD583D" w:rsidRDefault="00AC01D0">
            <w:pPr>
              <w:widowControl w:val="0"/>
              <w:suppressAutoHyphens/>
              <w:autoSpaceDE w:val="0"/>
              <w:autoSpaceDN w:val="0"/>
              <w:adjustRightInd w:val="0"/>
              <w:rPr>
                <w:rFonts w:eastAsia="새굴림" w:cs="새굴림"/>
                <w:noProof/>
                <w:lang w:val="fr-FR" w:eastAsia="fr-FR"/>
              </w:rPr>
            </w:pPr>
            <w:r w:rsidRPr="00CD583D">
              <w:rPr>
                <w:rFonts w:eastAsia="맑은 고딕" w:cs="새굴림"/>
                <w:b/>
                <w:noProof/>
                <w:lang w:val="fr-FR" w:eastAsia="fr-FR"/>
              </w:rPr>
              <w:t>Portugal</w:t>
            </w:r>
          </w:p>
          <w:p w14:paraId="419DA16A" w14:textId="77777777" w:rsidR="00AC01D0" w:rsidRPr="00CD583D" w:rsidRDefault="00AC01D0">
            <w:pPr>
              <w:widowControl w:val="0"/>
              <w:suppressAutoHyphens/>
              <w:autoSpaceDE w:val="0"/>
              <w:autoSpaceDN w:val="0"/>
              <w:adjustRightInd w:val="0"/>
              <w:rPr>
                <w:rFonts w:eastAsia="맑은 고딕" w:cs="새굴림"/>
                <w:noProof/>
                <w:lang w:val="fr-FR" w:eastAsia="ko-KR"/>
              </w:rPr>
            </w:pPr>
            <w:r w:rsidRPr="00CD583D">
              <w:rPr>
                <w:rFonts w:eastAsia="맑은 고딕" w:cs="새굴림"/>
                <w:noProof/>
                <w:lang w:val="fr-FR" w:eastAsia="fr-FR"/>
              </w:rPr>
              <w:t>CELLTRION PORTUGAL, UNIPESSOAL LDA.</w:t>
            </w:r>
          </w:p>
          <w:p w14:paraId="574637C6" w14:textId="77777777" w:rsidR="00AC01D0" w:rsidRPr="00A942F6" w:rsidRDefault="00AC01D0">
            <w:pPr>
              <w:widowControl w:val="0"/>
              <w:suppressAutoHyphens/>
              <w:rPr>
                <w:rFonts w:eastAsia="새굴림" w:cs="새굴림"/>
                <w:b/>
                <w:lang w:val="nb-NO"/>
              </w:rPr>
            </w:pPr>
            <w:r w:rsidRPr="00A942F6">
              <w:rPr>
                <w:rFonts w:eastAsia="새굴림" w:cs="새굴림"/>
                <w:lang w:val="nb-NO"/>
              </w:rPr>
              <w:t xml:space="preserve">Tel: </w:t>
            </w:r>
            <w:r w:rsidRPr="00A942F6">
              <w:rPr>
                <w:rFonts w:eastAsia="맑은 고딕" w:cs="새굴림"/>
                <w:noProof/>
                <w:lang w:val="nb-NO" w:eastAsia="fr-FR"/>
              </w:rPr>
              <w:t>+351 21 936 8542</w:t>
            </w:r>
          </w:p>
          <w:p w14:paraId="3BD67FB8" w14:textId="77777777" w:rsidR="00AC01D0" w:rsidRPr="00A942F6" w:rsidRDefault="00AC01D0">
            <w:pPr>
              <w:widowControl w:val="0"/>
              <w:suppressAutoHyphens/>
              <w:rPr>
                <w:rFonts w:eastAsia="새굴림" w:cs="새굴림"/>
                <w:b/>
                <w:lang w:val="nb-NO"/>
              </w:rPr>
            </w:pPr>
          </w:p>
        </w:tc>
      </w:tr>
      <w:tr w:rsidR="007461B0" w:rsidRPr="00A942F6" w14:paraId="038F1056" w14:textId="77777777">
        <w:trPr>
          <w:cantSplit/>
        </w:trPr>
        <w:tc>
          <w:tcPr>
            <w:tcW w:w="2500" w:type="pct"/>
          </w:tcPr>
          <w:p w14:paraId="12724E15" w14:textId="77777777" w:rsidR="00AC01D0" w:rsidRPr="009B40A5" w:rsidRDefault="00AC01D0">
            <w:pPr>
              <w:widowControl w:val="0"/>
              <w:suppressAutoHyphens/>
              <w:rPr>
                <w:rFonts w:eastAsia="새굴림" w:cs="새굴림"/>
                <w:b/>
                <w:noProof/>
                <w:lang w:val="sv-SE" w:eastAsia="ko-KR"/>
              </w:rPr>
            </w:pPr>
            <w:r w:rsidRPr="009B40A5">
              <w:rPr>
                <w:rFonts w:eastAsia="새굴림" w:cs="새굴림"/>
                <w:b/>
                <w:noProof/>
                <w:lang w:val="sv-SE" w:eastAsia="ko-KR"/>
              </w:rPr>
              <w:t>Hrvatska</w:t>
            </w:r>
          </w:p>
          <w:p w14:paraId="462A449C" w14:textId="77777777" w:rsidR="00AC01D0" w:rsidRPr="009B40A5" w:rsidRDefault="00AC01D0">
            <w:pPr>
              <w:widowControl w:val="0"/>
              <w:suppressAutoHyphens/>
              <w:rPr>
                <w:rFonts w:eastAsia="새굴림" w:cs="새굴림"/>
                <w:noProof/>
                <w:lang w:val="sv-SE" w:eastAsia="ko-KR"/>
              </w:rPr>
            </w:pPr>
            <w:r w:rsidRPr="009B40A5">
              <w:rPr>
                <w:rFonts w:eastAsia="새굴림" w:cs="새굴림"/>
                <w:noProof/>
                <w:lang w:val="sv-SE" w:eastAsia="ko-KR"/>
              </w:rPr>
              <w:t>Oktal Pharma d.o.o.</w:t>
            </w:r>
          </w:p>
          <w:p w14:paraId="5E96EB5D" w14:textId="77777777" w:rsidR="00AC01D0" w:rsidRPr="00A942F6" w:rsidRDefault="00AC01D0">
            <w:pPr>
              <w:widowControl w:val="0"/>
              <w:suppressAutoHyphens/>
              <w:rPr>
                <w:rFonts w:eastAsia="새굴림" w:cs="새굴림"/>
                <w:noProof/>
                <w:lang w:val="nb-NO" w:eastAsia="ko-KR"/>
              </w:rPr>
            </w:pPr>
            <w:r w:rsidRPr="00A942F6">
              <w:rPr>
                <w:rFonts w:eastAsia="새굴림" w:cs="새굴림"/>
                <w:noProof/>
                <w:lang w:val="nb-NO" w:eastAsia="ko-KR"/>
              </w:rPr>
              <w:t>Tel: +385 1 6595 777</w:t>
            </w:r>
          </w:p>
          <w:p w14:paraId="5ED02EB1" w14:textId="77777777" w:rsidR="00AC01D0" w:rsidRPr="00A942F6" w:rsidRDefault="00AC01D0">
            <w:pPr>
              <w:widowControl w:val="0"/>
              <w:suppressAutoHyphens/>
              <w:rPr>
                <w:rFonts w:eastAsia="맑은 고딕" w:cs="새굴림"/>
                <w:noProof/>
                <w:lang w:val="nb-NO" w:eastAsia="fr-FR"/>
              </w:rPr>
            </w:pPr>
          </w:p>
        </w:tc>
        <w:tc>
          <w:tcPr>
            <w:tcW w:w="2500" w:type="pct"/>
          </w:tcPr>
          <w:p w14:paraId="739C2952" w14:textId="77777777" w:rsidR="00AC01D0" w:rsidRPr="009B40A5" w:rsidRDefault="00AC01D0">
            <w:pPr>
              <w:widowControl w:val="0"/>
              <w:tabs>
                <w:tab w:val="left" w:pos="-720"/>
              </w:tabs>
              <w:suppressAutoHyphens/>
              <w:rPr>
                <w:rFonts w:eastAsia="맑은 고딕" w:cs="새굴림"/>
                <w:b/>
                <w:noProof/>
                <w:lang w:eastAsia="fr-FR"/>
              </w:rPr>
            </w:pPr>
            <w:r w:rsidRPr="009B40A5">
              <w:rPr>
                <w:rFonts w:eastAsia="새굴림" w:cs="새굴림"/>
                <w:b/>
                <w:noProof/>
              </w:rPr>
              <w:t>România</w:t>
            </w:r>
          </w:p>
          <w:p w14:paraId="48EA13A4"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5700674C"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4587BDF4" w14:textId="77777777" w:rsidR="00AC01D0" w:rsidRPr="00A942F6" w:rsidRDefault="00AC01D0">
            <w:pPr>
              <w:widowControl w:val="0"/>
              <w:suppressAutoHyphens/>
              <w:rPr>
                <w:rFonts w:eastAsia="새굴림" w:cs="새굴림"/>
                <w:b/>
                <w:noProof/>
                <w:lang w:val="nb-NO"/>
              </w:rPr>
            </w:pPr>
          </w:p>
        </w:tc>
      </w:tr>
      <w:tr w:rsidR="007461B0" w:rsidRPr="00A942F6" w14:paraId="58A62B23" w14:textId="77777777">
        <w:trPr>
          <w:cantSplit/>
        </w:trPr>
        <w:tc>
          <w:tcPr>
            <w:tcW w:w="2500" w:type="pct"/>
          </w:tcPr>
          <w:p w14:paraId="22726CCA" w14:textId="77777777" w:rsidR="00AC01D0" w:rsidRPr="009B40A5" w:rsidRDefault="00AC01D0">
            <w:pPr>
              <w:widowControl w:val="0"/>
              <w:tabs>
                <w:tab w:val="left" w:pos="-720"/>
              </w:tabs>
              <w:suppressAutoHyphens/>
              <w:rPr>
                <w:rFonts w:eastAsia="새굴림" w:cs="새굴림"/>
                <w:noProof/>
                <w:lang w:eastAsia="fr-FR"/>
              </w:rPr>
            </w:pPr>
            <w:r w:rsidRPr="009B40A5">
              <w:rPr>
                <w:rFonts w:eastAsia="맑은 고딕" w:cs="새굴림"/>
                <w:b/>
                <w:noProof/>
                <w:lang w:eastAsia="fr-FR"/>
              </w:rPr>
              <w:t>Ireland</w:t>
            </w:r>
          </w:p>
          <w:p w14:paraId="1AC4480B" w14:textId="77777777" w:rsidR="00AC01D0" w:rsidRPr="009B40A5" w:rsidRDefault="00AC01D0">
            <w:pPr>
              <w:widowControl w:val="0"/>
              <w:suppressAutoHyphens/>
              <w:rPr>
                <w:rFonts w:eastAsia="맑은 고딕" w:cs="새굴림"/>
                <w:noProof/>
                <w:lang w:eastAsia="fr-FR"/>
              </w:rPr>
            </w:pPr>
            <w:r w:rsidRPr="009B40A5">
              <w:rPr>
                <w:rFonts w:eastAsia="맑은 고딕" w:cs="새굴림"/>
                <w:noProof/>
                <w:lang w:eastAsia="fr-FR"/>
              </w:rPr>
              <w:t>Celltrion Healthcare Ireland Limited</w:t>
            </w:r>
          </w:p>
          <w:p w14:paraId="770C8C7C" w14:textId="77777777" w:rsidR="00AC01D0" w:rsidRPr="009B40A5" w:rsidRDefault="00AC01D0">
            <w:pPr>
              <w:widowControl w:val="0"/>
              <w:suppressAutoHyphens/>
              <w:rPr>
                <w:rFonts w:eastAsia="맑은 고딕" w:cs="새굴림"/>
                <w:noProof/>
                <w:lang w:eastAsia="fr-FR"/>
              </w:rPr>
            </w:pPr>
            <w:r w:rsidRPr="009B40A5">
              <w:rPr>
                <w:rFonts w:eastAsia="맑은 고딕" w:cs="새굴림"/>
                <w:noProof/>
                <w:lang w:eastAsia="fr-FR"/>
              </w:rPr>
              <w:t>Tel: +353 1 223 4026</w:t>
            </w:r>
          </w:p>
          <w:p w14:paraId="37765D9E" w14:textId="77777777" w:rsidR="00AC01D0" w:rsidRPr="009B40A5" w:rsidRDefault="00AC01D0">
            <w:pPr>
              <w:widowControl w:val="0"/>
              <w:suppressAutoHyphens/>
              <w:rPr>
                <w:rFonts w:eastAsia="맑은 고딕" w:cs="새굴림"/>
                <w:noProof/>
                <w:lang w:eastAsia="fr-FR"/>
              </w:rPr>
            </w:pPr>
          </w:p>
        </w:tc>
        <w:tc>
          <w:tcPr>
            <w:tcW w:w="2500" w:type="pct"/>
          </w:tcPr>
          <w:p w14:paraId="52F257E1" w14:textId="77777777" w:rsidR="00AC01D0" w:rsidRPr="00CD583D" w:rsidRDefault="00AC01D0">
            <w:pPr>
              <w:widowControl w:val="0"/>
              <w:suppressAutoHyphens/>
              <w:rPr>
                <w:rFonts w:eastAsia="맑은 고딕" w:cs="새굴림"/>
                <w:b/>
                <w:noProof/>
                <w:lang w:eastAsia="fr-FR"/>
              </w:rPr>
            </w:pPr>
            <w:r w:rsidRPr="00CD583D">
              <w:rPr>
                <w:rFonts w:eastAsia="맑은 고딕" w:cs="새굴림"/>
                <w:b/>
                <w:noProof/>
                <w:lang w:eastAsia="fr-FR"/>
              </w:rPr>
              <w:t>Slovenija</w:t>
            </w:r>
          </w:p>
          <w:p w14:paraId="362238A4" w14:textId="77777777" w:rsidR="00AC01D0" w:rsidRPr="00CD583D" w:rsidRDefault="00AC01D0">
            <w:pPr>
              <w:widowControl w:val="0"/>
              <w:suppressAutoHyphens/>
              <w:rPr>
                <w:rFonts w:eastAsia="맑은 고딕" w:cs="새굴림"/>
                <w:noProof/>
                <w:lang w:eastAsia="fr-FR"/>
              </w:rPr>
            </w:pPr>
            <w:r w:rsidRPr="00CD583D">
              <w:rPr>
                <w:rFonts w:eastAsia="맑은 고딕" w:cs="새굴림"/>
                <w:noProof/>
                <w:lang w:eastAsia="fr-FR"/>
              </w:rPr>
              <w:t>OPH Oktal Pharma d.o.o.</w:t>
            </w:r>
          </w:p>
          <w:p w14:paraId="59E3C69D"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+386 1 519 29 22</w:t>
            </w:r>
          </w:p>
          <w:p w14:paraId="1247697A" w14:textId="77777777" w:rsidR="00AC01D0" w:rsidRPr="00A942F6" w:rsidRDefault="00AC01D0">
            <w:pPr>
              <w:widowControl w:val="0"/>
              <w:suppressAutoHyphens/>
              <w:rPr>
                <w:rFonts w:eastAsia="새굴림" w:cs="새굴림"/>
                <w:b/>
                <w:noProof/>
                <w:lang w:val="nb-NO"/>
              </w:rPr>
            </w:pPr>
          </w:p>
        </w:tc>
      </w:tr>
      <w:tr w:rsidR="007461B0" w:rsidRPr="00A942F6" w14:paraId="0EB71ED9" w14:textId="77777777">
        <w:trPr>
          <w:cantSplit/>
        </w:trPr>
        <w:tc>
          <w:tcPr>
            <w:tcW w:w="2500" w:type="pct"/>
          </w:tcPr>
          <w:p w14:paraId="79D1B1EE" w14:textId="77777777" w:rsidR="00AC01D0" w:rsidRPr="009B40A5" w:rsidRDefault="00AC01D0">
            <w:pPr>
              <w:widowControl w:val="0"/>
              <w:suppressAutoHyphens/>
              <w:rPr>
                <w:rFonts w:eastAsia="맑은 고딕" w:cs="새굴림"/>
                <w:noProof/>
                <w:lang w:eastAsia="fr-FR"/>
              </w:rPr>
            </w:pPr>
            <w:r w:rsidRPr="009B40A5">
              <w:rPr>
                <w:rFonts w:eastAsia="맑은 고딕" w:cs="새굴림"/>
                <w:b/>
                <w:noProof/>
                <w:lang w:eastAsia="fr-FR"/>
              </w:rPr>
              <w:lastRenderedPageBreak/>
              <w:t>Ísland</w:t>
            </w:r>
          </w:p>
          <w:p w14:paraId="7CA3FDF4"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3A527BA4"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Sími: +36 1 231 0493</w:t>
            </w:r>
          </w:p>
          <w:p w14:paraId="095E221E" w14:textId="77777777" w:rsidR="00AC01D0" w:rsidRPr="00A942F6" w:rsidRDefault="00AC01D0">
            <w:pPr>
              <w:widowControl w:val="0"/>
              <w:suppressAutoHyphens/>
              <w:rPr>
                <w:rFonts w:eastAsia="맑은 고딕" w:cs="새굴림"/>
                <w:noProof/>
                <w:lang w:val="nb-NO" w:eastAsia="fr-FR"/>
              </w:rPr>
            </w:pPr>
          </w:p>
        </w:tc>
        <w:tc>
          <w:tcPr>
            <w:tcW w:w="2500" w:type="pct"/>
          </w:tcPr>
          <w:p w14:paraId="7B4F7CB6" w14:textId="77777777" w:rsidR="00AC01D0" w:rsidRPr="009B40A5" w:rsidRDefault="00AC01D0">
            <w:pPr>
              <w:widowControl w:val="0"/>
              <w:suppressAutoHyphens/>
              <w:rPr>
                <w:rFonts w:eastAsia="맑은 고딕" w:cs="새굴림"/>
                <w:b/>
                <w:noProof/>
                <w:lang w:eastAsia="fr-FR"/>
              </w:rPr>
            </w:pPr>
            <w:r w:rsidRPr="009B40A5">
              <w:rPr>
                <w:rFonts w:eastAsia="새굴림" w:cs="새굴림"/>
                <w:b/>
                <w:noProof/>
              </w:rPr>
              <w:t>Slovenská republika</w:t>
            </w:r>
          </w:p>
          <w:p w14:paraId="33704B94"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7610312C"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663B5EF7" w14:textId="77777777" w:rsidR="00AC01D0" w:rsidRPr="00A942F6" w:rsidRDefault="00AC01D0">
            <w:pPr>
              <w:widowControl w:val="0"/>
              <w:suppressAutoHyphens/>
              <w:rPr>
                <w:rFonts w:eastAsia="맑은 고딕" w:cs="새굴림"/>
                <w:b/>
                <w:noProof/>
                <w:lang w:val="nb-NO" w:eastAsia="fr-FR"/>
              </w:rPr>
            </w:pPr>
          </w:p>
        </w:tc>
      </w:tr>
      <w:tr w:rsidR="007461B0" w:rsidRPr="00A942F6" w14:paraId="5AE69704" w14:textId="77777777">
        <w:trPr>
          <w:cantSplit/>
        </w:trPr>
        <w:tc>
          <w:tcPr>
            <w:tcW w:w="2500" w:type="pct"/>
          </w:tcPr>
          <w:p w14:paraId="22271AA3" w14:textId="77777777" w:rsidR="00AC01D0" w:rsidRPr="009B40A5" w:rsidRDefault="00AC01D0">
            <w:pPr>
              <w:widowControl w:val="0"/>
              <w:suppressAutoHyphens/>
              <w:rPr>
                <w:rFonts w:eastAsia="새굴림" w:cs="새굴림"/>
                <w:noProof/>
                <w:lang w:eastAsia="fr-FR"/>
              </w:rPr>
            </w:pPr>
            <w:r w:rsidRPr="009B40A5">
              <w:rPr>
                <w:rFonts w:eastAsia="맑은 고딕" w:cs="새굴림"/>
                <w:b/>
                <w:noProof/>
                <w:lang w:eastAsia="fr-FR"/>
              </w:rPr>
              <w:t>Italia</w:t>
            </w:r>
          </w:p>
          <w:p w14:paraId="5135B4B5" w14:textId="77777777" w:rsidR="00AC01D0" w:rsidRPr="009B40A5" w:rsidRDefault="00AC01D0">
            <w:pPr>
              <w:widowControl w:val="0"/>
              <w:suppressAutoHyphens/>
              <w:rPr>
                <w:rFonts w:eastAsia="맑은 고딕" w:cs="새굴림"/>
                <w:noProof/>
                <w:lang w:eastAsia="fr-FR"/>
              </w:rPr>
            </w:pPr>
            <w:r w:rsidRPr="009B40A5">
              <w:rPr>
                <w:rFonts w:eastAsia="맑은 고딕" w:cs="새굴림"/>
                <w:noProof/>
                <w:lang w:eastAsia="fr-FR"/>
              </w:rPr>
              <w:t>Celltrion Healthcare Italy S.r.l.</w:t>
            </w:r>
          </w:p>
          <w:p w14:paraId="14626743" w14:textId="77777777" w:rsidR="00AC01D0" w:rsidRPr="00A942F6" w:rsidRDefault="00AC01D0">
            <w:pPr>
              <w:widowControl w:val="0"/>
              <w:suppressAutoHyphens/>
              <w:rPr>
                <w:rFonts w:eastAsia="맑은 고딕" w:cs="새굴림"/>
                <w:noProof/>
                <w:lang w:val="nb-NO" w:eastAsia="fr-FR"/>
              </w:rPr>
            </w:pPr>
            <w:r w:rsidRPr="00A942F6">
              <w:rPr>
                <w:rFonts w:eastAsia="맑은 고딕" w:cs="새굴림"/>
                <w:noProof/>
                <w:lang w:val="nb-NO" w:eastAsia="fr-FR"/>
              </w:rPr>
              <w:t>Tel: +39 02 47927040</w:t>
            </w:r>
          </w:p>
          <w:p w14:paraId="1E203136" w14:textId="77777777" w:rsidR="00AC01D0" w:rsidRPr="00A942F6" w:rsidRDefault="00AC01D0">
            <w:pPr>
              <w:widowControl w:val="0"/>
              <w:suppressAutoHyphens/>
              <w:rPr>
                <w:rFonts w:eastAsia="맑은 고딕" w:cs="새굴림"/>
                <w:noProof/>
                <w:lang w:val="nb-NO" w:eastAsia="fr-FR"/>
              </w:rPr>
            </w:pPr>
          </w:p>
        </w:tc>
        <w:tc>
          <w:tcPr>
            <w:tcW w:w="2500" w:type="pct"/>
          </w:tcPr>
          <w:p w14:paraId="540C9D1D" w14:textId="77777777" w:rsidR="00AC01D0" w:rsidRPr="009B40A5" w:rsidRDefault="00AC01D0">
            <w:pPr>
              <w:widowControl w:val="0"/>
              <w:suppressAutoHyphens/>
              <w:rPr>
                <w:rFonts w:eastAsia="새굴림" w:cs="새굴림"/>
                <w:noProof/>
                <w:lang w:eastAsia="fr-FR"/>
              </w:rPr>
            </w:pPr>
            <w:r w:rsidRPr="009B40A5">
              <w:rPr>
                <w:rFonts w:eastAsia="맑은 고딕" w:cs="새굴림"/>
                <w:b/>
                <w:noProof/>
                <w:lang w:eastAsia="fr-FR"/>
              </w:rPr>
              <w:t>Suomi/Finland</w:t>
            </w:r>
          </w:p>
          <w:p w14:paraId="02F439BB"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 xml:space="preserve">Celltrion Healthcare Finland Oy. </w:t>
            </w:r>
          </w:p>
          <w:p w14:paraId="6E576664" w14:textId="42AE7446" w:rsidR="00AC01D0" w:rsidRDefault="00AC01D0">
            <w:pPr>
              <w:widowControl w:val="0"/>
              <w:suppressAutoHyphens/>
              <w:autoSpaceDE w:val="0"/>
              <w:autoSpaceDN w:val="0"/>
              <w:adjustRightInd w:val="0"/>
              <w:rPr>
                <w:rFonts w:eastAsia="맑은 고딕" w:cs="새굴림"/>
                <w:noProof/>
                <w:lang w:eastAsia="fr-FR"/>
              </w:rPr>
            </w:pPr>
            <w:r w:rsidRPr="00CD583D">
              <w:rPr>
                <w:rFonts w:eastAsia="맑은 고딕" w:cs="새굴림"/>
                <w:noProof/>
                <w:lang w:eastAsia="fr-FR"/>
              </w:rPr>
              <w:t>Tel: +358 29 170 7755</w:t>
            </w:r>
          </w:p>
          <w:p w14:paraId="3F7B056F" w14:textId="237D9AF4" w:rsidR="00552215" w:rsidRPr="00BD4D94" w:rsidRDefault="00552215" w:rsidP="00BD4D94">
            <w:pPr>
              <w:autoSpaceDE w:val="0"/>
              <w:autoSpaceDN w:val="0"/>
              <w:adjustRightInd w:val="0"/>
              <w:rPr>
                <w:rFonts w:eastAsia="맑은 고딕" w:cs="Times New Roman"/>
                <w:noProof/>
                <w:lang w:val="en-GB" w:eastAsia="ko-KR"/>
              </w:rPr>
            </w:pPr>
            <w:r w:rsidRPr="006F04E0">
              <w:rPr>
                <w:rFonts w:eastAsia="맑은 고딕" w:cs="Times New Roman"/>
                <w:noProof/>
                <w:lang w:val="en-GB" w:eastAsia="ko-KR"/>
              </w:rPr>
              <w:t>contact_fi@celltrionhc.com</w:t>
            </w:r>
          </w:p>
          <w:p w14:paraId="29FFF1A9" w14:textId="77777777" w:rsidR="00AC01D0" w:rsidRPr="00CD583D" w:rsidRDefault="00AC01D0">
            <w:pPr>
              <w:widowControl w:val="0"/>
              <w:suppressAutoHyphens/>
              <w:autoSpaceDE w:val="0"/>
              <w:autoSpaceDN w:val="0"/>
              <w:adjustRightInd w:val="0"/>
              <w:rPr>
                <w:rFonts w:eastAsia="맑은 고딕" w:cs="새굴림"/>
                <w:noProof/>
                <w:lang w:eastAsia="ko-KR"/>
              </w:rPr>
            </w:pPr>
          </w:p>
        </w:tc>
      </w:tr>
      <w:tr w:rsidR="007461B0" w:rsidRPr="00A942F6" w14:paraId="43657C9B" w14:textId="77777777">
        <w:trPr>
          <w:cantSplit/>
        </w:trPr>
        <w:tc>
          <w:tcPr>
            <w:tcW w:w="2500" w:type="pct"/>
          </w:tcPr>
          <w:p w14:paraId="5B3C5E40" w14:textId="77777777" w:rsidR="00AC01D0" w:rsidRPr="009B40A5" w:rsidRDefault="00AC01D0">
            <w:pPr>
              <w:widowControl w:val="0"/>
              <w:tabs>
                <w:tab w:val="left" w:pos="-720"/>
              </w:tabs>
              <w:suppressAutoHyphens/>
              <w:rPr>
                <w:rFonts w:eastAsia="새굴림" w:cs="새굴림"/>
                <w:b/>
                <w:bCs/>
                <w:noProof/>
                <w:lang w:eastAsia="fr-FR"/>
              </w:rPr>
            </w:pPr>
            <w:r w:rsidRPr="00A942F6">
              <w:rPr>
                <w:rFonts w:eastAsia="새굴림" w:cs="새굴림"/>
                <w:b/>
                <w:noProof/>
                <w:lang w:val="nb-NO"/>
              </w:rPr>
              <w:t>Κύπρος</w:t>
            </w:r>
          </w:p>
          <w:p w14:paraId="35F8A95F" w14:textId="77777777" w:rsidR="00AC01D0" w:rsidRPr="009B40A5" w:rsidRDefault="00AC01D0">
            <w:pPr>
              <w:widowControl w:val="0"/>
              <w:tabs>
                <w:tab w:val="left" w:pos="-720"/>
              </w:tabs>
              <w:suppressAutoHyphens/>
              <w:rPr>
                <w:rFonts w:eastAsia="맑은 고딕" w:cs="새굴림"/>
                <w:noProof/>
                <w:lang w:eastAsia="ko-KR"/>
              </w:rPr>
            </w:pPr>
            <w:r w:rsidRPr="009B40A5">
              <w:rPr>
                <w:rFonts w:eastAsia="맑은 고딕" w:cs="새굴림"/>
                <w:noProof/>
                <w:lang w:eastAsia="fr-FR"/>
              </w:rPr>
              <w:t>C.A. Papaellinas Ltd</w:t>
            </w:r>
          </w:p>
          <w:p w14:paraId="1F867F79" w14:textId="77777777" w:rsidR="00AC01D0" w:rsidRPr="009B40A5" w:rsidRDefault="00AC01D0">
            <w:pPr>
              <w:widowControl w:val="0"/>
              <w:suppressAutoHyphens/>
              <w:autoSpaceDE w:val="0"/>
              <w:autoSpaceDN w:val="0"/>
              <w:adjustRightInd w:val="0"/>
              <w:rPr>
                <w:rFonts w:eastAsia="맑은 고딕" w:cs="새굴림"/>
                <w:b/>
                <w:bCs/>
                <w:lang w:eastAsia="fr-FR"/>
              </w:rPr>
            </w:pPr>
            <w:r w:rsidRPr="00A942F6">
              <w:rPr>
                <w:rFonts w:eastAsia="새굴림" w:cs="새굴림"/>
                <w:noProof/>
                <w:lang w:val="nb-NO"/>
              </w:rPr>
              <w:t>Τηλ</w:t>
            </w:r>
            <w:r w:rsidRPr="009B40A5">
              <w:rPr>
                <w:rFonts w:eastAsia="새굴림" w:cs="새굴림"/>
                <w:noProof/>
              </w:rPr>
              <w:t xml:space="preserve">: </w:t>
            </w:r>
            <w:r w:rsidRPr="009B40A5">
              <w:rPr>
                <w:rFonts w:eastAsia="맑은 고딕" w:cs="새굴림"/>
                <w:noProof/>
                <w:lang w:eastAsia="fr-FR"/>
              </w:rPr>
              <w:t>+357 22741741</w:t>
            </w:r>
          </w:p>
          <w:p w14:paraId="05D51642" w14:textId="77777777" w:rsidR="00AC01D0" w:rsidRPr="009B40A5" w:rsidRDefault="00AC01D0">
            <w:pPr>
              <w:widowControl w:val="0"/>
              <w:suppressAutoHyphens/>
              <w:autoSpaceDE w:val="0"/>
              <w:autoSpaceDN w:val="0"/>
              <w:adjustRightInd w:val="0"/>
              <w:rPr>
                <w:rFonts w:eastAsia="맑은 고딕" w:cs="새굴림"/>
                <w:b/>
                <w:noProof/>
                <w:lang w:eastAsia="fr-FR"/>
              </w:rPr>
            </w:pPr>
          </w:p>
        </w:tc>
        <w:tc>
          <w:tcPr>
            <w:tcW w:w="2500" w:type="pct"/>
          </w:tcPr>
          <w:p w14:paraId="5AC39886" w14:textId="77777777" w:rsidR="00AC01D0" w:rsidRPr="009B40A5" w:rsidRDefault="00AC01D0">
            <w:pPr>
              <w:widowControl w:val="0"/>
              <w:tabs>
                <w:tab w:val="left" w:pos="-720"/>
              </w:tabs>
              <w:suppressAutoHyphens/>
              <w:rPr>
                <w:rFonts w:eastAsia="새굴림" w:cs="새굴림"/>
                <w:b/>
                <w:noProof/>
                <w:lang w:eastAsia="fr-FR"/>
              </w:rPr>
            </w:pPr>
            <w:r w:rsidRPr="009B40A5">
              <w:rPr>
                <w:rFonts w:eastAsia="새굴림" w:cs="새굴림"/>
                <w:b/>
                <w:noProof/>
              </w:rPr>
              <w:t>Sverige</w:t>
            </w:r>
          </w:p>
          <w:p w14:paraId="7256FFC4" w14:textId="77777777" w:rsidR="00CB4C49" w:rsidRDefault="00CB4C49" w:rsidP="00CB4C49">
            <w:pPr>
              <w:tabs>
                <w:tab w:val="left" w:pos="-720"/>
              </w:tabs>
              <w:suppressAutoHyphens/>
              <w:rPr>
                <w:rFonts w:eastAsia="맑은 고딕"/>
                <w:noProof/>
                <w:lang w:val="en-GB" w:eastAsia="fr-FR"/>
              </w:rPr>
            </w:pPr>
            <w:r w:rsidRPr="00FD2965">
              <w:rPr>
                <w:rFonts w:eastAsia="맑은 고딕"/>
                <w:noProof/>
                <w:lang w:val="en-GB" w:eastAsia="fr-FR"/>
              </w:rPr>
              <w:t>Celltrion Sweden AB</w:t>
            </w:r>
          </w:p>
          <w:p w14:paraId="7D0D2BB0" w14:textId="4C340FB4" w:rsidR="00552215" w:rsidRPr="00BD4D94" w:rsidRDefault="00552215" w:rsidP="00CB4C49">
            <w:pPr>
              <w:tabs>
                <w:tab w:val="left" w:pos="-720"/>
              </w:tabs>
              <w:suppressAutoHyphens/>
              <w:rPr>
                <w:rFonts w:eastAsia="맑은 고딕" w:cs="Times New Roman"/>
                <w:noProof/>
                <w:lang w:eastAsia="ko-KR"/>
              </w:rPr>
            </w:pPr>
            <w:r w:rsidRPr="002738BB">
              <w:rPr>
                <w:rFonts w:eastAsia="맑은 고딕" w:cs="Times New Roman"/>
                <w:noProof/>
                <w:lang w:eastAsia="fr-FR"/>
              </w:rPr>
              <w:t>Tel: +46 8 80 11 77</w:t>
            </w:r>
          </w:p>
          <w:p w14:paraId="0E9EE543" w14:textId="39AF780C" w:rsidR="00CB4C49" w:rsidRPr="00FD2965" w:rsidRDefault="00552215" w:rsidP="00CB4C49">
            <w:pPr>
              <w:tabs>
                <w:tab w:val="left" w:pos="-720"/>
              </w:tabs>
              <w:suppressAutoHyphens/>
              <w:rPr>
                <w:rFonts w:eastAsia="맑은 고딕"/>
                <w:b/>
                <w:noProof/>
                <w:lang w:val="en-GB" w:eastAsia="fr-FR"/>
              </w:rPr>
            </w:pPr>
            <w:r>
              <w:rPr>
                <w:rFonts w:eastAsia="맑은 고딕" w:hint="eastAsia"/>
                <w:noProof/>
                <w:lang w:val="en-GB" w:eastAsia="ko-KR"/>
              </w:rPr>
              <w:t>C</w:t>
            </w:r>
            <w:r w:rsidR="00CB4C49" w:rsidRPr="00FD2965">
              <w:rPr>
                <w:rFonts w:eastAsia="맑은 고딕"/>
                <w:noProof/>
                <w:lang w:val="en-GB" w:eastAsia="fr-FR"/>
              </w:rPr>
              <w:t>ontact_se@celltrionhc.com</w:t>
            </w:r>
          </w:p>
          <w:p w14:paraId="0E969F2F" w14:textId="77777777" w:rsidR="00AC01D0" w:rsidRPr="00CB4C49" w:rsidRDefault="00AC01D0">
            <w:pPr>
              <w:widowControl w:val="0"/>
              <w:tabs>
                <w:tab w:val="left" w:pos="-720"/>
              </w:tabs>
              <w:suppressAutoHyphens/>
              <w:rPr>
                <w:rFonts w:eastAsia="맑은 고딕" w:cs="새굴림"/>
                <w:b/>
                <w:noProof/>
                <w:lang w:eastAsia="fr-FR"/>
              </w:rPr>
            </w:pPr>
          </w:p>
        </w:tc>
      </w:tr>
      <w:tr w:rsidR="007461B0" w:rsidRPr="00A942F6" w14:paraId="28E994C5" w14:textId="77777777">
        <w:trPr>
          <w:cantSplit/>
        </w:trPr>
        <w:tc>
          <w:tcPr>
            <w:tcW w:w="2500" w:type="pct"/>
          </w:tcPr>
          <w:p w14:paraId="276A186F" w14:textId="77777777" w:rsidR="00AC01D0" w:rsidRPr="009B40A5" w:rsidRDefault="00AC01D0">
            <w:pPr>
              <w:widowControl w:val="0"/>
              <w:suppressAutoHyphens/>
              <w:rPr>
                <w:rFonts w:eastAsia="맑은 고딕" w:cs="새굴림"/>
                <w:b/>
                <w:noProof/>
                <w:lang w:eastAsia="fr-FR"/>
              </w:rPr>
            </w:pPr>
            <w:r w:rsidRPr="009B40A5">
              <w:rPr>
                <w:rFonts w:eastAsia="맑은 고딕" w:cs="새굴림"/>
                <w:b/>
                <w:noProof/>
                <w:lang w:eastAsia="fr-FR"/>
              </w:rPr>
              <w:t>Latvija</w:t>
            </w:r>
          </w:p>
          <w:p w14:paraId="2C3810CC" w14:textId="77777777" w:rsidR="00AC01D0" w:rsidRPr="009B40A5" w:rsidRDefault="00AC01D0">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7DE93DF8" w14:textId="77777777" w:rsidR="00AC01D0" w:rsidRPr="00A942F6" w:rsidRDefault="00AC01D0">
            <w:pPr>
              <w:widowControl w:val="0"/>
              <w:suppressAutoHyphens/>
              <w:autoSpaceDE w:val="0"/>
              <w:autoSpaceDN w:val="0"/>
              <w:adjustRightInd w:val="0"/>
              <w:rPr>
                <w:rFonts w:eastAsia="맑은 고딕" w:cs="새굴림"/>
                <w:noProof/>
                <w:lang w:val="nb-NO" w:eastAsia="fr-FR"/>
              </w:rPr>
            </w:pPr>
            <w:r w:rsidRPr="00A942F6">
              <w:rPr>
                <w:rFonts w:eastAsia="맑은 고딕" w:cs="새굴림"/>
                <w:noProof/>
                <w:lang w:val="nb-NO" w:eastAsia="fr-FR"/>
              </w:rPr>
              <w:t>Tālr.: +36 1 231 0493</w:t>
            </w:r>
          </w:p>
          <w:p w14:paraId="77FB4774" w14:textId="77777777" w:rsidR="00AC01D0" w:rsidRPr="00A942F6" w:rsidRDefault="00AC01D0">
            <w:pPr>
              <w:widowControl w:val="0"/>
              <w:suppressAutoHyphens/>
              <w:autoSpaceDE w:val="0"/>
              <w:autoSpaceDN w:val="0"/>
              <w:adjustRightInd w:val="0"/>
              <w:rPr>
                <w:rFonts w:eastAsia="맑은 고딕" w:cs="새굴림"/>
                <w:b/>
                <w:bCs/>
                <w:lang w:val="nb-NO" w:eastAsia="fr-FR"/>
              </w:rPr>
            </w:pPr>
          </w:p>
        </w:tc>
        <w:tc>
          <w:tcPr>
            <w:tcW w:w="2500" w:type="pct"/>
          </w:tcPr>
          <w:p w14:paraId="7DF130C9" w14:textId="77777777" w:rsidR="00AC01D0" w:rsidRPr="00A942F6" w:rsidRDefault="00AC01D0">
            <w:pPr>
              <w:widowControl w:val="0"/>
              <w:tabs>
                <w:tab w:val="left" w:pos="-720"/>
              </w:tabs>
              <w:suppressAutoHyphens/>
              <w:rPr>
                <w:rFonts w:eastAsia="맑은 고딕" w:cs="새굴림"/>
                <w:b/>
                <w:noProof/>
                <w:lang w:val="nb-NO" w:eastAsia="fr-FR"/>
              </w:rPr>
            </w:pPr>
          </w:p>
        </w:tc>
      </w:tr>
    </w:tbl>
    <w:p w14:paraId="23FD05E3" w14:textId="77777777" w:rsidR="00AC01D0" w:rsidRPr="00A942F6" w:rsidRDefault="00AC01D0" w:rsidP="00641834">
      <w:pPr>
        <w:rPr>
          <w:lang w:val="nb-NO"/>
        </w:rPr>
      </w:pPr>
    </w:p>
    <w:p w14:paraId="28B9DFB4" w14:textId="77777777" w:rsidR="00310ABA" w:rsidRPr="00A942F6" w:rsidRDefault="004A425F" w:rsidP="00641834">
      <w:pPr>
        <w:pStyle w:val="bold"/>
        <w:rPr>
          <w:lang w:val="nb-NO"/>
        </w:rPr>
      </w:pPr>
      <w:r w:rsidRPr="00A942F6">
        <w:rPr>
          <w:lang w:val="nb-NO"/>
        </w:rPr>
        <w:t>Dette pakni</w:t>
      </w:r>
      <w:r w:rsidR="00310ABA" w:rsidRPr="00A942F6">
        <w:rPr>
          <w:lang w:val="nb-NO"/>
        </w:rPr>
        <w:t>ngsvedlegget ble sist oppdatert</w:t>
      </w:r>
    </w:p>
    <w:p w14:paraId="7DC7CF2F" w14:textId="77777777" w:rsidR="00310ABA" w:rsidRPr="00A942F6" w:rsidRDefault="00310ABA" w:rsidP="00641834">
      <w:pPr>
        <w:rPr>
          <w:lang w:val="nb-NO"/>
        </w:rPr>
      </w:pPr>
    </w:p>
    <w:p w14:paraId="75643342" w14:textId="77777777" w:rsidR="004A425F" w:rsidRPr="00A942F6" w:rsidRDefault="004A425F" w:rsidP="00641834">
      <w:pPr>
        <w:pStyle w:val="bold"/>
        <w:rPr>
          <w:lang w:val="nb-NO"/>
        </w:rPr>
      </w:pPr>
      <w:r w:rsidRPr="00A942F6">
        <w:rPr>
          <w:lang w:val="nb-NO"/>
        </w:rPr>
        <w:t>Andre informasjonskilder</w:t>
      </w:r>
    </w:p>
    <w:p w14:paraId="200F6E7A" w14:textId="754006DA" w:rsidR="004A425F" w:rsidRPr="00A942F6" w:rsidRDefault="004A425F" w:rsidP="00641834">
      <w:pPr>
        <w:rPr>
          <w:lang w:val="nb-NO"/>
        </w:rPr>
      </w:pPr>
      <w:r w:rsidRPr="00A942F6">
        <w:rPr>
          <w:lang w:val="nb-NO"/>
        </w:rPr>
        <w:t xml:space="preserve">Detaljert informasjon om dette legemidlet er tilgjengelig på nettstedet til Det europeiske legemiddelkontoret (the European Medicines Agency): </w:t>
      </w:r>
      <w:hyperlink r:id="rId27" w:history="1">
        <w:r w:rsidR="00815D31">
          <w:rPr>
            <w:rStyle w:val="a6"/>
            <w:color w:val="0000FF"/>
            <w:lang w:val="nb-NO"/>
          </w:rPr>
          <w:t>https:</w:t>
        </w:r>
        <w:r w:rsidRPr="00A942F6">
          <w:rPr>
            <w:rStyle w:val="a6"/>
            <w:color w:val="0000FF"/>
            <w:lang w:val="nb-NO"/>
          </w:rPr>
          <w:t>//www.ema.europa.eu</w:t>
        </w:r>
      </w:hyperlink>
      <w:r w:rsidRPr="00A942F6">
        <w:rPr>
          <w:lang w:val="nb-NO"/>
        </w:rPr>
        <w:t xml:space="preserve">, og på nettstedet til </w:t>
      </w:r>
      <w:hyperlink r:id="rId28" w:history="1">
        <w:r w:rsidRPr="00A942F6">
          <w:rPr>
            <w:rStyle w:val="a6"/>
            <w:color w:val="0000FF"/>
            <w:lang w:val="nb-NO"/>
          </w:rPr>
          <w:t>www.felleskatalogen.no</w:t>
        </w:r>
      </w:hyperlink>
      <w:r w:rsidRPr="00A942F6">
        <w:rPr>
          <w:lang w:val="nb-NO"/>
        </w:rPr>
        <w:t>.</w:t>
      </w:r>
    </w:p>
    <w:p w14:paraId="0B0E0FC5" w14:textId="77777777" w:rsidR="004A425F" w:rsidRPr="00A942F6" w:rsidRDefault="004A425F" w:rsidP="00641834">
      <w:pPr>
        <w:rPr>
          <w:lang w:val="nb-NO"/>
        </w:rPr>
      </w:pPr>
    </w:p>
    <w:p w14:paraId="357FBD0D" w14:textId="77777777" w:rsidR="00EA08FF" w:rsidRPr="00A942F6" w:rsidRDefault="004A425F" w:rsidP="0036729A">
      <w:pPr>
        <w:keepNext/>
        <w:rPr>
          <w:b/>
          <w:bCs/>
          <w:lang w:val="nb-NO"/>
        </w:rPr>
      </w:pPr>
      <w:r w:rsidRPr="00A942F6">
        <w:rPr>
          <w:lang w:val="nb-NO"/>
        </w:rPr>
        <w:br w:type="page"/>
      </w:r>
      <w:r w:rsidR="00F617FC" w:rsidRPr="00A942F6">
        <w:rPr>
          <w:b/>
          <w:bCs/>
          <w:lang w:val="nb-NO"/>
        </w:rPr>
        <w:lastRenderedPageBreak/>
        <w:t>7.</w:t>
      </w:r>
      <w:r w:rsidR="00EA08FF" w:rsidRPr="00A942F6">
        <w:rPr>
          <w:b/>
          <w:lang w:val="nb-NO"/>
        </w:rPr>
        <w:tab/>
        <w:t>Bruksanvisning</w:t>
      </w:r>
    </w:p>
    <w:p w14:paraId="00847651" w14:textId="77777777" w:rsidR="00EA08FF" w:rsidRPr="00A942F6" w:rsidRDefault="00EA08FF" w:rsidP="00EA08FF">
      <w:pPr>
        <w:keepNext/>
        <w:rPr>
          <w:lang w:val="nb-NO"/>
        </w:rPr>
      </w:pPr>
      <w:bookmarkStart w:id="29" w:name="_Hlk146283329"/>
    </w:p>
    <w:p w14:paraId="74BBA5B0" w14:textId="77777777" w:rsidR="00EA08FF" w:rsidRPr="00A942F6" w:rsidRDefault="00EA08FF" w:rsidP="00EA08FF">
      <w:pPr>
        <w:rPr>
          <w:lang w:val="nb-NO"/>
        </w:rPr>
      </w:pPr>
      <w:r w:rsidRPr="00A942F6">
        <w:rPr>
          <w:lang w:val="nb-NO"/>
        </w:rPr>
        <w:t>Les og følg bruksanvisningen som følger med din Avtozma ferdigfylte sprøyte før du begynner å bruke den og hver gang du henter ut en ny pakke. Den kan inneholde ny informasjon. Før du begynner å bruke Avtozma må du passe på at helsepersonell har vist deg riktig måte å bruke den.</w:t>
      </w:r>
    </w:p>
    <w:bookmarkEnd w:id="29"/>
    <w:p w14:paraId="5DD04DD8" w14:textId="77777777" w:rsidR="00EA08FF" w:rsidRPr="00A942F6" w:rsidRDefault="00EA08FF" w:rsidP="00EA08FF">
      <w:pPr>
        <w:rPr>
          <w:lang w:val="nb-NO"/>
        </w:rPr>
      </w:pPr>
    </w:p>
    <w:p w14:paraId="1B47350F" w14:textId="77777777" w:rsidR="00EA08FF" w:rsidRPr="00A942F6" w:rsidRDefault="00EA08FF" w:rsidP="00EA08FF">
      <w:pPr>
        <w:keepNext/>
        <w:rPr>
          <w:b/>
          <w:bCs/>
          <w:lang w:val="nb-NO"/>
        </w:rPr>
      </w:pPr>
      <w:r w:rsidRPr="00A942F6">
        <w:rPr>
          <w:b/>
          <w:lang w:val="nb-NO"/>
        </w:rPr>
        <w:t>Viktig informasjon</w:t>
      </w:r>
    </w:p>
    <w:p w14:paraId="15CB2EE8" w14:textId="77777777" w:rsidR="00EA08FF" w:rsidRPr="00A942F6" w:rsidRDefault="00EA08FF" w:rsidP="00EA08FF">
      <w:pPr>
        <w:keepNext/>
        <w:rPr>
          <w:b/>
          <w:bCs/>
          <w:lang w:val="nb-NO"/>
        </w:rPr>
      </w:pPr>
    </w:p>
    <w:p w14:paraId="2ED34570" w14:textId="77777777" w:rsidR="00EA08FF" w:rsidRPr="00A942F6" w:rsidRDefault="00EA08FF" w:rsidP="007814F8">
      <w:pPr>
        <w:widowControl w:val="0"/>
        <w:numPr>
          <w:ilvl w:val="2"/>
          <w:numId w:val="21"/>
        </w:numPr>
        <w:tabs>
          <w:tab w:val="left" w:pos="832"/>
        </w:tabs>
        <w:ind w:left="567" w:hanging="567"/>
        <w:rPr>
          <w:rFonts w:eastAsia="Times New Roman"/>
          <w:bCs/>
          <w:lang w:val="nb-NO"/>
        </w:rPr>
      </w:pPr>
      <w:r w:rsidRPr="00A942F6">
        <w:rPr>
          <w:b/>
          <w:lang w:val="nb-NO"/>
        </w:rPr>
        <w:t>Ikke</w:t>
      </w:r>
      <w:r w:rsidRPr="00A942F6">
        <w:rPr>
          <w:lang w:val="nb-NO"/>
        </w:rPr>
        <w:t xml:space="preserve"> fjern hetten fra den </w:t>
      </w:r>
      <w:r w:rsidRPr="00A942F6">
        <w:rPr>
          <w:color w:val="231F20"/>
          <w:lang w:val="nb-NO"/>
        </w:rPr>
        <w:t>ferdigfylte sprøyten</w:t>
      </w:r>
      <w:r w:rsidRPr="00A942F6">
        <w:rPr>
          <w:lang w:val="nb-NO"/>
        </w:rPr>
        <w:t xml:space="preserve"> før du er klar til å injisere </w:t>
      </w:r>
      <w:r w:rsidRPr="00A942F6">
        <w:rPr>
          <w:color w:val="231F20"/>
          <w:lang w:val="nb-NO"/>
        </w:rPr>
        <w:t>Avtozma</w:t>
      </w:r>
      <w:r w:rsidRPr="00A942F6">
        <w:rPr>
          <w:lang w:val="nb-NO"/>
        </w:rPr>
        <w:t>.</w:t>
      </w:r>
    </w:p>
    <w:p w14:paraId="7A1B9447" w14:textId="77777777" w:rsidR="00EA08FF" w:rsidRPr="00D56F39" w:rsidRDefault="00EA08FF" w:rsidP="00D56F39">
      <w:pPr>
        <w:widowControl w:val="0"/>
        <w:numPr>
          <w:ilvl w:val="2"/>
          <w:numId w:val="21"/>
        </w:numPr>
        <w:tabs>
          <w:tab w:val="left" w:pos="832"/>
        </w:tabs>
        <w:ind w:left="567" w:hanging="567"/>
        <w:rPr>
          <w:rFonts w:eastAsia="Times New Roman"/>
          <w:b/>
          <w:bCs/>
          <w:lang w:val="nb-NO"/>
        </w:rPr>
      </w:pPr>
      <w:r w:rsidRPr="00D56F39">
        <w:rPr>
          <w:b/>
          <w:bCs/>
          <w:lang w:val="nb-NO"/>
        </w:rPr>
        <w:t>Forsøk aldri å demontere den ferdigfylte sprøyten.</w:t>
      </w:r>
    </w:p>
    <w:p w14:paraId="0F1469A6" w14:textId="77777777" w:rsidR="00EA08FF" w:rsidRPr="00A942F6" w:rsidRDefault="00EA08FF" w:rsidP="007814F8">
      <w:pPr>
        <w:widowControl w:val="0"/>
        <w:numPr>
          <w:ilvl w:val="2"/>
          <w:numId w:val="21"/>
        </w:numPr>
        <w:tabs>
          <w:tab w:val="left" w:pos="832"/>
        </w:tabs>
        <w:ind w:left="567" w:hanging="567"/>
        <w:rPr>
          <w:rFonts w:eastAsia="Times New Roman"/>
          <w:bCs/>
          <w:lang w:val="nb-NO"/>
        </w:rPr>
      </w:pPr>
      <w:r w:rsidRPr="00A942F6">
        <w:rPr>
          <w:b/>
          <w:lang w:val="nb-NO"/>
        </w:rPr>
        <w:t xml:space="preserve">Ikke </w:t>
      </w:r>
      <w:r w:rsidRPr="00A942F6">
        <w:rPr>
          <w:lang w:val="nb-NO"/>
        </w:rPr>
        <w:t>bruk den samme sprøyten om igjen.</w:t>
      </w:r>
    </w:p>
    <w:p w14:paraId="1D25B08A" w14:textId="77777777" w:rsidR="00EA08FF" w:rsidRPr="00A942F6" w:rsidRDefault="00EA08FF" w:rsidP="007814F8">
      <w:pPr>
        <w:widowControl w:val="0"/>
        <w:numPr>
          <w:ilvl w:val="2"/>
          <w:numId w:val="21"/>
        </w:numPr>
        <w:tabs>
          <w:tab w:val="left" w:pos="832"/>
        </w:tabs>
        <w:ind w:left="567" w:hanging="567"/>
        <w:rPr>
          <w:rFonts w:eastAsia="Times New Roman"/>
          <w:lang w:val="nb-NO"/>
        </w:rPr>
      </w:pPr>
      <w:r w:rsidRPr="00A942F6">
        <w:rPr>
          <w:b/>
          <w:lang w:val="nb-NO"/>
        </w:rPr>
        <w:t xml:space="preserve">Ikke </w:t>
      </w:r>
      <w:r w:rsidRPr="00A942F6">
        <w:rPr>
          <w:lang w:val="nb-NO"/>
        </w:rPr>
        <w:t>rist den ferdigfylte sprøyten.</w:t>
      </w:r>
    </w:p>
    <w:p w14:paraId="49F2708E" w14:textId="77777777" w:rsidR="00EA08FF" w:rsidRPr="00A942F6" w:rsidRDefault="00EA08FF" w:rsidP="007814F8">
      <w:pPr>
        <w:widowControl w:val="0"/>
        <w:numPr>
          <w:ilvl w:val="2"/>
          <w:numId w:val="21"/>
        </w:numPr>
        <w:tabs>
          <w:tab w:val="left" w:pos="832"/>
        </w:tabs>
        <w:ind w:left="567" w:hanging="567"/>
        <w:rPr>
          <w:rFonts w:eastAsia="Times New Roman"/>
          <w:lang w:val="nb-NO"/>
        </w:rPr>
      </w:pPr>
      <w:r w:rsidRPr="00A942F6">
        <w:rPr>
          <w:b/>
          <w:lang w:val="nb-NO"/>
        </w:rPr>
        <w:t>Ikke</w:t>
      </w:r>
      <w:r w:rsidRPr="00A942F6">
        <w:rPr>
          <w:lang w:val="nb-NO"/>
        </w:rPr>
        <w:t xml:space="preserve"> bruk den ferdigfylte sprøyten hvis den har falt i gulvet eller </w:t>
      </w:r>
      <w:r w:rsidR="005C3BF4">
        <w:rPr>
          <w:lang w:val="nb-NO"/>
        </w:rPr>
        <w:t>har</w:t>
      </w:r>
      <w:r w:rsidRPr="00A942F6">
        <w:rPr>
          <w:lang w:val="nb-NO"/>
        </w:rPr>
        <w:t xml:space="preserve"> blitt skadet.</w:t>
      </w:r>
    </w:p>
    <w:p w14:paraId="74D4C9EE" w14:textId="77777777" w:rsidR="00EA08FF" w:rsidRPr="00A942F6" w:rsidRDefault="00EA08FF" w:rsidP="007814F8">
      <w:pPr>
        <w:widowControl w:val="0"/>
        <w:numPr>
          <w:ilvl w:val="2"/>
          <w:numId w:val="21"/>
        </w:numPr>
        <w:tabs>
          <w:tab w:val="left" w:pos="832"/>
        </w:tabs>
        <w:ind w:left="567" w:hanging="567"/>
        <w:rPr>
          <w:rFonts w:eastAsia="Times New Roman"/>
          <w:bCs/>
          <w:lang w:val="nb-NO"/>
        </w:rPr>
      </w:pPr>
      <w:r w:rsidRPr="00A942F6">
        <w:rPr>
          <w:b/>
          <w:lang w:val="nb-NO"/>
        </w:rPr>
        <w:t xml:space="preserve">Råd til pasienter angående overfølsomhetsreaksjoner (eller anafylaksi): </w:t>
      </w:r>
      <w:r w:rsidRPr="00A942F6">
        <w:rPr>
          <w:lang w:val="nb-NO"/>
        </w:rPr>
        <w:t>Dersom du utvikler symptomer som, men ikke begrenset til, f.eks. hudutslett, kløe, frysninger, hevelse i ansikt, lepper, tunge eller hals, brystsmerter, hvesende pust, problemer med å puste eller svelge eller føler deg svimmel eller svak når som helst under eller etter en injeksjon, bør du oppsøke medisinsk hjelp umiddelbart.</w:t>
      </w:r>
    </w:p>
    <w:p w14:paraId="2253A134" w14:textId="77777777" w:rsidR="00EA08FF" w:rsidRPr="00A942F6" w:rsidRDefault="00EA08FF" w:rsidP="00EA08FF">
      <w:pPr>
        <w:rPr>
          <w:lang w:val="nb-NO"/>
        </w:rPr>
      </w:pPr>
    </w:p>
    <w:p w14:paraId="7D5C1789" w14:textId="77777777" w:rsidR="00EA08FF" w:rsidRPr="00A942F6" w:rsidRDefault="00EA08FF" w:rsidP="00EA08FF">
      <w:pPr>
        <w:keepNext/>
        <w:rPr>
          <w:b/>
          <w:bCs/>
          <w:lang w:val="nb-NO"/>
        </w:rPr>
      </w:pPr>
      <w:r w:rsidRPr="00A942F6">
        <w:rPr>
          <w:b/>
          <w:lang w:val="nb-NO"/>
        </w:rPr>
        <w:t>Oppbevaring av Avtozma</w:t>
      </w:r>
    </w:p>
    <w:p w14:paraId="50FFE631" w14:textId="77777777" w:rsidR="00EA08FF" w:rsidRPr="00A942F6" w:rsidRDefault="00EA08FF" w:rsidP="00EA08FF">
      <w:pPr>
        <w:keepNext/>
        <w:rPr>
          <w:b/>
          <w:bCs/>
          <w:lang w:val="nb-NO"/>
        </w:rPr>
      </w:pPr>
    </w:p>
    <w:p w14:paraId="042ED6B9" w14:textId="77777777" w:rsidR="00EA08FF" w:rsidRPr="00A942F6" w:rsidRDefault="00EA08FF" w:rsidP="007814F8">
      <w:pPr>
        <w:pStyle w:val="a5"/>
        <w:widowControl/>
        <w:numPr>
          <w:ilvl w:val="0"/>
          <w:numId w:val="40"/>
        </w:numPr>
        <w:autoSpaceDE/>
        <w:autoSpaceDN/>
        <w:ind w:left="567" w:hanging="567"/>
        <w:contextualSpacing/>
        <w:rPr>
          <w:lang w:val="nb-NO"/>
        </w:rPr>
      </w:pPr>
      <w:r w:rsidRPr="00A942F6">
        <w:rPr>
          <w:lang w:val="nb-NO"/>
        </w:rPr>
        <w:t xml:space="preserve">Oppbevar den ubrukte ferdigfylte sprøyten i originalesken i et kjøleskap ved 2 °C til 8 ºC. </w:t>
      </w:r>
      <w:r w:rsidRPr="00A942F6">
        <w:rPr>
          <w:b/>
          <w:lang w:val="nb-NO"/>
        </w:rPr>
        <w:t xml:space="preserve">Skal ikke </w:t>
      </w:r>
      <w:r w:rsidRPr="00A942F6">
        <w:rPr>
          <w:lang w:val="nb-NO"/>
        </w:rPr>
        <w:t>fryses.</w:t>
      </w:r>
    </w:p>
    <w:p w14:paraId="13F0206C" w14:textId="3EBF8673" w:rsidR="00EA08FF" w:rsidRPr="00A942F6" w:rsidRDefault="00EA08FF" w:rsidP="007814F8">
      <w:pPr>
        <w:pStyle w:val="a5"/>
        <w:widowControl/>
        <w:numPr>
          <w:ilvl w:val="0"/>
          <w:numId w:val="40"/>
        </w:numPr>
        <w:autoSpaceDE/>
        <w:autoSpaceDN/>
        <w:ind w:left="567" w:hanging="567"/>
        <w:contextualSpacing/>
        <w:rPr>
          <w:lang w:val="nb-NO"/>
        </w:rPr>
      </w:pPr>
      <w:r w:rsidRPr="00A942F6">
        <w:rPr>
          <w:lang w:val="nb-NO"/>
        </w:rPr>
        <w:t xml:space="preserve">Etter uttak fra kjøleskap kan Avtozma oppbevares i opptil 3 uker ved høyst 30 °C. Hvis den ikke brukes innen de </w:t>
      </w:r>
      <w:r w:rsidR="0055156E">
        <w:rPr>
          <w:lang w:val="nb-NO"/>
        </w:rPr>
        <w:t>3</w:t>
      </w:r>
      <w:r w:rsidRPr="00A942F6">
        <w:rPr>
          <w:lang w:val="nb-NO"/>
        </w:rPr>
        <w:t> ukene, skal Avtozma kastes.</w:t>
      </w:r>
    </w:p>
    <w:p w14:paraId="7E187EF6" w14:textId="77777777" w:rsidR="00EA08FF" w:rsidRPr="00A942F6" w:rsidRDefault="00EA08FF" w:rsidP="007814F8">
      <w:pPr>
        <w:pStyle w:val="a5"/>
        <w:widowControl/>
        <w:numPr>
          <w:ilvl w:val="0"/>
          <w:numId w:val="40"/>
        </w:numPr>
        <w:autoSpaceDE/>
        <w:autoSpaceDN/>
        <w:ind w:left="567" w:hanging="567"/>
        <w:contextualSpacing/>
        <w:rPr>
          <w:lang w:val="nb-NO"/>
        </w:rPr>
      </w:pPr>
      <w:r w:rsidRPr="00A942F6">
        <w:rPr>
          <w:lang w:val="nb-NO"/>
        </w:rPr>
        <w:t>Den ferdigfylte sprøyten må holdes unna direkte sollys.</w:t>
      </w:r>
    </w:p>
    <w:p w14:paraId="0CCB9842" w14:textId="77777777" w:rsidR="00EA08FF" w:rsidRPr="00A942F6" w:rsidRDefault="00EA08FF" w:rsidP="007814F8">
      <w:pPr>
        <w:pStyle w:val="a5"/>
        <w:widowControl/>
        <w:numPr>
          <w:ilvl w:val="0"/>
          <w:numId w:val="40"/>
        </w:numPr>
        <w:autoSpaceDE/>
        <w:autoSpaceDN/>
        <w:ind w:left="567" w:hanging="567"/>
        <w:contextualSpacing/>
        <w:rPr>
          <w:lang w:val="nb-NO"/>
        </w:rPr>
      </w:pPr>
      <w:r w:rsidRPr="00A942F6">
        <w:rPr>
          <w:b/>
          <w:lang w:val="nb-NO"/>
        </w:rPr>
        <w:t xml:space="preserve">Ikke </w:t>
      </w:r>
      <w:r w:rsidRPr="00A942F6">
        <w:rPr>
          <w:lang w:val="nb-NO"/>
        </w:rPr>
        <w:t>ta ut den ferdigfylte sprøyten fra originalesken under oppbevaring.</w:t>
      </w:r>
    </w:p>
    <w:p w14:paraId="799CDD3C" w14:textId="77777777" w:rsidR="00EA08FF" w:rsidRPr="00A942F6" w:rsidRDefault="00EA08FF" w:rsidP="007814F8">
      <w:pPr>
        <w:pStyle w:val="a5"/>
        <w:widowControl/>
        <w:numPr>
          <w:ilvl w:val="0"/>
          <w:numId w:val="40"/>
        </w:numPr>
        <w:autoSpaceDE/>
        <w:autoSpaceDN/>
        <w:ind w:left="567" w:hanging="567"/>
        <w:contextualSpacing/>
        <w:rPr>
          <w:lang w:val="nb-NO"/>
        </w:rPr>
      </w:pPr>
      <w:r w:rsidRPr="00A942F6">
        <w:rPr>
          <w:b/>
          <w:lang w:val="nb-NO"/>
        </w:rPr>
        <w:t xml:space="preserve">Ikke </w:t>
      </w:r>
      <w:r w:rsidRPr="00A942F6">
        <w:rPr>
          <w:lang w:val="nb-NO"/>
        </w:rPr>
        <w:t>legg den ferdigfylte sprøyten fra deg uten tilsyn.</w:t>
      </w:r>
    </w:p>
    <w:p w14:paraId="11E04F05" w14:textId="77777777" w:rsidR="00EA08FF" w:rsidRPr="00A942F6" w:rsidRDefault="00EA08FF" w:rsidP="007814F8">
      <w:pPr>
        <w:pStyle w:val="a5"/>
        <w:widowControl/>
        <w:numPr>
          <w:ilvl w:val="0"/>
          <w:numId w:val="40"/>
        </w:numPr>
        <w:autoSpaceDE/>
        <w:autoSpaceDN/>
        <w:ind w:left="567" w:hanging="567"/>
        <w:contextualSpacing/>
        <w:rPr>
          <w:lang w:val="nb-NO"/>
        </w:rPr>
      </w:pPr>
      <w:r w:rsidRPr="00A942F6">
        <w:rPr>
          <w:lang w:val="nb-NO"/>
        </w:rPr>
        <w:t>Oppbevar den ferdigfylte sprøyten utilgjengelig for barn. Inneholder små deler.</w:t>
      </w:r>
    </w:p>
    <w:p w14:paraId="03CB4DEC" w14:textId="3608F02F" w:rsidR="00EA08FF" w:rsidRPr="00A942F6" w:rsidRDefault="00EA08FF" w:rsidP="00434BCD">
      <w:pPr>
        <w:tabs>
          <w:tab w:val="left" w:pos="832"/>
        </w:tabs>
        <w:rPr>
          <w:b/>
          <w:bCs/>
          <w:lang w:val="nb-NO"/>
        </w:rPr>
      </w:pPr>
      <w:r w:rsidRPr="00A942F6">
        <w:rPr>
          <w:lang w:val="nb-NO"/>
        </w:rPr>
        <w:br w:type="page"/>
      </w:r>
      <w:r w:rsidRPr="00A942F6">
        <w:rPr>
          <w:b/>
          <w:lang w:val="nb-NO"/>
        </w:rPr>
        <w:lastRenderedPageBreak/>
        <w:t>Deler til ferdigfylt sprøyte (se figur A).</w:t>
      </w:r>
    </w:p>
    <w:p w14:paraId="2978F814" w14:textId="77777777" w:rsidR="00EA08FF" w:rsidRPr="00A942F6" w:rsidRDefault="00EA08FF" w:rsidP="00EA08FF">
      <w:pPr>
        <w:keepNext/>
        <w:rPr>
          <w:lang w:val="nb-NO"/>
        </w:rPr>
      </w:pPr>
    </w:p>
    <w:p w14:paraId="20D1EA97" w14:textId="33408CF2" w:rsidR="00EA08FF" w:rsidRPr="00A942F6" w:rsidRDefault="00D94A8B" w:rsidP="00EA08FF">
      <w:pPr>
        <w:spacing w:line="200" w:lineRule="atLeast"/>
        <w:ind w:left="316"/>
        <w:rPr>
          <w:lang w:val="nb-NO"/>
        </w:rPr>
      </w:pPr>
      <w:r>
        <w:rPr>
          <w:noProof/>
          <w:lang w:eastAsia="ko-KR"/>
        </w:rPr>
        <mc:AlternateContent>
          <mc:Choice Requires="wps">
            <w:drawing>
              <wp:anchor distT="0" distB="0" distL="114300" distR="114300" simplePos="0" relativeHeight="251635712" behindDoc="0" locked="0" layoutInCell="1" allowOverlap="1" wp14:anchorId="4A1715AB" wp14:editId="020920EB">
                <wp:simplePos x="0" y="0"/>
                <wp:positionH relativeFrom="column">
                  <wp:posOffset>2218055</wp:posOffset>
                </wp:positionH>
                <wp:positionV relativeFrom="paragraph">
                  <wp:posOffset>3096895</wp:posOffset>
                </wp:positionV>
                <wp:extent cx="1616710" cy="636270"/>
                <wp:effectExtent l="0" t="0" r="0" b="0"/>
                <wp:wrapNone/>
                <wp:docPr id="150474767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710" cy="636270"/>
                        </a:xfrm>
                        <a:prstGeom prst="rect">
                          <a:avLst/>
                        </a:prstGeom>
                        <a:noFill/>
                        <a:ln>
                          <a:noFill/>
                        </a:ln>
                      </wps:spPr>
                      <wps:txbx>
                        <w:txbxContent>
                          <w:p w14:paraId="4AA0BDED" w14:textId="610864F0"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Kanylebeskyttelse</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715AB" id="_x0000_t202" coordsize="21600,21600" o:spt="202" path="m,l,21600r21600,l21600,xe">
                <v:stroke joinstyle="miter"/>
                <v:path gradientshapeok="t" o:connecttype="rect"/>
              </v:shapetype>
              <v:shape id="Text Box 107" o:spid="_x0000_s1026" type="#_x0000_t202" style="position:absolute;left:0;text-align:left;margin-left:174.65pt;margin-top:243.85pt;width:127.3pt;height:50.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" filled="f" stroked="f">
                <v:textbox inset=".5mm,.5mm,.5mm,.5mm">
                  <w:txbxContent>
                    <w:p w14:paraId="4AA0BDED" w14:textId="610864F0"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Kanylebeskyttelse</w:t>
                      </w:r>
                    </w:p>
                  </w:txbxContent>
                </v:textbox>
              </v:shape>
            </w:pict>
          </mc:Fallback>
        </mc:AlternateContent>
      </w:r>
      <w:r>
        <w:rPr>
          <w:noProof/>
          <w:lang w:eastAsia="ko-KR"/>
        </w:rPr>
        <mc:AlternateContent>
          <mc:Choice Requires="wps">
            <w:drawing>
              <wp:anchor distT="0" distB="0" distL="114300" distR="114300" simplePos="0" relativeHeight="251634688" behindDoc="0" locked="0" layoutInCell="1" allowOverlap="1" wp14:anchorId="7E7DE189" wp14:editId="7D527070">
                <wp:simplePos x="0" y="0"/>
                <wp:positionH relativeFrom="column">
                  <wp:posOffset>2224405</wp:posOffset>
                </wp:positionH>
                <wp:positionV relativeFrom="paragraph">
                  <wp:posOffset>2371725</wp:posOffset>
                </wp:positionV>
                <wp:extent cx="1551305" cy="636270"/>
                <wp:effectExtent l="0" t="0" r="0" b="0"/>
                <wp:wrapNone/>
                <wp:docPr id="152709660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636270"/>
                        </a:xfrm>
                        <a:prstGeom prst="rect">
                          <a:avLst/>
                        </a:prstGeom>
                        <a:noFill/>
                        <a:ln>
                          <a:noFill/>
                        </a:ln>
                      </wps:spPr>
                      <wps:txbx>
                        <w:txbxContent>
                          <w:p w14:paraId="2BA163BA" w14:textId="47F83F85"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Visningsvindu</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DE189" id="Text Box 105" o:spid="_x0000_s1027" type="#_x0000_t202" style="position:absolute;left:0;text-align:left;margin-left:175.15pt;margin-top:186.75pt;width:122.15pt;height:50.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" filled="f" stroked="f">
                <v:textbox inset=".5mm,.5mm,.5mm,.5mm">
                  <w:txbxContent>
                    <w:p w14:paraId="2BA163BA" w14:textId="47F83F85"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Visningsvindu</w:t>
                      </w:r>
                    </w:p>
                  </w:txbxContent>
                </v:textbox>
              </v:shape>
            </w:pict>
          </mc:Fallback>
        </mc:AlternateContent>
      </w:r>
      <w:r>
        <w:rPr>
          <w:noProof/>
          <w:lang w:eastAsia="ko-KR"/>
        </w:rPr>
        <mc:AlternateContent>
          <mc:Choice Requires="wps">
            <w:drawing>
              <wp:anchor distT="0" distB="0" distL="114300" distR="114300" simplePos="0" relativeHeight="251632640" behindDoc="0" locked="0" layoutInCell="1" allowOverlap="1" wp14:anchorId="643AEF57" wp14:editId="0EC135CE">
                <wp:simplePos x="0" y="0"/>
                <wp:positionH relativeFrom="column">
                  <wp:posOffset>2193290</wp:posOffset>
                </wp:positionH>
                <wp:positionV relativeFrom="paragraph">
                  <wp:posOffset>868680</wp:posOffset>
                </wp:positionV>
                <wp:extent cx="1597025" cy="763270"/>
                <wp:effectExtent l="0" t="0" r="0" b="0"/>
                <wp:wrapNone/>
                <wp:docPr id="100779454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763270"/>
                        </a:xfrm>
                        <a:prstGeom prst="rect">
                          <a:avLst/>
                        </a:prstGeom>
                        <a:noFill/>
                        <a:ln>
                          <a:noFill/>
                        </a:ln>
                      </wps:spPr>
                      <wps:txbx>
                        <w:txbxContent>
                          <w:p w14:paraId="11E655DC" w14:textId="7BB5652C"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Oransje stempelstang</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AEF57" id="Text Box 103" o:spid="_x0000_s1028" type="#_x0000_t202" style="position:absolute;left:0;text-align:left;margin-left:172.7pt;margin-top:68.4pt;width:125.75pt;height:60.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" filled="f" stroked="f">
                <v:textbox inset=".5mm,.5mm,.5mm,.5mm">
                  <w:txbxContent>
                    <w:p w14:paraId="11E655DC" w14:textId="7BB5652C"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Oransje stempelstang</w:t>
                      </w:r>
                    </w:p>
                  </w:txbxContent>
                </v:textbox>
              </v:shape>
            </w:pict>
          </mc:Fallback>
        </mc:AlternateContent>
      </w:r>
      <w:r>
        <w:rPr>
          <w:noProof/>
          <w:lang w:eastAsia="ko-KR"/>
        </w:rPr>
        <mc:AlternateContent>
          <mc:Choice Requires="wps">
            <w:drawing>
              <wp:anchor distT="0" distB="0" distL="114300" distR="114300" simplePos="0" relativeHeight="251633664" behindDoc="0" locked="0" layoutInCell="1" allowOverlap="1" wp14:anchorId="695B5232" wp14:editId="73638553">
                <wp:simplePos x="0" y="0"/>
                <wp:positionH relativeFrom="column">
                  <wp:posOffset>2453640</wp:posOffset>
                </wp:positionH>
                <wp:positionV relativeFrom="paragraph">
                  <wp:posOffset>1553845</wp:posOffset>
                </wp:positionV>
                <wp:extent cx="1117600" cy="763270"/>
                <wp:effectExtent l="0" t="0" r="0" b="0"/>
                <wp:wrapNone/>
                <wp:docPr id="209875847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763270"/>
                        </a:xfrm>
                        <a:prstGeom prst="rect">
                          <a:avLst/>
                        </a:prstGeom>
                        <a:noFill/>
                        <a:ln>
                          <a:noFill/>
                        </a:ln>
                      </wps:spPr>
                      <wps:txbx>
                        <w:txbxContent>
                          <w:p w14:paraId="476B11FE" w14:textId="42848FB6"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Hvitt fingergrep</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B5232" id="Text Box 101" o:spid="_x0000_s1029" type="#_x0000_t202" style="position:absolute;left:0;text-align:left;margin-left:193.2pt;margin-top:122.35pt;width:88pt;height:60.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" filled="f" stroked="f">
                <v:textbox inset=".5mm,.5mm,.5mm,.5mm">
                  <w:txbxContent>
                    <w:p w14:paraId="476B11FE" w14:textId="42848FB6"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Hvitt fingergrep</w:t>
                      </w:r>
                    </w:p>
                  </w:txbxContent>
                </v:textbox>
              </v:shape>
            </w:pict>
          </mc:Fallback>
        </mc:AlternateContent>
      </w:r>
      <w:r>
        <w:rPr>
          <w:noProof/>
          <w:lang w:eastAsia="ko-KR"/>
        </w:rPr>
        <mc:AlternateContent>
          <mc:Choice Requires="wps">
            <w:drawing>
              <wp:anchor distT="0" distB="0" distL="114300" distR="114300" simplePos="0" relativeHeight="251637760" behindDoc="0" locked="0" layoutInCell="1" allowOverlap="1" wp14:anchorId="3A0AA334" wp14:editId="7314A3D0">
                <wp:simplePos x="0" y="0"/>
                <wp:positionH relativeFrom="column">
                  <wp:posOffset>88265</wp:posOffset>
                </wp:positionH>
                <wp:positionV relativeFrom="paragraph">
                  <wp:posOffset>2800350</wp:posOffset>
                </wp:positionV>
                <wp:extent cx="1250315" cy="636270"/>
                <wp:effectExtent l="0" t="0" r="0" b="0"/>
                <wp:wrapNone/>
                <wp:docPr id="119392820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15" cy="636270"/>
                        </a:xfrm>
                        <a:prstGeom prst="rect">
                          <a:avLst/>
                        </a:prstGeom>
                        <a:noFill/>
                        <a:ln>
                          <a:noFill/>
                        </a:ln>
                      </wps:spPr>
                      <wps:txbx>
                        <w:txbxContent>
                          <w:p w14:paraId="63B99B2E" w14:textId="0651A363" w:rsidR="003B558D" w:rsidRPr="00434BCD" w:rsidRDefault="00630D01" w:rsidP="001931C0">
                            <w:pPr>
                              <w:pStyle w:val="StyleArialNarrow8pts"/>
                              <w:jc w:val="right"/>
                              <w:rPr>
                                <w:rFonts w:ascii="Times New Roman" w:eastAsia="DengXian" w:hAnsi="Times New Roman"/>
                                <w:b/>
                                <w:bCs/>
                                <w:sz w:val="32"/>
                                <w:szCs w:val="32"/>
                              </w:rPr>
                            </w:pPr>
                            <w:r w:rsidRPr="00434BCD">
                              <w:rPr>
                                <w:rFonts w:ascii="Times New Roman" w:eastAsia="DengXian" w:hAnsi="Times New Roman"/>
                                <w:b/>
                                <w:bCs/>
                                <w:sz w:val="32"/>
                                <w:szCs w:val="32"/>
                                <w:lang w:val="en-US"/>
                              </w:rPr>
                              <w:t>Legemiddel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AA334" id="Text Box 99" o:spid="_x0000_s1030" type="#_x0000_t202" style="position:absolute;left:0;text-align:left;margin-left:6.95pt;margin-top:220.5pt;width:98.45pt;height:50.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" filled="f" stroked="f">
                <v:textbox inset=".5mm,.5mm,.5mm,.5mm">
                  <w:txbxContent>
                    <w:p w14:paraId="63B99B2E" w14:textId="0651A363" w:rsidR="003B558D" w:rsidRPr="00434BCD" w:rsidRDefault="00630D01" w:rsidP="001931C0">
                      <w:pPr>
                        <w:pStyle w:val="StyleArialNarrow8pts"/>
                        <w:jc w:val="right"/>
                        <w:rPr>
                          <w:rFonts w:ascii="Times New Roman" w:eastAsia="DengXian" w:hAnsi="Times New Roman"/>
                          <w:b/>
                          <w:bCs/>
                          <w:sz w:val="32"/>
                          <w:szCs w:val="32"/>
                        </w:rPr>
                      </w:pPr>
                      <w:r w:rsidRPr="00434BCD">
                        <w:rPr>
                          <w:rFonts w:ascii="Times New Roman" w:eastAsia="DengXian" w:hAnsi="Times New Roman"/>
                          <w:b/>
                          <w:bCs/>
                          <w:sz w:val="32"/>
                          <w:szCs w:val="32"/>
                          <w:lang w:val="en-US"/>
                        </w:rPr>
                        <w:t>Legemiddel</w:t>
                      </w:r>
                    </w:p>
                  </w:txbxContent>
                </v:textbox>
              </v:shape>
            </w:pict>
          </mc:Fallback>
        </mc:AlternateContent>
      </w:r>
      <w:r>
        <w:rPr>
          <w:noProof/>
          <w:lang w:eastAsia="ko-KR"/>
        </w:rPr>
        <mc:AlternateContent>
          <mc:Choice Requires="wps">
            <w:drawing>
              <wp:anchor distT="0" distB="0" distL="114300" distR="114300" simplePos="0" relativeHeight="251639808" behindDoc="0" locked="0" layoutInCell="1" allowOverlap="1" wp14:anchorId="51736903" wp14:editId="49984B46">
                <wp:simplePos x="0" y="0"/>
                <wp:positionH relativeFrom="column">
                  <wp:posOffset>2437130</wp:posOffset>
                </wp:positionH>
                <wp:positionV relativeFrom="paragraph">
                  <wp:posOffset>4439285</wp:posOffset>
                </wp:positionV>
                <wp:extent cx="1117600" cy="636270"/>
                <wp:effectExtent l="0" t="0" r="0" b="0"/>
                <wp:wrapNone/>
                <wp:docPr id="94097890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6CD57A6F" w14:textId="3BEAFAE7"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Hette</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6903" id="Text Box 97" o:spid="_x0000_s1031" type="#_x0000_t202" style="position:absolute;left:0;text-align:left;margin-left:191.9pt;margin-top:349.55pt;width:88pt;height:50.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" filled="f" stroked="f">
                <v:textbox inset=".5mm,.5mm,.5mm,.5mm">
                  <w:txbxContent>
                    <w:p w14:paraId="6CD57A6F" w14:textId="3BEAFAE7"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Hette</w:t>
                      </w:r>
                    </w:p>
                  </w:txbxContent>
                </v:textbox>
              </v:shape>
            </w:pict>
          </mc:Fallback>
        </mc:AlternateContent>
      </w:r>
      <w:r>
        <w:rPr>
          <w:noProof/>
          <w:lang w:eastAsia="ko-KR"/>
        </w:rPr>
        <mc:AlternateContent>
          <mc:Choice Requires="wps">
            <w:drawing>
              <wp:anchor distT="0" distB="0" distL="114300" distR="114300" simplePos="0" relativeHeight="251638784" behindDoc="0" locked="0" layoutInCell="1" allowOverlap="1" wp14:anchorId="376C1B81" wp14:editId="76248396">
                <wp:simplePos x="0" y="0"/>
                <wp:positionH relativeFrom="column">
                  <wp:posOffset>4699635</wp:posOffset>
                </wp:positionH>
                <wp:positionV relativeFrom="paragraph">
                  <wp:posOffset>2809875</wp:posOffset>
                </wp:positionV>
                <wp:extent cx="1117600" cy="636270"/>
                <wp:effectExtent l="0" t="0" r="0" b="0"/>
                <wp:wrapNone/>
                <wp:docPr id="206312863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163EA92F" w14:textId="21C9490C" w:rsidR="003B558D" w:rsidRPr="00434BCD" w:rsidRDefault="00630D01" w:rsidP="001931C0">
                            <w:pPr>
                              <w:pStyle w:val="StyleArialNarrow8pts"/>
                              <w:rPr>
                                <w:rFonts w:ascii="Times New Roman" w:eastAsia="DengXian" w:hAnsi="Times New Roman"/>
                                <w:b/>
                                <w:bCs/>
                                <w:sz w:val="32"/>
                                <w:szCs w:val="32"/>
                              </w:rPr>
                            </w:pPr>
                            <w:r w:rsidRPr="00434BCD">
                              <w:rPr>
                                <w:rFonts w:ascii="Times New Roman" w:eastAsia="DengXian" w:hAnsi="Times New Roman"/>
                                <w:b/>
                                <w:bCs/>
                                <w:sz w:val="32"/>
                                <w:szCs w:val="32"/>
                                <w:lang w:val="en-US"/>
                              </w:rPr>
                              <w:t>Kanyle</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C1B81" id="Text Box 95" o:spid="_x0000_s1032" type="#_x0000_t202" style="position:absolute;left:0;text-align:left;margin-left:370.05pt;margin-top:221.25pt;width:88pt;height:50.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" filled="f" stroked="f">
                <v:textbox inset=".5mm,.5mm,.5mm,.5mm">
                  <w:txbxContent>
                    <w:p w14:paraId="163EA92F" w14:textId="21C9490C" w:rsidR="003B558D" w:rsidRPr="00434BCD" w:rsidRDefault="00630D01" w:rsidP="001931C0">
                      <w:pPr>
                        <w:pStyle w:val="StyleArialNarrow8pts"/>
                        <w:rPr>
                          <w:rFonts w:ascii="Times New Roman" w:eastAsia="DengXian" w:hAnsi="Times New Roman"/>
                          <w:b/>
                          <w:bCs/>
                          <w:sz w:val="32"/>
                          <w:szCs w:val="32"/>
                        </w:rPr>
                      </w:pPr>
                      <w:r w:rsidRPr="00434BCD">
                        <w:rPr>
                          <w:rFonts w:ascii="Times New Roman" w:eastAsia="DengXian" w:hAnsi="Times New Roman"/>
                          <w:b/>
                          <w:bCs/>
                          <w:sz w:val="32"/>
                          <w:szCs w:val="32"/>
                          <w:lang w:val="en-US"/>
                        </w:rPr>
                        <w:t>Kanyle</w:t>
                      </w:r>
                    </w:p>
                  </w:txbxContent>
                </v:textbox>
              </v:shape>
            </w:pict>
          </mc:Fallback>
        </mc:AlternateContent>
      </w:r>
      <w:r>
        <w:rPr>
          <w:noProof/>
          <w:lang w:eastAsia="ko-KR"/>
        </w:rPr>
        <mc:AlternateContent>
          <mc:Choice Requires="wps">
            <w:drawing>
              <wp:anchor distT="0" distB="0" distL="114300" distR="114300" simplePos="0" relativeHeight="251636736" behindDoc="0" locked="0" layoutInCell="1" allowOverlap="1" wp14:anchorId="0F6D4CE8" wp14:editId="5E5A0DA9">
                <wp:simplePos x="0" y="0"/>
                <wp:positionH relativeFrom="column">
                  <wp:posOffset>2437130</wp:posOffset>
                </wp:positionH>
                <wp:positionV relativeFrom="paragraph">
                  <wp:posOffset>3690620</wp:posOffset>
                </wp:positionV>
                <wp:extent cx="1117600" cy="636270"/>
                <wp:effectExtent l="0" t="0" r="0" b="0"/>
                <wp:wrapNone/>
                <wp:docPr id="129650354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0DC29E82" w14:textId="670352D4"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Kanyle</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D4CE8" id="Text Box 93" o:spid="_x0000_s1033" type="#_x0000_t202" style="position:absolute;left:0;text-align:left;margin-left:191.9pt;margin-top:290.6pt;width:88pt;height:5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" filled="f" stroked="f">
                <v:textbox inset=".5mm,.5mm,.5mm,.5mm">
                  <w:txbxContent>
                    <w:p w14:paraId="0DC29E82" w14:textId="670352D4" w:rsidR="003B558D" w:rsidRPr="00434BCD" w:rsidRDefault="00630D01" w:rsidP="001931C0">
                      <w:pPr>
                        <w:pStyle w:val="StyleArialNarrow8pts"/>
                        <w:jc w:val="center"/>
                        <w:rPr>
                          <w:rFonts w:ascii="Times New Roman" w:eastAsia="DengXian" w:hAnsi="Times New Roman"/>
                          <w:b/>
                          <w:bCs/>
                          <w:sz w:val="32"/>
                          <w:szCs w:val="32"/>
                        </w:rPr>
                      </w:pPr>
                      <w:r w:rsidRPr="00434BCD">
                        <w:rPr>
                          <w:rFonts w:ascii="Times New Roman" w:eastAsia="DengXian" w:hAnsi="Times New Roman"/>
                          <w:b/>
                          <w:bCs/>
                          <w:sz w:val="32"/>
                          <w:szCs w:val="32"/>
                          <w:lang w:val="en-US"/>
                        </w:rPr>
                        <w:t>Kanyle</w:t>
                      </w:r>
                    </w:p>
                  </w:txbxContent>
                </v:textbox>
              </v:shape>
            </w:pict>
          </mc:Fallback>
        </mc:AlternateContent>
      </w:r>
      <w:r>
        <w:rPr>
          <w:noProof/>
          <w:lang w:eastAsia="ko-KR"/>
        </w:rPr>
        <mc:AlternateContent>
          <mc:Choice Requires="wps">
            <w:drawing>
              <wp:anchor distT="0" distB="0" distL="114300" distR="114300" simplePos="0" relativeHeight="251630592" behindDoc="0" locked="0" layoutInCell="1" allowOverlap="1" wp14:anchorId="441756D9" wp14:editId="6FAB41DD">
                <wp:simplePos x="0" y="0"/>
                <wp:positionH relativeFrom="column">
                  <wp:posOffset>848360</wp:posOffset>
                </wp:positionH>
                <wp:positionV relativeFrom="paragraph">
                  <wp:posOffset>97790</wp:posOffset>
                </wp:positionV>
                <wp:extent cx="1924685" cy="721360"/>
                <wp:effectExtent l="0" t="0" r="0" b="0"/>
                <wp:wrapNone/>
                <wp:docPr id="52725743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21360"/>
                        </a:xfrm>
                        <a:prstGeom prst="rect">
                          <a:avLst/>
                        </a:prstGeom>
                        <a:noFill/>
                        <a:ln>
                          <a:noFill/>
                        </a:ln>
                      </wps:spPr>
                      <wps:txbx>
                        <w:txbxContent>
                          <w:p w14:paraId="7478AD03" w14:textId="43ECC628" w:rsidR="003B558D" w:rsidRPr="00434BCD" w:rsidRDefault="00630D01" w:rsidP="00D94DE7">
                            <w:pPr>
                              <w:pStyle w:val="StyleArialNarrow8pts"/>
                              <w:jc w:val="center"/>
                              <w:rPr>
                                <w:rFonts w:ascii="Times New Roman" w:eastAsia="DengXian" w:hAnsi="Times New Roman"/>
                                <w:b/>
                                <w:bCs/>
                                <w:sz w:val="40"/>
                                <w:szCs w:val="40"/>
                              </w:rPr>
                            </w:pPr>
                            <w:r w:rsidRPr="00434BCD">
                              <w:rPr>
                                <w:rFonts w:ascii="Times New Roman" w:eastAsia="DengXian" w:hAnsi="Times New Roman"/>
                                <w:b/>
                                <w:bCs/>
                                <w:sz w:val="40"/>
                                <w:szCs w:val="40"/>
                                <w:lang w:val="en-US"/>
                              </w:rPr>
                              <w:t>Før bruk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756D9" id="Text Box 91" o:spid="_x0000_s1034" type="#_x0000_t202" style="position:absolute;left:0;text-align:left;margin-left:66.8pt;margin-top:7.7pt;width:151.55pt;height:56.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" filled="f" stroked="f">
                <v:textbox inset=".5mm,.5mm,.5mm,.5mm">
                  <w:txbxContent>
                    <w:p w14:paraId="7478AD03" w14:textId="43ECC628" w:rsidR="003B558D" w:rsidRPr="00434BCD" w:rsidRDefault="00630D01" w:rsidP="00D94DE7">
                      <w:pPr>
                        <w:pStyle w:val="StyleArialNarrow8pts"/>
                        <w:jc w:val="center"/>
                        <w:rPr>
                          <w:rFonts w:ascii="Times New Roman" w:eastAsia="DengXian" w:hAnsi="Times New Roman"/>
                          <w:b/>
                          <w:bCs/>
                          <w:sz w:val="40"/>
                          <w:szCs w:val="40"/>
                        </w:rPr>
                      </w:pPr>
                      <w:r w:rsidRPr="00434BCD">
                        <w:rPr>
                          <w:rFonts w:ascii="Times New Roman" w:eastAsia="DengXian" w:hAnsi="Times New Roman"/>
                          <w:b/>
                          <w:bCs/>
                          <w:sz w:val="40"/>
                          <w:szCs w:val="40"/>
                          <w:lang w:val="en-US"/>
                        </w:rPr>
                        <w:t>Før bruk</w:t>
                      </w:r>
                    </w:p>
                  </w:txbxContent>
                </v:textbox>
              </v:shape>
            </w:pict>
          </mc:Fallback>
        </mc:AlternateContent>
      </w:r>
      <w:r>
        <w:rPr>
          <w:noProof/>
          <w:lang w:eastAsia="ko-KR"/>
        </w:rPr>
        <mc:AlternateContent>
          <mc:Choice Requires="wps">
            <w:drawing>
              <wp:anchor distT="0" distB="0" distL="114300" distR="114300" simplePos="0" relativeHeight="251631616" behindDoc="0" locked="0" layoutInCell="1" allowOverlap="1" wp14:anchorId="25303854" wp14:editId="5A4D14CF">
                <wp:simplePos x="0" y="0"/>
                <wp:positionH relativeFrom="column">
                  <wp:posOffset>3227705</wp:posOffset>
                </wp:positionH>
                <wp:positionV relativeFrom="paragraph">
                  <wp:posOffset>90170</wp:posOffset>
                </wp:positionV>
                <wp:extent cx="1924685" cy="649605"/>
                <wp:effectExtent l="0" t="0" r="0" b="0"/>
                <wp:wrapNone/>
                <wp:docPr id="207014121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649605"/>
                        </a:xfrm>
                        <a:prstGeom prst="rect">
                          <a:avLst/>
                        </a:prstGeom>
                        <a:noFill/>
                        <a:ln>
                          <a:noFill/>
                        </a:ln>
                      </wps:spPr>
                      <wps:txbx>
                        <w:txbxContent>
                          <w:p w14:paraId="0A9435DC" w14:textId="03CFF686" w:rsidR="003B558D" w:rsidRPr="00434BCD" w:rsidRDefault="00630D01" w:rsidP="00D94DE7">
                            <w:pPr>
                              <w:pStyle w:val="StyleArialNarrow8pts"/>
                              <w:jc w:val="center"/>
                              <w:rPr>
                                <w:rFonts w:ascii="Times New Roman" w:eastAsia="DengXian" w:hAnsi="Times New Roman"/>
                                <w:b/>
                                <w:bCs/>
                                <w:sz w:val="40"/>
                                <w:szCs w:val="40"/>
                                <w:lang w:val="en-US"/>
                              </w:rPr>
                            </w:pPr>
                            <w:r w:rsidRPr="00434BCD">
                              <w:rPr>
                                <w:rFonts w:ascii="Times New Roman" w:eastAsia="DengXian" w:hAnsi="Times New Roman"/>
                                <w:b/>
                                <w:bCs/>
                                <w:sz w:val="40"/>
                                <w:szCs w:val="40"/>
                                <w:lang w:val="en-US"/>
                              </w:rPr>
                              <w:t>Etter bruk</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03854" id="Text Box 89" o:spid="_x0000_s1035" type="#_x0000_t202" style="position:absolute;left:0;text-align:left;margin-left:254.15pt;margin-top:7.1pt;width:151.55pt;height:51.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" filled="f" stroked="f">
                <v:textbox inset=".5mm,.5mm,.5mm,.5mm">
                  <w:txbxContent>
                    <w:p w14:paraId="0A9435DC" w14:textId="03CFF686" w:rsidR="003B558D" w:rsidRPr="00434BCD" w:rsidRDefault="00630D01" w:rsidP="00D94DE7">
                      <w:pPr>
                        <w:pStyle w:val="StyleArialNarrow8pts"/>
                        <w:jc w:val="center"/>
                        <w:rPr>
                          <w:rFonts w:ascii="Times New Roman" w:eastAsia="DengXian" w:hAnsi="Times New Roman"/>
                          <w:b/>
                          <w:bCs/>
                          <w:sz w:val="40"/>
                          <w:szCs w:val="40"/>
                          <w:lang w:val="en-US"/>
                        </w:rPr>
                      </w:pPr>
                      <w:r w:rsidRPr="00434BCD">
                        <w:rPr>
                          <w:rFonts w:ascii="Times New Roman" w:eastAsia="DengXian" w:hAnsi="Times New Roman"/>
                          <w:b/>
                          <w:bCs/>
                          <w:sz w:val="40"/>
                          <w:szCs w:val="40"/>
                          <w:lang w:val="en-US"/>
                        </w:rPr>
                        <w:t>Etter bruk</w:t>
                      </w:r>
                    </w:p>
                  </w:txbxContent>
                </v:textbox>
              </v:shape>
            </w:pict>
          </mc:Fallback>
        </mc:AlternateContent>
      </w:r>
      <w:r>
        <w:rPr>
          <w:noProof/>
          <w:sz w:val="20"/>
          <w:lang w:eastAsia="ko-KR"/>
        </w:rPr>
        <w:drawing>
          <wp:inline distT="0" distB="0" distL="0" distR="0" wp14:anchorId="3134D45F" wp14:editId="099EB834">
            <wp:extent cx="5462270" cy="5425440"/>
            <wp:effectExtent l="0" t="0" r="0" b="0"/>
            <wp:docPr id="6" name="그림 240734435"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0734435" descr="텍스트, 도표이(가) 표시된 사진&#10;&#10;자동 생성된 설명"/>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2270" cy="5425440"/>
                    </a:xfrm>
                    <a:prstGeom prst="rect">
                      <a:avLst/>
                    </a:prstGeom>
                    <a:noFill/>
                    <a:ln>
                      <a:noFill/>
                    </a:ln>
                  </pic:spPr>
                </pic:pic>
              </a:graphicData>
            </a:graphic>
          </wp:inline>
        </w:drawing>
      </w:r>
    </w:p>
    <w:p w14:paraId="302155BC" w14:textId="77777777" w:rsidR="00EA08FF" w:rsidRPr="00A942F6" w:rsidRDefault="00EA08FF" w:rsidP="00EA08FF">
      <w:pPr>
        <w:jc w:val="center"/>
        <w:rPr>
          <w:b/>
          <w:bCs/>
          <w:lang w:val="nb-NO"/>
        </w:rPr>
      </w:pPr>
      <w:r w:rsidRPr="00A942F6">
        <w:rPr>
          <w:b/>
          <w:lang w:val="nb-NO"/>
        </w:rPr>
        <w:t>Figur A</w:t>
      </w:r>
    </w:p>
    <w:p w14:paraId="5CF5C77C" w14:textId="23080445" w:rsidR="00EA08FF" w:rsidRPr="00A942F6" w:rsidRDefault="00EA08FF" w:rsidP="00434BCD">
      <w:pPr>
        <w:rPr>
          <w:b/>
          <w:bCs/>
          <w:lang w:val="nb-NO"/>
        </w:rPr>
      </w:pPr>
      <w:r w:rsidRPr="00A942F6">
        <w:rPr>
          <w:lang w:val="nb-NO"/>
        </w:rPr>
        <w:br w:type="page"/>
      </w:r>
      <w:r w:rsidRPr="00A942F6">
        <w:rPr>
          <w:b/>
          <w:lang w:val="nb-NO"/>
        </w:rPr>
        <w:lastRenderedPageBreak/>
        <w:t>Forberedelser til injeksjon</w:t>
      </w:r>
    </w:p>
    <w:p w14:paraId="5BF2D1A3" w14:textId="77777777" w:rsidR="00EA08FF" w:rsidRPr="00A942F6" w:rsidRDefault="00EA08FF" w:rsidP="00EA08FF">
      <w:pPr>
        <w:keepNext/>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1F0013" w:rsidRPr="00A942F6" w14:paraId="39E24275" w14:textId="77777777">
        <w:trPr>
          <w:cantSplit/>
        </w:trPr>
        <w:tc>
          <w:tcPr>
            <w:tcW w:w="3539" w:type="dxa"/>
          </w:tcPr>
          <w:p w14:paraId="0D614225" w14:textId="7A457DBF" w:rsidR="00EA08FF" w:rsidRPr="00BD4D94" w:rsidRDefault="00552215" w:rsidP="00552215">
            <w:pPr>
              <w:widowControl w:val="0"/>
              <w:jc w:val="right"/>
              <w:rPr>
                <w:rFonts w:eastAsia="새굴림" w:cs="새굴림"/>
                <w:noProof/>
                <w:lang w:eastAsia="ko-KR"/>
              </w:rPr>
            </w:pPr>
            <w:bookmarkStart w:id="30" w:name="_Hlk197597794"/>
            <w:r w:rsidRPr="00552215">
              <w:rPr>
                <w:rFonts w:eastAsia="새굴림" w:cs="새굴림"/>
                <w:noProof/>
                <w:lang w:eastAsia="ko-KR"/>
              </w:rPr>
              <w:drawing>
                <wp:inline distT="0" distB="0" distL="0" distR="0" wp14:anchorId="3E0FD0CB" wp14:editId="0037E925">
                  <wp:extent cx="2110105" cy="3205480"/>
                  <wp:effectExtent l="0" t="0" r="4445" b="0"/>
                  <wp:docPr id="717405384"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0105" cy="3205480"/>
                          </a:xfrm>
                          <a:prstGeom prst="rect">
                            <a:avLst/>
                          </a:prstGeom>
                          <a:noFill/>
                          <a:ln>
                            <a:noFill/>
                          </a:ln>
                        </pic:spPr>
                      </pic:pic>
                    </a:graphicData>
                  </a:graphic>
                </wp:inline>
              </w:drawing>
            </w:r>
          </w:p>
          <w:p w14:paraId="67333671" w14:textId="685D3059" w:rsidR="00EA08FF" w:rsidRPr="00A942F6" w:rsidRDefault="00D94A8B">
            <w:pPr>
              <w:widowControl w:val="0"/>
              <w:jc w:val="right"/>
              <w:rPr>
                <w:rFonts w:eastAsia="새굴림" w:cs="새굴림"/>
                <w:b/>
                <w:bCs/>
                <w:lang w:val="nb-NO"/>
              </w:rPr>
            </w:pPr>
            <w:r>
              <w:rPr>
                <w:noProof/>
                <w:lang w:eastAsia="ko-KR"/>
              </w:rPr>
              <mc:AlternateContent>
                <mc:Choice Requires="wps">
                  <w:drawing>
                    <wp:anchor distT="45720" distB="45720" distL="114300" distR="114300" simplePos="0" relativeHeight="251640832" behindDoc="0" locked="1" layoutInCell="1" allowOverlap="1" wp14:anchorId="5A39B3F0" wp14:editId="5548E3EF">
                      <wp:simplePos x="0" y="0"/>
                      <wp:positionH relativeFrom="column">
                        <wp:posOffset>1060450</wp:posOffset>
                      </wp:positionH>
                      <wp:positionV relativeFrom="page">
                        <wp:posOffset>172720</wp:posOffset>
                      </wp:positionV>
                      <wp:extent cx="892175" cy="594995"/>
                      <wp:effectExtent l="0" t="0" r="0" b="0"/>
                      <wp:wrapNone/>
                      <wp:docPr id="66774177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594995"/>
                              </a:xfrm>
                              <a:prstGeom prst="rect">
                                <a:avLst/>
                              </a:prstGeom>
                              <a:noFill/>
                              <a:ln>
                                <a:noFill/>
                              </a:ln>
                            </wps:spPr>
                            <wps:txbx>
                              <w:txbxContent>
                                <w:p w14:paraId="07B069ED" w14:textId="4E8F3A40" w:rsidR="003B558D" w:rsidRPr="00434BCD" w:rsidRDefault="00630D01" w:rsidP="0014439E">
                                  <w:pPr>
                                    <w:rPr>
                                      <w:rFonts w:cs="Times New Roman"/>
                                      <w:sz w:val="23"/>
                                      <w:szCs w:val="23"/>
                                      <w:lang w:val="es-ES"/>
                                    </w:rPr>
                                  </w:pPr>
                                  <w:r w:rsidRPr="00434BCD">
                                    <w:rPr>
                                      <w:rFonts w:cs="Times New Roman"/>
                                      <w:sz w:val="23"/>
                                      <w:szCs w:val="23"/>
                                      <w:lang w:val="es-ES"/>
                                    </w:rPr>
                                    <w:t>Eske med ferdigfylt sprøyte</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39B3F0" id="Text Box 87" o:spid="_x0000_s1036" type="#_x0000_t202" style="position:absolute;left:0;text-align:left;margin-left:83.5pt;margin-top:13.6pt;width:70.25pt;height:46.85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" filled="f" stroked="f">
                      <v:textbox style="mso-fit-shape-to-text:t" inset="0,,0">
                        <w:txbxContent>
                          <w:p w14:paraId="07B069ED" w14:textId="4E8F3A40" w:rsidR="003B558D" w:rsidRPr="00434BCD" w:rsidRDefault="00630D01" w:rsidP="0014439E">
                            <w:pPr>
                              <w:rPr>
                                <w:rFonts w:cs="Times New Roman"/>
                                <w:sz w:val="23"/>
                                <w:szCs w:val="23"/>
                                <w:lang w:val="es-ES"/>
                              </w:rPr>
                            </w:pPr>
                            <w:r w:rsidRPr="00434BCD">
                              <w:rPr>
                                <w:rFonts w:cs="Times New Roman"/>
                                <w:sz w:val="23"/>
                                <w:szCs w:val="23"/>
                                <w:lang w:val="es-ES"/>
                              </w:rPr>
                              <w:t>Eske med ferdigfylt sprøyte</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41856" behindDoc="0" locked="1" layoutInCell="1" allowOverlap="1" wp14:anchorId="5C40CE77" wp14:editId="4A16F21D">
                      <wp:simplePos x="0" y="0"/>
                      <wp:positionH relativeFrom="column">
                        <wp:posOffset>1049020</wp:posOffset>
                      </wp:positionH>
                      <wp:positionV relativeFrom="page">
                        <wp:posOffset>1101725</wp:posOffset>
                      </wp:positionV>
                      <wp:extent cx="1019810" cy="594995"/>
                      <wp:effectExtent l="0" t="0" r="0" b="0"/>
                      <wp:wrapNone/>
                      <wp:docPr id="133899157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810" cy="594995"/>
                              </a:xfrm>
                              <a:prstGeom prst="rect">
                                <a:avLst/>
                              </a:prstGeom>
                              <a:noFill/>
                              <a:ln>
                                <a:noFill/>
                              </a:ln>
                            </wps:spPr>
                            <wps:txbx>
                              <w:txbxContent>
                                <w:p w14:paraId="43E36D89" w14:textId="3A2D723B" w:rsidR="003B558D" w:rsidRPr="00434BCD" w:rsidRDefault="00630D01" w:rsidP="00EA08FF">
                                  <w:pPr>
                                    <w:rPr>
                                      <w:rFonts w:cs="Times New Roman"/>
                                      <w:sz w:val="23"/>
                                      <w:szCs w:val="23"/>
                                      <w:lang w:val="es-ES"/>
                                    </w:rPr>
                                  </w:pPr>
                                  <w:r w:rsidRPr="00434BCD">
                                    <w:rPr>
                                      <w:rFonts w:cs="Times New Roman"/>
                                      <w:sz w:val="23"/>
                                      <w:szCs w:val="23"/>
                                      <w:lang w:val="es-ES"/>
                                    </w:rPr>
                                    <w:t>Bomullsdott eller gasbind og spritserviett</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40CE77" id="Text Box 85" o:spid="_x0000_s1037" type="#_x0000_t202" style="position:absolute;left:0;text-align:left;margin-left:82.6pt;margin-top:86.75pt;width:80.3pt;height:46.85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" filled="f" stroked="f">
                      <v:textbox style="mso-fit-shape-to-text:t" inset="0,,0">
                        <w:txbxContent>
                          <w:p w14:paraId="43E36D89" w14:textId="3A2D723B" w:rsidR="003B558D" w:rsidRPr="00434BCD" w:rsidRDefault="00630D01" w:rsidP="00EA08FF">
                            <w:pPr>
                              <w:rPr>
                                <w:rFonts w:cs="Times New Roman"/>
                                <w:sz w:val="23"/>
                                <w:szCs w:val="23"/>
                                <w:lang w:val="es-ES"/>
                              </w:rPr>
                            </w:pPr>
                            <w:r w:rsidRPr="00434BCD">
                              <w:rPr>
                                <w:rFonts w:cs="Times New Roman"/>
                                <w:sz w:val="23"/>
                                <w:szCs w:val="23"/>
                                <w:lang w:val="es-ES"/>
                              </w:rPr>
                              <w:t>Bomullsdott eller gasbind og spritserviett</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42880" behindDoc="0" locked="1" layoutInCell="1" allowOverlap="1" wp14:anchorId="754E686C" wp14:editId="5E57D8AC">
                      <wp:simplePos x="0" y="0"/>
                      <wp:positionH relativeFrom="column">
                        <wp:posOffset>1061720</wp:posOffset>
                      </wp:positionH>
                      <wp:positionV relativeFrom="page">
                        <wp:posOffset>1847850</wp:posOffset>
                      </wp:positionV>
                      <wp:extent cx="867410" cy="259080"/>
                      <wp:effectExtent l="0" t="0" r="0" b="0"/>
                      <wp:wrapNone/>
                      <wp:docPr id="1890676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59080"/>
                              </a:xfrm>
                              <a:prstGeom prst="rect">
                                <a:avLst/>
                              </a:prstGeom>
                              <a:noFill/>
                              <a:ln>
                                <a:noFill/>
                              </a:ln>
                            </wps:spPr>
                            <wps:txbx>
                              <w:txbxContent>
                                <w:p w14:paraId="7537E75F" w14:textId="453BA29C" w:rsidR="003B558D" w:rsidRPr="00434BCD" w:rsidRDefault="00630D01" w:rsidP="00EA08FF">
                                  <w:pPr>
                                    <w:rPr>
                                      <w:rFonts w:cs="Times New Roman"/>
                                      <w:sz w:val="23"/>
                                      <w:szCs w:val="23"/>
                                      <w:lang w:val="es-ES"/>
                                    </w:rPr>
                                  </w:pPr>
                                  <w:r w:rsidRPr="00434BCD">
                                    <w:rPr>
                                      <w:rFonts w:cs="Times New Roman"/>
                                      <w:sz w:val="23"/>
                                      <w:szCs w:val="23"/>
                                      <w:lang w:val="es-ES"/>
                                    </w:rPr>
                                    <w:t>Plaster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4E686C" id="Text Box 83" o:spid="_x0000_s1038" type="#_x0000_t202" style="position:absolute;left:0;text-align:left;margin-left:83.6pt;margin-top:145.5pt;width:68.3pt;height:20.4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" filled="f" stroked="f">
                      <v:textbox style="mso-fit-shape-to-text:t" inset="0,,0">
                        <w:txbxContent>
                          <w:p w14:paraId="7537E75F" w14:textId="453BA29C" w:rsidR="003B558D" w:rsidRPr="00434BCD" w:rsidRDefault="00630D01" w:rsidP="00EA08FF">
                            <w:pPr>
                              <w:rPr>
                                <w:rFonts w:cs="Times New Roman"/>
                                <w:sz w:val="23"/>
                                <w:szCs w:val="23"/>
                                <w:lang w:val="es-ES"/>
                              </w:rPr>
                            </w:pPr>
                            <w:r w:rsidRPr="00434BCD">
                              <w:rPr>
                                <w:rFonts w:cs="Times New Roman"/>
                                <w:sz w:val="23"/>
                                <w:szCs w:val="23"/>
                                <w:lang w:val="es-ES"/>
                              </w:rPr>
                              <w:t>Plaster</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43904" behindDoc="0" locked="1" layoutInCell="1" allowOverlap="1" wp14:anchorId="37164045" wp14:editId="14E1BCB3">
                      <wp:simplePos x="0" y="0"/>
                      <wp:positionH relativeFrom="column">
                        <wp:posOffset>1023620</wp:posOffset>
                      </wp:positionH>
                      <wp:positionV relativeFrom="page">
                        <wp:posOffset>2511425</wp:posOffset>
                      </wp:positionV>
                      <wp:extent cx="867410" cy="594995"/>
                      <wp:effectExtent l="0" t="0" r="0" b="0"/>
                      <wp:wrapNone/>
                      <wp:docPr id="56386513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594995"/>
                              </a:xfrm>
                              <a:prstGeom prst="rect">
                                <a:avLst/>
                              </a:prstGeom>
                              <a:noFill/>
                              <a:ln>
                                <a:noFill/>
                              </a:ln>
                            </wps:spPr>
                            <wps:txbx>
                              <w:txbxContent>
                                <w:p w14:paraId="25F72E25" w14:textId="43AF2FF7" w:rsidR="003B558D" w:rsidRPr="00434BCD" w:rsidRDefault="00630D01" w:rsidP="0014439E">
                                  <w:pPr>
                                    <w:rPr>
                                      <w:rFonts w:cs="Times New Roman"/>
                                      <w:sz w:val="23"/>
                                      <w:szCs w:val="23"/>
                                      <w:lang w:val="es-ES"/>
                                    </w:rPr>
                                  </w:pPr>
                                  <w:r w:rsidRPr="00434BCD">
                                    <w:rPr>
                                      <w:rFonts w:cs="Times New Roman"/>
                                      <w:sz w:val="23"/>
                                      <w:szCs w:val="23"/>
                                      <w:lang w:val="es-ES"/>
                                    </w:rPr>
                                    <w:t>Beholder for skarpe gjenstander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164045" id="Text Box 81" o:spid="_x0000_s1039" type="#_x0000_t202" style="position:absolute;left:0;text-align:left;margin-left:80.6pt;margin-top:197.75pt;width:68.3pt;height:46.85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" filled="f" stroked="f">
                      <v:textbox style="mso-fit-shape-to-text:t" inset="0,,0">
                        <w:txbxContent>
                          <w:p w14:paraId="25F72E25" w14:textId="43AF2FF7" w:rsidR="003B558D" w:rsidRPr="00434BCD" w:rsidRDefault="00630D01" w:rsidP="0014439E">
                            <w:pPr>
                              <w:rPr>
                                <w:rFonts w:cs="Times New Roman"/>
                                <w:sz w:val="23"/>
                                <w:szCs w:val="23"/>
                                <w:lang w:val="es-ES"/>
                              </w:rPr>
                            </w:pPr>
                            <w:r w:rsidRPr="00434BCD">
                              <w:rPr>
                                <w:rFonts w:cs="Times New Roman"/>
                                <w:sz w:val="23"/>
                                <w:szCs w:val="23"/>
                                <w:lang w:val="es-ES"/>
                              </w:rPr>
                              <w:t>Beholder for skarpe gjenstander</w:t>
                            </w:r>
                          </w:p>
                        </w:txbxContent>
                      </v:textbox>
                      <w10:wrap anchory="page"/>
                      <w10:anchorlock/>
                    </v:shape>
                  </w:pict>
                </mc:Fallback>
              </mc:AlternateContent>
            </w:r>
            <w:r w:rsidR="00EA08FF" w:rsidRPr="00A942F6">
              <w:rPr>
                <w:rFonts w:eastAsia="새굴림" w:cs="새굴림"/>
                <w:b/>
                <w:lang w:val="nb-NO"/>
              </w:rPr>
              <w:t>Figur B</w:t>
            </w:r>
          </w:p>
        </w:tc>
        <w:tc>
          <w:tcPr>
            <w:tcW w:w="5517" w:type="dxa"/>
          </w:tcPr>
          <w:p w14:paraId="32BC8550" w14:textId="77777777" w:rsidR="00EA08FF" w:rsidRPr="00A942F6" w:rsidRDefault="00EA08FF" w:rsidP="007814F8">
            <w:pPr>
              <w:widowControl w:val="0"/>
              <w:numPr>
                <w:ilvl w:val="0"/>
                <w:numId w:val="24"/>
              </w:numPr>
              <w:suppressAutoHyphens/>
              <w:ind w:left="567" w:hanging="567"/>
              <w:rPr>
                <w:rFonts w:eastAsia="Times New Roman" w:cs="새굴림"/>
                <w:b/>
                <w:lang w:val="nb-NO"/>
              </w:rPr>
            </w:pPr>
            <w:r w:rsidRPr="00A942F6">
              <w:rPr>
                <w:rFonts w:eastAsia="새굴림" w:cs="새굴림"/>
                <w:b/>
                <w:lang w:val="nb-NO"/>
              </w:rPr>
              <w:t>Finn frem utstyr som skal brukes til injeksjonen.</w:t>
            </w:r>
          </w:p>
          <w:p w14:paraId="055315FF" w14:textId="77777777" w:rsidR="00EA08FF" w:rsidRPr="00A942F6" w:rsidRDefault="00EA08FF">
            <w:pPr>
              <w:widowControl w:val="0"/>
              <w:suppressAutoHyphens/>
              <w:ind w:left="567" w:hanging="567"/>
              <w:rPr>
                <w:rFonts w:eastAsia="Times New Roman" w:cs="새굴림"/>
                <w:b/>
                <w:lang w:val="nb-NO" w:eastAsia="en-US"/>
              </w:rPr>
            </w:pPr>
          </w:p>
          <w:p w14:paraId="5F7F997F" w14:textId="77777777" w:rsidR="00EA08FF" w:rsidRPr="00A942F6" w:rsidRDefault="00EA08FF" w:rsidP="007814F8">
            <w:pPr>
              <w:widowControl w:val="0"/>
              <w:numPr>
                <w:ilvl w:val="0"/>
                <w:numId w:val="25"/>
              </w:numPr>
              <w:suppressAutoHyphens/>
              <w:ind w:left="567" w:hanging="567"/>
              <w:rPr>
                <w:rFonts w:eastAsia="Times New Roman" w:cs="새굴림"/>
                <w:bCs/>
                <w:lang w:val="nb-NO"/>
              </w:rPr>
            </w:pPr>
            <w:r w:rsidRPr="00A942F6">
              <w:rPr>
                <w:rFonts w:eastAsia="새굴림" w:cs="새굴림"/>
                <w:lang w:val="nb-NO"/>
              </w:rPr>
              <w:t>Gjør klar en ren, flat overflate, f.eks. et bord eller en benk der det er godt arbeidslys.</w:t>
            </w:r>
          </w:p>
          <w:p w14:paraId="3D309060" w14:textId="77777777" w:rsidR="00EA08FF" w:rsidRPr="00A942F6" w:rsidRDefault="00EA08FF" w:rsidP="007814F8">
            <w:pPr>
              <w:widowControl w:val="0"/>
              <w:numPr>
                <w:ilvl w:val="0"/>
                <w:numId w:val="25"/>
              </w:numPr>
              <w:suppressAutoHyphens/>
              <w:ind w:left="567" w:hanging="567"/>
              <w:rPr>
                <w:rFonts w:eastAsia="Times New Roman" w:cs="새굴림"/>
                <w:bCs/>
                <w:lang w:val="nb-NO"/>
              </w:rPr>
            </w:pPr>
            <w:r w:rsidRPr="00A942F6">
              <w:rPr>
                <w:rFonts w:eastAsia="새굴림" w:cs="새굴림"/>
                <w:lang w:val="nb-NO"/>
              </w:rPr>
              <w:t>Ta esken med den ferdigfylte sprøyten ut av kjøleskapet.</w:t>
            </w:r>
          </w:p>
          <w:p w14:paraId="0B1F9AA7" w14:textId="77777777" w:rsidR="00EA08FF" w:rsidRPr="00A942F6" w:rsidRDefault="00EA08FF" w:rsidP="007814F8">
            <w:pPr>
              <w:widowControl w:val="0"/>
              <w:numPr>
                <w:ilvl w:val="0"/>
                <w:numId w:val="25"/>
              </w:numPr>
              <w:suppressAutoHyphens/>
              <w:ind w:left="567" w:hanging="567"/>
              <w:rPr>
                <w:rFonts w:eastAsia="Times New Roman" w:cs="새굴림"/>
                <w:bCs/>
                <w:lang w:val="nb-NO"/>
              </w:rPr>
            </w:pPr>
            <w:r w:rsidRPr="00A942F6">
              <w:rPr>
                <w:rFonts w:eastAsia="새굴림" w:cs="새굴림"/>
                <w:lang w:val="nb-NO"/>
              </w:rPr>
              <w:t xml:space="preserve">Kontroller at du har følgende utstyr (se </w:t>
            </w:r>
            <w:r w:rsidRPr="00A942F6">
              <w:rPr>
                <w:rFonts w:eastAsia="새굴림" w:cs="새굴림"/>
                <w:b/>
                <w:lang w:val="nb-NO"/>
              </w:rPr>
              <w:t>figur B</w:t>
            </w:r>
            <w:r w:rsidRPr="00A942F6">
              <w:rPr>
                <w:rFonts w:eastAsia="새굴림" w:cs="새굴림"/>
                <w:lang w:val="nb-NO"/>
              </w:rPr>
              <w:t>):</w:t>
            </w:r>
          </w:p>
          <w:p w14:paraId="567CC219" w14:textId="77777777" w:rsidR="00EA08FF" w:rsidRPr="00A942F6" w:rsidRDefault="00EA08FF">
            <w:pPr>
              <w:widowControl w:val="0"/>
              <w:suppressAutoHyphens/>
              <w:rPr>
                <w:rFonts w:eastAsia="Times New Roman" w:cs="새굴림"/>
                <w:lang w:val="nb-NO"/>
              </w:rPr>
            </w:pPr>
            <w:r w:rsidRPr="00A942F6">
              <w:rPr>
                <w:rFonts w:eastAsia="새굴림" w:cs="새굴림"/>
                <w:lang w:val="nb-NO"/>
              </w:rPr>
              <w:t xml:space="preserve">– esken med Avtozma </w:t>
            </w:r>
            <w:r w:rsidRPr="00A942F6">
              <w:rPr>
                <w:rFonts w:eastAsia="새굴림" w:cs="새굴림"/>
                <w:color w:val="231F20"/>
                <w:lang w:val="nb-NO"/>
              </w:rPr>
              <w:t>ferdigfylt sprøyte</w:t>
            </w:r>
          </w:p>
          <w:p w14:paraId="0B2F1339" w14:textId="77777777" w:rsidR="00EA08FF" w:rsidRPr="00A942F6" w:rsidRDefault="00EA08FF">
            <w:pPr>
              <w:widowControl w:val="0"/>
              <w:rPr>
                <w:rFonts w:eastAsia="새굴림" w:cs="새굴림"/>
                <w:lang w:val="nb-NO"/>
              </w:rPr>
            </w:pPr>
          </w:p>
          <w:p w14:paraId="280138E4" w14:textId="77777777" w:rsidR="00EA08FF" w:rsidRPr="00A942F6" w:rsidRDefault="00EA08FF">
            <w:pPr>
              <w:widowControl w:val="0"/>
              <w:suppressAutoHyphens/>
              <w:rPr>
                <w:rFonts w:eastAsia="Times New Roman" w:cs="새굴림"/>
                <w:b/>
                <w:lang w:val="nb-NO"/>
              </w:rPr>
            </w:pPr>
            <w:r w:rsidRPr="00A942F6">
              <w:rPr>
                <w:rFonts w:eastAsia="새굴림" w:cs="새굴림"/>
                <w:b/>
                <w:lang w:val="nb-NO"/>
              </w:rPr>
              <w:t>Ikke inkludert i esken:</w:t>
            </w:r>
          </w:p>
          <w:p w14:paraId="51F04BBC" w14:textId="77777777" w:rsidR="00EA08FF" w:rsidRPr="00A942F6" w:rsidRDefault="00EA08FF">
            <w:pPr>
              <w:widowControl w:val="0"/>
              <w:suppressAutoHyphens/>
              <w:rPr>
                <w:rFonts w:eastAsia="Times New Roman" w:cs="새굴림"/>
                <w:lang w:val="nb-NO"/>
              </w:rPr>
            </w:pPr>
            <w:r w:rsidRPr="00A942F6">
              <w:rPr>
                <w:rFonts w:eastAsia="새굴림" w:cs="새굴림"/>
                <w:lang w:val="nb-NO"/>
              </w:rPr>
              <w:t>– Steril bomullsdott eller gasbind</w:t>
            </w:r>
          </w:p>
          <w:p w14:paraId="0A963B06" w14:textId="77777777" w:rsidR="00EA08FF" w:rsidRPr="00A942F6" w:rsidRDefault="00EA08FF">
            <w:pPr>
              <w:widowControl w:val="0"/>
              <w:suppressAutoHyphens/>
              <w:rPr>
                <w:rFonts w:eastAsia="Times New Roman" w:cs="새굴림"/>
                <w:lang w:val="nb-NO"/>
              </w:rPr>
            </w:pPr>
            <w:r w:rsidRPr="00A942F6">
              <w:rPr>
                <w:rFonts w:eastAsia="새굴림" w:cs="새굴림"/>
                <w:lang w:val="nb-NO"/>
              </w:rPr>
              <w:t>– Plaster</w:t>
            </w:r>
          </w:p>
          <w:p w14:paraId="406312D9" w14:textId="77777777" w:rsidR="00EA08FF" w:rsidRPr="00A942F6" w:rsidRDefault="00EA08FF">
            <w:pPr>
              <w:widowControl w:val="0"/>
              <w:suppressAutoHyphens/>
              <w:rPr>
                <w:rFonts w:eastAsia="Times New Roman" w:cs="새굴림"/>
                <w:lang w:val="nb-NO"/>
              </w:rPr>
            </w:pPr>
            <w:r w:rsidRPr="00A942F6">
              <w:rPr>
                <w:rFonts w:eastAsia="새굴림" w:cs="새굴림"/>
                <w:lang w:val="nb-NO"/>
              </w:rPr>
              <w:t>– Beholder for skarpe gjenstander</w:t>
            </w:r>
          </w:p>
          <w:p w14:paraId="33D6D51E" w14:textId="77777777" w:rsidR="00EA08FF" w:rsidRPr="00A942F6" w:rsidRDefault="00EA08FF">
            <w:pPr>
              <w:widowControl w:val="0"/>
              <w:suppressAutoHyphens/>
              <w:rPr>
                <w:rFonts w:eastAsia="Times New Roman" w:cs="새굴림"/>
                <w:lang w:val="nb-NO"/>
              </w:rPr>
            </w:pPr>
            <w:r w:rsidRPr="00A942F6">
              <w:rPr>
                <w:rFonts w:eastAsia="새굴림" w:cs="새굴림"/>
                <w:lang w:val="nb-NO"/>
              </w:rPr>
              <w:t>– Spritserviett</w:t>
            </w:r>
          </w:p>
          <w:p w14:paraId="53BAA1E9" w14:textId="77777777" w:rsidR="00EA08FF" w:rsidRPr="00A942F6" w:rsidRDefault="00EA08FF">
            <w:pPr>
              <w:widowControl w:val="0"/>
              <w:ind w:left="567" w:hanging="567"/>
              <w:rPr>
                <w:rFonts w:eastAsia="새굴림" w:cs="새굴림"/>
                <w:lang w:val="nb-NO"/>
              </w:rPr>
            </w:pPr>
          </w:p>
        </w:tc>
      </w:tr>
      <w:bookmarkEnd w:id="30"/>
      <w:tr w:rsidR="001F0013" w:rsidRPr="00B477E5" w14:paraId="2B6B1F66" w14:textId="77777777" w:rsidTr="00434BCD">
        <w:trPr>
          <w:cantSplit/>
          <w:trHeight w:val="1134"/>
        </w:trPr>
        <w:tc>
          <w:tcPr>
            <w:tcW w:w="3539" w:type="dxa"/>
          </w:tcPr>
          <w:p w14:paraId="381C620A" w14:textId="170157D9" w:rsidR="00EA08FF" w:rsidRPr="00A942F6" w:rsidRDefault="00D94A8B">
            <w:pPr>
              <w:widowControl w:val="0"/>
              <w:suppressAutoHyphens/>
              <w:rPr>
                <w:rFonts w:eastAsia="새굴림" w:cs="새굴림"/>
                <w:sz w:val="26"/>
                <w:szCs w:val="26"/>
                <w:lang w:val="nb-NO"/>
              </w:rPr>
            </w:pPr>
            <w:r>
              <w:rPr>
                <w:noProof/>
                <w:lang w:eastAsia="ko-KR"/>
              </w:rPr>
              <mc:AlternateContent>
                <mc:Choice Requires="wps">
                  <w:drawing>
                    <wp:anchor distT="45720" distB="45720" distL="114300" distR="114300" simplePos="0" relativeHeight="251649024" behindDoc="0" locked="1" layoutInCell="1" allowOverlap="1" wp14:anchorId="5385216E" wp14:editId="3544446A">
                      <wp:simplePos x="0" y="0"/>
                      <wp:positionH relativeFrom="column">
                        <wp:posOffset>1278890</wp:posOffset>
                      </wp:positionH>
                      <wp:positionV relativeFrom="page">
                        <wp:posOffset>1960245</wp:posOffset>
                      </wp:positionV>
                      <wp:extent cx="673100" cy="87630"/>
                      <wp:effectExtent l="19050" t="38100" r="0" b="26670"/>
                      <wp:wrapNone/>
                      <wp:docPr id="10585893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87630"/>
                              </a:xfrm>
                              <a:prstGeom prst="rect">
                                <a:avLst/>
                              </a:prstGeom>
                              <a:noFill/>
                              <a:ln>
                                <a:noFill/>
                              </a:ln>
                            </wps:spPr>
                            <wps:txbx>
                              <w:txbxContent>
                                <w:p w14:paraId="5B761E2C" w14:textId="3690C9C2" w:rsidR="003B558D" w:rsidRPr="00434BCD" w:rsidRDefault="00F862D9" w:rsidP="00EA08FF">
                                  <w:pPr>
                                    <w:rPr>
                                      <w:rFonts w:cs="Times New Roman"/>
                                      <w:b/>
                                      <w:bCs/>
                                      <w:sz w:val="12"/>
                                      <w:szCs w:val="12"/>
                                    </w:rPr>
                                  </w:pPr>
                                  <w:r w:rsidRPr="00434BCD">
                                    <w:rPr>
                                      <w:rFonts w:cs="Times New Roman"/>
                                      <w:b/>
                                      <w:bCs/>
                                      <w:sz w:val="12"/>
                                    </w:rPr>
                                    <w:t>EXP: MM ÅÅÅÅ</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385216E" id="Text Box 79" o:spid="_x0000_s1040" type="#_x0000_t202" style="position:absolute;margin-left:100.7pt;margin-top:154.35pt;width:53pt;height:6.9pt;rotation:-535127fd;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" filled="f" stroked="f">
                      <v:textbox style="mso-fit-shape-to-text:t" inset="0,0,0,0">
                        <w:txbxContent>
                          <w:p w14:paraId="5B761E2C" w14:textId="3690C9C2" w:rsidR="003B558D" w:rsidRPr="00434BCD" w:rsidRDefault="00F862D9" w:rsidP="00EA08FF">
                            <w:pPr>
                              <w:rPr>
                                <w:rFonts w:cs="Times New Roman"/>
                                <w:b/>
                                <w:bCs/>
                                <w:sz w:val="12"/>
                                <w:szCs w:val="12"/>
                              </w:rPr>
                            </w:pPr>
                            <w:r w:rsidRPr="00434BCD">
                              <w:rPr>
                                <w:rFonts w:cs="Times New Roman"/>
                                <w:b/>
                                <w:bCs/>
                                <w:sz w:val="12"/>
                              </w:rPr>
                              <w:t>EXP: MM ÅÅÅÅ</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48000" behindDoc="0" locked="1" layoutInCell="1" allowOverlap="1" wp14:anchorId="6F0A5A60" wp14:editId="6A7411A4">
                      <wp:simplePos x="0" y="0"/>
                      <wp:positionH relativeFrom="column">
                        <wp:posOffset>982980</wp:posOffset>
                      </wp:positionH>
                      <wp:positionV relativeFrom="page">
                        <wp:posOffset>985520</wp:posOffset>
                      </wp:positionV>
                      <wp:extent cx="943610" cy="116840"/>
                      <wp:effectExtent l="19050" t="38100" r="0" b="35560"/>
                      <wp:wrapNone/>
                      <wp:docPr id="13346445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943610" cy="116840"/>
                              </a:xfrm>
                              <a:prstGeom prst="rect">
                                <a:avLst/>
                              </a:prstGeom>
                              <a:noFill/>
                              <a:ln>
                                <a:noFill/>
                              </a:ln>
                            </wps:spPr>
                            <wps:txbx>
                              <w:txbxContent>
                                <w:p w14:paraId="76A04066" w14:textId="612E83FA" w:rsidR="003B558D" w:rsidRPr="00434BCD" w:rsidRDefault="00F862D9" w:rsidP="00EA08FF">
                                  <w:pPr>
                                    <w:jc w:val="center"/>
                                    <w:rPr>
                                      <w:rFonts w:cs="Times New Roman"/>
                                      <w:b/>
                                      <w:bCs/>
                                      <w:sz w:val="16"/>
                                      <w:szCs w:val="16"/>
                                    </w:rPr>
                                  </w:pPr>
                                  <w:r w:rsidRPr="00434BCD">
                                    <w:rPr>
                                      <w:rFonts w:cs="Times New Roman"/>
                                      <w:b/>
                                      <w:bCs/>
                                      <w:sz w:val="16"/>
                                    </w:rPr>
                                    <w:t>EXP: MM ÅÅÅÅ</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F0A5A60" id="Text Box 77" o:spid="_x0000_s1041" type="#_x0000_t202" style="position:absolute;margin-left:77.4pt;margin-top:77.6pt;width:74.3pt;height:9.2pt;rotation:-448334fd;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" filled="f" stroked="f">
                      <v:textbox style="mso-fit-shape-to-text:t" inset="0,0,0,0">
                        <w:txbxContent>
                          <w:p w14:paraId="76A04066" w14:textId="612E83FA" w:rsidR="003B558D" w:rsidRPr="00434BCD" w:rsidRDefault="00F862D9" w:rsidP="00EA08FF">
                            <w:pPr>
                              <w:jc w:val="center"/>
                              <w:rPr>
                                <w:rFonts w:cs="Times New Roman"/>
                                <w:b/>
                                <w:bCs/>
                                <w:sz w:val="16"/>
                                <w:szCs w:val="16"/>
                              </w:rPr>
                            </w:pPr>
                            <w:r w:rsidRPr="00434BCD">
                              <w:rPr>
                                <w:rFonts w:cs="Times New Roman"/>
                                <w:b/>
                                <w:bCs/>
                                <w:sz w:val="16"/>
                              </w:rPr>
                              <w:t>EXP: MM ÅÅÅÅ</w:t>
                            </w:r>
                          </w:p>
                        </w:txbxContent>
                      </v:textbox>
                      <w10:wrap anchory="page"/>
                      <w10:anchorlock/>
                    </v:shape>
                  </w:pict>
                </mc:Fallback>
              </mc:AlternateContent>
            </w:r>
            <w:r>
              <w:rPr>
                <w:rFonts w:eastAsia="새굴림" w:cs="새굴림"/>
                <w:b/>
                <w:noProof/>
                <w:lang w:eastAsia="ko-KR"/>
              </w:rPr>
              <w:drawing>
                <wp:inline distT="0" distB="0" distL="0" distR="0" wp14:anchorId="590C0E90" wp14:editId="72E9962A">
                  <wp:extent cx="2084705" cy="2597150"/>
                  <wp:effectExtent l="19050" t="19050" r="0" b="0"/>
                  <wp:docPr id="8" name="Bilde 7"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텍스트, 스케치, 도표, 원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84705" cy="2597150"/>
                          </a:xfrm>
                          <a:prstGeom prst="rect">
                            <a:avLst/>
                          </a:prstGeom>
                          <a:noFill/>
                          <a:ln w="9525" cmpd="sng">
                            <a:solidFill>
                              <a:srgbClr val="000000"/>
                            </a:solidFill>
                            <a:miter lim="800000"/>
                            <a:headEnd/>
                            <a:tailEnd/>
                          </a:ln>
                          <a:effectLst/>
                        </pic:spPr>
                      </pic:pic>
                    </a:graphicData>
                  </a:graphic>
                </wp:inline>
              </w:drawing>
            </w:r>
          </w:p>
          <w:p w14:paraId="33E9E3D0" w14:textId="77777777" w:rsidR="00EA08FF" w:rsidRPr="00A942F6" w:rsidRDefault="00EA08FF">
            <w:pPr>
              <w:widowControl w:val="0"/>
              <w:jc w:val="right"/>
              <w:rPr>
                <w:rFonts w:eastAsia="새굴림" w:cs="새굴림"/>
                <w:b/>
                <w:bCs/>
                <w:noProof/>
                <w:lang w:val="nb-NO"/>
              </w:rPr>
            </w:pPr>
            <w:r w:rsidRPr="00A942F6">
              <w:rPr>
                <w:rFonts w:eastAsia="새굴림" w:cs="새굴림"/>
                <w:b/>
                <w:lang w:val="nb-NO"/>
              </w:rPr>
              <w:t>Figur C</w:t>
            </w:r>
          </w:p>
        </w:tc>
        <w:tc>
          <w:tcPr>
            <w:tcW w:w="5517" w:type="dxa"/>
          </w:tcPr>
          <w:p w14:paraId="2ED575A9" w14:textId="77777777" w:rsidR="00EA08FF" w:rsidRPr="00A942F6" w:rsidRDefault="00EA08FF" w:rsidP="000A2EF9">
            <w:pPr>
              <w:widowControl w:val="0"/>
              <w:numPr>
                <w:ilvl w:val="0"/>
                <w:numId w:val="24"/>
              </w:numPr>
              <w:suppressAutoHyphens/>
              <w:ind w:left="567" w:hanging="567"/>
              <w:rPr>
                <w:rFonts w:eastAsia="Times New Roman"/>
                <w:b/>
                <w:lang w:val="nb-NO"/>
              </w:rPr>
            </w:pPr>
            <w:r w:rsidRPr="00A942F6">
              <w:rPr>
                <w:rFonts w:eastAsia="새굴림" w:cs="새굴림"/>
                <w:b/>
                <w:lang w:val="nb-NO"/>
              </w:rPr>
              <w:t>Kontroller esken</w:t>
            </w:r>
          </w:p>
          <w:p w14:paraId="4E0F98BB" w14:textId="77777777" w:rsidR="00EA08FF" w:rsidRPr="00A942F6" w:rsidRDefault="00EA08FF" w:rsidP="000A2EF9">
            <w:pPr>
              <w:widowControl w:val="0"/>
              <w:suppressAutoHyphens/>
              <w:ind w:left="567" w:hanging="567"/>
              <w:rPr>
                <w:rFonts w:eastAsia="Times New Roman"/>
                <w:b/>
                <w:lang w:val="nb-NO" w:eastAsia="en-US"/>
              </w:rPr>
            </w:pPr>
          </w:p>
          <w:p w14:paraId="47630A96" w14:textId="77777777" w:rsidR="00EA08FF" w:rsidRPr="00A942F6" w:rsidRDefault="00EA08FF" w:rsidP="000A2EF9">
            <w:pPr>
              <w:widowControl w:val="0"/>
              <w:numPr>
                <w:ilvl w:val="0"/>
                <w:numId w:val="26"/>
              </w:numPr>
              <w:suppressAutoHyphens/>
              <w:ind w:left="567" w:hanging="567"/>
              <w:rPr>
                <w:rFonts w:eastAsia="Times New Roman"/>
                <w:bCs/>
                <w:lang w:val="nb-NO"/>
              </w:rPr>
            </w:pPr>
            <w:r w:rsidRPr="00A942F6">
              <w:rPr>
                <w:rFonts w:eastAsia="새굴림" w:cs="새굴림"/>
                <w:lang w:val="nb-NO"/>
              </w:rPr>
              <w:t>Studer esken og forsikre deg om at du har riktig legemiddel og dosestyrke. (Avtozma)</w:t>
            </w:r>
          </w:p>
          <w:p w14:paraId="3D99EF5D" w14:textId="77777777" w:rsidR="00EA08FF" w:rsidRPr="00A942F6" w:rsidRDefault="00EA08FF" w:rsidP="000A2EF9">
            <w:pPr>
              <w:widowControl w:val="0"/>
              <w:numPr>
                <w:ilvl w:val="0"/>
                <w:numId w:val="26"/>
              </w:numPr>
              <w:suppressAutoHyphens/>
              <w:ind w:left="567" w:hanging="567"/>
              <w:rPr>
                <w:rFonts w:eastAsia="Times New Roman"/>
                <w:bCs/>
                <w:lang w:val="nb-NO"/>
              </w:rPr>
            </w:pPr>
            <w:r w:rsidRPr="00A942F6">
              <w:rPr>
                <w:rFonts w:eastAsia="새굴림" w:cs="새굴림"/>
                <w:lang w:val="nb-NO"/>
              </w:rPr>
              <w:t>Kontroller utløpsdatoen på esken for å være sikker på at utløpsdatoen ikke har passert.</w:t>
            </w:r>
          </w:p>
          <w:p w14:paraId="55809894" w14:textId="77777777" w:rsidR="00EA08FF" w:rsidRPr="00A942F6" w:rsidRDefault="00EA08FF" w:rsidP="000A2EF9">
            <w:pPr>
              <w:widowControl w:val="0"/>
              <w:rPr>
                <w:rFonts w:eastAsia="새굴림" w:cs="새굴림"/>
                <w:lang w:val="nb-NO"/>
              </w:rPr>
            </w:pPr>
          </w:p>
          <w:p w14:paraId="416A3EC8" w14:textId="77777777" w:rsidR="00EA08FF" w:rsidRPr="00434BCD" w:rsidRDefault="00EA08FF" w:rsidP="00434BCD">
            <w:pPr>
              <w:pStyle w:val="a4"/>
              <w:numPr>
                <w:ilvl w:val="0"/>
                <w:numId w:val="65"/>
              </w:numPr>
              <w:tabs>
                <w:tab w:val="left" w:pos="1124"/>
              </w:tabs>
              <w:autoSpaceDE/>
              <w:autoSpaceDN/>
              <w:ind w:left="1134" w:hanging="567"/>
              <w:rPr>
                <w:lang w:val="sl-SI" w:eastAsia="ko-KR"/>
              </w:rPr>
            </w:pPr>
            <w:r w:rsidRPr="00434BCD">
              <w:rPr>
                <w:rFonts w:cs="Arial"/>
                <w:b/>
                <w:bCs/>
                <w:lang w:val="sl-SI" w:eastAsia="ko-KR"/>
              </w:rPr>
              <w:t>Ikke</w:t>
            </w:r>
            <w:r w:rsidRPr="00434BCD">
              <w:rPr>
                <w:rFonts w:cs="Arial"/>
                <w:lang w:val="sl-SI" w:eastAsia="ko-KR"/>
              </w:rPr>
              <w:t xml:space="preserve"> bruk den ferdigfylte sprøyten dersom utløpsdatoen har passert.</w:t>
            </w:r>
          </w:p>
          <w:p w14:paraId="23F75068" w14:textId="77777777" w:rsidR="00EA08FF" w:rsidRPr="00434BCD" w:rsidRDefault="00EA08FF" w:rsidP="00434BCD">
            <w:pPr>
              <w:pStyle w:val="a4"/>
              <w:numPr>
                <w:ilvl w:val="0"/>
                <w:numId w:val="65"/>
              </w:numPr>
              <w:tabs>
                <w:tab w:val="left" w:pos="1124"/>
              </w:tabs>
              <w:autoSpaceDE/>
              <w:autoSpaceDN/>
              <w:ind w:left="1134" w:hanging="567"/>
              <w:rPr>
                <w:lang w:val="sl-SI" w:eastAsia="ko-KR"/>
              </w:rPr>
            </w:pPr>
            <w:r w:rsidRPr="00434BCD">
              <w:rPr>
                <w:rFonts w:cs="Arial"/>
                <w:b/>
                <w:bCs/>
                <w:lang w:val="sl-SI" w:eastAsia="ko-KR"/>
              </w:rPr>
              <w:t>Ikke</w:t>
            </w:r>
            <w:r w:rsidRPr="00434BCD">
              <w:rPr>
                <w:rFonts w:cs="Arial"/>
                <w:lang w:val="sl-SI" w:eastAsia="ko-KR"/>
              </w:rPr>
              <w:t xml:space="preserve"> bruk den ferdigfylte sprøyten hvis det ser ut som om esken allerede har vært åpnet eller er skadet, dersom du åpner esken for første gang, og kontroller at den er godt forseglet.</w:t>
            </w:r>
          </w:p>
          <w:p w14:paraId="61D45FC6" w14:textId="77777777" w:rsidR="00EA08FF" w:rsidRPr="00A942F6" w:rsidRDefault="00EA08FF" w:rsidP="000A2EF9">
            <w:pPr>
              <w:widowControl w:val="0"/>
              <w:rPr>
                <w:rFonts w:eastAsia="새굴림" w:cs="새굴림"/>
                <w:lang w:val="nb-NO"/>
              </w:rPr>
            </w:pPr>
          </w:p>
        </w:tc>
      </w:tr>
      <w:tr w:rsidR="001F0013" w:rsidRPr="00B477E5" w14:paraId="2FCE9860" w14:textId="77777777">
        <w:trPr>
          <w:cantSplit/>
        </w:trPr>
        <w:tc>
          <w:tcPr>
            <w:tcW w:w="3539" w:type="dxa"/>
          </w:tcPr>
          <w:p w14:paraId="47A0582F" w14:textId="0E87A9EE" w:rsidR="00EA08FF" w:rsidRPr="00A942F6" w:rsidRDefault="00D94A8B">
            <w:pPr>
              <w:widowControl w:val="0"/>
              <w:suppressAutoHyphens/>
              <w:jc w:val="right"/>
              <w:rPr>
                <w:rFonts w:eastAsia="새굴림" w:cs="새굴림"/>
                <w:sz w:val="26"/>
                <w:szCs w:val="26"/>
                <w:lang w:val="nb-NO"/>
              </w:rPr>
            </w:pPr>
            <w:r>
              <w:rPr>
                <w:noProof/>
                <w:lang w:eastAsia="ko-KR"/>
              </w:rPr>
              <w:lastRenderedPageBreak/>
              <mc:AlternateContent>
                <mc:Choice Requires="wps">
                  <w:drawing>
                    <wp:anchor distT="45720" distB="45720" distL="114300" distR="114300" simplePos="0" relativeHeight="251644928" behindDoc="0" locked="1" layoutInCell="1" allowOverlap="1" wp14:anchorId="3686B912" wp14:editId="0817A7A9">
                      <wp:simplePos x="0" y="0"/>
                      <wp:positionH relativeFrom="column">
                        <wp:posOffset>1193800</wp:posOffset>
                      </wp:positionH>
                      <wp:positionV relativeFrom="page">
                        <wp:posOffset>1565910</wp:posOffset>
                      </wp:positionV>
                      <wp:extent cx="767080" cy="102235"/>
                      <wp:effectExtent l="0" t="0" r="0" b="0"/>
                      <wp:wrapNone/>
                      <wp:docPr id="171237441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102235"/>
                              </a:xfrm>
                              <a:prstGeom prst="rect">
                                <a:avLst/>
                              </a:prstGeom>
                              <a:noFill/>
                              <a:ln>
                                <a:noFill/>
                              </a:ln>
                            </wps:spPr>
                            <wps:txbx>
                              <w:txbxContent>
                                <w:p w14:paraId="547EA5E1" w14:textId="62E4CEDA" w:rsidR="003B558D" w:rsidRPr="00434BCD" w:rsidRDefault="00F862D9" w:rsidP="00EA08FF">
                                  <w:pPr>
                                    <w:rPr>
                                      <w:rFonts w:cs="Times New Roman"/>
                                      <w:b/>
                                      <w:bCs/>
                                      <w:sz w:val="18"/>
                                      <w:szCs w:val="18"/>
                                    </w:rPr>
                                  </w:pPr>
                                  <w:r w:rsidRPr="00434BCD">
                                    <w:rPr>
                                      <w:rFonts w:cs="Times New Roman"/>
                                      <w:b/>
                                      <w:bCs/>
                                      <w:sz w:val="14"/>
                                    </w:rPr>
                                    <w:t>EXP: MM ÅÅÅÅ</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686B912" id="Text Box 75" o:spid="_x0000_s1042" type="#_x0000_t202" style="position:absolute;left:0;text-align:left;margin-left:94pt;margin-top:123.3pt;width:60.4pt;height:8.0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" filled="f" stroked="f">
                      <v:textbox style="mso-fit-shape-to-text:t" inset="0,0,0,0">
                        <w:txbxContent>
                          <w:p w14:paraId="547EA5E1" w14:textId="62E4CEDA" w:rsidR="003B558D" w:rsidRPr="00434BCD" w:rsidRDefault="00F862D9" w:rsidP="00EA08FF">
                            <w:pPr>
                              <w:rPr>
                                <w:rFonts w:cs="Times New Roman"/>
                                <w:b/>
                                <w:bCs/>
                                <w:sz w:val="18"/>
                                <w:szCs w:val="18"/>
                              </w:rPr>
                            </w:pPr>
                            <w:r w:rsidRPr="00434BCD">
                              <w:rPr>
                                <w:rFonts w:cs="Times New Roman"/>
                                <w:b/>
                                <w:bCs/>
                                <w:sz w:val="14"/>
                              </w:rPr>
                              <w:t>EXP: MM ÅÅÅÅ</w:t>
                            </w:r>
                          </w:p>
                        </w:txbxContent>
                      </v:textbox>
                      <w10:wrap anchory="page"/>
                      <w10:anchorlock/>
                    </v:shape>
                  </w:pict>
                </mc:Fallback>
              </mc:AlternateContent>
            </w:r>
            <w:r>
              <w:rPr>
                <w:rFonts w:eastAsia="새굴림" w:cs="새굴림"/>
                <w:noProof/>
                <w:lang w:eastAsia="ko-KR"/>
              </w:rPr>
              <w:drawing>
                <wp:inline distT="0" distB="0" distL="0" distR="0" wp14:anchorId="2C9D58BE" wp14:editId="4645A21A">
                  <wp:extent cx="2035810" cy="2536190"/>
                  <wp:effectExtent l="19050" t="19050" r="2540" b="0"/>
                  <wp:docPr id="9" name="Bilde 6" descr="스케치, 그림, 공구, 상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스케치, 그림, 공구, 상징이(가) 표시된 사진&#10;&#10;자동 생성된 설명"/>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5810" cy="2536190"/>
                          </a:xfrm>
                          <a:prstGeom prst="rect">
                            <a:avLst/>
                          </a:prstGeom>
                          <a:noFill/>
                          <a:ln w="9525" cmpd="sng">
                            <a:solidFill>
                              <a:srgbClr val="000000"/>
                            </a:solidFill>
                            <a:miter lim="800000"/>
                            <a:headEnd/>
                            <a:tailEnd/>
                          </a:ln>
                          <a:effectLst/>
                        </pic:spPr>
                      </pic:pic>
                    </a:graphicData>
                  </a:graphic>
                </wp:inline>
              </w:drawing>
            </w:r>
          </w:p>
          <w:p w14:paraId="6D63CB87"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D</w:t>
            </w:r>
          </w:p>
        </w:tc>
        <w:tc>
          <w:tcPr>
            <w:tcW w:w="5517" w:type="dxa"/>
          </w:tcPr>
          <w:p w14:paraId="2883ECAF"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Kontroller den ferdigfylte sprøyten.</w:t>
            </w:r>
          </w:p>
          <w:p w14:paraId="681BCC1D" w14:textId="77777777" w:rsidR="00EA08FF" w:rsidRPr="00A942F6" w:rsidRDefault="00EA08FF">
            <w:pPr>
              <w:widowControl w:val="0"/>
              <w:suppressAutoHyphens/>
              <w:ind w:left="567" w:hanging="567"/>
              <w:rPr>
                <w:rFonts w:eastAsia="새굴림" w:cs="새굴림"/>
                <w:bCs/>
                <w:lang w:val="nb-NO"/>
              </w:rPr>
            </w:pPr>
          </w:p>
          <w:p w14:paraId="0D726CE0" w14:textId="77777777" w:rsidR="00EA08FF" w:rsidRPr="00A942F6" w:rsidRDefault="00EA08FF" w:rsidP="007814F8">
            <w:pPr>
              <w:pStyle w:val="a4"/>
              <w:numPr>
                <w:ilvl w:val="0"/>
                <w:numId w:val="27"/>
              </w:numPr>
              <w:suppressAutoHyphens/>
              <w:autoSpaceDE/>
              <w:autoSpaceDN/>
              <w:ind w:left="567" w:hanging="567"/>
              <w:rPr>
                <w:bCs/>
                <w:lang w:val="nb-NO"/>
              </w:rPr>
            </w:pPr>
            <w:r w:rsidRPr="00A942F6">
              <w:rPr>
                <w:lang w:val="nb-NO"/>
              </w:rPr>
              <w:t>Åpne esken og ta 1 ferdigfylt sprøyte med enkeltdose ut av esken. Sett eventuelle resterende Avtozma ferdigfylte sprøyter i esken tilbake i kjøleskapet.</w:t>
            </w:r>
          </w:p>
          <w:p w14:paraId="79C775E8" w14:textId="77777777" w:rsidR="00EA08FF" w:rsidRPr="00A942F6" w:rsidRDefault="00EA08FF" w:rsidP="007814F8">
            <w:pPr>
              <w:pStyle w:val="a4"/>
              <w:numPr>
                <w:ilvl w:val="0"/>
                <w:numId w:val="27"/>
              </w:numPr>
              <w:suppressAutoHyphens/>
              <w:autoSpaceDE/>
              <w:autoSpaceDN/>
              <w:ind w:left="567" w:hanging="567"/>
              <w:rPr>
                <w:bCs/>
                <w:lang w:val="nb-NO"/>
              </w:rPr>
            </w:pPr>
            <w:r w:rsidRPr="00A942F6">
              <w:rPr>
                <w:lang w:val="nb-NO"/>
              </w:rPr>
              <w:t>Kontroller utløpsdatoen på den ferdigfylte Avtozma-sprøyten (</w:t>
            </w:r>
            <w:r w:rsidRPr="00A942F6">
              <w:rPr>
                <w:b/>
                <w:lang w:val="nb-NO"/>
              </w:rPr>
              <w:t>se figur D</w:t>
            </w:r>
            <w:r w:rsidRPr="00A942F6">
              <w:rPr>
                <w:lang w:val="nb-NO"/>
              </w:rPr>
              <w:t>).</w:t>
            </w:r>
          </w:p>
          <w:p w14:paraId="74034FBF"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sprøyten hvis utløpsdatoen har passert. Dersom utløpsdatoen har passert må du kaste den ferdigfylte sprøyten på en sikker måte i beholderen for skarpe gjenstander og ta en ny sprøyte.</w:t>
            </w:r>
          </w:p>
          <w:p w14:paraId="3E174600" w14:textId="77777777" w:rsidR="00EA08FF" w:rsidRPr="00A942F6" w:rsidRDefault="00EA08FF" w:rsidP="007814F8">
            <w:pPr>
              <w:pStyle w:val="a4"/>
              <w:numPr>
                <w:ilvl w:val="0"/>
                <w:numId w:val="27"/>
              </w:numPr>
              <w:suppressAutoHyphens/>
              <w:autoSpaceDE/>
              <w:autoSpaceDN/>
              <w:ind w:left="567" w:hanging="567"/>
              <w:rPr>
                <w:bCs/>
                <w:lang w:val="nb-NO"/>
              </w:rPr>
            </w:pPr>
            <w:r w:rsidRPr="00A942F6">
              <w:rPr>
                <w:lang w:val="nb-NO"/>
              </w:rPr>
              <w:t>Kontroller den ferdigfylte sprøyten for å være sikker på at den ikke er skadet og ikke viser tegn til lekkasje.</w:t>
            </w:r>
          </w:p>
          <w:p w14:paraId="1DE55255"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sprøyten hvis den har falt i gulvet, er skadet eller har lekket.</w:t>
            </w:r>
          </w:p>
          <w:p w14:paraId="019442AD" w14:textId="77777777" w:rsidR="00EA08FF" w:rsidRPr="00A942F6" w:rsidRDefault="00EA08FF">
            <w:pPr>
              <w:widowControl w:val="0"/>
              <w:rPr>
                <w:rFonts w:eastAsia="새굴림" w:cs="새굴림"/>
                <w:lang w:val="nb-NO"/>
              </w:rPr>
            </w:pPr>
          </w:p>
        </w:tc>
      </w:tr>
      <w:tr w:rsidR="001F0013" w:rsidRPr="00B477E5" w14:paraId="1CEFB67D" w14:textId="77777777">
        <w:trPr>
          <w:cantSplit/>
        </w:trPr>
        <w:tc>
          <w:tcPr>
            <w:tcW w:w="3539" w:type="dxa"/>
          </w:tcPr>
          <w:p w14:paraId="23B87731" w14:textId="7F552E7B" w:rsidR="00EA08FF" w:rsidRPr="00A942F6" w:rsidRDefault="00D94A8B">
            <w:pPr>
              <w:widowControl w:val="0"/>
              <w:suppressAutoHyphens/>
              <w:rPr>
                <w:rFonts w:eastAsia="새굴림" w:cs="새굴림"/>
                <w:noProof/>
                <w:lang w:val="nb-NO"/>
              </w:rPr>
            </w:pPr>
            <w:r>
              <w:rPr>
                <w:noProof/>
                <w:lang w:eastAsia="ko-KR"/>
              </w:rPr>
              <mc:AlternateContent>
                <mc:Choice Requires="wps">
                  <w:drawing>
                    <wp:anchor distT="45720" distB="45720" distL="114300" distR="114300" simplePos="0" relativeHeight="251646976" behindDoc="0" locked="1" layoutInCell="1" allowOverlap="1" wp14:anchorId="33EADA46" wp14:editId="34E99064">
                      <wp:simplePos x="0" y="0"/>
                      <wp:positionH relativeFrom="column">
                        <wp:posOffset>304800</wp:posOffset>
                      </wp:positionH>
                      <wp:positionV relativeFrom="page">
                        <wp:posOffset>389890</wp:posOffset>
                      </wp:positionV>
                      <wp:extent cx="767080" cy="489585"/>
                      <wp:effectExtent l="0" t="0" r="0" b="0"/>
                      <wp:wrapNone/>
                      <wp:docPr id="44425819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7CE8ED21" w14:textId="6CF44A80" w:rsidR="003B558D" w:rsidRPr="00434BCD" w:rsidRDefault="00F862D9" w:rsidP="00434BCD">
                                  <w:pPr>
                                    <w:jc w:val="center"/>
                                    <w:rPr>
                                      <w:rFonts w:cs="Times New Roman"/>
                                      <w:b/>
                                      <w:bCs/>
                                      <w:sz w:val="16"/>
                                      <w:szCs w:val="16"/>
                                    </w:rPr>
                                  </w:pPr>
                                  <w:r w:rsidRPr="00434BCD">
                                    <w:rPr>
                                      <w:rFonts w:cs="Times New Roman"/>
                                      <w:b/>
                                      <w:bCs/>
                                      <w:sz w:val="36"/>
                                    </w:rPr>
                                    <w:t>30</w:t>
                                  </w:r>
                                  <w:r w:rsidRPr="00434BCD">
                                    <w:rPr>
                                      <w:rFonts w:cs="Times New Roman"/>
                                      <w:b/>
                                      <w:bCs/>
                                      <w:sz w:val="16"/>
                                    </w:rPr>
                                    <w:t xml:space="preserve"> </w:t>
                                  </w:r>
                                  <w:r w:rsidRPr="00434BCD">
                                    <w:rPr>
                                      <w:rFonts w:cs="Times New Roman"/>
                                      <w:b/>
                                      <w:bCs/>
                                      <w:sz w:val="24"/>
                                    </w:rPr>
                                    <w:t>minutter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ADA46" id="Text Box 73" o:spid="_x0000_s1043" type="#_x0000_t202" style="position:absolute;margin-left:24pt;margin-top:30.7pt;width:60.4pt;height:38.5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3+2wEAAJgDAAAOAAAAZHJzL2Uyb0RvYy54bWysU9tu2zAMfR+wfxD0vjgp1iY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" filled="f" stroked="f">
                      <v:textbox inset="0,0,0,0">
                        <w:txbxContent>
                          <w:p w14:paraId="7CE8ED21" w14:textId="6CF44A80" w:rsidR="003B558D" w:rsidRPr="00434BCD" w:rsidRDefault="00F862D9" w:rsidP="00434BCD">
                            <w:pPr>
                              <w:jc w:val="center"/>
                              <w:rPr>
                                <w:rFonts w:cs="Times New Roman"/>
                                <w:b/>
                                <w:bCs/>
                                <w:sz w:val="16"/>
                                <w:szCs w:val="16"/>
                              </w:rPr>
                            </w:pPr>
                            <w:r w:rsidRPr="00434BCD">
                              <w:rPr>
                                <w:rFonts w:cs="Times New Roman"/>
                                <w:b/>
                                <w:bCs/>
                                <w:sz w:val="36"/>
                              </w:rPr>
                              <w:t>30</w:t>
                            </w:r>
                            <w:r w:rsidRPr="00434BCD">
                              <w:rPr>
                                <w:rFonts w:cs="Times New Roman"/>
                                <w:b/>
                                <w:bCs/>
                                <w:sz w:val="16"/>
                              </w:rPr>
                              <w:t xml:space="preserve"> </w:t>
                            </w:r>
                            <w:r w:rsidRPr="00434BCD">
                              <w:rPr>
                                <w:rFonts w:cs="Times New Roman"/>
                                <w:b/>
                                <w:bCs/>
                                <w:sz w:val="24"/>
                              </w:rPr>
                              <w:t>minutter</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45952" behindDoc="0" locked="1" layoutInCell="1" allowOverlap="1" wp14:anchorId="293795AF" wp14:editId="5A37506D">
                      <wp:simplePos x="0" y="0"/>
                      <wp:positionH relativeFrom="column">
                        <wp:posOffset>-1918970</wp:posOffset>
                      </wp:positionH>
                      <wp:positionV relativeFrom="page">
                        <wp:posOffset>446405</wp:posOffset>
                      </wp:positionV>
                      <wp:extent cx="767080" cy="489585"/>
                      <wp:effectExtent l="0" t="0" r="0" b="0"/>
                      <wp:wrapNone/>
                      <wp:docPr id="40405494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766EB368" w14:textId="77777777" w:rsidR="003B558D" w:rsidRPr="00D67FF9" w:rsidRDefault="003B558D" w:rsidP="00EA08FF">
                                  <w:pPr>
                                    <w:spacing w:line="216" w:lineRule="auto"/>
                                    <w:jc w:val="center"/>
                                    <w:rPr>
                                      <w:rFonts w:ascii="Arial" w:hAnsi="Arial"/>
                                      <w:b/>
                                      <w:bCs/>
                                      <w:sz w:val="16"/>
                                      <w:szCs w:val="16"/>
                                    </w:rPr>
                                  </w:pPr>
                                  <w:r>
                                    <w:rPr>
                                      <w:rFonts w:ascii="Arial" w:hAnsi="Arial"/>
                                      <w:b/>
                                      <w:sz w:val="36"/>
                                    </w:rPr>
                                    <w:t>30</w:t>
                                  </w:r>
                                  <w:r>
                                    <w:rPr>
                                      <w:rFonts w:ascii="Arial" w:hAnsi="Arial"/>
                                      <w:b/>
                                      <w:sz w:val="16"/>
                                    </w:rPr>
                                    <w:t xml:space="preserve"> </w:t>
                                  </w:r>
                                  <w:r>
                                    <w:rPr>
                                      <w:rFonts w:ascii="Arial" w:hAnsi="Arial"/>
                                      <w:b/>
                                      <w:sz w:val="16"/>
                                    </w:rPr>
                                    <w:br/>
                                  </w:r>
                                  <w:r>
                                    <w:rPr>
                                      <w:rFonts w:ascii="Arial" w:hAnsi="Arial"/>
                                      <w:b/>
                                      <w:sz w:val="24"/>
                                    </w:rPr>
                                    <w:t>minutter</w:t>
                                  </w:r>
                                </w:p>
                                <w:p w14:paraId="0FE5A468" w14:textId="77777777" w:rsidR="003B558D" w:rsidRPr="00D67FF9" w:rsidRDefault="003B558D" w:rsidP="00EA08FF">
                                  <w:pPr>
                                    <w:spacing w:line="216" w:lineRule="auto"/>
                                    <w:jc w:val="center"/>
                                    <w:rPr>
                                      <w:rFonts w:ascii="Arial" w:hAnsi="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3795AF" id="Text Box 71" o:spid="_x0000_s1044" type="#_x0000_t202" style="position:absolute;margin-left:-151.1pt;margin-top:35.15pt;width:60.4pt;height:38.5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" filled="f" stroked="f">
                      <v:textbox inset="0,0,0,0">
                        <w:txbxContent>
                          <w:p w14:paraId="766EB368" w14:textId="77777777" w:rsidR="003B558D" w:rsidRPr="00D67FF9" w:rsidRDefault="003B558D" w:rsidP="00EA08FF">
                            <w:pPr>
                              <w:spacing w:line="216" w:lineRule="auto"/>
                              <w:jc w:val="center"/>
                              <w:rPr>
                                <w:rFonts w:ascii="Arial" w:hAnsi="Arial"/>
                                <w:b/>
                                <w:bCs/>
                                <w:sz w:val="16"/>
                                <w:szCs w:val="16"/>
                              </w:rPr>
                            </w:pPr>
                            <w:r>
                              <w:rPr>
                                <w:rFonts w:ascii="Arial" w:hAnsi="Arial"/>
                                <w:b/>
                                <w:sz w:val="36"/>
                              </w:rPr>
                              <w:t>30</w:t>
                            </w:r>
                            <w:r>
                              <w:rPr>
                                <w:rFonts w:ascii="Arial" w:hAnsi="Arial"/>
                                <w:b/>
                                <w:sz w:val="16"/>
                              </w:rPr>
                              <w:t xml:space="preserve"> </w:t>
                            </w:r>
                            <w:r>
                              <w:rPr>
                                <w:rFonts w:ascii="Arial" w:hAnsi="Arial"/>
                                <w:b/>
                                <w:sz w:val="16"/>
                              </w:rPr>
                              <w:br/>
                            </w:r>
                            <w:r>
                              <w:rPr>
                                <w:rFonts w:ascii="Arial" w:hAnsi="Arial"/>
                                <w:b/>
                                <w:sz w:val="24"/>
                              </w:rPr>
                              <w:t>minutter</w:t>
                            </w:r>
                          </w:p>
                          <w:p w14:paraId="0FE5A468" w14:textId="77777777" w:rsidR="003B558D" w:rsidRPr="00D67FF9" w:rsidRDefault="003B558D" w:rsidP="00EA08FF">
                            <w:pPr>
                              <w:spacing w:line="216" w:lineRule="auto"/>
                              <w:jc w:val="center"/>
                              <w:rPr>
                                <w:rFonts w:ascii="Arial" w:hAnsi="Arial"/>
                                <w:b/>
                                <w:bCs/>
                                <w:sz w:val="16"/>
                                <w:szCs w:val="16"/>
                              </w:rPr>
                            </w:pPr>
                          </w:p>
                        </w:txbxContent>
                      </v:textbox>
                      <w10:wrap anchory="page"/>
                      <w10:anchorlock/>
                    </v:shape>
                  </w:pict>
                </mc:Fallback>
              </mc:AlternateContent>
            </w:r>
            <w:r>
              <w:rPr>
                <w:rFonts w:eastAsia="새굴림" w:cs="새굴림"/>
                <w:noProof/>
                <w:lang w:eastAsia="ko-KR"/>
              </w:rPr>
              <w:drawing>
                <wp:inline distT="0" distB="0" distL="0" distR="0" wp14:anchorId="2DA623D1" wp14:editId="66336E12">
                  <wp:extent cx="2084705" cy="2536190"/>
                  <wp:effectExtent l="19050" t="19050" r="0" b="0"/>
                  <wp:docPr id="10" name="그림 1" descr="공구, 시계,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공구, 시계, 일러스트레이션, 디자인이(가) 표시된 사진&#10;&#10;자동 생성된 설명"/>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76C14962" w14:textId="36B51F3A" w:rsidR="00EA08FF" w:rsidRPr="00A942F6" w:rsidRDefault="00EA08FF">
            <w:pPr>
              <w:widowControl w:val="0"/>
              <w:suppressAutoHyphens/>
              <w:jc w:val="right"/>
              <w:rPr>
                <w:rFonts w:eastAsia="새굴림" w:cs="새굴림"/>
                <w:b/>
                <w:bCs/>
                <w:noProof/>
                <w:lang w:val="nb-NO" w:eastAsia="ko-KR"/>
              </w:rPr>
            </w:pPr>
            <w:r w:rsidRPr="00A942F6">
              <w:rPr>
                <w:rFonts w:eastAsia="새굴림" w:cs="새굴림"/>
                <w:b/>
                <w:lang w:val="nb-NO"/>
              </w:rPr>
              <w:t xml:space="preserve">Figur </w:t>
            </w:r>
            <w:r w:rsidR="000C45E7">
              <w:rPr>
                <w:rFonts w:eastAsia="새굴림" w:cs="새굴림" w:hint="eastAsia"/>
                <w:b/>
                <w:lang w:val="nb-NO" w:eastAsia="ko-KR"/>
              </w:rPr>
              <w:t>E</w:t>
            </w:r>
          </w:p>
        </w:tc>
        <w:tc>
          <w:tcPr>
            <w:tcW w:w="5517" w:type="dxa"/>
          </w:tcPr>
          <w:p w14:paraId="70292E18"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Vent i 30 minutter.</w:t>
            </w:r>
          </w:p>
          <w:p w14:paraId="76DA501E" w14:textId="77777777" w:rsidR="00EA08FF" w:rsidRPr="00A942F6" w:rsidRDefault="00EA08FF">
            <w:pPr>
              <w:widowControl w:val="0"/>
              <w:suppressAutoHyphens/>
              <w:ind w:left="567" w:hanging="567"/>
              <w:rPr>
                <w:rFonts w:eastAsia="새굴림" w:cs="새굴림"/>
                <w:noProof/>
                <w:lang w:val="nb-NO"/>
              </w:rPr>
            </w:pPr>
          </w:p>
          <w:p w14:paraId="3040836A" w14:textId="521F9DC8" w:rsidR="00EA08FF" w:rsidRPr="00A942F6" w:rsidRDefault="00EA08FF" w:rsidP="007814F8">
            <w:pPr>
              <w:pStyle w:val="a4"/>
              <w:numPr>
                <w:ilvl w:val="0"/>
                <w:numId w:val="28"/>
              </w:numPr>
              <w:suppressAutoHyphens/>
              <w:autoSpaceDE/>
              <w:autoSpaceDN/>
              <w:ind w:left="567" w:hanging="567"/>
              <w:rPr>
                <w:rFonts w:eastAsia="DengXian"/>
                <w:noProof/>
                <w:lang w:val="nb-NO"/>
              </w:rPr>
            </w:pPr>
            <w:r w:rsidRPr="00A942F6">
              <w:rPr>
                <w:lang w:val="nb-NO"/>
              </w:rPr>
              <w:t xml:space="preserve">La den ferdigfylte sprøyten ligge i romtemperatur utenfor esken i 30 minutter ved </w:t>
            </w:r>
            <w:r w:rsidR="000B380A">
              <w:rPr>
                <w:rFonts w:eastAsia="맑은 고딕" w:hint="eastAsia"/>
                <w:lang w:val="nb-NO" w:eastAsia="ko-KR"/>
              </w:rPr>
              <w:t>18</w:t>
            </w:r>
            <w:r w:rsidR="000B380A" w:rsidRPr="00A942F6">
              <w:rPr>
                <w:lang w:val="nb-NO"/>
              </w:rPr>
              <w:t> </w:t>
            </w:r>
            <w:r w:rsidRPr="00A942F6">
              <w:rPr>
                <w:lang w:val="nb-NO"/>
              </w:rPr>
              <w:t xml:space="preserve">°C til </w:t>
            </w:r>
            <w:r w:rsidR="000B380A" w:rsidRPr="00A942F6">
              <w:rPr>
                <w:lang w:val="nb-NO"/>
              </w:rPr>
              <w:t>2</w:t>
            </w:r>
            <w:r w:rsidR="000B380A">
              <w:rPr>
                <w:rFonts w:eastAsia="맑은 고딕" w:hint="eastAsia"/>
                <w:lang w:val="nb-NO" w:eastAsia="ko-KR"/>
              </w:rPr>
              <w:t>8</w:t>
            </w:r>
            <w:r w:rsidR="000B380A" w:rsidRPr="00A942F6">
              <w:rPr>
                <w:lang w:val="nb-NO"/>
              </w:rPr>
              <w:t> </w:t>
            </w:r>
            <w:r w:rsidRPr="00A942F6">
              <w:rPr>
                <w:lang w:val="nb-NO"/>
              </w:rPr>
              <w:t xml:space="preserve">°C for å varme den opp (se </w:t>
            </w:r>
            <w:r w:rsidRPr="00A942F6">
              <w:rPr>
                <w:b/>
                <w:lang w:val="nb-NO"/>
              </w:rPr>
              <w:t>figur E</w:t>
            </w:r>
            <w:r w:rsidRPr="00A942F6">
              <w:rPr>
                <w:lang w:val="nb-NO"/>
              </w:rPr>
              <w:t>).</w:t>
            </w:r>
          </w:p>
          <w:p w14:paraId="35FE3E5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varm den ferdigfylte sprøyten ved hjelp av varmekilder som varmt vann eller mikrobølgeovn.</w:t>
            </w:r>
          </w:p>
          <w:p w14:paraId="75AB7336" w14:textId="777C476C"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la den ferdigfylte </w:t>
            </w:r>
            <w:ins w:id="31" w:author="만든 이">
              <w:r w:rsidR="005B1011" w:rsidRPr="00434BCD">
                <w:rPr>
                  <w:rFonts w:cs="Arial"/>
                  <w:lang w:val="sl-SI" w:eastAsia="ko-KR"/>
                </w:rPr>
                <w:t>sprøyten</w:t>
              </w:r>
            </w:ins>
            <w:del w:id="32" w:author="만든 이">
              <w:r w:rsidRPr="00434BCD" w:rsidDel="005B1011">
                <w:rPr>
                  <w:rFonts w:cs="Arial"/>
                  <w:lang w:val="sl-SI" w:eastAsia="ko-KR"/>
                </w:rPr>
                <w:delText>pennen</w:delText>
              </w:r>
            </w:del>
            <w:r w:rsidRPr="00434BCD">
              <w:rPr>
                <w:rFonts w:cs="Arial"/>
                <w:lang w:val="sl-SI" w:eastAsia="ko-KR"/>
              </w:rPr>
              <w:t xml:space="preserve"> varmes opp i direkte sollys.</w:t>
            </w:r>
          </w:p>
          <w:p w14:paraId="4D6FE15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fjern hetten mens den ferdigfylte sprøyten varmes opp til romtemperatur.</w:t>
            </w:r>
          </w:p>
          <w:p w14:paraId="5825ABA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Dersom den ferdigfylte sprøyten ikke har romtemperatur, kan det føre til ubehag, og det kan være vanskeligere å trykke inn stempelet.</w:t>
            </w:r>
          </w:p>
          <w:p w14:paraId="383679E9" w14:textId="77777777" w:rsidR="00EA08FF" w:rsidRPr="00A942F6" w:rsidRDefault="00EA08FF">
            <w:pPr>
              <w:widowControl w:val="0"/>
              <w:rPr>
                <w:rFonts w:eastAsia="새굴림" w:cs="새굴림"/>
                <w:lang w:val="nb-NO"/>
              </w:rPr>
            </w:pPr>
          </w:p>
        </w:tc>
      </w:tr>
      <w:tr w:rsidR="001F0013" w:rsidRPr="00A942F6" w14:paraId="70ED7AA6" w14:textId="77777777">
        <w:trPr>
          <w:cantSplit/>
        </w:trPr>
        <w:tc>
          <w:tcPr>
            <w:tcW w:w="3539" w:type="dxa"/>
          </w:tcPr>
          <w:p w14:paraId="3338A0E5" w14:textId="6E42DFB9" w:rsidR="00EA08FF" w:rsidRPr="00A942F6" w:rsidRDefault="00D94A8B">
            <w:pPr>
              <w:widowControl w:val="0"/>
              <w:suppressAutoHyphens/>
              <w:rPr>
                <w:rFonts w:eastAsia="새굴림" w:cs="새굴림"/>
                <w:noProof/>
                <w:lang w:val="nb-NO"/>
              </w:rPr>
            </w:pPr>
            <w:r>
              <w:rPr>
                <w:rFonts w:eastAsia="새굴림" w:cs="새굴림"/>
                <w:noProof/>
                <w:lang w:eastAsia="ko-KR"/>
              </w:rPr>
              <w:drawing>
                <wp:inline distT="0" distB="0" distL="0" distR="0" wp14:anchorId="08AA5345" wp14:editId="19F85076">
                  <wp:extent cx="2084705" cy="2560320"/>
                  <wp:effectExtent l="19050" t="19050" r="0" b="0"/>
                  <wp:docPr id="11" name="그림 1590965773" descr="스케치, 그림, 검,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90965773" descr="스케치, 그림, 검, 일러스트레이션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84705" cy="2560320"/>
                          </a:xfrm>
                          <a:prstGeom prst="rect">
                            <a:avLst/>
                          </a:prstGeom>
                          <a:noFill/>
                          <a:ln w="9525" cmpd="sng">
                            <a:solidFill>
                              <a:srgbClr val="000000"/>
                            </a:solidFill>
                            <a:miter lim="800000"/>
                            <a:headEnd/>
                            <a:tailEnd/>
                          </a:ln>
                          <a:effectLst/>
                        </pic:spPr>
                      </pic:pic>
                    </a:graphicData>
                  </a:graphic>
                </wp:inline>
              </w:drawing>
            </w:r>
          </w:p>
          <w:p w14:paraId="1E812F9C" w14:textId="3AF77D51" w:rsidR="00EA08FF" w:rsidRPr="00A942F6" w:rsidRDefault="00EA08FF">
            <w:pPr>
              <w:widowControl w:val="0"/>
              <w:suppressAutoHyphens/>
              <w:jc w:val="right"/>
              <w:rPr>
                <w:rFonts w:eastAsia="새굴림" w:cs="새굴림"/>
                <w:b/>
                <w:bCs/>
                <w:noProof/>
                <w:lang w:val="nb-NO" w:eastAsia="ko-KR"/>
              </w:rPr>
            </w:pPr>
            <w:r w:rsidRPr="00A942F6">
              <w:rPr>
                <w:rFonts w:eastAsia="새굴림" w:cs="새굴림"/>
                <w:b/>
                <w:lang w:val="nb-NO"/>
              </w:rPr>
              <w:t xml:space="preserve">Figur </w:t>
            </w:r>
            <w:r w:rsidR="009B076D">
              <w:rPr>
                <w:rFonts w:eastAsia="새굴림" w:cs="새굴림" w:hint="eastAsia"/>
                <w:b/>
                <w:lang w:val="nb-NO" w:eastAsia="ko-KR"/>
              </w:rPr>
              <w:t>F</w:t>
            </w:r>
          </w:p>
        </w:tc>
        <w:tc>
          <w:tcPr>
            <w:tcW w:w="5517" w:type="dxa"/>
          </w:tcPr>
          <w:p w14:paraId="5D0C32E9"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Kontroller legemidlet.</w:t>
            </w:r>
          </w:p>
          <w:p w14:paraId="3809FA2C" w14:textId="77777777" w:rsidR="00EA08FF" w:rsidRPr="00A942F6" w:rsidRDefault="00EA08FF">
            <w:pPr>
              <w:widowControl w:val="0"/>
              <w:suppressAutoHyphens/>
              <w:ind w:left="567" w:hanging="567"/>
              <w:rPr>
                <w:rFonts w:eastAsia="새굴림" w:cs="새굴림"/>
                <w:noProof/>
                <w:lang w:val="nb-NO"/>
              </w:rPr>
            </w:pPr>
          </w:p>
          <w:p w14:paraId="71CF488B" w14:textId="77777777" w:rsidR="00EA08FF" w:rsidRPr="00A942F6" w:rsidRDefault="00EA08FF" w:rsidP="007814F8">
            <w:pPr>
              <w:pStyle w:val="a4"/>
              <w:numPr>
                <w:ilvl w:val="0"/>
                <w:numId w:val="29"/>
              </w:numPr>
              <w:suppressAutoHyphens/>
              <w:autoSpaceDE/>
              <w:autoSpaceDN/>
              <w:ind w:left="567" w:hanging="567"/>
              <w:rPr>
                <w:rFonts w:eastAsia="DengXian"/>
                <w:noProof/>
                <w:lang w:val="nb-NO"/>
              </w:rPr>
            </w:pPr>
            <w:r w:rsidRPr="00A942F6">
              <w:rPr>
                <w:lang w:val="nb-NO"/>
              </w:rPr>
              <w:t>Hold Avtozma-sprøyten med hetten vendt nedover.</w:t>
            </w:r>
          </w:p>
          <w:p w14:paraId="381EDF2D" w14:textId="77777777" w:rsidR="00EA08FF" w:rsidRPr="00A942F6" w:rsidRDefault="00EA08FF" w:rsidP="007814F8">
            <w:pPr>
              <w:pStyle w:val="a4"/>
              <w:numPr>
                <w:ilvl w:val="0"/>
                <w:numId w:val="29"/>
              </w:numPr>
              <w:suppressAutoHyphens/>
              <w:autoSpaceDE/>
              <w:autoSpaceDN/>
              <w:ind w:left="567" w:hanging="567"/>
              <w:rPr>
                <w:rFonts w:eastAsia="DengXian"/>
                <w:noProof/>
                <w:lang w:val="nb-NO"/>
              </w:rPr>
            </w:pPr>
            <w:r w:rsidRPr="00A942F6">
              <w:rPr>
                <w:lang w:val="nb-NO"/>
              </w:rPr>
              <w:t xml:space="preserve">Se på legemidlet og bekreft at væsken er klar og fargeløs til svakt gul, og at den ikke inneholder partikler eller flak (se </w:t>
            </w:r>
            <w:r w:rsidRPr="00A942F6">
              <w:rPr>
                <w:b/>
                <w:lang w:val="nb-NO"/>
              </w:rPr>
              <w:t>figur F</w:t>
            </w:r>
            <w:r w:rsidRPr="00A942F6">
              <w:rPr>
                <w:lang w:val="nb-NO"/>
              </w:rPr>
              <w:t>).</w:t>
            </w:r>
          </w:p>
          <w:p w14:paraId="1364A3B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sprøyten hvis væsken er misfarget, uklar eller inneholder partikler eller ﬂak. Kast den ferdigfylte sprøyten på en sikker måte i en beholder for skarpe gjenstander og bruk en ny sprøyte.</w:t>
            </w:r>
          </w:p>
          <w:p w14:paraId="16EA035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Luftbobler er normalt.</w:t>
            </w:r>
          </w:p>
          <w:p w14:paraId="2A8FFD19" w14:textId="77777777" w:rsidR="00EA08FF" w:rsidRPr="00A942F6" w:rsidRDefault="00EA08FF">
            <w:pPr>
              <w:widowControl w:val="0"/>
              <w:rPr>
                <w:rFonts w:eastAsia="새굴림" w:cs="새굴림"/>
                <w:lang w:val="nb-NO"/>
              </w:rPr>
            </w:pPr>
          </w:p>
        </w:tc>
      </w:tr>
      <w:tr w:rsidR="001F0013" w:rsidRPr="00B477E5" w14:paraId="703FD105" w14:textId="77777777">
        <w:trPr>
          <w:cantSplit/>
        </w:trPr>
        <w:tc>
          <w:tcPr>
            <w:tcW w:w="3539" w:type="dxa"/>
          </w:tcPr>
          <w:p w14:paraId="618738F3" w14:textId="4CCF39BD" w:rsidR="00EA08FF" w:rsidRPr="00A942F6" w:rsidRDefault="00D94A8B">
            <w:pPr>
              <w:widowControl w:val="0"/>
              <w:suppressAutoHyphens/>
              <w:rPr>
                <w:rFonts w:eastAsia="새굴림" w:cs="새굴림"/>
                <w:noProof/>
                <w:lang w:val="nb-NO"/>
              </w:rPr>
            </w:pPr>
            <w:r>
              <w:rPr>
                <w:rFonts w:eastAsia="새굴림" w:cs="새굴림"/>
                <w:noProof/>
                <w:lang w:eastAsia="ko-KR"/>
              </w:rPr>
              <w:lastRenderedPageBreak/>
              <w:drawing>
                <wp:inline distT="0" distB="0" distL="0" distR="0" wp14:anchorId="1A509F1D" wp14:editId="296618B9">
                  <wp:extent cx="2084705" cy="2536190"/>
                  <wp:effectExtent l="19050" t="19050" r="0" b="0"/>
                  <wp:docPr id="12" name="그림 1920431552"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20431552" descr="스케치, 그림, 라인 아트, 아동 미술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1BA0ABDB"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G</w:t>
            </w:r>
          </w:p>
        </w:tc>
        <w:tc>
          <w:tcPr>
            <w:tcW w:w="5517" w:type="dxa"/>
          </w:tcPr>
          <w:p w14:paraId="7DEDA169"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Vask hendene.</w:t>
            </w:r>
          </w:p>
          <w:p w14:paraId="20562378" w14:textId="77777777" w:rsidR="00EA08FF" w:rsidRPr="00A942F6" w:rsidRDefault="00EA08FF">
            <w:pPr>
              <w:widowControl w:val="0"/>
              <w:suppressAutoHyphens/>
              <w:ind w:left="567" w:hanging="567"/>
              <w:rPr>
                <w:rFonts w:eastAsia="새굴림" w:cs="새굴림"/>
                <w:noProof/>
                <w:lang w:val="nb-NO"/>
              </w:rPr>
            </w:pPr>
          </w:p>
          <w:p w14:paraId="239B82D8" w14:textId="77777777" w:rsidR="00EA08FF" w:rsidRPr="00A942F6" w:rsidRDefault="00EA08FF" w:rsidP="007814F8">
            <w:pPr>
              <w:pStyle w:val="a4"/>
              <w:numPr>
                <w:ilvl w:val="0"/>
                <w:numId w:val="30"/>
              </w:numPr>
              <w:suppressAutoHyphens/>
              <w:autoSpaceDE/>
              <w:autoSpaceDN/>
              <w:ind w:left="567" w:hanging="567"/>
              <w:rPr>
                <w:rFonts w:eastAsia="DengXian"/>
                <w:noProof/>
                <w:lang w:val="nb-NO"/>
              </w:rPr>
            </w:pPr>
            <w:r w:rsidRPr="00A942F6">
              <w:rPr>
                <w:lang w:val="nb-NO"/>
              </w:rPr>
              <w:t xml:space="preserve">Vask hendene med såpe og vann, og tørk dem grundig (se </w:t>
            </w:r>
            <w:r w:rsidRPr="00A942F6">
              <w:rPr>
                <w:b/>
                <w:lang w:val="nb-NO"/>
              </w:rPr>
              <w:t>figur G</w:t>
            </w:r>
            <w:r w:rsidRPr="00A942F6">
              <w:rPr>
                <w:lang w:val="nb-NO"/>
              </w:rPr>
              <w:t>).</w:t>
            </w:r>
          </w:p>
          <w:p w14:paraId="1FF7608D" w14:textId="77777777" w:rsidR="00EA08FF" w:rsidRPr="00A942F6" w:rsidRDefault="00EA08FF">
            <w:pPr>
              <w:widowControl w:val="0"/>
              <w:rPr>
                <w:rFonts w:eastAsia="새굴림" w:cs="새굴림"/>
                <w:lang w:val="nb-NO"/>
              </w:rPr>
            </w:pPr>
          </w:p>
        </w:tc>
      </w:tr>
      <w:tr w:rsidR="001F0013" w:rsidRPr="00B477E5" w14:paraId="0DE6320B" w14:textId="77777777">
        <w:trPr>
          <w:cantSplit/>
        </w:trPr>
        <w:tc>
          <w:tcPr>
            <w:tcW w:w="3539" w:type="dxa"/>
          </w:tcPr>
          <w:p w14:paraId="5B4297D0" w14:textId="02EBA011" w:rsidR="00EA08FF" w:rsidRPr="00A942F6" w:rsidRDefault="00D94A8B">
            <w:pPr>
              <w:widowControl w:val="0"/>
              <w:suppressAutoHyphens/>
              <w:rPr>
                <w:rFonts w:eastAsia="새굴림" w:cs="새굴림"/>
                <w:noProof/>
                <w:lang w:val="nb-NO"/>
              </w:rPr>
            </w:pPr>
            <w:r>
              <w:rPr>
                <w:rFonts w:eastAsia="새굴림" w:cs="새굴림"/>
                <w:noProof/>
                <w:lang w:eastAsia="ko-KR"/>
              </w:rPr>
              <w:drawing>
                <wp:inline distT="0" distB="0" distL="0" distR="0" wp14:anchorId="55712A0B" wp14:editId="72069E16">
                  <wp:extent cx="2084705" cy="3328670"/>
                  <wp:effectExtent l="19050" t="19050" r="0" b="5080"/>
                  <wp:docPr id="13" name="그림 1910960139" descr="스케치, 화이트, 그림,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10960139" descr="스케치, 화이트, 그림, 디자인이(가) 표시된 사진&#10;&#10;자동 생성된 설명"/>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4705" cy="3328670"/>
                          </a:xfrm>
                          <a:prstGeom prst="rect">
                            <a:avLst/>
                          </a:prstGeom>
                          <a:noFill/>
                          <a:ln w="9525" cmpd="sng">
                            <a:solidFill>
                              <a:srgbClr val="000000"/>
                            </a:solidFill>
                            <a:miter lim="800000"/>
                            <a:headEnd/>
                            <a:tailEnd/>
                          </a:ln>
                          <a:effectLst/>
                        </pic:spPr>
                      </pic:pic>
                    </a:graphicData>
                  </a:graphic>
                </wp:inline>
              </w:drawing>
            </w:r>
          </w:p>
          <w:p w14:paraId="24C6EF17" w14:textId="0BC794FA"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50048" behindDoc="0" locked="1" layoutInCell="1" allowOverlap="1" wp14:anchorId="78730F8A" wp14:editId="5DE74179">
                      <wp:simplePos x="0" y="0"/>
                      <wp:positionH relativeFrom="column">
                        <wp:posOffset>574675</wp:posOffset>
                      </wp:positionH>
                      <wp:positionV relativeFrom="page">
                        <wp:posOffset>2834005</wp:posOffset>
                      </wp:positionV>
                      <wp:extent cx="1318895" cy="434975"/>
                      <wp:effectExtent l="0" t="0" r="0" b="0"/>
                      <wp:wrapNone/>
                      <wp:docPr id="205893630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895" cy="434975"/>
                              </a:xfrm>
                              <a:prstGeom prst="rect">
                                <a:avLst/>
                              </a:prstGeom>
                              <a:noFill/>
                              <a:ln>
                                <a:noFill/>
                              </a:ln>
                            </wps:spPr>
                            <wps:txbx>
                              <w:txbxContent>
                                <w:p w14:paraId="5F120487" w14:textId="589B4108" w:rsidR="003B558D" w:rsidRPr="009B40A5" w:rsidRDefault="00F862D9" w:rsidP="00EA08FF">
                                  <w:pPr>
                                    <w:rPr>
                                      <w:rFonts w:cs="Times New Roman"/>
                                      <w:b/>
                                      <w:bCs/>
                                      <w:sz w:val="20"/>
                                      <w:szCs w:val="20"/>
                                      <w:lang w:val="nb-NO"/>
                                    </w:rPr>
                                  </w:pPr>
                                  <w:r w:rsidRPr="009B40A5">
                                    <w:rPr>
                                      <w:rFonts w:cs="Times New Roman"/>
                                      <w:b/>
                                      <w:bCs/>
                                      <w:sz w:val="20"/>
                                      <w:szCs w:val="20"/>
                                      <w:lang w:val="nb-NO"/>
                                    </w:rPr>
                                    <w:t>Injeksjon satt selv eller av omsorgsperson/</w:t>
                                  </w:r>
                                  <w:r w:rsidR="00217436" w:rsidRPr="009B40A5">
                                    <w:rPr>
                                      <w:rFonts w:cs="Times New Roman"/>
                                      <w:b/>
                                      <w:bCs/>
                                      <w:sz w:val="20"/>
                                      <w:szCs w:val="20"/>
                                      <w:lang w:val="nb-NO"/>
                                    </w:rPr>
                                    <w:br/>
                                  </w:r>
                                  <w:r w:rsidRPr="009B40A5">
                                    <w:rPr>
                                      <w:rFonts w:cs="Times New Roman"/>
                                      <w:b/>
                                      <w:bCs/>
                                      <w:sz w:val="20"/>
                                      <w:szCs w:val="20"/>
                                      <w:lang w:val="nb-NO"/>
                                    </w:rPr>
                                    <w:t>helsepersonell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730F8A" id="Text Box 69" o:spid="_x0000_s1045" type="#_x0000_t202" style="position:absolute;left:0;text-align:left;margin-left:45.25pt;margin-top:223.15pt;width:103.85pt;height:34.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" filled="f" stroked="f">
                      <v:textbox inset="0,0,0,0">
                        <w:txbxContent>
                          <w:p w14:paraId="5F120487" w14:textId="589B4108" w:rsidR="003B558D" w:rsidRPr="009B40A5" w:rsidRDefault="00F862D9" w:rsidP="00EA08FF">
                            <w:pPr>
                              <w:rPr>
                                <w:rFonts w:cs="Times New Roman"/>
                                <w:b/>
                                <w:bCs/>
                                <w:sz w:val="20"/>
                                <w:szCs w:val="20"/>
                                <w:lang w:val="nb-NO"/>
                              </w:rPr>
                            </w:pPr>
                            <w:r w:rsidRPr="009B40A5">
                              <w:rPr>
                                <w:rFonts w:cs="Times New Roman"/>
                                <w:b/>
                                <w:bCs/>
                                <w:sz w:val="20"/>
                                <w:szCs w:val="20"/>
                                <w:lang w:val="nb-NO"/>
                              </w:rPr>
                              <w:t>Injeksjon satt selv eller av omsorgsperson/</w:t>
                            </w:r>
                            <w:r w:rsidR="00217436" w:rsidRPr="009B40A5">
                              <w:rPr>
                                <w:rFonts w:cs="Times New Roman"/>
                                <w:b/>
                                <w:bCs/>
                                <w:sz w:val="20"/>
                                <w:szCs w:val="20"/>
                                <w:lang w:val="nb-NO"/>
                              </w:rPr>
                              <w:br/>
                            </w:r>
                            <w:r w:rsidRPr="009B40A5">
                              <w:rPr>
                                <w:rFonts w:cs="Times New Roman"/>
                                <w:b/>
                                <w:bCs/>
                                <w:sz w:val="20"/>
                                <w:szCs w:val="20"/>
                                <w:lang w:val="nb-NO"/>
                              </w:rPr>
                              <w:t>helsepersonell</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51072" behindDoc="0" locked="1" layoutInCell="1" allowOverlap="1" wp14:anchorId="467A59B4" wp14:editId="296A39AB">
                      <wp:simplePos x="0" y="0"/>
                      <wp:positionH relativeFrom="column">
                        <wp:posOffset>573405</wp:posOffset>
                      </wp:positionH>
                      <wp:positionV relativeFrom="page">
                        <wp:posOffset>2448560</wp:posOffset>
                      </wp:positionV>
                      <wp:extent cx="1497330" cy="376555"/>
                      <wp:effectExtent l="0" t="0" r="0" b="0"/>
                      <wp:wrapNone/>
                      <wp:docPr id="200253877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376555"/>
                              </a:xfrm>
                              <a:prstGeom prst="rect">
                                <a:avLst/>
                              </a:prstGeom>
                              <a:noFill/>
                              <a:ln>
                                <a:noFill/>
                              </a:ln>
                            </wps:spPr>
                            <wps:txbx>
                              <w:txbxContent>
                                <w:p w14:paraId="5823925D" w14:textId="3D420782" w:rsidR="003B558D" w:rsidRPr="00434BCD" w:rsidRDefault="00F862D9" w:rsidP="00EA08FF">
                                  <w:pPr>
                                    <w:rPr>
                                      <w:rFonts w:cs="Times New Roman"/>
                                      <w:b/>
                                      <w:bCs/>
                                      <w:sz w:val="20"/>
                                      <w:szCs w:val="20"/>
                                    </w:rPr>
                                  </w:pPr>
                                  <w:r w:rsidRPr="00434BCD">
                                    <w:rPr>
                                      <w:rFonts w:cs="Times New Roman"/>
                                      <w:b/>
                                      <w:bCs/>
                                      <w:sz w:val="20"/>
                                      <w:szCs w:val="20"/>
                                    </w:rPr>
                                    <w:t>KUN omsorgsperson og helsepersonell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7A59B4" id="Text Box 67" o:spid="_x0000_s1046" type="#_x0000_t202" style="position:absolute;left:0;text-align:left;margin-left:45.15pt;margin-top:192.8pt;width:117.9pt;height:29.6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" filled="f" stroked="f">
                      <v:textbox inset="0,0,0,0">
                        <w:txbxContent>
                          <w:p w14:paraId="5823925D" w14:textId="3D420782" w:rsidR="003B558D" w:rsidRPr="00434BCD" w:rsidRDefault="00F862D9" w:rsidP="00EA08FF">
                            <w:pPr>
                              <w:rPr>
                                <w:rFonts w:cs="Times New Roman"/>
                                <w:b/>
                                <w:bCs/>
                                <w:sz w:val="20"/>
                                <w:szCs w:val="20"/>
                              </w:rPr>
                            </w:pPr>
                            <w:r w:rsidRPr="00434BCD">
                              <w:rPr>
                                <w:rFonts w:cs="Times New Roman"/>
                                <w:b/>
                                <w:bCs/>
                                <w:sz w:val="20"/>
                                <w:szCs w:val="20"/>
                              </w:rPr>
                              <w:t>KUN omsorgsperson og helsepersonell</w:t>
                            </w:r>
                          </w:p>
                        </w:txbxContent>
                      </v:textbox>
                      <w10:wrap anchory="page"/>
                      <w10:anchorlock/>
                    </v:shape>
                  </w:pict>
                </mc:Fallback>
              </mc:AlternateContent>
            </w:r>
            <w:r w:rsidR="00EA08FF" w:rsidRPr="00A942F6">
              <w:rPr>
                <w:rFonts w:eastAsia="새굴림" w:cs="새굴림"/>
                <w:b/>
                <w:lang w:val="nb-NO"/>
              </w:rPr>
              <w:t>Figur H</w:t>
            </w:r>
          </w:p>
        </w:tc>
        <w:tc>
          <w:tcPr>
            <w:tcW w:w="5517" w:type="dxa"/>
          </w:tcPr>
          <w:p w14:paraId="7ECF07BD"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Velg et egnet injeksjonssted (se figur H).</w:t>
            </w:r>
          </w:p>
          <w:p w14:paraId="6768DB50" w14:textId="77777777" w:rsidR="00EA08FF" w:rsidRPr="00A942F6" w:rsidRDefault="00EA08FF">
            <w:pPr>
              <w:widowControl w:val="0"/>
              <w:rPr>
                <w:rFonts w:eastAsia="새굴림" w:cs="새굴림"/>
                <w:lang w:val="nb-NO"/>
              </w:rPr>
            </w:pPr>
          </w:p>
          <w:p w14:paraId="3CB27D6E" w14:textId="77777777" w:rsidR="00EA08FF" w:rsidRPr="00A942F6" w:rsidRDefault="00EA08FF" w:rsidP="007814F8">
            <w:pPr>
              <w:pStyle w:val="a4"/>
              <w:numPr>
                <w:ilvl w:val="0"/>
                <w:numId w:val="31"/>
              </w:numPr>
              <w:suppressAutoHyphens/>
              <w:autoSpaceDE/>
              <w:autoSpaceDN/>
              <w:ind w:left="567" w:hanging="567"/>
              <w:rPr>
                <w:rFonts w:eastAsia="DengXian"/>
                <w:noProof/>
                <w:lang w:val="nb-NO"/>
              </w:rPr>
            </w:pPr>
            <w:r w:rsidRPr="00A942F6">
              <w:rPr>
                <w:lang w:val="nb-NO"/>
              </w:rPr>
              <w:t xml:space="preserve">Du kan sette injeksjonen i </w:t>
            </w:r>
          </w:p>
          <w:p w14:paraId="2682B7FC" w14:textId="77777777" w:rsidR="00EA08FF" w:rsidRPr="00A942F6" w:rsidRDefault="00EA08FF" w:rsidP="007814F8">
            <w:pPr>
              <w:pStyle w:val="a4"/>
              <w:numPr>
                <w:ilvl w:val="0"/>
                <w:numId w:val="32"/>
              </w:numPr>
              <w:suppressAutoHyphens/>
              <w:autoSpaceDE/>
              <w:autoSpaceDN/>
              <w:ind w:left="1134" w:hanging="567"/>
              <w:rPr>
                <w:rFonts w:eastAsia="DengXian"/>
                <w:noProof/>
                <w:lang w:val="nb-NO"/>
              </w:rPr>
            </w:pPr>
            <w:r w:rsidRPr="00A942F6">
              <w:rPr>
                <w:lang w:val="nb-NO"/>
              </w:rPr>
              <w:t>foran på låret</w:t>
            </w:r>
          </w:p>
          <w:p w14:paraId="7FD8FBE9" w14:textId="77777777" w:rsidR="00EA08FF" w:rsidRPr="00A942F6" w:rsidRDefault="00EA08FF" w:rsidP="007814F8">
            <w:pPr>
              <w:pStyle w:val="a4"/>
              <w:numPr>
                <w:ilvl w:val="0"/>
                <w:numId w:val="32"/>
              </w:numPr>
              <w:suppressAutoHyphens/>
              <w:autoSpaceDE/>
              <w:autoSpaceDN/>
              <w:ind w:left="1134" w:hanging="567"/>
              <w:rPr>
                <w:rFonts w:eastAsia="DengXian"/>
                <w:noProof/>
                <w:lang w:val="nb-NO"/>
              </w:rPr>
            </w:pPr>
            <w:r w:rsidRPr="00A942F6">
              <w:rPr>
                <w:lang w:val="nb-NO"/>
              </w:rPr>
              <w:t>magen, bortsett fra et område på 5 cm rundt navlen</w:t>
            </w:r>
          </w:p>
          <w:p w14:paraId="424510C8" w14:textId="77777777" w:rsidR="00EA08FF" w:rsidRPr="00A942F6" w:rsidRDefault="00EA08FF" w:rsidP="007814F8">
            <w:pPr>
              <w:pStyle w:val="a4"/>
              <w:numPr>
                <w:ilvl w:val="0"/>
                <w:numId w:val="32"/>
              </w:numPr>
              <w:suppressAutoHyphens/>
              <w:autoSpaceDE/>
              <w:autoSpaceDN/>
              <w:ind w:left="1134" w:hanging="567"/>
              <w:rPr>
                <w:rFonts w:eastAsia="DengXian"/>
                <w:noProof/>
                <w:lang w:val="nb-NO"/>
              </w:rPr>
            </w:pPr>
            <w:r w:rsidRPr="00A942F6">
              <w:rPr>
                <w:lang w:val="nb-NO"/>
              </w:rPr>
              <w:t>yttersiden av overarmen (bare hvis du er omsorgsperson eller helsepersonell)</w:t>
            </w:r>
          </w:p>
          <w:p w14:paraId="6EA19B4D"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sett injeksjonen i overarmen selv.</w:t>
            </w:r>
          </w:p>
          <w:p w14:paraId="48CFC039"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Velg et nytt injeksjonssted for hver nye injeksjon, minst 2,5 cm fra forrige injeksjonssted.</w:t>
            </w:r>
          </w:p>
          <w:p w14:paraId="650E303C"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injiser i føflekker, arr, blåmerker eller områder hvor huden er øm, rød eller hard.</w:t>
            </w:r>
          </w:p>
          <w:p w14:paraId="6C5D4C5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sett injeksjonen gjennom klærne.</w:t>
            </w:r>
          </w:p>
          <w:p w14:paraId="524721BD" w14:textId="77777777" w:rsidR="00EA08FF" w:rsidRPr="00A942F6" w:rsidRDefault="00EA08FF">
            <w:pPr>
              <w:widowControl w:val="0"/>
              <w:rPr>
                <w:rFonts w:eastAsia="새굴림" w:cs="새굴림"/>
                <w:lang w:val="nb-NO"/>
              </w:rPr>
            </w:pPr>
          </w:p>
        </w:tc>
      </w:tr>
      <w:tr w:rsidR="001F0013" w:rsidRPr="00B477E5" w14:paraId="0085A660" w14:textId="77777777">
        <w:trPr>
          <w:cantSplit/>
        </w:trPr>
        <w:tc>
          <w:tcPr>
            <w:tcW w:w="3539" w:type="dxa"/>
          </w:tcPr>
          <w:p w14:paraId="531A966E" w14:textId="1F6B6A24" w:rsidR="00EA08FF" w:rsidRPr="00A942F6" w:rsidRDefault="00D94A8B">
            <w:pPr>
              <w:widowControl w:val="0"/>
              <w:suppressAutoHyphens/>
              <w:rPr>
                <w:rFonts w:eastAsia="새굴림" w:cs="새굴림"/>
                <w:noProof/>
                <w:lang w:val="nb-NO"/>
              </w:rPr>
            </w:pPr>
            <w:r>
              <w:rPr>
                <w:rFonts w:eastAsia="새굴림" w:cs="새굴림"/>
                <w:noProof/>
                <w:lang w:eastAsia="ko-KR"/>
              </w:rPr>
              <w:drawing>
                <wp:inline distT="0" distB="0" distL="0" distR="0" wp14:anchorId="51C4DE59" wp14:editId="25B15736">
                  <wp:extent cx="2084705" cy="2536190"/>
                  <wp:effectExtent l="19050" t="19050" r="0" b="0"/>
                  <wp:docPr id="14" name="그림 1185998282"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85998282" descr="스케치, 라인 아트, 클립아트, 그림이(가) 표시된 사진&#10;&#10;자동 생성된 설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3E09C9E9"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I</w:t>
            </w:r>
          </w:p>
        </w:tc>
        <w:tc>
          <w:tcPr>
            <w:tcW w:w="5517" w:type="dxa"/>
          </w:tcPr>
          <w:p w14:paraId="1893C238"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Rens injeksjonsstedet.</w:t>
            </w:r>
          </w:p>
          <w:p w14:paraId="778E9843" w14:textId="77777777" w:rsidR="00EA08FF" w:rsidRPr="00A942F6" w:rsidRDefault="00EA08FF">
            <w:pPr>
              <w:widowControl w:val="0"/>
              <w:suppressAutoHyphens/>
              <w:ind w:left="567" w:hanging="567"/>
              <w:rPr>
                <w:rFonts w:eastAsia="새굴림" w:cs="새굴림"/>
                <w:noProof/>
                <w:lang w:val="nb-NO"/>
              </w:rPr>
            </w:pPr>
          </w:p>
          <w:p w14:paraId="34742BD7" w14:textId="77777777" w:rsidR="00EA08FF" w:rsidRPr="00A942F6" w:rsidRDefault="00EA08FF" w:rsidP="007814F8">
            <w:pPr>
              <w:pStyle w:val="a4"/>
              <w:numPr>
                <w:ilvl w:val="0"/>
                <w:numId w:val="33"/>
              </w:numPr>
              <w:suppressAutoHyphens/>
              <w:autoSpaceDE/>
              <w:autoSpaceDN/>
              <w:ind w:left="567" w:hanging="567"/>
              <w:rPr>
                <w:rFonts w:eastAsia="DengXian"/>
                <w:noProof/>
                <w:lang w:val="nb-NO"/>
              </w:rPr>
            </w:pPr>
            <w:r w:rsidRPr="00A942F6">
              <w:rPr>
                <w:lang w:val="nb-NO"/>
              </w:rPr>
              <w:t xml:space="preserve">Vask injeksjonsstedet med en spritserviett, og la det lufttørke i ca. 10 sekunder (se </w:t>
            </w:r>
            <w:r w:rsidRPr="00A942F6">
              <w:rPr>
                <w:b/>
                <w:lang w:val="nb-NO"/>
              </w:rPr>
              <w:t>figur I</w:t>
            </w:r>
            <w:r w:rsidRPr="00A942F6">
              <w:rPr>
                <w:lang w:val="nb-NO"/>
              </w:rPr>
              <w:t>). Dette vil redusere faren for infeksjon.</w:t>
            </w:r>
          </w:p>
          <w:p w14:paraId="67C2A75A"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rør injeksjonsstedet igjen før du utfører injeksjonen.</w:t>
            </w:r>
          </w:p>
          <w:p w14:paraId="319B1624"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vift eller blås på det rene området.</w:t>
            </w:r>
          </w:p>
          <w:p w14:paraId="25AD32E1" w14:textId="77777777" w:rsidR="00EA08FF" w:rsidRPr="00A942F6" w:rsidRDefault="00EA08FF">
            <w:pPr>
              <w:widowControl w:val="0"/>
              <w:rPr>
                <w:rFonts w:eastAsia="새굴림" w:cs="새굴림"/>
                <w:lang w:val="nb-NO"/>
              </w:rPr>
            </w:pPr>
          </w:p>
        </w:tc>
      </w:tr>
    </w:tbl>
    <w:p w14:paraId="224C730A" w14:textId="77777777" w:rsidR="00EA08FF" w:rsidRPr="00A942F6" w:rsidRDefault="00EA08FF" w:rsidP="00EA08FF">
      <w:pPr>
        <w:rPr>
          <w:lang w:val="nb-NO"/>
        </w:rPr>
      </w:pPr>
    </w:p>
    <w:p w14:paraId="69E60905" w14:textId="77777777" w:rsidR="00EA08FF" w:rsidRPr="00A942F6" w:rsidRDefault="00EA08FF" w:rsidP="00EA08FF">
      <w:pPr>
        <w:keepNext/>
        <w:rPr>
          <w:b/>
          <w:bCs/>
          <w:lang w:val="nb-NO"/>
        </w:rPr>
      </w:pPr>
      <w:r w:rsidRPr="00A942F6">
        <w:rPr>
          <w:b/>
          <w:lang w:val="nb-NO"/>
        </w:rPr>
        <w:lastRenderedPageBreak/>
        <w:t>Administering av injeksjonen</w:t>
      </w:r>
    </w:p>
    <w:p w14:paraId="38F4E79C" w14:textId="77777777" w:rsidR="00EA08FF" w:rsidRPr="00A942F6" w:rsidRDefault="00EA08FF" w:rsidP="00EA08FF">
      <w:pPr>
        <w:keepNext/>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1F0013" w:rsidRPr="00B477E5" w14:paraId="701B1CC0" w14:textId="77777777">
        <w:trPr>
          <w:cantSplit/>
        </w:trPr>
        <w:tc>
          <w:tcPr>
            <w:tcW w:w="3539" w:type="dxa"/>
          </w:tcPr>
          <w:p w14:paraId="2666254A" w14:textId="7F475FF3"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05629BE6" wp14:editId="5C21DBC1">
                  <wp:extent cx="2084705" cy="2536190"/>
                  <wp:effectExtent l="19050" t="19050" r="0" b="0"/>
                  <wp:docPr id="15" name="그림 268006210"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8006210" descr="스케치, 그림, 라인 아트, 클립아트이(가) 표시된 사진&#10;&#10;자동 생성된 설명"/>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37B144A7"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J</w:t>
            </w:r>
          </w:p>
        </w:tc>
        <w:tc>
          <w:tcPr>
            <w:tcW w:w="5517" w:type="dxa"/>
          </w:tcPr>
          <w:p w14:paraId="26A37A0F"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Fjern hetten.</w:t>
            </w:r>
          </w:p>
          <w:p w14:paraId="688E5E8C" w14:textId="77777777" w:rsidR="00EA08FF" w:rsidRPr="00A942F6" w:rsidRDefault="00EA08FF">
            <w:pPr>
              <w:pStyle w:val="Default"/>
              <w:ind w:left="567" w:hanging="567"/>
              <w:rPr>
                <w:rFonts w:ascii="Times New Roman" w:hAnsi="Times New Roman" w:cs="Times New Roman"/>
                <w:sz w:val="22"/>
                <w:szCs w:val="22"/>
              </w:rPr>
            </w:pPr>
          </w:p>
          <w:p w14:paraId="38CE1D8A" w14:textId="77777777" w:rsidR="00EA08FF" w:rsidRPr="00A942F6" w:rsidRDefault="00EA08FF" w:rsidP="007814F8">
            <w:pPr>
              <w:pStyle w:val="a4"/>
              <w:numPr>
                <w:ilvl w:val="0"/>
                <w:numId w:val="34"/>
              </w:numPr>
              <w:autoSpaceDE/>
              <w:autoSpaceDN/>
              <w:ind w:left="567" w:hanging="567"/>
              <w:rPr>
                <w:bCs/>
                <w:lang w:val="nb-NO"/>
              </w:rPr>
            </w:pPr>
            <w:r w:rsidRPr="00A942F6">
              <w:rPr>
                <w:color w:val="231F20"/>
                <w:lang w:val="nb-NO"/>
              </w:rPr>
              <w:t>Hold hoveddelen av den ferdigfylte sprøyten i den ene hånden.</w:t>
            </w:r>
            <w:r w:rsidRPr="00A942F6">
              <w:rPr>
                <w:color w:val="231F20"/>
                <w:lang w:val="nb-NO"/>
              </w:rPr>
              <w:br/>
            </w:r>
            <w:r w:rsidRPr="00A942F6">
              <w:rPr>
                <w:lang w:val="nb-NO"/>
              </w:rPr>
              <w:t xml:space="preserve">Dra hetten forsiktig av med den andre hånden (se </w:t>
            </w:r>
            <w:r w:rsidRPr="00A942F6">
              <w:rPr>
                <w:b/>
                <w:lang w:val="nb-NO"/>
              </w:rPr>
              <w:t>figur J</w:t>
            </w:r>
            <w:r w:rsidRPr="00A942F6">
              <w:rPr>
                <w:lang w:val="nb-NO"/>
              </w:rPr>
              <w:t>).</w:t>
            </w:r>
          </w:p>
          <w:p w14:paraId="56501A90" w14:textId="77777777" w:rsidR="00EA08FF" w:rsidRPr="00A942F6" w:rsidRDefault="00EA08FF">
            <w:pPr>
              <w:pStyle w:val="a4"/>
              <w:ind w:left="567"/>
              <w:rPr>
                <w:bCs/>
                <w:noProof/>
                <w:lang w:val="nb-NO"/>
              </w:rPr>
            </w:pPr>
            <w:r w:rsidRPr="00A942F6">
              <w:rPr>
                <w:i/>
                <w:lang w:val="nb-NO"/>
              </w:rPr>
              <w:t>Merk</w:t>
            </w:r>
            <w:r w:rsidRPr="00A942F6">
              <w:rPr>
                <w:lang w:val="nb-NO"/>
              </w:rPr>
              <w:t>: Dersom du ikke får til å fjerne hetten, må du spørre en omsorgsperson om hjelp eller rådføre deg med helsepersonell.</w:t>
            </w:r>
          </w:p>
          <w:p w14:paraId="5A17E193" w14:textId="77777777" w:rsidR="00EA08FF" w:rsidRPr="00A942F6" w:rsidRDefault="00EA08FF">
            <w:pPr>
              <w:pStyle w:val="a4"/>
              <w:numPr>
                <w:ilvl w:val="12"/>
                <w:numId w:val="0"/>
              </w:numPr>
              <w:ind w:left="567" w:hanging="567"/>
              <w:rPr>
                <w:bCs/>
                <w:noProof/>
                <w:lang w:val="nb-NO" w:eastAsia="ko-KR"/>
              </w:rPr>
            </w:pPr>
          </w:p>
          <w:p w14:paraId="6135A762"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hold i stempelet når du fjerner hetten.</w:t>
            </w:r>
          </w:p>
          <w:p w14:paraId="6263326A"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Du kan se en væskedråpe på kanylespissen. Dette er normalt.</w:t>
            </w:r>
          </w:p>
          <w:p w14:paraId="12920838"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Hvis den ferdigfylte sprøyten ikke brukes innen 5 minutter etter at nålehetten er fjernet, skal den ferdigfylte sprøyten kastes i beholderen for skarpe gjenstander og en ny sprøyte skal brukes.</w:t>
            </w:r>
          </w:p>
          <w:p w14:paraId="0751FB8D" w14:textId="77777777" w:rsidR="00EA08FF" w:rsidRPr="00A942F6" w:rsidRDefault="00EA08FF" w:rsidP="007814F8">
            <w:pPr>
              <w:pStyle w:val="a4"/>
              <w:numPr>
                <w:ilvl w:val="0"/>
                <w:numId w:val="34"/>
              </w:numPr>
              <w:autoSpaceDE/>
              <w:autoSpaceDN/>
              <w:ind w:left="567" w:hanging="567"/>
              <w:rPr>
                <w:lang w:val="nb-NO"/>
              </w:rPr>
            </w:pPr>
            <w:r w:rsidRPr="00A942F6">
              <w:rPr>
                <w:color w:val="231F20"/>
                <w:lang w:val="nb-NO"/>
              </w:rPr>
              <w:t xml:space="preserve">Kast hetten umiddelbart i beholderen for skarpe gjenstander (se </w:t>
            </w:r>
            <w:r w:rsidRPr="00A942F6">
              <w:rPr>
                <w:b/>
                <w:color w:val="231F20"/>
                <w:lang w:val="nb-NO"/>
              </w:rPr>
              <w:t>trinn 14</w:t>
            </w:r>
            <w:r w:rsidRPr="00A942F6">
              <w:rPr>
                <w:color w:val="231F20"/>
                <w:lang w:val="nb-NO"/>
              </w:rPr>
              <w:t xml:space="preserve"> og </w:t>
            </w:r>
            <w:r w:rsidRPr="00A942F6">
              <w:rPr>
                <w:b/>
                <w:color w:val="231F20"/>
                <w:lang w:val="nb-NO"/>
              </w:rPr>
              <w:t xml:space="preserve">Avfallshåndtering av ferdigfylt sprøyte </w:t>
            </w:r>
            <w:r w:rsidRPr="00A942F6">
              <w:rPr>
                <w:color w:val="231F20"/>
                <w:lang w:val="nb-NO"/>
              </w:rPr>
              <w:t xml:space="preserve">og </w:t>
            </w:r>
            <w:r w:rsidRPr="00A942F6">
              <w:rPr>
                <w:b/>
                <w:color w:val="231F20"/>
                <w:lang w:val="nb-NO"/>
              </w:rPr>
              <w:t>figur N</w:t>
            </w:r>
            <w:r w:rsidRPr="00A942F6">
              <w:rPr>
                <w:color w:val="231F20"/>
                <w:lang w:val="nb-NO"/>
              </w:rPr>
              <w:t>)</w:t>
            </w:r>
          </w:p>
          <w:p w14:paraId="6F2C1454" w14:textId="77777777" w:rsidR="00EA08FF" w:rsidRPr="00A942F6" w:rsidRDefault="00EA08FF">
            <w:pPr>
              <w:pStyle w:val="a4"/>
              <w:ind w:left="567" w:hanging="567"/>
              <w:rPr>
                <w:lang w:val="nb-NO"/>
              </w:rPr>
            </w:pPr>
          </w:p>
          <w:p w14:paraId="0914DEF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sett på hetten igjen på den ferdigfylte sprøyten.</w:t>
            </w:r>
          </w:p>
          <w:p w14:paraId="00BB6F26"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rør nålebeskyttelsen som er på tuppen av den ferdigfylte sprøyten, for å unngå uhell med nålestikkskade.</w:t>
            </w:r>
          </w:p>
          <w:p w14:paraId="31A3B31D" w14:textId="77777777" w:rsidR="00EA08FF" w:rsidRPr="00A942F6" w:rsidRDefault="00EA08FF">
            <w:pPr>
              <w:widowControl w:val="0"/>
              <w:rPr>
                <w:rFonts w:eastAsia="새굴림" w:cs="새굴림"/>
                <w:lang w:val="nb-NO"/>
              </w:rPr>
            </w:pPr>
          </w:p>
        </w:tc>
      </w:tr>
      <w:tr w:rsidR="001F0013" w:rsidRPr="00B477E5" w14:paraId="582615E6" w14:textId="77777777">
        <w:trPr>
          <w:cantSplit/>
        </w:trPr>
        <w:tc>
          <w:tcPr>
            <w:tcW w:w="3539" w:type="dxa"/>
          </w:tcPr>
          <w:p w14:paraId="5B2AE673" w14:textId="53C45A89" w:rsidR="00EA08FF" w:rsidRPr="00A942F6" w:rsidRDefault="00D94A8B">
            <w:pPr>
              <w:widowControl w:val="0"/>
              <w:suppressAutoHyphens/>
              <w:jc w:val="right"/>
              <w:rPr>
                <w:rFonts w:eastAsia="새굴림" w:cs="새굴림"/>
                <w:noProof/>
                <w:lang w:val="nb-NO"/>
              </w:rPr>
            </w:pPr>
            <w:r>
              <w:rPr>
                <w:noProof/>
                <w:lang w:eastAsia="ko-KR"/>
              </w:rPr>
              <mc:AlternateContent>
                <mc:Choice Requires="wps">
                  <w:drawing>
                    <wp:anchor distT="45720" distB="45720" distL="114300" distR="114300" simplePos="0" relativeHeight="251653120" behindDoc="0" locked="0" layoutInCell="1" allowOverlap="1" wp14:anchorId="56529321" wp14:editId="2583FE6D">
                      <wp:simplePos x="0" y="0"/>
                      <wp:positionH relativeFrom="column">
                        <wp:posOffset>8255</wp:posOffset>
                      </wp:positionH>
                      <wp:positionV relativeFrom="page">
                        <wp:posOffset>1730375</wp:posOffset>
                      </wp:positionV>
                      <wp:extent cx="1983740" cy="277495"/>
                      <wp:effectExtent l="0" t="0" r="0" b="0"/>
                      <wp:wrapNone/>
                      <wp:docPr id="171621251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a:noFill/>
                              </a:ln>
                            </wps:spPr>
                            <wps:txbx>
                              <w:txbxContent>
                                <w:p w14:paraId="545BDC8D" w14:textId="7863A307" w:rsidR="003B558D" w:rsidRPr="00434BCD" w:rsidRDefault="00F862D9" w:rsidP="00EA08FF">
                                  <w:pPr>
                                    <w:jc w:val="center"/>
                                    <w:rPr>
                                      <w:rFonts w:cs="Times New Roman"/>
                                      <w:b/>
                                      <w:bCs/>
                                      <w:color w:val="FFFFFF"/>
                                      <w:sz w:val="28"/>
                                      <w:szCs w:val="28"/>
                                    </w:rPr>
                                  </w:pPr>
                                  <w:r w:rsidRPr="00434BCD">
                                    <w:rPr>
                                      <w:rFonts w:cs="Times New Roman"/>
                                      <w:b/>
                                      <w:bCs/>
                                      <w:color w:val="FFFFFF"/>
                                      <w:sz w:val="28"/>
                                    </w:rPr>
                                    <w:t>ELLER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529321" id="Text Box 65" o:spid="_x0000_s1047" type="#_x0000_t202" style="position:absolute;left:0;text-align:left;margin-left:.65pt;margin-top:136.25pt;width:156.2pt;height:21.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" filled="f" stroked="f">
                      <v:textbox inset="0,0,0,0">
                        <w:txbxContent>
                          <w:p w14:paraId="545BDC8D" w14:textId="7863A307" w:rsidR="003B558D" w:rsidRPr="00434BCD" w:rsidRDefault="00F862D9" w:rsidP="00EA08FF">
                            <w:pPr>
                              <w:jc w:val="center"/>
                              <w:rPr>
                                <w:rFonts w:cs="Times New Roman"/>
                                <w:b/>
                                <w:bCs/>
                                <w:color w:val="FFFFFF"/>
                                <w:sz w:val="28"/>
                                <w:szCs w:val="28"/>
                              </w:rPr>
                            </w:pPr>
                            <w:r w:rsidRPr="00434BCD">
                              <w:rPr>
                                <w:rFonts w:cs="Times New Roman"/>
                                <w:b/>
                                <w:bCs/>
                                <w:color w:val="FFFFFF"/>
                                <w:sz w:val="28"/>
                              </w:rPr>
                              <w:t>ELLER</w:t>
                            </w:r>
                          </w:p>
                        </w:txbxContent>
                      </v:textbox>
                      <w10:wrap anchory="page"/>
                    </v:shape>
                  </w:pict>
                </mc:Fallback>
              </mc:AlternateContent>
            </w:r>
            <w:r>
              <w:rPr>
                <w:rFonts w:eastAsia="새굴림" w:cs="새굴림"/>
                <w:noProof/>
                <w:lang w:eastAsia="ko-KR"/>
              </w:rPr>
              <w:drawing>
                <wp:inline distT="0" distB="0" distL="0" distR="0" wp14:anchorId="5295DE85" wp14:editId="061B475A">
                  <wp:extent cx="2084705" cy="3584575"/>
                  <wp:effectExtent l="19050" t="19050" r="0" b="0"/>
                  <wp:docPr id="16" name="그림 627406449" descr="그림, 스케치,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27406449" descr="그림, 스케치, 만화 영화, 클립아트이(가) 표시된 사진&#10;&#10;자동 생성된 설명"/>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84705" cy="3584575"/>
                          </a:xfrm>
                          <a:prstGeom prst="rect">
                            <a:avLst/>
                          </a:prstGeom>
                          <a:noFill/>
                          <a:ln w="9525" cmpd="sng">
                            <a:solidFill>
                              <a:srgbClr val="000000"/>
                            </a:solidFill>
                            <a:miter lim="800000"/>
                            <a:headEnd/>
                            <a:tailEnd/>
                          </a:ln>
                          <a:effectLst/>
                        </pic:spPr>
                      </pic:pic>
                    </a:graphicData>
                  </a:graphic>
                </wp:inline>
              </w:drawing>
            </w:r>
          </w:p>
          <w:p w14:paraId="17D7B334" w14:textId="1E905C03"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52096" behindDoc="0" locked="0" layoutInCell="1" allowOverlap="1" wp14:anchorId="20609A64" wp14:editId="302F3852">
                      <wp:simplePos x="0" y="0"/>
                      <wp:positionH relativeFrom="column">
                        <wp:posOffset>950595</wp:posOffset>
                      </wp:positionH>
                      <wp:positionV relativeFrom="page">
                        <wp:posOffset>381635</wp:posOffset>
                      </wp:positionV>
                      <wp:extent cx="629920" cy="408940"/>
                      <wp:effectExtent l="0" t="0" r="0" b="0"/>
                      <wp:wrapNone/>
                      <wp:docPr id="189503963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3626409A" w14:textId="77777777" w:rsidR="003B558D" w:rsidRPr="00434BCD" w:rsidRDefault="003B558D" w:rsidP="00474209">
                                  <w:pPr>
                                    <w:rPr>
                                      <w:rFonts w:cs="Times New Roman"/>
                                      <w:b/>
                                      <w:bCs/>
                                      <w:sz w:val="28"/>
                                      <w:szCs w:val="28"/>
                                    </w:rPr>
                                  </w:pPr>
                                  <w:r w:rsidRPr="00434BCD">
                                    <w:rPr>
                                      <w:rFonts w:cs="Times New Roman"/>
                                      <w:b/>
                                      <w:bCs/>
                                      <w:sz w:val="28"/>
                                    </w:rPr>
                                    <w:t>45°</w:t>
                                  </w:r>
                                </w:p>
                                <w:p w14:paraId="748927CA" w14:textId="77777777" w:rsidR="003B558D" w:rsidRPr="00434BCD" w:rsidRDefault="003B558D" w:rsidP="00EA08FF">
                                  <w:pPr>
                                    <w:rPr>
                                      <w:rFonts w:cs="Times New Roman"/>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609A64" id="Text Box 63" o:spid="_x0000_s1048" type="#_x0000_t202" style="position:absolute;left:0;text-align:left;margin-left:74.85pt;margin-top:30.05pt;width:49.6pt;height:32.2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" filled="f" stroked="f">
                      <v:textbox style="mso-fit-shape-to-text:t" inset="0,0,0,0">
                        <w:txbxContent>
                          <w:p w14:paraId="3626409A" w14:textId="77777777" w:rsidR="003B558D" w:rsidRPr="00434BCD" w:rsidRDefault="003B558D" w:rsidP="00474209">
                            <w:pPr>
                              <w:rPr>
                                <w:rFonts w:cs="Times New Roman"/>
                                <w:b/>
                                <w:bCs/>
                                <w:sz w:val="28"/>
                                <w:szCs w:val="28"/>
                              </w:rPr>
                            </w:pPr>
                            <w:r w:rsidRPr="00434BCD">
                              <w:rPr>
                                <w:rFonts w:cs="Times New Roman"/>
                                <w:b/>
                                <w:bCs/>
                                <w:sz w:val="28"/>
                              </w:rPr>
                              <w:t>45°</w:t>
                            </w:r>
                          </w:p>
                          <w:p w14:paraId="748927CA" w14:textId="77777777" w:rsidR="003B558D" w:rsidRPr="00434BCD" w:rsidRDefault="003B558D" w:rsidP="00EA08FF">
                            <w:pPr>
                              <w:rPr>
                                <w:rFonts w:cs="Times New Roman"/>
                                <w:b/>
                                <w:bCs/>
                                <w:sz w:val="28"/>
                                <w:szCs w:val="28"/>
                              </w:rPr>
                            </w:pPr>
                          </w:p>
                        </w:txbxContent>
                      </v:textbox>
                      <w10:wrap anchory="page"/>
                    </v:shape>
                  </w:pict>
                </mc:Fallback>
              </mc:AlternateContent>
            </w:r>
            <w:r>
              <w:rPr>
                <w:noProof/>
                <w:lang w:eastAsia="ko-KR"/>
              </w:rPr>
              <mc:AlternateContent>
                <mc:Choice Requires="wps">
                  <w:drawing>
                    <wp:anchor distT="45720" distB="45720" distL="114300" distR="114300" simplePos="0" relativeHeight="251654144" behindDoc="0" locked="0" layoutInCell="1" allowOverlap="1" wp14:anchorId="7096A775" wp14:editId="7FECAD08">
                      <wp:simplePos x="0" y="0"/>
                      <wp:positionH relativeFrom="column">
                        <wp:posOffset>422275</wp:posOffset>
                      </wp:positionH>
                      <wp:positionV relativeFrom="page">
                        <wp:posOffset>264160</wp:posOffset>
                      </wp:positionV>
                      <wp:extent cx="629920" cy="408940"/>
                      <wp:effectExtent l="0" t="0" r="0" b="0"/>
                      <wp:wrapNone/>
                      <wp:docPr id="19292774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3C4CCD96" w14:textId="77777777" w:rsidR="003B558D" w:rsidRPr="00434BCD" w:rsidRDefault="003B558D" w:rsidP="00474209">
                                  <w:pPr>
                                    <w:rPr>
                                      <w:rFonts w:cs="Times New Roman"/>
                                      <w:b/>
                                      <w:bCs/>
                                      <w:sz w:val="28"/>
                                      <w:szCs w:val="28"/>
                                    </w:rPr>
                                  </w:pPr>
                                  <w:r w:rsidRPr="00434BCD">
                                    <w:rPr>
                                      <w:rFonts w:cs="Times New Roman"/>
                                      <w:b/>
                                      <w:bCs/>
                                      <w:sz w:val="28"/>
                                    </w:rPr>
                                    <w:t>90°</w:t>
                                  </w:r>
                                </w:p>
                                <w:p w14:paraId="6977D80B" w14:textId="77777777" w:rsidR="003B558D" w:rsidRPr="00434BCD" w:rsidRDefault="003B558D" w:rsidP="00EA08FF">
                                  <w:pPr>
                                    <w:rPr>
                                      <w:rFonts w:cs="Times New Roman"/>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096A775" id="Text Box 61" o:spid="_x0000_s1049" type="#_x0000_t202" style="position:absolute;left:0;text-align:left;margin-left:33.25pt;margin-top:20.8pt;width:49.6pt;height:32.2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" filled="f" stroked="f">
                      <v:textbox style="mso-fit-shape-to-text:t" inset="0,0,0,0">
                        <w:txbxContent>
                          <w:p w14:paraId="3C4CCD96" w14:textId="77777777" w:rsidR="003B558D" w:rsidRPr="00434BCD" w:rsidRDefault="003B558D" w:rsidP="00474209">
                            <w:pPr>
                              <w:rPr>
                                <w:rFonts w:cs="Times New Roman"/>
                                <w:b/>
                                <w:bCs/>
                                <w:sz w:val="28"/>
                                <w:szCs w:val="28"/>
                              </w:rPr>
                            </w:pPr>
                            <w:r w:rsidRPr="00434BCD">
                              <w:rPr>
                                <w:rFonts w:cs="Times New Roman"/>
                                <w:b/>
                                <w:bCs/>
                                <w:sz w:val="28"/>
                              </w:rPr>
                              <w:t>90°</w:t>
                            </w:r>
                          </w:p>
                          <w:p w14:paraId="6977D80B" w14:textId="77777777" w:rsidR="003B558D" w:rsidRPr="00434BCD" w:rsidRDefault="003B558D" w:rsidP="00EA08FF">
                            <w:pPr>
                              <w:rPr>
                                <w:rFonts w:cs="Times New Roman"/>
                                <w:b/>
                                <w:bCs/>
                                <w:sz w:val="28"/>
                                <w:szCs w:val="28"/>
                              </w:rPr>
                            </w:pPr>
                          </w:p>
                        </w:txbxContent>
                      </v:textbox>
                      <w10:wrap anchory="page"/>
                    </v:shape>
                  </w:pict>
                </mc:Fallback>
              </mc:AlternateContent>
            </w:r>
            <w:r>
              <w:rPr>
                <w:noProof/>
                <w:lang w:eastAsia="ko-KR"/>
              </w:rPr>
              <mc:AlternateContent>
                <mc:Choice Requires="wps">
                  <w:drawing>
                    <wp:anchor distT="45720" distB="45720" distL="114300" distR="114300" simplePos="0" relativeHeight="251655168" behindDoc="0" locked="0" layoutInCell="1" allowOverlap="1" wp14:anchorId="385EB4E8" wp14:editId="0F3FCE12">
                      <wp:simplePos x="0" y="0"/>
                      <wp:positionH relativeFrom="column">
                        <wp:posOffset>598170</wp:posOffset>
                      </wp:positionH>
                      <wp:positionV relativeFrom="page">
                        <wp:posOffset>500380</wp:posOffset>
                      </wp:positionV>
                      <wp:extent cx="629920" cy="153035"/>
                      <wp:effectExtent l="0" t="0" r="0" b="0"/>
                      <wp:wrapNone/>
                      <wp:docPr id="64548462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153035"/>
                              </a:xfrm>
                              <a:prstGeom prst="rect">
                                <a:avLst/>
                              </a:prstGeom>
                              <a:noFill/>
                              <a:ln>
                                <a:noFill/>
                              </a:ln>
                            </wps:spPr>
                            <wps:txbx>
                              <w:txbxContent>
                                <w:p w14:paraId="0C3CABFB" w14:textId="77777777" w:rsidR="003B558D" w:rsidRPr="00434BCD" w:rsidRDefault="003B558D" w:rsidP="00EA08FF">
                                  <w:pPr>
                                    <w:rPr>
                                      <w:rFonts w:cs="Times New Roman"/>
                                      <w:b/>
                                      <w:bCs/>
                                      <w:sz w:val="21"/>
                                      <w:szCs w:val="21"/>
                                    </w:rPr>
                                  </w:pPr>
                                  <w:r w:rsidRPr="00434BCD">
                                    <w:rPr>
                                      <w:rFonts w:cs="Times New Roman"/>
                                      <w:b/>
                                      <w:bCs/>
                                      <w:sz w:val="21"/>
                                    </w:rPr>
                                    <w:t>OK</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85EB4E8" id="Text Box 59" o:spid="_x0000_s1050" type="#_x0000_t202" style="position:absolute;left:0;text-align:left;margin-left:47.1pt;margin-top:39.4pt;width:49.6pt;height:12.0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" filled="f" stroked="f">
                      <v:textbox style="mso-fit-shape-to-text:t" inset="0,0,0,0">
                        <w:txbxContent>
                          <w:p w14:paraId="0C3CABFB" w14:textId="77777777" w:rsidR="003B558D" w:rsidRPr="00434BCD" w:rsidRDefault="003B558D" w:rsidP="00EA08FF">
                            <w:pPr>
                              <w:rPr>
                                <w:rFonts w:cs="Times New Roman"/>
                                <w:b/>
                                <w:bCs/>
                                <w:sz w:val="21"/>
                                <w:szCs w:val="21"/>
                              </w:rPr>
                            </w:pPr>
                            <w:r w:rsidRPr="00434BCD">
                              <w:rPr>
                                <w:rFonts w:cs="Times New Roman"/>
                                <w:b/>
                                <w:bCs/>
                                <w:sz w:val="21"/>
                              </w:rPr>
                              <w:t>OK</w:t>
                            </w:r>
                          </w:p>
                        </w:txbxContent>
                      </v:textbox>
                      <w10:wrap anchory="page"/>
                    </v:shape>
                  </w:pict>
                </mc:Fallback>
              </mc:AlternateContent>
            </w:r>
            <w:r>
              <w:rPr>
                <w:noProof/>
                <w:lang w:eastAsia="ko-KR"/>
              </w:rPr>
              <mc:AlternateContent>
                <mc:Choice Requires="wps">
                  <w:drawing>
                    <wp:anchor distT="45720" distB="45720" distL="114300" distR="114300" simplePos="0" relativeHeight="251656192" behindDoc="0" locked="0" layoutInCell="1" allowOverlap="1" wp14:anchorId="47B213D8" wp14:editId="1AF8F6EB">
                      <wp:simplePos x="0" y="0"/>
                      <wp:positionH relativeFrom="column">
                        <wp:posOffset>594360</wp:posOffset>
                      </wp:positionH>
                      <wp:positionV relativeFrom="page">
                        <wp:posOffset>2816225</wp:posOffset>
                      </wp:positionV>
                      <wp:extent cx="629920" cy="408940"/>
                      <wp:effectExtent l="0" t="0" r="0" b="0"/>
                      <wp:wrapNone/>
                      <wp:docPr id="5660624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6FB871DB" w14:textId="77777777" w:rsidR="003B558D" w:rsidRPr="00434BCD" w:rsidRDefault="003B558D" w:rsidP="00E27BA8">
                                  <w:pPr>
                                    <w:rPr>
                                      <w:rFonts w:cs="Times New Roman"/>
                                      <w:b/>
                                      <w:bCs/>
                                      <w:sz w:val="28"/>
                                      <w:szCs w:val="28"/>
                                    </w:rPr>
                                  </w:pPr>
                                  <w:r w:rsidRPr="00434BCD">
                                    <w:rPr>
                                      <w:rFonts w:cs="Times New Roman"/>
                                      <w:b/>
                                      <w:bCs/>
                                      <w:sz w:val="28"/>
                                    </w:rPr>
                                    <w:t>90°</w:t>
                                  </w:r>
                                </w:p>
                                <w:p w14:paraId="11F4D852" w14:textId="77777777" w:rsidR="003B558D" w:rsidRPr="00434BCD" w:rsidRDefault="003B558D" w:rsidP="00EA08FF">
                                  <w:pPr>
                                    <w:rPr>
                                      <w:rFonts w:cs="Times New Roman"/>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7B213D8" id="Text Box 57" o:spid="_x0000_s1051" type="#_x0000_t202" style="position:absolute;left:0;text-align:left;margin-left:46.8pt;margin-top:221.75pt;width:49.6pt;height:32.2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" filled="f" stroked="f">
                      <v:textbox style="mso-fit-shape-to-text:t" inset="0,0,0,0">
                        <w:txbxContent>
                          <w:p w14:paraId="6FB871DB" w14:textId="77777777" w:rsidR="003B558D" w:rsidRPr="00434BCD" w:rsidRDefault="003B558D" w:rsidP="00E27BA8">
                            <w:pPr>
                              <w:rPr>
                                <w:rFonts w:cs="Times New Roman"/>
                                <w:b/>
                                <w:bCs/>
                                <w:sz w:val="28"/>
                                <w:szCs w:val="28"/>
                              </w:rPr>
                            </w:pPr>
                            <w:r w:rsidRPr="00434BCD">
                              <w:rPr>
                                <w:rFonts w:cs="Times New Roman"/>
                                <w:b/>
                                <w:bCs/>
                                <w:sz w:val="28"/>
                              </w:rPr>
                              <w:t>90°</w:t>
                            </w:r>
                          </w:p>
                          <w:p w14:paraId="11F4D852" w14:textId="77777777" w:rsidR="003B558D" w:rsidRPr="00434BCD" w:rsidRDefault="003B558D" w:rsidP="00EA08FF">
                            <w:pPr>
                              <w:rPr>
                                <w:rFonts w:cs="Times New Roman"/>
                                <w:b/>
                                <w:bCs/>
                                <w:sz w:val="28"/>
                                <w:szCs w:val="28"/>
                              </w:rPr>
                            </w:pPr>
                          </w:p>
                        </w:txbxContent>
                      </v:textbox>
                      <w10:wrap anchory="page"/>
                    </v:shape>
                  </w:pict>
                </mc:Fallback>
              </mc:AlternateContent>
            </w:r>
            <w:r>
              <w:rPr>
                <w:noProof/>
                <w:lang w:eastAsia="ko-KR"/>
              </w:rPr>
              <mc:AlternateContent>
                <mc:Choice Requires="wps">
                  <w:drawing>
                    <wp:anchor distT="45720" distB="45720" distL="114300" distR="114300" simplePos="0" relativeHeight="251657216" behindDoc="0" locked="0" layoutInCell="1" allowOverlap="1" wp14:anchorId="634DFFD2" wp14:editId="13B8EA89">
                      <wp:simplePos x="0" y="0"/>
                      <wp:positionH relativeFrom="column">
                        <wp:posOffset>12700</wp:posOffset>
                      </wp:positionH>
                      <wp:positionV relativeFrom="page">
                        <wp:posOffset>2966720</wp:posOffset>
                      </wp:positionV>
                      <wp:extent cx="629920" cy="408940"/>
                      <wp:effectExtent l="0" t="0" r="0" b="0"/>
                      <wp:wrapNone/>
                      <wp:docPr id="14334980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2E65B841" w14:textId="77777777" w:rsidR="003B558D" w:rsidRPr="00434BCD" w:rsidRDefault="003B558D" w:rsidP="00E27BA8">
                                  <w:pPr>
                                    <w:rPr>
                                      <w:rFonts w:cs="Times New Roman"/>
                                      <w:b/>
                                      <w:bCs/>
                                      <w:sz w:val="28"/>
                                      <w:szCs w:val="28"/>
                                    </w:rPr>
                                  </w:pPr>
                                  <w:r w:rsidRPr="00434BCD">
                                    <w:rPr>
                                      <w:rFonts w:cs="Times New Roman"/>
                                      <w:b/>
                                      <w:bCs/>
                                      <w:sz w:val="28"/>
                                    </w:rPr>
                                    <w:t>45°</w:t>
                                  </w:r>
                                </w:p>
                                <w:p w14:paraId="0F5A65DD" w14:textId="77777777" w:rsidR="003B558D" w:rsidRPr="00434BCD" w:rsidRDefault="003B558D" w:rsidP="00EA08FF">
                                  <w:pPr>
                                    <w:rPr>
                                      <w:rFonts w:cs="Times New Roman"/>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34DFFD2" id="Text Box 55" o:spid="_x0000_s1052" type="#_x0000_t202" style="position:absolute;left:0;text-align:left;margin-left:1pt;margin-top:233.6pt;width:49.6pt;height:32.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" filled="f" stroked="f">
                      <v:textbox style="mso-fit-shape-to-text:t" inset="0,0,0,0">
                        <w:txbxContent>
                          <w:p w14:paraId="2E65B841" w14:textId="77777777" w:rsidR="003B558D" w:rsidRPr="00434BCD" w:rsidRDefault="003B558D" w:rsidP="00E27BA8">
                            <w:pPr>
                              <w:rPr>
                                <w:rFonts w:cs="Times New Roman"/>
                                <w:b/>
                                <w:bCs/>
                                <w:sz w:val="28"/>
                                <w:szCs w:val="28"/>
                              </w:rPr>
                            </w:pPr>
                            <w:r w:rsidRPr="00434BCD">
                              <w:rPr>
                                <w:rFonts w:cs="Times New Roman"/>
                                <w:b/>
                                <w:bCs/>
                                <w:sz w:val="28"/>
                              </w:rPr>
                              <w:t>45°</w:t>
                            </w:r>
                          </w:p>
                          <w:p w14:paraId="0F5A65DD" w14:textId="77777777" w:rsidR="003B558D" w:rsidRPr="00434BCD" w:rsidRDefault="003B558D" w:rsidP="00EA08FF">
                            <w:pPr>
                              <w:rPr>
                                <w:rFonts w:cs="Times New Roman"/>
                                <w:b/>
                                <w:bCs/>
                                <w:sz w:val="28"/>
                                <w:szCs w:val="28"/>
                              </w:rPr>
                            </w:pPr>
                          </w:p>
                        </w:txbxContent>
                      </v:textbox>
                      <w10:wrap anchory="page"/>
                    </v:shape>
                  </w:pict>
                </mc:Fallback>
              </mc:AlternateContent>
            </w:r>
            <w:r>
              <w:rPr>
                <w:noProof/>
                <w:lang w:eastAsia="ko-KR"/>
              </w:rPr>
              <mc:AlternateContent>
                <mc:Choice Requires="wps">
                  <w:drawing>
                    <wp:anchor distT="45720" distB="45720" distL="114300" distR="114300" simplePos="0" relativeHeight="251658240" behindDoc="0" locked="0" layoutInCell="1" allowOverlap="1" wp14:anchorId="5AFA5633" wp14:editId="0565D423">
                      <wp:simplePos x="0" y="0"/>
                      <wp:positionH relativeFrom="column">
                        <wp:posOffset>421005</wp:posOffset>
                      </wp:positionH>
                      <wp:positionV relativeFrom="page">
                        <wp:posOffset>3077210</wp:posOffset>
                      </wp:positionV>
                      <wp:extent cx="629920" cy="306705"/>
                      <wp:effectExtent l="0" t="0" r="0" b="0"/>
                      <wp:wrapNone/>
                      <wp:docPr id="23591954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7075C0F2" w14:textId="77777777" w:rsidR="003B558D" w:rsidRPr="00434BCD" w:rsidRDefault="003B558D" w:rsidP="00EA08FF">
                                  <w:pPr>
                                    <w:rPr>
                                      <w:rFonts w:cs="Times New Roman"/>
                                      <w:b/>
                                      <w:bCs/>
                                      <w:sz w:val="21"/>
                                      <w:szCs w:val="21"/>
                                    </w:rPr>
                                  </w:pPr>
                                  <w:r w:rsidRPr="00434BCD">
                                    <w:rPr>
                                      <w:rFonts w:cs="Times New Roman"/>
                                      <w:b/>
                                      <w:bCs/>
                                      <w:sz w:val="21"/>
                                    </w:rPr>
                                    <w:t>OK</w:t>
                                  </w:r>
                                </w:p>
                                <w:p w14:paraId="7077EEE9" w14:textId="77777777" w:rsidR="003B558D" w:rsidRPr="00434BCD" w:rsidRDefault="003B558D" w:rsidP="00EA08FF">
                                  <w:pPr>
                                    <w:rPr>
                                      <w:rFonts w:cs="Times New Roman"/>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AFA5633" id="Text Box 53" o:spid="_x0000_s1053" type="#_x0000_t202" style="position:absolute;left:0;text-align:left;margin-left:33.15pt;margin-top:242.3pt;width:49.6pt;height:24.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" filled="f" stroked="f">
                      <v:textbox style="mso-fit-shape-to-text:t" inset="0,0,0,0">
                        <w:txbxContent>
                          <w:p w14:paraId="7075C0F2" w14:textId="77777777" w:rsidR="003B558D" w:rsidRPr="00434BCD" w:rsidRDefault="003B558D" w:rsidP="00EA08FF">
                            <w:pPr>
                              <w:rPr>
                                <w:rFonts w:cs="Times New Roman"/>
                                <w:b/>
                                <w:bCs/>
                                <w:sz w:val="21"/>
                                <w:szCs w:val="21"/>
                              </w:rPr>
                            </w:pPr>
                            <w:r w:rsidRPr="00434BCD">
                              <w:rPr>
                                <w:rFonts w:cs="Times New Roman"/>
                                <w:b/>
                                <w:bCs/>
                                <w:sz w:val="21"/>
                              </w:rPr>
                              <w:t>OK</w:t>
                            </w:r>
                          </w:p>
                          <w:p w14:paraId="7077EEE9" w14:textId="77777777" w:rsidR="003B558D" w:rsidRPr="00434BCD" w:rsidRDefault="003B558D" w:rsidP="00EA08FF">
                            <w:pPr>
                              <w:rPr>
                                <w:rFonts w:cs="Times New Roman"/>
                                <w:b/>
                                <w:bCs/>
                                <w:sz w:val="21"/>
                                <w:szCs w:val="21"/>
                              </w:rPr>
                            </w:pPr>
                          </w:p>
                        </w:txbxContent>
                      </v:textbox>
                      <w10:wrap anchory="page"/>
                    </v:shape>
                  </w:pict>
                </mc:Fallback>
              </mc:AlternateContent>
            </w:r>
            <w:r w:rsidR="00EA08FF" w:rsidRPr="00A942F6">
              <w:rPr>
                <w:rFonts w:eastAsia="새굴림" w:cs="새굴림"/>
                <w:b/>
                <w:lang w:val="nb-NO"/>
              </w:rPr>
              <w:t>Figur K</w:t>
            </w:r>
          </w:p>
        </w:tc>
        <w:tc>
          <w:tcPr>
            <w:tcW w:w="5517" w:type="dxa"/>
          </w:tcPr>
          <w:p w14:paraId="49029B2C"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Sett inn den ferdigfylte sprøyten på injeksjonstedet.</w:t>
            </w:r>
          </w:p>
          <w:p w14:paraId="0407B331" w14:textId="77777777" w:rsidR="00EA08FF" w:rsidRPr="00A942F6" w:rsidRDefault="00EA08FF">
            <w:pPr>
              <w:pStyle w:val="Default"/>
              <w:ind w:left="567" w:hanging="567"/>
              <w:rPr>
                <w:rFonts w:ascii="Times New Roman" w:hAnsi="Times New Roman" w:cs="Times New Roman"/>
                <w:sz w:val="22"/>
                <w:szCs w:val="22"/>
              </w:rPr>
            </w:pPr>
          </w:p>
          <w:p w14:paraId="367207DD" w14:textId="77777777" w:rsidR="00EA08FF" w:rsidRPr="00A942F6" w:rsidRDefault="00EA08FF" w:rsidP="007814F8">
            <w:pPr>
              <w:pStyle w:val="a4"/>
              <w:numPr>
                <w:ilvl w:val="0"/>
                <w:numId w:val="35"/>
              </w:numPr>
              <w:autoSpaceDE/>
              <w:autoSpaceDN/>
              <w:ind w:left="567" w:hanging="567"/>
              <w:rPr>
                <w:color w:val="231F20"/>
                <w:lang w:val="nb-NO"/>
              </w:rPr>
            </w:pPr>
            <w:r w:rsidRPr="00A942F6">
              <w:rPr>
                <w:color w:val="231F20"/>
                <w:lang w:val="nb-NO"/>
              </w:rPr>
              <w:t>Klem forsiktig sammen en hudfold på injeksjonsstedet med én hånd.</w:t>
            </w:r>
          </w:p>
          <w:p w14:paraId="4FA47171" w14:textId="77777777" w:rsidR="00EA08FF" w:rsidRPr="00A942F6" w:rsidRDefault="00EA08FF">
            <w:pPr>
              <w:pStyle w:val="a4"/>
              <w:ind w:left="567" w:hanging="567"/>
              <w:rPr>
                <w:color w:val="231F20"/>
                <w:lang w:val="nb-NO"/>
              </w:rPr>
            </w:pPr>
          </w:p>
          <w:p w14:paraId="72A0D2D1" w14:textId="77777777" w:rsidR="00EA08FF" w:rsidRPr="00A942F6" w:rsidRDefault="00EA08FF">
            <w:pPr>
              <w:pStyle w:val="a4"/>
              <w:ind w:left="567"/>
              <w:rPr>
                <w:color w:val="231F20"/>
                <w:lang w:val="nb-NO"/>
              </w:rPr>
            </w:pPr>
            <w:r w:rsidRPr="00A942F6">
              <w:rPr>
                <w:i/>
                <w:lang w:val="nb-NO"/>
              </w:rPr>
              <w:t>Merk</w:t>
            </w:r>
            <w:r w:rsidRPr="00A942F6">
              <w:rPr>
                <w:lang w:val="nb-NO"/>
              </w:rPr>
              <w:t xml:space="preserve">: Det er viktig at du klyper i huden for å sikre at du injiserer under huden (i fettvev) men </w:t>
            </w:r>
            <w:r w:rsidRPr="00A942F6">
              <w:rPr>
                <w:color w:val="231F20"/>
                <w:lang w:val="nb-NO"/>
              </w:rPr>
              <w:t>ikke dypere (i muskel).</w:t>
            </w:r>
          </w:p>
          <w:p w14:paraId="1EC482CE" w14:textId="77777777" w:rsidR="00EA08FF" w:rsidRPr="00A942F6" w:rsidRDefault="00EA08FF" w:rsidP="000A2EF9">
            <w:pPr>
              <w:pStyle w:val="a4"/>
              <w:numPr>
                <w:ilvl w:val="12"/>
                <w:numId w:val="0"/>
              </w:numPr>
              <w:ind w:left="567" w:hanging="567"/>
              <w:rPr>
                <w:bCs/>
                <w:noProof/>
                <w:lang w:val="nb-NO" w:eastAsia="ko-KR"/>
              </w:rPr>
            </w:pPr>
          </w:p>
          <w:p w14:paraId="73DADB72"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trekk stempelstangen tilbake under noe som helst tidspunkt.</w:t>
            </w:r>
          </w:p>
          <w:p w14:paraId="2E21909D" w14:textId="77777777" w:rsidR="00EA08FF" w:rsidRPr="00A942F6" w:rsidRDefault="00EA08FF">
            <w:pPr>
              <w:pStyle w:val="a4"/>
              <w:ind w:left="567" w:hanging="567"/>
              <w:rPr>
                <w:color w:val="231F20"/>
                <w:lang w:val="nb-NO"/>
              </w:rPr>
            </w:pPr>
          </w:p>
          <w:p w14:paraId="58B59599" w14:textId="4C21EBA5" w:rsidR="00EA08FF" w:rsidRPr="00A942F6" w:rsidRDefault="00EA08FF" w:rsidP="007814F8">
            <w:pPr>
              <w:pStyle w:val="a4"/>
              <w:numPr>
                <w:ilvl w:val="0"/>
                <w:numId w:val="35"/>
              </w:numPr>
              <w:autoSpaceDE/>
              <w:autoSpaceDN/>
              <w:ind w:left="567" w:hanging="567"/>
              <w:rPr>
                <w:color w:val="231F20"/>
                <w:lang w:val="nb-NO"/>
              </w:rPr>
            </w:pPr>
            <w:r w:rsidRPr="00A942F6">
              <w:rPr>
                <w:color w:val="231F20"/>
                <w:lang w:val="nb-NO"/>
              </w:rPr>
              <w:t>Med en rask “pilkastlignende” bevegelse, setter du nålen helt inn i hudfolden med en vinkel på 45 til 90</w:t>
            </w:r>
            <w:r w:rsidR="001B6A3F">
              <w:rPr>
                <w:color w:val="231F20"/>
                <w:lang w:val="nb-NO"/>
              </w:rPr>
              <w:t> </w:t>
            </w:r>
            <w:r w:rsidRPr="00A942F6">
              <w:rPr>
                <w:color w:val="231F20"/>
                <w:lang w:val="nb-NO"/>
              </w:rPr>
              <w:t xml:space="preserve">grader (se </w:t>
            </w:r>
            <w:r w:rsidRPr="00A942F6">
              <w:rPr>
                <w:b/>
                <w:color w:val="231F20"/>
                <w:lang w:val="nb-NO"/>
              </w:rPr>
              <w:t>figur K</w:t>
            </w:r>
            <w:r w:rsidRPr="00A942F6">
              <w:rPr>
                <w:color w:val="231F20"/>
                <w:lang w:val="nb-NO"/>
              </w:rPr>
              <w:t>).</w:t>
            </w:r>
          </w:p>
          <w:p w14:paraId="4939021F" w14:textId="77777777" w:rsidR="00EA08FF" w:rsidRPr="00A942F6" w:rsidRDefault="00EA08FF">
            <w:pPr>
              <w:pStyle w:val="a4"/>
              <w:ind w:left="567" w:hanging="567"/>
              <w:rPr>
                <w:bCs/>
                <w:i/>
                <w:iCs/>
                <w:noProof/>
                <w:lang w:val="nb-NO" w:eastAsia="ko-KR"/>
              </w:rPr>
            </w:pPr>
          </w:p>
          <w:p w14:paraId="2B133C8D" w14:textId="77777777" w:rsidR="00EA08FF" w:rsidRPr="00A942F6" w:rsidRDefault="00EA08FF">
            <w:pPr>
              <w:pStyle w:val="a4"/>
              <w:ind w:left="567"/>
              <w:rPr>
                <w:bCs/>
                <w:noProof/>
                <w:lang w:val="nb-NO"/>
              </w:rPr>
            </w:pPr>
            <w:r w:rsidRPr="00A942F6">
              <w:rPr>
                <w:i/>
                <w:lang w:val="nb-NO"/>
              </w:rPr>
              <w:t>Merk</w:t>
            </w:r>
            <w:r w:rsidRPr="00A942F6">
              <w:rPr>
                <w:lang w:val="nb-NO"/>
              </w:rPr>
              <w:t>: Det er viktig å velge riktig vinkel for å sikre at legemidlet blir levert under huden (i fettvev), ellers kan injeksjonen være smertefull, og legemidlet virker kanskje ikke.</w:t>
            </w:r>
          </w:p>
          <w:p w14:paraId="1C06A62C" w14:textId="77777777" w:rsidR="00EA08FF" w:rsidRPr="00A942F6" w:rsidRDefault="00EA08FF">
            <w:pPr>
              <w:pStyle w:val="a4"/>
              <w:ind w:left="567" w:hanging="567"/>
              <w:rPr>
                <w:color w:val="231F20"/>
                <w:lang w:val="nb-NO"/>
              </w:rPr>
            </w:pPr>
          </w:p>
          <w:p w14:paraId="46219B42"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rør stempelet mens du stikker kanylen inn i huden.</w:t>
            </w:r>
          </w:p>
          <w:p w14:paraId="124E1270" w14:textId="77777777" w:rsidR="00EA08FF" w:rsidRPr="00A942F6" w:rsidRDefault="00EA08FF">
            <w:pPr>
              <w:widowControl w:val="0"/>
              <w:rPr>
                <w:rFonts w:eastAsia="새굴림" w:cs="새굴림"/>
                <w:lang w:val="nb-NO"/>
              </w:rPr>
            </w:pPr>
          </w:p>
        </w:tc>
      </w:tr>
      <w:tr w:rsidR="001F0013" w:rsidRPr="00A942F6" w14:paraId="78D2CF34" w14:textId="77777777">
        <w:trPr>
          <w:cantSplit/>
        </w:trPr>
        <w:tc>
          <w:tcPr>
            <w:tcW w:w="3539" w:type="dxa"/>
          </w:tcPr>
          <w:p w14:paraId="4822EFC5" w14:textId="582AE3A3" w:rsidR="00EA08FF" w:rsidRPr="00A942F6" w:rsidRDefault="00D94A8B">
            <w:pPr>
              <w:widowControl w:val="0"/>
              <w:suppressAutoHyphens/>
              <w:jc w:val="right"/>
              <w:rPr>
                <w:rFonts w:eastAsia="새굴림" w:cs="새굴림"/>
                <w:noProof/>
                <w:lang w:val="nb-NO"/>
              </w:rPr>
            </w:pPr>
            <w:r>
              <w:rPr>
                <w:rFonts w:eastAsia="새굴림" w:cs="새굴림"/>
                <w:noProof/>
                <w:lang w:eastAsia="ko-KR"/>
              </w:rPr>
              <w:lastRenderedPageBreak/>
              <w:drawing>
                <wp:inline distT="0" distB="0" distL="0" distR="0" wp14:anchorId="712D22D4" wp14:editId="3372F4B0">
                  <wp:extent cx="2121535" cy="2584450"/>
                  <wp:effectExtent l="19050" t="19050" r="0" b="6350"/>
                  <wp:docPr id="17" name="Bilde 5" descr="그림, 클립아트, 스케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그림, 클립아트, 스케치, 만화 영화이(가) 표시된 사진&#10;&#10;자동 생성된 설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21535" cy="2584450"/>
                          </a:xfrm>
                          <a:prstGeom prst="rect">
                            <a:avLst/>
                          </a:prstGeom>
                          <a:noFill/>
                          <a:ln w="9525" cmpd="sng">
                            <a:solidFill>
                              <a:srgbClr val="000000"/>
                            </a:solidFill>
                            <a:miter lim="800000"/>
                            <a:headEnd/>
                            <a:tailEnd/>
                          </a:ln>
                          <a:effectLst/>
                        </pic:spPr>
                      </pic:pic>
                    </a:graphicData>
                  </a:graphic>
                </wp:inline>
              </w:drawing>
            </w:r>
          </w:p>
          <w:p w14:paraId="7F5542E3"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L</w:t>
            </w:r>
          </w:p>
        </w:tc>
        <w:tc>
          <w:tcPr>
            <w:tcW w:w="5517" w:type="dxa"/>
          </w:tcPr>
          <w:p w14:paraId="04F3F501"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Sett injeksjonen.</w:t>
            </w:r>
          </w:p>
          <w:p w14:paraId="1E0AE8A1" w14:textId="77777777" w:rsidR="00EA08FF" w:rsidRPr="00A942F6" w:rsidRDefault="00EA08FF">
            <w:pPr>
              <w:pStyle w:val="Default"/>
              <w:ind w:left="567" w:hanging="567"/>
              <w:rPr>
                <w:rFonts w:ascii="Times New Roman" w:hAnsi="Times New Roman" w:cs="Times New Roman"/>
                <w:sz w:val="22"/>
                <w:szCs w:val="22"/>
              </w:rPr>
            </w:pPr>
          </w:p>
          <w:p w14:paraId="238B23FC" w14:textId="77777777" w:rsidR="00EA08FF" w:rsidRPr="00A942F6" w:rsidRDefault="00EA08FF" w:rsidP="007814F8">
            <w:pPr>
              <w:pStyle w:val="a4"/>
              <w:numPr>
                <w:ilvl w:val="0"/>
                <w:numId w:val="36"/>
              </w:numPr>
              <w:autoSpaceDE/>
              <w:autoSpaceDN/>
              <w:ind w:left="567" w:hanging="567"/>
              <w:rPr>
                <w:bCs/>
                <w:lang w:val="nb-NO"/>
              </w:rPr>
            </w:pPr>
            <w:r w:rsidRPr="00A942F6">
              <w:rPr>
                <w:lang w:val="nb-NO"/>
              </w:rPr>
              <w:t>Når kanylen er stukket inn, slipper du opp den sammenklemte huden.</w:t>
            </w:r>
          </w:p>
          <w:p w14:paraId="2BF03691" w14:textId="77777777" w:rsidR="00EA08FF" w:rsidRPr="00A942F6" w:rsidRDefault="00EA08FF" w:rsidP="007814F8">
            <w:pPr>
              <w:pStyle w:val="a4"/>
              <w:numPr>
                <w:ilvl w:val="0"/>
                <w:numId w:val="36"/>
              </w:numPr>
              <w:autoSpaceDE/>
              <w:autoSpaceDN/>
              <w:ind w:left="567" w:hanging="567"/>
              <w:rPr>
                <w:bCs/>
                <w:lang w:val="nb-NO"/>
              </w:rPr>
            </w:pPr>
            <w:r w:rsidRPr="00A942F6">
              <w:rPr>
                <w:lang w:val="nb-NO"/>
              </w:rPr>
              <w:t xml:space="preserve">Du må trykke stempelet sakte ned til hele dosen av legemidlet er injisert og sprøyten er tom (se </w:t>
            </w:r>
            <w:r w:rsidRPr="00A942F6">
              <w:rPr>
                <w:b/>
                <w:lang w:val="nb-NO"/>
              </w:rPr>
              <w:t>figur L</w:t>
            </w:r>
            <w:r w:rsidRPr="00A942F6">
              <w:rPr>
                <w:lang w:val="nb-NO"/>
              </w:rPr>
              <w:t>).</w:t>
            </w:r>
          </w:p>
          <w:p w14:paraId="396A1F1C" w14:textId="77777777" w:rsidR="00EA08FF" w:rsidRPr="00A942F6" w:rsidRDefault="00EA08FF">
            <w:pPr>
              <w:pStyle w:val="a4"/>
              <w:numPr>
                <w:ilvl w:val="12"/>
                <w:numId w:val="0"/>
              </w:numPr>
              <w:ind w:left="567" w:hanging="567"/>
              <w:rPr>
                <w:bCs/>
                <w:noProof/>
                <w:lang w:val="nb-NO" w:eastAsia="ko-KR"/>
              </w:rPr>
            </w:pPr>
          </w:p>
          <w:p w14:paraId="3738451F"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Hvis stempelet ikke kan trykkes ned, skal den ferdigfylte sprøyten kastes, og en</w:t>
            </w:r>
            <w:del w:id="33" w:author="만든 이">
              <w:r w:rsidRPr="00434BCD" w:rsidDel="005B1011">
                <w:rPr>
                  <w:rFonts w:cs="Arial"/>
                  <w:lang w:val="sl-SI" w:eastAsia="ko-KR"/>
                </w:rPr>
                <w:delText xml:space="preserve"> en</w:delText>
              </w:r>
            </w:del>
            <w:r w:rsidRPr="00434BCD">
              <w:rPr>
                <w:rFonts w:cs="Arial"/>
                <w:lang w:val="sl-SI" w:eastAsia="ko-KR"/>
              </w:rPr>
              <w:t xml:space="preserve"> ny ferdigfylt sprøyte skal brukes.</w:t>
            </w:r>
          </w:p>
          <w:p w14:paraId="04C088D6"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bytt posisjon for den ferdigfylte sprøyten når injeksjonen har startet.</w:t>
            </w:r>
          </w:p>
          <w:p w14:paraId="694E33A9"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Hvis stempelet ikke er trykket helt ned, vil ikke kanylebeskyttelsen strekke seg over og dekke kanylen når den er fjernet.</w:t>
            </w:r>
          </w:p>
          <w:p w14:paraId="7820C3E4"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Fortsett forsiktig hvis kanylen ikke er dekket, og kast sprøyten forsvarlig (se trinn </w:t>
            </w:r>
            <w:r w:rsidRPr="00434BCD">
              <w:rPr>
                <w:rFonts w:cs="Arial"/>
                <w:b/>
                <w:bCs/>
                <w:lang w:val="sl-SI" w:eastAsia="ko-KR"/>
              </w:rPr>
              <w:t>14. Avfallshåndtering av ferdigfylt sprøyte</w:t>
            </w:r>
            <w:r w:rsidRPr="00434BCD">
              <w:rPr>
                <w:rFonts w:cs="Arial"/>
                <w:lang w:val="sl-SI" w:eastAsia="ko-KR"/>
              </w:rPr>
              <w:t>).</w:t>
            </w:r>
          </w:p>
          <w:p w14:paraId="1C07F871" w14:textId="77777777" w:rsidR="00EA08FF" w:rsidRPr="00A942F6" w:rsidRDefault="00EA08FF">
            <w:pPr>
              <w:widowControl w:val="0"/>
              <w:rPr>
                <w:rFonts w:eastAsia="새굴림" w:cs="새굴림"/>
                <w:lang w:val="nb-NO"/>
              </w:rPr>
            </w:pPr>
          </w:p>
        </w:tc>
      </w:tr>
      <w:tr w:rsidR="001F0013" w:rsidRPr="00B477E5" w14:paraId="65ED75B6" w14:textId="77777777">
        <w:trPr>
          <w:cantSplit/>
        </w:trPr>
        <w:tc>
          <w:tcPr>
            <w:tcW w:w="3539" w:type="dxa"/>
          </w:tcPr>
          <w:p w14:paraId="4A63FB05" w14:textId="4CA7F33A"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3FFB1AC3" wp14:editId="68CE47DE">
                  <wp:extent cx="2084705" cy="2572385"/>
                  <wp:effectExtent l="19050" t="19050" r="0" b="0"/>
                  <wp:docPr id="18" name="그림 1861318681" descr="스케치, 그림,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61318681" descr="스케치, 그림, 만화 영화, 클립아트이(가) 표시된 사진&#10;&#10;자동 생성된 설명"/>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4705" cy="2572385"/>
                          </a:xfrm>
                          <a:prstGeom prst="rect">
                            <a:avLst/>
                          </a:prstGeom>
                          <a:noFill/>
                          <a:ln w="9525" cmpd="sng">
                            <a:solidFill>
                              <a:srgbClr val="000000"/>
                            </a:solidFill>
                            <a:miter lim="800000"/>
                            <a:headEnd/>
                            <a:tailEnd/>
                          </a:ln>
                          <a:effectLst/>
                        </pic:spPr>
                      </pic:pic>
                    </a:graphicData>
                  </a:graphic>
                </wp:inline>
              </w:drawing>
            </w:r>
          </w:p>
          <w:p w14:paraId="78A1D5D7"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M</w:t>
            </w:r>
          </w:p>
        </w:tc>
        <w:tc>
          <w:tcPr>
            <w:tcW w:w="5517" w:type="dxa"/>
          </w:tcPr>
          <w:p w14:paraId="73958FF0"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Fjern den ferdigfylte sprøyten fra injeksjonsstedet.</w:t>
            </w:r>
          </w:p>
          <w:p w14:paraId="4BBFEDB0" w14:textId="77777777" w:rsidR="00EA08FF" w:rsidRPr="00A942F6" w:rsidRDefault="00EA08FF">
            <w:pPr>
              <w:pStyle w:val="Default"/>
              <w:ind w:left="567" w:hanging="567"/>
              <w:rPr>
                <w:rFonts w:ascii="Times New Roman" w:hAnsi="Times New Roman" w:cs="Times New Roman"/>
                <w:sz w:val="22"/>
                <w:szCs w:val="22"/>
              </w:rPr>
            </w:pPr>
          </w:p>
          <w:p w14:paraId="1D0E4A63" w14:textId="77777777" w:rsidR="00EA08FF" w:rsidRPr="00A942F6" w:rsidRDefault="00EA08FF" w:rsidP="007814F8">
            <w:pPr>
              <w:pStyle w:val="a4"/>
              <w:numPr>
                <w:ilvl w:val="0"/>
                <w:numId w:val="37"/>
              </w:numPr>
              <w:autoSpaceDE/>
              <w:autoSpaceDN/>
              <w:ind w:left="567" w:hanging="567"/>
              <w:rPr>
                <w:bCs/>
                <w:lang w:val="nb-NO"/>
              </w:rPr>
            </w:pPr>
            <w:r w:rsidRPr="00A942F6">
              <w:rPr>
                <w:lang w:val="nb-NO"/>
              </w:rPr>
              <w:t xml:space="preserve">Når den ferdigfylte sprøyten er tom, kan du fjerne nålen fra injeksjonsstedet og slippe stempelet til hele kanylen er dekket av beskyttelsen (se </w:t>
            </w:r>
            <w:r w:rsidRPr="00A942F6">
              <w:rPr>
                <w:b/>
                <w:lang w:val="nb-NO"/>
              </w:rPr>
              <w:t>figur M</w:t>
            </w:r>
            <w:r w:rsidRPr="00A942F6">
              <w:rPr>
                <w:lang w:val="nb-NO"/>
              </w:rPr>
              <w:t>).</w:t>
            </w:r>
          </w:p>
          <w:p w14:paraId="48487C7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Noe blødning kan forekomme (se trinn </w:t>
            </w:r>
            <w:r w:rsidRPr="00434BCD">
              <w:rPr>
                <w:rFonts w:cs="Arial"/>
                <w:b/>
                <w:bCs/>
                <w:lang w:val="sl-SI" w:eastAsia="ko-KR"/>
              </w:rPr>
              <w:t>13. Behandle injeksjonsstedet</w:t>
            </w:r>
            <w:r w:rsidRPr="00434BCD">
              <w:rPr>
                <w:rFonts w:cs="Arial"/>
                <w:lang w:val="sl-SI" w:eastAsia="ko-KR"/>
              </w:rPr>
              <w:t>).</w:t>
            </w:r>
          </w:p>
          <w:p w14:paraId="1FDB225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Hvis huden kommer i kontakt med legemidlet, må området som har vært i kontakt med legemidlet, vaskes med vann.</w:t>
            </w:r>
          </w:p>
          <w:p w14:paraId="34C23AC7"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sprøyten om igjen.</w:t>
            </w:r>
          </w:p>
          <w:p w14:paraId="1A55BAD6" w14:textId="77777777" w:rsidR="00EA08FF" w:rsidRPr="00A942F6" w:rsidRDefault="00EA08FF">
            <w:pPr>
              <w:widowControl w:val="0"/>
              <w:rPr>
                <w:rFonts w:eastAsia="새굴림" w:cs="새굴림"/>
                <w:lang w:val="nb-NO"/>
              </w:rPr>
            </w:pPr>
          </w:p>
        </w:tc>
      </w:tr>
    </w:tbl>
    <w:p w14:paraId="61C9BC61" w14:textId="77777777" w:rsidR="00EA08FF" w:rsidRPr="00A942F6" w:rsidRDefault="00EA08FF" w:rsidP="00EA08FF">
      <w:pPr>
        <w:rPr>
          <w:lang w:val="nb-NO"/>
        </w:rPr>
      </w:pPr>
    </w:p>
    <w:p w14:paraId="134CB958" w14:textId="77777777" w:rsidR="00EA08FF" w:rsidRPr="00A942F6" w:rsidRDefault="00EA08FF" w:rsidP="00EA08FF">
      <w:pPr>
        <w:keepNext/>
        <w:rPr>
          <w:b/>
          <w:bCs/>
          <w:lang w:val="nb-NO"/>
        </w:rPr>
      </w:pPr>
      <w:r w:rsidRPr="00A942F6">
        <w:rPr>
          <w:b/>
          <w:lang w:val="nb-NO"/>
        </w:rPr>
        <w:t>Etter injeksjonen</w:t>
      </w:r>
    </w:p>
    <w:p w14:paraId="016F3239" w14:textId="77777777" w:rsidR="00EA08FF" w:rsidRPr="00A942F6" w:rsidRDefault="00EA08FF" w:rsidP="00EA08FF">
      <w:pPr>
        <w:keepNext/>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1F0013" w:rsidRPr="00A942F6" w14:paraId="3CE75799" w14:textId="77777777">
        <w:trPr>
          <w:cantSplit/>
        </w:trPr>
        <w:tc>
          <w:tcPr>
            <w:tcW w:w="9056" w:type="dxa"/>
            <w:gridSpan w:val="2"/>
          </w:tcPr>
          <w:p w14:paraId="21E6729A"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Behandle injeksjonsstedet.</w:t>
            </w:r>
          </w:p>
          <w:p w14:paraId="20C732C6" w14:textId="77777777" w:rsidR="00EA08FF" w:rsidRPr="00A942F6" w:rsidRDefault="00EA08FF">
            <w:pPr>
              <w:pStyle w:val="Default"/>
              <w:ind w:left="567" w:hanging="567"/>
              <w:rPr>
                <w:rFonts w:ascii="Times New Roman" w:hAnsi="Times New Roman" w:cs="Times New Roman"/>
                <w:sz w:val="22"/>
                <w:szCs w:val="22"/>
              </w:rPr>
            </w:pPr>
          </w:p>
          <w:p w14:paraId="14F39715" w14:textId="77777777" w:rsidR="00EA08FF" w:rsidRPr="00A942F6" w:rsidRDefault="00EA08FF" w:rsidP="007814F8">
            <w:pPr>
              <w:pStyle w:val="a4"/>
              <w:numPr>
                <w:ilvl w:val="0"/>
                <w:numId w:val="38"/>
              </w:numPr>
              <w:autoSpaceDE/>
              <w:autoSpaceDN/>
              <w:ind w:left="567" w:hanging="567"/>
              <w:rPr>
                <w:bCs/>
                <w:lang w:val="nb-NO"/>
              </w:rPr>
            </w:pPr>
            <w:r w:rsidRPr="00A942F6">
              <w:rPr>
                <w:lang w:val="nb-NO"/>
              </w:rPr>
              <w:t>Hvis det oppstår en liten blødning, behandler du injeksjonsstedet ved å trykke forsiktig, ikke gni, en bomullsdott eller gasbind på stedet, og legge på et plaster om nødvendig.</w:t>
            </w:r>
          </w:p>
          <w:p w14:paraId="5FF7C4D9"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gni på injeksjonsstedet.</w:t>
            </w:r>
          </w:p>
          <w:p w14:paraId="3F47B494" w14:textId="77777777" w:rsidR="00EA08FF" w:rsidRPr="00A942F6" w:rsidRDefault="00EA08FF">
            <w:pPr>
              <w:widowControl w:val="0"/>
              <w:rPr>
                <w:rFonts w:eastAsia="새굴림" w:cs="새굴림"/>
                <w:lang w:val="nb-NO"/>
              </w:rPr>
            </w:pPr>
          </w:p>
        </w:tc>
      </w:tr>
      <w:tr w:rsidR="001F0013" w:rsidRPr="00B477E5" w14:paraId="2805A284" w14:textId="77777777">
        <w:trPr>
          <w:cantSplit/>
        </w:trPr>
        <w:tc>
          <w:tcPr>
            <w:tcW w:w="3539" w:type="dxa"/>
          </w:tcPr>
          <w:p w14:paraId="12186D83" w14:textId="5F08BBC2" w:rsidR="00EA08FF" w:rsidRPr="00A942F6" w:rsidRDefault="00D94A8B">
            <w:pPr>
              <w:widowControl w:val="0"/>
              <w:suppressAutoHyphens/>
              <w:jc w:val="right"/>
              <w:rPr>
                <w:rFonts w:eastAsia="새굴림" w:cs="새굴림"/>
                <w:noProof/>
                <w:lang w:val="nb-NO"/>
              </w:rPr>
            </w:pPr>
            <w:r>
              <w:rPr>
                <w:rFonts w:eastAsia="새굴림" w:cs="새굴림"/>
                <w:noProof/>
                <w:lang w:eastAsia="ko-KR"/>
              </w:rPr>
              <w:lastRenderedPageBreak/>
              <w:drawing>
                <wp:inline distT="0" distB="0" distL="0" distR="0" wp14:anchorId="01075F03" wp14:editId="360D3339">
                  <wp:extent cx="1938655" cy="2536190"/>
                  <wp:effectExtent l="19050" t="19050" r="4445" b="0"/>
                  <wp:docPr id="19" name="그림 2017990357" descr="스케치, 그림, 아동 미술,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17990357" descr="스케치, 그림, 아동 미술, 예술이(가) 표시된 사진&#10;&#10;자동 생성된 설명"/>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38655" cy="2536190"/>
                          </a:xfrm>
                          <a:prstGeom prst="rect">
                            <a:avLst/>
                          </a:prstGeom>
                          <a:noFill/>
                          <a:ln w="9525" cmpd="sng">
                            <a:solidFill>
                              <a:srgbClr val="000000"/>
                            </a:solidFill>
                            <a:miter lim="800000"/>
                            <a:headEnd/>
                            <a:tailEnd/>
                          </a:ln>
                          <a:effectLst/>
                        </pic:spPr>
                      </pic:pic>
                    </a:graphicData>
                  </a:graphic>
                </wp:inline>
              </w:drawing>
            </w:r>
          </w:p>
          <w:p w14:paraId="4E2E07C4"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N</w:t>
            </w:r>
          </w:p>
        </w:tc>
        <w:tc>
          <w:tcPr>
            <w:tcW w:w="5517" w:type="dxa"/>
          </w:tcPr>
          <w:p w14:paraId="56ECC77D" w14:textId="77777777" w:rsidR="00EA08FF" w:rsidRPr="00A942F6" w:rsidRDefault="00EA08FF" w:rsidP="007814F8">
            <w:pPr>
              <w:pStyle w:val="a4"/>
              <w:numPr>
                <w:ilvl w:val="0"/>
                <w:numId w:val="24"/>
              </w:numPr>
              <w:suppressAutoHyphens/>
              <w:autoSpaceDE/>
              <w:autoSpaceDN/>
              <w:ind w:left="567" w:hanging="567"/>
              <w:rPr>
                <w:b/>
                <w:lang w:val="nb-NO"/>
              </w:rPr>
            </w:pPr>
            <w:r w:rsidRPr="00A942F6">
              <w:rPr>
                <w:b/>
                <w:lang w:val="nb-NO"/>
              </w:rPr>
              <w:t>Kast den ferdigfylte sprøyten.</w:t>
            </w:r>
          </w:p>
          <w:p w14:paraId="54ADE5B8" w14:textId="77777777" w:rsidR="00EA08FF" w:rsidRPr="00A942F6" w:rsidRDefault="00EA08FF">
            <w:pPr>
              <w:pStyle w:val="Default"/>
              <w:ind w:left="567" w:hanging="567"/>
              <w:rPr>
                <w:rFonts w:ascii="Times New Roman" w:hAnsi="Times New Roman" w:cs="Times New Roman"/>
                <w:sz w:val="22"/>
                <w:szCs w:val="22"/>
              </w:rPr>
            </w:pPr>
          </w:p>
          <w:p w14:paraId="2E529F7C" w14:textId="0D9E82A5" w:rsidR="00EA08FF" w:rsidRPr="00A942F6" w:rsidRDefault="00EA08FF" w:rsidP="007814F8">
            <w:pPr>
              <w:pStyle w:val="a4"/>
              <w:numPr>
                <w:ilvl w:val="0"/>
                <w:numId w:val="39"/>
              </w:numPr>
              <w:autoSpaceDE/>
              <w:autoSpaceDN/>
              <w:ind w:left="567" w:hanging="567"/>
              <w:rPr>
                <w:bCs/>
                <w:lang w:val="nb-NO"/>
              </w:rPr>
            </w:pPr>
            <w:r w:rsidRPr="00A942F6">
              <w:rPr>
                <w:lang w:val="nb-NO"/>
              </w:rPr>
              <w:t xml:space="preserve">Legg den brukte ferdigfylte sprøyten i </w:t>
            </w:r>
            <w:r w:rsidRPr="00A942F6">
              <w:rPr>
                <w:color w:val="231F20"/>
                <w:lang w:val="nb-NO"/>
              </w:rPr>
              <w:t xml:space="preserve">beholderen for skarpe gjenstander rett etter bruk (se </w:t>
            </w:r>
            <w:r w:rsidRPr="00A942F6">
              <w:rPr>
                <w:b/>
                <w:color w:val="231F20"/>
                <w:lang w:val="nb-NO"/>
              </w:rPr>
              <w:t>figur N)</w:t>
            </w:r>
            <w:r w:rsidRPr="00A942F6">
              <w:rPr>
                <w:lang w:val="nb-NO"/>
              </w:rPr>
              <w:t>.</w:t>
            </w:r>
          </w:p>
          <w:p w14:paraId="32BD1125" w14:textId="77777777" w:rsidR="00EA08FF" w:rsidRPr="00A942F6" w:rsidRDefault="00EA08FF">
            <w:pPr>
              <w:pStyle w:val="a4"/>
              <w:ind w:left="567" w:hanging="567"/>
              <w:rPr>
                <w:bCs/>
                <w:lang w:val="nb-NO"/>
              </w:rPr>
            </w:pPr>
          </w:p>
          <w:p w14:paraId="1A477BA8" w14:textId="77777777" w:rsidR="00EA08FF" w:rsidRPr="00A942F6" w:rsidRDefault="00EA08FF">
            <w:pPr>
              <w:pStyle w:val="a4"/>
              <w:ind w:left="567"/>
              <w:rPr>
                <w:bCs/>
                <w:noProof/>
                <w:lang w:val="nb-NO"/>
              </w:rPr>
            </w:pPr>
            <w:r w:rsidRPr="00A942F6">
              <w:rPr>
                <w:i/>
                <w:lang w:val="nb-NO"/>
              </w:rPr>
              <w:t>Merk</w:t>
            </w:r>
            <w:r w:rsidRPr="00A942F6">
              <w:rPr>
                <w:lang w:val="nb-NO"/>
              </w:rPr>
              <w:t>: Dersom en annen person gir injeksjonen må denne personen også være forsiktig når den ferdigfylte sprøyten trekkes ut og kastes, for å unngå uhell med å skade seg på nålestikk og overføring av infeksjon</w:t>
            </w:r>
            <w:r w:rsidRPr="00A942F6">
              <w:rPr>
                <w:color w:val="231F20"/>
                <w:lang w:val="nb-NO"/>
              </w:rPr>
              <w:t>.</w:t>
            </w:r>
          </w:p>
          <w:p w14:paraId="435F8CE2" w14:textId="77777777" w:rsidR="00EA08FF" w:rsidRPr="00A942F6" w:rsidRDefault="00EA08FF">
            <w:pPr>
              <w:pStyle w:val="a4"/>
              <w:ind w:left="567" w:hanging="567"/>
              <w:rPr>
                <w:bCs/>
                <w:lang w:val="nb-NO"/>
              </w:rPr>
            </w:pPr>
          </w:p>
          <w:p w14:paraId="43ACA46D"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sprøyten på nytt.</w:t>
            </w:r>
          </w:p>
          <w:p w14:paraId="512CB9C5"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sett hetten tilbake på den ferdigfylte sprøyten.</w:t>
            </w:r>
          </w:p>
          <w:p w14:paraId="3BDFA20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kast beholderen for skarpe gjenstander i husholdningsavfallet.</w:t>
            </w:r>
          </w:p>
          <w:p w14:paraId="0D5853E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resirkuler beholderen for skarpe gjenstander.</w:t>
            </w:r>
          </w:p>
          <w:p w14:paraId="109822A2"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Oppbevar Avtozma ferdigfylt sprøyte og avfallsbeholderen utilgjengelig for barn.</w:t>
            </w:r>
          </w:p>
          <w:p w14:paraId="37756689" w14:textId="77777777" w:rsidR="00EA08FF" w:rsidRPr="00A942F6" w:rsidRDefault="00EA08FF">
            <w:pPr>
              <w:pStyle w:val="a4"/>
              <w:ind w:left="567" w:hanging="567"/>
              <w:rPr>
                <w:bCs/>
                <w:lang w:val="nb-NO"/>
              </w:rPr>
            </w:pPr>
          </w:p>
          <w:p w14:paraId="2DEB6CC3" w14:textId="77777777" w:rsidR="00EA08FF" w:rsidRPr="00A942F6" w:rsidRDefault="00EA08FF">
            <w:pPr>
              <w:widowControl w:val="0"/>
              <w:rPr>
                <w:rFonts w:eastAsia="새굴림" w:cs="새굴림"/>
                <w:lang w:val="nb-NO"/>
              </w:rPr>
            </w:pPr>
            <w:r w:rsidRPr="00A942F6">
              <w:rPr>
                <w:rFonts w:eastAsia="새굴림" w:cs="새굴림"/>
                <w:lang w:val="nb-NO"/>
              </w:rPr>
              <w:t>Full beholder håndteres som avtalt med helsepersonell eller apotek. Hvis du ikke har en beholder for skarpe gjenstander, kan du bruke en oppbevaringsboks som kan lukkes og som er punksjonssikker. Ikke anvendt legemiddel samt avfall bør destrueres i overensstemmelse med lokale krav.</w:t>
            </w:r>
          </w:p>
          <w:p w14:paraId="3BB84A42" w14:textId="77777777" w:rsidR="00EA08FF" w:rsidRPr="00A942F6" w:rsidRDefault="00EA08FF">
            <w:pPr>
              <w:widowControl w:val="0"/>
              <w:rPr>
                <w:rFonts w:eastAsia="새굴림" w:cs="새굴림"/>
                <w:lang w:val="nb-NO"/>
              </w:rPr>
            </w:pPr>
          </w:p>
        </w:tc>
      </w:tr>
      <w:tr w:rsidR="001F0013" w:rsidRPr="00B477E5" w14:paraId="59A43804" w14:textId="77777777">
        <w:trPr>
          <w:cantSplit/>
        </w:trPr>
        <w:tc>
          <w:tcPr>
            <w:tcW w:w="9056" w:type="dxa"/>
            <w:gridSpan w:val="2"/>
          </w:tcPr>
          <w:p w14:paraId="7B3861F0" w14:textId="77777777" w:rsidR="00EA08FF" w:rsidRPr="00A942F6" w:rsidRDefault="00EA08FF" w:rsidP="007814F8">
            <w:pPr>
              <w:pStyle w:val="a4"/>
              <w:numPr>
                <w:ilvl w:val="0"/>
                <w:numId w:val="24"/>
              </w:numPr>
              <w:autoSpaceDE/>
              <w:autoSpaceDN/>
              <w:ind w:left="567" w:hanging="567"/>
              <w:rPr>
                <w:b/>
                <w:lang w:val="nb-NO"/>
              </w:rPr>
            </w:pPr>
            <w:r w:rsidRPr="00A942F6">
              <w:rPr>
                <w:b/>
                <w:lang w:val="nb-NO"/>
              </w:rPr>
              <w:t>Hold oversikt over injeksjonene dine.</w:t>
            </w:r>
          </w:p>
          <w:p w14:paraId="3D123909" w14:textId="77777777" w:rsidR="00EA08FF" w:rsidRPr="00A942F6" w:rsidRDefault="00EA08FF">
            <w:pPr>
              <w:pStyle w:val="Default"/>
              <w:ind w:left="567" w:hanging="567"/>
              <w:rPr>
                <w:rFonts w:ascii="Times New Roman" w:hAnsi="Times New Roman" w:cs="Times New Roman"/>
                <w:sz w:val="22"/>
                <w:szCs w:val="22"/>
              </w:rPr>
            </w:pPr>
          </w:p>
          <w:p w14:paraId="7F22EA0E" w14:textId="77777777" w:rsidR="00EA08FF" w:rsidRPr="00A942F6" w:rsidRDefault="00EA08FF" w:rsidP="007814F8">
            <w:pPr>
              <w:pStyle w:val="a4"/>
              <w:numPr>
                <w:ilvl w:val="0"/>
                <w:numId w:val="41"/>
              </w:numPr>
              <w:autoSpaceDE/>
              <w:autoSpaceDN/>
              <w:ind w:left="567" w:hanging="567"/>
              <w:rPr>
                <w:lang w:val="nb-NO"/>
              </w:rPr>
            </w:pPr>
            <w:r w:rsidRPr="00A942F6">
              <w:rPr>
                <w:lang w:val="nb-NO"/>
              </w:rPr>
              <w:t>Skriv ned dato, tid og i hvilket område av kroppen du injiserte.</w:t>
            </w:r>
          </w:p>
          <w:p w14:paraId="797A087A" w14:textId="77777777" w:rsidR="00EA08FF" w:rsidRPr="00A942F6" w:rsidRDefault="00EA08FF">
            <w:pPr>
              <w:widowControl w:val="0"/>
              <w:rPr>
                <w:rFonts w:eastAsia="새굴림" w:cs="새굴림"/>
                <w:lang w:val="nb-NO"/>
              </w:rPr>
            </w:pPr>
          </w:p>
        </w:tc>
      </w:tr>
    </w:tbl>
    <w:p w14:paraId="0C05C97F" w14:textId="77777777" w:rsidR="004A425F" w:rsidRPr="00A942F6" w:rsidRDefault="004A425F" w:rsidP="00641834">
      <w:pPr>
        <w:rPr>
          <w:lang w:val="nb-NO"/>
        </w:rPr>
      </w:pPr>
    </w:p>
    <w:p w14:paraId="458DA37B" w14:textId="2B832C9E" w:rsidR="00F11249" w:rsidRPr="00A942F6" w:rsidRDefault="00F11249" w:rsidP="003F072B">
      <w:pPr>
        <w:jc w:val="center"/>
        <w:rPr>
          <w:lang w:val="nb-NO"/>
        </w:rPr>
      </w:pPr>
      <w:r w:rsidRPr="00A942F6">
        <w:rPr>
          <w:lang w:val="nb-NO"/>
        </w:rPr>
        <w:br w:type="page"/>
      </w:r>
      <w:r w:rsidRPr="003F072B">
        <w:rPr>
          <w:b/>
          <w:bCs/>
          <w:lang w:val="nb-NO"/>
        </w:rPr>
        <w:lastRenderedPageBreak/>
        <w:t>Pakningsvedlegg: Informasjon til brukeren</w:t>
      </w:r>
    </w:p>
    <w:p w14:paraId="65C57ABA" w14:textId="77777777" w:rsidR="00F11249" w:rsidRPr="00A942F6" w:rsidRDefault="00F11249" w:rsidP="00641834">
      <w:pPr>
        <w:rPr>
          <w:lang w:val="nb-NO"/>
        </w:rPr>
      </w:pPr>
    </w:p>
    <w:p w14:paraId="640211A0" w14:textId="042453C9" w:rsidR="00F11249" w:rsidRPr="00A942F6" w:rsidRDefault="00923E68" w:rsidP="00641834">
      <w:pPr>
        <w:pStyle w:val="Boldcenter"/>
        <w:rPr>
          <w:lang w:val="nb-NO"/>
        </w:rPr>
      </w:pPr>
      <w:r w:rsidRPr="00A942F6">
        <w:rPr>
          <w:lang w:val="nb-NO"/>
        </w:rPr>
        <w:t>Avtozma</w:t>
      </w:r>
      <w:r w:rsidR="00F11249" w:rsidRPr="00A942F6">
        <w:rPr>
          <w:lang w:val="nb-NO"/>
        </w:rPr>
        <w:t xml:space="preserve"> 162 mg injeksjonsvæske, oppløsning i ferdigfylt penn</w:t>
      </w:r>
    </w:p>
    <w:p w14:paraId="3E6B2215" w14:textId="77777777" w:rsidR="00F11249" w:rsidRPr="00A942F6" w:rsidRDefault="00F11249" w:rsidP="00641834">
      <w:pPr>
        <w:jc w:val="center"/>
        <w:rPr>
          <w:lang w:val="nb-NO"/>
        </w:rPr>
      </w:pPr>
      <w:r w:rsidRPr="00A942F6">
        <w:rPr>
          <w:lang w:val="nb-NO"/>
        </w:rPr>
        <w:t>tocilizumab</w:t>
      </w:r>
    </w:p>
    <w:p w14:paraId="2F075C3E" w14:textId="77777777" w:rsidR="00EA08FF" w:rsidRPr="00A942F6" w:rsidRDefault="00EA08FF" w:rsidP="00EA08FF">
      <w:pPr>
        <w:rPr>
          <w:lang w:val="nb-NO"/>
        </w:rPr>
      </w:pPr>
    </w:p>
    <w:p w14:paraId="486A7D7B" w14:textId="241BDD72" w:rsidR="00EA08FF" w:rsidRPr="00A942F6" w:rsidRDefault="00D94A8B" w:rsidP="00EA08FF">
      <w:pPr>
        <w:rPr>
          <w:lang w:val="nb-NO"/>
        </w:rPr>
      </w:pPr>
      <w:r>
        <w:rPr>
          <w:noProof/>
          <w:lang w:eastAsia="ko-KR"/>
        </w:rPr>
        <w:drawing>
          <wp:inline distT="0" distB="0" distL="0" distR="0" wp14:anchorId="1BC1A193" wp14:editId="60B1E7F0">
            <wp:extent cx="207010" cy="170815"/>
            <wp:effectExtent l="0" t="0" r="0" b="0"/>
            <wp:docPr id="20" name="Bild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10" cy="170815"/>
                    </a:xfrm>
                    <a:prstGeom prst="rect">
                      <a:avLst/>
                    </a:prstGeom>
                    <a:noFill/>
                    <a:ln>
                      <a:noFill/>
                    </a:ln>
                  </pic:spPr>
                </pic:pic>
              </a:graphicData>
            </a:graphic>
          </wp:inline>
        </w:drawing>
      </w:r>
      <w:r w:rsidR="00EA08FF" w:rsidRPr="00A942F6">
        <w:rPr>
          <w:lang w:val="nb-NO"/>
        </w:rPr>
        <w:t>Dette legemidlet er underlagt særlig overvåking for å oppdage ny sikkerhetsinformasjon så raskt som mulig. Du kan bidra ved å melde enhver mistenkt bivirkning. Se avsnitt 4 for informasjon om hvordan du melder bivirkninger.</w:t>
      </w:r>
    </w:p>
    <w:p w14:paraId="385CB20C" w14:textId="77777777" w:rsidR="00F11249" w:rsidRPr="00A942F6" w:rsidRDefault="00F11249" w:rsidP="00641834">
      <w:pPr>
        <w:rPr>
          <w:lang w:val="nb-NO"/>
        </w:rPr>
      </w:pPr>
    </w:p>
    <w:p w14:paraId="57275272" w14:textId="77777777" w:rsidR="00F11249" w:rsidRPr="00A942F6" w:rsidRDefault="00F11249" w:rsidP="00641834">
      <w:pPr>
        <w:pStyle w:val="bold"/>
        <w:rPr>
          <w:lang w:val="nb-NO"/>
        </w:rPr>
      </w:pPr>
      <w:r w:rsidRPr="00A942F6">
        <w:rPr>
          <w:lang w:val="nb-NO"/>
        </w:rPr>
        <w:t>Les nøye gjennom dette pakningsvedlegget før du begynner å bruke dette legemidlet. Det inneholder informasjon som er viktig for deg.</w:t>
      </w:r>
    </w:p>
    <w:p w14:paraId="1A92C252" w14:textId="77777777" w:rsidR="00DF3AE4" w:rsidRPr="00A942F6" w:rsidRDefault="00DF3AE4" w:rsidP="00641834">
      <w:pPr>
        <w:rPr>
          <w:lang w:val="nb-NO"/>
        </w:rPr>
      </w:pPr>
    </w:p>
    <w:p w14:paraId="0B3594A4" w14:textId="77777777" w:rsidR="00F11249" w:rsidRPr="00A942F6" w:rsidRDefault="00F11249" w:rsidP="00641834">
      <w:pPr>
        <w:pStyle w:val="Bullet1cm"/>
        <w:rPr>
          <w:lang w:val="nb-NO"/>
        </w:rPr>
      </w:pPr>
      <w:r w:rsidRPr="00A942F6">
        <w:rPr>
          <w:lang w:val="nb-NO"/>
        </w:rPr>
        <w:t>Ta vare på dette pakningsvedlegget. Du kan få behov for å lese det igjen.</w:t>
      </w:r>
    </w:p>
    <w:p w14:paraId="21940AAE" w14:textId="77777777" w:rsidR="00F11249" w:rsidRPr="00A942F6" w:rsidRDefault="00F11249" w:rsidP="00641834">
      <w:pPr>
        <w:pStyle w:val="Bullet1cm"/>
        <w:rPr>
          <w:lang w:val="nb-NO"/>
        </w:rPr>
      </w:pPr>
      <w:r w:rsidRPr="00A942F6">
        <w:rPr>
          <w:lang w:val="nb-NO"/>
        </w:rPr>
        <w:t>Spør lege, apotek eller sykepleier hvis du har flere spørsmål eller trenger mer informasjon.</w:t>
      </w:r>
    </w:p>
    <w:p w14:paraId="476A8A67" w14:textId="77777777" w:rsidR="00F11249" w:rsidRPr="00A942F6" w:rsidRDefault="00F11249" w:rsidP="00641834">
      <w:pPr>
        <w:pStyle w:val="Bullet1cm"/>
        <w:rPr>
          <w:lang w:val="nb-NO"/>
        </w:rPr>
      </w:pPr>
      <w:r w:rsidRPr="00A942F6">
        <w:rPr>
          <w:lang w:val="nb-NO"/>
        </w:rPr>
        <w:t>Dette legemidlet er skrevet ut kun til deg. Ikke gi det videre til andre. Det kan skade dem, selv om de har symptomer på sykdom som ligner dine.</w:t>
      </w:r>
    </w:p>
    <w:p w14:paraId="5D4C7F69" w14:textId="77777777" w:rsidR="00F11249" w:rsidRPr="00A942F6" w:rsidRDefault="00F11249" w:rsidP="00641834">
      <w:pPr>
        <w:pStyle w:val="Bullet1cm"/>
        <w:rPr>
          <w:lang w:val="nb-NO"/>
        </w:rPr>
      </w:pPr>
      <w:r w:rsidRPr="00A942F6">
        <w:rPr>
          <w:lang w:val="nb-NO"/>
        </w:rPr>
        <w:t>Kontakt lege, apotek eller sykepleier dersom du opplever bivirkninger, inkludert mulige bivirkninger som ikke er nevnt i dette pakningsvedlegget. Se avsnitt 4.</w:t>
      </w:r>
    </w:p>
    <w:p w14:paraId="5AC0D1DC" w14:textId="77777777" w:rsidR="00DF3AE4" w:rsidRPr="00A942F6" w:rsidRDefault="00DF3AE4" w:rsidP="00641834">
      <w:pPr>
        <w:rPr>
          <w:lang w:val="nb-NO"/>
        </w:rPr>
      </w:pPr>
    </w:p>
    <w:p w14:paraId="323FC249" w14:textId="00AF081C" w:rsidR="00F11249" w:rsidRPr="00A942F6" w:rsidRDefault="00F11249" w:rsidP="00641834">
      <w:pPr>
        <w:rPr>
          <w:lang w:val="nb-NO"/>
        </w:rPr>
      </w:pPr>
      <w:r w:rsidRPr="00A942F6">
        <w:rPr>
          <w:lang w:val="nb-NO"/>
        </w:rPr>
        <w:t xml:space="preserve">I tillegg til dette pakningsvedlegget vil du få et pasientkort som inneholder viktig sikkerhetsinformasjon som du må være oppmerksom på før og under behandling med </w:t>
      </w:r>
      <w:r w:rsidR="00923E68" w:rsidRPr="00A942F6">
        <w:rPr>
          <w:lang w:val="nb-NO"/>
        </w:rPr>
        <w:t>Avtozma</w:t>
      </w:r>
      <w:r w:rsidRPr="00A942F6">
        <w:rPr>
          <w:lang w:val="nb-NO"/>
        </w:rPr>
        <w:t>.</w:t>
      </w:r>
    </w:p>
    <w:p w14:paraId="530D2A6F" w14:textId="77777777" w:rsidR="00F11249" w:rsidRPr="00A942F6" w:rsidRDefault="00F11249" w:rsidP="00641834">
      <w:pPr>
        <w:rPr>
          <w:lang w:val="nb-NO"/>
        </w:rPr>
      </w:pPr>
    </w:p>
    <w:p w14:paraId="3B21BBD7" w14:textId="77777777" w:rsidR="00F11249" w:rsidRPr="00A942F6" w:rsidRDefault="00F11249" w:rsidP="00641834">
      <w:pPr>
        <w:pStyle w:val="bold"/>
        <w:rPr>
          <w:lang w:val="nb-NO"/>
        </w:rPr>
      </w:pPr>
      <w:r w:rsidRPr="00A942F6">
        <w:rPr>
          <w:lang w:val="nb-NO"/>
        </w:rPr>
        <w:t>I dette pakningsvedlegget finner du informasjon om:</w:t>
      </w:r>
    </w:p>
    <w:p w14:paraId="183006F1" w14:textId="55D6D597" w:rsidR="00F11249" w:rsidRPr="00A942F6" w:rsidRDefault="00F11249" w:rsidP="007814F8">
      <w:pPr>
        <w:pStyle w:val="a5"/>
        <w:numPr>
          <w:ilvl w:val="6"/>
          <w:numId w:val="19"/>
        </w:numPr>
        <w:ind w:left="567" w:hanging="567"/>
        <w:rPr>
          <w:lang w:val="nb-NO"/>
        </w:rPr>
      </w:pPr>
      <w:r w:rsidRPr="00A942F6">
        <w:rPr>
          <w:lang w:val="nb-NO"/>
        </w:rPr>
        <w:t xml:space="preserve">Hva </w:t>
      </w:r>
      <w:r w:rsidR="00923E68" w:rsidRPr="00A942F6">
        <w:rPr>
          <w:lang w:val="nb-NO"/>
        </w:rPr>
        <w:t>Avtozma</w:t>
      </w:r>
      <w:r w:rsidRPr="00A942F6">
        <w:rPr>
          <w:lang w:val="nb-NO"/>
        </w:rPr>
        <w:t xml:space="preserve"> er og hva det brukes mot</w:t>
      </w:r>
    </w:p>
    <w:p w14:paraId="05870B3E" w14:textId="2DCCDD45" w:rsidR="00F11249" w:rsidRPr="00A942F6" w:rsidRDefault="00F11249" w:rsidP="00641834">
      <w:pPr>
        <w:pStyle w:val="a5"/>
        <w:numPr>
          <w:ilvl w:val="6"/>
          <w:numId w:val="11"/>
        </w:numPr>
        <w:ind w:left="567" w:hanging="567"/>
        <w:rPr>
          <w:lang w:val="nb-NO"/>
        </w:rPr>
      </w:pPr>
      <w:r w:rsidRPr="00A942F6">
        <w:rPr>
          <w:lang w:val="nb-NO"/>
        </w:rPr>
        <w:t xml:space="preserve">Hva du må vite før du bruker </w:t>
      </w:r>
      <w:r w:rsidR="00923E68" w:rsidRPr="00A942F6">
        <w:rPr>
          <w:lang w:val="nb-NO"/>
        </w:rPr>
        <w:t>Avtozma</w:t>
      </w:r>
    </w:p>
    <w:p w14:paraId="28C70C23" w14:textId="27517616" w:rsidR="00F11249" w:rsidRPr="00A942F6" w:rsidRDefault="00F11249" w:rsidP="00641834">
      <w:pPr>
        <w:pStyle w:val="a5"/>
        <w:numPr>
          <w:ilvl w:val="6"/>
          <w:numId w:val="11"/>
        </w:numPr>
        <w:ind w:left="567" w:hanging="567"/>
        <w:rPr>
          <w:lang w:val="nb-NO"/>
        </w:rPr>
      </w:pPr>
      <w:r w:rsidRPr="00A942F6">
        <w:rPr>
          <w:lang w:val="nb-NO"/>
        </w:rPr>
        <w:t xml:space="preserve">Hvordan du bruker </w:t>
      </w:r>
      <w:r w:rsidR="00923E68" w:rsidRPr="00A942F6">
        <w:rPr>
          <w:lang w:val="nb-NO"/>
        </w:rPr>
        <w:t>Avtozma</w:t>
      </w:r>
    </w:p>
    <w:p w14:paraId="7729608C" w14:textId="77777777" w:rsidR="00F11249" w:rsidRPr="00A942F6" w:rsidRDefault="00F11249" w:rsidP="00641834">
      <w:pPr>
        <w:pStyle w:val="a5"/>
        <w:numPr>
          <w:ilvl w:val="6"/>
          <w:numId w:val="11"/>
        </w:numPr>
        <w:ind w:left="567" w:hanging="567"/>
        <w:rPr>
          <w:lang w:val="nb-NO"/>
        </w:rPr>
      </w:pPr>
      <w:r w:rsidRPr="00A942F6">
        <w:rPr>
          <w:lang w:val="nb-NO"/>
        </w:rPr>
        <w:t>Mulige bivirkninger</w:t>
      </w:r>
    </w:p>
    <w:p w14:paraId="0969BFCB" w14:textId="7B2BF18C" w:rsidR="00F11249" w:rsidRPr="00A942F6" w:rsidRDefault="00F11249" w:rsidP="00641834">
      <w:pPr>
        <w:pStyle w:val="a5"/>
        <w:numPr>
          <w:ilvl w:val="6"/>
          <w:numId w:val="11"/>
        </w:numPr>
        <w:ind w:left="567" w:hanging="567"/>
        <w:rPr>
          <w:lang w:val="nb-NO"/>
        </w:rPr>
      </w:pPr>
      <w:r w:rsidRPr="00A942F6">
        <w:rPr>
          <w:lang w:val="nb-NO"/>
        </w:rPr>
        <w:t xml:space="preserve">Hvordan du oppbevarer </w:t>
      </w:r>
      <w:r w:rsidR="00923E68" w:rsidRPr="00A942F6">
        <w:rPr>
          <w:lang w:val="nb-NO"/>
        </w:rPr>
        <w:t>Avtozma</w:t>
      </w:r>
    </w:p>
    <w:p w14:paraId="38EF75A2" w14:textId="77777777" w:rsidR="00F11249" w:rsidRDefault="00F11249" w:rsidP="00641834">
      <w:pPr>
        <w:pStyle w:val="a5"/>
        <w:numPr>
          <w:ilvl w:val="6"/>
          <w:numId w:val="11"/>
        </w:numPr>
        <w:ind w:left="567" w:hanging="567"/>
        <w:rPr>
          <w:lang w:val="nb-NO"/>
        </w:rPr>
      </w:pPr>
      <w:r w:rsidRPr="00A942F6">
        <w:rPr>
          <w:lang w:val="nb-NO"/>
        </w:rPr>
        <w:t>Innholdet i pakningen og ytterligere informasjon</w:t>
      </w:r>
    </w:p>
    <w:p w14:paraId="37C5B861" w14:textId="1A53D612" w:rsidR="00C94E5B" w:rsidRPr="00A942F6" w:rsidRDefault="00C94E5B" w:rsidP="00641834">
      <w:pPr>
        <w:pStyle w:val="a5"/>
        <w:numPr>
          <w:ilvl w:val="6"/>
          <w:numId w:val="11"/>
        </w:numPr>
        <w:ind w:left="567" w:hanging="567"/>
        <w:rPr>
          <w:lang w:val="nb-NO"/>
        </w:rPr>
      </w:pPr>
      <w:r>
        <w:rPr>
          <w:lang w:val="nb-NO"/>
        </w:rPr>
        <w:t>Bruksanvisning</w:t>
      </w:r>
    </w:p>
    <w:p w14:paraId="5580AC1B" w14:textId="77777777" w:rsidR="00F11249" w:rsidRPr="00A942F6" w:rsidRDefault="00F11249" w:rsidP="00641834">
      <w:pPr>
        <w:rPr>
          <w:lang w:val="nb-NO"/>
        </w:rPr>
      </w:pPr>
    </w:p>
    <w:p w14:paraId="445762FF" w14:textId="77777777" w:rsidR="00F11249" w:rsidRPr="00A942F6" w:rsidRDefault="00F11249" w:rsidP="00641834">
      <w:pPr>
        <w:rPr>
          <w:lang w:val="nb-NO"/>
        </w:rPr>
      </w:pPr>
    </w:p>
    <w:p w14:paraId="677DACA6" w14:textId="5FDE739B" w:rsidR="00F11249" w:rsidRPr="00A942F6" w:rsidRDefault="00F11249" w:rsidP="00641834">
      <w:pPr>
        <w:pStyle w:val="H2"/>
        <w:rPr>
          <w:lang w:val="nb-NO"/>
        </w:rPr>
      </w:pPr>
      <w:r w:rsidRPr="00A942F6">
        <w:rPr>
          <w:lang w:val="nb-NO"/>
        </w:rPr>
        <w:t>1.</w:t>
      </w:r>
      <w:r w:rsidRPr="00A942F6">
        <w:rPr>
          <w:lang w:val="nb-NO"/>
        </w:rPr>
        <w:tab/>
        <w:t xml:space="preserve">Hva </w:t>
      </w:r>
      <w:r w:rsidR="00923E68" w:rsidRPr="00A942F6">
        <w:rPr>
          <w:lang w:val="nb-NO"/>
        </w:rPr>
        <w:t>Avtozma</w:t>
      </w:r>
      <w:r w:rsidRPr="00A942F6">
        <w:rPr>
          <w:lang w:val="nb-NO"/>
        </w:rPr>
        <w:t xml:space="preserve"> er og hva det brukes mot</w:t>
      </w:r>
    </w:p>
    <w:p w14:paraId="5B55383E" w14:textId="77777777" w:rsidR="00AF32BA" w:rsidRPr="00A942F6" w:rsidRDefault="00AF32BA" w:rsidP="00641834">
      <w:pPr>
        <w:rPr>
          <w:lang w:val="nb-NO"/>
        </w:rPr>
      </w:pPr>
    </w:p>
    <w:p w14:paraId="6F5B777D" w14:textId="20E00507" w:rsidR="00F11249" w:rsidRPr="00A942F6" w:rsidRDefault="00923E68" w:rsidP="00641834">
      <w:pPr>
        <w:rPr>
          <w:lang w:val="nb-NO"/>
        </w:rPr>
      </w:pPr>
      <w:r w:rsidRPr="00A942F6">
        <w:rPr>
          <w:lang w:val="nb-NO"/>
        </w:rPr>
        <w:t>Avtozma</w:t>
      </w:r>
      <w:r w:rsidR="00F11249" w:rsidRPr="00A942F6">
        <w:rPr>
          <w:lang w:val="nb-NO"/>
        </w:rPr>
        <w:t xml:space="preserve"> inneholder virkestoffet tocilizumab, som er et protein laget i spesifikke immunceller (monoklonalt antistoff) som blokkerer virkningen av et spesifikt protein (cytokin) som kalles interleukin-6. Dette proteinet er involvert i kroppens betennelsesprosesser, og ved å blokkere det kan betennelsen i kroppen reduseres. </w:t>
      </w:r>
      <w:r w:rsidRPr="00A942F6">
        <w:rPr>
          <w:lang w:val="nb-NO"/>
        </w:rPr>
        <w:t>Avtozma</w:t>
      </w:r>
      <w:r w:rsidR="00F11249" w:rsidRPr="00A942F6">
        <w:rPr>
          <w:lang w:val="nb-NO"/>
        </w:rPr>
        <w:t xml:space="preserve"> brukes til behandling av:</w:t>
      </w:r>
    </w:p>
    <w:p w14:paraId="2303F5DE" w14:textId="77777777" w:rsidR="00F11249" w:rsidRPr="00A942F6" w:rsidRDefault="00F11249" w:rsidP="00641834">
      <w:pPr>
        <w:rPr>
          <w:lang w:val="nb-NO"/>
        </w:rPr>
      </w:pPr>
    </w:p>
    <w:p w14:paraId="69FBF813" w14:textId="77777777" w:rsidR="00F11249" w:rsidRPr="00A942F6" w:rsidRDefault="00F11249" w:rsidP="00641834">
      <w:pPr>
        <w:pStyle w:val="Bullet1cm"/>
        <w:rPr>
          <w:lang w:val="nb-NO"/>
        </w:rPr>
      </w:pPr>
      <w:r w:rsidRPr="00A942F6">
        <w:rPr>
          <w:b/>
          <w:bCs/>
          <w:lang w:val="nb-NO"/>
        </w:rPr>
        <w:t>voksne med moderat til alvorlig aktiv revmatoid artritt (RA),</w:t>
      </w:r>
      <w:r w:rsidRPr="00A942F6">
        <w:rPr>
          <w:lang w:val="nb-NO"/>
        </w:rPr>
        <w:t xml:space="preserve"> en autoimmun sykdom, der tidligere behandling har vært ineffektiv.</w:t>
      </w:r>
    </w:p>
    <w:p w14:paraId="0268D41D" w14:textId="77777777" w:rsidR="00DF3AE4" w:rsidRPr="00A942F6" w:rsidRDefault="00DF3AE4" w:rsidP="00641834">
      <w:pPr>
        <w:pStyle w:val="Bullet1cm"/>
        <w:numPr>
          <w:ilvl w:val="0"/>
          <w:numId w:val="0"/>
        </w:numPr>
        <w:ind w:left="567"/>
        <w:rPr>
          <w:lang w:val="nb-NO"/>
        </w:rPr>
      </w:pPr>
    </w:p>
    <w:p w14:paraId="0A9DFC88" w14:textId="77777777" w:rsidR="00F11249" w:rsidRPr="00A942F6" w:rsidRDefault="00F11249" w:rsidP="00641834">
      <w:pPr>
        <w:pStyle w:val="Bullet1cm"/>
        <w:rPr>
          <w:lang w:val="nb-NO"/>
        </w:rPr>
      </w:pPr>
      <w:r w:rsidRPr="00A942F6">
        <w:rPr>
          <w:b/>
          <w:bCs/>
          <w:lang w:val="nb-NO"/>
        </w:rPr>
        <w:t>voksne med alvorlig, aktiv og progressiv revmatoid artritt (RA),</w:t>
      </w:r>
      <w:r w:rsidRPr="00A942F6">
        <w:rPr>
          <w:lang w:val="nb-NO"/>
        </w:rPr>
        <w:t xml:space="preserve"> som ikke tidligere har vært behandlet med metotreksat.</w:t>
      </w:r>
    </w:p>
    <w:p w14:paraId="69EDB663" w14:textId="77777777" w:rsidR="00DF3AE4" w:rsidRPr="00A942F6" w:rsidRDefault="00DF3AE4" w:rsidP="00641834">
      <w:pPr>
        <w:rPr>
          <w:lang w:val="nb-NO"/>
        </w:rPr>
      </w:pPr>
    </w:p>
    <w:p w14:paraId="5F7AE1A6" w14:textId="75355B2C" w:rsidR="00F11249" w:rsidRPr="00A942F6" w:rsidRDefault="00923E68" w:rsidP="00641834">
      <w:pPr>
        <w:ind w:left="567"/>
        <w:rPr>
          <w:lang w:val="nb-NO"/>
        </w:rPr>
      </w:pPr>
      <w:r w:rsidRPr="00A942F6">
        <w:rPr>
          <w:lang w:val="nb-NO"/>
        </w:rPr>
        <w:t>Avtozma</w:t>
      </w:r>
      <w:r w:rsidR="00F11249" w:rsidRPr="00A942F6">
        <w:rPr>
          <w:lang w:val="nb-NO"/>
        </w:rPr>
        <w:t xml:space="preserve"> reduserer </w:t>
      </w:r>
      <w:r w:rsidR="00D71C1B">
        <w:rPr>
          <w:lang w:val="nb-NO"/>
        </w:rPr>
        <w:t>RA-</w:t>
      </w:r>
      <w:r w:rsidR="00F11249" w:rsidRPr="00A942F6">
        <w:rPr>
          <w:lang w:val="nb-NO"/>
        </w:rPr>
        <w:t xml:space="preserve">symptomer som smerte og hevelser i leddene, og kan også forbedre din evne til å utføre daglige gjøremål. Det er blitt vist at </w:t>
      </w:r>
      <w:r w:rsidRPr="00A942F6">
        <w:rPr>
          <w:lang w:val="nb-NO"/>
        </w:rPr>
        <w:t>Avtozma</w:t>
      </w:r>
      <w:r w:rsidR="00F11249" w:rsidRPr="00A942F6">
        <w:rPr>
          <w:lang w:val="nb-NO"/>
        </w:rPr>
        <w:t xml:space="preserve"> kan utsette ødeleggelsen av brusk og knokler i leddene forårsaket av sykdommen, og forbedre din evne til å utføre vanlige, daglige aktiviteter.</w:t>
      </w:r>
    </w:p>
    <w:p w14:paraId="082F8B3A" w14:textId="77777777" w:rsidR="00DF3AE4" w:rsidRPr="00A942F6" w:rsidRDefault="00DF3AE4" w:rsidP="00641834">
      <w:pPr>
        <w:rPr>
          <w:lang w:val="nb-NO"/>
        </w:rPr>
      </w:pPr>
    </w:p>
    <w:p w14:paraId="22FCF575" w14:textId="1DAF8DF0" w:rsidR="00F11249" w:rsidRPr="00A942F6" w:rsidRDefault="00923E68" w:rsidP="00641834">
      <w:pPr>
        <w:ind w:left="567"/>
        <w:rPr>
          <w:lang w:val="nb-NO"/>
        </w:rPr>
      </w:pPr>
      <w:r w:rsidRPr="00A942F6">
        <w:rPr>
          <w:lang w:val="nb-NO"/>
        </w:rPr>
        <w:t>Avtozma</w:t>
      </w:r>
      <w:r w:rsidR="00F11249" w:rsidRPr="00A942F6">
        <w:rPr>
          <w:lang w:val="nb-NO"/>
        </w:rPr>
        <w:t xml:space="preserve"> gis vanligvis sammen med et annet legemiddel mot RA som heter metotreksat. </w:t>
      </w:r>
      <w:r w:rsidRPr="00A942F6">
        <w:rPr>
          <w:lang w:val="nb-NO"/>
        </w:rPr>
        <w:t>Avtozma</w:t>
      </w:r>
      <w:r w:rsidR="00F11249" w:rsidRPr="00A942F6">
        <w:rPr>
          <w:lang w:val="nb-NO"/>
        </w:rPr>
        <w:t xml:space="preserve"> kan også gis alene hvis legen mener at metotreksat ikke er egnet.</w:t>
      </w:r>
    </w:p>
    <w:p w14:paraId="5D61449F" w14:textId="77777777" w:rsidR="00F11249" w:rsidRPr="00A942F6" w:rsidRDefault="00F11249" w:rsidP="00641834">
      <w:pPr>
        <w:rPr>
          <w:lang w:val="nb-NO"/>
        </w:rPr>
      </w:pPr>
    </w:p>
    <w:p w14:paraId="77926DA9" w14:textId="77777777" w:rsidR="00F11249" w:rsidRPr="00A942F6" w:rsidRDefault="00F11249" w:rsidP="00641834">
      <w:pPr>
        <w:pStyle w:val="Bullet1cm"/>
        <w:rPr>
          <w:lang w:val="nb-NO"/>
        </w:rPr>
      </w:pPr>
      <w:r w:rsidRPr="00A942F6">
        <w:rPr>
          <w:b/>
          <w:bCs/>
          <w:lang w:val="nb-NO"/>
        </w:rPr>
        <w:t>voksne med en sykdom i pulsårene som kalles kjempecellearteritt (GCA),</w:t>
      </w:r>
      <w:r w:rsidRPr="00A942F6">
        <w:rPr>
          <w:lang w:val="nb-NO"/>
        </w:rPr>
        <w:t xml:space="preserve"> forårsaket av betennelse i kroppens største pulsårer, særlig de som forsyner blod til hodet og nakken. </w:t>
      </w:r>
      <w:r w:rsidRPr="00A942F6">
        <w:rPr>
          <w:lang w:val="nb-NO"/>
        </w:rPr>
        <w:lastRenderedPageBreak/>
        <w:t>Symptomene inkluderer hodepine, utmattelse og smerter i kjeven. Det kan resultere i slag og blindhet.</w:t>
      </w:r>
    </w:p>
    <w:p w14:paraId="4785EDCC" w14:textId="77777777" w:rsidR="00DF3AE4" w:rsidRPr="00A942F6" w:rsidRDefault="00DF3AE4" w:rsidP="00641834">
      <w:pPr>
        <w:pStyle w:val="Bullet1cm"/>
        <w:numPr>
          <w:ilvl w:val="0"/>
          <w:numId w:val="0"/>
        </w:numPr>
        <w:rPr>
          <w:lang w:val="nb-NO"/>
        </w:rPr>
      </w:pPr>
    </w:p>
    <w:p w14:paraId="78007942" w14:textId="72E4EDA0" w:rsidR="00F11249" w:rsidRPr="00A942F6" w:rsidRDefault="00923E68" w:rsidP="00641834">
      <w:pPr>
        <w:ind w:left="567"/>
        <w:rPr>
          <w:lang w:val="nb-NO"/>
        </w:rPr>
      </w:pPr>
      <w:r w:rsidRPr="00A942F6">
        <w:rPr>
          <w:lang w:val="nb-NO"/>
        </w:rPr>
        <w:t>Avtozma</w:t>
      </w:r>
      <w:r w:rsidR="00F11249" w:rsidRPr="00A942F6">
        <w:rPr>
          <w:lang w:val="nb-NO"/>
        </w:rPr>
        <w:t xml:space="preserve"> kan redusere smerte og hevelse i pulsårer og vener i hodet, nakken og armer.</w:t>
      </w:r>
    </w:p>
    <w:p w14:paraId="4538C420" w14:textId="77777777" w:rsidR="00F11249" w:rsidRPr="00A942F6" w:rsidRDefault="00F11249" w:rsidP="00641834">
      <w:pPr>
        <w:rPr>
          <w:lang w:val="nb-NO"/>
        </w:rPr>
      </w:pPr>
    </w:p>
    <w:p w14:paraId="2DC8CFE0" w14:textId="537D113A" w:rsidR="00F11249" w:rsidRPr="00A942F6" w:rsidRDefault="00F11249" w:rsidP="00641834">
      <w:pPr>
        <w:ind w:left="567"/>
        <w:rPr>
          <w:lang w:val="nb-NO"/>
        </w:rPr>
      </w:pPr>
      <w:r w:rsidRPr="00A942F6">
        <w:rPr>
          <w:lang w:val="nb-NO"/>
        </w:rPr>
        <w:t xml:space="preserve">GCA blir ofte behandlet med legemidler som kalles steroider. De er vanligvis effektive, men kan ha bivirkninger dersom de brukes ved høye doser over lang tid. Reduksjon av dosen med steroider kan også føre til en oppblussing av GCA. Ved å legge </w:t>
      </w:r>
      <w:r w:rsidR="00923E68" w:rsidRPr="00A942F6">
        <w:rPr>
          <w:lang w:val="nb-NO"/>
        </w:rPr>
        <w:t>Avtozma</w:t>
      </w:r>
      <w:r w:rsidRPr="00A942F6">
        <w:rPr>
          <w:lang w:val="nb-NO"/>
        </w:rPr>
        <w:t xml:space="preserve"> til behandlingen kan man bruke steroider i et kortere tidsrom, samtidig som GCA holdes under kontroll.</w:t>
      </w:r>
    </w:p>
    <w:p w14:paraId="0BDB8C76" w14:textId="77777777" w:rsidR="00F11249" w:rsidRPr="00A942F6" w:rsidRDefault="00F11249" w:rsidP="00641834">
      <w:pPr>
        <w:rPr>
          <w:lang w:val="nb-NO"/>
        </w:rPr>
      </w:pPr>
    </w:p>
    <w:p w14:paraId="00A8344F" w14:textId="77777777" w:rsidR="00F11249" w:rsidRPr="00A942F6" w:rsidRDefault="00F11249" w:rsidP="00641834">
      <w:pPr>
        <w:pStyle w:val="Bullet1cm"/>
        <w:rPr>
          <w:lang w:val="nb-NO"/>
        </w:rPr>
      </w:pPr>
      <w:r w:rsidRPr="00A942F6">
        <w:rPr>
          <w:b/>
          <w:bCs/>
          <w:lang w:val="nb-NO"/>
        </w:rPr>
        <w:t xml:space="preserve">barn og ungdom, i alderen 12 år og oppover, med aktiv </w:t>
      </w:r>
      <w:r w:rsidRPr="00A942F6">
        <w:rPr>
          <w:b/>
          <w:bCs/>
          <w:i/>
          <w:iCs/>
          <w:lang w:val="nb-NO"/>
        </w:rPr>
        <w:t>systemisk juvenil idiopatisk artritt (sJIA),</w:t>
      </w:r>
      <w:r w:rsidRPr="00A942F6">
        <w:rPr>
          <w:b/>
          <w:bCs/>
          <w:lang w:val="nb-NO"/>
        </w:rPr>
        <w:t xml:space="preserve"> </w:t>
      </w:r>
      <w:r w:rsidRPr="00A942F6">
        <w:rPr>
          <w:lang w:val="nb-NO"/>
        </w:rPr>
        <w:t>en inflammatorisk sykdom som fører til smerte og hevelse i ett eller flere ledd, samt feber og utslett.</w:t>
      </w:r>
    </w:p>
    <w:p w14:paraId="4FEB58F8" w14:textId="77777777" w:rsidR="00F11249" w:rsidRPr="00A942F6" w:rsidRDefault="00F11249" w:rsidP="00641834">
      <w:pPr>
        <w:rPr>
          <w:lang w:val="nb-NO"/>
        </w:rPr>
      </w:pPr>
    </w:p>
    <w:p w14:paraId="12C10A9F" w14:textId="000AD2E3" w:rsidR="00F11249" w:rsidRPr="00A942F6" w:rsidRDefault="00923E68" w:rsidP="00641834">
      <w:pPr>
        <w:ind w:left="567"/>
        <w:rPr>
          <w:lang w:val="nb-NO"/>
        </w:rPr>
      </w:pPr>
      <w:r w:rsidRPr="00A942F6">
        <w:rPr>
          <w:lang w:val="nb-NO"/>
        </w:rPr>
        <w:t>Avtozma</w:t>
      </w:r>
      <w:r w:rsidR="00F11249" w:rsidRPr="00A942F6">
        <w:rPr>
          <w:lang w:val="nb-NO"/>
        </w:rPr>
        <w:t xml:space="preserve"> brukes for å bedre symptomene ved sJIA. Det kan gis sammen med metotreksat eller alene.</w:t>
      </w:r>
    </w:p>
    <w:p w14:paraId="12C1439E" w14:textId="77777777" w:rsidR="00F11249" w:rsidRPr="00A942F6" w:rsidRDefault="00F11249" w:rsidP="00641834">
      <w:pPr>
        <w:rPr>
          <w:lang w:val="nb-NO"/>
        </w:rPr>
      </w:pPr>
    </w:p>
    <w:p w14:paraId="1B4BAD50" w14:textId="77777777" w:rsidR="00F11249" w:rsidRPr="00A942F6" w:rsidRDefault="00F11249" w:rsidP="00641834">
      <w:pPr>
        <w:pStyle w:val="Bullet1cm"/>
        <w:rPr>
          <w:lang w:val="nb-NO"/>
        </w:rPr>
      </w:pPr>
      <w:r w:rsidRPr="00A942F6">
        <w:rPr>
          <w:b/>
          <w:bCs/>
          <w:lang w:val="nb-NO"/>
        </w:rPr>
        <w:t xml:space="preserve">barn og ungdom, i alderen 12 år og oppover, med aktiv </w:t>
      </w:r>
      <w:r w:rsidRPr="00A942F6">
        <w:rPr>
          <w:b/>
          <w:bCs/>
          <w:i/>
          <w:iCs/>
          <w:lang w:val="nb-NO"/>
        </w:rPr>
        <w:t>polyartikulær juvenil idiopatisk artritt (pJIA).</w:t>
      </w:r>
      <w:r w:rsidRPr="00A942F6">
        <w:rPr>
          <w:i/>
          <w:iCs/>
          <w:lang w:val="nb-NO"/>
        </w:rPr>
        <w:t xml:space="preserve"> </w:t>
      </w:r>
      <w:r w:rsidRPr="00A942F6">
        <w:rPr>
          <w:lang w:val="nb-NO"/>
        </w:rPr>
        <w:t>Dette er en inflammatorisk sykdom som fører til smerte og hevelse i ett eller flere ledd.</w:t>
      </w:r>
    </w:p>
    <w:p w14:paraId="41449048" w14:textId="77777777" w:rsidR="00F11249" w:rsidRPr="00A942F6" w:rsidRDefault="00F11249" w:rsidP="00641834">
      <w:pPr>
        <w:rPr>
          <w:lang w:val="nb-NO"/>
        </w:rPr>
      </w:pPr>
    </w:p>
    <w:p w14:paraId="7E5FF929" w14:textId="3A4908C2" w:rsidR="00F11249" w:rsidRPr="00A942F6" w:rsidRDefault="00923E68" w:rsidP="00641834">
      <w:pPr>
        <w:ind w:left="567"/>
        <w:rPr>
          <w:lang w:val="nb-NO"/>
        </w:rPr>
      </w:pPr>
      <w:r w:rsidRPr="00A942F6">
        <w:rPr>
          <w:lang w:val="nb-NO"/>
        </w:rPr>
        <w:t>Avtozma</w:t>
      </w:r>
      <w:r w:rsidR="00F11249" w:rsidRPr="00A942F6">
        <w:rPr>
          <w:lang w:val="nb-NO"/>
        </w:rPr>
        <w:t xml:space="preserve"> brukes til å bedre symptomene ved pJIA. Det kan gis sammen med metotreksat eller alene.</w:t>
      </w:r>
    </w:p>
    <w:p w14:paraId="42E6A663" w14:textId="77777777" w:rsidR="00F11249" w:rsidRPr="00A942F6" w:rsidRDefault="00F11249" w:rsidP="00641834">
      <w:pPr>
        <w:rPr>
          <w:lang w:val="nb-NO"/>
        </w:rPr>
      </w:pPr>
    </w:p>
    <w:p w14:paraId="2589ED9F" w14:textId="77777777" w:rsidR="00AF32BA" w:rsidRPr="00A942F6" w:rsidRDefault="00AF32BA" w:rsidP="00641834">
      <w:pPr>
        <w:rPr>
          <w:lang w:val="nb-NO"/>
        </w:rPr>
      </w:pPr>
    </w:p>
    <w:p w14:paraId="376DB571" w14:textId="1EE1E075" w:rsidR="00DF3AE4" w:rsidRPr="00A942F6" w:rsidRDefault="00F11249" w:rsidP="00641834">
      <w:pPr>
        <w:pStyle w:val="H2"/>
        <w:rPr>
          <w:lang w:val="nb-NO"/>
        </w:rPr>
      </w:pPr>
      <w:r w:rsidRPr="00A942F6">
        <w:rPr>
          <w:lang w:val="nb-NO"/>
        </w:rPr>
        <w:t>2.</w:t>
      </w:r>
      <w:r w:rsidRPr="00A942F6">
        <w:rPr>
          <w:lang w:val="nb-NO"/>
        </w:rPr>
        <w:tab/>
        <w:t xml:space="preserve">Hva du må vite før du bruker </w:t>
      </w:r>
      <w:r w:rsidR="00923E68" w:rsidRPr="00A942F6">
        <w:rPr>
          <w:lang w:val="nb-NO"/>
        </w:rPr>
        <w:t>Avtozma</w:t>
      </w:r>
      <w:r w:rsidRPr="00A942F6">
        <w:rPr>
          <w:lang w:val="nb-NO"/>
        </w:rPr>
        <w:t xml:space="preserve"> </w:t>
      </w:r>
    </w:p>
    <w:p w14:paraId="06D6913D" w14:textId="77777777" w:rsidR="00DF3AE4" w:rsidRPr="00A942F6" w:rsidRDefault="00DF3AE4" w:rsidP="00641834">
      <w:pPr>
        <w:pStyle w:val="H2"/>
        <w:rPr>
          <w:lang w:val="nb-NO"/>
        </w:rPr>
      </w:pPr>
    </w:p>
    <w:p w14:paraId="708E74D3" w14:textId="5A6CB1C8" w:rsidR="00F11249" w:rsidRPr="00A942F6" w:rsidRDefault="00F11249" w:rsidP="00641834">
      <w:pPr>
        <w:pStyle w:val="H2"/>
        <w:rPr>
          <w:lang w:val="nb-NO"/>
        </w:rPr>
      </w:pPr>
      <w:r w:rsidRPr="00A942F6">
        <w:rPr>
          <w:lang w:val="nb-NO"/>
        </w:rPr>
        <w:t xml:space="preserve">Bruk ikke </w:t>
      </w:r>
      <w:r w:rsidR="00923E68" w:rsidRPr="00A942F6">
        <w:rPr>
          <w:lang w:val="nb-NO"/>
        </w:rPr>
        <w:t>Avtozma</w:t>
      </w:r>
    </w:p>
    <w:p w14:paraId="2424AE2D" w14:textId="77777777" w:rsidR="00F11249" w:rsidRPr="00A942F6" w:rsidRDefault="00F11249" w:rsidP="00641834">
      <w:pPr>
        <w:pStyle w:val="Bullet1cm"/>
        <w:rPr>
          <w:lang w:val="nb-NO"/>
        </w:rPr>
      </w:pPr>
      <w:r w:rsidRPr="00A942F6">
        <w:rPr>
          <w:lang w:val="nb-NO"/>
        </w:rPr>
        <w:t>hvis du eller en pasient (barn) du har omsorg for er allergisk overfor tocilizumab eller noen av de andre innholdsstoffene i dette legemidlet (listet opp i avsnitt 6).</w:t>
      </w:r>
      <w:r w:rsidR="00EA08FF" w:rsidRPr="00A942F6">
        <w:rPr>
          <w:lang w:val="nb-NO"/>
        </w:rPr>
        <w:t xml:space="preserve"> (Se spesifikk advarsel ved slutten av dette avsnittet under «Avtozma inneholder polysorbat»)</w:t>
      </w:r>
    </w:p>
    <w:p w14:paraId="2E3AC100" w14:textId="77777777" w:rsidR="00F11249" w:rsidRPr="00A942F6" w:rsidRDefault="00F11249" w:rsidP="00641834">
      <w:pPr>
        <w:pStyle w:val="Bullet1cm"/>
        <w:rPr>
          <w:lang w:val="nb-NO"/>
        </w:rPr>
      </w:pPr>
      <w:r w:rsidRPr="00A942F6">
        <w:rPr>
          <w:lang w:val="nb-NO"/>
        </w:rPr>
        <w:t>hvis du eller en pasient (barn) du har omsorg for har en aktiv, alvorlig infeksjon.</w:t>
      </w:r>
    </w:p>
    <w:p w14:paraId="1F0AEFDF" w14:textId="77777777" w:rsidR="00DF3AE4" w:rsidRPr="00A942F6" w:rsidRDefault="00DF3AE4" w:rsidP="00641834">
      <w:pPr>
        <w:rPr>
          <w:lang w:val="nb-NO"/>
        </w:rPr>
      </w:pPr>
    </w:p>
    <w:p w14:paraId="01A113CF" w14:textId="16ED3839" w:rsidR="00F11249" w:rsidRPr="00A942F6" w:rsidRDefault="00F11249" w:rsidP="00641834">
      <w:pPr>
        <w:rPr>
          <w:lang w:val="nb-NO"/>
        </w:rPr>
      </w:pPr>
      <w:r w:rsidRPr="00A942F6">
        <w:rPr>
          <w:lang w:val="nb-NO"/>
        </w:rPr>
        <w:t xml:space="preserve">Snakk med lege hvis noe av dette gjelder for deg. Bruk ikke </w:t>
      </w:r>
      <w:r w:rsidR="00923E68" w:rsidRPr="00A942F6">
        <w:rPr>
          <w:lang w:val="nb-NO"/>
        </w:rPr>
        <w:t>Avtozma</w:t>
      </w:r>
      <w:r w:rsidRPr="00A942F6">
        <w:rPr>
          <w:lang w:val="nb-NO"/>
        </w:rPr>
        <w:t>.</w:t>
      </w:r>
    </w:p>
    <w:p w14:paraId="1B819EDA" w14:textId="77777777" w:rsidR="00F11249" w:rsidRPr="00A942F6" w:rsidRDefault="00F11249" w:rsidP="00641834">
      <w:pPr>
        <w:rPr>
          <w:lang w:val="nb-NO"/>
        </w:rPr>
      </w:pPr>
    </w:p>
    <w:p w14:paraId="56B7E2F1" w14:textId="77777777" w:rsidR="00F11249" w:rsidRPr="00A942F6" w:rsidRDefault="00F11249" w:rsidP="00641834">
      <w:pPr>
        <w:pStyle w:val="bold"/>
        <w:rPr>
          <w:lang w:val="nb-NO"/>
        </w:rPr>
      </w:pPr>
      <w:r w:rsidRPr="00A942F6">
        <w:rPr>
          <w:lang w:val="nb-NO"/>
        </w:rPr>
        <w:t>Advarsler og forsiktighetsregler</w:t>
      </w:r>
    </w:p>
    <w:p w14:paraId="678A2368" w14:textId="77777777" w:rsidR="00DF3AE4" w:rsidRPr="00A942F6" w:rsidRDefault="00DF3AE4" w:rsidP="00641834">
      <w:pPr>
        <w:rPr>
          <w:lang w:val="nb-NO"/>
        </w:rPr>
      </w:pPr>
    </w:p>
    <w:p w14:paraId="397D4BDC" w14:textId="2592B222" w:rsidR="00F11249" w:rsidRPr="00A942F6" w:rsidRDefault="00F11249" w:rsidP="00641834">
      <w:pPr>
        <w:rPr>
          <w:lang w:val="nb-NO"/>
        </w:rPr>
      </w:pPr>
      <w:r w:rsidRPr="00A942F6">
        <w:rPr>
          <w:lang w:val="nb-NO"/>
        </w:rPr>
        <w:t xml:space="preserve">Snakk med lege, apotek eller sykepleier før du bruker </w:t>
      </w:r>
      <w:r w:rsidR="00923E68" w:rsidRPr="00A942F6">
        <w:rPr>
          <w:lang w:val="nb-NO"/>
        </w:rPr>
        <w:t>Avtozma</w:t>
      </w:r>
      <w:r w:rsidRPr="00A942F6">
        <w:rPr>
          <w:lang w:val="nb-NO"/>
        </w:rPr>
        <w:t>.</w:t>
      </w:r>
    </w:p>
    <w:p w14:paraId="16D41329" w14:textId="77777777" w:rsidR="00F11249" w:rsidRPr="00A942F6" w:rsidRDefault="00F11249" w:rsidP="00641834">
      <w:pPr>
        <w:rPr>
          <w:lang w:val="nb-NO"/>
        </w:rPr>
      </w:pPr>
    </w:p>
    <w:p w14:paraId="60EFD65F" w14:textId="77777777" w:rsidR="00F11249" w:rsidRPr="00A942F6" w:rsidRDefault="00F11249" w:rsidP="00641834">
      <w:pPr>
        <w:pStyle w:val="Bullet1cm"/>
        <w:rPr>
          <w:lang w:val="nb-NO"/>
        </w:rPr>
      </w:pPr>
      <w:r w:rsidRPr="00A942F6">
        <w:rPr>
          <w:b/>
          <w:bCs/>
          <w:lang w:val="nb-NO"/>
        </w:rPr>
        <w:t>Informer legen din umiddelbart</w:t>
      </w:r>
      <w:r w:rsidRPr="00A942F6">
        <w:rPr>
          <w:lang w:val="nb-NO"/>
        </w:rPr>
        <w:t xml:space="preserve"> dersom du får en </w:t>
      </w:r>
      <w:r w:rsidRPr="00A942F6">
        <w:rPr>
          <w:b/>
          <w:bCs/>
          <w:lang w:val="nb-NO"/>
        </w:rPr>
        <w:t>allergisk reaksjon</w:t>
      </w:r>
      <w:r w:rsidRPr="00A942F6">
        <w:rPr>
          <w:lang w:val="nb-NO"/>
        </w:rPr>
        <w:t xml:space="preserve"> som tett bryst, hvesende pust, alvorlig svimmelhet eller ørhet, opphovnede lepper, hevelse i tunge eller ansikt, hudkløe, elveblest eller utslett under eller etter injeksjonen.</w:t>
      </w:r>
    </w:p>
    <w:p w14:paraId="6BFFE97A" w14:textId="77777777" w:rsidR="00F11249" w:rsidRPr="00A942F6" w:rsidRDefault="00F11249" w:rsidP="00641834">
      <w:pPr>
        <w:rPr>
          <w:lang w:val="nb-NO"/>
        </w:rPr>
      </w:pPr>
    </w:p>
    <w:p w14:paraId="53ACEDE5" w14:textId="07C88A83" w:rsidR="00F11249" w:rsidRPr="00A942F6" w:rsidRDefault="00F11249" w:rsidP="00641834">
      <w:pPr>
        <w:pStyle w:val="Bullet1cm"/>
        <w:rPr>
          <w:lang w:val="nb-NO"/>
        </w:rPr>
      </w:pPr>
      <w:r w:rsidRPr="00A942F6">
        <w:rPr>
          <w:lang w:val="nb-NO"/>
        </w:rPr>
        <w:t xml:space="preserve">Ta ikke neste dose før du har informert legen din OG legen din har fortalt deg at du kan ta neste dose, dersom du har opplevd symptomer på allergisk reaksjon etter injisering av </w:t>
      </w:r>
      <w:r w:rsidR="00923E68" w:rsidRPr="00A942F6">
        <w:rPr>
          <w:lang w:val="nb-NO"/>
        </w:rPr>
        <w:t>Avtozma</w:t>
      </w:r>
      <w:r w:rsidRPr="00A942F6">
        <w:rPr>
          <w:lang w:val="nb-NO"/>
        </w:rPr>
        <w:t>.</w:t>
      </w:r>
    </w:p>
    <w:p w14:paraId="2C2F5EB5" w14:textId="77777777" w:rsidR="00DF3AE4" w:rsidRPr="00A942F6" w:rsidRDefault="00DF3AE4" w:rsidP="00641834">
      <w:pPr>
        <w:rPr>
          <w:lang w:val="nb-NO"/>
        </w:rPr>
      </w:pPr>
    </w:p>
    <w:p w14:paraId="30510A8A" w14:textId="337673FF" w:rsidR="00F11249" w:rsidRPr="00A942F6" w:rsidRDefault="00F11249" w:rsidP="00641834">
      <w:pPr>
        <w:pStyle w:val="Bullet1cm"/>
        <w:rPr>
          <w:lang w:val="nb-NO"/>
        </w:rPr>
      </w:pPr>
      <w:r w:rsidRPr="00A942F6">
        <w:rPr>
          <w:lang w:val="nb-NO"/>
        </w:rPr>
        <w:t xml:space="preserve">Dersom du har en </w:t>
      </w:r>
      <w:r w:rsidRPr="00A942F6">
        <w:rPr>
          <w:b/>
          <w:bCs/>
          <w:lang w:val="nb-NO"/>
        </w:rPr>
        <w:t>infeksjon</w:t>
      </w:r>
      <w:r w:rsidRPr="00A942F6">
        <w:rPr>
          <w:lang w:val="nb-NO"/>
        </w:rPr>
        <w:t xml:space="preserve">, kortvarig eller langvarig, eller dersom du ofte får infeksjoner. </w:t>
      </w:r>
      <w:r w:rsidRPr="00A942F6">
        <w:rPr>
          <w:b/>
          <w:bCs/>
          <w:lang w:val="nb-NO"/>
        </w:rPr>
        <w:t>Informer legen din umiddelbart</w:t>
      </w:r>
      <w:r w:rsidRPr="00A942F6">
        <w:rPr>
          <w:lang w:val="nb-NO"/>
        </w:rPr>
        <w:t xml:space="preserve"> dersom du føler deg uvel. </w:t>
      </w:r>
      <w:r w:rsidR="00923E68" w:rsidRPr="00A942F6">
        <w:rPr>
          <w:lang w:val="nb-NO"/>
        </w:rPr>
        <w:t>Avtozma</w:t>
      </w:r>
      <w:r w:rsidRPr="00A942F6">
        <w:rPr>
          <w:lang w:val="nb-NO"/>
        </w:rPr>
        <w:t xml:space="preserve"> kan redusere kroppens evne til å respondere på infeksjoner og kan forverre en eksisterende infeksjon eller øke risiko for å få nye infeksjoner.</w:t>
      </w:r>
    </w:p>
    <w:p w14:paraId="300E203C" w14:textId="77777777" w:rsidR="00F11249" w:rsidRPr="00A942F6" w:rsidRDefault="00F11249" w:rsidP="00641834">
      <w:pPr>
        <w:rPr>
          <w:lang w:val="nb-NO"/>
        </w:rPr>
      </w:pPr>
    </w:p>
    <w:p w14:paraId="28F757F1" w14:textId="624CBE26" w:rsidR="00F11249" w:rsidRPr="00A942F6" w:rsidRDefault="00F11249" w:rsidP="00641834">
      <w:pPr>
        <w:pStyle w:val="Bullet1cm"/>
        <w:rPr>
          <w:lang w:val="nb-NO"/>
        </w:rPr>
      </w:pPr>
      <w:r w:rsidRPr="00A942F6">
        <w:rPr>
          <w:lang w:val="nb-NO"/>
        </w:rPr>
        <w:t xml:space="preserve">Informer legen din dersom du har hatt </w:t>
      </w:r>
      <w:r w:rsidRPr="00A942F6">
        <w:rPr>
          <w:b/>
          <w:bCs/>
          <w:lang w:val="nb-NO"/>
        </w:rPr>
        <w:t>tuberkulose</w:t>
      </w:r>
      <w:r w:rsidRPr="00A942F6">
        <w:rPr>
          <w:lang w:val="nb-NO"/>
        </w:rPr>
        <w:t xml:space="preserve">. Legen din vil undersøke deg for tegn og symptomer på tuberkulose før du starter behandlingen med </w:t>
      </w:r>
      <w:r w:rsidR="00923E68" w:rsidRPr="00A942F6">
        <w:rPr>
          <w:lang w:val="nb-NO"/>
        </w:rPr>
        <w:t>Avtozma</w:t>
      </w:r>
      <w:r w:rsidRPr="00A942F6">
        <w:rPr>
          <w:lang w:val="nb-NO"/>
        </w:rPr>
        <w:t>. Ved symptomer på tuberkulose (vedvarende hoste, vekttap, slapphet, mild feber), eller annen infeksjon oppstår under eller etter behandlingen må du fortelle det til legen din umiddelbart.</w:t>
      </w:r>
    </w:p>
    <w:p w14:paraId="33F59098" w14:textId="77777777" w:rsidR="00F11249" w:rsidRPr="00A942F6" w:rsidRDefault="00F11249" w:rsidP="00641834">
      <w:pPr>
        <w:rPr>
          <w:lang w:val="nb-NO"/>
        </w:rPr>
      </w:pPr>
    </w:p>
    <w:p w14:paraId="6EB8DB1A" w14:textId="77777777" w:rsidR="00F11249" w:rsidRPr="00A942F6" w:rsidRDefault="00F11249" w:rsidP="00641834">
      <w:pPr>
        <w:pStyle w:val="Bullet1cm"/>
        <w:rPr>
          <w:lang w:val="nb-NO"/>
        </w:rPr>
      </w:pPr>
      <w:r w:rsidRPr="00A942F6">
        <w:rPr>
          <w:lang w:val="nb-NO"/>
        </w:rPr>
        <w:lastRenderedPageBreak/>
        <w:t xml:space="preserve">Informer legen din dersom du har hatt </w:t>
      </w:r>
      <w:r w:rsidRPr="00A942F6">
        <w:rPr>
          <w:b/>
          <w:bCs/>
          <w:lang w:val="nb-NO"/>
        </w:rPr>
        <w:t>magesår eller divertikulitt</w:t>
      </w:r>
      <w:r w:rsidRPr="00A942F6">
        <w:rPr>
          <w:lang w:val="nb-NO"/>
        </w:rPr>
        <w:t>. Symptomer kan være magesmerter og uforklarlige endringer i avføringsmønster med feber.</w:t>
      </w:r>
    </w:p>
    <w:p w14:paraId="44BA6403" w14:textId="77777777" w:rsidR="00F11249" w:rsidRPr="00A942F6" w:rsidRDefault="00F11249" w:rsidP="00641834">
      <w:pPr>
        <w:rPr>
          <w:lang w:val="nb-NO"/>
        </w:rPr>
      </w:pPr>
    </w:p>
    <w:p w14:paraId="3D9BB2C3" w14:textId="3527A0B5" w:rsidR="00F11249" w:rsidRPr="00A942F6" w:rsidRDefault="00F11249" w:rsidP="00641834">
      <w:pPr>
        <w:pStyle w:val="Bullet1cm"/>
        <w:rPr>
          <w:lang w:val="nb-NO"/>
        </w:rPr>
      </w:pPr>
      <w:r w:rsidRPr="00A942F6">
        <w:rPr>
          <w:lang w:val="nb-NO"/>
        </w:rPr>
        <w:t xml:space="preserve">Informer legen din dersom du har en </w:t>
      </w:r>
      <w:r w:rsidRPr="00A942F6">
        <w:rPr>
          <w:b/>
          <w:bCs/>
          <w:lang w:val="nb-NO"/>
        </w:rPr>
        <w:t>leversykdom</w:t>
      </w:r>
      <w:r w:rsidRPr="00A942F6">
        <w:rPr>
          <w:lang w:val="nb-NO"/>
        </w:rPr>
        <w:t xml:space="preserve">. Før du bruker </w:t>
      </w:r>
      <w:r w:rsidR="00923E68" w:rsidRPr="00A942F6">
        <w:rPr>
          <w:lang w:val="nb-NO"/>
        </w:rPr>
        <w:t>Avtozma</w:t>
      </w:r>
      <w:r w:rsidRPr="00A942F6">
        <w:rPr>
          <w:lang w:val="nb-NO"/>
        </w:rPr>
        <w:t xml:space="preserve"> kan legen velge å ta en blodprøve for å måle leverfunksjonen din.</w:t>
      </w:r>
    </w:p>
    <w:p w14:paraId="1925BD5B" w14:textId="77777777" w:rsidR="00F11249" w:rsidRPr="00A942F6" w:rsidRDefault="00F11249" w:rsidP="00641834">
      <w:pPr>
        <w:rPr>
          <w:lang w:val="nb-NO"/>
        </w:rPr>
      </w:pPr>
    </w:p>
    <w:p w14:paraId="57DE0FB8" w14:textId="40D0DC73" w:rsidR="00F11249" w:rsidRPr="00A942F6" w:rsidRDefault="00F11249" w:rsidP="00641834">
      <w:pPr>
        <w:pStyle w:val="Bullet1cm"/>
        <w:rPr>
          <w:lang w:val="nb-NO"/>
        </w:rPr>
      </w:pPr>
      <w:r w:rsidRPr="00A942F6">
        <w:rPr>
          <w:lang w:val="nb-NO"/>
        </w:rPr>
        <w:t xml:space="preserve">Informer legen din </w:t>
      </w:r>
      <w:r w:rsidRPr="00A942F6">
        <w:rPr>
          <w:b/>
          <w:bCs/>
          <w:lang w:val="nb-NO"/>
        </w:rPr>
        <w:t>dersom du nylig har fått en vaksine</w:t>
      </w:r>
      <w:r w:rsidRPr="00A942F6">
        <w:rPr>
          <w:lang w:val="nb-NO"/>
        </w:rPr>
        <w:t xml:space="preserve"> eller planlegger vaksinering. Alle pasienter bør være ajour med all vaksinering før oppstart av behandling med </w:t>
      </w:r>
      <w:r w:rsidR="00923E68" w:rsidRPr="00A942F6">
        <w:rPr>
          <w:lang w:val="nb-NO"/>
        </w:rPr>
        <w:t>Avtozma</w:t>
      </w:r>
      <w:r w:rsidRPr="00A942F6">
        <w:rPr>
          <w:lang w:val="nb-NO"/>
        </w:rPr>
        <w:t xml:space="preserve">. Noen typer vaksiner bør ikke gis ved behandling med </w:t>
      </w:r>
      <w:r w:rsidR="00923E68" w:rsidRPr="00A942F6">
        <w:rPr>
          <w:lang w:val="nb-NO"/>
        </w:rPr>
        <w:t>Avtozma</w:t>
      </w:r>
      <w:r w:rsidRPr="00A942F6">
        <w:rPr>
          <w:lang w:val="nb-NO"/>
        </w:rPr>
        <w:t>.</w:t>
      </w:r>
    </w:p>
    <w:p w14:paraId="7D0DE081" w14:textId="77777777" w:rsidR="00DF3AE4" w:rsidRPr="00A942F6" w:rsidRDefault="00DF3AE4" w:rsidP="003F072B">
      <w:pPr>
        <w:pStyle w:val="a5"/>
        <w:ind w:left="567" w:hanging="567"/>
        <w:rPr>
          <w:lang w:val="nb-NO"/>
        </w:rPr>
      </w:pPr>
    </w:p>
    <w:p w14:paraId="186AACD4" w14:textId="27A5F495" w:rsidR="00F11249" w:rsidRPr="00A942F6" w:rsidRDefault="00F11249" w:rsidP="00641834">
      <w:pPr>
        <w:pStyle w:val="Bullet1cm"/>
        <w:rPr>
          <w:lang w:val="nb-NO"/>
        </w:rPr>
      </w:pPr>
      <w:r w:rsidRPr="00A942F6">
        <w:rPr>
          <w:lang w:val="nb-NO"/>
        </w:rPr>
        <w:t xml:space="preserve">Informer legen din hvis du har </w:t>
      </w:r>
      <w:r w:rsidRPr="00A942F6">
        <w:rPr>
          <w:b/>
          <w:bCs/>
          <w:lang w:val="nb-NO"/>
        </w:rPr>
        <w:t>kreft</w:t>
      </w:r>
      <w:r w:rsidRPr="00A942F6">
        <w:rPr>
          <w:lang w:val="nb-NO"/>
        </w:rPr>
        <w:t xml:space="preserve">. Legen vil avgjøre om du likevel kan få </w:t>
      </w:r>
      <w:r w:rsidR="00923E68" w:rsidRPr="00A942F6">
        <w:rPr>
          <w:lang w:val="nb-NO"/>
        </w:rPr>
        <w:t>Avtozma</w:t>
      </w:r>
      <w:r w:rsidRPr="00A942F6">
        <w:rPr>
          <w:lang w:val="nb-NO"/>
        </w:rPr>
        <w:t>.</w:t>
      </w:r>
    </w:p>
    <w:p w14:paraId="4F74ED26" w14:textId="77777777" w:rsidR="00F11249" w:rsidRPr="00A942F6" w:rsidRDefault="00F11249" w:rsidP="00641834">
      <w:pPr>
        <w:rPr>
          <w:lang w:val="nb-NO"/>
        </w:rPr>
      </w:pPr>
    </w:p>
    <w:p w14:paraId="53BAA41E" w14:textId="24A4B293" w:rsidR="00F11249" w:rsidRPr="00A942F6" w:rsidRDefault="00F11249" w:rsidP="00641834">
      <w:pPr>
        <w:pStyle w:val="Bullet1cm"/>
        <w:rPr>
          <w:lang w:val="nb-NO"/>
        </w:rPr>
      </w:pPr>
      <w:r w:rsidRPr="00A942F6">
        <w:rPr>
          <w:lang w:val="nb-NO"/>
        </w:rPr>
        <w:t xml:space="preserve">Informer legen din hvis du har </w:t>
      </w:r>
      <w:r w:rsidRPr="00A942F6">
        <w:rPr>
          <w:b/>
          <w:bCs/>
          <w:lang w:val="nb-NO"/>
        </w:rPr>
        <w:t>kardiovaskulære risikofaktorer</w:t>
      </w:r>
      <w:r w:rsidRPr="00A942F6">
        <w:rPr>
          <w:lang w:val="nb-NO"/>
        </w:rPr>
        <w:t xml:space="preserve"> som økt blodtrykk og økt kolesterol. Disse faktorene må overvåkes mens du får </w:t>
      </w:r>
      <w:r w:rsidR="00923E68" w:rsidRPr="00A942F6">
        <w:rPr>
          <w:lang w:val="nb-NO"/>
        </w:rPr>
        <w:t>Avtozma</w:t>
      </w:r>
      <w:r w:rsidRPr="00A942F6">
        <w:rPr>
          <w:lang w:val="nb-NO"/>
        </w:rPr>
        <w:t>.</w:t>
      </w:r>
    </w:p>
    <w:p w14:paraId="3A370085" w14:textId="77777777" w:rsidR="00DF3AE4" w:rsidRPr="00A942F6" w:rsidRDefault="00DF3AE4" w:rsidP="00641834">
      <w:pPr>
        <w:rPr>
          <w:lang w:val="nb-NO"/>
        </w:rPr>
      </w:pPr>
    </w:p>
    <w:p w14:paraId="6B1BBE30" w14:textId="77777777" w:rsidR="00F11249" w:rsidRPr="00A942F6" w:rsidRDefault="00F11249" w:rsidP="00641834">
      <w:pPr>
        <w:pStyle w:val="Bullet1cm"/>
        <w:rPr>
          <w:b/>
          <w:bCs/>
          <w:lang w:val="nb-NO"/>
        </w:rPr>
      </w:pPr>
      <w:r w:rsidRPr="00A942F6">
        <w:rPr>
          <w:lang w:val="nb-NO"/>
        </w:rPr>
        <w:t xml:space="preserve">Legen vil følge deg opp nøye hvis du har moderate til alvorlige </w:t>
      </w:r>
      <w:r w:rsidRPr="00A942F6">
        <w:rPr>
          <w:b/>
          <w:bCs/>
          <w:lang w:val="nb-NO"/>
        </w:rPr>
        <w:t>problemer med nyrefunksjonen</w:t>
      </w:r>
      <w:r w:rsidRPr="00A942F6">
        <w:rPr>
          <w:lang w:val="nb-NO"/>
        </w:rPr>
        <w:t>.</w:t>
      </w:r>
    </w:p>
    <w:p w14:paraId="225C2968" w14:textId="77777777" w:rsidR="00DF3AE4" w:rsidRPr="00A942F6" w:rsidRDefault="00DF3AE4" w:rsidP="00641834">
      <w:pPr>
        <w:rPr>
          <w:lang w:val="nb-NO"/>
        </w:rPr>
      </w:pPr>
    </w:p>
    <w:p w14:paraId="44AD38E6" w14:textId="77777777" w:rsidR="00F11249" w:rsidRPr="00A942F6" w:rsidRDefault="00F11249" w:rsidP="00641834">
      <w:pPr>
        <w:pStyle w:val="a5"/>
        <w:numPr>
          <w:ilvl w:val="1"/>
          <w:numId w:val="1"/>
        </w:numPr>
        <w:ind w:left="567" w:hanging="567"/>
        <w:rPr>
          <w:lang w:val="nb-NO"/>
        </w:rPr>
      </w:pPr>
      <w:r w:rsidRPr="00A942F6">
        <w:rPr>
          <w:lang w:val="nb-NO"/>
        </w:rPr>
        <w:t xml:space="preserve">Hvis du har </w:t>
      </w:r>
      <w:r w:rsidRPr="00A942F6">
        <w:rPr>
          <w:b/>
          <w:bCs/>
          <w:lang w:val="nb-NO"/>
        </w:rPr>
        <w:t>vedvarende hodepine</w:t>
      </w:r>
      <w:r w:rsidRPr="00A942F6">
        <w:rPr>
          <w:lang w:val="nb-NO"/>
        </w:rPr>
        <w:t>.</w:t>
      </w:r>
    </w:p>
    <w:p w14:paraId="446C9949" w14:textId="77777777" w:rsidR="00DF3AE4" w:rsidRPr="00A942F6" w:rsidRDefault="00DF3AE4" w:rsidP="00641834">
      <w:pPr>
        <w:rPr>
          <w:lang w:val="nb-NO"/>
        </w:rPr>
      </w:pPr>
    </w:p>
    <w:p w14:paraId="1541552C" w14:textId="5D637EF4" w:rsidR="00F11249" w:rsidRPr="00A942F6" w:rsidRDefault="00F11249" w:rsidP="00641834">
      <w:pPr>
        <w:rPr>
          <w:lang w:val="nb-NO"/>
        </w:rPr>
      </w:pPr>
      <w:r w:rsidRPr="00A942F6">
        <w:rPr>
          <w:lang w:val="nb-NO"/>
        </w:rPr>
        <w:t xml:space="preserve">Legen din vil ta blodprøver av deg før du får </w:t>
      </w:r>
      <w:r w:rsidR="00923E68" w:rsidRPr="00A942F6">
        <w:rPr>
          <w:lang w:val="nb-NO"/>
        </w:rPr>
        <w:t>Avtozma</w:t>
      </w:r>
      <w:r w:rsidRPr="00A942F6">
        <w:rPr>
          <w:lang w:val="nb-NO"/>
        </w:rPr>
        <w:t xml:space="preserve"> for å undersøke om du har lavt antall hvite blodceller, lavt blodplatetall eller høye verdier av leverenzymer.</w:t>
      </w:r>
    </w:p>
    <w:p w14:paraId="066D2FB0" w14:textId="77777777" w:rsidR="00F11249" w:rsidRPr="00A942F6" w:rsidRDefault="00F11249" w:rsidP="00641834">
      <w:pPr>
        <w:rPr>
          <w:lang w:val="nb-NO"/>
        </w:rPr>
      </w:pPr>
    </w:p>
    <w:p w14:paraId="25CB16FB" w14:textId="77777777" w:rsidR="00F11249" w:rsidRPr="00A942F6" w:rsidRDefault="00F11249" w:rsidP="00641834">
      <w:pPr>
        <w:pStyle w:val="bold"/>
        <w:rPr>
          <w:lang w:val="nb-NO"/>
        </w:rPr>
      </w:pPr>
      <w:r w:rsidRPr="00A942F6">
        <w:rPr>
          <w:lang w:val="nb-NO"/>
        </w:rPr>
        <w:t>Barn og ungdom</w:t>
      </w:r>
    </w:p>
    <w:p w14:paraId="7B3D5CD1" w14:textId="1AEFD07D" w:rsidR="00F11249" w:rsidRPr="00A942F6" w:rsidRDefault="00F11249" w:rsidP="00641834">
      <w:pPr>
        <w:rPr>
          <w:lang w:val="nb-NO"/>
        </w:rPr>
      </w:pPr>
      <w:r w:rsidRPr="00A942F6">
        <w:rPr>
          <w:lang w:val="nb-NO"/>
        </w:rPr>
        <w:t xml:space="preserve">Det er ikke anbefalt å bruke </w:t>
      </w:r>
      <w:r w:rsidR="00923E68" w:rsidRPr="00A942F6">
        <w:rPr>
          <w:lang w:val="nb-NO"/>
        </w:rPr>
        <w:t>Avtozma</w:t>
      </w:r>
      <w:r w:rsidRPr="00A942F6">
        <w:rPr>
          <w:lang w:val="nb-NO"/>
        </w:rPr>
        <w:t xml:space="preserve"> ferdigfylt penn (ACTPen</w:t>
      </w:r>
      <w:r w:rsidRPr="00A942F6">
        <w:rPr>
          <w:vertAlign w:val="superscript"/>
          <w:lang w:val="nb-NO"/>
        </w:rPr>
        <w:t>®</w:t>
      </w:r>
      <w:r w:rsidRPr="00A942F6">
        <w:rPr>
          <w:lang w:val="nb-NO"/>
        </w:rPr>
        <w:t xml:space="preserve">) til barn under 12 år. </w:t>
      </w:r>
      <w:r w:rsidR="00923E68" w:rsidRPr="00A942F6">
        <w:rPr>
          <w:lang w:val="nb-NO"/>
        </w:rPr>
        <w:t>Avtozma</w:t>
      </w:r>
      <w:r w:rsidRPr="00A942F6">
        <w:rPr>
          <w:lang w:val="nb-NO"/>
        </w:rPr>
        <w:t xml:space="preserve"> skal ikke gis til barn med sJIA som veier under 10 kg.</w:t>
      </w:r>
    </w:p>
    <w:p w14:paraId="7C1EC29F" w14:textId="7D1E028E" w:rsidR="00F11249" w:rsidRPr="00A942F6" w:rsidRDefault="00F11249" w:rsidP="00641834">
      <w:pPr>
        <w:rPr>
          <w:lang w:val="nb-NO"/>
        </w:rPr>
      </w:pPr>
      <w:r w:rsidRPr="00A942F6">
        <w:rPr>
          <w:lang w:val="nb-NO"/>
        </w:rPr>
        <w:t xml:space="preserve">Snakk med barnets lege dersom barnet tidligere har hatt </w:t>
      </w:r>
      <w:r w:rsidRPr="00A942F6">
        <w:rPr>
          <w:b/>
          <w:bCs/>
          <w:i/>
          <w:iCs/>
          <w:lang w:val="nb-NO"/>
        </w:rPr>
        <w:t>makrofagaktivering-syndrom</w:t>
      </w:r>
      <w:r w:rsidRPr="00A942F6">
        <w:rPr>
          <w:lang w:val="nb-NO"/>
        </w:rPr>
        <w:t xml:space="preserve"> (aktivering og ukontrollert deling av spesifikke blodceller). Legen vil avgjøre om barnet likevel kan gis </w:t>
      </w:r>
      <w:r w:rsidR="00923E68" w:rsidRPr="00A942F6">
        <w:rPr>
          <w:lang w:val="nb-NO"/>
        </w:rPr>
        <w:t>Avtozma</w:t>
      </w:r>
      <w:r w:rsidRPr="00A942F6">
        <w:rPr>
          <w:lang w:val="nb-NO"/>
        </w:rPr>
        <w:t>.</w:t>
      </w:r>
    </w:p>
    <w:p w14:paraId="431D41FA" w14:textId="77777777" w:rsidR="00F11249" w:rsidRPr="00A942F6" w:rsidRDefault="00F11249" w:rsidP="00641834">
      <w:pPr>
        <w:rPr>
          <w:lang w:val="nb-NO"/>
        </w:rPr>
      </w:pPr>
    </w:p>
    <w:p w14:paraId="5478E32B" w14:textId="0354F5CE" w:rsidR="00F11249" w:rsidRPr="00A942F6" w:rsidRDefault="00F11249" w:rsidP="00641834">
      <w:pPr>
        <w:pStyle w:val="bold"/>
        <w:rPr>
          <w:lang w:val="nb-NO"/>
        </w:rPr>
      </w:pPr>
      <w:r w:rsidRPr="00A942F6">
        <w:rPr>
          <w:lang w:val="nb-NO"/>
        </w:rPr>
        <w:t xml:space="preserve">Andre legemidler og </w:t>
      </w:r>
      <w:r w:rsidR="00923E68" w:rsidRPr="00A942F6">
        <w:rPr>
          <w:lang w:val="nb-NO"/>
        </w:rPr>
        <w:t>Avtozma</w:t>
      </w:r>
    </w:p>
    <w:p w14:paraId="3CAFD02C" w14:textId="6D6688D2" w:rsidR="00F11249" w:rsidRPr="00A942F6" w:rsidRDefault="00F11249" w:rsidP="00641834">
      <w:pPr>
        <w:rPr>
          <w:lang w:val="nb-NO"/>
        </w:rPr>
      </w:pPr>
      <w:r w:rsidRPr="00A942F6">
        <w:rPr>
          <w:lang w:val="nb-NO"/>
        </w:rPr>
        <w:t xml:space="preserve">Snakk med lege dersom du bruker, nylig har brukt eller planlegger å bruke andre legemidler. </w:t>
      </w:r>
      <w:r w:rsidR="00923E68" w:rsidRPr="00A942F6">
        <w:rPr>
          <w:lang w:val="nb-NO"/>
        </w:rPr>
        <w:t>Avtozma</w:t>
      </w:r>
      <w:r w:rsidRPr="00A942F6">
        <w:rPr>
          <w:lang w:val="nb-NO"/>
        </w:rPr>
        <w:t xml:space="preserve"> kan påvirke hvordan noen legemidler virker, og det kan bli nødvendig å justere doseringen av disse. Du må </w:t>
      </w:r>
      <w:r w:rsidRPr="00A942F6">
        <w:rPr>
          <w:b/>
          <w:bCs/>
          <w:lang w:val="nb-NO"/>
        </w:rPr>
        <w:t>informere legen din</w:t>
      </w:r>
      <w:r w:rsidRPr="00A942F6">
        <w:rPr>
          <w:lang w:val="nb-NO"/>
        </w:rPr>
        <w:t xml:space="preserve"> hvis du bruker legemidler som inneholder noen av følgende virkestoffer:</w:t>
      </w:r>
    </w:p>
    <w:p w14:paraId="3FD202DF" w14:textId="77777777" w:rsidR="00C65467" w:rsidRPr="00A942F6" w:rsidRDefault="00C65467" w:rsidP="00641834">
      <w:pPr>
        <w:rPr>
          <w:lang w:val="nb-NO"/>
        </w:rPr>
      </w:pPr>
    </w:p>
    <w:p w14:paraId="76C50B83" w14:textId="77777777" w:rsidR="00F11249" w:rsidRPr="00A942F6" w:rsidRDefault="00F11249" w:rsidP="00641834">
      <w:pPr>
        <w:pStyle w:val="Bullet1cm"/>
        <w:rPr>
          <w:lang w:val="nb-NO"/>
        </w:rPr>
      </w:pPr>
      <w:r w:rsidRPr="00A942F6">
        <w:rPr>
          <w:lang w:val="nb-NO"/>
        </w:rPr>
        <w:t>metylprednisolon, deksametason, brukes for å dempe betennelse (inflammasjon)</w:t>
      </w:r>
    </w:p>
    <w:p w14:paraId="00578D04" w14:textId="77777777" w:rsidR="00F11249" w:rsidRPr="00A942F6" w:rsidRDefault="00F11249" w:rsidP="00641834">
      <w:pPr>
        <w:pStyle w:val="Bullet1cm"/>
        <w:rPr>
          <w:lang w:val="nb-NO"/>
        </w:rPr>
      </w:pPr>
      <w:r w:rsidRPr="00A942F6">
        <w:rPr>
          <w:lang w:val="nb-NO"/>
        </w:rPr>
        <w:t>simvastatin eller atorvastatin, brukes for å redusere kolesterolnivået</w:t>
      </w:r>
    </w:p>
    <w:p w14:paraId="39C97FA3" w14:textId="77777777" w:rsidR="00F11249" w:rsidRPr="00A942F6" w:rsidRDefault="00F11249" w:rsidP="00641834">
      <w:pPr>
        <w:pStyle w:val="Bullet1cm"/>
        <w:rPr>
          <w:lang w:val="nb-NO"/>
        </w:rPr>
      </w:pPr>
      <w:r w:rsidRPr="00A942F6">
        <w:rPr>
          <w:lang w:val="nb-NO"/>
        </w:rPr>
        <w:t>kalsiumkanalblokkere (f.eks. amlodipin), brukes ved behandling av høyt blodtrykk</w:t>
      </w:r>
    </w:p>
    <w:p w14:paraId="02325800" w14:textId="77777777" w:rsidR="00F11249" w:rsidRPr="00A942F6" w:rsidRDefault="00F11249" w:rsidP="00641834">
      <w:pPr>
        <w:pStyle w:val="Bullet1cm"/>
        <w:rPr>
          <w:lang w:val="nb-NO"/>
        </w:rPr>
      </w:pPr>
      <w:r w:rsidRPr="00A942F6">
        <w:rPr>
          <w:lang w:val="nb-NO"/>
        </w:rPr>
        <w:t>teofyllin, brukes ved behandling av astma</w:t>
      </w:r>
    </w:p>
    <w:p w14:paraId="6066BA4F" w14:textId="77777777" w:rsidR="00F11249" w:rsidRPr="00A942F6" w:rsidRDefault="00F11249" w:rsidP="00641834">
      <w:pPr>
        <w:pStyle w:val="Bullet1cm"/>
        <w:rPr>
          <w:lang w:val="nb-NO"/>
        </w:rPr>
      </w:pPr>
      <w:r w:rsidRPr="00A942F6">
        <w:rPr>
          <w:lang w:val="nb-NO"/>
        </w:rPr>
        <w:t>warfarin eller fenprokumon, brukes som blodfortynnende midler</w:t>
      </w:r>
    </w:p>
    <w:p w14:paraId="60065F63" w14:textId="77777777" w:rsidR="00F11249" w:rsidRPr="00A942F6" w:rsidRDefault="00F11249" w:rsidP="00641834">
      <w:pPr>
        <w:pStyle w:val="Bullet1cm"/>
        <w:rPr>
          <w:lang w:val="nb-NO"/>
        </w:rPr>
      </w:pPr>
      <w:r w:rsidRPr="00A942F6">
        <w:rPr>
          <w:lang w:val="nb-NO"/>
        </w:rPr>
        <w:t>fenytoin, brukes ved behandling av krampeanfall</w:t>
      </w:r>
    </w:p>
    <w:p w14:paraId="6F863F04" w14:textId="77777777" w:rsidR="00F11249" w:rsidRPr="00A942F6" w:rsidRDefault="00F11249" w:rsidP="00641834">
      <w:pPr>
        <w:pStyle w:val="Bullet1cm"/>
        <w:rPr>
          <w:lang w:val="nb-NO"/>
        </w:rPr>
      </w:pPr>
      <w:r w:rsidRPr="00A942F6">
        <w:rPr>
          <w:lang w:val="nb-NO"/>
        </w:rPr>
        <w:t>ciklosporin, brukes for å undertrykke immunsystemet ved organtransplantasjoner</w:t>
      </w:r>
    </w:p>
    <w:p w14:paraId="0C2C656E" w14:textId="77777777" w:rsidR="00F11249" w:rsidRPr="00A942F6" w:rsidRDefault="00F11249" w:rsidP="00641834">
      <w:pPr>
        <w:pStyle w:val="Bullet1cm"/>
        <w:rPr>
          <w:lang w:val="nb-NO"/>
        </w:rPr>
      </w:pPr>
      <w:r w:rsidRPr="00A942F6">
        <w:rPr>
          <w:lang w:val="nb-NO"/>
        </w:rPr>
        <w:t>benzodiazepiner (f.eks. temazepam), brukes for å lindre angst</w:t>
      </w:r>
    </w:p>
    <w:p w14:paraId="1E3BF2DF" w14:textId="77777777" w:rsidR="00C65467" w:rsidRPr="00A942F6" w:rsidRDefault="00C65467" w:rsidP="00641834">
      <w:pPr>
        <w:rPr>
          <w:lang w:val="nb-NO"/>
        </w:rPr>
      </w:pPr>
    </w:p>
    <w:p w14:paraId="7CE11A8B" w14:textId="119BC7D8" w:rsidR="00F11249" w:rsidRPr="00A942F6" w:rsidRDefault="00F11249" w:rsidP="00641834">
      <w:pPr>
        <w:rPr>
          <w:lang w:val="nb-NO"/>
        </w:rPr>
      </w:pPr>
      <w:r w:rsidRPr="00A942F6">
        <w:rPr>
          <w:lang w:val="nb-NO"/>
        </w:rPr>
        <w:t xml:space="preserve">På grunn av mangel på klinisk erfaring, anbefales det ikke å bruke </w:t>
      </w:r>
      <w:r w:rsidR="00EA08FF" w:rsidRPr="00A942F6">
        <w:rPr>
          <w:lang w:val="nb-NO"/>
        </w:rPr>
        <w:t>tocilizumab</w:t>
      </w:r>
      <w:r w:rsidRPr="00A942F6">
        <w:rPr>
          <w:lang w:val="nb-NO"/>
        </w:rPr>
        <w:t xml:space="preserve"> sammen med andre biologiske legemidler til behandling av RA, sJIA, pJIA eller GCA.</w:t>
      </w:r>
    </w:p>
    <w:p w14:paraId="62C435EA" w14:textId="77777777" w:rsidR="00F11249" w:rsidRPr="00A942F6" w:rsidRDefault="00F11249" w:rsidP="00641834">
      <w:pPr>
        <w:rPr>
          <w:lang w:val="nb-NO"/>
        </w:rPr>
      </w:pPr>
    </w:p>
    <w:p w14:paraId="1C552FBF" w14:textId="77777777" w:rsidR="00F11249" w:rsidRPr="00A942F6" w:rsidRDefault="00F11249" w:rsidP="00641834">
      <w:pPr>
        <w:pStyle w:val="bold"/>
        <w:rPr>
          <w:lang w:val="nb-NO"/>
        </w:rPr>
      </w:pPr>
      <w:r w:rsidRPr="00A942F6">
        <w:rPr>
          <w:lang w:val="nb-NO"/>
        </w:rPr>
        <w:t>Graviditet, amming og fertilitet</w:t>
      </w:r>
    </w:p>
    <w:p w14:paraId="0B156EC8" w14:textId="77777777" w:rsidR="00C65467" w:rsidRPr="00A942F6" w:rsidRDefault="00C65467" w:rsidP="00641834">
      <w:pPr>
        <w:rPr>
          <w:lang w:val="nb-NO"/>
        </w:rPr>
      </w:pPr>
    </w:p>
    <w:p w14:paraId="5047B191" w14:textId="204E7513" w:rsidR="00F11249" w:rsidRPr="00A942F6" w:rsidRDefault="00923E68" w:rsidP="00641834">
      <w:pPr>
        <w:rPr>
          <w:lang w:val="nb-NO"/>
        </w:rPr>
      </w:pPr>
      <w:r w:rsidRPr="00A942F6">
        <w:rPr>
          <w:b/>
          <w:bCs/>
          <w:lang w:val="nb-NO"/>
        </w:rPr>
        <w:t>Avtozma</w:t>
      </w:r>
      <w:r w:rsidR="00F11249" w:rsidRPr="00A942F6">
        <w:rPr>
          <w:b/>
          <w:bCs/>
          <w:lang w:val="nb-NO"/>
        </w:rPr>
        <w:t xml:space="preserve"> skal ikke brukes under graviditet,</w:t>
      </w:r>
      <w:r w:rsidR="00F11249" w:rsidRPr="00A942F6">
        <w:rPr>
          <w:lang w:val="nb-NO"/>
        </w:rPr>
        <w:t xml:space="preserve"> hvis ikke strengt nødvendig. Snakk med legen før du tar dette legemidlet dersom du er gravid, tror at du kan være gravid eller planlegger å bli gravid.</w:t>
      </w:r>
    </w:p>
    <w:p w14:paraId="6973E961" w14:textId="77777777" w:rsidR="00C65467" w:rsidRPr="00A942F6" w:rsidRDefault="00C65467" w:rsidP="00641834">
      <w:pPr>
        <w:rPr>
          <w:lang w:val="nb-NO"/>
        </w:rPr>
      </w:pPr>
    </w:p>
    <w:p w14:paraId="1ECD290C" w14:textId="77777777" w:rsidR="00F11249" w:rsidRPr="00A942F6" w:rsidRDefault="00F11249" w:rsidP="00641834">
      <w:pPr>
        <w:rPr>
          <w:lang w:val="nb-NO"/>
        </w:rPr>
      </w:pPr>
      <w:r w:rsidRPr="00A942F6">
        <w:rPr>
          <w:b/>
          <w:bCs/>
          <w:lang w:val="nb-NO"/>
        </w:rPr>
        <w:t>Fruktbare kvinner (fertile kvinner) må</w:t>
      </w:r>
      <w:r w:rsidRPr="00A942F6">
        <w:rPr>
          <w:lang w:val="nb-NO"/>
        </w:rPr>
        <w:t xml:space="preserve"> bruke sikker prevensjon under og opptil 3 måneder etter behandlingen.</w:t>
      </w:r>
    </w:p>
    <w:p w14:paraId="3FAC8009" w14:textId="77777777" w:rsidR="00F11249" w:rsidRPr="00A942F6" w:rsidRDefault="00F11249" w:rsidP="00641834">
      <w:pPr>
        <w:rPr>
          <w:lang w:val="nb-NO"/>
        </w:rPr>
      </w:pPr>
    </w:p>
    <w:p w14:paraId="57B8A878" w14:textId="49C4FDB1" w:rsidR="00F11249" w:rsidRPr="00A942F6" w:rsidRDefault="00F11249" w:rsidP="00641834">
      <w:pPr>
        <w:rPr>
          <w:lang w:val="nb-NO"/>
        </w:rPr>
      </w:pPr>
      <w:r w:rsidRPr="00A942F6">
        <w:rPr>
          <w:b/>
          <w:bCs/>
          <w:lang w:val="nb-NO"/>
        </w:rPr>
        <w:t xml:space="preserve">Avbryt ammingen hvis du skal få </w:t>
      </w:r>
      <w:r w:rsidR="00923E68" w:rsidRPr="00A942F6">
        <w:rPr>
          <w:b/>
          <w:bCs/>
          <w:lang w:val="nb-NO"/>
        </w:rPr>
        <w:t>Avtozma</w:t>
      </w:r>
      <w:r w:rsidRPr="00A942F6">
        <w:rPr>
          <w:lang w:val="nb-NO"/>
        </w:rPr>
        <w:t xml:space="preserve"> og snakk med lege. Før du starter å amme bør du ha fått siste dose av </w:t>
      </w:r>
      <w:r w:rsidR="00923E68" w:rsidRPr="00A942F6">
        <w:rPr>
          <w:lang w:val="nb-NO"/>
        </w:rPr>
        <w:t>Avtozma</w:t>
      </w:r>
      <w:r w:rsidRPr="00A942F6">
        <w:rPr>
          <w:lang w:val="nb-NO"/>
        </w:rPr>
        <w:t xml:space="preserve"> for minst 3 måneder siden. Det er ukjent om </w:t>
      </w:r>
      <w:r w:rsidR="00923E68" w:rsidRPr="00A942F6">
        <w:rPr>
          <w:lang w:val="nb-NO"/>
        </w:rPr>
        <w:t>Avtozma</w:t>
      </w:r>
      <w:r w:rsidRPr="00A942F6">
        <w:rPr>
          <w:lang w:val="nb-NO"/>
        </w:rPr>
        <w:t xml:space="preserve"> skilles ut i morsmelk.</w:t>
      </w:r>
    </w:p>
    <w:p w14:paraId="6223DD35" w14:textId="77777777" w:rsidR="00F11249" w:rsidRPr="00A942F6" w:rsidRDefault="00F11249" w:rsidP="00641834">
      <w:pPr>
        <w:rPr>
          <w:lang w:val="nb-NO"/>
        </w:rPr>
      </w:pPr>
    </w:p>
    <w:p w14:paraId="14EA1D63" w14:textId="77777777" w:rsidR="00F11249" w:rsidRPr="00A942F6" w:rsidRDefault="00F11249" w:rsidP="003F072B">
      <w:pPr>
        <w:keepNext/>
        <w:rPr>
          <w:b/>
          <w:bCs/>
          <w:lang w:val="nb-NO"/>
        </w:rPr>
      </w:pPr>
      <w:r w:rsidRPr="00A942F6">
        <w:rPr>
          <w:b/>
          <w:bCs/>
          <w:lang w:val="nb-NO"/>
        </w:rPr>
        <w:t>Kjøring og bruk av maskiner</w:t>
      </w:r>
    </w:p>
    <w:p w14:paraId="74761E5A" w14:textId="77777777" w:rsidR="00F11249" w:rsidRPr="00A942F6" w:rsidRDefault="00F11249" w:rsidP="00641834">
      <w:pPr>
        <w:rPr>
          <w:lang w:val="nb-NO"/>
        </w:rPr>
      </w:pPr>
      <w:r w:rsidRPr="00A942F6">
        <w:rPr>
          <w:lang w:val="nb-NO"/>
        </w:rPr>
        <w:t>Dette legemidlet kan forårsake svimmelhet. Hvis du opplever å bli svimmel, skal du ikke kjøre bil eller bruke maskiner.</w:t>
      </w:r>
    </w:p>
    <w:p w14:paraId="72775628" w14:textId="77777777" w:rsidR="00F11249" w:rsidRPr="00A942F6" w:rsidRDefault="00F11249" w:rsidP="00641834">
      <w:pPr>
        <w:rPr>
          <w:lang w:val="nb-NO"/>
        </w:rPr>
      </w:pPr>
    </w:p>
    <w:p w14:paraId="67313949" w14:textId="77777777" w:rsidR="00EA08FF" w:rsidRPr="00A942F6" w:rsidRDefault="00EA08FF" w:rsidP="00EA08FF">
      <w:pPr>
        <w:rPr>
          <w:b/>
          <w:bCs/>
          <w:lang w:val="nb-NO"/>
        </w:rPr>
      </w:pPr>
      <w:r w:rsidRPr="00A942F6">
        <w:rPr>
          <w:b/>
          <w:bCs/>
          <w:lang w:val="nb-NO"/>
        </w:rPr>
        <w:t>Avtozma inneholder polysorbat</w:t>
      </w:r>
    </w:p>
    <w:p w14:paraId="666F8FFE" w14:textId="77777777" w:rsidR="00EA08FF" w:rsidRPr="00A942F6" w:rsidRDefault="00EA08FF" w:rsidP="00EA08FF">
      <w:pPr>
        <w:rPr>
          <w:lang w:val="nb-NO"/>
        </w:rPr>
      </w:pPr>
      <w:r w:rsidRPr="00A942F6">
        <w:rPr>
          <w:lang w:val="nb-NO"/>
        </w:rPr>
        <w:t xml:space="preserve">Dette legemidlet inneholder 0,2 mg polysorbat 80 per ferdigfylt penn. Polysorbater kan forårsake allergiske reaksjoner. </w:t>
      </w:r>
      <w:r w:rsidR="00A916E8" w:rsidRPr="00A942F6">
        <w:rPr>
          <w:lang w:val="nb-NO"/>
        </w:rPr>
        <w:t>Snakk med</w:t>
      </w:r>
      <w:r w:rsidRPr="00A942F6">
        <w:rPr>
          <w:lang w:val="nb-NO"/>
        </w:rPr>
        <w:t xml:space="preserve"> legen din </w:t>
      </w:r>
      <w:r w:rsidR="00A916E8" w:rsidRPr="00A942F6">
        <w:rPr>
          <w:lang w:val="nb-NO"/>
        </w:rPr>
        <w:t xml:space="preserve">hvis </w:t>
      </w:r>
      <w:r w:rsidRPr="00A942F6">
        <w:rPr>
          <w:lang w:val="nb-NO"/>
        </w:rPr>
        <w:t>du har kjente allergier.</w:t>
      </w:r>
    </w:p>
    <w:p w14:paraId="60F3E162" w14:textId="77777777" w:rsidR="00EA08FF" w:rsidRPr="00A942F6" w:rsidRDefault="00EA08FF" w:rsidP="00EA08FF">
      <w:pPr>
        <w:rPr>
          <w:lang w:val="nb-NO"/>
        </w:rPr>
      </w:pPr>
    </w:p>
    <w:p w14:paraId="071A4BD7" w14:textId="77777777" w:rsidR="00F11249" w:rsidRPr="00A942F6" w:rsidRDefault="00F11249" w:rsidP="00641834">
      <w:pPr>
        <w:rPr>
          <w:lang w:val="nb-NO"/>
        </w:rPr>
      </w:pPr>
    </w:p>
    <w:p w14:paraId="16DC256A" w14:textId="254552F5" w:rsidR="00F11249" w:rsidRPr="00A942F6" w:rsidRDefault="00F11249" w:rsidP="00641834">
      <w:pPr>
        <w:pStyle w:val="H2"/>
        <w:rPr>
          <w:lang w:val="nb-NO"/>
        </w:rPr>
      </w:pPr>
      <w:r w:rsidRPr="00A942F6">
        <w:rPr>
          <w:lang w:val="nb-NO"/>
        </w:rPr>
        <w:t>3.</w:t>
      </w:r>
      <w:r w:rsidRPr="00A942F6">
        <w:rPr>
          <w:lang w:val="nb-NO"/>
        </w:rPr>
        <w:tab/>
        <w:t xml:space="preserve">Hvordan du bruker </w:t>
      </w:r>
      <w:r w:rsidR="00923E68" w:rsidRPr="00A942F6">
        <w:rPr>
          <w:lang w:val="nb-NO"/>
        </w:rPr>
        <w:t>Avtozma</w:t>
      </w:r>
    </w:p>
    <w:p w14:paraId="169410BA" w14:textId="77777777" w:rsidR="00AF32BA" w:rsidRPr="00A942F6" w:rsidRDefault="00AF32BA" w:rsidP="00641834">
      <w:pPr>
        <w:rPr>
          <w:lang w:val="nb-NO"/>
        </w:rPr>
      </w:pPr>
    </w:p>
    <w:p w14:paraId="49527268" w14:textId="77777777" w:rsidR="00F11249" w:rsidRPr="00A942F6" w:rsidRDefault="00F11249" w:rsidP="00641834">
      <w:pPr>
        <w:rPr>
          <w:lang w:val="nb-NO"/>
        </w:rPr>
      </w:pPr>
      <w:r w:rsidRPr="00A942F6">
        <w:rPr>
          <w:lang w:val="nb-NO"/>
        </w:rPr>
        <w:t>Bruk alltid dette legemidlet nøyaktig slik legen din, apotek eller sykepleier har fortalt deg. Kontakt lege, apotek eller sykepleier dersom du er usikker.</w:t>
      </w:r>
    </w:p>
    <w:p w14:paraId="7AFBDA84" w14:textId="77777777" w:rsidR="00C65467" w:rsidRPr="00A942F6" w:rsidRDefault="00C65467" w:rsidP="00641834">
      <w:pPr>
        <w:rPr>
          <w:lang w:val="nb-NO"/>
        </w:rPr>
      </w:pPr>
    </w:p>
    <w:p w14:paraId="2AFAF8E2" w14:textId="77777777" w:rsidR="00F11249" w:rsidRPr="00A942F6" w:rsidRDefault="00F11249" w:rsidP="00641834">
      <w:pPr>
        <w:rPr>
          <w:lang w:val="nb-NO"/>
        </w:rPr>
      </w:pPr>
      <w:r w:rsidRPr="00A942F6">
        <w:rPr>
          <w:lang w:val="nb-NO"/>
        </w:rPr>
        <w:t>Behandlingen blir forskrevet og startet opp av lege med erfaring i diagnostikk og behandling av RA, sJIA, pJIA eller GCA.</w:t>
      </w:r>
    </w:p>
    <w:p w14:paraId="792AC48C" w14:textId="77777777" w:rsidR="00F11249" w:rsidRPr="00A942F6" w:rsidRDefault="00F11249" w:rsidP="00641834">
      <w:pPr>
        <w:rPr>
          <w:lang w:val="nb-NO"/>
        </w:rPr>
      </w:pPr>
    </w:p>
    <w:p w14:paraId="78C335E1" w14:textId="77777777" w:rsidR="00F11249" w:rsidRPr="00A942F6" w:rsidRDefault="00F11249" w:rsidP="00641834">
      <w:pPr>
        <w:pStyle w:val="bold"/>
        <w:rPr>
          <w:lang w:val="nb-NO"/>
        </w:rPr>
      </w:pPr>
      <w:r w:rsidRPr="00A942F6">
        <w:rPr>
          <w:lang w:val="nb-NO"/>
        </w:rPr>
        <w:t>Den anbefalte dosen</w:t>
      </w:r>
    </w:p>
    <w:p w14:paraId="73F6DEDD" w14:textId="77777777" w:rsidR="00F11249" w:rsidRPr="00A942F6" w:rsidRDefault="00F11249" w:rsidP="00641834">
      <w:pPr>
        <w:rPr>
          <w:lang w:val="nb-NO"/>
        </w:rPr>
      </w:pPr>
      <w:r w:rsidRPr="00A942F6">
        <w:rPr>
          <w:lang w:val="nb-NO"/>
        </w:rPr>
        <w:t>Dosering for voksne med RA eller GCA er 162 mg (innholdet av 1 ferdigfylt penn) gitt én gang i uken.</w:t>
      </w:r>
    </w:p>
    <w:p w14:paraId="60D0B44D" w14:textId="77777777" w:rsidR="00F11249" w:rsidRPr="00A942F6" w:rsidRDefault="00F11249" w:rsidP="00641834">
      <w:pPr>
        <w:rPr>
          <w:lang w:val="nb-NO"/>
        </w:rPr>
      </w:pPr>
    </w:p>
    <w:p w14:paraId="41A1DD17" w14:textId="77777777" w:rsidR="00F11249" w:rsidRPr="00A942F6" w:rsidRDefault="00F11249" w:rsidP="00641834">
      <w:pPr>
        <w:pStyle w:val="bold"/>
        <w:rPr>
          <w:lang w:val="nb-NO"/>
        </w:rPr>
      </w:pPr>
      <w:r w:rsidRPr="00A942F6">
        <w:rPr>
          <w:lang w:val="nb-NO"/>
        </w:rPr>
        <w:t>Ungdom med sJIA (i alderen 12 år og oppover)</w:t>
      </w:r>
    </w:p>
    <w:p w14:paraId="79ABA381" w14:textId="6F8C4ACE" w:rsidR="00F11249" w:rsidRPr="00A942F6" w:rsidRDefault="00F11249" w:rsidP="00641834">
      <w:pPr>
        <w:pStyle w:val="bold"/>
        <w:rPr>
          <w:lang w:val="nb-NO"/>
        </w:rPr>
      </w:pPr>
      <w:r w:rsidRPr="00A942F6">
        <w:rPr>
          <w:lang w:val="nb-NO"/>
        </w:rPr>
        <w:t xml:space="preserve">Den vanlige dosen med </w:t>
      </w:r>
      <w:r w:rsidR="00923E68" w:rsidRPr="00A942F6">
        <w:rPr>
          <w:lang w:val="nb-NO"/>
        </w:rPr>
        <w:t>Avtozma</w:t>
      </w:r>
      <w:r w:rsidRPr="00A942F6">
        <w:rPr>
          <w:lang w:val="nb-NO"/>
        </w:rPr>
        <w:t xml:space="preserve"> avhenger av pasientens vekt.</w:t>
      </w:r>
    </w:p>
    <w:p w14:paraId="48AC7822" w14:textId="4E76951A" w:rsidR="00F11249" w:rsidRPr="00A942F6" w:rsidRDefault="00F11249" w:rsidP="00641834">
      <w:pPr>
        <w:pStyle w:val="Bullet1cm"/>
        <w:rPr>
          <w:lang w:val="nb-NO"/>
        </w:rPr>
      </w:pPr>
      <w:r w:rsidRPr="00A942F6">
        <w:rPr>
          <w:lang w:val="nb-NO"/>
        </w:rPr>
        <w:t xml:space="preserve">Hvis pasienten veier </w:t>
      </w:r>
      <w:r w:rsidRPr="00A942F6">
        <w:rPr>
          <w:b/>
          <w:bCs/>
          <w:lang w:val="nb-NO"/>
        </w:rPr>
        <w:t>mindre enn 30 kg</w:t>
      </w:r>
      <w:r w:rsidRPr="00A942F6">
        <w:rPr>
          <w:lang w:val="nb-NO"/>
        </w:rPr>
        <w:t xml:space="preserve">: dosen er 162 mg (innholdet i 1 ferdigfylt </w:t>
      </w:r>
      <w:del w:id="34" w:author="만든 이">
        <w:r w:rsidRPr="00A942F6" w:rsidDel="005B1011">
          <w:rPr>
            <w:lang w:val="nb-NO"/>
          </w:rPr>
          <w:delText>sprøyte</w:delText>
        </w:r>
      </w:del>
      <w:ins w:id="35" w:author="만든 이">
        <w:r w:rsidR="005B1011">
          <w:rPr>
            <w:rFonts w:eastAsia="맑은 고딕" w:hint="eastAsia"/>
            <w:lang w:val="nb-NO" w:eastAsia="ko-KR"/>
          </w:rPr>
          <w:t>penn</w:t>
        </w:r>
      </w:ins>
      <w:r w:rsidRPr="00A942F6">
        <w:rPr>
          <w:lang w:val="nb-NO"/>
        </w:rPr>
        <w:t>) én gang annenhver uke</w:t>
      </w:r>
    </w:p>
    <w:p w14:paraId="1B899C53" w14:textId="1B11FCB1" w:rsidR="00F11249" w:rsidRPr="00A942F6" w:rsidRDefault="00F11249" w:rsidP="00641834">
      <w:pPr>
        <w:pStyle w:val="Bullet1cm"/>
        <w:rPr>
          <w:lang w:val="nb-NO"/>
        </w:rPr>
      </w:pPr>
      <w:r w:rsidRPr="00A942F6">
        <w:rPr>
          <w:lang w:val="nb-NO"/>
        </w:rPr>
        <w:t xml:space="preserve">Hvis pasienten veier </w:t>
      </w:r>
      <w:r w:rsidRPr="00A942F6">
        <w:rPr>
          <w:b/>
          <w:bCs/>
          <w:lang w:val="nb-NO"/>
        </w:rPr>
        <w:t>30 kg eller mer</w:t>
      </w:r>
      <w:r w:rsidRPr="00A942F6">
        <w:rPr>
          <w:lang w:val="nb-NO"/>
        </w:rPr>
        <w:t xml:space="preserve">: dosen er 162 mg (innholdet i 1 ferdigfylt </w:t>
      </w:r>
      <w:ins w:id="36" w:author="만든 이">
        <w:r w:rsidR="005B1011">
          <w:rPr>
            <w:rFonts w:eastAsia="맑은 고딕" w:hint="eastAsia"/>
            <w:lang w:val="nb-NO" w:eastAsia="ko-KR"/>
          </w:rPr>
          <w:t>penn</w:t>
        </w:r>
      </w:ins>
      <w:del w:id="37" w:author="만든 이">
        <w:r w:rsidRPr="00A942F6" w:rsidDel="005B1011">
          <w:rPr>
            <w:lang w:val="nb-NO"/>
          </w:rPr>
          <w:delText>sprøyte</w:delText>
        </w:r>
      </w:del>
      <w:r w:rsidRPr="00A942F6">
        <w:rPr>
          <w:lang w:val="nb-NO"/>
        </w:rPr>
        <w:t>) én gang hver uke</w:t>
      </w:r>
    </w:p>
    <w:p w14:paraId="093EEC2E" w14:textId="77777777" w:rsidR="00C65467" w:rsidRPr="00A942F6" w:rsidRDefault="00C65467" w:rsidP="00641834">
      <w:pPr>
        <w:rPr>
          <w:lang w:val="nb-NO"/>
        </w:rPr>
      </w:pPr>
    </w:p>
    <w:p w14:paraId="4DF753E3" w14:textId="77777777" w:rsidR="00F11249" w:rsidRPr="00A942F6" w:rsidRDefault="00F11249" w:rsidP="00641834">
      <w:pPr>
        <w:rPr>
          <w:lang w:val="nb-NO"/>
        </w:rPr>
      </w:pPr>
      <w:r w:rsidRPr="00A942F6">
        <w:rPr>
          <w:lang w:val="nb-NO"/>
        </w:rPr>
        <w:t>Den ferdigfylte pennen bør ikke brukes til å behandle barn under 12 år.</w:t>
      </w:r>
    </w:p>
    <w:p w14:paraId="245A07A1" w14:textId="77777777" w:rsidR="00F11249" w:rsidRPr="00A942F6" w:rsidRDefault="00F11249" w:rsidP="00641834">
      <w:pPr>
        <w:rPr>
          <w:lang w:val="nb-NO"/>
        </w:rPr>
      </w:pPr>
    </w:p>
    <w:p w14:paraId="2CE36F00" w14:textId="77777777" w:rsidR="00F11249" w:rsidRPr="00A942F6" w:rsidRDefault="00F11249" w:rsidP="00641834">
      <w:pPr>
        <w:pStyle w:val="bold"/>
        <w:rPr>
          <w:lang w:val="nb-NO"/>
        </w:rPr>
      </w:pPr>
      <w:r w:rsidRPr="00A942F6">
        <w:rPr>
          <w:lang w:val="nb-NO"/>
        </w:rPr>
        <w:t>Ungdom med pJIA (i alderen 12 år og oppover)</w:t>
      </w:r>
    </w:p>
    <w:p w14:paraId="2C261FBA" w14:textId="741EBDD0" w:rsidR="00F11249" w:rsidRPr="00A942F6" w:rsidRDefault="00F11249" w:rsidP="00641834">
      <w:pPr>
        <w:pStyle w:val="bold"/>
        <w:rPr>
          <w:lang w:val="nb-NO"/>
        </w:rPr>
      </w:pPr>
      <w:r w:rsidRPr="00A942F6">
        <w:rPr>
          <w:lang w:val="nb-NO"/>
        </w:rPr>
        <w:t xml:space="preserve">Den vanlige dosen med </w:t>
      </w:r>
      <w:r w:rsidR="00923E68" w:rsidRPr="00A942F6">
        <w:rPr>
          <w:lang w:val="nb-NO"/>
        </w:rPr>
        <w:t>Avtozma</w:t>
      </w:r>
      <w:r w:rsidRPr="00A942F6">
        <w:rPr>
          <w:lang w:val="nb-NO"/>
        </w:rPr>
        <w:t xml:space="preserve"> avhenger av pasientens vekt.</w:t>
      </w:r>
    </w:p>
    <w:p w14:paraId="4D9BFC69" w14:textId="750B7663" w:rsidR="00F11249" w:rsidRPr="00A942F6" w:rsidRDefault="00F11249" w:rsidP="007814F8">
      <w:pPr>
        <w:pStyle w:val="a5"/>
        <w:numPr>
          <w:ilvl w:val="0"/>
          <w:numId w:val="18"/>
        </w:numPr>
        <w:ind w:left="567" w:hanging="567"/>
        <w:rPr>
          <w:b/>
          <w:bCs/>
          <w:lang w:val="nb-NO"/>
        </w:rPr>
      </w:pPr>
      <w:r w:rsidRPr="00A942F6">
        <w:rPr>
          <w:lang w:val="nb-NO"/>
        </w:rPr>
        <w:t>Hvis pasienten veier</w:t>
      </w:r>
      <w:r w:rsidRPr="00A942F6">
        <w:rPr>
          <w:b/>
          <w:bCs/>
          <w:lang w:val="nb-NO"/>
        </w:rPr>
        <w:t xml:space="preserve"> mindre enn 30 kg</w:t>
      </w:r>
      <w:r w:rsidRPr="00A942F6">
        <w:rPr>
          <w:lang w:val="nb-NO"/>
        </w:rPr>
        <w:t xml:space="preserve">: dosen er 162 mg (innholdet i 1 ferdigfylt </w:t>
      </w:r>
      <w:ins w:id="38" w:author="만든 이">
        <w:r w:rsidR="005B1011">
          <w:rPr>
            <w:rFonts w:eastAsia="맑은 고딕" w:hint="eastAsia"/>
            <w:lang w:val="nb-NO" w:eastAsia="ko-KR"/>
          </w:rPr>
          <w:t>penn</w:t>
        </w:r>
      </w:ins>
      <w:del w:id="39" w:author="만든 이">
        <w:r w:rsidRPr="00A942F6" w:rsidDel="005B1011">
          <w:rPr>
            <w:lang w:val="nb-NO"/>
          </w:rPr>
          <w:delText>sprøyte</w:delText>
        </w:r>
      </w:del>
      <w:r w:rsidRPr="00A942F6">
        <w:rPr>
          <w:lang w:val="nb-NO"/>
        </w:rPr>
        <w:t xml:space="preserve">) </w:t>
      </w:r>
      <w:r w:rsidRPr="00A942F6">
        <w:rPr>
          <w:b/>
          <w:bCs/>
          <w:lang w:val="nb-NO"/>
        </w:rPr>
        <w:t>én gang hver tredje uke</w:t>
      </w:r>
    </w:p>
    <w:p w14:paraId="742F19D0" w14:textId="3754AF12" w:rsidR="00F11249" w:rsidRPr="00A942F6" w:rsidRDefault="00F11249" w:rsidP="007814F8">
      <w:pPr>
        <w:pStyle w:val="a5"/>
        <w:numPr>
          <w:ilvl w:val="0"/>
          <w:numId w:val="17"/>
        </w:numPr>
        <w:ind w:left="567" w:hanging="567"/>
        <w:rPr>
          <w:b/>
          <w:bCs/>
          <w:lang w:val="nb-NO"/>
        </w:rPr>
      </w:pPr>
      <w:r w:rsidRPr="00A942F6">
        <w:rPr>
          <w:lang w:val="nb-NO"/>
        </w:rPr>
        <w:t xml:space="preserve">Hvis pasienten veier </w:t>
      </w:r>
      <w:r w:rsidRPr="00A942F6">
        <w:rPr>
          <w:b/>
          <w:bCs/>
          <w:lang w:val="nb-NO"/>
        </w:rPr>
        <w:t>30 kg eller mer</w:t>
      </w:r>
      <w:r w:rsidRPr="00A942F6">
        <w:rPr>
          <w:lang w:val="nb-NO"/>
        </w:rPr>
        <w:t xml:space="preserve">: dosen er 162 mg (innholdet i 1 ferdigfylt </w:t>
      </w:r>
      <w:ins w:id="40" w:author="만든 이">
        <w:r w:rsidR="005B1011">
          <w:rPr>
            <w:rFonts w:eastAsia="맑은 고딕" w:hint="eastAsia"/>
            <w:lang w:val="nb-NO" w:eastAsia="ko-KR"/>
          </w:rPr>
          <w:t>penn</w:t>
        </w:r>
      </w:ins>
      <w:del w:id="41" w:author="만든 이">
        <w:r w:rsidRPr="00A942F6" w:rsidDel="005B1011">
          <w:rPr>
            <w:lang w:val="nb-NO"/>
          </w:rPr>
          <w:delText>sprøyte</w:delText>
        </w:r>
      </w:del>
      <w:r w:rsidRPr="00A942F6">
        <w:rPr>
          <w:lang w:val="nb-NO"/>
        </w:rPr>
        <w:t xml:space="preserve">) </w:t>
      </w:r>
      <w:r w:rsidRPr="00A942F6">
        <w:rPr>
          <w:b/>
          <w:bCs/>
          <w:lang w:val="nb-NO"/>
        </w:rPr>
        <w:t>én gang annenhver uke.</w:t>
      </w:r>
    </w:p>
    <w:p w14:paraId="4DFE4051" w14:textId="77777777" w:rsidR="00C65467" w:rsidRPr="00A942F6" w:rsidRDefault="00C65467" w:rsidP="00641834">
      <w:pPr>
        <w:rPr>
          <w:lang w:val="nb-NO"/>
        </w:rPr>
      </w:pPr>
    </w:p>
    <w:p w14:paraId="2DF631BA" w14:textId="77777777" w:rsidR="00F11249" w:rsidRPr="00A942F6" w:rsidRDefault="00F11249" w:rsidP="00641834">
      <w:pPr>
        <w:rPr>
          <w:lang w:val="nb-NO"/>
        </w:rPr>
      </w:pPr>
      <w:r w:rsidRPr="00A942F6">
        <w:rPr>
          <w:lang w:val="nb-NO"/>
        </w:rPr>
        <w:t>Den ferdigfylte pennen bør ikke brukes til å behandle barn under 12 år.</w:t>
      </w:r>
    </w:p>
    <w:p w14:paraId="58DE7F4A" w14:textId="77777777" w:rsidR="00F11249" w:rsidRPr="00A942F6" w:rsidRDefault="00F11249" w:rsidP="00641834">
      <w:pPr>
        <w:rPr>
          <w:lang w:val="nb-NO"/>
        </w:rPr>
      </w:pPr>
    </w:p>
    <w:p w14:paraId="6AC6281A" w14:textId="0C83167E" w:rsidR="00F11249" w:rsidRPr="00A942F6" w:rsidRDefault="00923E68" w:rsidP="00641834">
      <w:pPr>
        <w:rPr>
          <w:lang w:val="nb-NO"/>
        </w:rPr>
      </w:pPr>
      <w:r w:rsidRPr="00A942F6">
        <w:rPr>
          <w:lang w:val="nb-NO"/>
        </w:rPr>
        <w:t>Avtozma</w:t>
      </w:r>
      <w:r w:rsidR="00F11249" w:rsidRPr="00A942F6">
        <w:rPr>
          <w:lang w:val="nb-NO"/>
        </w:rPr>
        <w:t xml:space="preserve"> blir gitt som en injeksjon under huden (</w:t>
      </w:r>
      <w:r w:rsidR="00F11249" w:rsidRPr="00A942F6">
        <w:rPr>
          <w:i/>
          <w:iCs/>
          <w:lang w:val="nb-NO"/>
        </w:rPr>
        <w:t>subkutant</w:t>
      </w:r>
      <w:r w:rsidR="00F11249" w:rsidRPr="00A942F6">
        <w:rPr>
          <w:lang w:val="nb-NO"/>
        </w:rPr>
        <w:t xml:space="preserve">). Ved oppstart kan lege eller sykepleier injisere </w:t>
      </w:r>
      <w:r w:rsidRPr="00A942F6">
        <w:rPr>
          <w:lang w:val="nb-NO"/>
        </w:rPr>
        <w:t>Avtozma</w:t>
      </w:r>
      <w:r w:rsidR="00F11249" w:rsidRPr="00A942F6">
        <w:rPr>
          <w:lang w:val="nb-NO"/>
        </w:rPr>
        <w:t xml:space="preserve"> (ACTPen®). Legen din kan imidlertid bestemme at du kan injisere </w:t>
      </w:r>
      <w:r w:rsidRPr="00A942F6">
        <w:rPr>
          <w:lang w:val="nb-NO"/>
        </w:rPr>
        <w:t>Avtozma</w:t>
      </w:r>
      <w:r w:rsidR="00F11249" w:rsidRPr="00A942F6">
        <w:rPr>
          <w:lang w:val="nb-NO"/>
        </w:rPr>
        <w:t xml:space="preserve"> selv. I så fall vil du få opplæring i hvordan du injiserer </w:t>
      </w:r>
      <w:r w:rsidRPr="00A942F6">
        <w:rPr>
          <w:lang w:val="nb-NO"/>
        </w:rPr>
        <w:t>Avtozma</w:t>
      </w:r>
      <w:r w:rsidR="00F11249" w:rsidRPr="00A942F6">
        <w:rPr>
          <w:lang w:val="nb-NO"/>
        </w:rPr>
        <w:t xml:space="preserve"> selv. Foreldre eller omsorgspersoner vil få opplæring i hvordan </w:t>
      </w:r>
      <w:r w:rsidRPr="00A942F6">
        <w:rPr>
          <w:lang w:val="nb-NO"/>
        </w:rPr>
        <w:t>Avtozma</w:t>
      </w:r>
      <w:r w:rsidR="00F11249" w:rsidRPr="00A942F6">
        <w:rPr>
          <w:lang w:val="nb-NO"/>
        </w:rPr>
        <w:t xml:space="preserve"> injiseres hvis pasienten ikke kan sette injeksjoner selv.</w:t>
      </w:r>
    </w:p>
    <w:p w14:paraId="4EFD4EB4" w14:textId="77777777" w:rsidR="00C65467" w:rsidRPr="00A942F6" w:rsidRDefault="00C65467" w:rsidP="00641834">
      <w:pPr>
        <w:rPr>
          <w:lang w:val="nb-NO"/>
        </w:rPr>
      </w:pPr>
    </w:p>
    <w:p w14:paraId="66C12089" w14:textId="77777777" w:rsidR="00F11249" w:rsidRPr="00A942F6" w:rsidRDefault="00F11249" w:rsidP="00641834">
      <w:pPr>
        <w:rPr>
          <w:lang w:val="nb-NO"/>
        </w:rPr>
      </w:pPr>
      <w:r w:rsidRPr="00A942F6">
        <w:rPr>
          <w:lang w:val="nb-NO"/>
        </w:rPr>
        <w:t>Snakk med legen din dersom du har noen spørsmål om å sette injeksjoner på deg selv eller på en pasient (ungdom) som du har omsorg for. Du finner en detaljert "Bruksanvisning for administrering" på slutten av dette pakningsvedlegget.</w:t>
      </w:r>
    </w:p>
    <w:p w14:paraId="1A0A1D1C" w14:textId="77777777" w:rsidR="00F11249" w:rsidRPr="00A942F6" w:rsidRDefault="00F11249" w:rsidP="00641834">
      <w:pPr>
        <w:rPr>
          <w:lang w:val="nb-NO"/>
        </w:rPr>
      </w:pPr>
    </w:p>
    <w:p w14:paraId="110B7FE2" w14:textId="1C0292F4" w:rsidR="00F11249" w:rsidRPr="00A942F6" w:rsidRDefault="00F11249" w:rsidP="00641834">
      <w:pPr>
        <w:pStyle w:val="bold"/>
        <w:rPr>
          <w:lang w:val="nb-NO"/>
        </w:rPr>
      </w:pPr>
      <w:r w:rsidRPr="00A942F6">
        <w:rPr>
          <w:lang w:val="nb-NO"/>
        </w:rPr>
        <w:t xml:space="preserve">Dersom du tar for mye av </w:t>
      </w:r>
      <w:r w:rsidR="00923E68" w:rsidRPr="00A942F6">
        <w:rPr>
          <w:lang w:val="nb-NO"/>
        </w:rPr>
        <w:t>Avtozma</w:t>
      </w:r>
    </w:p>
    <w:p w14:paraId="0135CA3C" w14:textId="29CC5071" w:rsidR="00F11249" w:rsidRPr="00A942F6" w:rsidRDefault="00F11249" w:rsidP="00641834">
      <w:pPr>
        <w:rPr>
          <w:lang w:val="nb-NO"/>
        </w:rPr>
      </w:pPr>
      <w:r w:rsidRPr="00A942F6">
        <w:rPr>
          <w:lang w:val="nb-NO"/>
        </w:rPr>
        <w:t xml:space="preserve">Siden </w:t>
      </w:r>
      <w:r w:rsidR="00923E68" w:rsidRPr="00A942F6">
        <w:rPr>
          <w:lang w:val="nb-NO"/>
        </w:rPr>
        <w:t>Avtozma</w:t>
      </w:r>
      <w:r w:rsidRPr="00A942F6">
        <w:rPr>
          <w:lang w:val="nb-NO"/>
        </w:rPr>
        <w:t xml:space="preserve"> gis i en ferdigfylt penn er det lite sannsynlig at du vil få for mye. Snakk med lege, apotek eller sykepleier dersom du likevel er bekymret.</w:t>
      </w:r>
    </w:p>
    <w:p w14:paraId="079C1E11" w14:textId="77777777" w:rsidR="00F11249" w:rsidRPr="00A942F6" w:rsidRDefault="00F11249" w:rsidP="00641834">
      <w:pPr>
        <w:rPr>
          <w:lang w:val="nb-NO"/>
        </w:rPr>
      </w:pPr>
    </w:p>
    <w:p w14:paraId="0B3A237C" w14:textId="77777777" w:rsidR="00F11249" w:rsidRPr="00A942F6" w:rsidRDefault="00F11249" w:rsidP="00641834">
      <w:pPr>
        <w:pStyle w:val="bold"/>
        <w:rPr>
          <w:lang w:val="nb-NO"/>
        </w:rPr>
      </w:pPr>
      <w:r w:rsidRPr="00A942F6">
        <w:rPr>
          <w:lang w:val="nb-NO"/>
        </w:rPr>
        <w:t>Dersom en voksen med RA eller GCA, eller en ungdom med sJIA, går glipp av eller glemmer en dose</w:t>
      </w:r>
    </w:p>
    <w:p w14:paraId="506FF897" w14:textId="1E36C290" w:rsidR="00F11249" w:rsidRPr="00A942F6" w:rsidRDefault="00F11249" w:rsidP="00641834">
      <w:pPr>
        <w:rPr>
          <w:lang w:val="nb-NO"/>
        </w:rPr>
      </w:pPr>
      <w:r w:rsidRPr="00A942F6">
        <w:rPr>
          <w:lang w:val="nb-NO"/>
        </w:rPr>
        <w:t xml:space="preserve">Det er veldig viktig å bruke </w:t>
      </w:r>
      <w:r w:rsidR="00923E68" w:rsidRPr="00A942F6">
        <w:rPr>
          <w:lang w:val="nb-NO"/>
        </w:rPr>
        <w:t>Avtozma</w:t>
      </w:r>
      <w:r w:rsidRPr="00A942F6">
        <w:rPr>
          <w:lang w:val="nb-NO"/>
        </w:rPr>
        <w:t xml:space="preserve"> nøyaktig som forskrevet av legen din. Hold oversikt over din neste dose.</w:t>
      </w:r>
    </w:p>
    <w:p w14:paraId="72A0A550" w14:textId="77777777" w:rsidR="00F11249" w:rsidRPr="00A942F6" w:rsidRDefault="00F11249" w:rsidP="00641834">
      <w:pPr>
        <w:pStyle w:val="Bullet1cm"/>
        <w:rPr>
          <w:lang w:val="nb-NO"/>
        </w:rPr>
      </w:pPr>
      <w:r w:rsidRPr="00A942F6">
        <w:rPr>
          <w:lang w:val="nb-NO"/>
        </w:rPr>
        <w:lastRenderedPageBreak/>
        <w:t>Dersom en dose som tas ukentlig er uteblitt men det ikke er gått mer enn 7 dager, ta dosen på den neste planlagte datoen.</w:t>
      </w:r>
    </w:p>
    <w:p w14:paraId="17F2D82A" w14:textId="77777777" w:rsidR="00F11249" w:rsidRPr="00A942F6" w:rsidRDefault="00F11249" w:rsidP="00641834">
      <w:pPr>
        <w:pStyle w:val="Bullet1cm"/>
        <w:rPr>
          <w:lang w:val="nb-NO"/>
        </w:rPr>
      </w:pPr>
      <w:r w:rsidRPr="00A942F6">
        <w:rPr>
          <w:lang w:val="nb-NO"/>
        </w:rPr>
        <w:t>Dersom en dose som tas annenhver uke er uteblitt men det ikke er gått mer enn 7 dager, injiser en dose så snart du husker det. Ta neste dose til vanlig planlagt tid.</w:t>
      </w:r>
    </w:p>
    <w:p w14:paraId="5A5B7E86" w14:textId="35D2DB0A" w:rsidR="00F11249" w:rsidRPr="00A942F6" w:rsidRDefault="00F11249" w:rsidP="00641834">
      <w:pPr>
        <w:pStyle w:val="Bullet1cm"/>
        <w:rPr>
          <w:lang w:val="nb-NO"/>
        </w:rPr>
      </w:pPr>
      <w:r w:rsidRPr="00A942F6">
        <w:rPr>
          <w:lang w:val="nb-NO"/>
        </w:rPr>
        <w:t xml:space="preserve">Snakk med lege eller apotek dersom en dose som tas ukentlig eller annenhver uke er uteblitt og det er gått mer enn 7 dager, eller du er usikker på når du skal injisere </w:t>
      </w:r>
      <w:r w:rsidR="00923E68" w:rsidRPr="00A942F6">
        <w:rPr>
          <w:lang w:val="nb-NO"/>
        </w:rPr>
        <w:t>Avtozma</w:t>
      </w:r>
      <w:r w:rsidRPr="00A942F6">
        <w:rPr>
          <w:lang w:val="nb-NO"/>
        </w:rPr>
        <w:t>.</w:t>
      </w:r>
    </w:p>
    <w:p w14:paraId="0311CE86" w14:textId="77777777" w:rsidR="00F11249" w:rsidRPr="00A942F6" w:rsidRDefault="00F11249" w:rsidP="00641834">
      <w:pPr>
        <w:rPr>
          <w:lang w:val="nb-NO"/>
        </w:rPr>
      </w:pPr>
    </w:p>
    <w:p w14:paraId="5D2C971C" w14:textId="77777777" w:rsidR="00F11249" w:rsidRPr="00A942F6" w:rsidRDefault="00F11249" w:rsidP="00641834">
      <w:pPr>
        <w:pStyle w:val="bold"/>
        <w:keepNext/>
        <w:rPr>
          <w:lang w:val="nb-NO"/>
        </w:rPr>
      </w:pPr>
      <w:r w:rsidRPr="00A942F6">
        <w:rPr>
          <w:lang w:val="nb-NO"/>
        </w:rPr>
        <w:t>Dersom en ungdom med pJIA går glipp av eller glemmer en dose</w:t>
      </w:r>
    </w:p>
    <w:p w14:paraId="12AE025D" w14:textId="7529E878" w:rsidR="00F11249" w:rsidRPr="00A942F6" w:rsidRDefault="00F11249" w:rsidP="00641834">
      <w:pPr>
        <w:rPr>
          <w:lang w:val="nb-NO"/>
        </w:rPr>
      </w:pPr>
      <w:r w:rsidRPr="00A942F6">
        <w:rPr>
          <w:lang w:val="nb-NO"/>
        </w:rPr>
        <w:t xml:space="preserve">Det er veldig viktig å bruke </w:t>
      </w:r>
      <w:r w:rsidR="00923E68" w:rsidRPr="00A942F6">
        <w:rPr>
          <w:lang w:val="nb-NO"/>
        </w:rPr>
        <w:t>Avtozma</w:t>
      </w:r>
      <w:r w:rsidRPr="00A942F6">
        <w:rPr>
          <w:lang w:val="nb-NO"/>
        </w:rPr>
        <w:t xml:space="preserve"> nøyaktig som forskrevet av legen. Hold oversikt over neste dose.</w:t>
      </w:r>
    </w:p>
    <w:p w14:paraId="389D7790" w14:textId="77777777" w:rsidR="00F11249" w:rsidRPr="00A942F6" w:rsidRDefault="00F11249" w:rsidP="00641834">
      <w:pPr>
        <w:pStyle w:val="Bullet1cm"/>
        <w:rPr>
          <w:lang w:val="nb-NO"/>
        </w:rPr>
      </w:pPr>
      <w:r w:rsidRPr="00A942F6">
        <w:rPr>
          <w:lang w:val="nb-NO"/>
        </w:rPr>
        <w:t>Dersom en dose er utblitt men det ikke er gått mer enn 7 dager, injiser en dose så snart du husker det. Ta neste dose til vanlig planlagt tid.</w:t>
      </w:r>
    </w:p>
    <w:p w14:paraId="0C00979F" w14:textId="63C83BA1" w:rsidR="00F11249" w:rsidRPr="00A942F6" w:rsidRDefault="00F11249" w:rsidP="00641834">
      <w:pPr>
        <w:pStyle w:val="Bullet1cm"/>
        <w:rPr>
          <w:lang w:val="nb-NO"/>
        </w:rPr>
      </w:pPr>
      <w:r w:rsidRPr="00A942F6">
        <w:rPr>
          <w:lang w:val="nb-NO"/>
        </w:rPr>
        <w:t xml:space="preserve">Snakk med lege eller apotek dersom en dose er uteblitt og det er gått mer enn 7 dager, eller du er usikker på når du skal injisere </w:t>
      </w:r>
      <w:r w:rsidR="00923E68" w:rsidRPr="00A942F6">
        <w:rPr>
          <w:lang w:val="nb-NO"/>
        </w:rPr>
        <w:t>Avtozma</w:t>
      </w:r>
      <w:r w:rsidRPr="00A942F6">
        <w:rPr>
          <w:lang w:val="nb-NO"/>
        </w:rPr>
        <w:t>.</w:t>
      </w:r>
    </w:p>
    <w:p w14:paraId="0DC56D1B" w14:textId="77777777" w:rsidR="00F11249" w:rsidRPr="00A942F6" w:rsidRDefault="00F11249" w:rsidP="00641834">
      <w:pPr>
        <w:rPr>
          <w:lang w:val="nb-NO"/>
        </w:rPr>
      </w:pPr>
    </w:p>
    <w:p w14:paraId="69F75D14" w14:textId="13A46908" w:rsidR="00F11249" w:rsidRPr="00A942F6" w:rsidRDefault="00F11249" w:rsidP="00641834">
      <w:pPr>
        <w:pStyle w:val="bold"/>
        <w:rPr>
          <w:lang w:val="nb-NO"/>
        </w:rPr>
      </w:pPr>
      <w:r w:rsidRPr="00A942F6">
        <w:rPr>
          <w:lang w:val="nb-NO"/>
        </w:rPr>
        <w:t xml:space="preserve">Dersom du avbryter behandling med </w:t>
      </w:r>
      <w:r w:rsidR="00923E68" w:rsidRPr="00A942F6">
        <w:rPr>
          <w:lang w:val="nb-NO"/>
        </w:rPr>
        <w:t>Avtozma</w:t>
      </w:r>
    </w:p>
    <w:p w14:paraId="51BAB1EA" w14:textId="255E0DB5" w:rsidR="00C65467" w:rsidRPr="00A942F6" w:rsidRDefault="00F11249" w:rsidP="00641834">
      <w:pPr>
        <w:rPr>
          <w:lang w:val="nb-NO"/>
        </w:rPr>
      </w:pPr>
      <w:r w:rsidRPr="00A942F6">
        <w:rPr>
          <w:lang w:val="nb-NO"/>
        </w:rPr>
        <w:t xml:space="preserve">Du bør ikke avbryte behandling med </w:t>
      </w:r>
      <w:r w:rsidR="00923E68" w:rsidRPr="00A942F6">
        <w:rPr>
          <w:lang w:val="nb-NO"/>
        </w:rPr>
        <w:t>Avtozma</w:t>
      </w:r>
      <w:r w:rsidRPr="00A942F6">
        <w:rPr>
          <w:lang w:val="nb-NO"/>
        </w:rPr>
        <w:t xml:space="preserve"> uten å disku</w:t>
      </w:r>
      <w:r w:rsidR="00C65467" w:rsidRPr="00A942F6">
        <w:rPr>
          <w:lang w:val="nb-NO"/>
        </w:rPr>
        <w:t>tere dette med legen din først.</w:t>
      </w:r>
    </w:p>
    <w:p w14:paraId="02483C32" w14:textId="77777777" w:rsidR="00C65467" w:rsidRPr="00A942F6" w:rsidRDefault="00C65467" w:rsidP="00641834">
      <w:pPr>
        <w:rPr>
          <w:lang w:val="nb-NO"/>
        </w:rPr>
      </w:pPr>
    </w:p>
    <w:p w14:paraId="283A0A01" w14:textId="77777777" w:rsidR="00F11249" w:rsidRPr="00A942F6" w:rsidRDefault="00F11249" w:rsidP="00641834">
      <w:pPr>
        <w:rPr>
          <w:lang w:val="nb-NO"/>
        </w:rPr>
      </w:pPr>
      <w:r w:rsidRPr="00A942F6">
        <w:rPr>
          <w:lang w:val="nb-NO"/>
        </w:rPr>
        <w:t>Spør lege, apotek eller sykepleier dersom du har noen spørsmål om bruken av dette legemidlet.</w:t>
      </w:r>
    </w:p>
    <w:p w14:paraId="559E98EA" w14:textId="77777777" w:rsidR="00F11249" w:rsidRPr="00A942F6" w:rsidRDefault="00F11249" w:rsidP="00641834">
      <w:pPr>
        <w:rPr>
          <w:lang w:val="nb-NO"/>
        </w:rPr>
      </w:pPr>
    </w:p>
    <w:p w14:paraId="405D1D9A" w14:textId="77777777" w:rsidR="00AF32BA" w:rsidRPr="00A942F6" w:rsidRDefault="00AF32BA" w:rsidP="00641834">
      <w:pPr>
        <w:rPr>
          <w:lang w:val="nb-NO"/>
        </w:rPr>
      </w:pPr>
    </w:p>
    <w:p w14:paraId="4F45798E" w14:textId="77777777" w:rsidR="00F11249" w:rsidRPr="00A942F6" w:rsidRDefault="00F11249" w:rsidP="00641834">
      <w:pPr>
        <w:pStyle w:val="H2"/>
        <w:rPr>
          <w:lang w:val="nb-NO"/>
        </w:rPr>
      </w:pPr>
      <w:r w:rsidRPr="00A942F6">
        <w:rPr>
          <w:lang w:val="nb-NO"/>
        </w:rPr>
        <w:t>4.</w:t>
      </w:r>
      <w:r w:rsidRPr="00A942F6">
        <w:rPr>
          <w:lang w:val="nb-NO"/>
        </w:rPr>
        <w:tab/>
        <w:t>Mulige bivirkninger</w:t>
      </w:r>
    </w:p>
    <w:p w14:paraId="375529E8" w14:textId="77777777" w:rsidR="00AF32BA" w:rsidRPr="00A942F6" w:rsidRDefault="00AF32BA" w:rsidP="00641834">
      <w:pPr>
        <w:rPr>
          <w:lang w:val="nb-NO"/>
        </w:rPr>
      </w:pPr>
    </w:p>
    <w:p w14:paraId="593583A5" w14:textId="5DB7A96E" w:rsidR="00F11249" w:rsidRPr="00A942F6" w:rsidRDefault="00F11249" w:rsidP="00641834">
      <w:pPr>
        <w:rPr>
          <w:lang w:val="nb-NO"/>
        </w:rPr>
      </w:pPr>
      <w:r w:rsidRPr="00A942F6">
        <w:rPr>
          <w:lang w:val="nb-NO"/>
        </w:rPr>
        <w:t xml:space="preserve">Som alle legemidler kan </w:t>
      </w:r>
      <w:r w:rsidR="00923E68" w:rsidRPr="00A942F6">
        <w:rPr>
          <w:lang w:val="nb-NO"/>
        </w:rPr>
        <w:t>Avtozma</w:t>
      </w:r>
      <w:r w:rsidRPr="00A942F6">
        <w:rPr>
          <w:lang w:val="nb-NO"/>
        </w:rPr>
        <w:t xml:space="preserve"> forårsake bivirkninger, men ikke alle får det. Bivirkninger kan oppstå 3 måneder eller mer etter siste dose av </w:t>
      </w:r>
      <w:r w:rsidR="00923E68" w:rsidRPr="00A942F6">
        <w:rPr>
          <w:lang w:val="nb-NO"/>
        </w:rPr>
        <w:t>Avtozma</w:t>
      </w:r>
      <w:r w:rsidRPr="00A942F6">
        <w:rPr>
          <w:lang w:val="nb-NO"/>
        </w:rPr>
        <w:t>.</w:t>
      </w:r>
    </w:p>
    <w:p w14:paraId="75082D06" w14:textId="77777777" w:rsidR="00F11249" w:rsidRPr="00A942F6" w:rsidRDefault="00F11249" w:rsidP="00641834">
      <w:pPr>
        <w:rPr>
          <w:lang w:val="nb-NO"/>
        </w:rPr>
      </w:pPr>
    </w:p>
    <w:p w14:paraId="55B44873" w14:textId="77777777" w:rsidR="00F11249" w:rsidRPr="00A942F6" w:rsidRDefault="00F11249" w:rsidP="00641834">
      <w:pPr>
        <w:pStyle w:val="bold"/>
        <w:rPr>
          <w:lang w:val="nb-NO"/>
        </w:rPr>
      </w:pPr>
      <w:r w:rsidRPr="00A942F6">
        <w:rPr>
          <w:lang w:val="nb-NO"/>
        </w:rPr>
        <w:t>Mulige alvorlige bivirkninger: informer legen din umiddelbart</w:t>
      </w:r>
    </w:p>
    <w:p w14:paraId="004C34A1" w14:textId="77777777" w:rsidR="00F11249" w:rsidRPr="00A942F6" w:rsidRDefault="00F11249" w:rsidP="00641834">
      <w:pPr>
        <w:pStyle w:val="Style1Iitaic"/>
        <w:rPr>
          <w:lang w:val="nb-NO"/>
        </w:rPr>
      </w:pPr>
      <w:r w:rsidRPr="00A942F6">
        <w:rPr>
          <w:lang w:val="nb-NO"/>
        </w:rPr>
        <w:t>Disse er vanlige: De kan forekomme hos opp til 1 av 10 brukere</w:t>
      </w:r>
    </w:p>
    <w:p w14:paraId="068BB798" w14:textId="77777777" w:rsidR="00F11249" w:rsidRPr="00A942F6" w:rsidRDefault="00F11249" w:rsidP="00641834">
      <w:pPr>
        <w:rPr>
          <w:lang w:val="nb-NO"/>
        </w:rPr>
      </w:pPr>
    </w:p>
    <w:p w14:paraId="390EF10D" w14:textId="77777777" w:rsidR="00F11249" w:rsidRPr="00A942F6" w:rsidRDefault="00F11249" w:rsidP="00641834">
      <w:pPr>
        <w:rPr>
          <w:lang w:val="nb-NO"/>
        </w:rPr>
      </w:pPr>
      <w:r w:rsidRPr="00A942F6">
        <w:rPr>
          <w:lang w:val="nb-NO"/>
        </w:rPr>
        <w:t>Allergiske reaksjoner under eller etter injeksjonen:</w:t>
      </w:r>
    </w:p>
    <w:p w14:paraId="0D4255BB" w14:textId="77777777" w:rsidR="00F11249" w:rsidRPr="00A942F6" w:rsidRDefault="00F11249" w:rsidP="00641834">
      <w:pPr>
        <w:pStyle w:val="Bullet1cm"/>
        <w:rPr>
          <w:lang w:val="nb-NO"/>
        </w:rPr>
      </w:pPr>
      <w:r w:rsidRPr="00A942F6">
        <w:rPr>
          <w:lang w:val="nb-NO"/>
        </w:rPr>
        <w:t>vanskeligheter med å puste, tetthet i brystet eller ørhet.</w:t>
      </w:r>
    </w:p>
    <w:p w14:paraId="44DF97A3" w14:textId="77777777" w:rsidR="00F11249" w:rsidRPr="00A942F6" w:rsidRDefault="00F11249" w:rsidP="00641834">
      <w:pPr>
        <w:pStyle w:val="Bullet1cm"/>
        <w:rPr>
          <w:lang w:val="nb-NO"/>
        </w:rPr>
      </w:pPr>
      <w:r w:rsidRPr="00A942F6">
        <w:rPr>
          <w:lang w:val="nb-NO"/>
        </w:rPr>
        <w:t>utslett, kløe, elveblest, hevelse på lepper, tunge eller i ansikt.</w:t>
      </w:r>
    </w:p>
    <w:p w14:paraId="50C9249A" w14:textId="77777777" w:rsidR="00F11249" w:rsidRPr="00A942F6" w:rsidRDefault="00F11249" w:rsidP="00641834">
      <w:pPr>
        <w:rPr>
          <w:lang w:val="nb-NO"/>
        </w:rPr>
      </w:pPr>
      <w:r w:rsidRPr="00A942F6">
        <w:rPr>
          <w:lang w:val="nb-NO"/>
        </w:rPr>
        <w:t xml:space="preserve">Hvis du merker noen av disse bivirkningene, må du fortelle det til lege </w:t>
      </w:r>
      <w:r w:rsidRPr="00A942F6">
        <w:rPr>
          <w:b/>
          <w:bCs/>
          <w:lang w:val="nb-NO"/>
        </w:rPr>
        <w:t>umiddelbart</w:t>
      </w:r>
      <w:r w:rsidRPr="00A942F6">
        <w:rPr>
          <w:lang w:val="nb-NO"/>
        </w:rPr>
        <w:t>.</w:t>
      </w:r>
    </w:p>
    <w:p w14:paraId="4F8E005C" w14:textId="77777777" w:rsidR="00F11249" w:rsidRPr="00A942F6" w:rsidRDefault="00F11249" w:rsidP="00641834">
      <w:pPr>
        <w:rPr>
          <w:lang w:val="nb-NO"/>
        </w:rPr>
      </w:pPr>
    </w:p>
    <w:p w14:paraId="15B0B027" w14:textId="77777777" w:rsidR="00F11249" w:rsidRPr="00A942F6" w:rsidRDefault="00F11249" w:rsidP="00641834">
      <w:pPr>
        <w:rPr>
          <w:b/>
          <w:bCs/>
          <w:lang w:val="nb-NO"/>
        </w:rPr>
      </w:pPr>
      <w:r w:rsidRPr="00A942F6">
        <w:rPr>
          <w:b/>
          <w:bCs/>
          <w:lang w:val="nb-NO"/>
        </w:rPr>
        <w:t>Tegn på alvorlige infeksjoner:</w:t>
      </w:r>
    </w:p>
    <w:p w14:paraId="36627CC5" w14:textId="77777777" w:rsidR="00F11249" w:rsidRPr="00A942F6" w:rsidRDefault="00F11249" w:rsidP="00641834">
      <w:pPr>
        <w:pStyle w:val="Bullet1cm"/>
        <w:rPr>
          <w:lang w:val="nb-NO"/>
        </w:rPr>
      </w:pPr>
      <w:r w:rsidRPr="00A942F6">
        <w:rPr>
          <w:lang w:val="nb-NO"/>
        </w:rPr>
        <w:t>feber og frysninger</w:t>
      </w:r>
    </w:p>
    <w:p w14:paraId="7B5958AC" w14:textId="77777777" w:rsidR="00F11249" w:rsidRPr="00A942F6" w:rsidRDefault="00F11249" w:rsidP="00641834">
      <w:pPr>
        <w:pStyle w:val="Bullet1cm"/>
        <w:rPr>
          <w:lang w:val="nb-NO"/>
        </w:rPr>
      </w:pPr>
      <w:r w:rsidRPr="00A942F6">
        <w:rPr>
          <w:lang w:val="nb-NO"/>
        </w:rPr>
        <w:t>blemmer på huden eller i munnen</w:t>
      </w:r>
    </w:p>
    <w:p w14:paraId="2DABA6C9" w14:textId="77777777" w:rsidR="00F11249" w:rsidRPr="00A942F6" w:rsidRDefault="00F11249" w:rsidP="00641834">
      <w:pPr>
        <w:pStyle w:val="Bullet1cm"/>
        <w:rPr>
          <w:lang w:val="nb-NO"/>
        </w:rPr>
      </w:pPr>
      <w:r w:rsidRPr="00A942F6">
        <w:rPr>
          <w:lang w:val="nb-NO"/>
        </w:rPr>
        <w:t>magesmerter</w:t>
      </w:r>
    </w:p>
    <w:p w14:paraId="2D2A40DE" w14:textId="77777777" w:rsidR="00F11249" w:rsidRPr="00A942F6" w:rsidRDefault="00F11249" w:rsidP="00641834">
      <w:pPr>
        <w:rPr>
          <w:lang w:val="nb-NO"/>
        </w:rPr>
      </w:pPr>
    </w:p>
    <w:p w14:paraId="490741F1" w14:textId="77777777" w:rsidR="00F11249" w:rsidRPr="00A942F6" w:rsidRDefault="00F11249" w:rsidP="00641834">
      <w:pPr>
        <w:pStyle w:val="bold"/>
        <w:rPr>
          <w:lang w:val="nb-NO"/>
        </w:rPr>
      </w:pPr>
      <w:r w:rsidRPr="00A942F6">
        <w:rPr>
          <w:lang w:val="nb-NO"/>
        </w:rPr>
        <w:t>Tegn og symptomer på leverbivirkninger</w:t>
      </w:r>
    </w:p>
    <w:p w14:paraId="3679845B" w14:textId="77777777" w:rsidR="00F11249" w:rsidRPr="00A942F6" w:rsidRDefault="00F11249" w:rsidP="00641834">
      <w:pPr>
        <w:pStyle w:val="Style1Iitaic"/>
        <w:rPr>
          <w:lang w:val="nb-NO"/>
        </w:rPr>
      </w:pPr>
      <w:r w:rsidRPr="00A942F6">
        <w:rPr>
          <w:lang w:val="nb-NO"/>
        </w:rPr>
        <w:t>Disse kan forekomme hos opptil 1 av 1000 brukere</w:t>
      </w:r>
    </w:p>
    <w:p w14:paraId="6ED76DAC" w14:textId="77777777" w:rsidR="00F11249" w:rsidRPr="00A942F6" w:rsidRDefault="00F11249" w:rsidP="00641834">
      <w:pPr>
        <w:pStyle w:val="Bullet1cm"/>
        <w:rPr>
          <w:lang w:val="nb-NO"/>
        </w:rPr>
      </w:pPr>
      <w:r w:rsidRPr="00A942F6">
        <w:rPr>
          <w:lang w:val="nb-NO"/>
        </w:rPr>
        <w:t>trøtthet</w:t>
      </w:r>
    </w:p>
    <w:p w14:paraId="59975EC9" w14:textId="77777777" w:rsidR="00F11249" w:rsidRPr="00A942F6" w:rsidRDefault="00F11249" w:rsidP="00641834">
      <w:pPr>
        <w:pStyle w:val="Bullet1cm"/>
        <w:rPr>
          <w:lang w:val="nb-NO"/>
        </w:rPr>
      </w:pPr>
      <w:r w:rsidRPr="00A942F6">
        <w:rPr>
          <w:lang w:val="nb-NO"/>
        </w:rPr>
        <w:t>magesmerter</w:t>
      </w:r>
    </w:p>
    <w:p w14:paraId="1F1C363D" w14:textId="77777777" w:rsidR="00F11249" w:rsidRPr="00A942F6" w:rsidRDefault="00F11249" w:rsidP="00641834">
      <w:pPr>
        <w:pStyle w:val="Bullet1cm"/>
        <w:rPr>
          <w:lang w:val="nb-NO"/>
        </w:rPr>
      </w:pPr>
      <w:r w:rsidRPr="00A942F6">
        <w:rPr>
          <w:lang w:val="nb-NO"/>
        </w:rPr>
        <w:t>gulsott (gulfarging av hud eller øyne)</w:t>
      </w:r>
    </w:p>
    <w:p w14:paraId="1859873F" w14:textId="77777777" w:rsidR="00C65467" w:rsidRPr="00A942F6" w:rsidRDefault="00C65467" w:rsidP="00641834">
      <w:pPr>
        <w:rPr>
          <w:lang w:val="nb-NO"/>
        </w:rPr>
      </w:pPr>
    </w:p>
    <w:p w14:paraId="3DA6417F" w14:textId="77777777" w:rsidR="00C65467" w:rsidRPr="00A942F6" w:rsidRDefault="00F11249" w:rsidP="00641834">
      <w:pPr>
        <w:rPr>
          <w:lang w:val="nb-NO"/>
        </w:rPr>
      </w:pPr>
      <w:r w:rsidRPr="00A942F6">
        <w:rPr>
          <w:lang w:val="nb-NO"/>
        </w:rPr>
        <w:t>Hvis du merker noen av disse må du unde</w:t>
      </w:r>
      <w:r w:rsidR="00C65467" w:rsidRPr="00A942F6">
        <w:rPr>
          <w:lang w:val="nb-NO"/>
        </w:rPr>
        <w:t xml:space="preserve">rrette legen din snarest </w:t>
      </w:r>
      <w:r w:rsidR="00C65467" w:rsidRPr="00A942F6">
        <w:rPr>
          <w:b/>
          <w:bCs/>
          <w:lang w:val="nb-NO"/>
        </w:rPr>
        <w:t>mulig</w:t>
      </w:r>
      <w:r w:rsidR="00C65467" w:rsidRPr="00A942F6">
        <w:rPr>
          <w:lang w:val="nb-NO"/>
        </w:rPr>
        <w:t>.</w:t>
      </w:r>
    </w:p>
    <w:p w14:paraId="2E2B7529" w14:textId="77777777" w:rsidR="00C65467" w:rsidRPr="00A942F6" w:rsidRDefault="00C65467" w:rsidP="00641834">
      <w:pPr>
        <w:rPr>
          <w:lang w:val="nb-NO"/>
        </w:rPr>
      </w:pPr>
    </w:p>
    <w:p w14:paraId="543A7F6F" w14:textId="77777777" w:rsidR="00F11249" w:rsidRPr="00A942F6" w:rsidRDefault="00F11249" w:rsidP="00641834">
      <w:pPr>
        <w:rPr>
          <w:b/>
          <w:bCs/>
          <w:lang w:val="nb-NO"/>
        </w:rPr>
      </w:pPr>
      <w:r w:rsidRPr="00A942F6">
        <w:rPr>
          <w:b/>
          <w:bCs/>
          <w:lang w:val="nb-NO"/>
        </w:rPr>
        <w:t>Svært vanlige bivirkninger:</w:t>
      </w:r>
    </w:p>
    <w:p w14:paraId="6337A17C" w14:textId="77777777" w:rsidR="00F11249" w:rsidRPr="00A942F6" w:rsidRDefault="00F11249" w:rsidP="00641834">
      <w:pPr>
        <w:rPr>
          <w:i/>
          <w:iCs/>
          <w:lang w:val="nb-NO"/>
        </w:rPr>
      </w:pPr>
      <w:r w:rsidRPr="00A942F6">
        <w:rPr>
          <w:i/>
          <w:iCs/>
          <w:lang w:val="nb-NO"/>
        </w:rPr>
        <w:t>Disse kan forekomme hos flere enn 1 av 10 brukere</w:t>
      </w:r>
    </w:p>
    <w:p w14:paraId="683AFBEB" w14:textId="77777777" w:rsidR="00F11249" w:rsidRPr="00A942F6" w:rsidRDefault="00F11249" w:rsidP="00641834">
      <w:pPr>
        <w:pStyle w:val="Bullet1cm"/>
        <w:rPr>
          <w:lang w:val="nb-NO"/>
        </w:rPr>
      </w:pPr>
      <w:r w:rsidRPr="00A942F6">
        <w:rPr>
          <w:lang w:val="nb-NO"/>
        </w:rPr>
        <w:t>øvre luftveisinfeksjoner med typiske symptomer slik som hoste, tett nese, rennende nese, sår hals og hodepine</w:t>
      </w:r>
    </w:p>
    <w:p w14:paraId="39DF5976" w14:textId="77777777" w:rsidR="00F11249" w:rsidRPr="00A942F6" w:rsidRDefault="00F11249" w:rsidP="00641834">
      <w:pPr>
        <w:pStyle w:val="Bullet1cm"/>
        <w:rPr>
          <w:lang w:val="nb-NO"/>
        </w:rPr>
      </w:pPr>
      <w:r w:rsidRPr="00A942F6">
        <w:rPr>
          <w:lang w:val="nb-NO"/>
        </w:rPr>
        <w:t>høye nivåer av fett (kolesterol) i blodet</w:t>
      </w:r>
    </w:p>
    <w:p w14:paraId="4877DDB5" w14:textId="77777777" w:rsidR="00F11249" w:rsidRPr="00A942F6" w:rsidRDefault="00F11249" w:rsidP="00641834">
      <w:pPr>
        <w:pStyle w:val="Bullet1cm"/>
        <w:rPr>
          <w:lang w:val="nb-NO"/>
        </w:rPr>
      </w:pPr>
      <w:r w:rsidRPr="00A942F6">
        <w:rPr>
          <w:lang w:val="nb-NO"/>
        </w:rPr>
        <w:t>reaksjoner på injeksjonsstedet</w:t>
      </w:r>
    </w:p>
    <w:p w14:paraId="39813A6D" w14:textId="77777777" w:rsidR="00C65467" w:rsidRPr="00A942F6" w:rsidRDefault="00C65467" w:rsidP="00641834">
      <w:pPr>
        <w:rPr>
          <w:lang w:val="nb-NO"/>
        </w:rPr>
      </w:pPr>
    </w:p>
    <w:p w14:paraId="2DAB40FD" w14:textId="77777777" w:rsidR="00F11249" w:rsidRPr="00A942F6" w:rsidRDefault="00F11249" w:rsidP="00641834">
      <w:pPr>
        <w:pStyle w:val="bold"/>
        <w:rPr>
          <w:lang w:val="nb-NO"/>
        </w:rPr>
      </w:pPr>
      <w:r w:rsidRPr="00A942F6">
        <w:rPr>
          <w:lang w:val="nb-NO"/>
        </w:rPr>
        <w:t>Vanlige bivirkninger:</w:t>
      </w:r>
    </w:p>
    <w:p w14:paraId="1DE8F823" w14:textId="77777777" w:rsidR="00F11249" w:rsidRPr="00A942F6" w:rsidRDefault="00F11249" w:rsidP="00641834">
      <w:pPr>
        <w:pStyle w:val="Style1Iitaic"/>
        <w:rPr>
          <w:lang w:val="nb-NO"/>
        </w:rPr>
      </w:pPr>
      <w:r w:rsidRPr="00A942F6">
        <w:rPr>
          <w:lang w:val="nb-NO"/>
        </w:rPr>
        <w:t>Disse kan forekomme hos opptil 1 av 10 brukere</w:t>
      </w:r>
    </w:p>
    <w:p w14:paraId="0D842279" w14:textId="77777777" w:rsidR="00F11249" w:rsidRPr="00A942F6" w:rsidRDefault="00F11249" w:rsidP="00641834">
      <w:pPr>
        <w:pStyle w:val="Bullet1cm"/>
        <w:rPr>
          <w:lang w:val="nb-NO"/>
        </w:rPr>
      </w:pPr>
      <w:r w:rsidRPr="00A942F6">
        <w:rPr>
          <w:lang w:val="nb-NO"/>
        </w:rPr>
        <w:t>lungebetennelse (pneumoni)</w:t>
      </w:r>
    </w:p>
    <w:p w14:paraId="212B2193" w14:textId="77777777" w:rsidR="00F11249" w:rsidRPr="00A942F6" w:rsidRDefault="00F11249" w:rsidP="00641834">
      <w:pPr>
        <w:pStyle w:val="Bullet1cm"/>
        <w:rPr>
          <w:lang w:val="nb-NO"/>
        </w:rPr>
      </w:pPr>
      <w:r w:rsidRPr="00A942F6">
        <w:rPr>
          <w:lang w:val="nb-NO"/>
        </w:rPr>
        <w:lastRenderedPageBreak/>
        <w:t>helvetesild (herpes zoster)</w:t>
      </w:r>
    </w:p>
    <w:p w14:paraId="0EB3BEED" w14:textId="77777777" w:rsidR="00F11249" w:rsidRPr="00A942F6" w:rsidRDefault="00F11249" w:rsidP="00641834">
      <w:pPr>
        <w:pStyle w:val="Bullet1cm"/>
        <w:rPr>
          <w:lang w:val="nb-NO"/>
        </w:rPr>
      </w:pPr>
      <w:r w:rsidRPr="00A942F6">
        <w:rPr>
          <w:lang w:val="nb-NO"/>
        </w:rPr>
        <w:t>forkjølelsessår (oral herpes simplex), blemmer</w:t>
      </w:r>
    </w:p>
    <w:p w14:paraId="20B03841" w14:textId="77777777" w:rsidR="00F11249" w:rsidRPr="00A942F6" w:rsidRDefault="00F11249" w:rsidP="00641834">
      <w:pPr>
        <w:pStyle w:val="Bullet1cm"/>
        <w:rPr>
          <w:lang w:val="nb-NO"/>
        </w:rPr>
      </w:pPr>
      <w:r w:rsidRPr="00A942F6">
        <w:rPr>
          <w:lang w:val="nb-NO"/>
        </w:rPr>
        <w:t>hudinfeksjon (cellulitt), noen ganger med feber og frysninger</w:t>
      </w:r>
    </w:p>
    <w:p w14:paraId="236AEB42" w14:textId="77777777" w:rsidR="00F11249" w:rsidRPr="00A942F6" w:rsidRDefault="00F11249" w:rsidP="00641834">
      <w:pPr>
        <w:pStyle w:val="Bullet1cm"/>
        <w:rPr>
          <w:lang w:val="nb-NO"/>
        </w:rPr>
      </w:pPr>
      <w:r w:rsidRPr="00A942F6">
        <w:rPr>
          <w:lang w:val="nb-NO"/>
        </w:rPr>
        <w:t>utslett og kløe, elveblest</w:t>
      </w:r>
    </w:p>
    <w:p w14:paraId="57D00E0E" w14:textId="77777777" w:rsidR="00F11249" w:rsidRPr="00A942F6" w:rsidRDefault="00F11249" w:rsidP="00641834">
      <w:pPr>
        <w:pStyle w:val="Bullet1cm"/>
        <w:rPr>
          <w:lang w:val="nb-NO"/>
        </w:rPr>
      </w:pPr>
      <w:r w:rsidRPr="00A942F6">
        <w:rPr>
          <w:lang w:val="nb-NO"/>
        </w:rPr>
        <w:t>allergiske (hypersensitivitets-) reaksjoner</w:t>
      </w:r>
    </w:p>
    <w:p w14:paraId="63B80913" w14:textId="77777777" w:rsidR="00F11249" w:rsidRPr="00A942F6" w:rsidRDefault="00F11249" w:rsidP="00641834">
      <w:pPr>
        <w:pStyle w:val="Bullet1cm"/>
        <w:rPr>
          <w:lang w:val="nb-NO"/>
        </w:rPr>
      </w:pPr>
      <w:r w:rsidRPr="00A942F6">
        <w:rPr>
          <w:lang w:val="nb-NO"/>
        </w:rPr>
        <w:t>øyeinfeksjon (konjunktivitt)</w:t>
      </w:r>
    </w:p>
    <w:p w14:paraId="2640FD83" w14:textId="77777777" w:rsidR="00F11249" w:rsidRPr="00A942F6" w:rsidRDefault="00F11249" w:rsidP="00641834">
      <w:pPr>
        <w:pStyle w:val="Bullet1cm"/>
        <w:rPr>
          <w:lang w:val="nb-NO"/>
        </w:rPr>
      </w:pPr>
      <w:r w:rsidRPr="00A942F6">
        <w:rPr>
          <w:lang w:val="nb-NO"/>
        </w:rPr>
        <w:t>hodepine, svimmelhet, høyt blodtrykk</w:t>
      </w:r>
    </w:p>
    <w:p w14:paraId="264A5BBD" w14:textId="77777777" w:rsidR="00F11249" w:rsidRPr="00A942F6" w:rsidRDefault="00F11249" w:rsidP="00641834">
      <w:pPr>
        <w:pStyle w:val="Bullet1cm"/>
        <w:rPr>
          <w:lang w:val="nb-NO"/>
        </w:rPr>
      </w:pPr>
      <w:r w:rsidRPr="00A942F6">
        <w:rPr>
          <w:lang w:val="nb-NO"/>
        </w:rPr>
        <w:t>sår i munn, magesmerter</w:t>
      </w:r>
    </w:p>
    <w:p w14:paraId="0DAE30A3" w14:textId="77777777" w:rsidR="00F11249" w:rsidRPr="00A942F6" w:rsidRDefault="00F11249" w:rsidP="00641834">
      <w:pPr>
        <w:pStyle w:val="Bullet1cm"/>
        <w:rPr>
          <w:lang w:val="nb-NO"/>
        </w:rPr>
      </w:pPr>
      <w:r w:rsidRPr="00A942F6">
        <w:rPr>
          <w:lang w:val="nb-NO"/>
        </w:rPr>
        <w:t>væskeretensjon (ødem) i nedre del av beina, vektøkning</w:t>
      </w:r>
    </w:p>
    <w:p w14:paraId="6E8CA1EC" w14:textId="77777777" w:rsidR="00F11249" w:rsidRPr="00A942F6" w:rsidRDefault="00F11249" w:rsidP="00641834">
      <w:pPr>
        <w:pStyle w:val="Bullet1cm"/>
        <w:rPr>
          <w:lang w:val="nb-NO"/>
        </w:rPr>
      </w:pPr>
      <w:r w:rsidRPr="00A942F6">
        <w:rPr>
          <w:lang w:val="nb-NO"/>
        </w:rPr>
        <w:t>hoste, kortpustethet</w:t>
      </w:r>
    </w:p>
    <w:p w14:paraId="242CCA3B" w14:textId="77777777" w:rsidR="00F11249" w:rsidRPr="00A942F6" w:rsidRDefault="00F11249" w:rsidP="00641834">
      <w:pPr>
        <w:pStyle w:val="Bullet1cm"/>
        <w:rPr>
          <w:lang w:val="nb-NO"/>
        </w:rPr>
      </w:pPr>
      <w:r w:rsidRPr="00A942F6">
        <w:rPr>
          <w:lang w:val="nb-NO"/>
        </w:rPr>
        <w:t>lavt antall hvite blodceller påvist ved blodprøve (nøytropeni, leukopeni)</w:t>
      </w:r>
    </w:p>
    <w:p w14:paraId="6556F7B2" w14:textId="77777777" w:rsidR="00F11249" w:rsidRPr="00A942F6" w:rsidRDefault="00F11249" w:rsidP="00641834">
      <w:pPr>
        <w:pStyle w:val="Bullet1cm"/>
        <w:rPr>
          <w:lang w:val="nb-NO"/>
        </w:rPr>
      </w:pPr>
      <w:r w:rsidRPr="00A942F6">
        <w:rPr>
          <w:lang w:val="nb-NO"/>
        </w:rPr>
        <w:t>unormale leverfunksjonsprøver (økte transaminaser)</w:t>
      </w:r>
    </w:p>
    <w:p w14:paraId="546965B1" w14:textId="77777777" w:rsidR="00F11249" w:rsidRPr="00A942F6" w:rsidRDefault="00F11249" w:rsidP="00641834">
      <w:pPr>
        <w:pStyle w:val="Bullet1cm"/>
        <w:rPr>
          <w:lang w:val="nb-NO"/>
        </w:rPr>
      </w:pPr>
      <w:r w:rsidRPr="00A942F6">
        <w:rPr>
          <w:lang w:val="nb-NO"/>
        </w:rPr>
        <w:t>påvist økt bilirubin i blodprøver</w:t>
      </w:r>
    </w:p>
    <w:p w14:paraId="6A6F2512" w14:textId="77777777" w:rsidR="00F11249" w:rsidRPr="00A942F6" w:rsidRDefault="00F11249" w:rsidP="00641834">
      <w:pPr>
        <w:pStyle w:val="Bullet1cm"/>
        <w:rPr>
          <w:lang w:val="nb-NO"/>
        </w:rPr>
      </w:pPr>
      <w:r w:rsidRPr="00A942F6">
        <w:rPr>
          <w:lang w:val="nb-NO"/>
        </w:rPr>
        <w:t>lave nivåer av fibrinogen i blodet (et protein som er involvert i blodlevring)</w:t>
      </w:r>
    </w:p>
    <w:p w14:paraId="44EE0159" w14:textId="77777777" w:rsidR="00C65467" w:rsidRPr="00A942F6" w:rsidRDefault="00C65467" w:rsidP="00641834">
      <w:pPr>
        <w:rPr>
          <w:lang w:val="nb-NO"/>
        </w:rPr>
      </w:pPr>
    </w:p>
    <w:p w14:paraId="79B69D0D" w14:textId="77777777" w:rsidR="00F11249" w:rsidRPr="00A942F6" w:rsidRDefault="00F11249" w:rsidP="00641834">
      <w:pPr>
        <w:pStyle w:val="bold"/>
        <w:rPr>
          <w:lang w:val="nb-NO"/>
        </w:rPr>
      </w:pPr>
      <w:r w:rsidRPr="00A942F6">
        <w:rPr>
          <w:lang w:val="nb-NO"/>
        </w:rPr>
        <w:t>Mindre vanlige bivirkninger:</w:t>
      </w:r>
    </w:p>
    <w:p w14:paraId="6DB4073D" w14:textId="77777777" w:rsidR="00F11249" w:rsidRPr="00A942F6" w:rsidRDefault="00F11249" w:rsidP="00641834">
      <w:pPr>
        <w:pStyle w:val="Style1Iitaic"/>
        <w:rPr>
          <w:lang w:val="nb-NO"/>
        </w:rPr>
      </w:pPr>
      <w:r w:rsidRPr="00A942F6">
        <w:rPr>
          <w:lang w:val="nb-NO"/>
        </w:rPr>
        <w:t>Disse kan forekomme hos opptil 1 av 100 brukere</w:t>
      </w:r>
    </w:p>
    <w:p w14:paraId="2E869164" w14:textId="77777777" w:rsidR="00F11249" w:rsidRPr="00A942F6" w:rsidRDefault="00F11249" w:rsidP="00641834">
      <w:pPr>
        <w:pStyle w:val="Bullet1cm"/>
        <w:rPr>
          <w:lang w:val="nb-NO"/>
        </w:rPr>
      </w:pPr>
      <w:r w:rsidRPr="00A942F6">
        <w:rPr>
          <w:lang w:val="nb-NO"/>
        </w:rPr>
        <w:t>divertikulitt (feber, kvalme, diaré, forstoppelse, magesmerter)</w:t>
      </w:r>
    </w:p>
    <w:p w14:paraId="7B848842" w14:textId="77777777" w:rsidR="00F11249" w:rsidRPr="00A942F6" w:rsidRDefault="00F11249" w:rsidP="00641834">
      <w:pPr>
        <w:pStyle w:val="Bullet1cm"/>
        <w:rPr>
          <w:lang w:val="nb-NO"/>
        </w:rPr>
      </w:pPr>
      <w:r w:rsidRPr="00A942F6">
        <w:rPr>
          <w:lang w:val="nb-NO"/>
        </w:rPr>
        <w:t>røde opphovnede områder i munnen</w:t>
      </w:r>
    </w:p>
    <w:p w14:paraId="266C5180" w14:textId="77777777" w:rsidR="00F11249" w:rsidRPr="00A942F6" w:rsidRDefault="00F11249" w:rsidP="00641834">
      <w:pPr>
        <w:pStyle w:val="Bullet1cm"/>
        <w:rPr>
          <w:lang w:val="nb-NO"/>
        </w:rPr>
      </w:pPr>
      <w:r w:rsidRPr="00A942F6">
        <w:rPr>
          <w:lang w:val="nb-NO"/>
        </w:rPr>
        <w:t>høye blodfettnivåer (triglyserider)</w:t>
      </w:r>
    </w:p>
    <w:p w14:paraId="247F695A" w14:textId="77777777" w:rsidR="00F11249" w:rsidRPr="00A942F6" w:rsidRDefault="00F11249" w:rsidP="00641834">
      <w:pPr>
        <w:pStyle w:val="Bullet1cm"/>
        <w:rPr>
          <w:lang w:val="nb-NO"/>
        </w:rPr>
      </w:pPr>
      <w:r w:rsidRPr="00A942F6">
        <w:rPr>
          <w:lang w:val="nb-NO"/>
        </w:rPr>
        <w:t>magesår</w:t>
      </w:r>
    </w:p>
    <w:p w14:paraId="46F970F8" w14:textId="77777777" w:rsidR="00F11249" w:rsidRPr="00A942F6" w:rsidRDefault="00F11249" w:rsidP="00641834">
      <w:pPr>
        <w:pStyle w:val="Bullet1cm"/>
        <w:rPr>
          <w:lang w:val="nb-NO"/>
        </w:rPr>
      </w:pPr>
      <w:r w:rsidRPr="00A942F6">
        <w:rPr>
          <w:lang w:val="nb-NO"/>
        </w:rPr>
        <w:t>nyrestein</w:t>
      </w:r>
    </w:p>
    <w:p w14:paraId="6A6FBAAD" w14:textId="77777777" w:rsidR="00F11249" w:rsidRPr="00A942F6" w:rsidRDefault="00F11249" w:rsidP="00641834">
      <w:pPr>
        <w:pStyle w:val="Bullet1cm"/>
        <w:rPr>
          <w:lang w:val="nb-NO"/>
        </w:rPr>
      </w:pPr>
      <w:r w:rsidRPr="00A942F6">
        <w:rPr>
          <w:lang w:val="nb-NO"/>
        </w:rPr>
        <w:t>underaktiv skjoldbruskkjertel</w:t>
      </w:r>
    </w:p>
    <w:p w14:paraId="5B595DDB" w14:textId="77777777" w:rsidR="00F11249" w:rsidRPr="00A942F6" w:rsidRDefault="00F11249" w:rsidP="00641834">
      <w:pPr>
        <w:rPr>
          <w:lang w:val="nb-NO"/>
        </w:rPr>
      </w:pPr>
    </w:p>
    <w:p w14:paraId="0E7280B0" w14:textId="77777777" w:rsidR="00F11249" w:rsidRPr="00A942F6" w:rsidRDefault="00F11249" w:rsidP="00641834">
      <w:pPr>
        <w:pStyle w:val="bold"/>
        <w:rPr>
          <w:lang w:val="nb-NO"/>
        </w:rPr>
      </w:pPr>
      <w:r w:rsidRPr="00A942F6">
        <w:rPr>
          <w:lang w:val="nb-NO"/>
        </w:rPr>
        <w:t>Sjeldne bivirkninger:</w:t>
      </w:r>
    </w:p>
    <w:p w14:paraId="59BFA984" w14:textId="77777777" w:rsidR="00F11249" w:rsidRPr="00A942F6" w:rsidRDefault="00F11249" w:rsidP="00641834">
      <w:pPr>
        <w:pStyle w:val="Style1Iitaic"/>
        <w:rPr>
          <w:lang w:val="nb-NO"/>
        </w:rPr>
      </w:pPr>
      <w:r w:rsidRPr="00A942F6">
        <w:rPr>
          <w:lang w:val="nb-NO"/>
        </w:rPr>
        <w:t>Disse kan forekomme hos opptil 1 av 1000 brukere</w:t>
      </w:r>
    </w:p>
    <w:p w14:paraId="28D71508" w14:textId="77777777" w:rsidR="00F11249" w:rsidRPr="00A942F6" w:rsidRDefault="00F11249" w:rsidP="00641834">
      <w:pPr>
        <w:pStyle w:val="Bullet1cm"/>
        <w:rPr>
          <w:lang w:val="nb-NO"/>
        </w:rPr>
      </w:pPr>
      <w:r w:rsidRPr="00A942F6">
        <w:rPr>
          <w:lang w:val="nb-NO"/>
        </w:rPr>
        <w:t>Stevens-Johnson syndrom (hudutslett som kan føre til alvorlige blemmedannelser og avskalling av huden)</w:t>
      </w:r>
    </w:p>
    <w:p w14:paraId="5E4E92D8" w14:textId="77777777" w:rsidR="00F11249" w:rsidRPr="00A942F6" w:rsidRDefault="00F11249" w:rsidP="00641834">
      <w:pPr>
        <w:pStyle w:val="Bullet1cm"/>
        <w:rPr>
          <w:lang w:val="nb-NO"/>
        </w:rPr>
      </w:pPr>
      <w:r w:rsidRPr="00A942F6">
        <w:rPr>
          <w:lang w:val="nb-NO"/>
        </w:rPr>
        <w:t>dødelige allergiske reaksjoner (anafylaksi [dødelig])</w:t>
      </w:r>
    </w:p>
    <w:p w14:paraId="0764587E" w14:textId="77777777" w:rsidR="00F11249" w:rsidRPr="00A942F6" w:rsidRDefault="00F11249" w:rsidP="00641834">
      <w:pPr>
        <w:pStyle w:val="Bullet1cm"/>
        <w:rPr>
          <w:lang w:val="nb-NO"/>
        </w:rPr>
      </w:pPr>
      <w:r w:rsidRPr="00A942F6">
        <w:rPr>
          <w:lang w:val="nb-NO"/>
        </w:rPr>
        <w:t>leverbetennelse (hepatitt), gulsott</w:t>
      </w:r>
    </w:p>
    <w:p w14:paraId="2FA37C18" w14:textId="77777777" w:rsidR="00F11249" w:rsidRPr="00A942F6" w:rsidRDefault="00F11249" w:rsidP="00641834">
      <w:pPr>
        <w:rPr>
          <w:lang w:val="nb-NO"/>
        </w:rPr>
      </w:pPr>
    </w:p>
    <w:p w14:paraId="2DDC5F8A" w14:textId="77777777" w:rsidR="00F11249" w:rsidRPr="00A942F6" w:rsidRDefault="00F11249" w:rsidP="00641834">
      <w:pPr>
        <w:pStyle w:val="bold"/>
        <w:rPr>
          <w:lang w:val="nb-NO"/>
        </w:rPr>
      </w:pPr>
      <w:r w:rsidRPr="00A942F6">
        <w:rPr>
          <w:lang w:val="nb-NO"/>
        </w:rPr>
        <w:t>Svært sjeldne bivirkninger:</w:t>
      </w:r>
    </w:p>
    <w:p w14:paraId="7A49FB29" w14:textId="77777777" w:rsidR="00F11249" w:rsidRPr="00A942F6" w:rsidRDefault="00F11249" w:rsidP="00641834">
      <w:pPr>
        <w:pStyle w:val="Style1Iitaic"/>
        <w:rPr>
          <w:lang w:val="nb-NO"/>
        </w:rPr>
      </w:pPr>
      <w:r w:rsidRPr="00A942F6">
        <w:rPr>
          <w:lang w:val="nb-NO"/>
        </w:rPr>
        <w:t>Disse kan forekomme hos opptil 1 av 10 000 brukere</w:t>
      </w:r>
    </w:p>
    <w:p w14:paraId="03353F6C" w14:textId="77777777" w:rsidR="00F11249" w:rsidRPr="00A942F6" w:rsidRDefault="00F11249" w:rsidP="00641834">
      <w:pPr>
        <w:pStyle w:val="Bullet1cm"/>
        <w:rPr>
          <w:lang w:val="nb-NO"/>
        </w:rPr>
      </w:pPr>
      <w:r w:rsidRPr="00A942F6">
        <w:rPr>
          <w:lang w:val="nb-NO"/>
        </w:rPr>
        <w:t>lave blodverdier av hvite blodceller, røde blodceller og blodplater i blodprøver</w:t>
      </w:r>
    </w:p>
    <w:p w14:paraId="2CCEB886" w14:textId="77777777" w:rsidR="00F11249" w:rsidRPr="00A942F6" w:rsidRDefault="00F11249" w:rsidP="00641834">
      <w:pPr>
        <w:pStyle w:val="Bullet1cm"/>
        <w:rPr>
          <w:lang w:val="nb-NO"/>
        </w:rPr>
      </w:pPr>
      <w:r w:rsidRPr="00A942F6">
        <w:rPr>
          <w:lang w:val="nb-NO"/>
        </w:rPr>
        <w:t>leversvikt</w:t>
      </w:r>
    </w:p>
    <w:p w14:paraId="1189BF8E" w14:textId="77777777" w:rsidR="00F11249" w:rsidRPr="00A942F6" w:rsidRDefault="00F11249" w:rsidP="00641834">
      <w:pPr>
        <w:rPr>
          <w:lang w:val="nb-NO"/>
        </w:rPr>
      </w:pPr>
    </w:p>
    <w:p w14:paraId="6C867104" w14:textId="77777777" w:rsidR="00F11249" w:rsidRPr="00A942F6" w:rsidRDefault="00F11249" w:rsidP="00641834">
      <w:pPr>
        <w:pStyle w:val="bold"/>
        <w:rPr>
          <w:lang w:val="nb-NO"/>
        </w:rPr>
      </w:pPr>
      <w:r w:rsidRPr="00A942F6">
        <w:rPr>
          <w:lang w:val="nb-NO"/>
        </w:rPr>
        <w:t>Bivirkninger hos barn og ungdom med sJIA eller pJIA</w:t>
      </w:r>
    </w:p>
    <w:p w14:paraId="7CAA9CC3" w14:textId="77777777" w:rsidR="00F11249" w:rsidRPr="00A942F6" w:rsidRDefault="00F11249" w:rsidP="00641834">
      <w:pPr>
        <w:rPr>
          <w:lang w:val="nb-NO"/>
        </w:rPr>
      </w:pPr>
      <w:r w:rsidRPr="00A942F6">
        <w:rPr>
          <w:lang w:val="nb-NO"/>
        </w:rPr>
        <w:t>Bivirkninger hos barn og ungdom med sJIA eller pJIA er generelt tilsvarende som hos voksne. Noen bivirkninger er sett oftere hos barn og ungdom: betennelse i nese og hals, hodepine, kvalme og lavere antall hvite blodceller.</w:t>
      </w:r>
    </w:p>
    <w:p w14:paraId="384CDDDA" w14:textId="77777777" w:rsidR="00F11249" w:rsidRPr="00A942F6" w:rsidRDefault="00F11249" w:rsidP="00641834">
      <w:pPr>
        <w:rPr>
          <w:lang w:val="nb-NO"/>
        </w:rPr>
      </w:pPr>
    </w:p>
    <w:p w14:paraId="77E7B528" w14:textId="77777777" w:rsidR="00F11249" w:rsidRPr="00A942F6" w:rsidRDefault="00F11249" w:rsidP="00641834">
      <w:pPr>
        <w:pStyle w:val="bold"/>
        <w:rPr>
          <w:lang w:val="nb-NO"/>
        </w:rPr>
      </w:pPr>
      <w:r w:rsidRPr="00A942F6">
        <w:rPr>
          <w:lang w:val="nb-NO"/>
        </w:rPr>
        <w:t>Melding av bivirkninger</w:t>
      </w:r>
    </w:p>
    <w:p w14:paraId="0F1DABE2" w14:textId="77777777" w:rsidR="00F11249" w:rsidRPr="00A942F6" w:rsidRDefault="00F11249" w:rsidP="00641834">
      <w:pPr>
        <w:rPr>
          <w:lang w:val="nb-NO"/>
        </w:rPr>
      </w:pPr>
      <w:r w:rsidRPr="00A942F6">
        <w:rPr>
          <w:lang w:val="nb-NO"/>
        </w:rPr>
        <w:t xml:space="preserve">Kontakt lege, apotek eller sykepleier dersom du opplever bivirkninger. Dette gjelder også bivirkninger som ikke er nevnt i pakningsvedlegget. Du kan også melde fra om bivirkninger direkte via </w:t>
      </w:r>
      <w:r w:rsidRPr="00CB45D2">
        <w:rPr>
          <w:highlight w:val="lightGray"/>
          <w:shd w:val="pct35" w:color="auto" w:fill="auto"/>
          <w:lang w:val="nb-NO"/>
        </w:rPr>
        <w:t xml:space="preserve">det nasjonale meldesystemet som beskrevet i </w:t>
      </w:r>
      <w:hyperlink r:id="rId43" w:history="1">
        <w:r w:rsidRPr="00CB45D2">
          <w:rPr>
            <w:rStyle w:val="a6"/>
            <w:color w:val="0000FF"/>
            <w:highlight w:val="lightGray"/>
            <w:shd w:val="pct35" w:color="auto" w:fill="auto"/>
            <w:lang w:val="nb-NO"/>
          </w:rPr>
          <w:t>Appendix V</w:t>
        </w:r>
      </w:hyperlink>
      <w:r w:rsidRPr="00A942F6">
        <w:rPr>
          <w:lang w:val="nb-NO"/>
        </w:rPr>
        <w:t>. Ved å melde fra om bivirkninger bidrar du med informasjon om sikkerheten ved bruk av dette legemidlet.</w:t>
      </w:r>
    </w:p>
    <w:p w14:paraId="0057A365" w14:textId="77777777" w:rsidR="00F11249" w:rsidRPr="00A942F6" w:rsidRDefault="00F11249" w:rsidP="00641834">
      <w:pPr>
        <w:rPr>
          <w:lang w:val="nb-NO"/>
        </w:rPr>
      </w:pPr>
    </w:p>
    <w:p w14:paraId="3D240633" w14:textId="77777777" w:rsidR="00AF32BA" w:rsidRPr="00A942F6" w:rsidRDefault="00AF32BA" w:rsidP="00641834">
      <w:pPr>
        <w:rPr>
          <w:lang w:val="nb-NO"/>
        </w:rPr>
      </w:pPr>
    </w:p>
    <w:p w14:paraId="2A0EA853" w14:textId="69EBBACC" w:rsidR="00F11249" w:rsidRPr="00A942F6" w:rsidRDefault="00F11249" w:rsidP="00641834">
      <w:pPr>
        <w:pStyle w:val="H2"/>
        <w:rPr>
          <w:lang w:val="nb-NO"/>
        </w:rPr>
      </w:pPr>
      <w:r w:rsidRPr="00A942F6">
        <w:rPr>
          <w:lang w:val="nb-NO"/>
        </w:rPr>
        <w:t>5.</w:t>
      </w:r>
      <w:r w:rsidRPr="00A942F6">
        <w:rPr>
          <w:lang w:val="nb-NO"/>
        </w:rPr>
        <w:tab/>
        <w:t xml:space="preserve">Hvordan du oppbevarer </w:t>
      </w:r>
      <w:r w:rsidR="00923E68" w:rsidRPr="00A942F6">
        <w:rPr>
          <w:lang w:val="nb-NO"/>
        </w:rPr>
        <w:t>Avtozma</w:t>
      </w:r>
    </w:p>
    <w:p w14:paraId="0F5C3932" w14:textId="77777777" w:rsidR="00AF32BA" w:rsidRPr="00A942F6" w:rsidRDefault="00AF32BA" w:rsidP="00641834">
      <w:pPr>
        <w:rPr>
          <w:lang w:val="nb-NO"/>
        </w:rPr>
      </w:pPr>
    </w:p>
    <w:p w14:paraId="600AD9C0" w14:textId="77777777" w:rsidR="00F11249" w:rsidRPr="00A942F6" w:rsidRDefault="00F11249" w:rsidP="00641834">
      <w:pPr>
        <w:rPr>
          <w:lang w:val="nb-NO"/>
        </w:rPr>
      </w:pPr>
      <w:r w:rsidRPr="00A942F6">
        <w:rPr>
          <w:lang w:val="nb-NO"/>
        </w:rPr>
        <w:t>Oppbevares utilgjengelig for barn.</w:t>
      </w:r>
    </w:p>
    <w:p w14:paraId="1B50897F" w14:textId="77777777" w:rsidR="00F11249" w:rsidRPr="00A942F6" w:rsidRDefault="00F11249" w:rsidP="00641834">
      <w:pPr>
        <w:rPr>
          <w:lang w:val="nb-NO"/>
        </w:rPr>
      </w:pPr>
    </w:p>
    <w:p w14:paraId="7BB79271" w14:textId="77777777" w:rsidR="00F11249" w:rsidRPr="00A942F6" w:rsidRDefault="00F11249" w:rsidP="00641834">
      <w:pPr>
        <w:rPr>
          <w:lang w:val="nb-NO"/>
        </w:rPr>
      </w:pPr>
      <w:r w:rsidRPr="00A942F6">
        <w:rPr>
          <w:lang w:val="nb-NO"/>
        </w:rPr>
        <w:t>Bruk ikke dette legemidlet etter utløpsdatoen (EXP) som er angitt på den ferdigfylte pennens etikett og esken. Utløpsdatoen er den siste dagen i den angitte måneden.</w:t>
      </w:r>
    </w:p>
    <w:p w14:paraId="4C79F9ED" w14:textId="77777777" w:rsidR="00C65467" w:rsidRPr="00A942F6" w:rsidRDefault="00C65467" w:rsidP="00641834">
      <w:pPr>
        <w:rPr>
          <w:lang w:val="nb-NO"/>
        </w:rPr>
      </w:pPr>
    </w:p>
    <w:p w14:paraId="7E75E31E" w14:textId="68C690D4" w:rsidR="00F11249" w:rsidRPr="00A942F6" w:rsidRDefault="00F11249" w:rsidP="00641834">
      <w:pPr>
        <w:rPr>
          <w:lang w:val="nb-NO"/>
        </w:rPr>
      </w:pPr>
      <w:r w:rsidRPr="00A942F6">
        <w:rPr>
          <w:lang w:val="nb-NO"/>
        </w:rPr>
        <w:lastRenderedPageBreak/>
        <w:t xml:space="preserve">Oppbevares i kjøleskap (2 ºC – 8 ºC). Skal ikke fryses. Etter uttak fra kjøleskap kan den ferdigfylte pennen oppbevares i opptil </w:t>
      </w:r>
      <w:r w:rsidR="00EA08FF" w:rsidRPr="00A942F6">
        <w:rPr>
          <w:lang w:val="nb-NO"/>
        </w:rPr>
        <w:t>3 </w:t>
      </w:r>
      <w:r w:rsidRPr="00A942F6">
        <w:rPr>
          <w:lang w:val="nb-NO"/>
        </w:rPr>
        <w:t>uker ved høyst 30 °C.</w:t>
      </w:r>
    </w:p>
    <w:p w14:paraId="0B96F6EE" w14:textId="77777777" w:rsidR="00F11249" w:rsidRPr="00A942F6" w:rsidRDefault="00F11249" w:rsidP="00641834">
      <w:pPr>
        <w:rPr>
          <w:lang w:val="nb-NO"/>
        </w:rPr>
      </w:pPr>
    </w:p>
    <w:p w14:paraId="398BB3D8" w14:textId="77777777" w:rsidR="00F11249" w:rsidRPr="00A942F6" w:rsidRDefault="00F11249" w:rsidP="00641834">
      <w:pPr>
        <w:rPr>
          <w:lang w:val="nb-NO"/>
        </w:rPr>
      </w:pPr>
      <w:r w:rsidRPr="00A942F6">
        <w:rPr>
          <w:lang w:val="nb-NO"/>
        </w:rPr>
        <w:t>Oppbevar de ferdigfylte pennene i ytteremballasjen for å beskytte mot lys og fuktighet.</w:t>
      </w:r>
    </w:p>
    <w:p w14:paraId="3F7F45D4" w14:textId="77777777" w:rsidR="00C65467" w:rsidRPr="00A942F6" w:rsidRDefault="00C65467" w:rsidP="00641834">
      <w:pPr>
        <w:rPr>
          <w:lang w:val="nb-NO"/>
        </w:rPr>
      </w:pPr>
    </w:p>
    <w:p w14:paraId="10A6A01F" w14:textId="24AF099B" w:rsidR="00F11249" w:rsidRPr="00A942F6" w:rsidRDefault="00F11249" w:rsidP="00641834">
      <w:pPr>
        <w:rPr>
          <w:lang w:val="nb-NO"/>
        </w:rPr>
      </w:pPr>
      <w:r w:rsidRPr="00A942F6">
        <w:rPr>
          <w:lang w:val="nb-NO"/>
        </w:rPr>
        <w:t>Ikke bruk legemidlet dersom det er uklart eller inneholder partikler, har en annen farge enn fargeløs til gul, eller noen av delene av den ferdigfylte pennen ser ut til å være skadet.</w:t>
      </w:r>
    </w:p>
    <w:p w14:paraId="63599163" w14:textId="77777777" w:rsidR="00F11249" w:rsidRPr="00A942F6" w:rsidRDefault="00F11249" w:rsidP="00641834">
      <w:pPr>
        <w:rPr>
          <w:lang w:val="nb-NO"/>
        </w:rPr>
      </w:pPr>
    </w:p>
    <w:p w14:paraId="7E2B71C8" w14:textId="77777777" w:rsidR="00F11249" w:rsidRPr="00A942F6" w:rsidRDefault="00F11249" w:rsidP="00641834">
      <w:pPr>
        <w:rPr>
          <w:lang w:val="nb-NO"/>
        </w:rPr>
      </w:pPr>
      <w:r w:rsidRPr="00A942F6">
        <w:rPr>
          <w:lang w:val="nb-NO"/>
        </w:rPr>
        <w:t>Den ferdigfylte pennen skal ikke ristes. Etter å ha tatt av hetten må injeksjonen startes innen</w:t>
      </w:r>
    </w:p>
    <w:p w14:paraId="63B8F84B" w14:textId="77777777" w:rsidR="00F11249" w:rsidRPr="00A942F6" w:rsidRDefault="00F11249" w:rsidP="00641834">
      <w:pPr>
        <w:rPr>
          <w:lang w:val="nb-NO"/>
        </w:rPr>
      </w:pPr>
      <w:r w:rsidRPr="00A942F6">
        <w:rPr>
          <w:lang w:val="nb-NO"/>
        </w:rPr>
        <w:t>3 minutter, for å forhindre at medisinen tørker ut og blokkerer kanylen. Dersom den ferdigfylte pennen ikke brukes innen 3 minutter etter at hetten er fjernet, må den kastes i en avfallsbeholder for skarpe gjenstander, og en ny ferdigfylt penn skal brukes.</w:t>
      </w:r>
    </w:p>
    <w:p w14:paraId="4A1A5227" w14:textId="77777777" w:rsidR="00F11249" w:rsidRPr="00A942F6" w:rsidRDefault="00F11249" w:rsidP="00641834">
      <w:pPr>
        <w:rPr>
          <w:lang w:val="nb-NO"/>
        </w:rPr>
      </w:pPr>
    </w:p>
    <w:p w14:paraId="6ECE7423" w14:textId="0E1C70CB" w:rsidR="00F11249" w:rsidRPr="00A942F6" w:rsidRDefault="00F11249" w:rsidP="00641834">
      <w:pPr>
        <w:rPr>
          <w:lang w:val="nb-NO"/>
        </w:rPr>
      </w:pPr>
      <w:r w:rsidRPr="00A942F6">
        <w:rPr>
          <w:lang w:val="nb-NO"/>
        </w:rPr>
        <w:t xml:space="preserve">Hvis den </w:t>
      </w:r>
      <w:r w:rsidR="00EA08FF" w:rsidRPr="00A942F6">
        <w:rPr>
          <w:lang w:val="nb-NO"/>
        </w:rPr>
        <w:t>oransje</w:t>
      </w:r>
      <w:r w:rsidRPr="00A942F6">
        <w:rPr>
          <w:lang w:val="nb-NO"/>
        </w:rPr>
        <w:t xml:space="preserve"> indikatoren ikke rører seg etter trykking på </w:t>
      </w:r>
      <w:r w:rsidR="00EA08FF" w:rsidRPr="00A942F6">
        <w:rPr>
          <w:lang w:val="nb-NO"/>
        </w:rPr>
        <w:t>kanylebeskyttelsen</w:t>
      </w:r>
      <w:r w:rsidRPr="00A942F6">
        <w:rPr>
          <w:lang w:val="nb-NO"/>
        </w:rPr>
        <w:t>, skal pennen kastes i en avfallsbeholder for skarpe gjenstander. Det skal ikke gjøres et forsøk på å bruke den ferdigfylte pennen på nytt.</w:t>
      </w:r>
      <w:r w:rsidR="00EA08FF" w:rsidRPr="00A942F6">
        <w:rPr>
          <w:lang w:val="nb-NO"/>
        </w:rPr>
        <w:t xml:space="preserve"> Den ferdigfylte pennen er låst og kanylen er dekket på innsiden av kanyledekselet hvis du prøver å bruke den</w:t>
      </w:r>
      <w:r w:rsidR="00BB0299">
        <w:rPr>
          <w:lang w:val="nb-NO"/>
        </w:rPr>
        <w:t xml:space="preserve"> på nytt</w:t>
      </w:r>
      <w:r w:rsidR="00EA08FF" w:rsidRPr="00A942F6">
        <w:rPr>
          <w:lang w:val="nb-NO"/>
        </w:rPr>
        <w:t>.</w:t>
      </w:r>
      <w:r w:rsidRPr="00A942F6">
        <w:rPr>
          <w:lang w:val="nb-NO"/>
        </w:rPr>
        <w:t xml:space="preserve"> Injeksjonen skal ikke gjentas med en annen ferdigfylt penn. Kontakt helsepersonell for assistanse.</w:t>
      </w:r>
    </w:p>
    <w:p w14:paraId="014A57FB" w14:textId="77777777" w:rsidR="00F11249" w:rsidRPr="00A942F6" w:rsidRDefault="00F11249" w:rsidP="00641834">
      <w:pPr>
        <w:rPr>
          <w:lang w:val="nb-NO"/>
        </w:rPr>
      </w:pPr>
    </w:p>
    <w:p w14:paraId="1C1DF601" w14:textId="77777777" w:rsidR="00AF32BA" w:rsidRPr="00A942F6" w:rsidRDefault="00AF32BA" w:rsidP="00641834">
      <w:pPr>
        <w:rPr>
          <w:lang w:val="nb-NO"/>
        </w:rPr>
      </w:pPr>
    </w:p>
    <w:p w14:paraId="44733238" w14:textId="77777777" w:rsidR="00C65467" w:rsidRPr="00A942F6" w:rsidRDefault="00F11249" w:rsidP="00641834">
      <w:pPr>
        <w:pStyle w:val="H2"/>
        <w:rPr>
          <w:lang w:val="nb-NO"/>
        </w:rPr>
      </w:pPr>
      <w:r w:rsidRPr="00A942F6">
        <w:rPr>
          <w:lang w:val="nb-NO"/>
        </w:rPr>
        <w:t>6.</w:t>
      </w:r>
      <w:r w:rsidRPr="00A942F6">
        <w:rPr>
          <w:lang w:val="nb-NO"/>
        </w:rPr>
        <w:tab/>
        <w:t>Innholdet i pakni</w:t>
      </w:r>
      <w:r w:rsidR="00C65467" w:rsidRPr="00A942F6">
        <w:rPr>
          <w:lang w:val="nb-NO"/>
        </w:rPr>
        <w:t>ngen og ytterligere informasjon</w:t>
      </w:r>
    </w:p>
    <w:p w14:paraId="125A79FB" w14:textId="77777777" w:rsidR="00C65467" w:rsidRPr="00A942F6" w:rsidRDefault="00C65467" w:rsidP="00641834">
      <w:pPr>
        <w:pStyle w:val="H2"/>
        <w:rPr>
          <w:lang w:val="nb-NO"/>
        </w:rPr>
      </w:pPr>
    </w:p>
    <w:p w14:paraId="34065612" w14:textId="741FD643" w:rsidR="00F11249" w:rsidRPr="00A942F6" w:rsidRDefault="00F11249" w:rsidP="00641834">
      <w:pPr>
        <w:pStyle w:val="H2"/>
        <w:rPr>
          <w:lang w:val="nb-NO"/>
        </w:rPr>
      </w:pPr>
      <w:r w:rsidRPr="00A942F6">
        <w:rPr>
          <w:lang w:val="nb-NO"/>
        </w:rPr>
        <w:t xml:space="preserve">Sammensetning av </w:t>
      </w:r>
      <w:r w:rsidR="00923E68" w:rsidRPr="00A942F6">
        <w:rPr>
          <w:lang w:val="nb-NO"/>
        </w:rPr>
        <w:t>Avtozma</w:t>
      </w:r>
    </w:p>
    <w:p w14:paraId="7220B9BE" w14:textId="77777777" w:rsidR="00F11249" w:rsidRPr="00A942F6" w:rsidRDefault="00F11249" w:rsidP="00641834">
      <w:pPr>
        <w:pStyle w:val="Bullet1cm"/>
        <w:rPr>
          <w:lang w:val="nb-NO"/>
        </w:rPr>
      </w:pPr>
      <w:r w:rsidRPr="00A942F6">
        <w:rPr>
          <w:lang w:val="nb-NO"/>
        </w:rPr>
        <w:t>Virkestoffet er tocilizumab.</w:t>
      </w:r>
    </w:p>
    <w:p w14:paraId="6C82999E" w14:textId="77777777" w:rsidR="00F11249" w:rsidRPr="00A942F6" w:rsidRDefault="00F11249" w:rsidP="00641834">
      <w:pPr>
        <w:ind w:left="567"/>
        <w:rPr>
          <w:lang w:val="nb-NO"/>
        </w:rPr>
      </w:pPr>
      <w:r w:rsidRPr="00A942F6">
        <w:rPr>
          <w:lang w:val="nb-NO"/>
        </w:rPr>
        <w:t>Hver ferdigfylte penn inneholder 162 mg tocilizumab i 0,9 ml.</w:t>
      </w:r>
    </w:p>
    <w:p w14:paraId="694C3C4E" w14:textId="77777777" w:rsidR="00C65467" w:rsidRPr="00A942F6" w:rsidRDefault="00C65467" w:rsidP="00641834">
      <w:pPr>
        <w:rPr>
          <w:lang w:val="nb-NO"/>
        </w:rPr>
      </w:pPr>
    </w:p>
    <w:p w14:paraId="2CB26A8F" w14:textId="4A1BB79B" w:rsidR="00F11249" w:rsidRPr="00A942F6" w:rsidRDefault="00F11249" w:rsidP="00641834">
      <w:pPr>
        <w:pStyle w:val="Bullet1cm"/>
        <w:rPr>
          <w:lang w:val="nb-NO"/>
        </w:rPr>
      </w:pPr>
      <w:r w:rsidRPr="00A942F6">
        <w:rPr>
          <w:lang w:val="nb-NO"/>
        </w:rPr>
        <w:t>Andre innholdsstoffer er L-histidin,</w:t>
      </w:r>
      <w:r w:rsidR="00220441">
        <w:rPr>
          <w:rFonts w:eastAsia="맑은 고딕" w:hint="eastAsia"/>
          <w:lang w:val="nb-NO" w:eastAsia="ko-KR"/>
        </w:rPr>
        <w:t xml:space="preserve"> </w:t>
      </w:r>
      <w:r w:rsidR="00CE3CFB" w:rsidRPr="00CE3CFB">
        <w:rPr>
          <w:rFonts w:eastAsia="맑은 고딕"/>
          <w:lang w:eastAsia="ko-KR"/>
        </w:rPr>
        <w:t>L-</w:t>
      </w:r>
      <w:r w:rsidR="00CE3CFB">
        <w:rPr>
          <w:rFonts w:eastAsia="맑은 고딕" w:hint="eastAsia"/>
          <w:lang w:eastAsia="ko-KR"/>
        </w:rPr>
        <w:t>h</w:t>
      </w:r>
      <w:r w:rsidR="00CE3CFB" w:rsidRPr="00CE3CFB">
        <w:rPr>
          <w:rFonts w:eastAsia="맑은 고딕"/>
          <w:lang w:eastAsia="ko-KR"/>
        </w:rPr>
        <w:t xml:space="preserve">istidin </w:t>
      </w:r>
      <w:r w:rsidR="00CE3CFB">
        <w:rPr>
          <w:rFonts w:eastAsia="맑은 고딕" w:hint="eastAsia"/>
          <w:lang w:eastAsia="ko-KR"/>
        </w:rPr>
        <w:t>h</w:t>
      </w:r>
      <w:r w:rsidR="00CE3CFB" w:rsidRPr="00CE3CFB">
        <w:rPr>
          <w:rFonts w:eastAsia="맑은 고딕"/>
          <w:lang w:eastAsia="ko-KR"/>
        </w:rPr>
        <w:t xml:space="preserve">ydroklorid </w:t>
      </w:r>
      <w:r w:rsidR="00CE3CFB">
        <w:rPr>
          <w:rFonts w:eastAsia="맑은 고딕" w:hint="eastAsia"/>
          <w:lang w:eastAsia="ko-KR"/>
        </w:rPr>
        <w:t>m</w:t>
      </w:r>
      <w:r w:rsidR="00CE3CFB" w:rsidRPr="00CE3CFB">
        <w:rPr>
          <w:rFonts w:eastAsia="맑은 고딕"/>
          <w:lang w:eastAsia="ko-KR"/>
        </w:rPr>
        <w:t>onohydrat</w:t>
      </w:r>
      <w:r w:rsidR="00220441" w:rsidRPr="00BD4D94">
        <w:rPr>
          <w:rFonts w:eastAsia="맑은 고딕"/>
          <w:lang w:val="nb-NO" w:eastAsia="ko-KR"/>
        </w:rPr>
        <w:t>,</w:t>
      </w:r>
      <w:r w:rsidR="00EA08FF" w:rsidRPr="00A942F6">
        <w:rPr>
          <w:lang w:val="nb-NO"/>
        </w:rPr>
        <w:t xml:space="preserve"> L</w:t>
      </w:r>
      <w:r w:rsidR="00B33CA4">
        <w:rPr>
          <w:lang w:val="nb-NO"/>
        </w:rPr>
        <w:noBreakHyphen/>
      </w:r>
      <w:r w:rsidR="00EA08FF" w:rsidRPr="00A942F6">
        <w:rPr>
          <w:lang w:val="nb-NO"/>
        </w:rPr>
        <w:t>treonin</w:t>
      </w:r>
      <w:r w:rsidRPr="00A942F6">
        <w:rPr>
          <w:lang w:val="nb-NO"/>
        </w:rPr>
        <w:t xml:space="preserve">, </w:t>
      </w:r>
      <w:r w:rsidR="008237A4" w:rsidRPr="00A942F6">
        <w:rPr>
          <w:lang w:val="nb-NO"/>
        </w:rPr>
        <w:t>L</w:t>
      </w:r>
      <w:r w:rsidR="008237A4">
        <w:rPr>
          <w:lang w:val="nb-NO"/>
        </w:rPr>
        <w:noBreakHyphen/>
      </w:r>
      <w:r w:rsidR="008237A4" w:rsidRPr="00A942F6">
        <w:rPr>
          <w:lang w:val="nb-NO"/>
        </w:rPr>
        <w:t xml:space="preserve">metionin, </w:t>
      </w:r>
      <w:r w:rsidRPr="00A942F6">
        <w:rPr>
          <w:lang w:val="nb-NO"/>
        </w:rPr>
        <w:t>polysorbat 80 og vann til injeksjonsvæsker.</w:t>
      </w:r>
    </w:p>
    <w:p w14:paraId="53AEAAD8" w14:textId="77777777" w:rsidR="00F11249" w:rsidRPr="00A942F6" w:rsidRDefault="00F11249" w:rsidP="00641834">
      <w:pPr>
        <w:rPr>
          <w:lang w:val="nb-NO"/>
        </w:rPr>
      </w:pPr>
    </w:p>
    <w:p w14:paraId="6EDCF177" w14:textId="352D375A" w:rsidR="00F11249" w:rsidRPr="00A942F6" w:rsidRDefault="00F11249" w:rsidP="00641834">
      <w:pPr>
        <w:pStyle w:val="bold"/>
        <w:rPr>
          <w:lang w:val="nb-NO"/>
        </w:rPr>
      </w:pPr>
      <w:r w:rsidRPr="00A942F6">
        <w:rPr>
          <w:lang w:val="nb-NO"/>
        </w:rPr>
        <w:t xml:space="preserve">Hvordan </w:t>
      </w:r>
      <w:r w:rsidR="00923E68" w:rsidRPr="00A942F6">
        <w:rPr>
          <w:lang w:val="nb-NO"/>
        </w:rPr>
        <w:t>Avtozma</w:t>
      </w:r>
      <w:r w:rsidRPr="00A942F6">
        <w:rPr>
          <w:lang w:val="nb-NO"/>
        </w:rPr>
        <w:t xml:space="preserve"> ser ut og innholdet i pakningen</w:t>
      </w:r>
    </w:p>
    <w:p w14:paraId="2D2849A2" w14:textId="3CEC930D" w:rsidR="00F11249" w:rsidRPr="00A942F6" w:rsidRDefault="00923E68" w:rsidP="00641834">
      <w:pPr>
        <w:rPr>
          <w:lang w:val="nb-NO"/>
        </w:rPr>
      </w:pPr>
      <w:r w:rsidRPr="00A942F6">
        <w:rPr>
          <w:lang w:val="nb-NO"/>
        </w:rPr>
        <w:t>Avtozma</w:t>
      </w:r>
      <w:r w:rsidR="00F11249" w:rsidRPr="00A942F6">
        <w:rPr>
          <w:lang w:val="nb-NO"/>
        </w:rPr>
        <w:t xml:space="preserve"> er en injeksjonsvæske, oppløsning. Oppløsningen er fargeløs til gul.</w:t>
      </w:r>
    </w:p>
    <w:p w14:paraId="7D9D98CD" w14:textId="77777777" w:rsidR="00F11249" w:rsidRPr="00A942F6" w:rsidRDefault="00F11249" w:rsidP="00641834">
      <w:pPr>
        <w:rPr>
          <w:lang w:val="nb-NO"/>
        </w:rPr>
      </w:pPr>
    </w:p>
    <w:p w14:paraId="21FBDF38" w14:textId="055B7FEC" w:rsidR="00F11249" w:rsidRPr="00A942F6" w:rsidRDefault="00923E68" w:rsidP="00641834">
      <w:pPr>
        <w:rPr>
          <w:lang w:val="nb-NO"/>
        </w:rPr>
      </w:pPr>
      <w:r w:rsidRPr="00A942F6">
        <w:rPr>
          <w:lang w:val="nb-NO"/>
        </w:rPr>
        <w:t>Avtozma</w:t>
      </w:r>
      <w:r w:rsidR="00F11249" w:rsidRPr="00A942F6">
        <w:rPr>
          <w:lang w:val="nb-NO"/>
        </w:rPr>
        <w:t xml:space="preserve"> leveres som en 0,9 ml ferdigfylt penn som inneholder 162 mg tocilizumab injeksjonsvæske, oppløsning.</w:t>
      </w:r>
    </w:p>
    <w:p w14:paraId="56AF2CCD" w14:textId="77777777" w:rsidR="001208EB" w:rsidRPr="00A942F6" w:rsidRDefault="001208EB" w:rsidP="00641834">
      <w:pPr>
        <w:rPr>
          <w:lang w:val="nb-NO"/>
        </w:rPr>
      </w:pPr>
    </w:p>
    <w:p w14:paraId="19569CED" w14:textId="77777777" w:rsidR="00EA08FF" w:rsidRPr="00A942F6" w:rsidRDefault="00EA08FF" w:rsidP="00EA08FF">
      <w:pPr>
        <w:rPr>
          <w:lang w:val="nb-NO"/>
        </w:rPr>
      </w:pPr>
      <w:r w:rsidRPr="00A942F6">
        <w:rPr>
          <w:lang w:val="nb-NO"/>
        </w:rPr>
        <w:t>Avtozma ferdigfylt penn for pasientbruk er tilgjengelig i pakninger som inneholder:</w:t>
      </w:r>
    </w:p>
    <w:p w14:paraId="2ACEEB84" w14:textId="6C7EC441" w:rsidR="00EA08FF" w:rsidRPr="00A942F6" w:rsidRDefault="00EA08FF" w:rsidP="00434BCD">
      <w:pPr>
        <w:numPr>
          <w:ilvl w:val="4"/>
          <w:numId w:val="67"/>
        </w:numPr>
        <w:ind w:left="567" w:hanging="567"/>
        <w:rPr>
          <w:lang w:val="nb-NO"/>
        </w:rPr>
      </w:pPr>
      <w:r w:rsidRPr="00A942F6">
        <w:rPr>
          <w:lang w:val="nb-NO"/>
        </w:rPr>
        <w:t>1 ferdigfylt penn</w:t>
      </w:r>
    </w:p>
    <w:p w14:paraId="6F724DD9" w14:textId="513E4056" w:rsidR="000603DA" w:rsidRPr="00A942F6" w:rsidRDefault="000603DA" w:rsidP="000603DA">
      <w:pPr>
        <w:numPr>
          <w:ilvl w:val="4"/>
          <w:numId w:val="67"/>
        </w:numPr>
        <w:ind w:left="567" w:hanging="567"/>
        <w:rPr>
          <w:ins w:id="42" w:author="만든 이"/>
          <w:lang w:val="nb-NO"/>
        </w:rPr>
      </w:pPr>
      <w:ins w:id="43" w:author="만든 이">
        <w:r>
          <w:rPr>
            <w:rFonts w:eastAsia="맑은 고딕" w:hint="eastAsia"/>
            <w:lang w:val="nb-NO" w:eastAsia="ko-KR"/>
          </w:rPr>
          <w:t>2</w:t>
        </w:r>
        <w:r w:rsidRPr="00A942F6">
          <w:rPr>
            <w:lang w:val="nb-NO"/>
          </w:rPr>
          <w:t> ferdigfylte penner</w:t>
        </w:r>
      </w:ins>
    </w:p>
    <w:p w14:paraId="5F2E025D" w14:textId="563BEF0B" w:rsidR="00EA08FF" w:rsidRPr="00A942F6" w:rsidRDefault="00EA08FF" w:rsidP="00434BCD">
      <w:pPr>
        <w:numPr>
          <w:ilvl w:val="4"/>
          <w:numId w:val="67"/>
        </w:numPr>
        <w:ind w:left="567" w:hanging="567"/>
        <w:rPr>
          <w:lang w:val="nb-NO"/>
        </w:rPr>
      </w:pPr>
      <w:r w:rsidRPr="00A942F6">
        <w:rPr>
          <w:lang w:val="nb-NO"/>
        </w:rPr>
        <w:t>4 ferdigfylte penner</w:t>
      </w:r>
    </w:p>
    <w:p w14:paraId="031D9AB5" w14:textId="544E5588" w:rsidR="00EA08FF" w:rsidRPr="00A942F6" w:rsidRDefault="00EA08FF" w:rsidP="00434BCD">
      <w:pPr>
        <w:numPr>
          <w:ilvl w:val="4"/>
          <w:numId w:val="67"/>
        </w:numPr>
        <w:ind w:left="567" w:hanging="567"/>
        <w:rPr>
          <w:lang w:val="nb-NO"/>
        </w:rPr>
      </w:pPr>
      <w:r w:rsidRPr="00A942F6">
        <w:rPr>
          <w:lang w:val="nb-NO"/>
        </w:rPr>
        <w:t>12 (3 pak</w:t>
      </w:r>
      <w:r w:rsidR="00E322E6" w:rsidRPr="00A942F6">
        <w:rPr>
          <w:lang w:val="nb-NO"/>
        </w:rPr>
        <w:t>ning</w:t>
      </w:r>
      <w:r w:rsidRPr="00A942F6">
        <w:rPr>
          <w:lang w:val="nb-NO"/>
        </w:rPr>
        <w:t>er à 4) ferdigfylte penner (multipakning)</w:t>
      </w:r>
    </w:p>
    <w:p w14:paraId="21C4BAF7" w14:textId="77777777" w:rsidR="00EA08FF" w:rsidRPr="00A942F6" w:rsidRDefault="00EA08FF" w:rsidP="00641834">
      <w:pPr>
        <w:rPr>
          <w:lang w:val="nb-NO"/>
        </w:rPr>
      </w:pPr>
    </w:p>
    <w:p w14:paraId="13456BD4" w14:textId="21882355" w:rsidR="00F11249" w:rsidRPr="00A942F6" w:rsidRDefault="00F11249" w:rsidP="00641834">
      <w:pPr>
        <w:rPr>
          <w:b/>
          <w:bCs/>
          <w:lang w:val="nb-NO"/>
        </w:rPr>
      </w:pPr>
      <w:r w:rsidRPr="00A942F6">
        <w:rPr>
          <w:b/>
          <w:bCs/>
          <w:lang w:val="nb-NO"/>
        </w:rPr>
        <w:t>Ikke alle pakningsstørrelser vil nødvendigvis bli markedsført.</w:t>
      </w:r>
    </w:p>
    <w:p w14:paraId="6946632E" w14:textId="77777777" w:rsidR="001208EB" w:rsidRPr="00A942F6" w:rsidRDefault="001208EB" w:rsidP="00641834">
      <w:pPr>
        <w:rPr>
          <w:lang w:val="nb-NO"/>
        </w:rPr>
      </w:pPr>
    </w:p>
    <w:p w14:paraId="4C57BA45" w14:textId="77777777" w:rsidR="00F11249" w:rsidRPr="00A942F6" w:rsidRDefault="00F11249" w:rsidP="00641834">
      <w:pPr>
        <w:rPr>
          <w:b/>
          <w:bCs/>
          <w:lang w:val="nb-NO"/>
        </w:rPr>
      </w:pPr>
      <w:r w:rsidRPr="00A942F6">
        <w:rPr>
          <w:b/>
          <w:bCs/>
          <w:lang w:val="nb-NO"/>
        </w:rPr>
        <w:t>Innehaver av markedsføringstillatelsen</w:t>
      </w:r>
    </w:p>
    <w:p w14:paraId="5C91CBBF" w14:textId="77777777" w:rsidR="00EA08FF" w:rsidRPr="00BD4D94" w:rsidRDefault="00EA08FF" w:rsidP="00EA08FF">
      <w:pPr>
        <w:keepNext/>
        <w:rPr>
          <w:lang w:val="nb-NO"/>
        </w:rPr>
      </w:pPr>
      <w:r w:rsidRPr="00BD4D94">
        <w:rPr>
          <w:lang w:val="nb-NO"/>
        </w:rPr>
        <w:t>Celltrion Healthcare Hungary Kft.</w:t>
      </w:r>
    </w:p>
    <w:p w14:paraId="604240B1" w14:textId="77777777" w:rsidR="00EA08FF" w:rsidRPr="009B40A5" w:rsidRDefault="00EA08FF" w:rsidP="00EA08FF">
      <w:pPr>
        <w:keepNext/>
      </w:pPr>
      <w:r w:rsidRPr="009B40A5">
        <w:t>1062 Budapest</w:t>
      </w:r>
    </w:p>
    <w:p w14:paraId="68B8AC20" w14:textId="77777777" w:rsidR="00EA08FF" w:rsidRPr="009B40A5" w:rsidRDefault="00EA08FF" w:rsidP="00EA08FF">
      <w:pPr>
        <w:keepNext/>
      </w:pPr>
      <w:r w:rsidRPr="009B40A5">
        <w:t>Váci út 1</w:t>
      </w:r>
      <w:r w:rsidR="00B33CA4" w:rsidRPr="009B40A5">
        <w:noBreakHyphen/>
      </w:r>
      <w:r w:rsidRPr="009B40A5">
        <w:t>3. WestEnd Office Building B torony</w:t>
      </w:r>
    </w:p>
    <w:p w14:paraId="0FB04210" w14:textId="77777777" w:rsidR="00EA08FF" w:rsidRPr="009B40A5" w:rsidRDefault="00EA08FF" w:rsidP="00EA08FF">
      <w:r w:rsidRPr="009B40A5">
        <w:t>Ungarn</w:t>
      </w:r>
    </w:p>
    <w:p w14:paraId="37A4047A" w14:textId="77777777" w:rsidR="001208EB" w:rsidRPr="009B40A5" w:rsidRDefault="001208EB" w:rsidP="00641834"/>
    <w:p w14:paraId="2A4C970F" w14:textId="77777777" w:rsidR="00F11249" w:rsidRPr="00CD583D" w:rsidRDefault="00F11249" w:rsidP="00641834">
      <w:pPr>
        <w:pStyle w:val="bold"/>
        <w:rPr>
          <w:lang w:val="fr-FR"/>
        </w:rPr>
      </w:pPr>
      <w:r w:rsidRPr="00CD583D">
        <w:rPr>
          <w:lang w:val="fr-FR"/>
        </w:rPr>
        <w:t>Tilvirker</w:t>
      </w:r>
    </w:p>
    <w:p w14:paraId="574BF303" w14:textId="77777777" w:rsidR="00EA08FF" w:rsidRPr="00CD583D" w:rsidRDefault="00EA08FF" w:rsidP="00EA08FF">
      <w:pPr>
        <w:keepNext/>
        <w:rPr>
          <w:lang w:val="fr-FR"/>
        </w:rPr>
      </w:pPr>
      <w:r w:rsidRPr="00CD583D">
        <w:rPr>
          <w:lang w:val="fr-FR"/>
        </w:rPr>
        <w:t>Nuvisan France SARL</w:t>
      </w:r>
    </w:p>
    <w:p w14:paraId="17B6AEC2" w14:textId="77777777" w:rsidR="00EA08FF" w:rsidRPr="00CD583D" w:rsidRDefault="00EA08FF" w:rsidP="00EA08FF">
      <w:pPr>
        <w:keepNext/>
        <w:rPr>
          <w:lang w:val="fr-FR"/>
        </w:rPr>
      </w:pPr>
      <w:r w:rsidRPr="00CD583D">
        <w:rPr>
          <w:lang w:val="fr-FR"/>
        </w:rPr>
        <w:t xml:space="preserve">2400, Route des Colles, </w:t>
      </w:r>
    </w:p>
    <w:p w14:paraId="565AF4D5" w14:textId="77777777" w:rsidR="00EA08FF" w:rsidRPr="00CD583D" w:rsidRDefault="00EA08FF" w:rsidP="00EA08FF">
      <w:pPr>
        <w:keepNext/>
        <w:rPr>
          <w:lang w:val="de-DE"/>
        </w:rPr>
      </w:pPr>
      <w:r w:rsidRPr="00CD583D">
        <w:rPr>
          <w:lang w:val="de-DE"/>
        </w:rPr>
        <w:t xml:space="preserve">06410, Biot, </w:t>
      </w:r>
    </w:p>
    <w:p w14:paraId="7A6F7D98" w14:textId="77777777" w:rsidR="00EA08FF" w:rsidRPr="00CD583D" w:rsidRDefault="00EA08FF" w:rsidP="00EA08FF">
      <w:pPr>
        <w:rPr>
          <w:lang w:val="de-DE"/>
        </w:rPr>
      </w:pPr>
      <w:r w:rsidRPr="00CD583D">
        <w:rPr>
          <w:lang w:val="de-DE"/>
        </w:rPr>
        <w:t>Frankrike</w:t>
      </w:r>
    </w:p>
    <w:p w14:paraId="223237D7" w14:textId="77777777" w:rsidR="00EA08FF" w:rsidRPr="00CD583D" w:rsidRDefault="00EA08FF" w:rsidP="00EA08FF">
      <w:pPr>
        <w:rPr>
          <w:lang w:val="de-DE"/>
        </w:rPr>
      </w:pPr>
    </w:p>
    <w:p w14:paraId="7B950440" w14:textId="77777777" w:rsidR="00EA08FF" w:rsidRPr="00CD583D" w:rsidRDefault="00EA08FF" w:rsidP="00EA08FF">
      <w:pPr>
        <w:keepNext/>
        <w:rPr>
          <w:lang w:val="de-DE"/>
        </w:rPr>
      </w:pPr>
      <w:r w:rsidRPr="00CD583D">
        <w:rPr>
          <w:lang w:val="de-DE"/>
        </w:rPr>
        <w:lastRenderedPageBreak/>
        <w:t>Midas Pharma GmbH</w:t>
      </w:r>
    </w:p>
    <w:p w14:paraId="1ED10097" w14:textId="77777777" w:rsidR="00EA08FF" w:rsidRPr="009B40A5" w:rsidRDefault="00EA08FF" w:rsidP="00EA08FF">
      <w:pPr>
        <w:keepNext/>
        <w:rPr>
          <w:lang w:val="sv-SE"/>
        </w:rPr>
      </w:pPr>
      <w:r w:rsidRPr="00CD583D">
        <w:rPr>
          <w:lang w:val="de-DE"/>
        </w:rPr>
        <w:t xml:space="preserve">Rheinstr. </w:t>
      </w:r>
      <w:r w:rsidRPr="009B40A5">
        <w:rPr>
          <w:lang w:val="sv-SE"/>
        </w:rPr>
        <w:t xml:space="preserve">49, </w:t>
      </w:r>
    </w:p>
    <w:p w14:paraId="531065B7" w14:textId="77777777" w:rsidR="00EA08FF" w:rsidRPr="009B40A5" w:rsidRDefault="00EA08FF" w:rsidP="00EA08FF">
      <w:pPr>
        <w:keepNext/>
        <w:rPr>
          <w:lang w:val="sv-SE"/>
        </w:rPr>
      </w:pPr>
      <w:r w:rsidRPr="009B40A5">
        <w:rPr>
          <w:lang w:val="sv-SE"/>
        </w:rPr>
        <w:t>55218 Ingelheim,</w:t>
      </w:r>
    </w:p>
    <w:p w14:paraId="371AF48C" w14:textId="77777777" w:rsidR="00EA08FF" w:rsidRPr="009B40A5" w:rsidRDefault="00EA08FF" w:rsidP="00EA08FF">
      <w:pPr>
        <w:rPr>
          <w:lang w:val="sv-SE"/>
        </w:rPr>
      </w:pPr>
      <w:r w:rsidRPr="009B40A5">
        <w:rPr>
          <w:lang w:val="sv-SE"/>
        </w:rPr>
        <w:t>Tyskland</w:t>
      </w:r>
    </w:p>
    <w:p w14:paraId="20247B40" w14:textId="77777777" w:rsidR="00EA08FF" w:rsidRPr="009B40A5" w:rsidRDefault="00EA08FF" w:rsidP="00EA08FF">
      <w:pPr>
        <w:rPr>
          <w:lang w:val="sv-SE"/>
        </w:rPr>
      </w:pPr>
    </w:p>
    <w:p w14:paraId="3298F84E" w14:textId="77777777" w:rsidR="00EA08FF" w:rsidRPr="009B40A5" w:rsidRDefault="00EA08FF" w:rsidP="00EA08FF">
      <w:pPr>
        <w:keepNext/>
        <w:rPr>
          <w:lang w:val="sv-SE"/>
        </w:rPr>
      </w:pPr>
      <w:r w:rsidRPr="009B40A5">
        <w:rPr>
          <w:lang w:val="sv-SE"/>
        </w:rPr>
        <w:t xml:space="preserve">KYMOS S.L. </w:t>
      </w:r>
    </w:p>
    <w:p w14:paraId="317A88B3" w14:textId="77777777" w:rsidR="00EA08FF" w:rsidRPr="009B40A5" w:rsidRDefault="00EA08FF" w:rsidP="00EA08FF">
      <w:pPr>
        <w:keepNext/>
        <w:rPr>
          <w:lang w:val="sv-SE"/>
        </w:rPr>
      </w:pPr>
      <w:r w:rsidRPr="009B40A5">
        <w:rPr>
          <w:lang w:val="sv-SE"/>
        </w:rPr>
        <w:t xml:space="preserve">Ronda Can Fatjó, 7B. </w:t>
      </w:r>
    </w:p>
    <w:p w14:paraId="44DB15FE" w14:textId="77777777" w:rsidR="00EA08FF" w:rsidRPr="009B40A5" w:rsidRDefault="00EA08FF" w:rsidP="00EA08FF">
      <w:pPr>
        <w:keepNext/>
        <w:rPr>
          <w:lang w:val="sv-SE"/>
        </w:rPr>
      </w:pPr>
      <w:r w:rsidRPr="009B40A5">
        <w:rPr>
          <w:lang w:val="sv-SE"/>
        </w:rPr>
        <w:t xml:space="preserve">08290 Cerdanyola del Vallès, </w:t>
      </w:r>
    </w:p>
    <w:p w14:paraId="23E77862" w14:textId="77777777" w:rsidR="00EA08FF" w:rsidRPr="00A942F6" w:rsidRDefault="00EA08FF" w:rsidP="00EA08FF">
      <w:pPr>
        <w:keepNext/>
        <w:rPr>
          <w:lang w:val="nb-NO"/>
        </w:rPr>
      </w:pPr>
      <w:r w:rsidRPr="00A942F6">
        <w:rPr>
          <w:lang w:val="nb-NO"/>
        </w:rPr>
        <w:t xml:space="preserve">Barcelona, </w:t>
      </w:r>
    </w:p>
    <w:p w14:paraId="0202098B" w14:textId="77777777" w:rsidR="00EA08FF" w:rsidRPr="00A942F6" w:rsidRDefault="00EA08FF" w:rsidP="00EA08FF">
      <w:pPr>
        <w:rPr>
          <w:lang w:val="nb-NO"/>
        </w:rPr>
      </w:pPr>
      <w:r w:rsidRPr="00A942F6">
        <w:rPr>
          <w:lang w:val="nb-NO"/>
        </w:rPr>
        <w:t>Spania</w:t>
      </w:r>
    </w:p>
    <w:p w14:paraId="3CB583E6" w14:textId="77777777" w:rsidR="00F11249" w:rsidRPr="00A942F6" w:rsidRDefault="00F11249" w:rsidP="00641834">
      <w:pPr>
        <w:rPr>
          <w:lang w:val="nb-NO"/>
        </w:rPr>
      </w:pPr>
    </w:p>
    <w:p w14:paraId="1A91D943" w14:textId="77777777" w:rsidR="00F11249" w:rsidRPr="00A942F6" w:rsidRDefault="00F11249" w:rsidP="00641834">
      <w:pPr>
        <w:rPr>
          <w:lang w:val="nb-NO"/>
        </w:rPr>
      </w:pPr>
      <w:r w:rsidRPr="00A942F6">
        <w:rPr>
          <w:lang w:val="nb-NO"/>
        </w:rPr>
        <w:t>Ta kontakt med den lokale representanten for innehaveren av markedsføringstillatelsen for ytterligere informasjon om dette legemidlet:</w:t>
      </w:r>
    </w:p>
    <w:p w14:paraId="6848967C" w14:textId="77777777" w:rsidR="00F11249" w:rsidRPr="00A942F6" w:rsidRDefault="00F11249" w:rsidP="00641834">
      <w:pPr>
        <w:rPr>
          <w:lang w:val="nb-NO"/>
        </w:rPr>
      </w:pPr>
    </w:p>
    <w:tbl>
      <w:tblPr>
        <w:tblW w:w="5000" w:type="pct"/>
        <w:tblLayout w:type="fixed"/>
        <w:tblCellMar>
          <w:top w:w="28" w:type="dxa"/>
          <w:bottom w:w="28" w:type="dxa"/>
        </w:tblCellMar>
        <w:tblLook w:val="04A0" w:firstRow="1" w:lastRow="0" w:firstColumn="1" w:lastColumn="0" w:noHBand="0" w:noVBand="1"/>
      </w:tblPr>
      <w:tblGrid>
        <w:gridCol w:w="4535"/>
        <w:gridCol w:w="4536"/>
      </w:tblGrid>
      <w:tr w:rsidR="001F0013" w:rsidRPr="00A942F6" w14:paraId="0FDE8559" w14:textId="77777777">
        <w:trPr>
          <w:cantSplit/>
        </w:trPr>
        <w:tc>
          <w:tcPr>
            <w:tcW w:w="2500" w:type="pct"/>
            <w:hideMark/>
          </w:tcPr>
          <w:p w14:paraId="43C20743" w14:textId="77777777" w:rsidR="00EA08FF" w:rsidRPr="009B40A5" w:rsidRDefault="00EA08FF">
            <w:pPr>
              <w:widowControl w:val="0"/>
              <w:suppressAutoHyphens/>
              <w:rPr>
                <w:rFonts w:eastAsia="새굴림" w:cs="새굴림"/>
                <w:b/>
                <w:noProof/>
                <w:lang w:eastAsia="fr-FR"/>
              </w:rPr>
            </w:pPr>
            <w:r w:rsidRPr="009B40A5">
              <w:rPr>
                <w:rFonts w:eastAsia="맑은 고딕" w:cs="새굴림"/>
                <w:b/>
                <w:noProof/>
                <w:lang w:eastAsia="fr-FR"/>
              </w:rPr>
              <w:t>België/Belgique/Belgien</w:t>
            </w:r>
          </w:p>
          <w:p w14:paraId="059D649E" w14:textId="77777777" w:rsidR="00EA08FF" w:rsidRPr="009B40A5" w:rsidRDefault="00EA08FF">
            <w:pPr>
              <w:widowControl w:val="0"/>
              <w:suppressAutoHyphens/>
              <w:rPr>
                <w:rFonts w:eastAsia="맑은 고딕" w:cs="새굴림"/>
                <w:noProof/>
                <w:lang w:eastAsia="fr-FR"/>
              </w:rPr>
            </w:pPr>
            <w:r w:rsidRPr="009B40A5">
              <w:rPr>
                <w:rFonts w:eastAsia="맑은 고딕" w:cs="새굴림"/>
                <w:noProof/>
                <w:lang w:eastAsia="fr-FR"/>
              </w:rPr>
              <w:t>Celltrion Healthcare Belgium BVBA</w:t>
            </w:r>
          </w:p>
          <w:p w14:paraId="0229BB9F"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Tél/Tel: +32 2 643 71 81</w:t>
            </w:r>
          </w:p>
          <w:p w14:paraId="160F7B69" w14:textId="77777777" w:rsidR="00EA08FF" w:rsidRPr="00394415" w:rsidRDefault="00EA08FF">
            <w:pPr>
              <w:widowControl w:val="0"/>
              <w:suppressAutoHyphens/>
              <w:rPr>
                <w:rFonts w:eastAsia="맑은 고딕" w:cs="새굴림"/>
                <w:noProof/>
                <w:lang w:val="nb-NO" w:eastAsia="fr-FR"/>
              </w:rPr>
            </w:pPr>
            <w:hyperlink r:id="rId44" w:history="1">
              <w:r w:rsidRPr="00434BCD">
                <w:rPr>
                  <w:rStyle w:val="a6"/>
                  <w:rFonts w:eastAsia="맑은 고딕" w:cs="새굴림"/>
                  <w:noProof/>
                  <w:color w:val="0000FF"/>
                  <w:lang w:val="nb-NO" w:eastAsia="fr-FR"/>
                </w:rPr>
                <w:t>BEinfo@celltrionhc.com</w:t>
              </w:r>
            </w:hyperlink>
          </w:p>
          <w:p w14:paraId="6AFE2AE9" w14:textId="77777777" w:rsidR="00EA08FF" w:rsidRPr="00A942F6" w:rsidRDefault="00EA08FF">
            <w:pPr>
              <w:widowControl w:val="0"/>
              <w:suppressAutoHyphens/>
              <w:rPr>
                <w:rFonts w:eastAsia="맑은 고딕" w:cs="새굴림"/>
                <w:noProof/>
                <w:lang w:val="nb-NO" w:eastAsia="ko-KR"/>
              </w:rPr>
            </w:pPr>
          </w:p>
        </w:tc>
        <w:tc>
          <w:tcPr>
            <w:tcW w:w="2500" w:type="pct"/>
          </w:tcPr>
          <w:p w14:paraId="33C10D3A" w14:textId="77777777" w:rsidR="00EA08FF" w:rsidRPr="009B40A5" w:rsidRDefault="00EA08FF">
            <w:pPr>
              <w:widowControl w:val="0"/>
              <w:tabs>
                <w:tab w:val="left" w:pos="-720"/>
              </w:tabs>
              <w:suppressAutoHyphens/>
              <w:rPr>
                <w:rFonts w:eastAsia="새굴림" w:cs="새굴림"/>
                <w:b/>
                <w:noProof/>
                <w:lang w:eastAsia="fr-FR"/>
              </w:rPr>
            </w:pPr>
            <w:r w:rsidRPr="009B40A5">
              <w:rPr>
                <w:rFonts w:eastAsia="새굴림" w:cs="새굴림"/>
                <w:b/>
                <w:noProof/>
                <w:lang w:eastAsia="fr-FR"/>
              </w:rPr>
              <w:t>Lietuva</w:t>
            </w:r>
          </w:p>
          <w:p w14:paraId="10254928"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01744A45" w14:textId="77777777" w:rsidR="00EA08FF" w:rsidRPr="00A942F6" w:rsidRDefault="00EA08FF">
            <w:pPr>
              <w:widowControl w:val="0"/>
              <w:suppressAutoHyphens/>
              <w:autoSpaceDE w:val="0"/>
              <w:autoSpaceDN w:val="0"/>
              <w:adjustRightInd w:val="0"/>
              <w:rPr>
                <w:rFonts w:eastAsia="새굴림" w:cs="새굴림"/>
                <w:noProof/>
                <w:lang w:val="nb-NO" w:eastAsia="fr-FR"/>
              </w:rPr>
            </w:pPr>
            <w:r w:rsidRPr="00A942F6">
              <w:rPr>
                <w:rFonts w:eastAsia="맑은 고딕" w:cs="새굴림"/>
                <w:noProof/>
                <w:lang w:val="nb-NO" w:eastAsia="fr-FR"/>
              </w:rPr>
              <w:t>Tel.: +36 1 231 0493</w:t>
            </w:r>
          </w:p>
          <w:p w14:paraId="6551D829" w14:textId="77777777" w:rsidR="00EA08FF" w:rsidRPr="00A942F6" w:rsidRDefault="00EA08FF">
            <w:pPr>
              <w:widowControl w:val="0"/>
              <w:suppressAutoHyphens/>
              <w:autoSpaceDE w:val="0"/>
              <w:autoSpaceDN w:val="0"/>
              <w:adjustRightInd w:val="0"/>
              <w:rPr>
                <w:rFonts w:eastAsia="새굴림" w:cs="새굴림"/>
                <w:noProof/>
                <w:lang w:val="nb-NO" w:eastAsia="fr-FR"/>
              </w:rPr>
            </w:pPr>
          </w:p>
        </w:tc>
      </w:tr>
      <w:tr w:rsidR="001F0013" w:rsidRPr="00A942F6" w14:paraId="3684DBDD" w14:textId="77777777">
        <w:trPr>
          <w:cantSplit/>
        </w:trPr>
        <w:tc>
          <w:tcPr>
            <w:tcW w:w="2500" w:type="pct"/>
          </w:tcPr>
          <w:p w14:paraId="66AE6E36" w14:textId="77777777" w:rsidR="00EA08FF" w:rsidRPr="009B40A5" w:rsidRDefault="00EA08FF">
            <w:pPr>
              <w:widowControl w:val="0"/>
              <w:suppressAutoHyphens/>
              <w:rPr>
                <w:rFonts w:eastAsia="맑은 고딕" w:cs="새굴림"/>
                <w:b/>
                <w:noProof/>
                <w:lang w:eastAsia="fr-FR"/>
              </w:rPr>
            </w:pPr>
            <w:r w:rsidRPr="00A942F6">
              <w:rPr>
                <w:rFonts w:eastAsia="새굴림" w:cs="새굴림"/>
                <w:b/>
                <w:bCs/>
                <w:lang w:val="nb-NO"/>
              </w:rPr>
              <w:t>България</w:t>
            </w:r>
          </w:p>
          <w:p w14:paraId="4CC70760"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0A72CE16"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Teл.: +36 1 231 0493</w:t>
            </w:r>
          </w:p>
          <w:p w14:paraId="7158DE28" w14:textId="77777777" w:rsidR="00EA08FF" w:rsidRPr="00A942F6" w:rsidRDefault="00EA08FF">
            <w:pPr>
              <w:widowControl w:val="0"/>
              <w:suppressAutoHyphens/>
              <w:rPr>
                <w:rFonts w:eastAsia="새굴림" w:cs="새굴림"/>
                <w:noProof/>
                <w:lang w:val="nb-NO" w:eastAsia="fr-FR"/>
              </w:rPr>
            </w:pPr>
          </w:p>
        </w:tc>
        <w:tc>
          <w:tcPr>
            <w:tcW w:w="2500" w:type="pct"/>
            <w:hideMark/>
          </w:tcPr>
          <w:p w14:paraId="794F9F43" w14:textId="77777777" w:rsidR="00EA08FF" w:rsidRPr="00CD583D" w:rsidRDefault="00EA08FF">
            <w:pPr>
              <w:widowControl w:val="0"/>
              <w:tabs>
                <w:tab w:val="left" w:pos="-720"/>
              </w:tabs>
              <w:suppressAutoHyphens/>
              <w:rPr>
                <w:rFonts w:eastAsia="새굴림" w:cs="새굴림"/>
                <w:noProof/>
                <w:lang w:val="de-DE" w:eastAsia="fr-FR"/>
              </w:rPr>
            </w:pPr>
            <w:r w:rsidRPr="00CD583D">
              <w:rPr>
                <w:rFonts w:eastAsia="맑은 고딕" w:cs="새굴림"/>
                <w:b/>
                <w:noProof/>
                <w:lang w:val="de-DE" w:eastAsia="fr-FR"/>
              </w:rPr>
              <w:t>Luxembourg/Luxemburg</w:t>
            </w:r>
          </w:p>
          <w:p w14:paraId="7E9DBB8E" w14:textId="77777777" w:rsidR="00EA08FF" w:rsidRPr="00CD583D" w:rsidRDefault="00EA08FF">
            <w:pPr>
              <w:widowControl w:val="0"/>
              <w:suppressAutoHyphens/>
              <w:rPr>
                <w:rFonts w:eastAsia="맑은 고딕" w:cs="새굴림"/>
                <w:noProof/>
                <w:lang w:val="de-DE" w:eastAsia="fr-FR"/>
              </w:rPr>
            </w:pPr>
            <w:r w:rsidRPr="00CD583D">
              <w:rPr>
                <w:rFonts w:eastAsia="맑은 고딕" w:cs="새굴림"/>
                <w:noProof/>
                <w:lang w:val="de-DE" w:eastAsia="fr-FR"/>
              </w:rPr>
              <w:t>Celltrion Healthcare Belgium BVBA</w:t>
            </w:r>
          </w:p>
          <w:p w14:paraId="04313E49" w14:textId="77777777" w:rsidR="00EA08FF" w:rsidRPr="00A942F6" w:rsidRDefault="00EA08FF">
            <w:pPr>
              <w:widowControl w:val="0"/>
              <w:tabs>
                <w:tab w:val="left" w:pos="-720"/>
              </w:tabs>
              <w:suppressAutoHyphens/>
              <w:rPr>
                <w:rFonts w:eastAsia="맑은 고딕" w:cs="새굴림"/>
                <w:lang w:val="nb-NO" w:eastAsia="ko-KR"/>
              </w:rPr>
            </w:pPr>
            <w:r w:rsidRPr="00A942F6">
              <w:rPr>
                <w:rFonts w:eastAsia="맑은 고딕" w:cs="새굴림"/>
                <w:noProof/>
                <w:lang w:val="nb-NO" w:eastAsia="fr-FR"/>
              </w:rPr>
              <w:t>Tél/Tel: +32 2 643 71 81</w:t>
            </w:r>
          </w:p>
          <w:p w14:paraId="702F2832" w14:textId="77777777" w:rsidR="00EA08FF" w:rsidRPr="00394415" w:rsidRDefault="00EA08FF">
            <w:pPr>
              <w:widowControl w:val="0"/>
              <w:suppressAutoHyphens/>
              <w:rPr>
                <w:rFonts w:eastAsia="맑은 고딕" w:cs="새굴림"/>
                <w:noProof/>
                <w:lang w:val="nb-NO" w:eastAsia="fr-FR"/>
              </w:rPr>
            </w:pPr>
            <w:hyperlink r:id="rId45" w:history="1">
              <w:r w:rsidRPr="00434BCD">
                <w:rPr>
                  <w:rStyle w:val="a6"/>
                  <w:rFonts w:eastAsia="맑은 고딕" w:cs="새굴림"/>
                  <w:noProof/>
                  <w:color w:val="0000FF"/>
                  <w:lang w:val="nb-NO" w:eastAsia="fr-FR"/>
                </w:rPr>
                <w:t>BEinfo@celltrionhc.com</w:t>
              </w:r>
            </w:hyperlink>
          </w:p>
          <w:p w14:paraId="5C25F069" w14:textId="77777777" w:rsidR="00EA08FF" w:rsidRPr="00A942F6" w:rsidRDefault="00EA08FF">
            <w:pPr>
              <w:widowControl w:val="0"/>
              <w:tabs>
                <w:tab w:val="left" w:pos="-720"/>
              </w:tabs>
              <w:suppressAutoHyphens/>
              <w:rPr>
                <w:rFonts w:eastAsia="맑은 고딕" w:cs="새굴림"/>
                <w:lang w:val="nb-NO" w:eastAsia="ko-KR"/>
              </w:rPr>
            </w:pPr>
          </w:p>
        </w:tc>
      </w:tr>
      <w:tr w:rsidR="001F0013" w:rsidRPr="00A942F6" w14:paraId="18EBC5B6" w14:textId="77777777">
        <w:trPr>
          <w:cantSplit/>
        </w:trPr>
        <w:tc>
          <w:tcPr>
            <w:tcW w:w="2500" w:type="pct"/>
            <w:hideMark/>
          </w:tcPr>
          <w:p w14:paraId="21F38075" w14:textId="77777777" w:rsidR="00EA08FF" w:rsidRPr="009B40A5" w:rsidRDefault="00EA08FF">
            <w:pPr>
              <w:widowControl w:val="0"/>
              <w:tabs>
                <w:tab w:val="left" w:pos="-720"/>
              </w:tabs>
              <w:suppressAutoHyphens/>
              <w:rPr>
                <w:rFonts w:eastAsia="맑은 고딕" w:cs="새굴림"/>
                <w:b/>
                <w:noProof/>
                <w:lang w:eastAsia="fr-FR"/>
              </w:rPr>
            </w:pPr>
            <w:r w:rsidRPr="009B40A5">
              <w:rPr>
                <w:rFonts w:eastAsia="맑은 고딕" w:cs="새굴림"/>
                <w:b/>
                <w:noProof/>
                <w:lang w:eastAsia="fr-FR"/>
              </w:rPr>
              <w:t>Česká republika</w:t>
            </w:r>
          </w:p>
          <w:p w14:paraId="1593D3CF"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633174BA" w14:textId="77777777" w:rsidR="00EA08FF" w:rsidRPr="00A942F6" w:rsidRDefault="00EA08FF">
            <w:pPr>
              <w:widowControl w:val="0"/>
              <w:tabs>
                <w:tab w:val="left" w:pos="-720"/>
              </w:tabs>
              <w:suppressAutoHyphens/>
              <w:rPr>
                <w:rFonts w:eastAsia="맑은 고딕" w:cs="새굴림"/>
                <w:noProof/>
                <w:lang w:val="nb-NO" w:eastAsia="fr-FR"/>
              </w:rPr>
            </w:pPr>
            <w:r w:rsidRPr="00A942F6">
              <w:rPr>
                <w:rFonts w:eastAsia="맑은 고딕" w:cs="새굴림"/>
                <w:noProof/>
                <w:lang w:val="nb-NO" w:eastAsia="fr-FR"/>
              </w:rPr>
              <w:t>Tel: +36 1 231 0493</w:t>
            </w:r>
          </w:p>
          <w:p w14:paraId="7B57FD2D" w14:textId="77777777" w:rsidR="00EA08FF" w:rsidRPr="00A942F6" w:rsidRDefault="00EA08FF">
            <w:pPr>
              <w:widowControl w:val="0"/>
              <w:tabs>
                <w:tab w:val="left" w:pos="-720"/>
              </w:tabs>
              <w:suppressAutoHyphens/>
              <w:rPr>
                <w:rFonts w:eastAsia="새굴림" w:cs="새굴림"/>
                <w:noProof/>
                <w:lang w:val="nb-NO" w:eastAsia="fr-FR"/>
              </w:rPr>
            </w:pPr>
          </w:p>
        </w:tc>
        <w:tc>
          <w:tcPr>
            <w:tcW w:w="2500" w:type="pct"/>
          </w:tcPr>
          <w:p w14:paraId="79989FFB" w14:textId="77777777" w:rsidR="00EA08FF" w:rsidRPr="009B40A5" w:rsidRDefault="00EA08FF">
            <w:pPr>
              <w:widowControl w:val="0"/>
              <w:suppressAutoHyphens/>
              <w:rPr>
                <w:rFonts w:eastAsia="맑은 고딕" w:cs="새굴림"/>
                <w:b/>
                <w:noProof/>
                <w:lang w:eastAsia="fr-FR"/>
              </w:rPr>
            </w:pPr>
            <w:r w:rsidRPr="009B40A5">
              <w:rPr>
                <w:rFonts w:eastAsia="새굴림" w:cs="새굴림"/>
                <w:b/>
                <w:noProof/>
              </w:rPr>
              <w:t>Magyarország</w:t>
            </w:r>
          </w:p>
          <w:p w14:paraId="6F3E4B1B"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43D42C71"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3DB9B89A" w14:textId="77777777" w:rsidR="00EA08FF" w:rsidRPr="00A942F6" w:rsidRDefault="00EA08FF">
            <w:pPr>
              <w:widowControl w:val="0"/>
              <w:suppressAutoHyphens/>
              <w:rPr>
                <w:rFonts w:eastAsia="맑은 고딕" w:cs="새굴림"/>
                <w:noProof/>
                <w:lang w:val="nb-NO" w:eastAsia="ko-KR"/>
              </w:rPr>
            </w:pPr>
          </w:p>
        </w:tc>
      </w:tr>
      <w:tr w:rsidR="001F0013" w:rsidRPr="00A942F6" w14:paraId="57762215" w14:textId="77777777">
        <w:trPr>
          <w:cantSplit/>
        </w:trPr>
        <w:tc>
          <w:tcPr>
            <w:tcW w:w="2500" w:type="pct"/>
            <w:hideMark/>
          </w:tcPr>
          <w:p w14:paraId="280CA1D3" w14:textId="245F7FB7" w:rsidR="00EA08FF" w:rsidRPr="009B40A5" w:rsidRDefault="00EA08FF">
            <w:pPr>
              <w:widowControl w:val="0"/>
              <w:tabs>
                <w:tab w:val="left" w:pos="-720"/>
              </w:tabs>
              <w:suppressAutoHyphens/>
              <w:rPr>
                <w:rFonts w:eastAsia="새굴림" w:cs="새굴림"/>
                <w:b/>
                <w:bCs/>
                <w:i/>
                <w:iCs/>
                <w:noProof/>
                <w:lang w:eastAsia="fr-FR"/>
              </w:rPr>
            </w:pPr>
            <w:r w:rsidRPr="009B40A5">
              <w:rPr>
                <w:rFonts w:eastAsia="새굴림" w:cs="새굴림"/>
                <w:b/>
                <w:noProof/>
              </w:rPr>
              <w:t>D</w:t>
            </w:r>
            <w:r w:rsidR="00552215">
              <w:rPr>
                <w:rFonts w:eastAsia="새굴림" w:cs="새굴림" w:hint="eastAsia"/>
                <w:b/>
                <w:noProof/>
                <w:lang w:eastAsia="ko-KR"/>
              </w:rPr>
              <w:t>e</w:t>
            </w:r>
            <w:r w:rsidRPr="009B40A5">
              <w:rPr>
                <w:rFonts w:eastAsia="새굴림" w:cs="새굴림"/>
                <w:b/>
                <w:noProof/>
              </w:rPr>
              <w:t>nmark</w:t>
            </w:r>
          </w:p>
          <w:p w14:paraId="54A9BF21" w14:textId="77777777" w:rsidR="00552215" w:rsidRPr="00DC6A50" w:rsidRDefault="00EA08FF" w:rsidP="00552215">
            <w:pPr>
              <w:tabs>
                <w:tab w:val="left" w:pos="-720"/>
              </w:tabs>
              <w:suppressAutoHyphens/>
              <w:rPr>
                <w:rFonts w:eastAsia="맑은 고딕" w:cs="Times New Roman"/>
                <w:noProof/>
                <w:lang w:eastAsia="ko-KR"/>
              </w:rPr>
            </w:pPr>
            <w:r w:rsidRPr="009B40A5">
              <w:rPr>
                <w:rFonts w:eastAsia="맑은 고딕" w:cs="새굴림"/>
                <w:noProof/>
                <w:lang w:eastAsia="fr-FR"/>
              </w:rPr>
              <w:t xml:space="preserve">Celltrion Healthcare </w:t>
            </w:r>
            <w:r w:rsidR="00552215" w:rsidRPr="00200A6E">
              <w:rPr>
                <w:rFonts w:eastAsia="맑은 고딕" w:cs="Times New Roman" w:hint="eastAsia"/>
                <w:noProof/>
                <w:lang w:eastAsia="ko-KR"/>
              </w:rPr>
              <w:t>Denmark</w:t>
            </w:r>
            <w:r w:rsidR="00552215">
              <w:rPr>
                <w:rFonts w:eastAsia="맑은 고딕" w:cs="Times New Roman" w:hint="eastAsia"/>
                <w:noProof/>
                <w:lang w:eastAsia="ko-KR"/>
              </w:rPr>
              <w:t xml:space="preserve"> ApS</w:t>
            </w:r>
          </w:p>
          <w:p w14:paraId="0F162949" w14:textId="77777777" w:rsidR="00552215" w:rsidRPr="006F04E0" w:rsidRDefault="00552215" w:rsidP="00552215">
            <w:pPr>
              <w:tabs>
                <w:tab w:val="left" w:pos="-720"/>
              </w:tabs>
              <w:suppressAutoHyphens/>
              <w:rPr>
                <w:rFonts w:eastAsia="맑은 고딕" w:cs="Times New Roman"/>
                <w:noProof/>
                <w:lang w:eastAsia="fr-FR"/>
              </w:rPr>
            </w:pPr>
            <w:r w:rsidRPr="006F04E0">
              <w:rPr>
                <w:rFonts w:eastAsia="맑은 고딕" w:cs="Times New Roman"/>
                <w:noProof/>
                <w:lang w:eastAsia="fr-FR"/>
              </w:rPr>
              <w:t>Tel: + 45 3535 2989</w:t>
            </w:r>
          </w:p>
          <w:p w14:paraId="72ABD052" w14:textId="38DF76D8" w:rsidR="00EA08FF" w:rsidRDefault="00552215">
            <w:pPr>
              <w:widowControl w:val="0"/>
              <w:tabs>
                <w:tab w:val="left" w:pos="-720"/>
              </w:tabs>
              <w:suppressAutoHyphens/>
              <w:rPr>
                <w:rFonts w:eastAsia="맑은 고딕" w:cs="새굴림"/>
                <w:noProof/>
                <w:lang w:eastAsia="fr-FR"/>
              </w:rPr>
            </w:pPr>
            <w:r w:rsidRPr="006F04E0">
              <w:rPr>
                <w:rFonts w:eastAsia="맑은 고딕" w:cs="Times New Roman"/>
                <w:noProof/>
                <w:lang w:eastAsia="fr-FR"/>
              </w:rPr>
              <w:t>Contact_dk@celltrionhc.com</w:t>
            </w:r>
          </w:p>
          <w:p w14:paraId="1C8ED85D" w14:textId="77777777" w:rsidR="00552215" w:rsidRPr="00BD4D94" w:rsidRDefault="00552215">
            <w:pPr>
              <w:widowControl w:val="0"/>
              <w:tabs>
                <w:tab w:val="left" w:pos="-720"/>
              </w:tabs>
              <w:suppressAutoHyphens/>
              <w:rPr>
                <w:rFonts w:eastAsia="맑은 고딕" w:cs="새굴림"/>
                <w:noProof/>
                <w:lang w:eastAsia="ko-KR"/>
              </w:rPr>
            </w:pPr>
          </w:p>
          <w:p w14:paraId="4463CF6D" w14:textId="77777777" w:rsidR="00EA08FF" w:rsidRPr="00A942F6" w:rsidRDefault="00EA08FF">
            <w:pPr>
              <w:widowControl w:val="0"/>
              <w:tabs>
                <w:tab w:val="left" w:pos="-720"/>
              </w:tabs>
              <w:suppressAutoHyphens/>
              <w:rPr>
                <w:rFonts w:eastAsia="맑은 고딕" w:cs="새굴림"/>
                <w:noProof/>
                <w:lang w:val="nb-NO" w:eastAsia="fr-FR"/>
              </w:rPr>
            </w:pPr>
          </w:p>
        </w:tc>
        <w:tc>
          <w:tcPr>
            <w:tcW w:w="2500" w:type="pct"/>
          </w:tcPr>
          <w:p w14:paraId="44196955" w14:textId="77777777" w:rsidR="00EA08FF" w:rsidRPr="009B40A5" w:rsidRDefault="00EA08FF">
            <w:pPr>
              <w:widowControl w:val="0"/>
              <w:suppressAutoHyphens/>
              <w:rPr>
                <w:rFonts w:eastAsia="새굴림" w:cs="새굴림"/>
                <w:noProof/>
                <w:lang w:eastAsia="fr-FR"/>
              </w:rPr>
            </w:pPr>
            <w:r w:rsidRPr="009B40A5">
              <w:rPr>
                <w:rFonts w:eastAsia="맑은 고딕" w:cs="새굴림"/>
                <w:b/>
                <w:noProof/>
                <w:lang w:eastAsia="fr-FR"/>
              </w:rPr>
              <w:t>Malta</w:t>
            </w:r>
          </w:p>
          <w:p w14:paraId="1DEAA877"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Mint Health Ltd.</w:t>
            </w:r>
          </w:p>
          <w:p w14:paraId="4E4D94C0" w14:textId="77777777" w:rsidR="00EA08FF" w:rsidRPr="009B40A5" w:rsidRDefault="00EA08FF">
            <w:pPr>
              <w:widowControl w:val="0"/>
              <w:suppressAutoHyphens/>
              <w:rPr>
                <w:rFonts w:eastAsia="맑은 고딕" w:cs="새굴림"/>
                <w:noProof/>
                <w:lang w:eastAsia="ko-KR"/>
              </w:rPr>
            </w:pPr>
            <w:r w:rsidRPr="009B40A5">
              <w:rPr>
                <w:rFonts w:eastAsia="맑은 고딕" w:cs="새굴림"/>
                <w:noProof/>
                <w:lang w:eastAsia="fr-FR"/>
              </w:rPr>
              <w:t>Tel: +356 2093 9800</w:t>
            </w:r>
          </w:p>
          <w:p w14:paraId="11507A72" w14:textId="77777777" w:rsidR="00EA08FF" w:rsidRPr="009B40A5" w:rsidRDefault="00EA08FF">
            <w:pPr>
              <w:widowControl w:val="0"/>
              <w:suppressAutoHyphens/>
              <w:rPr>
                <w:rFonts w:eastAsia="맑은 고딕" w:cs="새굴림"/>
                <w:noProof/>
                <w:lang w:eastAsia="ko-KR"/>
              </w:rPr>
            </w:pPr>
          </w:p>
        </w:tc>
      </w:tr>
      <w:tr w:rsidR="001F0013" w:rsidRPr="00A942F6" w14:paraId="637BE0C2" w14:textId="77777777">
        <w:trPr>
          <w:cantSplit/>
        </w:trPr>
        <w:tc>
          <w:tcPr>
            <w:tcW w:w="2500" w:type="pct"/>
            <w:hideMark/>
          </w:tcPr>
          <w:p w14:paraId="6A066215" w14:textId="77777777" w:rsidR="00EA08FF" w:rsidRPr="00CD583D" w:rsidRDefault="00EA08FF">
            <w:pPr>
              <w:widowControl w:val="0"/>
              <w:suppressAutoHyphens/>
              <w:rPr>
                <w:rFonts w:eastAsia="새굴림" w:cs="새굴림"/>
                <w:b/>
                <w:lang w:val="de-DE"/>
              </w:rPr>
            </w:pPr>
            <w:r w:rsidRPr="00CD583D">
              <w:rPr>
                <w:rFonts w:eastAsia="새굴림" w:cs="새굴림"/>
                <w:b/>
                <w:lang w:val="de-DE"/>
              </w:rPr>
              <w:t>Deutschland</w:t>
            </w:r>
          </w:p>
          <w:p w14:paraId="11EDB365" w14:textId="77777777" w:rsidR="00EA08FF" w:rsidRPr="00CD583D" w:rsidRDefault="00EA08FF">
            <w:pPr>
              <w:widowControl w:val="0"/>
              <w:tabs>
                <w:tab w:val="left" w:pos="-720"/>
              </w:tabs>
              <w:suppressAutoHyphens/>
              <w:rPr>
                <w:rFonts w:eastAsia="새굴림" w:cs="새굴림"/>
                <w:lang w:val="de-DE"/>
              </w:rPr>
            </w:pPr>
            <w:r w:rsidRPr="00CD583D">
              <w:rPr>
                <w:rFonts w:eastAsia="새굴림" w:cs="새굴림"/>
                <w:lang w:val="de-DE"/>
              </w:rPr>
              <w:t xml:space="preserve">Celltrion Healthcare Deutschland </w:t>
            </w:r>
            <w:r w:rsidRPr="00CD583D">
              <w:rPr>
                <w:rFonts w:eastAsia="맑은 고딕" w:cs="새굴림"/>
                <w:noProof/>
                <w:lang w:val="de-DE" w:eastAsia="fr-FR"/>
              </w:rPr>
              <w:t>GmbH</w:t>
            </w:r>
          </w:p>
          <w:p w14:paraId="6707F584" w14:textId="77777777" w:rsidR="00EA08FF" w:rsidRPr="00CD583D" w:rsidRDefault="00EA08FF">
            <w:pPr>
              <w:widowControl w:val="0"/>
              <w:tabs>
                <w:tab w:val="left" w:pos="-720"/>
              </w:tabs>
              <w:suppressAutoHyphens/>
              <w:rPr>
                <w:rFonts w:eastAsia="맑은 고딕" w:cs="새굴림"/>
                <w:noProof/>
                <w:lang w:val="de-DE" w:eastAsia="fr-FR"/>
              </w:rPr>
            </w:pPr>
            <w:r w:rsidRPr="00CD583D">
              <w:rPr>
                <w:rFonts w:eastAsia="새굴림" w:cs="새굴림"/>
                <w:lang w:val="de-DE"/>
              </w:rPr>
              <w:t xml:space="preserve">Tel: </w:t>
            </w:r>
            <w:r w:rsidRPr="00CD583D">
              <w:rPr>
                <w:rFonts w:eastAsia="맑은 고딕" w:cs="새굴림"/>
                <w:noProof/>
                <w:lang w:val="de-DE" w:eastAsia="fr-FR"/>
              </w:rPr>
              <w:t>+49 (0)30 346494150</w:t>
            </w:r>
          </w:p>
          <w:p w14:paraId="3762C243" w14:textId="77777777" w:rsidR="00EA08FF" w:rsidRPr="00394415" w:rsidRDefault="00EA08FF">
            <w:pPr>
              <w:widowControl w:val="0"/>
              <w:tabs>
                <w:tab w:val="left" w:pos="-720"/>
              </w:tabs>
              <w:suppressAutoHyphens/>
              <w:rPr>
                <w:rFonts w:eastAsia="맑은 고딕" w:cs="새굴림"/>
                <w:noProof/>
                <w:lang w:val="nb-NO" w:eastAsia="fr-FR"/>
              </w:rPr>
            </w:pPr>
            <w:r>
              <w:fldChar w:fldCharType="begin"/>
            </w:r>
            <w:r w:rsidRPr="005B1011">
              <w:rPr>
                <w:lang w:val="de-DE"/>
                <w:rPrChange w:id="44" w:author="만든 이">
                  <w:rPr/>
                </w:rPrChange>
              </w:rPr>
              <w:instrText>HYPERLINK "mailto:infoDE@celltrionhc.com"</w:instrText>
            </w:r>
            <w:r>
              <w:fldChar w:fldCharType="separate"/>
            </w:r>
            <w:r w:rsidRPr="00434BCD">
              <w:rPr>
                <w:rStyle w:val="a6"/>
                <w:rFonts w:eastAsia="맑은 고딕" w:cs="새굴림"/>
                <w:noProof/>
                <w:color w:val="0000FF"/>
                <w:lang w:val="nb-NO" w:eastAsia="fr-FR"/>
              </w:rPr>
              <w:t>infoDE@celltrionhc.com</w:t>
            </w:r>
            <w:r>
              <w:fldChar w:fldCharType="end"/>
            </w:r>
          </w:p>
          <w:p w14:paraId="62C36119" w14:textId="77777777" w:rsidR="00EA08FF" w:rsidRPr="00A942F6" w:rsidRDefault="00EA08FF">
            <w:pPr>
              <w:widowControl w:val="0"/>
              <w:tabs>
                <w:tab w:val="left" w:pos="-720"/>
              </w:tabs>
              <w:suppressAutoHyphens/>
              <w:rPr>
                <w:rFonts w:eastAsia="맑은 고딕" w:cs="새굴림"/>
                <w:noProof/>
                <w:lang w:val="nb-NO" w:eastAsia="fr-FR"/>
              </w:rPr>
            </w:pPr>
          </w:p>
        </w:tc>
        <w:tc>
          <w:tcPr>
            <w:tcW w:w="2500" w:type="pct"/>
          </w:tcPr>
          <w:p w14:paraId="7C70F756" w14:textId="77777777" w:rsidR="00EA08FF" w:rsidRPr="009B40A5" w:rsidRDefault="00EA08FF">
            <w:pPr>
              <w:widowControl w:val="0"/>
              <w:suppressAutoHyphens/>
              <w:rPr>
                <w:rFonts w:cs="Times New Roman"/>
                <w:noProof/>
                <w:lang w:eastAsia="fr-FR"/>
              </w:rPr>
            </w:pPr>
            <w:r w:rsidRPr="009B40A5">
              <w:rPr>
                <w:rFonts w:cs="Times New Roman"/>
                <w:b/>
                <w:noProof/>
                <w:lang w:eastAsia="fr-FR"/>
              </w:rPr>
              <w:t>Nederland</w:t>
            </w:r>
          </w:p>
          <w:p w14:paraId="14CD96BB" w14:textId="77777777" w:rsidR="00EA08FF" w:rsidRPr="009B40A5" w:rsidRDefault="00EA08FF">
            <w:pPr>
              <w:widowControl w:val="0"/>
              <w:suppressAutoHyphens/>
              <w:rPr>
                <w:rFonts w:cs="Times New Roman"/>
                <w:noProof/>
                <w:lang w:eastAsia="fr-FR"/>
              </w:rPr>
            </w:pPr>
            <w:r w:rsidRPr="009B40A5">
              <w:rPr>
                <w:rFonts w:cs="Times New Roman"/>
                <w:noProof/>
                <w:lang w:eastAsia="fr-FR"/>
              </w:rPr>
              <w:t>Celltrion Healthcare Netherlands B.V.</w:t>
            </w:r>
          </w:p>
          <w:p w14:paraId="2E1C3A68" w14:textId="77777777" w:rsidR="00EA08FF" w:rsidRPr="00434BCD" w:rsidRDefault="00EA08FF">
            <w:pPr>
              <w:widowControl w:val="0"/>
              <w:suppressAutoHyphens/>
              <w:rPr>
                <w:rFonts w:cs="Times New Roman"/>
                <w:noProof/>
                <w:lang w:val="nb-NO" w:eastAsia="fr-FR"/>
              </w:rPr>
            </w:pPr>
            <w:r w:rsidRPr="00434BCD">
              <w:rPr>
                <w:rFonts w:cs="Times New Roman"/>
                <w:noProof/>
                <w:lang w:val="nb-NO" w:eastAsia="fr-FR"/>
              </w:rPr>
              <w:t>Tel: + 31 20 888 7300</w:t>
            </w:r>
          </w:p>
          <w:p w14:paraId="0BF983A6" w14:textId="77777777" w:rsidR="00EA08FF" w:rsidRPr="00434BCD" w:rsidRDefault="00EA08FF">
            <w:pPr>
              <w:widowControl w:val="0"/>
              <w:suppressAutoHyphens/>
              <w:rPr>
                <w:rFonts w:cs="Times New Roman"/>
                <w:noProof/>
                <w:lang w:val="nb-NO" w:eastAsia="fr-FR"/>
              </w:rPr>
            </w:pPr>
            <w:hyperlink r:id="rId46" w:history="1">
              <w:r w:rsidRPr="00434BCD">
                <w:rPr>
                  <w:rStyle w:val="a6"/>
                  <w:rFonts w:cs="Times New Roman"/>
                  <w:noProof/>
                  <w:color w:val="0000FF"/>
                  <w:lang w:val="nb-NO" w:eastAsia="fr-FR"/>
                </w:rPr>
                <w:t>NLinfo@celltrionh</w:t>
              </w:r>
              <w:r w:rsidRPr="00434BCD">
                <w:rPr>
                  <w:rStyle w:val="a6"/>
                  <w:rFonts w:cs="Times New Roman"/>
                  <w:color w:val="0000FF"/>
                  <w:lang w:val="nb-NO"/>
                </w:rPr>
                <w:t>c</w:t>
              </w:r>
              <w:r w:rsidRPr="00434BCD">
                <w:rPr>
                  <w:rStyle w:val="a6"/>
                  <w:rFonts w:cs="Times New Roman"/>
                  <w:noProof/>
                  <w:color w:val="0000FF"/>
                  <w:lang w:val="nb-NO" w:eastAsia="fr-FR"/>
                </w:rPr>
                <w:t>.com</w:t>
              </w:r>
            </w:hyperlink>
          </w:p>
          <w:p w14:paraId="7E3C1EF0" w14:textId="77777777" w:rsidR="00EA08FF" w:rsidRPr="00A942F6" w:rsidRDefault="00EA08FF">
            <w:pPr>
              <w:widowControl w:val="0"/>
              <w:suppressAutoHyphens/>
              <w:rPr>
                <w:rFonts w:eastAsia="맑은 고딕" w:cs="새굴림"/>
                <w:noProof/>
                <w:lang w:val="nb-NO" w:eastAsia="fr-FR"/>
              </w:rPr>
            </w:pPr>
          </w:p>
        </w:tc>
      </w:tr>
      <w:tr w:rsidR="001F0013" w:rsidRPr="00A942F6" w14:paraId="6CFBBFE5" w14:textId="77777777">
        <w:trPr>
          <w:cantSplit/>
        </w:trPr>
        <w:tc>
          <w:tcPr>
            <w:tcW w:w="2500" w:type="pct"/>
            <w:hideMark/>
          </w:tcPr>
          <w:p w14:paraId="226A712F" w14:textId="77777777" w:rsidR="00EA08FF" w:rsidRPr="009B40A5" w:rsidRDefault="00EA08FF">
            <w:pPr>
              <w:widowControl w:val="0"/>
              <w:tabs>
                <w:tab w:val="left" w:pos="-720"/>
                <w:tab w:val="left" w:pos="4536"/>
              </w:tabs>
              <w:suppressAutoHyphens/>
              <w:rPr>
                <w:rFonts w:eastAsia="새굴림" w:cs="새굴림"/>
                <w:b/>
                <w:noProof/>
                <w:lang w:eastAsia="fr-FR"/>
              </w:rPr>
            </w:pPr>
            <w:r w:rsidRPr="009B40A5">
              <w:rPr>
                <w:rFonts w:eastAsia="맑은 고딕" w:cs="새굴림"/>
                <w:b/>
                <w:noProof/>
                <w:lang w:eastAsia="fr-FR"/>
              </w:rPr>
              <w:t>Eesti</w:t>
            </w:r>
          </w:p>
          <w:p w14:paraId="6884D178"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4A64C7AD" w14:textId="77777777" w:rsidR="00EA08FF" w:rsidRPr="00CD583D" w:rsidRDefault="00EA08FF">
            <w:pPr>
              <w:widowControl w:val="0"/>
              <w:tabs>
                <w:tab w:val="left" w:pos="-720"/>
              </w:tabs>
              <w:suppressAutoHyphens/>
              <w:rPr>
                <w:rFonts w:eastAsia="맑은 고딕" w:cs="새굴림"/>
                <w:noProof/>
                <w:lang w:eastAsia="fr-FR"/>
              </w:rPr>
            </w:pPr>
            <w:r w:rsidRPr="00CD583D">
              <w:rPr>
                <w:rFonts w:eastAsia="맑은 고딕" w:cs="새굴림"/>
                <w:noProof/>
                <w:lang w:eastAsia="fr-FR"/>
              </w:rPr>
              <w:t>Tel: +36 1 231 0493</w:t>
            </w:r>
          </w:p>
          <w:p w14:paraId="174D24F2" w14:textId="77777777" w:rsidR="00EA08FF" w:rsidRPr="00CD583D" w:rsidRDefault="00EA08FF">
            <w:pPr>
              <w:widowControl w:val="0"/>
              <w:tabs>
                <w:tab w:val="left" w:pos="-720"/>
              </w:tabs>
              <w:suppressAutoHyphens/>
              <w:rPr>
                <w:rFonts w:eastAsia="맑은 고딕" w:cs="새굴림"/>
                <w:noProof/>
                <w:lang w:eastAsia="ko-KR"/>
              </w:rPr>
            </w:pPr>
          </w:p>
        </w:tc>
        <w:tc>
          <w:tcPr>
            <w:tcW w:w="2500" w:type="pct"/>
          </w:tcPr>
          <w:p w14:paraId="058F1D60" w14:textId="77777777" w:rsidR="00EA08FF" w:rsidRPr="009B40A5" w:rsidRDefault="00EA08FF">
            <w:pPr>
              <w:widowControl w:val="0"/>
              <w:tabs>
                <w:tab w:val="left" w:pos="-720"/>
              </w:tabs>
              <w:suppressAutoHyphens/>
              <w:rPr>
                <w:rFonts w:eastAsia="새굴림" w:cs="새굴림"/>
                <w:noProof/>
                <w:lang w:eastAsia="fr-FR"/>
              </w:rPr>
            </w:pPr>
            <w:r w:rsidRPr="009B40A5">
              <w:rPr>
                <w:rFonts w:eastAsia="맑은 고딕" w:cs="새굴림"/>
                <w:b/>
                <w:noProof/>
                <w:lang w:eastAsia="fr-FR"/>
              </w:rPr>
              <w:t>Norge</w:t>
            </w:r>
          </w:p>
          <w:p w14:paraId="20669303" w14:textId="77777777" w:rsidR="00552215" w:rsidRPr="006F04E0" w:rsidRDefault="00EA08FF" w:rsidP="00552215">
            <w:pPr>
              <w:tabs>
                <w:tab w:val="left" w:pos="-720"/>
              </w:tabs>
              <w:suppressAutoHyphens/>
              <w:rPr>
                <w:rFonts w:eastAsia="맑은 고딕" w:cs="Times New Roman"/>
                <w:noProof/>
                <w:lang w:eastAsia="fr-FR"/>
              </w:rPr>
            </w:pPr>
            <w:r w:rsidRPr="009B40A5">
              <w:rPr>
                <w:rFonts w:eastAsia="맑은 고딕" w:cs="새굴림"/>
                <w:noProof/>
                <w:lang w:eastAsia="fr-FR"/>
              </w:rPr>
              <w:t xml:space="preserve">Celltrion Healthcare </w:t>
            </w:r>
            <w:r w:rsidR="00552215" w:rsidRPr="006F04E0">
              <w:rPr>
                <w:rFonts w:eastAsia="맑은 고딕" w:cs="Times New Roman"/>
                <w:noProof/>
                <w:lang w:eastAsia="fr-FR"/>
              </w:rPr>
              <w:t>Norway AS</w:t>
            </w:r>
          </w:p>
          <w:p w14:paraId="242C9827" w14:textId="3EA03FE6" w:rsidR="00EA08FF" w:rsidRPr="00BD4D94" w:rsidRDefault="00552215">
            <w:pPr>
              <w:widowControl w:val="0"/>
              <w:tabs>
                <w:tab w:val="left" w:pos="-720"/>
              </w:tabs>
              <w:suppressAutoHyphens/>
              <w:rPr>
                <w:rFonts w:eastAsia="맑은 고딕" w:cs="새굴림"/>
                <w:noProof/>
                <w:lang w:eastAsia="ko-KR"/>
              </w:rPr>
            </w:pPr>
            <w:r w:rsidRPr="006F04E0">
              <w:rPr>
                <w:rFonts w:eastAsia="맑은 고딕" w:cs="Times New Roman"/>
                <w:noProof/>
                <w:lang w:eastAsia="fr-FR"/>
              </w:rPr>
              <w:t>Contact_no@celltrionhc.com</w:t>
            </w:r>
          </w:p>
          <w:p w14:paraId="5DD5C537" w14:textId="77777777" w:rsidR="00EA08FF" w:rsidRPr="00A942F6" w:rsidRDefault="00EA08FF">
            <w:pPr>
              <w:widowControl w:val="0"/>
              <w:tabs>
                <w:tab w:val="left" w:pos="-720"/>
              </w:tabs>
              <w:suppressAutoHyphens/>
              <w:rPr>
                <w:rFonts w:eastAsia="맑은 고딕" w:cs="새굴림"/>
                <w:noProof/>
                <w:lang w:val="nb-NO" w:eastAsia="ko-KR"/>
              </w:rPr>
            </w:pPr>
          </w:p>
        </w:tc>
      </w:tr>
      <w:tr w:rsidR="001F0013" w:rsidRPr="00B477E5" w14:paraId="3D20554D" w14:textId="77777777">
        <w:trPr>
          <w:cantSplit/>
        </w:trPr>
        <w:tc>
          <w:tcPr>
            <w:tcW w:w="2500" w:type="pct"/>
            <w:hideMark/>
          </w:tcPr>
          <w:p w14:paraId="10FDAA22" w14:textId="77777777" w:rsidR="00EA08FF" w:rsidRPr="00CD583D" w:rsidRDefault="00EA08FF">
            <w:pPr>
              <w:widowControl w:val="0"/>
              <w:suppressAutoHyphens/>
              <w:rPr>
                <w:rFonts w:eastAsia="새굴림" w:cs="새굴림"/>
                <w:noProof/>
                <w:lang w:val="it-IT" w:eastAsia="fr-FR"/>
              </w:rPr>
            </w:pPr>
            <w:r w:rsidRPr="00CD583D">
              <w:rPr>
                <w:rFonts w:eastAsia="새굴림" w:cs="새굴림"/>
                <w:b/>
                <w:noProof/>
                <w:lang w:val="it-IT"/>
              </w:rPr>
              <w:t>España</w:t>
            </w:r>
          </w:p>
          <w:p w14:paraId="6E748A3A" w14:textId="77777777" w:rsidR="00EA08FF" w:rsidRPr="00CD583D" w:rsidRDefault="00EA08FF">
            <w:pPr>
              <w:widowControl w:val="0"/>
              <w:suppressAutoHyphens/>
              <w:rPr>
                <w:rFonts w:eastAsia="맑은 고딕" w:cs="새굴림"/>
                <w:noProof/>
                <w:lang w:val="it-IT" w:eastAsia="fr-FR"/>
              </w:rPr>
            </w:pPr>
            <w:r w:rsidRPr="00CD583D">
              <w:rPr>
                <w:rFonts w:eastAsia="맑은 고딕" w:cs="새굴림"/>
                <w:noProof/>
                <w:lang w:val="it-IT" w:eastAsia="fr-FR"/>
              </w:rPr>
              <w:t>CELLTRION FARMACEUTICA (ESPAÑA) S.L..</w:t>
            </w:r>
          </w:p>
          <w:p w14:paraId="07E7D5E6" w14:textId="32D00E60"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 xml:space="preserve">Tel: +34 </w:t>
            </w:r>
            <w:r w:rsidR="00CC516D">
              <w:rPr>
                <w:rFonts w:eastAsia="맑은 고딕" w:cs="새굴림"/>
                <w:noProof/>
                <w:lang w:val="nb-NO" w:eastAsia="fr-FR"/>
              </w:rPr>
              <w:t>910 498 478</w:t>
            </w:r>
          </w:p>
          <w:p w14:paraId="640591B9" w14:textId="77777777" w:rsidR="00EA08FF" w:rsidRPr="00A942F6" w:rsidRDefault="00EA08FF">
            <w:pPr>
              <w:widowControl w:val="0"/>
              <w:suppressAutoHyphens/>
              <w:rPr>
                <w:rFonts w:eastAsia="새굴림" w:cs="새굴림"/>
                <w:b/>
                <w:noProof/>
                <w:lang w:val="nb-NO" w:eastAsia="fr-FR"/>
              </w:rPr>
            </w:pPr>
          </w:p>
        </w:tc>
        <w:tc>
          <w:tcPr>
            <w:tcW w:w="2500" w:type="pct"/>
          </w:tcPr>
          <w:p w14:paraId="44B456C0" w14:textId="77777777" w:rsidR="00EA08FF" w:rsidRPr="009B40A5" w:rsidRDefault="00EA08FF">
            <w:pPr>
              <w:widowControl w:val="0"/>
              <w:suppressAutoHyphens/>
              <w:rPr>
                <w:rFonts w:eastAsia="새굴림" w:cs="새굴림"/>
                <w:noProof/>
                <w:lang w:val="sv-SE" w:eastAsia="fr-FR"/>
              </w:rPr>
            </w:pPr>
            <w:r w:rsidRPr="009B40A5">
              <w:rPr>
                <w:rFonts w:eastAsia="새굴림" w:cs="새굴림"/>
                <w:b/>
                <w:noProof/>
                <w:lang w:val="sv-SE"/>
              </w:rPr>
              <w:t>Österreich</w:t>
            </w:r>
          </w:p>
          <w:p w14:paraId="5570D6D8" w14:textId="77777777" w:rsidR="00EA08FF" w:rsidRPr="009B40A5" w:rsidRDefault="00EA08FF">
            <w:pPr>
              <w:widowControl w:val="0"/>
              <w:suppressAutoHyphens/>
              <w:rPr>
                <w:rFonts w:eastAsia="맑은 고딕" w:cs="새굴림"/>
                <w:noProof/>
                <w:lang w:val="sv-SE" w:eastAsia="ko-KR"/>
              </w:rPr>
            </w:pPr>
            <w:r w:rsidRPr="009B40A5">
              <w:rPr>
                <w:rFonts w:eastAsia="맑은 고딕" w:cs="새굴림"/>
                <w:noProof/>
                <w:lang w:val="sv-SE" w:eastAsia="fr-FR"/>
              </w:rPr>
              <w:t>Astro-Pharma GmbH</w:t>
            </w:r>
          </w:p>
          <w:p w14:paraId="64EF072A" w14:textId="77777777" w:rsidR="00EA08FF" w:rsidRPr="009B40A5" w:rsidRDefault="00EA08FF">
            <w:pPr>
              <w:widowControl w:val="0"/>
              <w:tabs>
                <w:tab w:val="left" w:pos="-720"/>
              </w:tabs>
              <w:suppressAutoHyphens/>
              <w:rPr>
                <w:rFonts w:eastAsia="맑은 고딕" w:cs="새굴림"/>
                <w:noProof/>
                <w:lang w:val="sv-SE" w:eastAsia="fr-FR"/>
              </w:rPr>
            </w:pPr>
            <w:r w:rsidRPr="009B40A5">
              <w:rPr>
                <w:rFonts w:eastAsia="맑은 고딕" w:cs="새굴림"/>
                <w:noProof/>
                <w:lang w:val="sv-SE" w:eastAsia="fr-FR"/>
              </w:rPr>
              <w:t>Tel: +43 1 97 99 860</w:t>
            </w:r>
          </w:p>
          <w:p w14:paraId="40F2C946" w14:textId="77777777" w:rsidR="00EA08FF" w:rsidRPr="009B40A5" w:rsidRDefault="00EA08FF">
            <w:pPr>
              <w:widowControl w:val="0"/>
              <w:tabs>
                <w:tab w:val="left" w:pos="-720"/>
              </w:tabs>
              <w:suppressAutoHyphens/>
              <w:rPr>
                <w:rFonts w:eastAsia="새굴림" w:cs="새굴림"/>
                <w:noProof/>
                <w:lang w:val="sv-SE" w:eastAsia="fr-FR"/>
              </w:rPr>
            </w:pPr>
          </w:p>
        </w:tc>
      </w:tr>
      <w:tr w:rsidR="001F0013" w:rsidRPr="00A942F6" w14:paraId="3E921228" w14:textId="77777777">
        <w:trPr>
          <w:cantSplit/>
        </w:trPr>
        <w:tc>
          <w:tcPr>
            <w:tcW w:w="2500" w:type="pct"/>
          </w:tcPr>
          <w:p w14:paraId="1C7540C5" w14:textId="77777777" w:rsidR="00EA08FF" w:rsidRPr="009B40A5" w:rsidRDefault="00EA08FF">
            <w:pPr>
              <w:widowControl w:val="0"/>
              <w:suppressAutoHyphens/>
              <w:rPr>
                <w:rFonts w:eastAsia="새굴림" w:cs="새굴림"/>
                <w:b/>
                <w:noProof/>
                <w:lang w:val="sv-SE" w:eastAsia="fr-FR"/>
              </w:rPr>
            </w:pPr>
            <w:r w:rsidRPr="00A942F6">
              <w:rPr>
                <w:rFonts w:eastAsia="새굴림" w:cs="새굴림"/>
                <w:b/>
                <w:noProof/>
                <w:lang w:val="nb-NO" w:eastAsia="fr-FR"/>
              </w:rPr>
              <w:t>Ελλάδα</w:t>
            </w:r>
          </w:p>
          <w:p w14:paraId="59427837" w14:textId="77777777" w:rsidR="00EA08FF" w:rsidRPr="009B40A5" w:rsidRDefault="00EA08FF">
            <w:pPr>
              <w:widowControl w:val="0"/>
              <w:suppressAutoHyphens/>
              <w:rPr>
                <w:rFonts w:eastAsia="새굴림" w:cs="새굴림"/>
                <w:noProof/>
                <w:lang w:val="sv-SE" w:eastAsia="fr-FR"/>
              </w:rPr>
            </w:pPr>
            <w:r w:rsidRPr="00A942F6">
              <w:rPr>
                <w:rFonts w:eastAsia="새굴림" w:cs="새굴림"/>
                <w:noProof/>
                <w:lang w:val="nb-NO" w:eastAsia="fr-FR"/>
              </w:rPr>
              <w:t>ΒΙΑΝΕΞ</w:t>
            </w:r>
            <w:r w:rsidRPr="009B40A5">
              <w:rPr>
                <w:rFonts w:eastAsia="새굴림" w:cs="새굴림"/>
                <w:noProof/>
                <w:lang w:val="sv-SE" w:eastAsia="fr-FR"/>
              </w:rPr>
              <w:t xml:space="preserve"> </w:t>
            </w:r>
            <w:r w:rsidRPr="00A942F6">
              <w:rPr>
                <w:rFonts w:eastAsia="새굴림" w:cs="새굴림"/>
                <w:noProof/>
                <w:lang w:val="nb-NO" w:eastAsia="fr-FR"/>
              </w:rPr>
              <w:t>Α</w:t>
            </w:r>
            <w:r w:rsidRPr="009B40A5">
              <w:rPr>
                <w:rFonts w:eastAsia="새굴림" w:cs="새굴림"/>
                <w:noProof/>
                <w:lang w:val="sv-SE" w:eastAsia="fr-FR"/>
              </w:rPr>
              <w:t>.</w:t>
            </w:r>
            <w:r w:rsidRPr="00A942F6">
              <w:rPr>
                <w:rFonts w:eastAsia="새굴림" w:cs="새굴림"/>
                <w:noProof/>
                <w:lang w:val="nb-NO" w:eastAsia="fr-FR"/>
              </w:rPr>
              <w:t>Ε</w:t>
            </w:r>
            <w:r w:rsidRPr="009B40A5">
              <w:rPr>
                <w:rFonts w:eastAsia="새굴림" w:cs="새굴림"/>
                <w:noProof/>
                <w:lang w:val="sv-SE" w:eastAsia="fr-FR"/>
              </w:rPr>
              <w:t>.</w:t>
            </w:r>
          </w:p>
          <w:p w14:paraId="660ACE17" w14:textId="77777777" w:rsidR="00EA08FF" w:rsidRPr="009B40A5" w:rsidRDefault="00EA08FF">
            <w:pPr>
              <w:widowControl w:val="0"/>
              <w:suppressAutoHyphens/>
              <w:rPr>
                <w:rFonts w:eastAsia="새굴림" w:cs="새굴림"/>
                <w:noProof/>
                <w:lang w:val="sv-SE" w:eastAsia="fr-FR"/>
              </w:rPr>
            </w:pPr>
            <w:r w:rsidRPr="00A942F6">
              <w:rPr>
                <w:rFonts w:eastAsia="새굴림" w:cs="새굴림"/>
                <w:noProof/>
                <w:lang w:val="nb-NO" w:eastAsia="fr-FR"/>
              </w:rPr>
              <w:t>Τηλ</w:t>
            </w:r>
            <w:r w:rsidRPr="009B40A5">
              <w:rPr>
                <w:rFonts w:eastAsia="새굴림" w:cs="새굴림"/>
                <w:noProof/>
                <w:lang w:val="sv-SE" w:eastAsia="fr-FR"/>
              </w:rPr>
              <w:t xml:space="preserve">: +30 210 8009111 </w:t>
            </w:r>
          </w:p>
          <w:p w14:paraId="479128B7" w14:textId="77777777" w:rsidR="00EA08FF" w:rsidRPr="009B40A5" w:rsidRDefault="00EA08FF">
            <w:pPr>
              <w:widowControl w:val="0"/>
              <w:suppressAutoHyphens/>
              <w:rPr>
                <w:rFonts w:eastAsia="맑은 고딕" w:cs="새굴림"/>
                <w:noProof/>
                <w:lang w:val="sv-SE" w:eastAsia="fr-FR"/>
              </w:rPr>
            </w:pPr>
          </w:p>
        </w:tc>
        <w:tc>
          <w:tcPr>
            <w:tcW w:w="2500" w:type="pct"/>
          </w:tcPr>
          <w:p w14:paraId="26D3BE96" w14:textId="77777777" w:rsidR="00EA08FF" w:rsidRPr="009B40A5" w:rsidRDefault="00EA08FF">
            <w:pPr>
              <w:widowControl w:val="0"/>
              <w:suppressAutoHyphens/>
              <w:rPr>
                <w:rFonts w:eastAsia="맑은 고딕" w:cs="새굴림"/>
                <w:b/>
                <w:noProof/>
                <w:lang w:eastAsia="fr-FR"/>
              </w:rPr>
            </w:pPr>
            <w:r w:rsidRPr="009B40A5">
              <w:rPr>
                <w:rFonts w:eastAsia="맑은 고딕" w:cs="새굴림"/>
                <w:b/>
                <w:noProof/>
                <w:lang w:eastAsia="fr-FR"/>
              </w:rPr>
              <w:t>Polska</w:t>
            </w:r>
          </w:p>
          <w:p w14:paraId="24434C9F"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44DF3838"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427C889F" w14:textId="77777777" w:rsidR="00EA08FF" w:rsidRPr="00A942F6" w:rsidRDefault="00EA08FF">
            <w:pPr>
              <w:widowControl w:val="0"/>
              <w:suppressAutoHyphens/>
              <w:rPr>
                <w:rFonts w:eastAsia="새굴림" w:cs="새굴림"/>
                <w:b/>
                <w:noProof/>
                <w:lang w:val="nb-NO"/>
              </w:rPr>
            </w:pPr>
          </w:p>
        </w:tc>
      </w:tr>
      <w:tr w:rsidR="001F0013" w:rsidRPr="00A942F6" w14:paraId="71E59300" w14:textId="77777777">
        <w:trPr>
          <w:cantSplit/>
        </w:trPr>
        <w:tc>
          <w:tcPr>
            <w:tcW w:w="2500" w:type="pct"/>
          </w:tcPr>
          <w:p w14:paraId="04CF4C92" w14:textId="77777777" w:rsidR="00EA08FF" w:rsidRPr="009B40A5" w:rsidRDefault="00EA08FF">
            <w:pPr>
              <w:widowControl w:val="0"/>
              <w:suppressAutoHyphens/>
              <w:rPr>
                <w:rFonts w:eastAsia="새굴림" w:cs="새굴림"/>
                <w:b/>
                <w:noProof/>
                <w:lang w:eastAsia="ko-KR"/>
              </w:rPr>
            </w:pPr>
            <w:r w:rsidRPr="009B40A5">
              <w:rPr>
                <w:rFonts w:eastAsia="새굴림" w:cs="새굴림"/>
                <w:b/>
                <w:noProof/>
                <w:lang w:eastAsia="ko-KR"/>
              </w:rPr>
              <w:lastRenderedPageBreak/>
              <w:t>France</w:t>
            </w:r>
          </w:p>
          <w:p w14:paraId="1FB92DD2" w14:textId="77777777" w:rsidR="00EA08FF" w:rsidRPr="009B40A5" w:rsidRDefault="00EA08FF">
            <w:pPr>
              <w:widowControl w:val="0"/>
              <w:suppressAutoHyphens/>
              <w:rPr>
                <w:rFonts w:eastAsia="새굴림" w:cs="새굴림"/>
                <w:noProof/>
                <w:lang w:eastAsia="ko-KR"/>
              </w:rPr>
            </w:pPr>
            <w:r w:rsidRPr="009B40A5">
              <w:rPr>
                <w:rFonts w:eastAsia="새굴림" w:cs="새굴림"/>
                <w:noProof/>
                <w:lang w:eastAsia="ko-KR"/>
              </w:rPr>
              <w:t>Celltrion Healthcare France SAS</w:t>
            </w:r>
          </w:p>
          <w:p w14:paraId="1E1F8E48" w14:textId="77777777" w:rsidR="00EA08FF" w:rsidRPr="009B40A5" w:rsidRDefault="00EA08FF">
            <w:pPr>
              <w:widowControl w:val="0"/>
              <w:suppressAutoHyphens/>
              <w:rPr>
                <w:rFonts w:eastAsia="맑은 고딕" w:cs="새굴림"/>
                <w:noProof/>
                <w:lang w:eastAsia="ko-KR"/>
              </w:rPr>
            </w:pPr>
            <w:r w:rsidRPr="009B40A5">
              <w:rPr>
                <w:rFonts w:eastAsia="새굴림" w:cs="새굴림"/>
                <w:noProof/>
                <w:lang w:eastAsia="ko-KR"/>
              </w:rPr>
              <w:t>T</w:t>
            </w:r>
            <w:r w:rsidRPr="009B40A5">
              <w:rPr>
                <w:rFonts w:eastAsia="새굴림" w:cs="새굴림"/>
              </w:rPr>
              <w:t>é</w:t>
            </w:r>
            <w:r w:rsidRPr="009B40A5">
              <w:rPr>
                <w:rFonts w:eastAsia="새굴림" w:cs="새굴림"/>
                <w:noProof/>
                <w:lang w:eastAsia="ko-KR"/>
              </w:rPr>
              <w:t>l.: +33 (0)1 71 25 27 00</w:t>
            </w:r>
          </w:p>
          <w:p w14:paraId="3BA23473" w14:textId="77777777" w:rsidR="00EA08FF" w:rsidRPr="009B40A5" w:rsidRDefault="00EA08FF">
            <w:pPr>
              <w:widowControl w:val="0"/>
              <w:suppressAutoHyphens/>
              <w:rPr>
                <w:rFonts w:eastAsia="맑은 고딕" w:cs="새굴림"/>
                <w:noProof/>
                <w:lang w:eastAsia="fr-FR"/>
              </w:rPr>
            </w:pPr>
          </w:p>
        </w:tc>
        <w:tc>
          <w:tcPr>
            <w:tcW w:w="2500" w:type="pct"/>
          </w:tcPr>
          <w:p w14:paraId="58C306E1" w14:textId="77777777" w:rsidR="00EA08FF" w:rsidRPr="00CD583D" w:rsidRDefault="00EA08FF">
            <w:pPr>
              <w:widowControl w:val="0"/>
              <w:suppressAutoHyphens/>
              <w:autoSpaceDE w:val="0"/>
              <w:autoSpaceDN w:val="0"/>
              <w:adjustRightInd w:val="0"/>
              <w:rPr>
                <w:rFonts w:eastAsia="새굴림" w:cs="새굴림"/>
                <w:noProof/>
                <w:lang w:val="fr-FR" w:eastAsia="fr-FR"/>
              </w:rPr>
            </w:pPr>
            <w:r w:rsidRPr="00CD583D">
              <w:rPr>
                <w:rFonts w:eastAsia="맑은 고딕" w:cs="새굴림"/>
                <w:b/>
                <w:noProof/>
                <w:lang w:val="fr-FR" w:eastAsia="fr-FR"/>
              </w:rPr>
              <w:t>Portugal</w:t>
            </w:r>
          </w:p>
          <w:p w14:paraId="4CEBBD2E" w14:textId="77777777" w:rsidR="00EA08FF" w:rsidRPr="00CD583D" w:rsidRDefault="00EA08FF">
            <w:pPr>
              <w:widowControl w:val="0"/>
              <w:suppressAutoHyphens/>
              <w:autoSpaceDE w:val="0"/>
              <w:autoSpaceDN w:val="0"/>
              <w:adjustRightInd w:val="0"/>
              <w:rPr>
                <w:rFonts w:eastAsia="맑은 고딕" w:cs="새굴림"/>
                <w:noProof/>
                <w:lang w:val="fr-FR" w:eastAsia="ko-KR"/>
              </w:rPr>
            </w:pPr>
            <w:r w:rsidRPr="00CD583D">
              <w:rPr>
                <w:rFonts w:eastAsia="맑은 고딕" w:cs="새굴림"/>
                <w:noProof/>
                <w:lang w:val="fr-FR" w:eastAsia="fr-FR"/>
              </w:rPr>
              <w:t>CELLTRION PORTUGAL, UNIPESSOAL LDA.</w:t>
            </w:r>
          </w:p>
          <w:p w14:paraId="0AC56694" w14:textId="77777777" w:rsidR="00EA08FF" w:rsidRPr="00A942F6" w:rsidRDefault="00EA08FF">
            <w:pPr>
              <w:widowControl w:val="0"/>
              <w:suppressAutoHyphens/>
              <w:rPr>
                <w:rFonts w:eastAsia="새굴림" w:cs="새굴림"/>
                <w:b/>
                <w:lang w:val="nb-NO"/>
              </w:rPr>
            </w:pPr>
            <w:r w:rsidRPr="00A942F6">
              <w:rPr>
                <w:rFonts w:eastAsia="새굴림" w:cs="새굴림"/>
                <w:lang w:val="nb-NO"/>
              </w:rPr>
              <w:t xml:space="preserve">Tel: </w:t>
            </w:r>
            <w:r w:rsidRPr="00A942F6">
              <w:rPr>
                <w:rFonts w:eastAsia="맑은 고딕" w:cs="새굴림"/>
                <w:noProof/>
                <w:lang w:val="nb-NO" w:eastAsia="fr-FR"/>
              </w:rPr>
              <w:t>+351 21 936 8542</w:t>
            </w:r>
          </w:p>
          <w:p w14:paraId="51FCFF93" w14:textId="77777777" w:rsidR="00EA08FF" w:rsidRPr="00A942F6" w:rsidRDefault="00EA08FF">
            <w:pPr>
              <w:widowControl w:val="0"/>
              <w:suppressAutoHyphens/>
              <w:rPr>
                <w:rFonts w:eastAsia="새굴림" w:cs="새굴림"/>
                <w:b/>
                <w:lang w:val="nb-NO"/>
              </w:rPr>
            </w:pPr>
          </w:p>
        </w:tc>
      </w:tr>
      <w:tr w:rsidR="001F0013" w:rsidRPr="00A942F6" w14:paraId="377DA37D" w14:textId="77777777">
        <w:trPr>
          <w:cantSplit/>
        </w:trPr>
        <w:tc>
          <w:tcPr>
            <w:tcW w:w="2500" w:type="pct"/>
          </w:tcPr>
          <w:p w14:paraId="0F4556B9" w14:textId="77777777" w:rsidR="00EA08FF" w:rsidRPr="009B40A5" w:rsidRDefault="00EA08FF">
            <w:pPr>
              <w:widowControl w:val="0"/>
              <w:suppressAutoHyphens/>
              <w:rPr>
                <w:rFonts w:eastAsia="새굴림" w:cs="새굴림"/>
                <w:b/>
                <w:noProof/>
                <w:lang w:val="sv-SE" w:eastAsia="ko-KR"/>
              </w:rPr>
            </w:pPr>
            <w:r w:rsidRPr="009B40A5">
              <w:rPr>
                <w:rFonts w:eastAsia="새굴림" w:cs="새굴림"/>
                <w:b/>
                <w:noProof/>
                <w:lang w:val="sv-SE" w:eastAsia="ko-KR"/>
              </w:rPr>
              <w:t>Hrvatska</w:t>
            </w:r>
          </w:p>
          <w:p w14:paraId="721CA416" w14:textId="77777777" w:rsidR="00EA08FF" w:rsidRPr="009B40A5" w:rsidRDefault="00EA08FF">
            <w:pPr>
              <w:widowControl w:val="0"/>
              <w:suppressAutoHyphens/>
              <w:rPr>
                <w:rFonts w:eastAsia="새굴림" w:cs="새굴림"/>
                <w:noProof/>
                <w:lang w:val="sv-SE" w:eastAsia="ko-KR"/>
              </w:rPr>
            </w:pPr>
            <w:r w:rsidRPr="009B40A5">
              <w:rPr>
                <w:rFonts w:eastAsia="새굴림" w:cs="새굴림"/>
                <w:noProof/>
                <w:lang w:val="sv-SE" w:eastAsia="ko-KR"/>
              </w:rPr>
              <w:t>Oktal Pharma d.o.o.</w:t>
            </w:r>
          </w:p>
          <w:p w14:paraId="4FCFD8A0" w14:textId="77777777" w:rsidR="00EA08FF" w:rsidRPr="00A942F6" w:rsidRDefault="00EA08FF">
            <w:pPr>
              <w:widowControl w:val="0"/>
              <w:suppressAutoHyphens/>
              <w:rPr>
                <w:rFonts w:eastAsia="새굴림" w:cs="새굴림"/>
                <w:noProof/>
                <w:lang w:val="nb-NO" w:eastAsia="ko-KR"/>
              </w:rPr>
            </w:pPr>
            <w:r w:rsidRPr="00A942F6">
              <w:rPr>
                <w:rFonts w:eastAsia="새굴림" w:cs="새굴림"/>
                <w:noProof/>
                <w:lang w:val="nb-NO" w:eastAsia="ko-KR"/>
              </w:rPr>
              <w:t>Tel: +385 1 6595 777</w:t>
            </w:r>
          </w:p>
          <w:p w14:paraId="73B65D0B" w14:textId="77777777" w:rsidR="00EA08FF" w:rsidRPr="00A942F6" w:rsidRDefault="00EA08FF">
            <w:pPr>
              <w:widowControl w:val="0"/>
              <w:suppressAutoHyphens/>
              <w:rPr>
                <w:rFonts w:eastAsia="맑은 고딕" w:cs="새굴림"/>
                <w:noProof/>
                <w:lang w:val="nb-NO" w:eastAsia="fr-FR"/>
              </w:rPr>
            </w:pPr>
          </w:p>
        </w:tc>
        <w:tc>
          <w:tcPr>
            <w:tcW w:w="2500" w:type="pct"/>
          </w:tcPr>
          <w:p w14:paraId="361C76EB" w14:textId="77777777" w:rsidR="00EA08FF" w:rsidRPr="009B40A5" w:rsidRDefault="00EA08FF">
            <w:pPr>
              <w:widowControl w:val="0"/>
              <w:tabs>
                <w:tab w:val="left" w:pos="-720"/>
              </w:tabs>
              <w:suppressAutoHyphens/>
              <w:rPr>
                <w:rFonts w:eastAsia="맑은 고딕" w:cs="새굴림"/>
                <w:b/>
                <w:noProof/>
                <w:lang w:eastAsia="fr-FR"/>
              </w:rPr>
            </w:pPr>
            <w:r w:rsidRPr="009B40A5">
              <w:rPr>
                <w:rFonts w:eastAsia="새굴림" w:cs="새굴림"/>
                <w:b/>
                <w:noProof/>
              </w:rPr>
              <w:t>România</w:t>
            </w:r>
          </w:p>
          <w:p w14:paraId="7D0ADC06"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24A7DD66"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56E55869" w14:textId="77777777" w:rsidR="00EA08FF" w:rsidRPr="00A942F6" w:rsidRDefault="00EA08FF">
            <w:pPr>
              <w:widowControl w:val="0"/>
              <w:suppressAutoHyphens/>
              <w:rPr>
                <w:rFonts w:eastAsia="새굴림" w:cs="새굴림"/>
                <w:b/>
                <w:noProof/>
                <w:lang w:val="nb-NO"/>
              </w:rPr>
            </w:pPr>
          </w:p>
        </w:tc>
      </w:tr>
      <w:tr w:rsidR="001F0013" w:rsidRPr="00A942F6" w14:paraId="38F8852B" w14:textId="77777777">
        <w:trPr>
          <w:cantSplit/>
        </w:trPr>
        <w:tc>
          <w:tcPr>
            <w:tcW w:w="2500" w:type="pct"/>
          </w:tcPr>
          <w:p w14:paraId="69F5C91A" w14:textId="77777777" w:rsidR="00EA08FF" w:rsidRPr="009B40A5" w:rsidRDefault="00EA08FF">
            <w:pPr>
              <w:widowControl w:val="0"/>
              <w:tabs>
                <w:tab w:val="left" w:pos="-720"/>
              </w:tabs>
              <w:suppressAutoHyphens/>
              <w:rPr>
                <w:rFonts w:eastAsia="새굴림" w:cs="새굴림"/>
                <w:noProof/>
                <w:lang w:eastAsia="fr-FR"/>
              </w:rPr>
            </w:pPr>
            <w:r w:rsidRPr="009B40A5">
              <w:rPr>
                <w:rFonts w:eastAsia="맑은 고딕" w:cs="새굴림"/>
                <w:b/>
                <w:noProof/>
                <w:lang w:eastAsia="fr-FR"/>
              </w:rPr>
              <w:t>Ireland</w:t>
            </w:r>
          </w:p>
          <w:p w14:paraId="1530CA5B" w14:textId="77777777" w:rsidR="00EA08FF" w:rsidRPr="009B40A5" w:rsidRDefault="00EA08FF">
            <w:pPr>
              <w:widowControl w:val="0"/>
              <w:suppressAutoHyphens/>
              <w:rPr>
                <w:rFonts w:eastAsia="맑은 고딕" w:cs="새굴림"/>
                <w:noProof/>
                <w:lang w:eastAsia="fr-FR"/>
              </w:rPr>
            </w:pPr>
            <w:r w:rsidRPr="009B40A5">
              <w:rPr>
                <w:rFonts w:eastAsia="맑은 고딕" w:cs="새굴림"/>
                <w:noProof/>
                <w:lang w:eastAsia="fr-FR"/>
              </w:rPr>
              <w:t>Celltrion Healthcare Ireland Limited</w:t>
            </w:r>
          </w:p>
          <w:p w14:paraId="0BCFCBB8" w14:textId="77777777" w:rsidR="00EA08FF" w:rsidRPr="009B40A5" w:rsidRDefault="00EA08FF">
            <w:pPr>
              <w:widowControl w:val="0"/>
              <w:suppressAutoHyphens/>
              <w:rPr>
                <w:rFonts w:eastAsia="맑은 고딕" w:cs="새굴림"/>
                <w:noProof/>
                <w:lang w:eastAsia="fr-FR"/>
              </w:rPr>
            </w:pPr>
            <w:r w:rsidRPr="009B40A5">
              <w:rPr>
                <w:rFonts w:eastAsia="맑은 고딕" w:cs="새굴림"/>
                <w:noProof/>
                <w:lang w:eastAsia="fr-FR"/>
              </w:rPr>
              <w:t>Tel: +353 1 223 4026</w:t>
            </w:r>
          </w:p>
          <w:p w14:paraId="3DC71056" w14:textId="77777777" w:rsidR="00EA08FF" w:rsidRPr="009B40A5" w:rsidRDefault="00EA08FF">
            <w:pPr>
              <w:widowControl w:val="0"/>
              <w:suppressAutoHyphens/>
              <w:rPr>
                <w:rFonts w:eastAsia="맑은 고딕" w:cs="새굴림"/>
                <w:noProof/>
                <w:lang w:eastAsia="fr-FR"/>
              </w:rPr>
            </w:pPr>
          </w:p>
        </w:tc>
        <w:tc>
          <w:tcPr>
            <w:tcW w:w="2500" w:type="pct"/>
          </w:tcPr>
          <w:p w14:paraId="18CA7974" w14:textId="77777777" w:rsidR="00EA08FF" w:rsidRPr="00CD583D" w:rsidRDefault="00EA08FF">
            <w:pPr>
              <w:widowControl w:val="0"/>
              <w:suppressAutoHyphens/>
              <w:rPr>
                <w:rFonts w:eastAsia="맑은 고딕" w:cs="새굴림"/>
                <w:b/>
                <w:noProof/>
                <w:lang w:eastAsia="fr-FR"/>
              </w:rPr>
            </w:pPr>
            <w:r w:rsidRPr="00CD583D">
              <w:rPr>
                <w:rFonts w:eastAsia="맑은 고딕" w:cs="새굴림"/>
                <w:b/>
                <w:noProof/>
                <w:lang w:eastAsia="fr-FR"/>
              </w:rPr>
              <w:t>Slovenija</w:t>
            </w:r>
          </w:p>
          <w:p w14:paraId="2AA21230" w14:textId="77777777" w:rsidR="00EA08FF" w:rsidRPr="00CD583D" w:rsidRDefault="00EA08FF">
            <w:pPr>
              <w:widowControl w:val="0"/>
              <w:suppressAutoHyphens/>
              <w:rPr>
                <w:rFonts w:eastAsia="맑은 고딕" w:cs="새굴림"/>
                <w:noProof/>
                <w:lang w:eastAsia="fr-FR"/>
              </w:rPr>
            </w:pPr>
            <w:r w:rsidRPr="00CD583D">
              <w:rPr>
                <w:rFonts w:eastAsia="맑은 고딕" w:cs="새굴림"/>
                <w:noProof/>
                <w:lang w:eastAsia="fr-FR"/>
              </w:rPr>
              <w:t>OPH Oktal Pharma d.o.o.</w:t>
            </w:r>
          </w:p>
          <w:p w14:paraId="26A07403"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Tel.: +386 1 519 29 22</w:t>
            </w:r>
          </w:p>
          <w:p w14:paraId="748F4FE2" w14:textId="77777777" w:rsidR="00EA08FF" w:rsidRPr="00A942F6" w:rsidRDefault="00EA08FF">
            <w:pPr>
              <w:widowControl w:val="0"/>
              <w:suppressAutoHyphens/>
              <w:rPr>
                <w:rFonts w:eastAsia="새굴림" w:cs="새굴림"/>
                <w:b/>
                <w:noProof/>
                <w:lang w:val="nb-NO"/>
              </w:rPr>
            </w:pPr>
          </w:p>
        </w:tc>
      </w:tr>
      <w:tr w:rsidR="001F0013" w:rsidRPr="00A942F6" w14:paraId="13E3188C" w14:textId="77777777">
        <w:trPr>
          <w:cantSplit/>
        </w:trPr>
        <w:tc>
          <w:tcPr>
            <w:tcW w:w="2500" w:type="pct"/>
          </w:tcPr>
          <w:p w14:paraId="31198409" w14:textId="77777777" w:rsidR="00EA08FF" w:rsidRPr="009B40A5" w:rsidRDefault="00EA08FF">
            <w:pPr>
              <w:widowControl w:val="0"/>
              <w:suppressAutoHyphens/>
              <w:rPr>
                <w:rFonts w:eastAsia="맑은 고딕" w:cs="새굴림"/>
                <w:noProof/>
                <w:lang w:eastAsia="fr-FR"/>
              </w:rPr>
            </w:pPr>
            <w:r w:rsidRPr="009B40A5">
              <w:rPr>
                <w:rFonts w:eastAsia="맑은 고딕" w:cs="새굴림"/>
                <w:b/>
                <w:noProof/>
                <w:lang w:eastAsia="fr-FR"/>
              </w:rPr>
              <w:t>Ísland</w:t>
            </w:r>
          </w:p>
          <w:p w14:paraId="3AEB16B3"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67D2AB2A"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Sími: +36 1 231 0493</w:t>
            </w:r>
          </w:p>
          <w:p w14:paraId="17FD57CE" w14:textId="77777777" w:rsidR="00EA08FF" w:rsidRPr="00A942F6" w:rsidRDefault="00EA08FF">
            <w:pPr>
              <w:widowControl w:val="0"/>
              <w:suppressAutoHyphens/>
              <w:rPr>
                <w:rFonts w:eastAsia="맑은 고딕" w:cs="새굴림"/>
                <w:noProof/>
                <w:lang w:val="nb-NO" w:eastAsia="fr-FR"/>
              </w:rPr>
            </w:pPr>
          </w:p>
        </w:tc>
        <w:tc>
          <w:tcPr>
            <w:tcW w:w="2500" w:type="pct"/>
          </w:tcPr>
          <w:p w14:paraId="6D1E42BD" w14:textId="77777777" w:rsidR="00EA08FF" w:rsidRPr="009B40A5" w:rsidRDefault="00EA08FF">
            <w:pPr>
              <w:widowControl w:val="0"/>
              <w:suppressAutoHyphens/>
              <w:rPr>
                <w:rFonts w:eastAsia="맑은 고딕" w:cs="새굴림"/>
                <w:b/>
                <w:noProof/>
                <w:lang w:eastAsia="fr-FR"/>
              </w:rPr>
            </w:pPr>
            <w:r w:rsidRPr="009B40A5">
              <w:rPr>
                <w:rFonts w:eastAsia="새굴림" w:cs="새굴림"/>
                <w:b/>
                <w:noProof/>
              </w:rPr>
              <w:t>Slovenská republika</w:t>
            </w:r>
          </w:p>
          <w:p w14:paraId="3CF342BF"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5B547D6A"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Tel: +36 1 231 0493</w:t>
            </w:r>
          </w:p>
          <w:p w14:paraId="535C3827" w14:textId="77777777" w:rsidR="00EA08FF" w:rsidRPr="00A942F6" w:rsidRDefault="00EA08FF">
            <w:pPr>
              <w:widowControl w:val="0"/>
              <w:suppressAutoHyphens/>
              <w:rPr>
                <w:rFonts w:eastAsia="맑은 고딕" w:cs="새굴림"/>
                <w:b/>
                <w:noProof/>
                <w:lang w:val="nb-NO" w:eastAsia="fr-FR"/>
              </w:rPr>
            </w:pPr>
          </w:p>
        </w:tc>
      </w:tr>
      <w:tr w:rsidR="001F0013" w:rsidRPr="00A942F6" w14:paraId="46B33340" w14:textId="77777777">
        <w:trPr>
          <w:cantSplit/>
        </w:trPr>
        <w:tc>
          <w:tcPr>
            <w:tcW w:w="2500" w:type="pct"/>
          </w:tcPr>
          <w:p w14:paraId="0A316750" w14:textId="77777777" w:rsidR="00EA08FF" w:rsidRPr="009B40A5" w:rsidRDefault="00EA08FF">
            <w:pPr>
              <w:widowControl w:val="0"/>
              <w:suppressAutoHyphens/>
              <w:rPr>
                <w:rFonts w:eastAsia="새굴림" w:cs="새굴림"/>
                <w:noProof/>
                <w:lang w:eastAsia="fr-FR"/>
              </w:rPr>
            </w:pPr>
            <w:r w:rsidRPr="009B40A5">
              <w:rPr>
                <w:rFonts w:eastAsia="맑은 고딕" w:cs="새굴림"/>
                <w:b/>
                <w:noProof/>
                <w:lang w:eastAsia="fr-FR"/>
              </w:rPr>
              <w:t>Italia</w:t>
            </w:r>
          </w:p>
          <w:p w14:paraId="2455213C" w14:textId="77777777" w:rsidR="00EA08FF" w:rsidRPr="009B40A5" w:rsidRDefault="00EA08FF">
            <w:pPr>
              <w:widowControl w:val="0"/>
              <w:suppressAutoHyphens/>
              <w:rPr>
                <w:rFonts w:eastAsia="맑은 고딕" w:cs="새굴림"/>
                <w:noProof/>
                <w:lang w:eastAsia="fr-FR"/>
              </w:rPr>
            </w:pPr>
            <w:r w:rsidRPr="009B40A5">
              <w:rPr>
                <w:rFonts w:eastAsia="맑은 고딕" w:cs="새굴림"/>
                <w:noProof/>
                <w:lang w:eastAsia="fr-FR"/>
              </w:rPr>
              <w:t>Celltrion Healthcare Italy S.r.l.</w:t>
            </w:r>
          </w:p>
          <w:p w14:paraId="70E8C4F9" w14:textId="77777777" w:rsidR="00EA08FF" w:rsidRPr="00A942F6" w:rsidRDefault="00EA08FF">
            <w:pPr>
              <w:widowControl w:val="0"/>
              <w:suppressAutoHyphens/>
              <w:rPr>
                <w:rFonts w:eastAsia="맑은 고딕" w:cs="새굴림"/>
                <w:noProof/>
                <w:lang w:val="nb-NO" w:eastAsia="fr-FR"/>
              </w:rPr>
            </w:pPr>
            <w:r w:rsidRPr="00A942F6">
              <w:rPr>
                <w:rFonts w:eastAsia="맑은 고딕" w:cs="새굴림"/>
                <w:noProof/>
                <w:lang w:val="nb-NO" w:eastAsia="fr-FR"/>
              </w:rPr>
              <w:t>Tel: +39 02 47927040</w:t>
            </w:r>
          </w:p>
          <w:p w14:paraId="2CD97DEB" w14:textId="77777777" w:rsidR="00EA08FF" w:rsidRPr="00A942F6" w:rsidRDefault="00EA08FF">
            <w:pPr>
              <w:widowControl w:val="0"/>
              <w:suppressAutoHyphens/>
              <w:rPr>
                <w:rFonts w:eastAsia="맑은 고딕" w:cs="새굴림"/>
                <w:noProof/>
                <w:lang w:val="nb-NO" w:eastAsia="fr-FR"/>
              </w:rPr>
            </w:pPr>
          </w:p>
        </w:tc>
        <w:tc>
          <w:tcPr>
            <w:tcW w:w="2500" w:type="pct"/>
          </w:tcPr>
          <w:p w14:paraId="2EC064C8" w14:textId="77777777" w:rsidR="00EA08FF" w:rsidRPr="009B40A5" w:rsidRDefault="00EA08FF">
            <w:pPr>
              <w:widowControl w:val="0"/>
              <w:suppressAutoHyphens/>
              <w:rPr>
                <w:rFonts w:eastAsia="새굴림" w:cs="새굴림"/>
                <w:noProof/>
                <w:lang w:eastAsia="fr-FR"/>
              </w:rPr>
            </w:pPr>
            <w:r w:rsidRPr="009B40A5">
              <w:rPr>
                <w:rFonts w:eastAsia="맑은 고딕" w:cs="새굴림"/>
                <w:b/>
                <w:noProof/>
                <w:lang w:eastAsia="fr-FR"/>
              </w:rPr>
              <w:t>Suomi/Finland</w:t>
            </w:r>
          </w:p>
          <w:p w14:paraId="25E72047"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 xml:space="preserve">Celltrion Healthcare Finland Oy. </w:t>
            </w:r>
          </w:p>
          <w:p w14:paraId="2ECE128B" w14:textId="24C036DE" w:rsidR="00EA08FF" w:rsidRPr="00CD583D" w:rsidRDefault="00EA08FF">
            <w:pPr>
              <w:widowControl w:val="0"/>
              <w:suppressAutoHyphens/>
              <w:autoSpaceDE w:val="0"/>
              <w:autoSpaceDN w:val="0"/>
              <w:adjustRightInd w:val="0"/>
              <w:rPr>
                <w:rFonts w:eastAsia="맑은 고딕" w:cs="새굴림"/>
                <w:noProof/>
                <w:lang w:eastAsia="fr-FR"/>
              </w:rPr>
            </w:pPr>
            <w:r w:rsidRPr="00CD583D">
              <w:rPr>
                <w:rFonts w:eastAsia="맑은 고딕" w:cs="새굴림"/>
                <w:noProof/>
                <w:lang w:eastAsia="fr-FR"/>
              </w:rPr>
              <w:t>Tel: +358 29 170 7755</w:t>
            </w:r>
          </w:p>
          <w:p w14:paraId="456FBA80" w14:textId="77777777" w:rsidR="00EA08FF" w:rsidRDefault="00552215">
            <w:pPr>
              <w:widowControl w:val="0"/>
              <w:suppressAutoHyphens/>
              <w:autoSpaceDE w:val="0"/>
              <w:autoSpaceDN w:val="0"/>
              <w:adjustRightInd w:val="0"/>
              <w:rPr>
                <w:rFonts w:eastAsia="맑은 고딕" w:cs="Times New Roman"/>
                <w:noProof/>
                <w:lang w:val="en-GB" w:eastAsia="ko-KR"/>
              </w:rPr>
            </w:pPr>
            <w:r w:rsidRPr="006F04E0">
              <w:rPr>
                <w:rFonts w:eastAsia="맑은 고딕" w:cs="Times New Roman"/>
                <w:noProof/>
                <w:lang w:val="en-GB" w:eastAsia="ko-KR"/>
              </w:rPr>
              <w:t>contact_fi@celltrionhc.com</w:t>
            </w:r>
          </w:p>
          <w:p w14:paraId="32AA34AA" w14:textId="741C8FAE" w:rsidR="00552215" w:rsidRPr="00BD4D94" w:rsidRDefault="00552215">
            <w:pPr>
              <w:widowControl w:val="0"/>
              <w:suppressAutoHyphens/>
              <w:autoSpaceDE w:val="0"/>
              <w:autoSpaceDN w:val="0"/>
              <w:adjustRightInd w:val="0"/>
              <w:rPr>
                <w:rFonts w:eastAsia="맑은 고딕" w:cs="새굴림"/>
                <w:noProof/>
                <w:lang w:val="en-GB" w:eastAsia="ko-KR"/>
              </w:rPr>
            </w:pPr>
          </w:p>
        </w:tc>
      </w:tr>
      <w:tr w:rsidR="001F0013" w:rsidRPr="00A942F6" w14:paraId="2ACAD62E" w14:textId="77777777">
        <w:trPr>
          <w:cantSplit/>
        </w:trPr>
        <w:tc>
          <w:tcPr>
            <w:tcW w:w="2500" w:type="pct"/>
          </w:tcPr>
          <w:p w14:paraId="63C201C1" w14:textId="77777777" w:rsidR="00EA08FF" w:rsidRPr="009B40A5" w:rsidRDefault="00EA08FF">
            <w:pPr>
              <w:widowControl w:val="0"/>
              <w:tabs>
                <w:tab w:val="left" w:pos="-720"/>
              </w:tabs>
              <w:suppressAutoHyphens/>
              <w:rPr>
                <w:rFonts w:eastAsia="새굴림" w:cs="새굴림"/>
                <w:b/>
                <w:bCs/>
                <w:noProof/>
                <w:lang w:eastAsia="fr-FR"/>
              </w:rPr>
            </w:pPr>
            <w:r w:rsidRPr="00A942F6">
              <w:rPr>
                <w:rFonts w:eastAsia="새굴림" w:cs="새굴림"/>
                <w:b/>
                <w:noProof/>
                <w:lang w:val="nb-NO"/>
              </w:rPr>
              <w:t>Κύπρος</w:t>
            </w:r>
          </w:p>
          <w:p w14:paraId="24CA2B59" w14:textId="77777777" w:rsidR="00EA08FF" w:rsidRPr="009B40A5" w:rsidRDefault="00EA08FF">
            <w:pPr>
              <w:widowControl w:val="0"/>
              <w:tabs>
                <w:tab w:val="left" w:pos="-720"/>
              </w:tabs>
              <w:suppressAutoHyphens/>
              <w:rPr>
                <w:rFonts w:eastAsia="맑은 고딕" w:cs="새굴림"/>
                <w:noProof/>
                <w:lang w:eastAsia="ko-KR"/>
              </w:rPr>
            </w:pPr>
            <w:r w:rsidRPr="009B40A5">
              <w:rPr>
                <w:rFonts w:eastAsia="맑은 고딕" w:cs="새굴림"/>
                <w:noProof/>
                <w:lang w:eastAsia="fr-FR"/>
              </w:rPr>
              <w:t>C.A. Papaellinas Ltd</w:t>
            </w:r>
          </w:p>
          <w:p w14:paraId="7AEDADD3" w14:textId="77777777" w:rsidR="00EA08FF" w:rsidRPr="009B40A5" w:rsidRDefault="00EA08FF">
            <w:pPr>
              <w:widowControl w:val="0"/>
              <w:suppressAutoHyphens/>
              <w:autoSpaceDE w:val="0"/>
              <w:autoSpaceDN w:val="0"/>
              <w:adjustRightInd w:val="0"/>
              <w:rPr>
                <w:rFonts w:eastAsia="맑은 고딕" w:cs="새굴림"/>
                <w:b/>
                <w:bCs/>
                <w:lang w:eastAsia="fr-FR"/>
              </w:rPr>
            </w:pPr>
            <w:r w:rsidRPr="00A942F6">
              <w:rPr>
                <w:rFonts w:eastAsia="새굴림" w:cs="새굴림"/>
                <w:noProof/>
                <w:lang w:val="nb-NO"/>
              </w:rPr>
              <w:t>Τηλ</w:t>
            </w:r>
            <w:r w:rsidRPr="009B40A5">
              <w:rPr>
                <w:rFonts w:eastAsia="새굴림" w:cs="새굴림"/>
                <w:noProof/>
              </w:rPr>
              <w:t xml:space="preserve">: </w:t>
            </w:r>
            <w:r w:rsidRPr="009B40A5">
              <w:rPr>
                <w:rFonts w:eastAsia="맑은 고딕" w:cs="새굴림"/>
                <w:noProof/>
                <w:lang w:eastAsia="fr-FR"/>
              </w:rPr>
              <w:t>+357 22741741</w:t>
            </w:r>
          </w:p>
          <w:p w14:paraId="0B327636" w14:textId="77777777" w:rsidR="00EA08FF" w:rsidRPr="009B40A5" w:rsidRDefault="00EA08FF">
            <w:pPr>
              <w:widowControl w:val="0"/>
              <w:suppressAutoHyphens/>
              <w:autoSpaceDE w:val="0"/>
              <w:autoSpaceDN w:val="0"/>
              <w:adjustRightInd w:val="0"/>
              <w:rPr>
                <w:rFonts w:eastAsia="맑은 고딕" w:cs="새굴림"/>
                <w:b/>
                <w:noProof/>
                <w:lang w:eastAsia="fr-FR"/>
              </w:rPr>
            </w:pPr>
          </w:p>
        </w:tc>
        <w:tc>
          <w:tcPr>
            <w:tcW w:w="2500" w:type="pct"/>
          </w:tcPr>
          <w:p w14:paraId="29EDA127" w14:textId="77777777" w:rsidR="00EA08FF" w:rsidRPr="009B40A5" w:rsidRDefault="00EA08FF">
            <w:pPr>
              <w:widowControl w:val="0"/>
              <w:tabs>
                <w:tab w:val="left" w:pos="-720"/>
              </w:tabs>
              <w:suppressAutoHyphens/>
              <w:rPr>
                <w:rFonts w:eastAsia="새굴림" w:cs="새굴림"/>
                <w:b/>
                <w:noProof/>
                <w:lang w:eastAsia="fr-FR"/>
              </w:rPr>
            </w:pPr>
            <w:r w:rsidRPr="009B40A5">
              <w:rPr>
                <w:rFonts w:eastAsia="새굴림" w:cs="새굴림"/>
                <w:b/>
                <w:noProof/>
              </w:rPr>
              <w:t>Sverige</w:t>
            </w:r>
          </w:p>
          <w:p w14:paraId="38920741" w14:textId="77777777" w:rsidR="00CB4C49" w:rsidRDefault="00CB4C49" w:rsidP="00CB4C49">
            <w:pPr>
              <w:tabs>
                <w:tab w:val="left" w:pos="-720"/>
              </w:tabs>
              <w:suppressAutoHyphens/>
              <w:rPr>
                <w:rFonts w:eastAsia="맑은 고딕"/>
                <w:noProof/>
                <w:lang w:val="en-GB" w:eastAsia="fr-FR"/>
              </w:rPr>
            </w:pPr>
            <w:r w:rsidRPr="00FD2965">
              <w:rPr>
                <w:rFonts w:eastAsia="맑은 고딕"/>
                <w:noProof/>
                <w:lang w:val="en-GB" w:eastAsia="fr-FR"/>
              </w:rPr>
              <w:t>Celltrion Sweden AB</w:t>
            </w:r>
          </w:p>
          <w:p w14:paraId="06CAE1D5" w14:textId="02874A19" w:rsidR="00552215" w:rsidRPr="00BD4D94" w:rsidRDefault="00552215" w:rsidP="00CB4C49">
            <w:pPr>
              <w:tabs>
                <w:tab w:val="left" w:pos="-720"/>
              </w:tabs>
              <w:suppressAutoHyphens/>
              <w:rPr>
                <w:rFonts w:eastAsia="맑은 고딕" w:cs="Times New Roman"/>
                <w:noProof/>
                <w:lang w:eastAsia="ko-KR"/>
              </w:rPr>
            </w:pPr>
            <w:r w:rsidRPr="002738BB">
              <w:rPr>
                <w:rFonts w:eastAsia="맑은 고딕" w:cs="Times New Roman"/>
                <w:noProof/>
                <w:lang w:eastAsia="fr-FR"/>
              </w:rPr>
              <w:t>Tel: +46 8 80 11 77</w:t>
            </w:r>
          </w:p>
          <w:p w14:paraId="552D18B6" w14:textId="7D05B418" w:rsidR="00CB4C49" w:rsidRPr="00FD2965" w:rsidRDefault="00552215" w:rsidP="00CB4C49">
            <w:pPr>
              <w:tabs>
                <w:tab w:val="left" w:pos="-720"/>
              </w:tabs>
              <w:suppressAutoHyphens/>
              <w:rPr>
                <w:rFonts w:eastAsia="맑은 고딕"/>
                <w:b/>
                <w:noProof/>
                <w:lang w:val="en-GB" w:eastAsia="fr-FR"/>
              </w:rPr>
            </w:pPr>
            <w:r>
              <w:rPr>
                <w:rFonts w:eastAsia="맑은 고딕" w:hint="eastAsia"/>
                <w:noProof/>
                <w:lang w:val="en-GB" w:eastAsia="ko-KR"/>
              </w:rPr>
              <w:t>C</w:t>
            </w:r>
            <w:r w:rsidR="00CB4C49" w:rsidRPr="00FD2965">
              <w:rPr>
                <w:rFonts w:eastAsia="맑은 고딕"/>
                <w:noProof/>
                <w:lang w:val="en-GB" w:eastAsia="fr-FR"/>
              </w:rPr>
              <w:t>ontact_se@celltrionhc.com</w:t>
            </w:r>
          </w:p>
          <w:p w14:paraId="751B1393" w14:textId="77777777" w:rsidR="00EA08FF" w:rsidRPr="00CB4C49" w:rsidRDefault="00EA08FF">
            <w:pPr>
              <w:widowControl w:val="0"/>
              <w:tabs>
                <w:tab w:val="left" w:pos="-720"/>
              </w:tabs>
              <w:suppressAutoHyphens/>
              <w:rPr>
                <w:rFonts w:eastAsia="맑은 고딕" w:cs="새굴림"/>
                <w:b/>
                <w:noProof/>
                <w:lang w:eastAsia="fr-FR"/>
              </w:rPr>
            </w:pPr>
          </w:p>
        </w:tc>
      </w:tr>
      <w:tr w:rsidR="001F0013" w:rsidRPr="00A942F6" w14:paraId="4202D603" w14:textId="77777777">
        <w:trPr>
          <w:cantSplit/>
        </w:trPr>
        <w:tc>
          <w:tcPr>
            <w:tcW w:w="2500" w:type="pct"/>
          </w:tcPr>
          <w:p w14:paraId="42876C37" w14:textId="77777777" w:rsidR="00EA08FF" w:rsidRPr="009B40A5" w:rsidRDefault="00EA08FF">
            <w:pPr>
              <w:widowControl w:val="0"/>
              <w:suppressAutoHyphens/>
              <w:rPr>
                <w:rFonts w:eastAsia="맑은 고딕" w:cs="새굴림"/>
                <w:b/>
                <w:noProof/>
                <w:lang w:eastAsia="fr-FR"/>
              </w:rPr>
            </w:pPr>
            <w:r w:rsidRPr="009B40A5">
              <w:rPr>
                <w:rFonts w:eastAsia="맑은 고딕" w:cs="새굴림"/>
                <w:b/>
                <w:noProof/>
                <w:lang w:eastAsia="fr-FR"/>
              </w:rPr>
              <w:t>Latvija</w:t>
            </w:r>
          </w:p>
          <w:p w14:paraId="604F5B16" w14:textId="77777777" w:rsidR="00EA08FF" w:rsidRPr="009B40A5" w:rsidRDefault="00EA08FF">
            <w:pPr>
              <w:widowControl w:val="0"/>
              <w:tabs>
                <w:tab w:val="left" w:pos="-720"/>
              </w:tabs>
              <w:suppressAutoHyphens/>
              <w:rPr>
                <w:rFonts w:eastAsia="맑은 고딕" w:cs="새굴림"/>
                <w:noProof/>
                <w:lang w:eastAsia="fr-FR"/>
              </w:rPr>
            </w:pPr>
            <w:r w:rsidRPr="009B40A5">
              <w:rPr>
                <w:rFonts w:eastAsia="맑은 고딕" w:cs="새굴림"/>
                <w:noProof/>
                <w:lang w:eastAsia="fr-FR"/>
              </w:rPr>
              <w:t>Celltrion Healthcare Hungary Kft.</w:t>
            </w:r>
          </w:p>
          <w:p w14:paraId="5F66446A" w14:textId="77777777" w:rsidR="00EA08FF" w:rsidRPr="00A942F6" w:rsidRDefault="00EA08FF">
            <w:pPr>
              <w:widowControl w:val="0"/>
              <w:suppressAutoHyphens/>
              <w:autoSpaceDE w:val="0"/>
              <w:autoSpaceDN w:val="0"/>
              <w:adjustRightInd w:val="0"/>
              <w:rPr>
                <w:rFonts w:eastAsia="맑은 고딕" w:cs="새굴림"/>
                <w:noProof/>
                <w:lang w:val="nb-NO" w:eastAsia="fr-FR"/>
              </w:rPr>
            </w:pPr>
            <w:r w:rsidRPr="00A942F6">
              <w:rPr>
                <w:rFonts w:eastAsia="맑은 고딕" w:cs="새굴림"/>
                <w:noProof/>
                <w:lang w:val="nb-NO" w:eastAsia="fr-FR"/>
              </w:rPr>
              <w:t>Tālr.: +36 1 231 0493</w:t>
            </w:r>
          </w:p>
          <w:p w14:paraId="715B8626" w14:textId="77777777" w:rsidR="00EA08FF" w:rsidRPr="00A942F6" w:rsidRDefault="00EA08FF">
            <w:pPr>
              <w:widowControl w:val="0"/>
              <w:suppressAutoHyphens/>
              <w:autoSpaceDE w:val="0"/>
              <w:autoSpaceDN w:val="0"/>
              <w:adjustRightInd w:val="0"/>
              <w:rPr>
                <w:rFonts w:eastAsia="맑은 고딕" w:cs="새굴림"/>
                <w:b/>
                <w:bCs/>
                <w:lang w:val="nb-NO" w:eastAsia="fr-FR"/>
              </w:rPr>
            </w:pPr>
          </w:p>
        </w:tc>
        <w:tc>
          <w:tcPr>
            <w:tcW w:w="2500" w:type="pct"/>
          </w:tcPr>
          <w:p w14:paraId="5F36525E" w14:textId="77777777" w:rsidR="00EA08FF" w:rsidRPr="00A942F6" w:rsidRDefault="00EA08FF">
            <w:pPr>
              <w:widowControl w:val="0"/>
              <w:tabs>
                <w:tab w:val="left" w:pos="-720"/>
              </w:tabs>
              <w:suppressAutoHyphens/>
              <w:rPr>
                <w:rFonts w:eastAsia="맑은 고딕" w:cs="새굴림"/>
                <w:b/>
                <w:noProof/>
                <w:lang w:val="nb-NO" w:eastAsia="fr-FR"/>
              </w:rPr>
            </w:pPr>
          </w:p>
        </w:tc>
      </w:tr>
    </w:tbl>
    <w:p w14:paraId="01D90038" w14:textId="77777777" w:rsidR="00EA08FF" w:rsidRPr="00A942F6" w:rsidRDefault="00EA08FF" w:rsidP="00641834">
      <w:pPr>
        <w:rPr>
          <w:lang w:val="nb-NO"/>
        </w:rPr>
      </w:pPr>
    </w:p>
    <w:p w14:paraId="64CE9166" w14:textId="77777777" w:rsidR="00240A54" w:rsidRPr="00A942F6" w:rsidRDefault="00F11249" w:rsidP="00641834">
      <w:pPr>
        <w:pStyle w:val="bold"/>
        <w:keepNext/>
        <w:rPr>
          <w:lang w:val="nb-NO"/>
        </w:rPr>
      </w:pPr>
      <w:r w:rsidRPr="00A942F6">
        <w:rPr>
          <w:lang w:val="nb-NO"/>
        </w:rPr>
        <w:t>Dette pakni</w:t>
      </w:r>
      <w:r w:rsidR="00240A54" w:rsidRPr="00A942F6">
        <w:rPr>
          <w:lang w:val="nb-NO"/>
        </w:rPr>
        <w:t>ngsvedlegget ble sist oppdatert</w:t>
      </w:r>
    </w:p>
    <w:p w14:paraId="63ACD3CA" w14:textId="77777777" w:rsidR="00240A54" w:rsidRPr="00A942F6" w:rsidRDefault="00240A54" w:rsidP="00641834">
      <w:pPr>
        <w:keepNext/>
        <w:rPr>
          <w:lang w:val="nb-NO"/>
        </w:rPr>
      </w:pPr>
    </w:p>
    <w:p w14:paraId="7845CF23" w14:textId="77777777" w:rsidR="00F11249" w:rsidRPr="00A942F6" w:rsidRDefault="00F11249" w:rsidP="00641834">
      <w:pPr>
        <w:pStyle w:val="bold"/>
        <w:keepNext/>
        <w:rPr>
          <w:lang w:val="nb-NO"/>
        </w:rPr>
      </w:pPr>
      <w:r w:rsidRPr="00A942F6">
        <w:rPr>
          <w:lang w:val="nb-NO"/>
        </w:rPr>
        <w:t>Andre informasjonskilder</w:t>
      </w:r>
    </w:p>
    <w:p w14:paraId="29285AFE" w14:textId="3C3850B2" w:rsidR="00F11249" w:rsidRPr="00A942F6" w:rsidRDefault="00F11249" w:rsidP="00641834">
      <w:pPr>
        <w:rPr>
          <w:lang w:val="nb-NO"/>
        </w:rPr>
      </w:pPr>
      <w:r w:rsidRPr="00A942F6">
        <w:rPr>
          <w:lang w:val="nb-NO"/>
        </w:rPr>
        <w:t xml:space="preserve">Detaljert informasjon om dette legemidlet er tilgjengelig på nettstedet til Det europeiske legemiddelkontoret (the European Medicines Agency): </w:t>
      </w:r>
      <w:hyperlink r:id="rId47" w:history="1">
        <w:r w:rsidR="00815D31">
          <w:rPr>
            <w:rStyle w:val="a6"/>
            <w:color w:val="0000FF"/>
            <w:lang w:val="nb-NO"/>
          </w:rPr>
          <w:t>https:</w:t>
        </w:r>
        <w:r w:rsidRPr="00A942F6">
          <w:rPr>
            <w:rStyle w:val="a6"/>
            <w:color w:val="0000FF"/>
            <w:lang w:val="nb-NO"/>
          </w:rPr>
          <w:t>//www.ema.europa.eu</w:t>
        </w:r>
      </w:hyperlink>
      <w:r w:rsidRPr="00A942F6">
        <w:rPr>
          <w:lang w:val="nb-NO"/>
        </w:rPr>
        <w:t xml:space="preserve">, og på nettstedet til </w:t>
      </w:r>
      <w:hyperlink r:id="rId48" w:history="1">
        <w:r w:rsidRPr="00A942F6">
          <w:rPr>
            <w:rStyle w:val="a6"/>
            <w:color w:val="0000FF"/>
            <w:lang w:val="nb-NO"/>
          </w:rPr>
          <w:t>www.felleskatalogen.no</w:t>
        </w:r>
      </w:hyperlink>
      <w:r w:rsidRPr="00A942F6">
        <w:rPr>
          <w:lang w:val="nb-NO"/>
        </w:rPr>
        <w:t>.</w:t>
      </w:r>
    </w:p>
    <w:p w14:paraId="0C377DB2" w14:textId="77777777" w:rsidR="00EA08FF" w:rsidRPr="00A942F6" w:rsidRDefault="00240A54" w:rsidP="00EA08FF">
      <w:pPr>
        <w:keepNext/>
        <w:rPr>
          <w:b/>
          <w:bCs/>
          <w:lang w:val="nb-NO"/>
        </w:rPr>
      </w:pPr>
      <w:r w:rsidRPr="00A942F6">
        <w:rPr>
          <w:lang w:val="nb-NO"/>
        </w:rPr>
        <w:br w:type="page"/>
      </w:r>
      <w:r w:rsidR="00930E6C" w:rsidRPr="00A942F6">
        <w:rPr>
          <w:b/>
          <w:bCs/>
          <w:lang w:val="nb-NO"/>
        </w:rPr>
        <w:lastRenderedPageBreak/>
        <w:t>7.</w:t>
      </w:r>
      <w:r w:rsidR="00EA08FF" w:rsidRPr="00A942F6">
        <w:rPr>
          <w:b/>
          <w:lang w:val="nb-NO"/>
        </w:rPr>
        <w:tab/>
        <w:t>Bruksanvisning</w:t>
      </w:r>
    </w:p>
    <w:p w14:paraId="47DDCAB7" w14:textId="77777777" w:rsidR="00EA08FF" w:rsidRPr="00A942F6" w:rsidRDefault="00EA08FF" w:rsidP="00EA08FF">
      <w:pPr>
        <w:keepNext/>
        <w:rPr>
          <w:lang w:val="nb-NO"/>
        </w:rPr>
      </w:pPr>
    </w:p>
    <w:p w14:paraId="22B69909" w14:textId="77777777" w:rsidR="00EA08FF" w:rsidRPr="00A942F6" w:rsidRDefault="00EA08FF" w:rsidP="00EA08FF">
      <w:pPr>
        <w:rPr>
          <w:lang w:val="nb-NO"/>
        </w:rPr>
      </w:pPr>
      <w:r w:rsidRPr="00A942F6">
        <w:rPr>
          <w:lang w:val="nb-NO"/>
        </w:rPr>
        <w:t>Les og følg bruksanvisningen som følger med din Avtozma ferdigfylte penn før du begynner å bruke den og hver gang du henter ut en ny pakke. Den kan inneholde ny informasjon. Før du begynner å bruke Avtozma må du passe på at helsepersonell har vist deg riktig måte å bruke den.</w:t>
      </w:r>
    </w:p>
    <w:p w14:paraId="5219BDD8" w14:textId="77777777" w:rsidR="00EA08FF" w:rsidRPr="00A942F6" w:rsidRDefault="00EA08FF" w:rsidP="00EA08FF">
      <w:pPr>
        <w:rPr>
          <w:lang w:val="nb-NO"/>
        </w:rPr>
      </w:pPr>
    </w:p>
    <w:p w14:paraId="4094DD90" w14:textId="77777777" w:rsidR="00EA08FF" w:rsidRPr="00A942F6" w:rsidRDefault="00EA08FF" w:rsidP="00EA08FF">
      <w:pPr>
        <w:keepNext/>
        <w:rPr>
          <w:b/>
          <w:bCs/>
          <w:lang w:val="nb-NO"/>
        </w:rPr>
      </w:pPr>
      <w:r w:rsidRPr="00A942F6">
        <w:rPr>
          <w:b/>
          <w:lang w:val="nb-NO"/>
        </w:rPr>
        <w:t>Viktig informasjon</w:t>
      </w:r>
    </w:p>
    <w:p w14:paraId="2A04ABD7" w14:textId="77777777" w:rsidR="00EA08FF" w:rsidRPr="00A942F6" w:rsidRDefault="00EA08FF" w:rsidP="00EA08FF">
      <w:pPr>
        <w:keepNext/>
        <w:rPr>
          <w:b/>
          <w:bCs/>
          <w:lang w:val="nb-NO"/>
        </w:rPr>
      </w:pPr>
    </w:p>
    <w:p w14:paraId="1041185F" w14:textId="77777777" w:rsidR="00EA08FF" w:rsidRPr="00A942F6" w:rsidRDefault="00EA08FF" w:rsidP="007814F8">
      <w:pPr>
        <w:pStyle w:val="a5"/>
        <w:widowControl/>
        <w:numPr>
          <w:ilvl w:val="0"/>
          <w:numId w:val="59"/>
        </w:numPr>
        <w:autoSpaceDE/>
        <w:autoSpaceDN/>
        <w:ind w:left="567" w:hanging="567"/>
        <w:contextualSpacing/>
        <w:rPr>
          <w:lang w:val="nb-NO"/>
        </w:rPr>
      </w:pPr>
      <w:r w:rsidRPr="00A942F6">
        <w:rPr>
          <w:b/>
          <w:lang w:val="nb-NO"/>
        </w:rPr>
        <w:t>Ikke</w:t>
      </w:r>
      <w:r w:rsidRPr="00A942F6">
        <w:rPr>
          <w:lang w:val="nb-NO"/>
        </w:rPr>
        <w:t xml:space="preserve"> fjern hetten fra den ferdigfylte pennen før du er klar til å injisere Avtozma.</w:t>
      </w:r>
    </w:p>
    <w:p w14:paraId="2C50B002" w14:textId="77777777" w:rsidR="00EA08FF" w:rsidRPr="00A942F6" w:rsidRDefault="00EA08FF" w:rsidP="007814F8">
      <w:pPr>
        <w:pStyle w:val="a5"/>
        <w:widowControl/>
        <w:numPr>
          <w:ilvl w:val="0"/>
          <w:numId w:val="59"/>
        </w:numPr>
        <w:autoSpaceDE/>
        <w:autoSpaceDN/>
        <w:ind w:left="567" w:hanging="567"/>
        <w:contextualSpacing/>
        <w:rPr>
          <w:lang w:val="nb-NO"/>
        </w:rPr>
      </w:pPr>
      <w:r w:rsidRPr="00A942F6">
        <w:rPr>
          <w:lang w:val="nb-NO"/>
        </w:rPr>
        <w:t xml:space="preserve">Forsøk </w:t>
      </w:r>
      <w:r w:rsidRPr="00A942F6">
        <w:rPr>
          <w:b/>
          <w:lang w:val="nb-NO"/>
        </w:rPr>
        <w:t>ikke</w:t>
      </w:r>
      <w:r w:rsidRPr="00A942F6">
        <w:rPr>
          <w:lang w:val="nb-NO"/>
        </w:rPr>
        <w:t xml:space="preserve"> å åpne eller demontere den ferdigfylte pennen.</w:t>
      </w:r>
    </w:p>
    <w:p w14:paraId="2E7CF8BF" w14:textId="77777777" w:rsidR="00EA08FF" w:rsidRPr="00A942F6" w:rsidRDefault="00EA08FF" w:rsidP="007814F8">
      <w:pPr>
        <w:pStyle w:val="a5"/>
        <w:widowControl/>
        <w:numPr>
          <w:ilvl w:val="0"/>
          <w:numId w:val="59"/>
        </w:numPr>
        <w:autoSpaceDE/>
        <w:autoSpaceDN/>
        <w:ind w:left="567" w:hanging="567"/>
        <w:contextualSpacing/>
        <w:rPr>
          <w:lang w:val="nb-NO"/>
        </w:rPr>
      </w:pPr>
      <w:r w:rsidRPr="00A942F6">
        <w:rPr>
          <w:b/>
          <w:lang w:val="nb-NO"/>
        </w:rPr>
        <w:t>Ikke</w:t>
      </w:r>
      <w:r w:rsidRPr="00A942F6">
        <w:rPr>
          <w:lang w:val="nb-NO"/>
        </w:rPr>
        <w:t xml:space="preserve"> bruk den samme ferdigfylte pennen om igjen.</w:t>
      </w:r>
    </w:p>
    <w:p w14:paraId="0B5F7DD3" w14:textId="77777777" w:rsidR="00EA08FF" w:rsidRPr="00A942F6" w:rsidRDefault="00EA08FF" w:rsidP="007814F8">
      <w:pPr>
        <w:pStyle w:val="a5"/>
        <w:widowControl/>
        <w:numPr>
          <w:ilvl w:val="0"/>
          <w:numId w:val="59"/>
        </w:numPr>
        <w:autoSpaceDE/>
        <w:autoSpaceDN/>
        <w:ind w:left="567" w:hanging="567"/>
        <w:contextualSpacing/>
        <w:rPr>
          <w:lang w:val="nb-NO"/>
        </w:rPr>
      </w:pPr>
      <w:r w:rsidRPr="00A942F6">
        <w:rPr>
          <w:b/>
          <w:lang w:val="nb-NO"/>
        </w:rPr>
        <w:t>Ikke</w:t>
      </w:r>
      <w:r w:rsidRPr="00A942F6">
        <w:rPr>
          <w:lang w:val="nb-NO"/>
        </w:rPr>
        <w:t xml:space="preserve"> rist den samme ferdigfylte pennen.</w:t>
      </w:r>
    </w:p>
    <w:p w14:paraId="696AB13C" w14:textId="77777777" w:rsidR="00EA08FF" w:rsidRPr="00A942F6" w:rsidRDefault="00EA08FF" w:rsidP="007814F8">
      <w:pPr>
        <w:pStyle w:val="a5"/>
        <w:widowControl/>
        <w:numPr>
          <w:ilvl w:val="0"/>
          <w:numId w:val="59"/>
        </w:numPr>
        <w:autoSpaceDE/>
        <w:autoSpaceDN/>
        <w:ind w:left="567" w:hanging="567"/>
        <w:contextualSpacing/>
        <w:rPr>
          <w:lang w:val="nb-NO"/>
        </w:rPr>
      </w:pPr>
      <w:r w:rsidRPr="00A942F6">
        <w:rPr>
          <w:b/>
          <w:lang w:val="nb-NO"/>
        </w:rPr>
        <w:t>Ikke</w:t>
      </w:r>
      <w:r w:rsidRPr="00A942F6">
        <w:rPr>
          <w:lang w:val="nb-NO"/>
        </w:rPr>
        <w:t xml:space="preserve"> bruk den ferdigfylte pennen hvis den har falt i gulvet eller er skadet.</w:t>
      </w:r>
    </w:p>
    <w:p w14:paraId="3D1E43BB" w14:textId="77777777" w:rsidR="00EA08FF" w:rsidRPr="00A942F6" w:rsidRDefault="00EA08FF" w:rsidP="007814F8">
      <w:pPr>
        <w:pStyle w:val="a5"/>
        <w:widowControl/>
        <w:numPr>
          <w:ilvl w:val="0"/>
          <w:numId w:val="59"/>
        </w:numPr>
        <w:autoSpaceDE/>
        <w:autoSpaceDN/>
        <w:ind w:left="567" w:hanging="567"/>
        <w:contextualSpacing/>
        <w:rPr>
          <w:lang w:val="nb-NO"/>
        </w:rPr>
      </w:pPr>
      <w:r w:rsidRPr="00A942F6">
        <w:rPr>
          <w:b/>
          <w:lang w:val="nb-NO"/>
        </w:rPr>
        <w:t>Råd til pasienter angående overfølsomhetsreaksjoner (eller anafylaksi):</w:t>
      </w:r>
      <w:r w:rsidRPr="00A942F6">
        <w:rPr>
          <w:lang w:val="nb-NO"/>
        </w:rPr>
        <w:t xml:space="preserve"> Dersom du utvikler symptomer som, men ikke begrenset til, f.eks. hudutslett, kløe, frysninger, hevelse i ansikt, lepper, tunge eller hals, brystsmerter, hvesende pust, problemer med å puste eller svelge eller føler deg svimmel eller svak når som helst under eller etter en injeksjon, bør du oppsøke medisinsk hjelp umiddelbart.</w:t>
      </w:r>
    </w:p>
    <w:p w14:paraId="4D193D37" w14:textId="77777777" w:rsidR="00EA08FF" w:rsidRPr="00A942F6" w:rsidRDefault="00EA08FF" w:rsidP="00EA08FF">
      <w:pPr>
        <w:rPr>
          <w:lang w:val="nb-NO"/>
        </w:rPr>
      </w:pPr>
    </w:p>
    <w:p w14:paraId="5C4E507A" w14:textId="77777777" w:rsidR="00EA08FF" w:rsidRPr="00A942F6" w:rsidRDefault="00EA08FF" w:rsidP="00EA08FF">
      <w:pPr>
        <w:keepNext/>
        <w:rPr>
          <w:b/>
          <w:bCs/>
          <w:lang w:val="nb-NO"/>
        </w:rPr>
      </w:pPr>
      <w:r w:rsidRPr="00A942F6">
        <w:rPr>
          <w:b/>
          <w:lang w:val="nb-NO"/>
        </w:rPr>
        <w:t>Oppbevaring av Avtozma</w:t>
      </w:r>
    </w:p>
    <w:p w14:paraId="43724EEF" w14:textId="77777777" w:rsidR="00EA08FF" w:rsidRPr="00A942F6" w:rsidRDefault="00EA08FF" w:rsidP="007814F8">
      <w:pPr>
        <w:pStyle w:val="a5"/>
        <w:widowControl/>
        <w:numPr>
          <w:ilvl w:val="0"/>
          <w:numId w:val="60"/>
        </w:numPr>
        <w:autoSpaceDE/>
        <w:autoSpaceDN/>
        <w:ind w:left="567" w:hanging="567"/>
        <w:contextualSpacing/>
        <w:rPr>
          <w:lang w:val="nb-NO"/>
        </w:rPr>
      </w:pPr>
      <w:r w:rsidRPr="00A942F6">
        <w:rPr>
          <w:lang w:val="nb-NO"/>
        </w:rPr>
        <w:t xml:space="preserve">Oppbevar den ubrukte ferdigfylte pennen i originalesken i et kjøleskap ved 2 °C til 8 ºC. </w:t>
      </w:r>
      <w:r w:rsidRPr="00A942F6">
        <w:rPr>
          <w:b/>
          <w:lang w:val="nb-NO"/>
        </w:rPr>
        <w:t>Skal ikke</w:t>
      </w:r>
      <w:r w:rsidRPr="00A942F6">
        <w:rPr>
          <w:lang w:val="nb-NO"/>
        </w:rPr>
        <w:t xml:space="preserve"> fryses.</w:t>
      </w:r>
    </w:p>
    <w:p w14:paraId="134AEEE9" w14:textId="352C8326" w:rsidR="00EA08FF" w:rsidRPr="00A942F6" w:rsidRDefault="00EA08FF" w:rsidP="007814F8">
      <w:pPr>
        <w:pStyle w:val="a5"/>
        <w:widowControl/>
        <w:numPr>
          <w:ilvl w:val="0"/>
          <w:numId w:val="60"/>
        </w:numPr>
        <w:autoSpaceDE/>
        <w:autoSpaceDN/>
        <w:ind w:left="567" w:hanging="567"/>
        <w:contextualSpacing/>
        <w:rPr>
          <w:lang w:val="nb-NO"/>
        </w:rPr>
      </w:pPr>
      <w:r w:rsidRPr="00A942F6">
        <w:rPr>
          <w:lang w:val="nb-NO"/>
        </w:rPr>
        <w:t>Etter uttak fra kjøleskap kan Avtozma oppbevares i opptil 3 uker ved høyst 30 °C. Hvis den ikke brukes innen de 3 ukene, skal Avtozma kastes.</w:t>
      </w:r>
    </w:p>
    <w:p w14:paraId="3CBC0A15" w14:textId="77777777" w:rsidR="00EA08FF" w:rsidRPr="00A942F6" w:rsidRDefault="00EA08FF" w:rsidP="007814F8">
      <w:pPr>
        <w:pStyle w:val="a5"/>
        <w:widowControl/>
        <w:numPr>
          <w:ilvl w:val="0"/>
          <w:numId w:val="60"/>
        </w:numPr>
        <w:autoSpaceDE/>
        <w:autoSpaceDN/>
        <w:ind w:left="567" w:hanging="567"/>
        <w:contextualSpacing/>
        <w:rPr>
          <w:lang w:val="nb-NO"/>
        </w:rPr>
      </w:pPr>
      <w:r w:rsidRPr="00A942F6">
        <w:rPr>
          <w:lang w:val="nb-NO"/>
        </w:rPr>
        <w:t>Den ferdigfylte pennen må holdes unna direkte sollys.</w:t>
      </w:r>
    </w:p>
    <w:p w14:paraId="14DB8C44" w14:textId="77777777" w:rsidR="00EA08FF" w:rsidRPr="00A942F6" w:rsidRDefault="00EA08FF" w:rsidP="007814F8">
      <w:pPr>
        <w:pStyle w:val="a5"/>
        <w:widowControl/>
        <w:numPr>
          <w:ilvl w:val="0"/>
          <w:numId w:val="60"/>
        </w:numPr>
        <w:autoSpaceDE/>
        <w:autoSpaceDN/>
        <w:ind w:left="567" w:hanging="567"/>
        <w:contextualSpacing/>
        <w:rPr>
          <w:lang w:val="nb-NO"/>
        </w:rPr>
      </w:pPr>
      <w:r w:rsidRPr="00A942F6">
        <w:rPr>
          <w:b/>
          <w:lang w:val="nb-NO"/>
        </w:rPr>
        <w:t xml:space="preserve">Ikke </w:t>
      </w:r>
      <w:r w:rsidRPr="00A942F6">
        <w:rPr>
          <w:lang w:val="nb-NO"/>
        </w:rPr>
        <w:t>ta ut den ferdigfylte pennen fra originalesken under oppbevaring.</w:t>
      </w:r>
    </w:p>
    <w:p w14:paraId="45A0CEDD" w14:textId="77777777" w:rsidR="00EA08FF" w:rsidRPr="00A942F6" w:rsidRDefault="00EA08FF" w:rsidP="007814F8">
      <w:pPr>
        <w:pStyle w:val="a5"/>
        <w:widowControl/>
        <w:numPr>
          <w:ilvl w:val="0"/>
          <w:numId w:val="60"/>
        </w:numPr>
        <w:autoSpaceDE/>
        <w:autoSpaceDN/>
        <w:ind w:left="567" w:hanging="567"/>
        <w:contextualSpacing/>
        <w:rPr>
          <w:lang w:val="nb-NO"/>
        </w:rPr>
      </w:pPr>
      <w:r w:rsidRPr="00A942F6">
        <w:rPr>
          <w:b/>
          <w:lang w:val="nb-NO"/>
        </w:rPr>
        <w:t>Ikke</w:t>
      </w:r>
      <w:r w:rsidRPr="00A942F6">
        <w:rPr>
          <w:lang w:val="nb-NO"/>
        </w:rPr>
        <w:t xml:space="preserve"> legg den ferdigfylte pennen fra deg uten tilsyn.</w:t>
      </w:r>
    </w:p>
    <w:p w14:paraId="452CDD09" w14:textId="77777777" w:rsidR="00EA08FF" w:rsidRPr="00A942F6" w:rsidRDefault="00EA08FF" w:rsidP="007814F8">
      <w:pPr>
        <w:pStyle w:val="a5"/>
        <w:widowControl/>
        <w:numPr>
          <w:ilvl w:val="0"/>
          <w:numId w:val="60"/>
        </w:numPr>
        <w:autoSpaceDE/>
        <w:autoSpaceDN/>
        <w:ind w:left="567" w:hanging="567"/>
        <w:contextualSpacing/>
        <w:rPr>
          <w:lang w:val="nb-NO"/>
        </w:rPr>
      </w:pPr>
      <w:r w:rsidRPr="00A942F6">
        <w:rPr>
          <w:lang w:val="nb-NO"/>
        </w:rPr>
        <w:t>Oppbevar den ferdigfylte pennen utilgjengelig for barn. Inneholder små deler.</w:t>
      </w:r>
    </w:p>
    <w:p w14:paraId="5CCC543D" w14:textId="2C411D40" w:rsidR="00EA08FF" w:rsidRPr="00A942F6" w:rsidRDefault="00EA08FF" w:rsidP="00434BCD">
      <w:pPr>
        <w:rPr>
          <w:b/>
          <w:bCs/>
          <w:lang w:val="nb-NO"/>
        </w:rPr>
      </w:pPr>
      <w:r w:rsidRPr="00A942F6">
        <w:rPr>
          <w:lang w:val="nb-NO"/>
        </w:rPr>
        <w:br w:type="page"/>
      </w:r>
      <w:r w:rsidRPr="00A942F6">
        <w:rPr>
          <w:b/>
          <w:lang w:val="nb-NO"/>
        </w:rPr>
        <w:lastRenderedPageBreak/>
        <w:t>Deler av din Avtozma ferdigfylte penn (Se figur A)</w:t>
      </w:r>
    </w:p>
    <w:p w14:paraId="25C89A94" w14:textId="1CE96DD3" w:rsidR="00EA08FF" w:rsidRPr="00A942F6" w:rsidRDefault="00D94A8B" w:rsidP="001931C0">
      <w:pPr>
        <w:keepNext/>
        <w:rPr>
          <w:lang w:val="nb-NO"/>
        </w:rPr>
      </w:pPr>
      <w:r>
        <w:rPr>
          <w:noProof/>
          <w:lang w:eastAsia="ko-KR"/>
        </w:rPr>
        <mc:AlternateContent>
          <mc:Choice Requires="wps">
            <w:drawing>
              <wp:anchor distT="45720" distB="45720" distL="114300" distR="114300" simplePos="0" relativeHeight="251659264" behindDoc="0" locked="1" layoutInCell="1" allowOverlap="1" wp14:anchorId="3F7BCAB1" wp14:editId="47121CD8">
                <wp:simplePos x="0" y="0"/>
                <wp:positionH relativeFrom="column">
                  <wp:posOffset>434975</wp:posOffset>
                </wp:positionH>
                <wp:positionV relativeFrom="paragraph">
                  <wp:posOffset>288925</wp:posOffset>
                </wp:positionV>
                <wp:extent cx="2294255" cy="422275"/>
                <wp:effectExtent l="0" t="0" r="0" b="0"/>
                <wp:wrapNone/>
                <wp:docPr id="118883978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422275"/>
                        </a:xfrm>
                        <a:prstGeom prst="rect">
                          <a:avLst/>
                        </a:prstGeom>
                        <a:noFill/>
                        <a:ln w="9525">
                          <a:noFill/>
                          <a:miter lim="800000"/>
                          <a:headEnd/>
                          <a:tailEnd/>
                        </a:ln>
                      </wps:spPr>
                      <wps:txbx>
                        <w:txbxContent>
                          <w:p w14:paraId="731CF6AC" w14:textId="4794996D" w:rsidR="003B558D" w:rsidRPr="00434BCD" w:rsidRDefault="00F862D9" w:rsidP="00EA08FF">
                            <w:pPr>
                              <w:jc w:val="center"/>
                              <w:rPr>
                                <w:rFonts w:cs="Times New Roman"/>
                                <w:b/>
                                <w:bCs/>
                                <w:sz w:val="36"/>
                                <w:szCs w:val="36"/>
                                <w:lang w:val="es-ES"/>
                              </w:rPr>
                            </w:pPr>
                            <w:r w:rsidRPr="00434BCD">
                              <w:rPr>
                                <w:rFonts w:cs="Times New Roman"/>
                                <w:b/>
                                <w:bCs/>
                                <w:sz w:val="36"/>
                                <w:szCs w:val="36"/>
                                <w:lang w:val="es-ES"/>
                              </w:rPr>
                              <w:t>Før bruk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7BCAB1" id="Text Box 51" o:spid="_x0000_s1054" type="#_x0000_t202" style="position:absolute;margin-left:34.25pt;margin-top:22.75pt;width:180.65pt;height:3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" filled="f" stroked="f">
                <v:textbox inset="0,0,0,0">
                  <w:txbxContent>
                    <w:p w14:paraId="731CF6AC" w14:textId="4794996D" w:rsidR="003B558D" w:rsidRPr="00434BCD" w:rsidRDefault="00F862D9" w:rsidP="00EA08FF">
                      <w:pPr>
                        <w:jc w:val="center"/>
                        <w:rPr>
                          <w:rFonts w:cs="Times New Roman"/>
                          <w:b/>
                          <w:bCs/>
                          <w:sz w:val="36"/>
                          <w:szCs w:val="36"/>
                          <w:lang w:val="es-ES"/>
                        </w:rPr>
                      </w:pPr>
                      <w:r w:rsidRPr="00434BCD">
                        <w:rPr>
                          <w:rFonts w:cs="Times New Roman"/>
                          <w:b/>
                          <w:bCs/>
                          <w:sz w:val="36"/>
                          <w:szCs w:val="36"/>
                          <w:lang w:val="es-ES"/>
                        </w:rPr>
                        <w:t>Før bruk</w:t>
                      </w:r>
                    </w:p>
                  </w:txbxContent>
                </v:textbox>
                <w10:anchorlock/>
              </v:shape>
            </w:pict>
          </mc:Fallback>
        </mc:AlternateContent>
      </w:r>
      <w:r>
        <w:rPr>
          <w:noProof/>
          <w:lang w:eastAsia="ko-KR"/>
        </w:rPr>
        <mc:AlternateContent>
          <mc:Choice Requires="wps">
            <w:drawing>
              <wp:anchor distT="45720" distB="45720" distL="114300" distR="114300" simplePos="0" relativeHeight="251660288" behindDoc="0" locked="1" layoutInCell="1" allowOverlap="1" wp14:anchorId="3DD2CD8E" wp14:editId="40241DE2">
                <wp:simplePos x="0" y="0"/>
                <wp:positionH relativeFrom="margin">
                  <wp:posOffset>3952875</wp:posOffset>
                </wp:positionH>
                <wp:positionV relativeFrom="paragraph">
                  <wp:posOffset>301625</wp:posOffset>
                </wp:positionV>
                <wp:extent cx="2044065" cy="422275"/>
                <wp:effectExtent l="0" t="0" r="0" b="0"/>
                <wp:wrapNone/>
                <wp:docPr id="32535059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422275"/>
                        </a:xfrm>
                        <a:prstGeom prst="rect">
                          <a:avLst/>
                        </a:prstGeom>
                        <a:noFill/>
                        <a:ln w="9525">
                          <a:noFill/>
                          <a:miter lim="800000"/>
                          <a:headEnd/>
                          <a:tailEnd/>
                        </a:ln>
                      </wps:spPr>
                      <wps:txbx>
                        <w:txbxContent>
                          <w:p w14:paraId="09B9EE7D" w14:textId="36F51CEE" w:rsidR="003B558D" w:rsidRPr="00434BCD" w:rsidRDefault="00F862D9" w:rsidP="00EA08FF">
                            <w:pPr>
                              <w:jc w:val="center"/>
                              <w:rPr>
                                <w:rFonts w:cs="Times New Roman"/>
                                <w:b/>
                                <w:bCs/>
                                <w:sz w:val="36"/>
                                <w:szCs w:val="36"/>
                                <w:lang w:val="es-ES"/>
                              </w:rPr>
                            </w:pPr>
                            <w:r w:rsidRPr="00434BCD">
                              <w:rPr>
                                <w:rFonts w:cs="Times New Roman"/>
                                <w:b/>
                                <w:bCs/>
                                <w:sz w:val="36"/>
                                <w:szCs w:val="36"/>
                                <w:lang w:val="es-ES"/>
                              </w:rPr>
                              <w:t>Etter bruk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2CD8E" id="Text Box 49" o:spid="_x0000_s1055" type="#_x0000_t202" style="position:absolute;margin-left:311.25pt;margin-top:23.75pt;width:160.95pt;height:3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" filled="f" stroked="f">
                <v:textbox inset="0,0,0,0">
                  <w:txbxContent>
                    <w:p w14:paraId="09B9EE7D" w14:textId="36F51CEE" w:rsidR="003B558D" w:rsidRPr="00434BCD" w:rsidRDefault="00F862D9" w:rsidP="00EA08FF">
                      <w:pPr>
                        <w:jc w:val="center"/>
                        <w:rPr>
                          <w:rFonts w:cs="Times New Roman"/>
                          <w:b/>
                          <w:bCs/>
                          <w:sz w:val="36"/>
                          <w:szCs w:val="36"/>
                          <w:lang w:val="es-ES"/>
                        </w:rPr>
                      </w:pPr>
                      <w:r w:rsidRPr="00434BCD">
                        <w:rPr>
                          <w:rFonts w:cs="Times New Roman"/>
                          <w:b/>
                          <w:bCs/>
                          <w:sz w:val="36"/>
                          <w:szCs w:val="36"/>
                          <w:lang w:val="es-ES"/>
                        </w:rPr>
                        <w:t>Etter bruk</w:t>
                      </w:r>
                    </w:p>
                  </w:txbxContent>
                </v:textbox>
                <w10:wrap anchorx="margin"/>
                <w10:anchorlock/>
              </v:shape>
            </w:pict>
          </mc:Fallback>
        </mc:AlternateContent>
      </w:r>
      <w:r>
        <w:rPr>
          <w:noProof/>
          <w:lang w:eastAsia="ko-KR"/>
        </w:rPr>
        <mc:AlternateContent>
          <mc:Choice Requires="wps">
            <w:drawing>
              <wp:anchor distT="45720" distB="45720" distL="114300" distR="114300" simplePos="0" relativeHeight="251661312" behindDoc="0" locked="1" layoutInCell="1" allowOverlap="1" wp14:anchorId="2AD58F8B" wp14:editId="6FB7C8CD">
                <wp:simplePos x="0" y="0"/>
                <wp:positionH relativeFrom="column">
                  <wp:posOffset>1312545</wp:posOffset>
                </wp:positionH>
                <wp:positionV relativeFrom="paragraph">
                  <wp:posOffset>1810385</wp:posOffset>
                </wp:positionV>
                <wp:extent cx="758190" cy="422275"/>
                <wp:effectExtent l="0" t="0" r="0" b="0"/>
                <wp:wrapNone/>
                <wp:docPr id="110760690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422275"/>
                        </a:xfrm>
                        <a:prstGeom prst="rect">
                          <a:avLst/>
                        </a:prstGeom>
                        <a:noFill/>
                        <a:ln>
                          <a:noFill/>
                        </a:ln>
                      </wps:spPr>
                      <wps:txbx>
                        <w:txbxContent>
                          <w:p w14:paraId="0B7626E4" w14:textId="671DC40F" w:rsidR="003B558D" w:rsidRPr="00434BCD" w:rsidRDefault="00F862D9" w:rsidP="00EA08FF">
                            <w:pPr>
                              <w:jc w:val="center"/>
                              <w:rPr>
                                <w:rFonts w:cs="Times New Roman"/>
                                <w:sz w:val="30"/>
                                <w:szCs w:val="30"/>
                                <w:lang w:val="es-ES"/>
                              </w:rPr>
                            </w:pPr>
                            <w:r w:rsidRPr="00434BCD">
                              <w:rPr>
                                <w:rFonts w:cs="Times New Roman"/>
                                <w:sz w:val="30"/>
                                <w:szCs w:val="30"/>
                                <w:lang w:val="es-ES"/>
                              </w:rPr>
                              <w:t>Hoveddel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D58F8B" id="Text Box 47" o:spid="_x0000_s1056" type="#_x0000_t202" style="position:absolute;margin-left:103.35pt;margin-top:142.55pt;width:59.7pt;height:3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" filled="f" stroked="f">
                <v:textbox inset="0,0,0,0">
                  <w:txbxContent>
                    <w:p w14:paraId="0B7626E4" w14:textId="671DC40F" w:rsidR="003B558D" w:rsidRPr="00434BCD" w:rsidRDefault="00F862D9" w:rsidP="00EA08FF">
                      <w:pPr>
                        <w:jc w:val="center"/>
                        <w:rPr>
                          <w:rFonts w:cs="Times New Roman"/>
                          <w:sz w:val="30"/>
                          <w:szCs w:val="30"/>
                          <w:lang w:val="es-ES"/>
                        </w:rPr>
                      </w:pPr>
                      <w:r w:rsidRPr="00434BCD">
                        <w:rPr>
                          <w:rFonts w:cs="Times New Roman"/>
                          <w:sz w:val="30"/>
                          <w:szCs w:val="30"/>
                          <w:lang w:val="es-ES"/>
                        </w:rPr>
                        <w:t>Hoveddel</w:t>
                      </w:r>
                    </w:p>
                  </w:txbxContent>
                </v:textbox>
                <w10:anchorlock/>
              </v:shape>
            </w:pict>
          </mc:Fallback>
        </mc:AlternateContent>
      </w:r>
      <w:r>
        <w:rPr>
          <w:noProof/>
          <w:lang w:eastAsia="ko-KR"/>
        </w:rPr>
        <mc:AlternateContent>
          <mc:Choice Requires="wps">
            <w:drawing>
              <wp:anchor distT="45720" distB="45720" distL="114300" distR="114300" simplePos="0" relativeHeight="251662336" behindDoc="0" locked="1" layoutInCell="1" allowOverlap="1" wp14:anchorId="1E2480E8" wp14:editId="1B09951A">
                <wp:simplePos x="0" y="0"/>
                <wp:positionH relativeFrom="column">
                  <wp:posOffset>1116965</wp:posOffset>
                </wp:positionH>
                <wp:positionV relativeFrom="paragraph">
                  <wp:posOffset>2873375</wp:posOffset>
                </wp:positionV>
                <wp:extent cx="1052195" cy="551815"/>
                <wp:effectExtent l="0" t="0" r="0" b="0"/>
                <wp:wrapNone/>
                <wp:docPr id="1591557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551815"/>
                        </a:xfrm>
                        <a:prstGeom prst="rect">
                          <a:avLst/>
                        </a:prstGeom>
                        <a:noFill/>
                        <a:ln w="9525">
                          <a:noFill/>
                          <a:miter lim="800000"/>
                          <a:headEnd/>
                          <a:tailEnd/>
                        </a:ln>
                      </wps:spPr>
                      <wps:txbx>
                        <w:txbxContent>
                          <w:p w14:paraId="6513CEFB" w14:textId="3033E3B7" w:rsidR="003B558D" w:rsidRPr="00434BCD" w:rsidRDefault="00F862D9" w:rsidP="00434BCD">
                            <w:pPr>
                              <w:jc w:val="center"/>
                              <w:rPr>
                                <w:rFonts w:cs="Times New Roman"/>
                                <w:sz w:val="30"/>
                                <w:szCs w:val="30"/>
                                <w:lang w:val="es-ES"/>
                              </w:rPr>
                            </w:pPr>
                            <w:r w:rsidRPr="00434BCD">
                              <w:rPr>
                                <w:rFonts w:cs="Times New Roman"/>
                                <w:sz w:val="30"/>
                                <w:szCs w:val="30"/>
                                <w:lang w:val="es-ES"/>
                              </w:rPr>
                              <w:t>Vindu</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480E8" id="Text Box 45" o:spid="_x0000_s1057" type="#_x0000_t202" style="position:absolute;margin-left:87.95pt;margin-top:226.25pt;width:82.85pt;height:43.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" filled="f" stroked="f">
                <v:textbox inset="0,0,0,0">
                  <w:txbxContent>
                    <w:p w14:paraId="6513CEFB" w14:textId="3033E3B7" w:rsidR="003B558D" w:rsidRPr="00434BCD" w:rsidRDefault="00F862D9" w:rsidP="00434BCD">
                      <w:pPr>
                        <w:jc w:val="center"/>
                        <w:rPr>
                          <w:rFonts w:cs="Times New Roman"/>
                          <w:sz w:val="30"/>
                          <w:szCs w:val="30"/>
                          <w:lang w:val="es-ES"/>
                        </w:rPr>
                      </w:pPr>
                      <w:r w:rsidRPr="00434BCD">
                        <w:rPr>
                          <w:rFonts w:cs="Times New Roman"/>
                          <w:sz w:val="30"/>
                          <w:szCs w:val="30"/>
                          <w:lang w:val="es-ES"/>
                        </w:rPr>
                        <w:t>Vindu</w:t>
                      </w:r>
                    </w:p>
                  </w:txbxContent>
                </v:textbox>
                <w10:anchorlock/>
              </v:shape>
            </w:pict>
          </mc:Fallback>
        </mc:AlternateContent>
      </w:r>
      <w:r>
        <w:rPr>
          <w:noProof/>
          <w:lang w:eastAsia="ko-KR"/>
        </w:rPr>
        <mc:AlternateContent>
          <mc:Choice Requires="wps">
            <w:drawing>
              <wp:anchor distT="45720" distB="45720" distL="114300" distR="114300" simplePos="0" relativeHeight="251663360" behindDoc="0" locked="1" layoutInCell="1" allowOverlap="1" wp14:anchorId="79D4CFD2" wp14:editId="31E0AFFB">
                <wp:simplePos x="0" y="0"/>
                <wp:positionH relativeFrom="column">
                  <wp:posOffset>1202055</wp:posOffset>
                </wp:positionH>
                <wp:positionV relativeFrom="paragraph">
                  <wp:posOffset>3883660</wp:posOffset>
                </wp:positionV>
                <wp:extent cx="948690" cy="1233170"/>
                <wp:effectExtent l="0" t="0" r="0" b="0"/>
                <wp:wrapNone/>
                <wp:docPr id="53183219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1233170"/>
                        </a:xfrm>
                        <a:prstGeom prst="rect">
                          <a:avLst/>
                        </a:prstGeom>
                        <a:noFill/>
                        <a:ln w="9525">
                          <a:noFill/>
                          <a:miter lim="800000"/>
                          <a:headEnd/>
                          <a:tailEnd/>
                        </a:ln>
                      </wps:spPr>
                      <wps:txbx>
                        <w:txbxContent>
                          <w:p w14:paraId="33567DD8" w14:textId="08CCDE4D" w:rsidR="003B558D" w:rsidRPr="00434BCD" w:rsidRDefault="00217436" w:rsidP="00434BCD">
                            <w:pPr>
                              <w:jc w:val="center"/>
                              <w:rPr>
                                <w:rFonts w:cs="Times New Roman"/>
                                <w:sz w:val="30"/>
                                <w:szCs w:val="30"/>
                                <w:lang w:val="es-ES"/>
                              </w:rPr>
                            </w:pPr>
                            <w:r w:rsidRPr="00217436">
                              <w:rPr>
                                <w:rFonts w:cs="Times New Roman"/>
                                <w:sz w:val="30"/>
                                <w:szCs w:val="30"/>
                                <w:lang w:val="es-ES"/>
                              </w:rPr>
                              <w:t>Blått nåledeksel (nål inni)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4CFD2" id="Text Box 43" o:spid="_x0000_s1058" type="#_x0000_t202" style="position:absolute;margin-left:94.65pt;margin-top:305.8pt;width:74.7pt;height:97.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" filled="f" stroked="f">
                <v:textbox inset="0,0,0,0">
                  <w:txbxContent>
                    <w:p w14:paraId="33567DD8" w14:textId="08CCDE4D" w:rsidR="003B558D" w:rsidRPr="00434BCD" w:rsidRDefault="00217436" w:rsidP="00434BCD">
                      <w:pPr>
                        <w:jc w:val="center"/>
                        <w:rPr>
                          <w:rFonts w:cs="Times New Roman"/>
                          <w:sz w:val="30"/>
                          <w:szCs w:val="30"/>
                          <w:lang w:val="es-ES"/>
                        </w:rPr>
                      </w:pPr>
                      <w:r w:rsidRPr="00217436">
                        <w:rPr>
                          <w:rFonts w:cs="Times New Roman"/>
                          <w:sz w:val="30"/>
                          <w:szCs w:val="30"/>
                          <w:lang w:val="es-ES"/>
                        </w:rPr>
                        <w:t>Blått nåledeksel (nål inni)</w:t>
                      </w:r>
                    </w:p>
                  </w:txbxContent>
                </v:textbox>
                <w10:anchorlock/>
              </v:shape>
            </w:pict>
          </mc:Fallback>
        </mc:AlternateContent>
      </w:r>
      <w:r>
        <w:rPr>
          <w:noProof/>
          <w:lang w:eastAsia="ko-KR"/>
        </w:rPr>
        <mc:AlternateContent>
          <mc:Choice Requires="wps">
            <w:drawing>
              <wp:anchor distT="45720" distB="45720" distL="114300" distR="114300" simplePos="0" relativeHeight="251664384" behindDoc="0" locked="1" layoutInCell="1" allowOverlap="1" wp14:anchorId="3F490AA5" wp14:editId="5B12AC1A">
                <wp:simplePos x="0" y="0"/>
                <wp:positionH relativeFrom="column">
                  <wp:posOffset>1310640</wp:posOffset>
                </wp:positionH>
                <wp:positionV relativeFrom="paragraph">
                  <wp:posOffset>5137785</wp:posOffset>
                </wp:positionV>
                <wp:extent cx="715645" cy="492760"/>
                <wp:effectExtent l="0" t="0" r="0" b="0"/>
                <wp:wrapNone/>
                <wp:docPr id="48960850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492760"/>
                        </a:xfrm>
                        <a:prstGeom prst="rect">
                          <a:avLst/>
                        </a:prstGeom>
                        <a:noFill/>
                        <a:ln>
                          <a:noFill/>
                        </a:ln>
                      </wps:spPr>
                      <wps:txbx>
                        <w:txbxContent>
                          <w:p w14:paraId="55F60819" w14:textId="786028A7" w:rsidR="003B558D" w:rsidRPr="00434BCD" w:rsidRDefault="00F862D9" w:rsidP="00434BCD">
                            <w:pPr>
                              <w:jc w:val="center"/>
                              <w:rPr>
                                <w:rFonts w:cs="Times New Roman"/>
                                <w:sz w:val="30"/>
                                <w:szCs w:val="30"/>
                                <w:lang w:val="es-ES"/>
                              </w:rPr>
                            </w:pPr>
                            <w:r w:rsidRPr="00434BCD">
                              <w:rPr>
                                <w:rFonts w:cs="Times New Roman"/>
                                <w:sz w:val="30"/>
                                <w:szCs w:val="30"/>
                                <w:lang w:val="es-ES"/>
                              </w:rPr>
                              <w:t>Oransje hette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90AA5" id="Text Box 41" o:spid="_x0000_s1059" type="#_x0000_t202" style="position:absolute;margin-left:103.2pt;margin-top:404.55pt;width:56.35pt;height:38.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" filled="f" stroked="f">
                <v:textbox inset="0,0,0,0">
                  <w:txbxContent>
                    <w:p w14:paraId="55F60819" w14:textId="786028A7" w:rsidR="003B558D" w:rsidRPr="00434BCD" w:rsidRDefault="00F862D9" w:rsidP="00434BCD">
                      <w:pPr>
                        <w:jc w:val="center"/>
                        <w:rPr>
                          <w:rFonts w:cs="Times New Roman"/>
                          <w:sz w:val="30"/>
                          <w:szCs w:val="30"/>
                          <w:lang w:val="es-ES"/>
                        </w:rPr>
                      </w:pPr>
                      <w:r w:rsidRPr="00434BCD">
                        <w:rPr>
                          <w:rFonts w:cs="Times New Roman"/>
                          <w:sz w:val="30"/>
                          <w:szCs w:val="30"/>
                          <w:lang w:val="es-ES"/>
                        </w:rPr>
                        <w:t>Oransje hette</w:t>
                      </w:r>
                    </w:p>
                  </w:txbxContent>
                </v:textbox>
                <w10:anchorlock/>
              </v:shape>
            </w:pict>
          </mc:Fallback>
        </mc:AlternateContent>
      </w:r>
      <w:r>
        <w:rPr>
          <w:noProof/>
          <w:lang w:eastAsia="ko-KR"/>
        </w:rPr>
        <mc:AlternateContent>
          <mc:Choice Requires="wps">
            <w:drawing>
              <wp:anchor distT="45720" distB="45720" distL="114300" distR="114300" simplePos="0" relativeHeight="251665408" behindDoc="0" locked="1" layoutInCell="1" allowOverlap="1" wp14:anchorId="2C177578" wp14:editId="7834B8C3">
                <wp:simplePos x="0" y="0"/>
                <wp:positionH relativeFrom="column">
                  <wp:posOffset>2981325</wp:posOffset>
                </wp:positionH>
                <wp:positionV relativeFrom="paragraph">
                  <wp:posOffset>1586230</wp:posOffset>
                </wp:positionV>
                <wp:extent cx="1052195" cy="551815"/>
                <wp:effectExtent l="0" t="0" r="0" b="0"/>
                <wp:wrapNone/>
                <wp:docPr id="116029868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551815"/>
                        </a:xfrm>
                        <a:prstGeom prst="rect">
                          <a:avLst/>
                        </a:prstGeom>
                        <a:noFill/>
                        <a:ln w="9525">
                          <a:noFill/>
                          <a:miter lim="800000"/>
                          <a:headEnd/>
                          <a:tailEnd/>
                        </a:ln>
                      </wps:spPr>
                      <wps:txbx>
                        <w:txbxContent>
                          <w:p w14:paraId="7AC0FB25" w14:textId="2B490603" w:rsidR="003B558D" w:rsidRPr="00434BCD" w:rsidRDefault="00F862D9" w:rsidP="00434BCD">
                            <w:pPr>
                              <w:jc w:val="center"/>
                              <w:rPr>
                                <w:rFonts w:cs="Times New Roman"/>
                                <w:sz w:val="30"/>
                                <w:szCs w:val="30"/>
                                <w:lang w:val="es-ES"/>
                              </w:rPr>
                            </w:pPr>
                            <w:r w:rsidRPr="00434BCD">
                              <w:rPr>
                                <w:rFonts w:cs="Times New Roman"/>
                                <w:sz w:val="30"/>
                                <w:szCs w:val="30"/>
                                <w:lang w:val="es-ES"/>
                              </w:rPr>
                              <w:t>Utløpsdato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77578" id="Text Box 39" o:spid="_x0000_s1060" type="#_x0000_t202" style="position:absolute;margin-left:234.75pt;margin-top:124.9pt;width:82.85pt;height:4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" filled="f" stroked="f">
                <v:textbox inset="0,0,0,0">
                  <w:txbxContent>
                    <w:p w14:paraId="7AC0FB25" w14:textId="2B490603" w:rsidR="003B558D" w:rsidRPr="00434BCD" w:rsidRDefault="00F862D9" w:rsidP="00434BCD">
                      <w:pPr>
                        <w:jc w:val="center"/>
                        <w:rPr>
                          <w:rFonts w:cs="Times New Roman"/>
                          <w:sz w:val="30"/>
                          <w:szCs w:val="30"/>
                          <w:lang w:val="es-ES"/>
                        </w:rPr>
                      </w:pPr>
                      <w:r w:rsidRPr="00434BCD">
                        <w:rPr>
                          <w:rFonts w:cs="Times New Roman"/>
                          <w:sz w:val="30"/>
                          <w:szCs w:val="30"/>
                          <w:lang w:val="es-ES"/>
                        </w:rPr>
                        <w:t>Utløpsdato</w:t>
                      </w:r>
                    </w:p>
                  </w:txbxContent>
                </v:textbox>
                <w10:anchorlock/>
              </v:shape>
            </w:pict>
          </mc:Fallback>
        </mc:AlternateContent>
      </w:r>
      <w:r>
        <w:rPr>
          <w:noProof/>
          <w:lang w:eastAsia="ko-KR"/>
        </w:rPr>
        <mc:AlternateContent>
          <mc:Choice Requires="wps">
            <w:drawing>
              <wp:anchor distT="45720" distB="45720" distL="114300" distR="114300" simplePos="0" relativeHeight="251666432" behindDoc="0" locked="1" layoutInCell="1" allowOverlap="1" wp14:anchorId="69333F9E" wp14:editId="1CF1727C">
                <wp:simplePos x="0" y="0"/>
                <wp:positionH relativeFrom="column">
                  <wp:posOffset>3067685</wp:posOffset>
                </wp:positionH>
                <wp:positionV relativeFrom="paragraph">
                  <wp:posOffset>2703195</wp:posOffset>
                </wp:positionV>
                <wp:extent cx="1578610" cy="819150"/>
                <wp:effectExtent l="0" t="0" r="0" b="0"/>
                <wp:wrapNone/>
                <wp:docPr id="177068966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819150"/>
                        </a:xfrm>
                        <a:prstGeom prst="rect">
                          <a:avLst/>
                        </a:prstGeom>
                        <a:noFill/>
                        <a:ln w="9525">
                          <a:noFill/>
                          <a:miter lim="800000"/>
                          <a:headEnd/>
                          <a:tailEnd/>
                        </a:ln>
                      </wps:spPr>
                      <wps:txbx>
                        <w:txbxContent>
                          <w:p w14:paraId="4DDFFCA7" w14:textId="3232A6AE" w:rsidR="003B558D" w:rsidRPr="00434BCD" w:rsidRDefault="00F862D9" w:rsidP="00434BCD">
                            <w:pPr>
                              <w:jc w:val="center"/>
                              <w:rPr>
                                <w:rFonts w:cs="Times New Roman"/>
                                <w:b/>
                                <w:sz w:val="30"/>
                                <w:szCs w:val="30"/>
                                <w:lang w:val="es-ES"/>
                              </w:rPr>
                            </w:pPr>
                            <w:r w:rsidRPr="00434BCD">
                              <w:rPr>
                                <w:rFonts w:cs="Times New Roman"/>
                                <w:sz w:val="30"/>
                                <w:szCs w:val="30"/>
                                <w:lang w:val="es-ES"/>
                              </w:rPr>
                              <w:t xml:space="preserve">Oransje indikator </w:t>
                            </w:r>
                            <w:r w:rsidRPr="00434BCD">
                              <w:rPr>
                                <w:rFonts w:cs="Times New Roman"/>
                                <w:b/>
                                <w:sz w:val="30"/>
                                <w:szCs w:val="30"/>
                                <w:lang w:val="es-ES"/>
                              </w:rPr>
                              <w:t>“injeksjon fullført”</w:t>
                            </w:r>
                          </w:p>
                          <w:p w14:paraId="24EC7161" w14:textId="77777777" w:rsidR="003B558D" w:rsidRPr="00434BCD" w:rsidRDefault="003B558D" w:rsidP="00434BCD">
                            <w:pPr>
                              <w:jc w:val="center"/>
                              <w:rPr>
                                <w:rFonts w:cs="Times New Roman"/>
                                <w:b/>
                                <w:sz w:val="30"/>
                                <w:szCs w:val="30"/>
                                <w:lang w:val="es-E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333F9E" id="Text Box 37" o:spid="_x0000_s1061" type="#_x0000_t202" style="position:absolute;margin-left:241.55pt;margin-top:212.85pt;width:124.3pt;height:6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" filled="f" stroked="f">
                <v:textbox inset="0,0,0,0">
                  <w:txbxContent>
                    <w:p w14:paraId="4DDFFCA7" w14:textId="3232A6AE" w:rsidR="003B558D" w:rsidRPr="00434BCD" w:rsidRDefault="00F862D9" w:rsidP="00434BCD">
                      <w:pPr>
                        <w:jc w:val="center"/>
                        <w:rPr>
                          <w:rFonts w:cs="Times New Roman"/>
                          <w:b/>
                          <w:sz w:val="30"/>
                          <w:szCs w:val="30"/>
                          <w:lang w:val="es-ES"/>
                        </w:rPr>
                      </w:pPr>
                      <w:r w:rsidRPr="00434BCD">
                        <w:rPr>
                          <w:rFonts w:cs="Times New Roman"/>
                          <w:sz w:val="30"/>
                          <w:szCs w:val="30"/>
                          <w:lang w:val="es-ES"/>
                        </w:rPr>
                        <w:t xml:space="preserve">Oransje indikator </w:t>
                      </w:r>
                      <w:r w:rsidRPr="00434BCD">
                        <w:rPr>
                          <w:rFonts w:cs="Times New Roman"/>
                          <w:b/>
                          <w:sz w:val="30"/>
                          <w:szCs w:val="30"/>
                          <w:lang w:val="es-ES"/>
                        </w:rPr>
                        <w:t>“injeksjon fullført”</w:t>
                      </w:r>
                    </w:p>
                    <w:p w14:paraId="24EC7161" w14:textId="77777777" w:rsidR="003B558D" w:rsidRPr="00434BCD" w:rsidRDefault="003B558D" w:rsidP="00434BCD">
                      <w:pPr>
                        <w:jc w:val="center"/>
                        <w:rPr>
                          <w:rFonts w:cs="Times New Roman"/>
                          <w:b/>
                          <w:sz w:val="30"/>
                          <w:szCs w:val="30"/>
                          <w:lang w:val="es-ES"/>
                        </w:rPr>
                      </w:pPr>
                    </w:p>
                  </w:txbxContent>
                </v:textbox>
                <w10:anchorlock/>
              </v:shape>
            </w:pict>
          </mc:Fallback>
        </mc:AlternateContent>
      </w:r>
      <w:r>
        <w:rPr>
          <w:noProof/>
          <w:lang w:eastAsia="ko-KR"/>
        </w:rPr>
        <mc:AlternateContent>
          <mc:Choice Requires="wps">
            <w:drawing>
              <wp:anchor distT="45720" distB="45720" distL="114300" distR="114300" simplePos="0" relativeHeight="251667456" behindDoc="0" locked="1" layoutInCell="1" allowOverlap="1" wp14:anchorId="3D7594C5" wp14:editId="4BB6C4F3">
                <wp:simplePos x="0" y="0"/>
                <wp:positionH relativeFrom="column">
                  <wp:posOffset>3218180</wp:posOffset>
                </wp:positionH>
                <wp:positionV relativeFrom="paragraph">
                  <wp:posOffset>3879215</wp:posOffset>
                </wp:positionV>
                <wp:extent cx="1228725" cy="1233170"/>
                <wp:effectExtent l="0" t="0" r="0" b="0"/>
                <wp:wrapNone/>
                <wp:docPr id="166207540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233170"/>
                        </a:xfrm>
                        <a:prstGeom prst="rect">
                          <a:avLst/>
                        </a:prstGeom>
                        <a:noFill/>
                        <a:ln w="9525">
                          <a:noFill/>
                          <a:miter lim="800000"/>
                          <a:headEnd/>
                          <a:tailEnd/>
                        </a:ln>
                      </wps:spPr>
                      <wps:txbx>
                        <w:txbxContent>
                          <w:p w14:paraId="1DB21A7A" w14:textId="7D964473" w:rsidR="00217436" w:rsidRPr="00217436" w:rsidRDefault="00217436" w:rsidP="00217436">
                            <w:pPr>
                              <w:jc w:val="center"/>
                              <w:rPr>
                                <w:rFonts w:cs="Times New Roman"/>
                                <w:sz w:val="30"/>
                                <w:szCs w:val="30"/>
                                <w:lang w:val="es-ES"/>
                              </w:rPr>
                            </w:pPr>
                            <w:r w:rsidRPr="00217436">
                              <w:rPr>
                                <w:rFonts w:cs="Times New Roman"/>
                                <w:sz w:val="30"/>
                                <w:szCs w:val="30"/>
                                <w:lang w:val="es-ES"/>
                              </w:rPr>
                              <w:t>Blått nåledeksel (låst med nål inni)</w:t>
                            </w:r>
                          </w:p>
                          <w:p w14:paraId="21174752" w14:textId="54AE82ED" w:rsidR="003B558D" w:rsidRPr="00434BCD" w:rsidRDefault="003B558D" w:rsidP="00434BCD">
                            <w:pPr>
                              <w:jc w:val="center"/>
                              <w:rPr>
                                <w:rFonts w:cs="Times New Roman"/>
                                <w:sz w:val="30"/>
                                <w:szCs w:val="30"/>
                                <w:lang w:val="es-E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594C5" id="Text Box 35" o:spid="_x0000_s1062" type="#_x0000_t202" style="position:absolute;margin-left:253.4pt;margin-top:305.45pt;width:96.75pt;height:97.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" filled="f" stroked="f">
                <v:textbox inset="0,0,0,0">
                  <w:txbxContent>
                    <w:p w14:paraId="1DB21A7A" w14:textId="7D964473" w:rsidR="00217436" w:rsidRPr="00217436" w:rsidRDefault="00217436" w:rsidP="00217436">
                      <w:pPr>
                        <w:jc w:val="center"/>
                        <w:rPr>
                          <w:rFonts w:cs="Times New Roman"/>
                          <w:sz w:val="30"/>
                          <w:szCs w:val="30"/>
                          <w:lang w:val="es-ES"/>
                        </w:rPr>
                      </w:pPr>
                      <w:r w:rsidRPr="00217436">
                        <w:rPr>
                          <w:rFonts w:cs="Times New Roman"/>
                          <w:sz w:val="30"/>
                          <w:szCs w:val="30"/>
                          <w:lang w:val="es-ES"/>
                        </w:rPr>
                        <w:t>Blått nåledeksel (låst med nål inni)</w:t>
                      </w:r>
                    </w:p>
                    <w:p w14:paraId="21174752" w14:textId="54AE82ED" w:rsidR="003B558D" w:rsidRPr="00434BCD" w:rsidRDefault="003B558D" w:rsidP="00434BCD">
                      <w:pPr>
                        <w:jc w:val="center"/>
                        <w:rPr>
                          <w:rFonts w:cs="Times New Roman"/>
                          <w:sz w:val="30"/>
                          <w:szCs w:val="30"/>
                          <w:lang w:val="es-ES"/>
                        </w:rPr>
                      </w:pPr>
                    </w:p>
                  </w:txbxContent>
                </v:textbox>
                <w10:anchorlock/>
              </v:shape>
            </w:pict>
          </mc:Fallback>
        </mc:AlternateContent>
      </w:r>
    </w:p>
    <w:p w14:paraId="1BDEE141" w14:textId="68DD383C" w:rsidR="00EA08FF" w:rsidRPr="00A942F6" w:rsidRDefault="00D94A8B" w:rsidP="00434BCD">
      <w:pPr>
        <w:ind w:left="316"/>
        <w:rPr>
          <w:lang w:val="nb-NO"/>
        </w:rPr>
      </w:pPr>
      <w:r>
        <w:rPr>
          <w:noProof/>
          <w:sz w:val="20"/>
          <w:lang w:eastAsia="ko-KR"/>
        </w:rPr>
        <w:drawing>
          <wp:inline distT="0" distB="0" distL="0" distR="0" wp14:anchorId="50F30616" wp14:editId="0F37C069">
            <wp:extent cx="5462270" cy="5474335"/>
            <wp:effectExtent l="0" t="0" r="0" b="0"/>
            <wp:docPr id="21" name="Bilde 3"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텍스트, 스크린샷, 도표, 디자인이(가) 표시된 사진&#10;&#10;자동 생성된 설명"/>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62270" cy="5474335"/>
                    </a:xfrm>
                    <a:prstGeom prst="rect">
                      <a:avLst/>
                    </a:prstGeom>
                    <a:noFill/>
                    <a:ln>
                      <a:noFill/>
                    </a:ln>
                  </pic:spPr>
                </pic:pic>
              </a:graphicData>
            </a:graphic>
          </wp:inline>
        </w:drawing>
      </w:r>
    </w:p>
    <w:p w14:paraId="50744B03" w14:textId="77777777" w:rsidR="00EA08FF" w:rsidRPr="00A942F6" w:rsidRDefault="00EA08FF" w:rsidP="001931C0">
      <w:pPr>
        <w:jc w:val="center"/>
        <w:rPr>
          <w:b/>
          <w:bCs/>
          <w:lang w:val="nb-NO"/>
        </w:rPr>
      </w:pPr>
      <w:r w:rsidRPr="00A942F6">
        <w:rPr>
          <w:b/>
          <w:lang w:val="nb-NO"/>
        </w:rPr>
        <w:t>Figur A</w:t>
      </w:r>
    </w:p>
    <w:p w14:paraId="636861BA" w14:textId="590BEDBA" w:rsidR="00EA08FF" w:rsidRPr="00A942F6" w:rsidRDefault="00EA08FF" w:rsidP="00434BCD">
      <w:pPr>
        <w:rPr>
          <w:b/>
          <w:bCs/>
          <w:lang w:val="nb-NO"/>
        </w:rPr>
      </w:pPr>
      <w:r w:rsidRPr="00A942F6">
        <w:rPr>
          <w:lang w:val="nb-NO"/>
        </w:rPr>
        <w:br w:type="page"/>
      </w:r>
      <w:r w:rsidRPr="00A942F6">
        <w:rPr>
          <w:b/>
          <w:lang w:val="nb-NO"/>
        </w:rPr>
        <w:lastRenderedPageBreak/>
        <w:t xml:space="preserve">Forberedelser til injeksjon </w:t>
      </w:r>
    </w:p>
    <w:p w14:paraId="367A0851" w14:textId="77777777" w:rsidR="00EA08FF" w:rsidRPr="00A942F6" w:rsidRDefault="00EA08FF" w:rsidP="00EA08FF">
      <w:pPr>
        <w:keepNext/>
        <w:rPr>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1F0013" w:rsidRPr="00A942F6" w14:paraId="22DAA623" w14:textId="77777777">
        <w:trPr>
          <w:cantSplit/>
        </w:trPr>
        <w:tc>
          <w:tcPr>
            <w:tcW w:w="3539" w:type="dxa"/>
          </w:tcPr>
          <w:p w14:paraId="029DECE9" w14:textId="5EDAE791" w:rsidR="00EA08FF" w:rsidRPr="00BD4D94" w:rsidRDefault="00552215" w:rsidP="00552215">
            <w:pPr>
              <w:widowControl w:val="0"/>
              <w:suppressAutoHyphens/>
              <w:jc w:val="right"/>
              <w:rPr>
                <w:rFonts w:eastAsia="새굴림" w:cs="새굴림"/>
                <w:b/>
                <w:noProof/>
                <w:lang w:eastAsia="ko-KR"/>
              </w:rPr>
            </w:pPr>
            <w:bookmarkStart w:id="45" w:name="_Hlk197597805"/>
            <w:r w:rsidRPr="00552215">
              <w:rPr>
                <w:rFonts w:eastAsia="새굴림" w:cs="새굴림"/>
                <w:b/>
                <w:noProof/>
                <w:lang w:eastAsia="ko-KR"/>
              </w:rPr>
              <w:drawing>
                <wp:inline distT="0" distB="0" distL="0" distR="0" wp14:anchorId="3C0B7334" wp14:editId="53CD3425">
                  <wp:extent cx="2110105" cy="2714625"/>
                  <wp:effectExtent l="0" t="0" r="4445" b="9525"/>
                  <wp:docPr id="2029927617" name="그림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10105" cy="2714625"/>
                          </a:xfrm>
                          <a:prstGeom prst="rect">
                            <a:avLst/>
                          </a:prstGeom>
                          <a:noFill/>
                          <a:ln>
                            <a:noFill/>
                          </a:ln>
                        </pic:spPr>
                      </pic:pic>
                    </a:graphicData>
                  </a:graphic>
                </wp:inline>
              </w:drawing>
            </w:r>
          </w:p>
          <w:p w14:paraId="7F96662E" w14:textId="6E7C0760"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68480" behindDoc="0" locked="1" layoutInCell="1" allowOverlap="1" wp14:anchorId="0112BA01" wp14:editId="6B13B7B8">
                      <wp:simplePos x="0" y="0"/>
                      <wp:positionH relativeFrom="column">
                        <wp:posOffset>1313815</wp:posOffset>
                      </wp:positionH>
                      <wp:positionV relativeFrom="page">
                        <wp:posOffset>699770</wp:posOffset>
                      </wp:positionV>
                      <wp:extent cx="711835" cy="564515"/>
                      <wp:effectExtent l="0" t="0" r="0" b="0"/>
                      <wp:wrapNone/>
                      <wp:docPr id="10332856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564515"/>
                              </a:xfrm>
                              <a:prstGeom prst="rect">
                                <a:avLst/>
                              </a:prstGeom>
                              <a:noFill/>
                              <a:ln>
                                <a:noFill/>
                              </a:ln>
                            </wps:spPr>
                            <wps:txbx>
                              <w:txbxContent>
                                <w:p w14:paraId="78CC1A12" w14:textId="2908DF0E" w:rsidR="003B558D" w:rsidRPr="00434BCD" w:rsidRDefault="00AA514F" w:rsidP="00434BCD">
                                  <w:pPr>
                                    <w:jc w:val="center"/>
                                    <w:rPr>
                                      <w:rFonts w:cs="Times New Roman"/>
                                      <w:color w:val="595959"/>
                                      <w:sz w:val="20"/>
                                      <w:szCs w:val="20"/>
                                    </w:rPr>
                                  </w:pPr>
                                  <w:r w:rsidRPr="00434BCD">
                                    <w:rPr>
                                      <w:rFonts w:cs="Times New Roman"/>
                                      <w:color w:val="595959"/>
                                      <w:sz w:val="20"/>
                                      <w:szCs w:val="20"/>
                                    </w:rPr>
                                    <w:t>Bomullsdott/gasbind og spritserviett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12BA01" id="Text Box 33" o:spid="_x0000_s1063" type="#_x0000_t202" style="position:absolute;left:0;text-align:left;margin-left:103.45pt;margin-top:55.1pt;width:56.05pt;height:44.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" filled="f" stroked="f">
                      <v:textbox inset="0,0,0,0">
                        <w:txbxContent>
                          <w:p w14:paraId="78CC1A12" w14:textId="2908DF0E" w:rsidR="003B558D" w:rsidRPr="00434BCD" w:rsidRDefault="00AA514F" w:rsidP="00434BCD">
                            <w:pPr>
                              <w:jc w:val="center"/>
                              <w:rPr>
                                <w:rFonts w:cs="Times New Roman"/>
                                <w:color w:val="595959"/>
                                <w:sz w:val="20"/>
                                <w:szCs w:val="20"/>
                              </w:rPr>
                            </w:pPr>
                            <w:r w:rsidRPr="00434BCD">
                              <w:rPr>
                                <w:rFonts w:cs="Times New Roman"/>
                                <w:color w:val="595959"/>
                                <w:sz w:val="20"/>
                                <w:szCs w:val="20"/>
                              </w:rPr>
                              <w:t>Bomullsdott/gasbind og spritserviett</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69504" behindDoc="0" locked="1" layoutInCell="1" allowOverlap="1" wp14:anchorId="01FF9C43" wp14:editId="41B4CCC6">
                      <wp:simplePos x="0" y="0"/>
                      <wp:positionH relativeFrom="column">
                        <wp:posOffset>1001395</wp:posOffset>
                      </wp:positionH>
                      <wp:positionV relativeFrom="page">
                        <wp:posOffset>2025015</wp:posOffset>
                      </wp:positionV>
                      <wp:extent cx="1011555" cy="564515"/>
                      <wp:effectExtent l="0" t="0" r="0" b="0"/>
                      <wp:wrapNone/>
                      <wp:docPr id="10513297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564515"/>
                              </a:xfrm>
                              <a:prstGeom prst="rect">
                                <a:avLst/>
                              </a:prstGeom>
                              <a:noFill/>
                              <a:ln>
                                <a:noFill/>
                              </a:ln>
                            </wps:spPr>
                            <wps:txbx>
                              <w:txbxContent>
                                <w:p w14:paraId="3BD4CB8E" w14:textId="7E750EE4" w:rsidR="003B558D" w:rsidRPr="00434BCD" w:rsidRDefault="00AA514F" w:rsidP="00434BCD">
                                  <w:pPr>
                                    <w:jc w:val="center"/>
                                    <w:rPr>
                                      <w:rFonts w:cs="Times New Roman"/>
                                      <w:color w:val="595959"/>
                                      <w:sz w:val="20"/>
                                      <w:szCs w:val="20"/>
                                    </w:rPr>
                                  </w:pPr>
                                  <w:r w:rsidRPr="00434BCD">
                                    <w:rPr>
                                      <w:rFonts w:cs="Times New Roman"/>
                                      <w:color w:val="595959"/>
                                      <w:sz w:val="20"/>
                                      <w:szCs w:val="20"/>
                                    </w:rPr>
                                    <w:t>Beholder for skarpe gjenstander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FF9C43" id="Text Box 31" o:spid="_x0000_s1064" type="#_x0000_t202" style="position:absolute;left:0;text-align:left;margin-left:78.85pt;margin-top:159.45pt;width:79.65pt;height:44.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" filled="f" stroked="f">
                      <v:textbox inset="0,0,0,0">
                        <w:txbxContent>
                          <w:p w14:paraId="3BD4CB8E" w14:textId="7E750EE4" w:rsidR="003B558D" w:rsidRPr="00434BCD" w:rsidRDefault="00AA514F" w:rsidP="00434BCD">
                            <w:pPr>
                              <w:jc w:val="center"/>
                              <w:rPr>
                                <w:rFonts w:cs="Times New Roman"/>
                                <w:color w:val="595959"/>
                                <w:sz w:val="20"/>
                                <w:szCs w:val="20"/>
                              </w:rPr>
                            </w:pPr>
                            <w:r w:rsidRPr="00434BCD">
                              <w:rPr>
                                <w:rFonts w:cs="Times New Roman"/>
                                <w:color w:val="595959"/>
                                <w:sz w:val="20"/>
                                <w:szCs w:val="20"/>
                              </w:rPr>
                              <w:t>Beholder for skarpe gjenstander</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70528" behindDoc="0" locked="1" layoutInCell="1" allowOverlap="1" wp14:anchorId="6846FB50" wp14:editId="718D3622">
                      <wp:simplePos x="0" y="0"/>
                      <wp:positionH relativeFrom="column">
                        <wp:posOffset>-4445</wp:posOffset>
                      </wp:positionH>
                      <wp:positionV relativeFrom="page">
                        <wp:posOffset>762000</wp:posOffset>
                      </wp:positionV>
                      <wp:extent cx="1186815" cy="564515"/>
                      <wp:effectExtent l="0" t="0" r="0" b="0"/>
                      <wp:wrapNone/>
                      <wp:docPr id="2197510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564515"/>
                              </a:xfrm>
                              <a:prstGeom prst="rect">
                                <a:avLst/>
                              </a:prstGeom>
                              <a:noFill/>
                              <a:ln>
                                <a:noFill/>
                              </a:ln>
                            </wps:spPr>
                            <wps:txbx>
                              <w:txbxContent>
                                <w:p w14:paraId="4F56DBFE" w14:textId="1CE6C858" w:rsidR="003B558D" w:rsidRPr="00434BCD" w:rsidRDefault="00AA514F" w:rsidP="00434BCD">
                                  <w:pPr>
                                    <w:jc w:val="center"/>
                                    <w:rPr>
                                      <w:rFonts w:cs="Times New Roman"/>
                                      <w:color w:val="595959"/>
                                      <w:sz w:val="20"/>
                                      <w:szCs w:val="20"/>
                                    </w:rPr>
                                  </w:pPr>
                                  <w:r w:rsidRPr="00434BCD">
                                    <w:rPr>
                                      <w:rFonts w:cs="Times New Roman"/>
                                      <w:color w:val="595959"/>
                                      <w:sz w:val="20"/>
                                      <w:szCs w:val="20"/>
                                    </w:rPr>
                                    <w:t>Eske med Avtozma ferdigfylt penn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6FB50" id="Text Box 29" o:spid="_x0000_s1065" type="#_x0000_t202" style="position:absolute;left:0;text-align:left;margin-left:-.35pt;margin-top:60pt;width:93.45pt;height:44.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" filled="f" stroked="f">
                      <v:textbox inset="0,0,0,0">
                        <w:txbxContent>
                          <w:p w14:paraId="4F56DBFE" w14:textId="1CE6C858" w:rsidR="003B558D" w:rsidRPr="00434BCD" w:rsidRDefault="00AA514F" w:rsidP="00434BCD">
                            <w:pPr>
                              <w:jc w:val="center"/>
                              <w:rPr>
                                <w:rFonts w:cs="Times New Roman"/>
                                <w:color w:val="595959"/>
                                <w:sz w:val="20"/>
                                <w:szCs w:val="20"/>
                              </w:rPr>
                            </w:pPr>
                            <w:r w:rsidRPr="00434BCD">
                              <w:rPr>
                                <w:rFonts w:cs="Times New Roman"/>
                                <w:color w:val="595959"/>
                                <w:sz w:val="20"/>
                                <w:szCs w:val="20"/>
                              </w:rPr>
                              <w:t>Eske med Avtozma ferdigfylt penn</w:t>
                            </w:r>
                          </w:p>
                        </w:txbxContent>
                      </v:textbox>
                      <w10:wrap anchory="page"/>
                      <w10:anchorlock/>
                    </v:shape>
                  </w:pict>
                </mc:Fallback>
              </mc:AlternateContent>
            </w:r>
            <w:r>
              <w:rPr>
                <w:noProof/>
                <w:lang w:eastAsia="ko-KR"/>
              </w:rPr>
              <mc:AlternateContent>
                <mc:Choice Requires="wps">
                  <w:drawing>
                    <wp:anchor distT="45720" distB="45720" distL="114300" distR="114300" simplePos="0" relativeHeight="251671552" behindDoc="0" locked="1" layoutInCell="1" allowOverlap="1" wp14:anchorId="6707352D" wp14:editId="77E07D90">
                      <wp:simplePos x="0" y="0"/>
                      <wp:positionH relativeFrom="column">
                        <wp:posOffset>85725</wp:posOffset>
                      </wp:positionH>
                      <wp:positionV relativeFrom="page">
                        <wp:posOffset>2024380</wp:posOffset>
                      </wp:positionV>
                      <wp:extent cx="862965" cy="564515"/>
                      <wp:effectExtent l="0" t="0" r="0" b="0"/>
                      <wp:wrapNone/>
                      <wp:docPr id="99609590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564515"/>
                              </a:xfrm>
                              <a:prstGeom prst="rect">
                                <a:avLst/>
                              </a:prstGeom>
                              <a:noFill/>
                              <a:ln>
                                <a:noFill/>
                              </a:ln>
                            </wps:spPr>
                            <wps:txbx>
                              <w:txbxContent>
                                <w:p w14:paraId="7C694B42" w14:textId="046C48F5" w:rsidR="003B558D" w:rsidRPr="00434BCD" w:rsidRDefault="00AA514F" w:rsidP="00434BCD">
                                  <w:pPr>
                                    <w:jc w:val="center"/>
                                    <w:rPr>
                                      <w:rFonts w:cs="Times New Roman"/>
                                      <w:color w:val="595959"/>
                                      <w:sz w:val="20"/>
                                      <w:szCs w:val="20"/>
                                    </w:rPr>
                                  </w:pPr>
                                  <w:r w:rsidRPr="00434BCD">
                                    <w:rPr>
                                      <w:rFonts w:cs="Times New Roman"/>
                                      <w:color w:val="595959"/>
                                      <w:sz w:val="20"/>
                                      <w:szCs w:val="20"/>
                                    </w:rPr>
                                    <w:t>Plaster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07352D" id="Text Box 27" o:spid="_x0000_s1066" type="#_x0000_t202" style="position:absolute;left:0;text-align:left;margin-left:6.75pt;margin-top:159.4pt;width:67.95pt;height:44.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" filled="f" stroked="f">
                      <v:textbox inset="0,0,0,0">
                        <w:txbxContent>
                          <w:p w14:paraId="7C694B42" w14:textId="046C48F5" w:rsidR="003B558D" w:rsidRPr="00434BCD" w:rsidRDefault="00AA514F" w:rsidP="00434BCD">
                            <w:pPr>
                              <w:jc w:val="center"/>
                              <w:rPr>
                                <w:rFonts w:cs="Times New Roman"/>
                                <w:color w:val="595959"/>
                                <w:sz w:val="20"/>
                                <w:szCs w:val="20"/>
                              </w:rPr>
                            </w:pPr>
                            <w:r w:rsidRPr="00434BCD">
                              <w:rPr>
                                <w:rFonts w:cs="Times New Roman"/>
                                <w:color w:val="595959"/>
                                <w:sz w:val="20"/>
                                <w:szCs w:val="20"/>
                              </w:rPr>
                              <w:t>Plaster</w:t>
                            </w:r>
                          </w:p>
                        </w:txbxContent>
                      </v:textbox>
                      <w10:wrap anchory="page"/>
                      <w10:anchorlock/>
                    </v:shape>
                  </w:pict>
                </mc:Fallback>
              </mc:AlternateContent>
            </w:r>
            <w:r w:rsidR="00EA08FF" w:rsidRPr="00A942F6">
              <w:rPr>
                <w:rFonts w:eastAsia="새굴림" w:cs="새굴림"/>
                <w:b/>
                <w:lang w:val="nb-NO"/>
              </w:rPr>
              <w:t>Figur B</w:t>
            </w:r>
          </w:p>
        </w:tc>
        <w:tc>
          <w:tcPr>
            <w:tcW w:w="5517" w:type="dxa"/>
          </w:tcPr>
          <w:p w14:paraId="47DAF41D"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Finn frem utstyr som skal brukes til injeksjonen.</w:t>
            </w:r>
          </w:p>
          <w:p w14:paraId="35D3E19D" w14:textId="77777777" w:rsidR="00EA08FF" w:rsidRPr="00A942F6" w:rsidRDefault="00EA08FF">
            <w:pPr>
              <w:pStyle w:val="a4"/>
              <w:ind w:left="567" w:hanging="567"/>
              <w:rPr>
                <w:b/>
                <w:lang w:val="nb-NO"/>
              </w:rPr>
            </w:pPr>
          </w:p>
          <w:p w14:paraId="1C831F27" w14:textId="77777777" w:rsidR="00EA08FF" w:rsidRPr="00A942F6" w:rsidRDefault="00EA08FF" w:rsidP="007814F8">
            <w:pPr>
              <w:pStyle w:val="a4"/>
              <w:numPr>
                <w:ilvl w:val="0"/>
                <w:numId w:val="43"/>
              </w:numPr>
              <w:autoSpaceDE/>
              <w:autoSpaceDN/>
              <w:ind w:left="567" w:hanging="567"/>
              <w:rPr>
                <w:bCs/>
                <w:lang w:val="nb-NO"/>
              </w:rPr>
            </w:pPr>
            <w:r w:rsidRPr="00A942F6">
              <w:rPr>
                <w:lang w:val="nb-NO"/>
              </w:rPr>
              <w:t>Gjør klar en ren, flat overflate, f.eks. et bord eller en benk der det er godt arbeidslys.</w:t>
            </w:r>
          </w:p>
          <w:p w14:paraId="6D4EC9D9" w14:textId="77777777" w:rsidR="00EA08FF" w:rsidRPr="00A942F6" w:rsidRDefault="00EA08FF" w:rsidP="007814F8">
            <w:pPr>
              <w:pStyle w:val="a4"/>
              <w:numPr>
                <w:ilvl w:val="0"/>
                <w:numId w:val="43"/>
              </w:numPr>
              <w:autoSpaceDE/>
              <w:autoSpaceDN/>
              <w:ind w:left="567" w:hanging="567"/>
              <w:rPr>
                <w:bCs/>
                <w:lang w:val="nb-NO"/>
              </w:rPr>
            </w:pPr>
            <w:r w:rsidRPr="00A942F6">
              <w:rPr>
                <w:lang w:val="nb-NO"/>
              </w:rPr>
              <w:t>Ta esken med den ferdigfylte pennen ut av kjøleskapet.</w:t>
            </w:r>
          </w:p>
          <w:p w14:paraId="02A269E5" w14:textId="77777777" w:rsidR="00EA08FF" w:rsidRPr="00A942F6" w:rsidRDefault="00EA08FF" w:rsidP="007814F8">
            <w:pPr>
              <w:pStyle w:val="a4"/>
              <w:numPr>
                <w:ilvl w:val="0"/>
                <w:numId w:val="43"/>
              </w:numPr>
              <w:autoSpaceDE/>
              <w:autoSpaceDN/>
              <w:ind w:left="567" w:hanging="567"/>
              <w:rPr>
                <w:bCs/>
                <w:lang w:val="nb-NO"/>
              </w:rPr>
            </w:pPr>
            <w:r w:rsidRPr="00A942F6">
              <w:rPr>
                <w:lang w:val="nb-NO"/>
              </w:rPr>
              <w:t xml:space="preserve">Kontroller at du har følgende utstyr (se </w:t>
            </w:r>
            <w:r w:rsidRPr="00A942F6">
              <w:rPr>
                <w:b/>
                <w:lang w:val="nb-NO"/>
              </w:rPr>
              <w:t>figur B</w:t>
            </w:r>
            <w:r w:rsidRPr="00A942F6">
              <w:rPr>
                <w:lang w:val="nb-NO"/>
              </w:rPr>
              <w:t>):</w:t>
            </w:r>
          </w:p>
          <w:p w14:paraId="2BC52493" w14:textId="77777777" w:rsidR="00EA08FF" w:rsidRPr="00A942F6" w:rsidRDefault="00EA08FF">
            <w:pPr>
              <w:pStyle w:val="a4"/>
              <w:ind w:left="567" w:hanging="567"/>
              <w:rPr>
                <w:lang w:val="nb-NO"/>
              </w:rPr>
            </w:pPr>
            <w:r w:rsidRPr="00A942F6">
              <w:rPr>
                <w:lang w:val="nb-NO"/>
              </w:rPr>
              <w:t>– Eske med Avtozma ferdigfylt penn</w:t>
            </w:r>
          </w:p>
          <w:p w14:paraId="4518DF97" w14:textId="77777777" w:rsidR="00EA08FF" w:rsidRPr="00A942F6" w:rsidRDefault="00EA08FF">
            <w:pPr>
              <w:pStyle w:val="a4"/>
              <w:ind w:left="567" w:hanging="567"/>
              <w:rPr>
                <w:lang w:val="nb-NO" w:eastAsia="ko-KR"/>
              </w:rPr>
            </w:pPr>
          </w:p>
          <w:p w14:paraId="66467992" w14:textId="77777777" w:rsidR="00EA08FF" w:rsidRPr="00A942F6" w:rsidRDefault="00EA08FF">
            <w:pPr>
              <w:pStyle w:val="a4"/>
              <w:ind w:left="567" w:hanging="567"/>
              <w:rPr>
                <w:b/>
                <w:lang w:val="nb-NO"/>
              </w:rPr>
            </w:pPr>
            <w:r w:rsidRPr="00A942F6">
              <w:rPr>
                <w:b/>
                <w:lang w:val="nb-NO"/>
              </w:rPr>
              <w:t>Ikke inkludert i esken:</w:t>
            </w:r>
          </w:p>
          <w:p w14:paraId="38B2CE73" w14:textId="77777777" w:rsidR="00EA08FF" w:rsidRPr="00A942F6" w:rsidRDefault="00EA08FF">
            <w:pPr>
              <w:pStyle w:val="a4"/>
              <w:ind w:left="567" w:hanging="567"/>
              <w:rPr>
                <w:lang w:val="nb-NO"/>
              </w:rPr>
            </w:pPr>
            <w:r w:rsidRPr="00A942F6">
              <w:rPr>
                <w:lang w:val="nb-NO"/>
              </w:rPr>
              <w:t>– Steril bomullsdott eller gasbind</w:t>
            </w:r>
          </w:p>
          <w:p w14:paraId="3EA6E7A5" w14:textId="77777777" w:rsidR="00EA08FF" w:rsidRPr="00A942F6" w:rsidRDefault="00EA08FF">
            <w:pPr>
              <w:pStyle w:val="a4"/>
              <w:ind w:left="567" w:hanging="567"/>
              <w:rPr>
                <w:lang w:val="nb-NO"/>
              </w:rPr>
            </w:pPr>
            <w:r w:rsidRPr="00A942F6">
              <w:rPr>
                <w:lang w:val="nb-NO"/>
              </w:rPr>
              <w:t>– Plaster</w:t>
            </w:r>
          </w:p>
          <w:p w14:paraId="241184ED" w14:textId="77777777" w:rsidR="00EA08FF" w:rsidRPr="00A942F6" w:rsidRDefault="00EA08FF">
            <w:pPr>
              <w:pStyle w:val="a4"/>
              <w:ind w:left="567" w:hanging="567"/>
              <w:rPr>
                <w:lang w:val="nb-NO"/>
              </w:rPr>
            </w:pPr>
            <w:r w:rsidRPr="00A942F6">
              <w:rPr>
                <w:lang w:val="nb-NO"/>
              </w:rPr>
              <w:t>– Beholder for skarpe gjenstander</w:t>
            </w:r>
          </w:p>
          <w:p w14:paraId="4F2545B9" w14:textId="77777777" w:rsidR="00EA08FF" w:rsidRPr="00A942F6" w:rsidRDefault="00EA08FF">
            <w:pPr>
              <w:pStyle w:val="a4"/>
              <w:ind w:left="567" w:hanging="567"/>
              <w:rPr>
                <w:lang w:val="nb-NO"/>
              </w:rPr>
            </w:pPr>
            <w:r w:rsidRPr="00A942F6">
              <w:rPr>
                <w:lang w:val="nb-NO"/>
              </w:rPr>
              <w:t>– Spritserviett</w:t>
            </w:r>
          </w:p>
          <w:p w14:paraId="63F0AAF0" w14:textId="77777777" w:rsidR="00EA08FF" w:rsidRPr="00A942F6" w:rsidRDefault="00EA08FF">
            <w:pPr>
              <w:widowControl w:val="0"/>
              <w:rPr>
                <w:rFonts w:eastAsia="새굴림" w:cs="새굴림"/>
                <w:lang w:val="nb-NO"/>
              </w:rPr>
            </w:pPr>
          </w:p>
        </w:tc>
      </w:tr>
      <w:bookmarkEnd w:id="45"/>
      <w:tr w:rsidR="001F0013" w:rsidRPr="00B477E5" w14:paraId="4C9955F2" w14:textId="77777777">
        <w:trPr>
          <w:cantSplit/>
        </w:trPr>
        <w:tc>
          <w:tcPr>
            <w:tcW w:w="3539" w:type="dxa"/>
          </w:tcPr>
          <w:p w14:paraId="3924443D" w14:textId="576D6416" w:rsidR="00EA08FF" w:rsidRPr="00A942F6" w:rsidRDefault="00D94A8B">
            <w:pPr>
              <w:widowControl w:val="0"/>
              <w:suppressAutoHyphens/>
              <w:jc w:val="right"/>
              <w:rPr>
                <w:rFonts w:eastAsia="새굴림" w:cs="새굴림"/>
                <w:b/>
                <w:noProof/>
                <w:lang w:val="nb-NO"/>
              </w:rPr>
            </w:pPr>
            <w:r>
              <w:rPr>
                <w:rFonts w:eastAsia="새굴림" w:cs="새굴림"/>
                <w:b/>
                <w:noProof/>
                <w:lang w:eastAsia="ko-KR"/>
              </w:rPr>
              <w:drawing>
                <wp:inline distT="0" distB="0" distL="0" distR="0" wp14:anchorId="444CDDFC" wp14:editId="77998417">
                  <wp:extent cx="2084705" cy="2597150"/>
                  <wp:effectExtent l="19050" t="19050" r="0" b="0"/>
                  <wp:docPr id="23" name="그림 2033694681"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33694681" descr="텍스트, 스케치, 도표, 원이(가) 표시된 사진&#10;&#10;자동 생성된 설명"/>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84705" cy="2597150"/>
                          </a:xfrm>
                          <a:prstGeom prst="rect">
                            <a:avLst/>
                          </a:prstGeom>
                          <a:noFill/>
                          <a:ln w="9525" cmpd="sng">
                            <a:solidFill>
                              <a:srgbClr val="000000"/>
                            </a:solidFill>
                            <a:miter lim="800000"/>
                            <a:headEnd/>
                            <a:tailEnd/>
                          </a:ln>
                          <a:effectLst/>
                        </pic:spPr>
                      </pic:pic>
                    </a:graphicData>
                  </a:graphic>
                </wp:inline>
              </w:drawing>
            </w:r>
          </w:p>
          <w:p w14:paraId="3F5AA27D" w14:textId="0626FD3C" w:rsidR="00EA08FF" w:rsidRPr="00A942F6" w:rsidRDefault="00D94A8B">
            <w:pPr>
              <w:widowControl w:val="0"/>
              <w:suppressAutoHyphens/>
              <w:jc w:val="right"/>
              <w:rPr>
                <w:rFonts w:eastAsia="새굴림" w:cs="새굴림"/>
                <w:b/>
                <w:noProof/>
                <w:lang w:val="nb-NO"/>
              </w:rPr>
            </w:pPr>
            <w:r>
              <w:rPr>
                <w:noProof/>
                <w:lang w:eastAsia="ko-KR"/>
              </w:rPr>
              <mc:AlternateContent>
                <mc:Choice Requires="wps">
                  <w:drawing>
                    <wp:anchor distT="45720" distB="45720" distL="114300" distR="114300" simplePos="0" relativeHeight="251672576" behindDoc="0" locked="1" layoutInCell="1" allowOverlap="1" wp14:anchorId="202AFB56" wp14:editId="741C8BAA">
                      <wp:simplePos x="0" y="0"/>
                      <wp:positionH relativeFrom="column">
                        <wp:posOffset>1057275</wp:posOffset>
                      </wp:positionH>
                      <wp:positionV relativeFrom="paragraph">
                        <wp:posOffset>-1701165</wp:posOffset>
                      </wp:positionV>
                      <wp:extent cx="909320" cy="116840"/>
                      <wp:effectExtent l="19050" t="38100" r="0" b="35560"/>
                      <wp:wrapNone/>
                      <wp:docPr id="147422568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909320" cy="116840"/>
                              </a:xfrm>
                              <a:prstGeom prst="rect">
                                <a:avLst/>
                              </a:prstGeom>
                              <a:noFill/>
                              <a:ln>
                                <a:noFill/>
                              </a:ln>
                            </wps:spPr>
                            <wps:txbx>
                              <w:txbxContent>
                                <w:p w14:paraId="15A488F0" w14:textId="2BFEC711" w:rsidR="003B558D" w:rsidRPr="00434BCD" w:rsidRDefault="00AA514F" w:rsidP="00EA08FF">
                                  <w:pPr>
                                    <w:jc w:val="center"/>
                                    <w:rPr>
                                      <w:rFonts w:cs="Times New Roman"/>
                                      <w:b/>
                                      <w:bCs/>
                                      <w:sz w:val="16"/>
                                      <w:szCs w:val="16"/>
                                    </w:rPr>
                                  </w:pPr>
                                  <w:r w:rsidRPr="00434BCD">
                                    <w:rPr>
                                      <w:rFonts w:cs="Times New Roman"/>
                                      <w:b/>
                                      <w:bCs/>
                                      <w:sz w:val="16"/>
                                      <w:szCs w:val="16"/>
                                    </w:rPr>
                                    <w:t>EXP: MM ÅÅÅÅ</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2AFB56" id="Text Box 25" o:spid="_x0000_s1067" type="#_x0000_t202" style="position:absolute;left:0;text-align:left;margin-left:83.25pt;margin-top:-133.95pt;width:71.6pt;height:9.2pt;rotation:-448334fd;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" filled="f" stroked="f">
                      <v:textbox style="mso-fit-shape-to-text:t" inset="0,0,0,0">
                        <w:txbxContent>
                          <w:p w14:paraId="15A488F0" w14:textId="2BFEC711" w:rsidR="003B558D" w:rsidRPr="00434BCD" w:rsidRDefault="00AA514F" w:rsidP="00EA08FF">
                            <w:pPr>
                              <w:jc w:val="center"/>
                              <w:rPr>
                                <w:rFonts w:cs="Times New Roman"/>
                                <w:b/>
                                <w:bCs/>
                                <w:sz w:val="16"/>
                                <w:szCs w:val="16"/>
                              </w:rPr>
                            </w:pPr>
                            <w:r w:rsidRPr="00434BCD">
                              <w:rPr>
                                <w:rFonts w:cs="Times New Roman"/>
                                <w:b/>
                                <w:bCs/>
                                <w:sz w:val="16"/>
                                <w:szCs w:val="16"/>
                              </w:rPr>
                              <w:t>EXP: MM ÅÅÅÅ</w:t>
                            </w:r>
                          </w:p>
                        </w:txbxContent>
                      </v:textbox>
                      <w10:anchorlock/>
                    </v:shape>
                  </w:pict>
                </mc:Fallback>
              </mc:AlternateContent>
            </w:r>
            <w:r>
              <w:rPr>
                <w:noProof/>
                <w:lang w:eastAsia="ko-KR"/>
              </w:rPr>
              <mc:AlternateContent>
                <mc:Choice Requires="wps">
                  <w:drawing>
                    <wp:anchor distT="45720" distB="45720" distL="114300" distR="114300" simplePos="0" relativeHeight="251673600" behindDoc="0" locked="1" layoutInCell="1" allowOverlap="1" wp14:anchorId="158B222C" wp14:editId="76C48090">
                      <wp:simplePos x="0" y="0"/>
                      <wp:positionH relativeFrom="column">
                        <wp:posOffset>1294765</wp:posOffset>
                      </wp:positionH>
                      <wp:positionV relativeFrom="paragraph">
                        <wp:posOffset>-678815</wp:posOffset>
                      </wp:positionV>
                      <wp:extent cx="673100" cy="87630"/>
                      <wp:effectExtent l="19050" t="38100" r="0" b="26670"/>
                      <wp:wrapNone/>
                      <wp:docPr id="10928256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87630"/>
                              </a:xfrm>
                              <a:prstGeom prst="rect">
                                <a:avLst/>
                              </a:prstGeom>
                              <a:noFill/>
                              <a:ln>
                                <a:noFill/>
                              </a:ln>
                            </wps:spPr>
                            <wps:txbx>
                              <w:txbxContent>
                                <w:p w14:paraId="20F7BC27" w14:textId="10A3956A" w:rsidR="003B558D" w:rsidRPr="00434BCD" w:rsidRDefault="00AA514F" w:rsidP="00EA08FF">
                                  <w:pPr>
                                    <w:rPr>
                                      <w:rFonts w:cs="Times New Roman"/>
                                      <w:b/>
                                      <w:bCs/>
                                      <w:sz w:val="12"/>
                                      <w:szCs w:val="12"/>
                                    </w:rPr>
                                  </w:pPr>
                                  <w:r w:rsidRPr="00434BCD">
                                    <w:rPr>
                                      <w:rFonts w:cs="Times New Roman"/>
                                      <w:b/>
                                      <w:bCs/>
                                      <w:sz w:val="12"/>
                                      <w:szCs w:val="12"/>
                                    </w:rPr>
                                    <w:t>EXP: MM ÅÅÅÅ</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58B222C" id="Text Box 23" o:spid="_x0000_s1068" type="#_x0000_t202" style="position:absolute;left:0;text-align:left;margin-left:101.95pt;margin-top:-53.45pt;width:53pt;height:6.9pt;rotation:-535127fd;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" filled="f" stroked="f">
                      <v:textbox style="mso-fit-shape-to-text:t" inset="0,0,0,0">
                        <w:txbxContent>
                          <w:p w14:paraId="20F7BC27" w14:textId="10A3956A" w:rsidR="003B558D" w:rsidRPr="00434BCD" w:rsidRDefault="00AA514F" w:rsidP="00EA08FF">
                            <w:pPr>
                              <w:rPr>
                                <w:rFonts w:cs="Times New Roman"/>
                                <w:b/>
                                <w:bCs/>
                                <w:sz w:val="12"/>
                                <w:szCs w:val="12"/>
                              </w:rPr>
                            </w:pPr>
                            <w:r w:rsidRPr="00434BCD">
                              <w:rPr>
                                <w:rFonts w:cs="Times New Roman"/>
                                <w:b/>
                                <w:bCs/>
                                <w:sz w:val="12"/>
                                <w:szCs w:val="12"/>
                              </w:rPr>
                              <w:t>EXP: MM ÅÅÅÅ</w:t>
                            </w:r>
                          </w:p>
                        </w:txbxContent>
                      </v:textbox>
                      <w10:anchorlock/>
                    </v:shape>
                  </w:pict>
                </mc:Fallback>
              </mc:AlternateContent>
            </w:r>
            <w:r w:rsidR="00EA08FF" w:rsidRPr="00A942F6">
              <w:rPr>
                <w:rFonts w:eastAsia="새굴림" w:cs="새굴림"/>
                <w:b/>
                <w:lang w:val="nb-NO"/>
              </w:rPr>
              <w:t>Figur C</w:t>
            </w:r>
          </w:p>
        </w:tc>
        <w:tc>
          <w:tcPr>
            <w:tcW w:w="5517" w:type="dxa"/>
          </w:tcPr>
          <w:p w14:paraId="13187672"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Kontroller esken</w:t>
            </w:r>
          </w:p>
          <w:p w14:paraId="2C84AF82" w14:textId="77777777" w:rsidR="00EA08FF" w:rsidRPr="00A942F6" w:rsidRDefault="00EA08FF">
            <w:pPr>
              <w:pStyle w:val="a4"/>
              <w:ind w:left="567" w:hanging="567"/>
              <w:rPr>
                <w:b/>
                <w:lang w:val="nb-NO"/>
              </w:rPr>
            </w:pPr>
          </w:p>
          <w:p w14:paraId="794DDBA0" w14:textId="77777777" w:rsidR="00EA08FF" w:rsidRPr="00A942F6" w:rsidRDefault="00EA08FF" w:rsidP="007814F8">
            <w:pPr>
              <w:pStyle w:val="a4"/>
              <w:numPr>
                <w:ilvl w:val="0"/>
                <w:numId w:val="44"/>
              </w:numPr>
              <w:autoSpaceDE/>
              <w:autoSpaceDN/>
              <w:ind w:left="567" w:hanging="567"/>
              <w:rPr>
                <w:bCs/>
                <w:lang w:val="nb-NO"/>
              </w:rPr>
            </w:pPr>
            <w:r w:rsidRPr="00A942F6">
              <w:rPr>
                <w:lang w:val="nb-NO"/>
              </w:rPr>
              <w:t>Studer esken og forsikre deg om at du har riktig legemiddel og dosestyrke. (Avtozma)</w:t>
            </w:r>
          </w:p>
          <w:p w14:paraId="3AEF7B51" w14:textId="77777777" w:rsidR="00EA08FF" w:rsidRPr="00A942F6" w:rsidRDefault="00EA08FF" w:rsidP="007814F8">
            <w:pPr>
              <w:pStyle w:val="a4"/>
              <w:numPr>
                <w:ilvl w:val="0"/>
                <w:numId w:val="44"/>
              </w:numPr>
              <w:autoSpaceDE/>
              <w:autoSpaceDN/>
              <w:ind w:left="567" w:hanging="567"/>
              <w:rPr>
                <w:bCs/>
                <w:lang w:val="nb-NO"/>
              </w:rPr>
            </w:pPr>
            <w:r w:rsidRPr="00A942F6">
              <w:rPr>
                <w:lang w:val="nb-NO"/>
              </w:rPr>
              <w:t>Kontroller utløpsdatoen på esken for å være sikker på at utløpsdatoen ikke har passert.</w:t>
            </w:r>
          </w:p>
          <w:p w14:paraId="00870A47" w14:textId="77777777" w:rsidR="00EA08FF" w:rsidRPr="00A942F6" w:rsidRDefault="00EA08FF">
            <w:pPr>
              <w:pStyle w:val="a4"/>
              <w:ind w:left="567" w:hanging="567"/>
              <w:rPr>
                <w:b/>
                <w:lang w:val="nb-NO" w:eastAsia="ko-KR"/>
              </w:rPr>
            </w:pPr>
          </w:p>
          <w:p w14:paraId="57A1F45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pennen hvis utløpsdatoen har passert.</w:t>
            </w:r>
          </w:p>
          <w:p w14:paraId="7B26E646"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 xml:space="preserve">Dersom du åpner esken for første gang, kontroller at den er forseglet. </w:t>
            </w:r>
          </w:p>
          <w:p w14:paraId="1E5CF3B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pennen hvis det ser ut som at esken allerede har vært åpnet.</w:t>
            </w:r>
          </w:p>
          <w:p w14:paraId="6EFF20C7" w14:textId="77777777" w:rsidR="00EA08FF" w:rsidRPr="00A942F6" w:rsidRDefault="00EA08FF">
            <w:pPr>
              <w:widowControl w:val="0"/>
              <w:rPr>
                <w:rFonts w:eastAsia="새굴림" w:cs="새굴림"/>
                <w:lang w:val="nb-NO"/>
              </w:rPr>
            </w:pPr>
          </w:p>
        </w:tc>
      </w:tr>
      <w:tr w:rsidR="001F0013" w:rsidRPr="00B477E5" w14:paraId="0C3E336E" w14:textId="77777777">
        <w:trPr>
          <w:cantSplit/>
        </w:trPr>
        <w:tc>
          <w:tcPr>
            <w:tcW w:w="3539" w:type="dxa"/>
          </w:tcPr>
          <w:p w14:paraId="3183153C" w14:textId="0BA02970" w:rsidR="00EA08FF" w:rsidRPr="00A942F6" w:rsidRDefault="00D94A8B">
            <w:pPr>
              <w:widowControl w:val="0"/>
              <w:suppressAutoHyphens/>
              <w:jc w:val="right"/>
              <w:rPr>
                <w:rFonts w:eastAsia="Times New Roman" w:cs="새굴림"/>
                <w:b/>
                <w:noProof/>
                <w:lang w:val="nb-NO"/>
              </w:rPr>
            </w:pPr>
            <w:r>
              <w:rPr>
                <w:rFonts w:eastAsia="새굴림" w:cs="새굴림"/>
                <w:noProof/>
                <w:lang w:eastAsia="ko-KR"/>
              </w:rPr>
              <w:lastRenderedPageBreak/>
              <w:drawing>
                <wp:inline distT="0" distB="0" distL="0" distR="0" wp14:anchorId="1748C475" wp14:editId="2BE2BD01">
                  <wp:extent cx="2084705" cy="2536190"/>
                  <wp:effectExtent l="19050" t="19050" r="0" b="0"/>
                  <wp:docPr id="24" name="그림 1837928270" descr="휴대 전화, 스케치,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37928270" descr="휴대 전화, 스케치, 드라이브, 디자인이(가) 표시된 사진&#10;&#10;자동 생성된 설명"/>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0CD25CFE" w14:textId="6A3F11E3" w:rsidR="00EA08FF" w:rsidRPr="00A942F6" w:rsidRDefault="00D94A8B">
            <w:pPr>
              <w:widowControl w:val="0"/>
              <w:suppressAutoHyphens/>
              <w:jc w:val="right"/>
              <w:rPr>
                <w:rFonts w:eastAsia="Times New Roman" w:cs="새굴림"/>
                <w:b/>
                <w:noProof/>
                <w:lang w:val="nb-NO"/>
              </w:rPr>
            </w:pPr>
            <w:r>
              <w:rPr>
                <w:noProof/>
                <w:lang w:eastAsia="ko-KR"/>
              </w:rPr>
              <mc:AlternateContent>
                <mc:Choice Requires="wps">
                  <w:drawing>
                    <wp:anchor distT="45720" distB="45720" distL="114300" distR="114300" simplePos="0" relativeHeight="251674624" behindDoc="0" locked="1" layoutInCell="1" allowOverlap="1" wp14:anchorId="06C18E2A" wp14:editId="0D9D652C">
                      <wp:simplePos x="0" y="0"/>
                      <wp:positionH relativeFrom="column">
                        <wp:posOffset>951230</wp:posOffset>
                      </wp:positionH>
                      <wp:positionV relativeFrom="paragraph">
                        <wp:posOffset>-1916430</wp:posOffset>
                      </wp:positionV>
                      <wp:extent cx="1007110" cy="253365"/>
                      <wp:effectExtent l="0" t="0" r="0" b="0"/>
                      <wp:wrapNone/>
                      <wp:docPr id="20019872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253365"/>
                              </a:xfrm>
                              <a:prstGeom prst="rect">
                                <a:avLst/>
                              </a:prstGeom>
                              <a:noFill/>
                              <a:ln>
                                <a:noFill/>
                              </a:ln>
                            </wps:spPr>
                            <wps:txbx>
                              <w:txbxContent>
                                <w:p w14:paraId="19D1AE60" w14:textId="45644C7D" w:rsidR="003B558D" w:rsidRPr="00E6250A" w:rsidRDefault="00AA514F" w:rsidP="00434BCD">
                                  <w:pPr>
                                    <w:jc w:val="center"/>
                                    <w:rPr>
                                      <w:rFonts w:cs="Times New Roman"/>
                                      <w:b/>
                                      <w:bCs/>
                                      <w:sz w:val="20"/>
                                      <w:szCs w:val="20"/>
                                    </w:rPr>
                                  </w:pPr>
                                  <w:r w:rsidRPr="00434BCD">
                                    <w:rPr>
                                      <w:rFonts w:cs="Times New Roman"/>
                                      <w:b/>
                                      <w:bCs/>
                                      <w:sz w:val="16"/>
                                      <w:szCs w:val="16"/>
                                    </w:rPr>
                                    <w:t>EXP: MM ÅÅÅÅ</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18E2A" id="Text Box 21" o:spid="_x0000_s1069" type="#_x0000_t202" style="position:absolute;left:0;text-align:left;margin-left:74.9pt;margin-top:-150.9pt;width:79.3pt;height:19.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" filled="f" stroked="f">
                      <v:textbox inset="0,0,0,0">
                        <w:txbxContent>
                          <w:p w14:paraId="19D1AE60" w14:textId="45644C7D" w:rsidR="003B558D" w:rsidRPr="00E6250A" w:rsidRDefault="00AA514F" w:rsidP="00434BCD">
                            <w:pPr>
                              <w:jc w:val="center"/>
                              <w:rPr>
                                <w:rFonts w:cs="Times New Roman"/>
                                <w:b/>
                                <w:bCs/>
                                <w:sz w:val="20"/>
                                <w:szCs w:val="20"/>
                              </w:rPr>
                            </w:pPr>
                            <w:r w:rsidRPr="00434BCD">
                              <w:rPr>
                                <w:rFonts w:cs="Times New Roman"/>
                                <w:b/>
                                <w:bCs/>
                                <w:sz w:val="16"/>
                                <w:szCs w:val="16"/>
                              </w:rPr>
                              <w:t>EXP: MM ÅÅÅÅ</w:t>
                            </w:r>
                          </w:p>
                        </w:txbxContent>
                      </v:textbox>
                      <w10:anchorlock/>
                    </v:shape>
                  </w:pict>
                </mc:Fallback>
              </mc:AlternateContent>
            </w:r>
            <w:r w:rsidR="00EA08FF" w:rsidRPr="00A942F6">
              <w:rPr>
                <w:rFonts w:eastAsia="새굴림" w:cs="새굴림"/>
                <w:b/>
                <w:lang w:val="nb-NO"/>
              </w:rPr>
              <w:t>Figur D</w:t>
            </w:r>
          </w:p>
        </w:tc>
        <w:tc>
          <w:tcPr>
            <w:tcW w:w="5517" w:type="dxa"/>
          </w:tcPr>
          <w:p w14:paraId="7D46269B"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Kontroller den ferdigfylte pennen.</w:t>
            </w:r>
          </w:p>
          <w:p w14:paraId="0743FA34" w14:textId="77777777" w:rsidR="00EA08FF" w:rsidRPr="00A942F6" w:rsidRDefault="00EA08FF">
            <w:pPr>
              <w:widowControl w:val="0"/>
              <w:ind w:left="567" w:hanging="567"/>
              <w:rPr>
                <w:rFonts w:eastAsia="새굴림" w:cs="새굴림"/>
                <w:bCs/>
                <w:lang w:val="nb-NO"/>
              </w:rPr>
            </w:pPr>
          </w:p>
          <w:p w14:paraId="55E253F6" w14:textId="77777777" w:rsidR="00EA08FF" w:rsidRPr="00A942F6" w:rsidRDefault="00EA08FF" w:rsidP="007814F8">
            <w:pPr>
              <w:pStyle w:val="a4"/>
              <w:numPr>
                <w:ilvl w:val="0"/>
                <w:numId w:val="45"/>
              </w:numPr>
              <w:autoSpaceDE/>
              <w:autoSpaceDN/>
              <w:ind w:left="567" w:hanging="567"/>
              <w:rPr>
                <w:lang w:val="nb-NO"/>
              </w:rPr>
            </w:pPr>
            <w:r w:rsidRPr="00A942F6">
              <w:rPr>
                <w:lang w:val="nb-NO"/>
              </w:rPr>
              <w:t>Åpne esken og ta ferdigfylt penn med enkeltdose ut av esken. Sett eventuelle resterende Avtozma ferdigfylte penner i esken tilbake i kjøleskapet.</w:t>
            </w:r>
          </w:p>
          <w:p w14:paraId="66BBF19C" w14:textId="77777777" w:rsidR="00EA08FF" w:rsidRPr="00A942F6" w:rsidRDefault="00EA08FF" w:rsidP="007814F8">
            <w:pPr>
              <w:pStyle w:val="a4"/>
              <w:numPr>
                <w:ilvl w:val="0"/>
                <w:numId w:val="45"/>
              </w:numPr>
              <w:autoSpaceDE/>
              <w:autoSpaceDN/>
              <w:ind w:left="567" w:hanging="567"/>
              <w:rPr>
                <w:bCs/>
                <w:lang w:val="nb-NO"/>
              </w:rPr>
            </w:pPr>
            <w:r w:rsidRPr="00A942F6">
              <w:rPr>
                <w:lang w:val="nb-NO"/>
              </w:rPr>
              <w:t>Kontroller utløpsdatoen på den ferdigfylte Avtozma</w:t>
            </w:r>
            <w:r w:rsidR="00B33CA4">
              <w:rPr>
                <w:lang w:val="nb-NO"/>
              </w:rPr>
              <w:noBreakHyphen/>
            </w:r>
            <w:r w:rsidRPr="00A942F6">
              <w:rPr>
                <w:lang w:val="nb-NO"/>
              </w:rPr>
              <w:t>pennen (</w:t>
            </w:r>
            <w:r w:rsidRPr="00A942F6">
              <w:rPr>
                <w:b/>
                <w:lang w:val="nb-NO"/>
              </w:rPr>
              <w:t>se figur D)</w:t>
            </w:r>
            <w:r w:rsidRPr="00A942F6">
              <w:rPr>
                <w:lang w:val="nb-NO"/>
              </w:rPr>
              <w:t>.</w:t>
            </w:r>
          </w:p>
          <w:p w14:paraId="5330E76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pennen hvis utløpsdatoen har passert. Dersom utløpsdatoen har passert må du kaste den ferdigfylte pennen på en sikker måte i en beholder for skarpe gjenstander og ta en ny penn.</w:t>
            </w:r>
          </w:p>
          <w:p w14:paraId="162B472C" w14:textId="77777777" w:rsidR="00EA08FF" w:rsidRPr="00A942F6" w:rsidRDefault="00EA08FF" w:rsidP="007814F8">
            <w:pPr>
              <w:pStyle w:val="a4"/>
              <w:numPr>
                <w:ilvl w:val="0"/>
                <w:numId w:val="45"/>
              </w:numPr>
              <w:autoSpaceDE/>
              <w:autoSpaceDN/>
              <w:ind w:left="567" w:hanging="567"/>
              <w:rPr>
                <w:bCs/>
                <w:lang w:val="nb-NO"/>
              </w:rPr>
            </w:pPr>
            <w:r w:rsidRPr="00A942F6">
              <w:rPr>
                <w:lang w:val="nb-NO"/>
              </w:rPr>
              <w:t>Kontroller den ferdigfylte pennen for å være sikker på at den ikke er skadet og ikke viser tegn til lekkasje.</w:t>
            </w:r>
          </w:p>
          <w:p w14:paraId="15561F28"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pennen hvis den har falt i gulvet, er skadet eller har lekket.</w:t>
            </w:r>
          </w:p>
          <w:p w14:paraId="23F5EF8A" w14:textId="77777777" w:rsidR="00EA08FF" w:rsidRPr="00A942F6" w:rsidRDefault="00EA08FF">
            <w:pPr>
              <w:pStyle w:val="a4"/>
              <w:ind w:left="567"/>
              <w:rPr>
                <w:bCs/>
                <w:noProof/>
                <w:lang w:val="nb-NO"/>
              </w:rPr>
            </w:pPr>
            <w:r w:rsidRPr="00A942F6">
              <w:rPr>
                <w:i/>
                <w:lang w:val="nb-NO"/>
              </w:rPr>
              <w:t>Merk</w:t>
            </w:r>
            <w:r w:rsidRPr="00A942F6">
              <w:rPr>
                <w:lang w:val="nb-NO"/>
              </w:rPr>
              <w:t>: En liten åpning mellom den oransje hetten og injeksjonsdelen er normalt.</w:t>
            </w:r>
          </w:p>
          <w:p w14:paraId="2CF348D7" w14:textId="77777777" w:rsidR="00EA08FF" w:rsidRPr="00A942F6" w:rsidRDefault="00EA08FF">
            <w:pPr>
              <w:widowControl w:val="0"/>
              <w:rPr>
                <w:rFonts w:eastAsia="새굴림" w:cs="새굴림"/>
                <w:lang w:val="nb-NO"/>
              </w:rPr>
            </w:pPr>
          </w:p>
        </w:tc>
      </w:tr>
      <w:tr w:rsidR="001F0013" w:rsidRPr="00B477E5" w14:paraId="261EA6BA" w14:textId="77777777">
        <w:trPr>
          <w:cantSplit/>
        </w:trPr>
        <w:tc>
          <w:tcPr>
            <w:tcW w:w="3539" w:type="dxa"/>
          </w:tcPr>
          <w:p w14:paraId="4947B5D6" w14:textId="4517AF08"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550E3298" wp14:editId="7B033510">
                  <wp:extent cx="2084705" cy="2572385"/>
                  <wp:effectExtent l="19050" t="19050" r="0" b="0"/>
                  <wp:docPr id="25" name="그림 1806273390" descr="텍스트, 스크린샷, 원,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06273390" descr="텍스트, 스크린샷, 원, 디자인이(가) 표시된 사진&#10;&#10;자동 생성된 설명"/>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84705" cy="2572385"/>
                          </a:xfrm>
                          <a:prstGeom prst="rect">
                            <a:avLst/>
                          </a:prstGeom>
                          <a:noFill/>
                          <a:ln w="9525" cmpd="sng">
                            <a:solidFill>
                              <a:srgbClr val="000000"/>
                            </a:solidFill>
                            <a:miter lim="800000"/>
                            <a:headEnd/>
                            <a:tailEnd/>
                          </a:ln>
                          <a:effectLst/>
                        </pic:spPr>
                      </pic:pic>
                    </a:graphicData>
                  </a:graphic>
                </wp:inline>
              </w:drawing>
            </w:r>
          </w:p>
          <w:p w14:paraId="5F17B964" w14:textId="66EFD228"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75648" behindDoc="0" locked="1" layoutInCell="1" allowOverlap="1" wp14:anchorId="51EFF1CB" wp14:editId="181B35E8">
                      <wp:simplePos x="0" y="0"/>
                      <wp:positionH relativeFrom="column">
                        <wp:posOffset>369570</wp:posOffset>
                      </wp:positionH>
                      <wp:positionV relativeFrom="paragraph">
                        <wp:posOffset>-2183130</wp:posOffset>
                      </wp:positionV>
                      <wp:extent cx="767080" cy="489585"/>
                      <wp:effectExtent l="0" t="0" r="0" b="0"/>
                      <wp:wrapNone/>
                      <wp:docPr id="5512082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400D442D" w14:textId="3F74AF6E" w:rsidR="003B558D" w:rsidRPr="00434BCD" w:rsidRDefault="003B558D" w:rsidP="00434BCD">
                                  <w:pPr>
                                    <w:jc w:val="center"/>
                                    <w:rPr>
                                      <w:rFonts w:cs="Times New Roman"/>
                                      <w:b/>
                                      <w:bCs/>
                                      <w:sz w:val="16"/>
                                      <w:szCs w:val="16"/>
                                    </w:rPr>
                                  </w:pPr>
                                  <w:r w:rsidRPr="00434BCD">
                                    <w:rPr>
                                      <w:rFonts w:cs="Times New Roman"/>
                                      <w:b/>
                                      <w:bCs/>
                                      <w:sz w:val="36"/>
                                      <w:szCs w:val="36"/>
                                    </w:rPr>
                                    <w:t>45</w:t>
                                  </w:r>
                                  <w:r w:rsidRPr="00434BCD">
                                    <w:rPr>
                                      <w:rFonts w:cs="Times New Roman"/>
                                      <w:b/>
                                      <w:bCs/>
                                      <w:sz w:val="16"/>
                                      <w:szCs w:val="16"/>
                                    </w:rPr>
                                    <w:t xml:space="preserve"> </w:t>
                                  </w:r>
                                  <w:r w:rsidR="00AA514F" w:rsidRPr="00434BCD">
                                    <w:rPr>
                                      <w:rFonts w:cs="Times New Roman"/>
                                      <w:b/>
                                      <w:bCs/>
                                      <w:sz w:val="24"/>
                                      <w:szCs w:val="24"/>
                                    </w:rPr>
                                    <w:t>minutter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EFF1CB" id="Text Box 19" o:spid="_x0000_s1070" type="#_x0000_t202" style="position:absolute;left:0;text-align:left;margin-left:29.1pt;margin-top:-171.9pt;width:60.4pt;height:38.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" filled="f" stroked="f">
                      <v:textbox inset="0,0,0,0">
                        <w:txbxContent>
                          <w:p w14:paraId="400D442D" w14:textId="3F74AF6E" w:rsidR="003B558D" w:rsidRPr="00434BCD" w:rsidRDefault="003B558D" w:rsidP="00434BCD">
                            <w:pPr>
                              <w:jc w:val="center"/>
                              <w:rPr>
                                <w:rFonts w:cs="Times New Roman"/>
                                <w:b/>
                                <w:bCs/>
                                <w:sz w:val="16"/>
                                <w:szCs w:val="16"/>
                              </w:rPr>
                            </w:pPr>
                            <w:r w:rsidRPr="00434BCD">
                              <w:rPr>
                                <w:rFonts w:cs="Times New Roman"/>
                                <w:b/>
                                <w:bCs/>
                                <w:sz w:val="36"/>
                                <w:szCs w:val="36"/>
                              </w:rPr>
                              <w:t>45</w:t>
                            </w:r>
                            <w:r w:rsidRPr="00434BCD">
                              <w:rPr>
                                <w:rFonts w:cs="Times New Roman"/>
                                <w:b/>
                                <w:bCs/>
                                <w:sz w:val="16"/>
                                <w:szCs w:val="16"/>
                              </w:rPr>
                              <w:t xml:space="preserve"> </w:t>
                            </w:r>
                            <w:r w:rsidR="00AA514F" w:rsidRPr="00434BCD">
                              <w:rPr>
                                <w:rFonts w:cs="Times New Roman"/>
                                <w:b/>
                                <w:bCs/>
                                <w:sz w:val="24"/>
                                <w:szCs w:val="24"/>
                              </w:rPr>
                              <w:t>minutter</w:t>
                            </w:r>
                          </w:p>
                        </w:txbxContent>
                      </v:textbox>
                      <w10:anchorlock/>
                    </v:shape>
                  </w:pict>
                </mc:Fallback>
              </mc:AlternateContent>
            </w:r>
            <w:r w:rsidR="00EA08FF" w:rsidRPr="00A942F6">
              <w:rPr>
                <w:rFonts w:eastAsia="새굴림" w:cs="새굴림"/>
                <w:b/>
                <w:lang w:val="nb-NO"/>
              </w:rPr>
              <w:t>Figur E</w:t>
            </w:r>
          </w:p>
        </w:tc>
        <w:tc>
          <w:tcPr>
            <w:tcW w:w="5517" w:type="dxa"/>
          </w:tcPr>
          <w:p w14:paraId="2C302BB0"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Vent i 45 minutter.</w:t>
            </w:r>
          </w:p>
          <w:p w14:paraId="4F08CA2A" w14:textId="77777777" w:rsidR="00EA08FF" w:rsidRPr="00A942F6" w:rsidRDefault="00EA08FF">
            <w:pPr>
              <w:pStyle w:val="Default"/>
              <w:ind w:left="567" w:hanging="567"/>
              <w:rPr>
                <w:rFonts w:ascii="Times New Roman" w:hAnsi="Times New Roman" w:cs="Times New Roman"/>
                <w:sz w:val="22"/>
                <w:szCs w:val="22"/>
              </w:rPr>
            </w:pPr>
          </w:p>
          <w:p w14:paraId="1F409530" w14:textId="4D301F4B" w:rsidR="00EA08FF" w:rsidRPr="00A942F6" w:rsidRDefault="00EA08FF" w:rsidP="007814F8">
            <w:pPr>
              <w:pStyle w:val="a4"/>
              <w:numPr>
                <w:ilvl w:val="0"/>
                <w:numId w:val="46"/>
              </w:numPr>
              <w:autoSpaceDE/>
              <w:autoSpaceDN/>
              <w:ind w:left="567" w:hanging="567"/>
              <w:rPr>
                <w:lang w:val="nb-NO"/>
              </w:rPr>
            </w:pPr>
            <w:r w:rsidRPr="00A942F6">
              <w:rPr>
                <w:lang w:val="nb-NO"/>
              </w:rPr>
              <w:t xml:space="preserve">La den ferdigfylte pennen ligge i romtemperatur utenfor esken i 45 minutter ved </w:t>
            </w:r>
            <w:r w:rsidR="000B380A">
              <w:rPr>
                <w:rFonts w:eastAsia="맑은 고딕" w:hint="eastAsia"/>
                <w:lang w:val="nb-NO" w:eastAsia="ko-KR"/>
              </w:rPr>
              <w:t>18</w:t>
            </w:r>
            <w:r w:rsidR="000B380A" w:rsidRPr="00A942F6">
              <w:rPr>
                <w:lang w:val="nb-NO"/>
              </w:rPr>
              <w:t> </w:t>
            </w:r>
            <w:r w:rsidRPr="00A942F6">
              <w:rPr>
                <w:lang w:val="nb-NO"/>
              </w:rPr>
              <w:t xml:space="preserve">°C til </w:t>
            </w:r>
            <w:r w:rsidR="000B380A" w:rsidRPr="00A942F6">
              <w:rPr>
                <w:lang w:val="nb-NO"/>
              </w:rPr>
              <w:t>2</w:t>
            </w:r>
            <w:r w:rsidR="000B380A">
              <w:rPr>
                <w:rFonts w:eastAsia="맑은 고딕" w:hint="eastAsia"/>
                <w:lang w:val="nb-NO" w:eastAsia="ko-KR"/>
              </w:rPr>
              <w:t>8</w:t>
            </w:r>
            <w:r w:rsidR="000B380A" w:rsidRPr="00A942F6">
              <w:rPr>
                <w:lang w:val="nb-NO"/>
              </w:rPr>
              <w:t> </w:t>
            </w:r>
            <w:r w:rsidRPr="00A942F6">
              <w:rPr>
                <w:lang w:val="nb-NO"/>
              </w:rPr>
              <w:t xml:space="preserve">°C for å varme den opp (se </w:t>
            </w:r>
            <w:r w:rsidRPr="00A942F6">
              <w:rPr>
                <w:b/>
                <w:lang w:val="nb-NO"/>
              </w:rPr>
              <w:t>figur E</w:t>
            </w:r>
            <w:r w:rsidRPr="00A942F6">
              <w:rPr>
                <w:lang w:val="nb-NO"/>
              </w:rPr>
              <w:t>).</w:t>
            </w:r>
          </w:p>
          <w:p w14:paraId="0BA80372"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varm den ferdigfylte pennen ved hjelp av varmekilder som varmt vann eller mikrobølgeovn.</w:t>
            </w:r>
          </w:p>
          <w:p w14:paraId="4798D7F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la den ferdigfylte pennen varmes opp i direkte sollys.</w:t>
            </w:r>
          </w:p>
          <w:p w14:paraId="4DA14D35"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fjern hetten mens den ferdigfylte pennen varmes opp til romtemperatur.</w:t>
            </w:r>
          </w:p>
          <w:p w14:paraId="401BD27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Dersom den ferdigfylte pennen ikke har romtemperatur, kan det føre til ubehag.</w:t>
            </w:r>
          </w:p>
          <w:p w14:paraId="06668590" w14:textId="77777777" w:rsidR="00EA08FF" w:rsidRPr="00A942F6" w:rsidRDefault="00EA08FF">
            <w:pPr>
              <w:widowControl w:val="0"/>
              <w:rPr>
                <w:rFonts w:eastAsia="새굴림" w:cs="새굴림"/>
                <w:lang w:val="nb-NO"/>
              </w:rPr>
            </w:pPr>
          </w:p>
        </w:tc>
      </w:tr>
      <w:tr w:rsidR="001F0013" w:rsidRPr="00A942F6" w14:paraId="2123A081" w14:textId="77777777">
        <w:trPr>
          <w:cantSplit/>
        </w:trPr>
        <w:tc>
          <w:tcPr>
            <w:tcW w:w="3539" w:type="dxa"/>
          </w:tcPr>
          <w:p w14:paraId="00EEF701" w14:textId="060BBA4D"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17612883" wp14:editId="4AF076D6">
                  <wp:extent cx="2084705" cy="2560320"/>
                  <wp:effectExtent l="19050" t="19050" r="0" b="0"/>
                  <wp:docPr id="26" name="그림 1467001912" descr="스케치, 그림,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67001912" descr="스케치, 그림, 일러스트레이션, 디자인이(가) 표시된 사진&#10;&#10;자동 생성된 설명"/>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84705" cy="2560320"/>
                          </a:xfrm>
                          <a:prstGeom prst="rect">
                            <a:avLst/>
                          </a:prstGeom>
                          <a:noFill/>
                          <a:ln w="9525" cmpd="sng">
                            <a:solidFill>
                              <a:srgbClr val="000000"/>
                            </a:solidFill>
                            <a:miter lim="800000"/>
                            <a:headEnd/>
                            <a:tailEnd/>
                          </a:ln>
                          <a:effectLst/>
                        </pic:spPr>
                      </pic:pic>
                    </a:graphicData>
                  </a:graphic>
                </wp:inline>
              </w:drawing>
            </w:r>
          </w:p>
          <w:p w14:paraId="6A869523"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F</w:t>
            </w:r>
          </w:p>
        </w:tc>
        <w:tc>
          <w:tcPr>
            <w:tcW w:w="5517" w:type="dxa"/>
          </w:tcPr>
          <w:p w14:paraId="48144D43"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Kontroller legemidlet.</w:t>
            </w:r>
          </w:p>
          <w:p w14:paraId="4DE4D7B5" w14:textId="77777777" w:rsidR="00EA08FF" w:rsidRPr="00A942F6" w:rsidRDefault="00EA08FF">
            <w:pPr>
              <w:pStyle w:val="Default"/>
              <w:ind w:left="567" w:hanging="567"/>
              <w:rPr>
                <w:rFonts w:ascii="Times New Roman" w:hAnsi="Times New Roman" w:cs="Times New Roman"/>
                <w:sz w:val="22"/>
                <w:szCs w:val="22"/>
              </w:rPr>
            </w:pPr>
          </w:p>
          <w:p w14:paraId="5F3428D2" w14:textId="77777777" w:rsidR="00EA08FF" w:rsidRPr="00A942F6" w:rsidRDefault="00EA08FF" w:rsidP="007814F8">
            <w:pPr>
              <w:pStyle w:val="a4"/>
              <w:numPr>
                <w:ilvl w:val="0"/>
                <w:numId w:val="51"/>
              </w:numPr>
              <w:autoSpaceDE/>
              <w:autoSpaceDN/>
              <w:ind w:left="567" w:hanging="567"/>
              <w:rPr>
                <w:bCs/>
                <w:lang w:val="nb-NO"/>
              </w:rPr>
            </w:pPr>
            <w:r w:rsidRPr="00A942F6">
              <w:rPr>
                <w:lang w:val="nb-NO"/>
              </w:rPr>
              <w:t>Hold Avtozma</w:t>
            </w:r>
            <w:r w:rsidR="00B33CA4">
              <w:rPr>
                <w:lang w:val="nb-NO"/>
              </w:rPr>
              <w:noBreakHyphen/>
              <w:t>pennen</w:t>
            </w:r>
            <w:r w:rsidRPr="00A942F6">
              <w:rPr>
                <w:lang w:val="nb-NO"/>
              </w:rPr>
              <w:t xml:space="preserve"> med hetten vendt nedover.</w:t>
            </w:r>
          </w:p>
          <w:p w14:paraId="6F0EF9F8" w14:textId="77777777" w:rsidR="00EA08FF" w:rsidRPr="00A942F6" w:rsidRDefault="00EA08FF" w:rsidP="007814F8">
            <w:pPr>
              <w:pStyle w:val="a4"/>
              <w:numPr>
                <w:ilvl w:val="0"/>
                <w:numId w:val="51"/>
              </w:numPr>
              <w:autoSpaceDE/>
              <w:autoSpaceDN/>
              <w:ind w:left="567" w:hanging="567"/>
              <w:rPr>
                <w:bCs/>
                <w:lang w:val="nb-NO"/>
              </w:rPr>
            </w:pPr>
            <w:r w:rsidRPr="00A942F6">
              <w:rPr>
                <w:lang w:val="nb-NO"/>
              </w:rPr>
              <w:t xml:space="preserve">Se på legemidlet og bekreft at væsken er klar til svakt opaliserende og fargeløs til svakt gul, og at den ikke inneholder partikler eller flak (se </w:t>
            </w:r>
            <w:r w:rsidRPr="00A942F6">
              <w:rPr>
                <w:b/>
                <w:lang w:val="nb-NO"/>
              </w:rPr>
              <w:t>figur F</w:t>
            </w:r>
            <w:r w:rsidRPr="00A942F6">
              <w:rPr>
                <w:lang w:val="nb-NO"/>
              </w:rPr>
              <w:t>).</w:t>
            </w:r>
          </w:p>
          <w:p w14:paraId="2C989EB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pennen hvis væsken er misfarget, uklar eller inneholder partikler eller ﬂak. Kast den ferdigfylte pennen på en sikker måte i en beholder for skarpe gjenstander og ta en ny penn.</w:t>
            </w:r>
          </w:p>
          <w:p w14:paraId="760CF96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Luftbobler er normalt.</w:t>
            </w:r>
          </w:p>
          <w:p w14:paraId="6AC84C4A" w14:textId="77777777" w:rsidR="00EA08FF" w:rsidRPr="00A942F6" w:rsidRDefault="00EA08FF">
            <w:pPr>
              <w:widowControl w:val="0"/>
              <w:rPr>
                <w:rFonts w:eastAsia="새굴림" w:cs="새굴림"/>
                <w:lang w:val="nb-NO"/>
              </w:rPr>
            </w:pPr>
          </w:p>
        </w:tc>
      </w:tr>
      <w:tr w:rsidR="001F0013" w:rsidRPr="00B477E5" w14:paraId="7B94E25F" w14:textId="77777777">
        <w:trPr>
          <w:cantSplit/>
        </w:trPr>
        <w:tc>
          <w:tcPr>
            <w:tcW w:w="3539" w:type="dxa"/>
          </w:tcPr>
          <w:p w14:paraId="6ED144CF" w14:textId="1E762230" w:rsidR="00EA08FF" w:rsidRPr="00A942F6" w:rsidRDefault="00D94A8B">
            <w:pPr>
              <w:widowControl w:val="0"/>
              <w:suppressAutoHyphens/>
              <w:jc w:val="right"/>
              <w:rPr>
                <w:rFonts w:eastAsia="새굴림" w:cs="새굴림"/>
                <w:noProof/>
                <w:lang w:val="nb-NO"/>
              </w:rPr>
            </w:pPr>
            <w:r>
              <w:rPr>
                <w:rFonts w:eastAsia="새굴림" w:cs="새굴림"/>
                <w:noProof/>
                <w:lang w:eastAsia="ko-KR"/>
              </w:rPr>
              <w:lastRenderedPageBreak/>
              <w:drawing>
                <wp:inline distT="0" distB="0" distL="0" distR="0" wp14:anchorId="68C6FAE5" wp14:editId="6E67C825">
                  <wp:extent cx="2084705" cy="2536190"/>
                  <wp:effectExtent l="19050" t="19050" r="0" b="0"/>
                  <wp:docPr id="27" name="그림 2074310175"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74310175" descr="스케치, 그림, 라인 아트, 아동 미술이(가) 표시된 사진&#10;&#10;자동 생성된 설명"/>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6D49B222"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G</w:t>
            </w:r>
          </w:p>
        </w:tc>
        <w:tc>
          <w:tcPr>
            <w:tcW w:w="5517" w:type="dxa"/>
          </w:tcPr>
          <w:p w14:paraId="3F43A2C9"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Vask hendene.</w:t>
            </w:r>
          </w:p>
          <w:p w14:paraId="20C8CA2B" w14:textId="77777777" w:rsidR="00EA08FF" w:rsidRPr="00A942F6" w:rsidRDefault="00EA08FF">
            <w:pPr>
              <w:pStyle w:val="Default"/>
              <w:ind w:left="567" w:hanging="567"/>
              <w:rPr>
                <w:rFonts w:ascii="Times New Roman" w:hAnsi="Times New Roman" w:cs="Times New Roman"/>
                <w:sz w:val="22"/>
                <w:szCs w:val="22"/>
              </w:rPr>
            </w:pPr>
          </w:p>
          <w:p w14:paraId="5200A298" w14:textId="77777777" w:rsidR="00EA08FF" w:rsidRPr="00A942F6" w:rsidRDefault="00EA08FF" w:rsidP="007814F8">
            <w:pPr>
              <w:pStyle w:val="a4"/>
              <w:numPr>
                <w:ilvl w:val="0"/>
                <w:numId w:val="47"/>
              </w:numPr>
              <w:autoSpaceDE/>
              <w:autoSpaceDN/>
              <w:ind w:left="567" w:hanging="567"/>
              <w:rPr>
                <w:bCs/>
                <w:lang w:val="nb-NO"/>
              </w:rPr>
            </w:pPr>
            <w:r w:rsidRPr="00A942F6">
              <w:rPr>
                <w:color w:val="231F20"/>
                <w:lang w:val="nb-NO"/>
              </w:rPr>
              <w:t xml:space="preserve">Vask hendene med såpe og vann, og tørk dem grundig (se </w:t>
            </w:r>
            <w:r w:rsidRPr="00A942F6">
              <w:rPr>
                <w:b/>
                <w:color w:val="231F20"/>
                <w:lang w:val="nb-NO"/>
              </w:rPr>
              <w:t>figur G</w:t>
            </w:r>
            <w:r w:rsidRPr="00A942F6">
              <w:rPr>
                <w:color w:val="231F20"/>
                <w:lang w:val="nb-NO"/>
              </w:rPr>
              <w:t>).</w:t>
            </w:r>
          </w:p>
          <w:p w14:paraId="7D6A8C4A" w14:textId="77777777" w:rsidR="00EA08FF" w:rsidRPr="00A942F6" w:rsidRDefault="00EA08FF">
            <w:pPr>
              <w:widowControl w:val="0"/>
              <w:rPr>
                <w:rFonts w:eastAsia="새굴림" w:cs="새굴림"/>
                <w:lang w:val="nb-NO"/>
              </w:rPr>
            </w:pPr>
          </w:p>
        </w:tc>
      </w:tr>
      <w:tr w:rsidR="001F0013" w:rsidRPr="00B477E5" w14:paraId="726D5B18" w14:textId="77777777">
        <w:trPr>
          <w:cantSplit/>
        </w:trPr>
        <w:tc>
          <w:tcPr>
            <w:tcW w:w="3539" w:type="dxa"/>
          </w:tcPr>
          <w:p w14:paraId="19BD6182" w14:textId="7F3E6176"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3AD9B69A" wp14:editId="7B55F69C">
                  <wp:extent cx="2084705" cy="3559810"/>
                  <wp:effectExtent l="19050" t="19050" r="0" b="2540"/>
                  <wp:docPr id="28" name="그림 1191617134" descr="스케치, 화이트, 그림,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91617134" descr="스케치, 화이트, 그림, 텍스트이(가) 표시된 사진&#10;&#10;자동 생성된 설명"/>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84705" cy="3559810"/>
                          </a:xfrm>
                          <a:prstGeom prst="rect">
                            <a:avLst/>
                          </a:prstGeom>
                          <a:noFill/>
                          <a:ln w="9525" cmpd="sng">
                            <a:solidFill>
                              <a:srgbClr val="000000"/>
                            </a:solidFill>
                            <a:miter lim="800000"/>
                            <a:headEnd/>
                            <a:tailEnd/>
                          </a:ln>
                          <a:effectLst/>
                        </pic:spPr>
                      </pic:pic>
                    </a:graphicData>
                  </a:graphic>
                </wp:inline>
              </w:drawing>
            </w:r>
          </w:p>
          <w:p w14:paraId="1152699C" w14:textId="5EF0F929"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76672" behindDoc="0" locked="1" layoutInCell="1" allowOverlap="1" wp14:anchorId="734E969E" wp14:editId="7E034813">
                      <wp:simplePos x="0" y="0"/>
                      <wp:positionH relativeFrom="column">
                        <wp:posOffset>481330</wp:posOffset>
                      </wp:positionH>
                      <wp:positionV relativeFrom="paragraph">
                        <wp:posOffset>-1169670</wp:posOffset>
                      </wp:positionV>
                      <wp:extent cx="1247140" cy="655320"/>
                      <wp:effectExtent l="0" t="0" r="0" b="0"/>
                      <wp:wrapNone/>
                      <wp:docPr id="11338353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655320"/>
                              </a:xfrm>
                              <a:prstGeom prst="rect">
                                <a:avLst/>
                              </a:prstGeom>
                              <a:noFill/>
                              <a:ln>
                                <a:noFill/>
                              </a:ln>
                            </wps:spPr>
                            <wps:txbx>
                              <w:txbxContent>
                                <w:p w14:paraId="565116B7" w14:textId="7A7AD47E" w:rsidR="003B558D" w:rsidRPr="009B40A5" w:rsidRDefault="003B558D" w:rsidP="00434BCD">
                                  <w:pPr>
                                    <w:ind w:left="284" w:hanging="284"/>
                                    <w:rPr>
                                      <w:rFonts w:cs="Times New Roman"/>
                                      <w:b/>
                                      <w:bCs/>
                                      <w:sz w:val="20"/>
                                      <w:szCs w:val="20"/>
                                      <w:lang w:val="nb-NO"/>
                                    </w:rPr>
                                  </w:pPr>
                                  <w:r w:rsidRPr="00434BCD">
                                    <w:rPr>
                                      <w:rFonts w:cs="Times New Roman"/>
                                      <w:b/>
                                      <w:bCs/>
                                      <w:sz w:val="20"/>
                                      <w:szCs w:val="20"/>
                                    </w:rPr>
                                    <w:tab/>
                                  </w:r>
                                  <w:r w:rsidR="00AA514F" w:rsidRPr="00434BCD">
                                    <w:rPr>
                                      <w:rFonts w:cs="Times New Roman"/>
                                      <w:b/>
                                      <w:bCs/>
                                      <w:sz w:val="20"/>
                                      <w:szCs w:val="20"/>
                                      <w:lang w:val="es-ES"/>
                                    </w:rPr>
                                    <w:t>Injeksjon satt selv eller av omsorgsperson/</w:t>
                                  </w:r>
                                  <w:r w:rsidR="00217436">
                                    <w:rPr>
                                      <w:rFonts w:cs="Times New Roman"/>
                                      <w:b/>
                                      <w:bCs/>
                                      <w:sz w:val="20"/>
                                      <w:szCs w:val="20"/>
                                      <w:lang w:val="es-ES"/>
                                    </w:rPr>
                                    <w:br/>
                                  </w:r>
                                  <w:r w:rsidR="00AA514F" w:rsidRPr="00434BCD">
                                    <w:rPr>
                                      <w:rFonts w:cs="Times New Roman"/>
                                      <w:b/>
                                      <w:bCs/>
                                      <w:sz w:val="20"/>
                                      <w:szCs w:val="20"/>
                                      <w:lang w:val="es-ES"/>
                                    </w:rPr>
                                    <w:t>helsepersonell</w:t>
                                  </w:r>
                                </w:p>
                                <w:p w14:paraId="7FE150D4" w14:textId="77777777" w:rsidR="003B558D" w:rsidRPr="00434BCD" w:rsidRDefault="003B558D" w:rsidP="00EA08FF">
                                  <w:pPr>
                                    <w:spacing w:line="264" w:lineRule="auto"/>
                                    <w:ind w:left="284" w:hanging="284"/>
                                    <w:rPr>
                                      <w:rFonts w:cs="Times New Roman"/>
                                      <w:b/>
                                      <w:bCs/>
                                      <w:sz w:val="20"/>
                                      <w:szCs w:val="20"/>
                                      <w:lang w:val="es-E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4E969E" id="Text Box 17" o:spid="_x0000_s1071" type="#_x0000_t202" style="position:absolute;left:0;text-align:left;margin-left:37.9pt;margin-top:-92.1pt;width:98.2pt;height:51.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" filled="f" stroked="f">
                      <v:textbox inset="0,0,0,0">
                        <w:txbxContent>
                          <w:p w14:paraId="565116B7" w14:textId="7A7AD47E" w:rsidR="003B558D" w:rsidRPr="009B40A5" w:rsidRDefault="003B558D" w:rsidP="00434BCD">
                            <w:pPr>
                              <w:ind w:left="284" w:hanging="284"/>
                              <w:rPr>
                                <w:rFonts w:cs="Times New Roman"/>
                                <w:b/>
                                <w:bCs/>
                                <w:sz w:val="20"/>
                                <w:szCs w:val="20"/>
                                <w:lang w:val="nb-NO"/>
                              </w:rPr>
                            </w:pPr>
                            <w:r w:rsidRPr="00434BCD">
                              <w:rPr>
                                <w:rFonts w:cs="Times New Roman"/>
                                <w:b/>
                                <w:bCs/>
                                <w:sz w:val="20"/>
                                <w:szCs w:val="20"/>
                              </w:rPr>
                              <w:tab/>
                            </w:r>
                            <w:r w:rsidR="00AA514F" w:rsidRPr="00434BCD">
                              <w:rPr>
                                <w:rFonts w:cs="Times New Roman"/>
                                <w:b/>
                                <w:bCs/>
                                <w:sz w:val="20"/>
                                <w:szCs w:val="20"/>
                                <w:lang w:val="es-ES"/>
                              </w:rPr>
                              <w:t>Injeksjon satt selv eller av omsorgsperson/</w:t>
                            </w:r>
                            <w:r w:rsidR="00217436">
                              <w:rPr>
                                <w:rFonts w:cs="Times New Roman"/>
                                <w:b/>
                                <w:bCs/>
                                <w:sz w:val="20"/>
                                <w:szCs w:val="20"/>
                                <w:lang w:val="es-ES"/>
                              </w:rPr>
                              <w:br/>
                            </w:r>
                            <w:r w:rsidR="00AA514F" w:rsidRPr="00434BCD">
                              <w:rPr>
                                <w:rFonts w:cs="Times New Roman"/>
                                <w:b/>
                                <w:bCs/>
                                <w:sz w:val="20"/>
                                <w:szCs w:val="20"/>
                                <w:lang w:val="es-ES"/>
                              </w:rPr>
                              <w:t>helsepersonell</w:t>
                            </w:r>
                          </w:p>
                          <w:p w14:paraId="7FE150D4" w14:textId="77777777" w:rsidR="003B558D" w:rsidRPr="00434BCD" w:rsidRDefault="003B558D" w:rsidP="00EA08FF">
                            <w:pPr>
                              <w:spacing w:line="264" w:lineRule="auto"/>
                              <w:ind w:left="284" w:hanging="284"/>
                              <w:rPr>
                                <w:rFonts w:cs="Times New Roman"/>
                                <w:b/>
                                <w:bCs/>
                                <w:sz w:val="20"/>
                                <w:szCs w:val="20"/>
                                <w:lang w:val="es-ES"/>
                              </w:rPr>
                            </w:pPr>
                          </w:p>
                        </w:txbxContent>
                      </v:textbox>
                      <w10:anchorlock/>
                    </v:shape>
                  </w:pict>
                </mc:Fallback>
              </mc:AlternateContent>
            </w:r>
            <w:r>
              <w:rPr>
                <w:noProof/>
                <w:lang w:eastAsia="ko-KR"/>
              </w:rPr>
              <mc:AlternateContent>
                <mc:Choice Requires="wps">
                  <w:drawing>
                    <wp:anchor distT="45720" distB="45720" distL="114300" distR="114300" simplePos="0" relativeHeight="251677696" behindDoc="0" locked="1" layoutInCell="1" allowOverlap="1" wp14:anchorId="62A2A369" wp14:editId="1B0B1BA6">
                      <wp:simplePos x="0" y="0"/>
                      <wp:positionH relativeFrom="column">
                        <wp:posOffset>633095</wp:posOffset>
                      </wp:positionH>
                      <wp:positionV relativeFrom="paragraph">
                        <wp:posOffset>-494030</wp:posOffset>
                      </wp:positionV>
                      <wp:extent cx="1343660" cy="482600"/>
                      <wp:effectExtent l="0" t="0" r="0" b="0"/>
                      <wp:wrapNone/>
                      <wp:docPr id="163482067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482600"/>
                              </a:xfrm>
                              <a:prstGeom prst="rect">
                                <a:avLst/>
                              </a:prstGeom>
                              <a:noFill/>
                              <a:ln>
                                <a:noFill/>
                              </a:ln>
                            </wps:spPr>
                            <wps:txbx>
                              <w:txbxContent>
                                <w:p w14:paraId="2154D2F0" w14:textId="4FF738D7" w:rsidR="003B558D" w:rsidRPr="00434BCD" w:rsidRDefault="00AA514F" w:rsidP="00434BCD">
                                  <w:pPr>
                                    <w:rPr>
                                      <w:rFonts w:cs="Times New Roman"/>
                                      <w:b/>
                                      <w:bCs/>
                                      <w:sz w:val="20"/>
                                      <w:szCs w:val="20"/>
                                      <w:lang w:val="es-ES"/>
                                    </w:rPr>
                                  </w:pPr>
                                  <w:r w:rsidRPr="00434BCD">
                                    <w:rPr>
                                      <w:rFonts w:cs="Times New Roman"/>
                                      <w:b/>
                                      <w:bCs/>
                                      <w:sz w:val="20"/>
                                      <w:szCs w:val="20"/>
                                    </w:rPr>
                                    <w:t>KUN omsorgsperson og helsepersonell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A2A369" id="Text Box 15" o:spid="_x0000_s1072" type="#_x0000_t202" style="position:absolute;left:0;text-align:left;margin-left:49.85pt;margin-top:-38.9pt;width:105.8pt;height:3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" filled="f" stroked="f">
                      <v:textbox inset="0,0,0,0">
                        <w:txbxContent>
                          <w:p w14:paraId="2154D2F0" w14:textId="4FF738D7" w:rsidR="003B558D" w:rsidRPr="00434BCD" w:rsidRDefault="00AA514F" w:rsidP="00434BCD">
                            <w:pPr>
                              <w:rPr>
                                <w:rFonts w:cs="Times New Roman"/>
                                <w:b/>
                                <w:bCs/>
                                <w:sz w:val="20"/>
                                <w:szCs w:val="20"/>
                                <w:lang w:val="es-ES"/>
                              </w:rPr>
                            </w:pPr>
                            <w:r w:rsidRPr="00434BCD">
                              <w:rPr>
                                <w:rFonts w:cs="Times New Roman"/>
                                <w:b/>
                                <w:bCs/>
                                <w:sz w:val="20"/>
                                <w:szCs w:val="20"/>
                              </w:rPr>
                              <w:t>KUN omsorgsperson og helsepersonell</w:t>
                            </w:r>
                          </w:p>
                        </w:txbxContent>
                      </v:textbox>
                      <w10:anchorlock/>
                    </v:shape>
                  </w:pict>
                </mc:Fallback>
              </mc:AlternateContent>
            </w:r>
            <w:r w:rsidR="00EA08FF" w:rsidRPr="00A942F6">
              <w:rPr>
                <w:rFonts w:eastAsia="새굴림" w:cs="새굴림"/>
                <w:b/>
                <w:lang w:val="nb-NO"/>
              </w:rPr>
              <w:t>Figur H</w:t>
            </w:r>
          </w:p>
        </w:tc>
        <w:tc>
          <w:tcPr>
            <w:tcW w:w="5517" w:type="dxa"/>
          </w:tcPr>
          <w:p w14:paraId="21AA2DB0"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Velg et egnet injeksjonssted (se figur H).</w:t>
            </w:r>
          </w:p>
          <w:p w14:paraId="18A76C44" w14:textId="77777777" w:rsidR="00EA08FF" w:rsidRPr="00A942F6" w:rsidRDefault="00EA08FF">
            <w:pPr>
              <w:pStyle w:val="Default"/>
              <w:ind w:left="567" w:hanging="567"/>
              <w:rPr>
                <w:rFonts w:ascii="Times New Roman" w:hAnsi="Times New Roman" w:cs="Times New Roman"/>
                <w:bCs/>
                <w:sz w:val="22"/>
                <w:szCs w:val="22"/>
              </w:rPr>
            </w:pPr>
          </w:p>
          <w:p w14:paraId="69F13070" w14:textId="77777777" w:rsidR="00EA08FF" w:rsidRPr="00A942F6" w:rsidRDefault="00EA08FF" w:rsidP="007814F8">
            <w:pPr>
              <w:pStyle w:val="a4"/>
              <w:numPr>
                <w:ilvl w:val="0"/>
                <w:numId w:val="50"/>
              </w:numPr>
              <w:autoSpaceDE/>
              <w:autoSpaceDN/>
              <w:ind w:left="567" w:hanging="567"/>
              <w:rPr>
                <w:bCs/>
                <w:lang w:val="nb-NO"/>
              </w:rPr>
            </w:pPr>
            <w:r w:rsidRPr="00A942F6">
              <w:rPr>
                <w:lang w:val="nb-NO"/>
              </w:rPr>
              <w:t>Du kan sette injeksjonen i</w:t>
            </w:r>
            <w:r w:rsidRPr="00A942F6">
              <w:rPr>
                <w:b/>
                <w:lang w:val="nb-NO"/>
              </w:rPr>
              <w:t xml:space="preserve"> </w:t>
            </w:r>
          </w:p>
          <w:p w14:paraId="64DC1A51" w14:textId="77777777" w:rsidR="00EA08FF" w:rsidRPr="00A942F6" w:rsidRDefault="00EA08FF" w:rsidP="007814F8">
            <w:pPr>
              <w:pStyle w:val="a4"/>
              <w:numPr>
                <w:ilvl w:val="0"/>
                <w:numId w:val="32"/>
              </w:numPr>
              <w:autoSpaceDE/>
              <w:autoSpaceDN/>
              <w:ind w:left="1134" w:hanging="567"/>
              <w:rPr>
                <w:color w:val="231F20"/>
                <w:lang w:val="nb-NO"/>
              </w:rPr>
            </w:pPr>
            <w:r w:rsidRPr="00A942F6">
              <w:rPr>
                <w:color w:val="231F20"/>
                <w:lang w:val="nb-NO"/>
              </w:rPr>
              <w:t>foran på låret</w:t>
            </w:r>
          </w:p>
          <w:p w14:paraId="6AEA8943" w14:textId="77777777" w:rsidR="00EA08FF" w:rsidRPr="00A942F6" w:rsidRDefault="00EA08FF" w:rsidP="007814F8">
            <w:pPr>
              <w:pStyle w:val="a4"/>
              <w:numPr>
                <w:ilvl w:val="0"/>
                <w:numId w:val="32"/>
              </w:numPr>
              <w:autoSpaceDE/>
              <w:autoSpaceDN/>
              <w:ind w:left="1134" w:hanging="567"/>
              <w:rPr>
                <w:lang w:val="nb-NO"/>
              </w:rPr>
            </w:pPr>
            <w:r w:rsidRPr="00A942F6">
              <w:rPr>
                <w:color w:val="231F20"/>
                <w:lang w:val="nb-NO"/>
              </w:rPr>
              <w:t>magen, bortsett fra et område på 5 cm rundt navlen</w:t>
            </w:r>
          </w:p>
          <w:p w14:paraId="42A0C880" w14:textId="77777777" w:rsidR="00EA08FF" w:rsidRPr="00A942F6" w:rsidRDefault="00EA08FF" w:rsidP="007814F8">
            <w:pPr>
              <w:pStyle w:val="a4"/>
              <w:numPr>
                <w:ilvl w:val="0"/>
                <w:numId w:val="32"/>
              </w:numPr>
              <w:autoSpaceDE/>
              <w:autoSpaceDN/>
              <w:ind w:left="1134" w:hanging="567"/>
              <w:rPr>
                <w:lang w:val="nb-NO"/>
              </w:rPr>
            </w:pPr>
            <w:r w:rsidRPr="00A942F6">
              <w:rPr>
                <w:color w:val="231F20"/>
                <w:lang w:val="nb-NO"/>
              </w:rPr>
              <w:t>yttersiden av overarmen (bare hvis du er omsorgsperson eller helsepersonell)</w:t>
            </w:r>
          </w:p>
          <w:p w14:paraId="2D38A567" w14:textId="77777777" w:rsidR="00EA08FF" w:rsidRPr="00A942F6" w:rsidRDefault="00EA08FF">
            <w:pPr>
              <w:pStyle w:val="a4"/>
              <w:ind w:left="567" w:hanging="567"/>
              <w:rPr>
                <w:lang w:val="nb-NO"/>
              </w:rPr>
            </w:pPr>
          </w:p>
          <w:p w14:paraId="712E1E28"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sett injeksjonen i overarmen selv.</w:t>
            </w:r>
          </w:p>
          <w:p w14:paraId="1147D826"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Velg et nytt injeksjonssted for hver nye injeksjon, minst 2,5 cm fra forrige injeksjonssted.</w:t>
            </w:r>
          </w:p>
          <w:p w14:paraId="0C3BE7C6"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injiser i føflekker, arr, blåmerker eller områder hvor huden er øm, rød eller hard.</w:t>
            </w:r>
          </w:p>
          <w:p w14:paraId="713752B8" w14:textId="77777777" w:rsidR="00EA08FF" w:rsidRPr="00A942F6" w:rsidRDefault="00EA08FF">
            <w:pPr>
              <w:widowControl w:val="0"/>
              <w:rPr>
                <w:rFonts w:eastAsia="새굴림" w:cs="새굴림"/>
                <w:lang w:val="nb-NO"/>
              </w:rPr>
            </w:pPr>
          </w:p>
        </w:tc>
      </w:tr>
      <w:tr w:rsidR="001F0013" w:rsidRPr="00B477E5" w14:paraId="3061B1E6" w14:textId="77777777">
        <w:trPr>
          <w:cantSplit/>
        </w:trPr>
        <w:tc>
          <w:tcPr>
            <w:tcW w:w="3539" w:type="dxa"/>
          </w:tcPr>
          <w:p w14:paraId="684CAA77" w14:textId="0F326A2A" w:rsidR="00EA08FF" w:rsidRPr="00A942F6" w:rsidRDefault="00D94A8B">
            <w:pPr>
              <w:widowControl w:val="0"/>
              <w:suppressAutoHyphens/>
              <w:jc w:val="right"/>
              <w:rPr>
                <w:rFonts w:eastAsia="새굴림" w:cs="새굴림"/>
                <w:noProof/>
                <w:lang w:val="nb-NO"/>
              </w:rPr>
            </w:pPr>
            <w:r>
              <w:rPr>
                <w:rFonts w:eastAsia="새굴림" w:cs="새굴림"/>
                <w:noProof/>
                <w:lang w:eastAsia="ko-KR"/>
              </w:rPr>
              <w:lastRenderedPageBreak/>
              <w:drawing>
                <wp:inline distT="0" distB="0" distL="0" distR="0" wp14:anchorId="6A38F3C0" wp14:editId="6071F78B">
                  <wp:extent cx="2084705" cy="2536190"/>
                  <wp:effectExtent l="19050" t="19050" r="0" b="0"/>
                  <wp:docPr id="29" name="그림 1770762785" descr="라인 아트, 스케치, 클립아트, 컬러링북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70762785" descr="라인 아트, 스케치, 클립아트, 컬러링북이(가) 표시된 사진&#10;&#10;자동 생성된 설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60349615"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I</w:t>
            </w:r>
          </w:p>
        </w:tc>
        <w:tc>
          <w:tcPr>
            <w:tcW w:w="5517" w:type="dxa"/>
          </w:tcPr>
          <w:p w14:paraId="5C6E9153"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Rens injeksjonsstedet.</w:t>
            </w:r>
          </w:p>
          <w:p w14:paraId="18C9F3FF" w14:textId="77777777" w:rsidR="00EA08FF" w:rsidRPr="00A942F6" w:rsidRDefault="00EA08FF">
            <w:pPr>
              <w:pStyle w:val="Default"/>
              <w:ind w:left="567" w:hanging="567"/>
              <w:rPr>
                <w:rFonts w:ascii="Times New Roman" w:hAnsi="Times New Roman" w:cs="Times New Roman"/>
                <w:sz w:val="22"/>
                <w:szCs w:val="22"/>
              </w:rPr>
            </w:pPr>
          </w:p>
          <w:p w14:paraId="16A2451F" w14:textId="77777777" w:rsidR="00EA08FF" w:rsidRPr="00A942F6" w:rsidRDefault="00EA08FF" w:rsidP="007814F8">
            <w:pPr>
              <w:pStyle w:val="a4"/>
              <w:numPr>
                <w:ilvl w:val="0"/>
                <w:numId w:val="48"/>
              </w:numPr>
              <w:autoSpaceDE/>
              <w:autoSpaceDN/>
              <w:ind w:left="567" w:hanging="567"/>
              <w:rPr>
                <w:bCs/>
                <w:lang w:val="nb-NO"/>
              </w:rPr>
            </w:pPr>
            <w:r w:rsidRPr="00A942F6">
              <w:rPr>
                <w:lang w:val="nb-NO"/>
              </w:rPr>
              <w:t xml:space="preserve">Vask injeksjonsstedet </w:t>
            </w:r>
            <w:r w:rsidRPr="00A942F6">
              <w:rPr>
                <w:color w:val="231F20"/>
                <w:lang w:val="nb-NO"/>
              </w:rPr>
              <w:t xml:space="preserve">med en spritserviett, og la det lufttørke (se </w:t>
            </w:r>
            <w:r w:rsidRPr="00A942F6">
              <w:rPr>
                <w:b/>
                <w:color w:val="231F20"/>
                <w:lang w:val="nb-NO"/>
              </w:rPr>
              <w:t>figur I</w:t>
            </w:r>
            <w:r w:rsidRPr="00A942F6">
              <w:rPr>
                <w:color w:val="231F20"/>
                <w:lang w:val="nb-NO"/>
              </w:rPr>
              <w:t>). Dette vil redusere faren for infeksjon</w:t>
            </w:r>
            <w:r w:rsidRPr="00A942F6">
              <w:rPr>
                <w:lang w:val="nb-NO"/>
              </w:rPr>
              <w:t>.</w:t>
            </w:r>
          </w:p>
          <w:p w14:paraId="6A4274AD"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rør injeksjonsstedet igjen før du utfører injeksjonen.</w:t>
            </w:r>
          </w:p>
          <w:p w14:paraId="1282F674"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vift eller blås på det rene området.</w:t>
            </w:r>
          </w:p>
          <w:p w14:paraId="45357F4E" w14:textId="77777777" w:rsidR="00EA08FF" w:rsidRPr="00A942F6" w:rsidRDefault="00EA08FF">
            <w:pPr>
              <w:widowControl w:val="0"/>
              <w:rPr>
                <w:rFonts w:eastAsia="새굴림" w:cs="새굴림"/>
                <w:lang w:val="nb-NO"/>
              </w:rPr>
            </w:pPr>
          </w:p>
        </w:tc>
      </w:tr>
    </w:tbl>
    <w:p w14:paraId="2846CD52" w14:textId="77777777" w:rsidR="00EA08FF" w:rsidRPr="00A942F6" w:rsidRDefault="00EA08FF" w:rsidP="00EA08FF">
      <w:pPr>
        <w:rPr>
          <w:lang w:val="nb-NO"/>
        </w:rPr>
      </w:pPr>
    </w:p>
    <w:p w14:paraId="3F3F8241" w14:textId="77777777" w:rsidR="00EA08FF" w:rsidRPr="00A942F6" w:rsidRDefault="00EA08FF" w:rsidP="00EA08FF">
      <w:pPr>
        <w:keepNext/>
        <w:rPr>
          <w:b/>
          <w:bCs/>
          <w:lang w:val="nb-NO"/>
        </w:rPr>
      </w:pPr>
      <w:r w:rsidRPr="00A942F6">
        <w:rPr>
          <w:b/>
          <w:lang w:val="nb-NO"/>
        </w:rPr>
        <w:t>Administering av injeksjonen</w:t>
      </w:r>
    </w:p>
    <w:p w14:paraId="0274CBB0" w14:textId="77777777" w:rsidR="00EA08FF" w:rsidRPr="00A942F6" w:rsidRDefault="00EA08FF" w:rsidP="00EA08FF">
      <w:pPr>
        <w:keepNext/>
        <w:rPr>
          <w:b/>
          <w:bCs/>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1F0013" w:rsidRPr="00B477E5" w14:paraId="1163AA22" w14:textId="77777777">
        <w:trPr>
          <w:cantSplit/>
        </w:trPr>
        <w:tc>
          <w:tcPr>
            <w:tcW w:w="3539" w:type="dxa"/>
          </w:tcPr>
          <w:p w14:paraId="55B6CAC5" w14:textId="6DFEBBB8"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0C5084D3" wp14:editId="499885E8">
                  <wp:extent cx="2084705" cy="2536190"/>
                  <wp:effectExtent l="19050" t="19050" r="0" b="0"/>
                  <wp:docPr id="30" name="그림 1895579912" descr="스케치, 그림, 클립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95579912" descr="스케치, 그림, 클립아트, 일러스트레이션이(가) 표시된 사진&#10;&#10;자동 생성된 설명"/>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608DCB5F" w14:textId="7059E811"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78720" behindDoc="0" locked="1" layoutInCell="1" allowOverlap="1" wp14:anchorId="4D2D8734" wp14:editId="424BC88F">
                      <wp:simplePos x="0" y="0"/>
                      <wp:positionH relativeFrom="column">
                        <wp:posOffset>1118870</wp:posOffset>
                      </wp:positionH>
                      <wp:positionV relativeFrom="paragraph">
                        <wp:posOffset>-1697355</wp:posOffset>
                      </wp:positionV>
                      <wp:extent cx="971550" cy="482600"/>
                      <wp:effectExtent l="0" t="0" r="0" b="0"/>
                      <wp:wrapNone/>
                      <wp:docPr id="10946967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82600"/>
                              </a:xfrm>
                              <a:prstGeom prst="rect">
                                <a:avLst/>
                              </a:prstGeom>
                              <a:noFill/>
                              <a:ln w="9525">
                                <a:noFill/>
                                <a:miter lim="800000"/>
                                <a:headEnd/>
                                <a:tailEnd/>
                              </a:ln>
                            </wps:spPr>
                            <wps:txbx>
                              <w:txbxContent>
                                <w:p w14:paraId="168A81DA" w14:textId="7C9B8016" w:rsidR="003B558D" w:rsidRPr="00434BCD" w:rsidRDefault="00AA514F" w:rsidP="00434BCD">
                                  <w:pPr>
                                    <w:rPr>
                                      <w:rFonts w:cs="Times New Roman"/>
                                      <w:b/>
                                      <w:bCs/>
                                      <w:sz w:val="26"/>
                                      <w:szCs w:val="26"/>
                                      <w:lang w:val="es-ES"/>
                                    </w:rPr>
                                  </w:pPr>
                                  <w:r w:rsidRPr="00434BCD">
                                    <w:rPr>
                                      <w:rFonts w:cs="Times New Roman"/>
                                      <w:b/>
                                      <w:bCs/>
                                      <w:sz w:val="26"/>
                                      <w:szCs w:val="26"/>
                                      <w:lang w:val="es-ES"/>
                                    </w:rPr>
                                    <w:t>Kanylehette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D8734" id="Text Box 13" o:spid="_x0000_s1073" type="#_x0000_t202" style="position:absolute;left:0;text-align:left;margin-left:88.1pt;margin-top:-133.65pt;width:76.5pt;height:3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" filled="f" stroked="f">
                      <v:textbox inset="0,0,0,0">
                        <w:txbxContent>
                          <w:p w14:paraId="168A81DA" w14:textId="7C9B8016" w:rsidR="003B558D" w:rsidRPr="00434BCD" w:rsidRDefault="00AA514F" w:rsidP="00434BCD">
                            <w:pPr>
                              <w:rPr>
                                <w:rFonts w:cs="Times New Roman"/>
                                <w:b/>
                                <w:bCs/>
                                <w:sz w:val="26"/>
                                <w:szCs w:val="26"/>
                                <w:lang w:val="es-ES"/>
                              </w:rPr>
                            </w:pPr>
                            <w:r w:rsidRPr="00434BCD">
                              <w:rPr>
                                <w:rFonts w:cs="Times New Roman"/>
                                <w:b/>
                                <w:bCs/>
                                <w:sz w:val="26"/>
                                <w:szCs w:val="26"/>
                                <w:lang w:val="es-ES"/>
                              </w:rPr>
                              <w:t>Kanylehette</w:t>
                            </w:r>
                          </w:p>
                        </w:txbxContent>
                      </v:textbox>
                      <w10:anchorlock/>
                    </v:shape>
                  </w:pict>
                </mc:Fallback>
              </mc:AlternateContent>
            </w:r>
            <w:r w:rsidR="00EA08FF" w:rsidRPr="00A942F6">
              <w:rPr>
                <w:rFonts w:eastAsia="새굴림" w:cs="새굴림"/>
                <w:b/>
                <w:lang w:val="nb-NO"/>
              </w:rPr>
              <w:t>Figur J</w:t>
            </w:r>
          </w:p>
        </w:tc>
        <w:tc>
          <w:tcPr>
            <w:tcW w:w="5517" w:type="dxa"/>
          </w:tcPr>
          <w:p w14:paraId="3ABFEA42" w14:textId="77777777" w:rsidR="00EA08FF" w:rsidRPr="00A942F6" w:rsidRDefault="00EA08FF" w:rsidP="007814F8">
            <w:pPr>
              <w:pStyle w:val="a4"/>
              <w:numPr>
                <w:ilvl w:val="0"/>
                <w:numId w:val="42"/>
              </w:numPr>
              <w:autoSpaceDE/>
              <w:autoSpaceDN/>
              <w:ind w:left="567" w:hanging="567"/>
              <w:rPr>
                <w:b/>
                <w:lang w:val="nb-NO"/>
              </w:rPr>
            </w:pPr>
            <w:r w:rsidRPr="00A942F6">
              <w:rPr>
                <w:b/>
                <w:lang w:val="nb-NO"/>
              </w:rPr>
              <w:t>Fjern hetten.</w:t>
            </w:r>
          </w:p>
          <w:p w14:paraId="6F8AAB48" w14:textId="77777777" w:rsidR="00EA08FF" w:rsidRPr="00A942F6" w:rsidRDefault="00EA08FF">
            <w:pPr>
              <w:pStyle w:val="Default"/>
              <w:keepNext/>
              <w:ind w:left="567" w:hanging="567"/>
              <w:rPr>
                <w:rFonts w:ascii="Times New Roman" w:hAnsi="Times New Roman" w:cs="Times New Roman"/>
                <w:sz w:val="22"/>
                <w:szCs w:val="22"/>
              </w:rPr>
            </w:pPr>
          </w:p>
          <w:p w14:paraId="35D9EA09" w14:textId="77777777" w:rsidR="00EA08FF" w:rsidRPr="00A942F6" w:rsidRDefault="00EA08FF" w:rsidP="007814F8">
            <w:pPr>
              <w:pStyle w:val="a4"/>
              <w:keepNext/>
              <w:numPr>
                <w:ilvl w:val="0"/>
                <w:numId w:val="49"/>
              </w:numPr>
              <w:autoSpaceDE/>
              <w:autoSpaceDN/>
              <w:ind w:left="567" w:hanging="567"/>
              <w:rPr>
                <w:bCs/>
                <w:lang w:val="nb-NO"/>
              </w:rPr>
            </w:pPr>
            <w:r w:rsidRPr="00A942F6">
              <w:rPr>
                <w:color w:val="231F20"/>
                <w:lang w:val="nb-NO"/>
              </w:rPr>
              <w:t>Hold den ferdigfylte pennen i injeksjonsdelen med hetten øverst med én hånd.</w:t>
            </w:r>
            <w:r w:rsidRPr="00A942F6">
              <w:rPr>
                <w:color w:val="231F20"/>
                <w:lang w:val="nb-NO"/>
              </w:rPr>
              <w:br/>
            </w:r>
            <w:r w:rsidRPr="00A942F6">
              <w:rPr>
                <w:lang w:val="nb-NO"/>
              </w:rPr>
              <w:t xml:space="preserve">Dra hetten forsiktig av med den andre hånden (se </w:t>
            </w:r>
            <w:r w:rsidRPr="00A942F6">
              <w:rPr>
                <w:b/>
                <w:lang w:val="nb-NO"/>
              </w:rPr>
              <w:t>figur J</w:t>
            </w:r>
            <w:r w:rsidRPr="00A942F6">
              <w:rPr>
                <w:lang w:val="nb-NO"/>
              </w:rPr>
              <w:t>).</w:t>
            </w:r>
          </w:p>
          <w:p w14:paraId="03F41EEF" w14:textId="77777777" w:rsidR="00EA08FF" w:rsidRPr="00A942F6" w:rsidRDefault="00EA08FF">
            <w:pPr>
              <w:pStyle w:val="a4"/>
              <w:ind w:left="567"/>
              <w:rPr>
                <w:bCs/>
                <w:noProof/>
                <w:lang w:val="nb-NO"/>
              </w:rPr>
            </w:pPr>
            <w:r w:rsidRPr="00A942F6">
              <w:rPr>
                <w:i/>
                <w:lang w:val="nb-NO"/>
              </w:rPr>
              <w:t>Merk</w:t>
            </w:r>
            <w:r w:rsidRPr="00A942F6">
              <w:rPr>
                <w:lang w:val="nb-NO"/>
              </w:rPr>
              <w:t>: Dersom du ikke får til å fjerne hetten, må du spørre en omsorgsperson om hjelp eller rådføre deg med helsepersonell.</w:t>
            </w:r>
          </w:p>
          <w:p w14:paraId="47536B20" w14:textId="77777777" w:rsidR="00EA08FF" w:rsidRPr="00A942F6" w:rsidRDefault="00EA08FF" w:rsidP="007814F8">
            <w:pPr>
              <w:pStyle w:val="a4"/>
              <w:keepNext/>
              <w:numPr>
                <w:ilvl w:val="0"/>
                <w:numId w:val="49"/>
              </w:numPr>
              <w:autoSpaceDE/>
              <w:autoSpaceDN/>
              <w:ind w:left="567" w:hanging="567"/>
              <w:rPr>
                <w:color w:val="231F20"/>
                <w:lang w:val="nb-NO"/>
              </w:rPr>
            </w:pPr>
            <w:r w:rsidRPr="00A942F6">
              <w:rPr>
                <w:color w:val="231F20"/>
                <w:lang w:val="nb-NO"/>
              </w:rPr>
              <w:t xml:space="preserve">Kast hetten umiddelbart i beholderen for skarpe gjenstander (se </w:t>
            </w:r>
            <w:r w:rsidRPr="00A942F6">
              <w:rPr>
                <w:b/>
                <w:color w:val="231F20"/>
                <w:lang w:val="nb-NO"/>
              </w:rPr>
              <w:t>trinn 14</w:t>
            </w:r>
            <w:r w:rsidRPr="00A942F6">
              <w:rPr>
                <w:color w:val="231F20"/>
                <w:lang w:val="nb-NO"/>
              </w:rPr>
              <w:t xml:space="preserve"> og </w:t>
            </w:r>
            <w:r w:rsidRPr="00A942F6">
              <w:rPr>
                <w:b/>
                <w:color w:val="231F20"/>
                <w:lang w:val="nb-NO"/>
              </w:rPr>
              <w:t>figur O</w:t>
            </w:r>
            <w:r w:rsidRPr="00A942F6">
              <w:rPr>
                <w:color w:val="231F20"/>
                <w:lang w:val="nb-NO"/>
              </w:rPr>
              <w:t>)</w:t>
            </w:r>
          </w:p>
          <w:p w14:paraId="66417C38"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 xml:space="preserve">Du skal </w:t>
            </w:r>
            <w:r w:rsidRPr="00434BCD">
              <w:rPr>
                <w:rFonts w:cs="Arial"/>
                <w:b/>
                <w:bCs/>
                <w:lang w:val="sl-SI" w:eastAsia="ko-KR"/>
              </w:rPr>
              <w:t>ikke</w:t>
            </w:r>
            <w:r w:rsidRPr="00434BCD">
              <w:rPr>
                <w:rFonts w:cs="Arial"/>
                <w:lang w:val="sl-SI" w:eastAsia="ko-KR"/>
              </w:rPr>
              <w:t xml:space="preserve"> sette hetten tilbake på den ferdigfylte pennen.</w:t>
            </w:r>
          </w:p>
          <w:p w14:paraId="79476920"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rør nålebeskyttelsen som er på tuppen av den ferdigfylte pennen, for å unngå uhell med nålestikkskade.</w:t>
            </w:r>
          </w:p>
          <w:p w14:paraId="4398E956"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Etter at du har fjernet hetten, er den ferdigfylte pennen klar til bruk. Dersom den ferdigfylte pennen ikke brukes innen 3 minutter etter at hetten er fjernet, må pennen kastes i beholderen for skarpe gjenstander, og en ny ferdigfylt penn må brukes.</w:t>
            </w:r>
          </w:p>
          <w:p w14:paraId="5C3C53B2" w14:textId="77777777" w:rsidR="00EA08FF" w:rsidRPr="00A942F6" w:rsidRDefault="00EA08FF">
            <w:pPr>
              <w:widowControl w:val="0"/>
              <w:rPr>
                <w:rFonts w:eastAsia="새굴림" w:cs="새굴림"/>
                <w:lang w:val="nb-NO"/>
              </w:rPr>
            </w:pPr>
          </w:p>
        </w:tc>
      </w:tr>
      <w:tr w:rsidR="001F0013" w:rsidRPr="00B477E5" w14:paraId="4A069F98" w14:textId="77777777">
        <w:trPr>
          <w:cantSplit/>
        </w:trPr>
        <w:tc>
          <w:tcPr>
            <w:tcW w:w="3539" w:type="dxa"/>
          </w:tcPr>
          <w:p w14:paraId="3782A55B" w14:textId="72E05959" w:rsidR="00EA08FF" w:rsidRPr="00A942F6" w:rsidRDefault="00D94A8B">
            <w:pPr>
              <w:widowControl w:val="0"/>
              <w:suppressAutoHyphens/>
              <w:jc w:val="right"/>
              <w:rPr>
                <w:rFonts w:eastAsia="새굴림" w:cs="새굴림"/>
                <w:noProof/>
                <w:lang w:val="nb-NO"/>
              </w:rPr>
            </w:pPr>
            <w:r>
              <w:rPr>
                <w:rFonts w:eastAsia="새굴림" w:cs="새굴림"/>
                <w:noProof/>
                <w:lang w:eastAsia="ko-KR"/>
              </w:rPr>
              <w:lastRenderedPageBreak/>
              <w:drawing>
                <wp:inline distT="0" distB="0" distL="0" distR="0" wp14:anchorId="081B1E0F" wp14:editId="12650C60">
                  <wp:extent cx="2084705" cy="2536190"/>
                  <wp:effectExtent l="19050" t="19050" r="0" b="0"/>
                  <wp:docPr id="31" name="그림 2415689"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15689" descr="스케치, 그림, 클립아트, 라인 아트이(가) 표시된 사진&#10;&#10;자동 생성된 설명"/>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2A0E6715"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K</w:t>
            </w:r>
          </w:p>
        </w:tc>
        <w:tc>
          <w:tcPr>
            <w:tcW w:w="5517" w:type="dxa"/>
          </w:tcPr>
          <w:p w14:paraId="05954E00" w14:textId="77777777" w:rsidR="00EA08FF" w:rsidRPr="00A942F6" w:rsidRDefault="00EA08FF" w:rsidP="007814F8">
            <w:pPr>
              <w:pStyle w:val="a4"/>
              <w:numPr>
                <w:ilvl w:val="0"/>
                <w:numId w:val="53"/>
              </w:numPr>
              <w:autoSpaceDE/>
              <w:autoSpaceDN/>
              <w:ind w:left="567" w:hanging="567"/>
              <w:rPr>
                <w:b/>
                <w:lang w:val="nb-NO"/>
              </w:rPr>
            </w:pPr>
            <w:r w:rsidRPr="00A942F6">
              <w:rPr>
                <w:b/>
                <w:lang w:val="nb-NO"/>
              </w:rPr>
              <w:t>Plasser den ferdigfylte pennen på injeksjonsstedet.</w:t>
            </w:r>
          </w:p>
          <w:p w14:paraId="4BDE0069" w14:textId="77777777" w:rsidR="00EA08FF" w:rsidRPr="00A942F6" w:rsidRDefault="00EA08FF">
            <w:pPr>
              <w:pStyle w:val="a4"/>
              <w:ind w:left="567" w:hanging="567"/>
              <w:rPr>
                <w:color w:val="231F20"/>
                <w:lang w:val="nb-NO"/>
              </w:rPr>
            </w:pPr>
          </w:p>
          <w:p w14:paraId="1EC28EA5" w14:textId="77777777" w:rsidR="00EA08FF" w:rsidRPr="00A942F6" w:rsidRDefault="00EA08FF" w:rsidP="007814F8">
            <w:pPr>
              <w:pStyle w:val="a4"/>
              <w:numPr>
                <w:ilvl w:val="0"/>
                <w:numId w:val="58"/>
              </w:numPr>
              <w:autoSpaceDE/>
              <w:autoSpaceDN/>
              <w:ind w:left="567" w:hanging="567"/>
              <w:rPr>
                <w:color w:val="231F20"/>
                <w:lang w:val="nb-NO"/>
              </w:rPr>
            </w:pPr>
            <w:r w:rsidRPr="00A942F6">
              <w:rPr>
                <w:color w:val="231F20"/>
                <w:lang w:val="nb-NO"/>
              </w:rPr>
              <w:t xml:space="preserve">Hold den ferdigfylte pennen komfortabelt i den ene hånden, slik at du kan se vinduet (se </w:t>
            </w:r>
            <w:r w:rsidRPr="00A942F6">
              <w:rPr>
                <w:b/>
                <w:color w:val="231F20"/>
                <w:lang w:val="nb-NO"/>
              </w:rPr>
              <w:t>figur K</w:t>
            </w:r>
            <w:r w:rsidRPr="00A942F6">
              <w:rPr>
                <w:color w:val="231F20"/>
                <w:lang w:val="nb-NO"/>
              </w:rPr>
              <w:t>).</w:t>
            </w:r>
          </w:p>
          <w:p w14:paraId="28E702E5" w14:textId="77777777" w:rsidR="00EA08FF" w:rsidRPr="00A942F6" w:rsidRDefault="00EA08FF" w:rsidP="007814F8">
            <w:pPr>
              <w:pStyle w:val="a4"/>
              <w:numPr>
                <w:ilvl w:val="0"/>
                <w:numId w:val="58"/>
              </w:numPr>
              <w:autoSpaceDE/>
              <w:autoSpaceDN/>
              <w:ind w:left="567" w:hanging="567"/>
              <w:rPr>
                <w:color w:val="231F20"/>
                <w:lang w:val="nb-NO"/>
              </w:rPr>
            </w:pPr>
            <w:r w:rsidRPr="00A942F6">
              <w:rPr>
                <w:color w:val="231F20"/>
                <w:lang w:val="nb-NO"/>
              </w:rPr>
              <w:t xml:space="preserve">Uten å klype i eller strekke huden plasseres den ferdigfylte pennen mot huden i 90 graders vinkel (se </w:t>
            </w:r>
            <w:r w:rsidRPr="00A942F6">
              <w:rPr>
                <w:b/>
                <w:color w:val="231F20"/>
                <w:lang w:val="nb-NO"/>
              </w:rPr>
              <w:t>figur L</w:t>
            </w:r>
            <w:r w:rsidRPr="00A942F6">
              <w:rPr>
                <w:color w:val="231F20"/>
                <w:lang w:val="nb-NO"/>
              </w:rPr>
              <w:t>).</w:t>
            </w:r>
          </w:p>
          <w:p w14:paraId="4166D273" w14:textId="77777777" w:rsidR="00EA08FF" w:rsidRPr="00A942F6" w:rsidRDefault="00EA08FF">
            <w:pPr>
              <w:pStyle w:val="a4"/>
              <w:ind w:left="567" w:hanging="567"/>
              <w:rPr>
                <w:bCs/>
                <w:i/>
                <w:iCs/>
                <w:noProof/>
                <w:lang w:val="nb-NO" w:eastAsia="ko-KR"/>
              </w:rPr>
            </w:pPr>
          </w:p>
          <w:p w14:paraId="20A455A7" w14:textId="77777777" w:rsidR="00EA08FF" w:rsidRPr="00A942F6" w:rsidRDefault="00EA08FF">
            <w:pPr>
              <w:pStyle w:val="a4"/>
              <w:ind w:left="567"/>
              <w:rPr>
                <w:bCs/>
                <w:noProof/>
                <w:lang w:val="nb-NO"/>
              </w:rPr>
            </w:pPr>
            <w:r w:rsidRPr="00A942F6">
              <w:rPr>
                <w:i/>
                <w:lang w:val="nb-NO"/>
              </w:rPr>
              <w:t>Merk</w:t>
            </w:r>
            <w:r w:rsidRPr="00A942F6">
              <w:rPr>
                <w:lang w:val="nb-NO"/>
              </w:rPr>
              <w:t>: Det er viktig å velge riktig vinkel for å sikre at legemidlet blir levert under huden (i fettvev), ellers kan injeksjonen være smertefull, og legemidlet virker kanskje ikke.</w:t>
            </w:r>
          </w:p>
          <w:p w14:paraId="5B76B345" w14:textId="77777777" w:rsidR="00EA08FF" w:rsidRPr="00A942F6" w:rsidRDefault="00EA08FF">
            <w:pPr>
              <w:pStyle w:val="a4"/>
              <w:ind w:left="567" w:hanging="567"/>
              <w:rPr>
                <w:color w:val="231F20"/>
                <w:lang w:val="nb-NO"/>
              </w:rPr>
            </w:pPr>
          </w:p>
          <w:p w14:paraId="73C84278"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 xml:space="preserve">Skal </w:t>
            </w:r>
            <w:r w:rsidRPr="00434BCD">
              <w:rPr>
                <w:rFonts w:cs="Arial"/>
                <w:b/>
                <w:bCs/>
                <w:lang w:val="sl-SI" w:eastAsia="ko-KR"/>
              </w:rPr>
              <w:t>ikke</w:t>
            </w:r>
            <w:r w:rsidRPr="00434BCD">
              <w:rPr>
                <w:rFonts w:cs="Arial"/>
                <w:lang w:val="sl-SI" w:eastAsia="ko-KR"/>
              </w:rPr>
              <w:t xml:space="preserve"> administreres i en muskel eller blodåre.</w:t>
            </w:r>
          </w:p>
          <w:p w14:paraId="64AADEB7" w14:textId="77777777" w:rsidR="00EA08FF" w:rsidRPr="00A942F6" w:rsidRDefault="00EA08FF">
            <w:pPr>
              <w:pStyle w:val="a4"/>
              <w:ind w:left="567" w:hanging="567"/>
              <w:rPr>
                <w:lang w:val="nb-NO"/>
              </w:rPr>
            </w:pPr>
          </w:p>
          <w:p w14:paraId="0A2F0CB1" w14:textId="77777777" w:rsidR="00EA08FF" w:rsidRPr="00A942F6" w:rsidRDefault="00EA08FF">
            <w:pPr>
              <w:widowControl w:val="0"/>
              <w:rPr>
                <w:rFonts w:eastAsia="새굴림" w:cs="새굴림"/>
                <w:lang w:val="nb-NO"/>
              </w:rPr>
            </w:pPr>
          </w:p>
        </w:tc>
      </w:tr>
      <w:tr w:rsidR="001F0013" w:rsidRPr="00A942F6" w14:paraId="5EA5DC80" w14:textId="77777777">
        <w:trPr>
          <w:cantSplit/>
        </w:trPr>
        <w:tc>
          <w:tcPr>
            <w:tcW w:w="3539" w:type="dxa"/>
          </w:tcPr>
          <w:p w14:paraId="7B255405" w14:textId="58AA771C" w:rsidR="00EA08FF" w:rsidRPr="00A942F6" w:rsidRDefault="00D94A8B">
            <w:pPr>
              <w:widowControl w:val="0"/>
              <w:suppressAutoHyphens/>
              <w:jc w:val="right"/>
              <w:rPr>
                <w:rFonts w:eastAsia="새굴림" w:cs="새굴림"/>
                <w:noProof/>
                <w:lang w:val="nb-NO"/>
              </w:rPr>
            </w:pPr>
            <w:r>
              <w:rPr>
                <w:noProof/>
                <w:lang w:eastAsia="ko-KR"/>
              </w:rPr>
              <mc:AlternateContent>
                <mc:Choice Requires="wps">
                  <w:drawing>
                    <wp:anchor distT="45720" distB="45720" distL="114300" distR="114300" simplePos="0" relativeHeight="251679744" behindDoc="0" locked="0" layoutInCell="1" allowOverlap="1" wp14:anchorId="2FD627BC" wp14:editId="3E5B892E">
                      <wp:simplePos x="0" y="0"/>
                      <wp:positionH relativeFrom="column">
                        <wp:posOffset>588010</wp:posOffset>
                      </wp:positionH>
                      <wp:positionV relativeFrom="paragraph">
                        <wp:posOffset>1379220</wp:posOffset>
                      </wp:positionV>
                      <wp:extent cx="629920" cy="467360"/>
                      <wp:effectExtent l="0" t="0" r="0" b="0"/>
                      <wp:wrapNone/>
                      <wp:docPr id="2634985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6D6EDAAA" w14:textId="77777777" w:rsidR="003B558D" w:rsidRPr="00434BCD" w:rsidRDefault="003B558D" w:rsidP="00AC211B">
                                  <w:pPr>
                                    <w:rPr>
                                      <w:rFonts w:cs="Times New Roman"/>
                                      <w:b/>
                                      <w:bCs/>
                                      <w:sz w:val="32"/>
                                      <w:szCs w:val="32"/>
                                    </w:rPr>
                                  </w:pPr>
                                  <w:r w:rsidRPr="00434BCD">
                                    <w:rPr>
                                      <w:rFonts w:cs="Times New Roman"/>
                                      <w:b/>
                                      <w:bCs/>
                                      <w:sz w:val="32"/>
                                      <w:szCs w:val="32"/>
                                    </w:rPr>
                                    <w:t>90°</w:t>
                                  </w:r>
                                </w:p>
                                <w:p w14:paraId="50C7AD4F" w14:textId="77777777" w:rsidR="003B558D" w:rsidRPr="00434BCD" w:rsidRDefault="003B558D" w:rsidP="00EA08FF">
                                  <w:pPr>
                                    <w:rPr>
                                      <w:rFonts w:cs="Times New Roman"/>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FD627BC" id="Text Box 11" o:spid="_x0000_s1074" type="#_x0000_t202" style="position:absolute;left:0;text-align:left;margin-left:46.3pt;margin-top:108.6pt;width:49.6pt;height:36.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" filled="f" stroked="f">
                      <v:textbox style="mso-fit-shape-to-text:t" inset="0,0,0,0">
                        <w:txbxContent>
                          <w:p w14:paraId="6D6EDAAA" w14:textId="77777777" w:rsidR="003B558D" w:rsidRPr="00434BCD" w:rsidRDefault="003B558D" w:rsidP="00AC211B">
                            <w:pPr>
                              <w:rPr>
                                <w:rFonts w:cs="Times New Roman"/>
                                <w:b/>
                                <w:bCs/>
                                <w:sz w:val="32"/>
                                <w:szCs w:val="32"/>
                              </w:rPr>
                            </w:pPr>
                            <w:r w:rsidRPr="00434BCD">
                              <w:rPr>
                                <w:rFonts w:cs="Times New Roman"/>
                                <w:b/>
                                <w:bCs/>
                                <w:sz w:val="32"/>
                                <w:szCs w:val="32"/>
                              </w:rPr>
                              <w:t>90°</w:t>
                            </w:r>
                          </w:p>
                          <w:p w14:paraId="50C7AD4F" w14:textId="77777777" w:rsidR="003B558D" w:rsidRPr="00434BCD" w:rsidRDefault="003B558D" w:rsidP="00EA08FF">
                            <w:pPr>
                              <w:rPr>
                                <w:rFonts w:cs="Times New Roman"/>
                                <w:b/>
                                <w:bCs/>
                                <w:sz w:val="32"/>
                                <w:szCs w:val="32"/>
                              </w:rPr>
                            </w:pPr>
                          </w:p>
                        </w:txbxContent>
                      </v:textbox>
                    </v:shape>
                  </w:pict>
                </mc:Fallback>
              </mc:AlternateContent>
            </w:r>
            <w:r>
              <w:rPr>
                <w:noProof/>
                <w:lang w:eastAsia="ko-KR"/>
              </w:rPr>
              <mc:AlternateContent>
                <mc:Choice Requires="wps">
                  <w:drawing>
                    <wp:anchor distT="45720" distB="45720" distL="114300" distR="114300" simplePos="0" relativeHeight="251680768" behindDoc="0" locked="0" layoutInCell="1" allowOverlap="1" wp14:anchorId="36AF0871" wp14:editId="114F40EB">
                      <wp:simplePos x="0" y="0"/>
                      <wp:positionH relativeFrom="column">
                        <wp:posOffset>1055370</wp:posOffset>
                      </wp:positionH>
                      <wp:positionV relativeFrom="paragraph">
                        <wp:posOffset>2711450</wp:posOffset>
                      </wp:positionV>
                      <wp:extent cx="629920" cy="467360"/>
                      <wp:effectExtent l="0" t="0" r="0" b="0"/>
                      <wp:wrapNone/>
                      <wp:docPr id="19976184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080F80EE" w14:textId="77777777" w:rsidR="003B558D" w:rsidRPr="00434BCD" w:rsidRDefault="003B558D" w:rsidP="00AC211B">
                                  <w:pPr>
                                    <w:rPr>
                                      <w:rFonts w:cs="Times New Roman"/>
                                      <w:b/>
                                      <w:bCs/>
                                      <w:sz w:val="32"/>
                                      <w:szCs w:val="32"/>
                                    </w:rPr>
                                  </w:pPr>
                                  <w:r w:rsidRPr="00434BCD">
                                    <w:rPr>
                                      <w:rFonts w:cs="Times New Roman"/>
                                      <w:b/>
                                      <w:bCs/>
                                      <w:sz w:val="32"/>
                                      <w:szCs w:val="32"/>
                                    </w:rPr>
                                    <w:t>90°</w:t>
                                  </w:r>
                                </w:p>
                                <w:p w14:paraId="55D1D4F2" w14:textId="77777777" w:rsidR="003B558D" w:rsidRPr="00434BCD" w:rsidRDefault="003B558D" w:rsidP="00EA08FF">
                                  <w:pPr>
                                    <w:rPr>
                                      <w:rFonts w:cs="Times New Roman"/>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6AF0871" id="Text Box 9" o:spid="_x0000_s1075" type="#_x0000_t202" style="position:absolute;left:0;text-align:left;margin-left:83.1pt;margin-top:213.5pt;width:49.6pt;height:36.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" filled="f" stroked="f">
                      <v:textbox style="mso-fit-shape-to-text:t" inset="0,0,0,0">
                        <w:txbxContent>
                          <w:p w14:paraId="080F80EE" w14:textId="77777777" w:rsidR="003B558D" w:rsidRPr="00434BCD" w:rsidRDefault="003B558D" w:rsidP="00AC211B">
                            <w:pPr>
                              <w:rPr>
                                <w:rFonts w:cs="Times New Roman"/>
                                <w:b/>
                                <w:bCs/>
                                <w:sz w:val="32"/>
                                <w:szCs w:val="32"/>
                              </w:rPr>
                            </w:pPr>
                            <w:r w:rsidRPr="00434BCD">
                              <w:rPr>
                                <w:rFonts w:cs="Times New Roman"/>
                                <w:b/>
                                <w:bCs/>
                                <w:sz w:val="32"/>
                                <w:szCs w:val="32"/>
                              </w:rPr>
                              <w:t>90°</w:t>
                            </w:r>
                          </w:p>
                          <w:p w14:paraId="55D1D4F2" w14:textId="77777777" w:rsidR="003B558D" w:rsidRPr="00434BCD" w:rsidRDefault="003B558D" w:rsidP="00EA08FF">
                            <w:pPr>
                              <w:rPr>
                                <w:rFonts w:cs="Times New Roman"/>
                                <w:b/>
                                <w:bCs/>
                                <w:sz w:val="32"/>
                                <w:szCs w:val="32"/>
                              </w:rPr>
                            </w:pPr>
                          </w:p>
                        </w:txbxContent>
                      </v:textbox>
                    </v:shape>
                  </w:pict>
                </mc:Fallback>
              </mc:AlternateContent>
            </w:r>
            <w:r>
              <w:rPr>
                <w:noProof/>
                <w:lang w:eastAsia="ko-KR"/>
              </w:rPr>
              <mc:AlternateContent>
                <mc:Choice Requires="wps">
                  <w:drawing>
                    <wp:anchor distT="45720" distB="45720" distL="114300" distR="114300" simplePos="0" relativeHeight="251681792" behindDoc="0" locked="0" layoutInCell="1" allowOverlap="1" wp14:anchorId="063590C6" wp14:editId="5FEF53EC">
                      <wp:simplePos x="0" y="0"/>
                      <wp:positionH relativeFrom="column">
                        <wp:posOffset>88900</wp:posOffset>
                      </wp:positionH>
                      <wp:positionV relativeFrom="paragraph">
                        <wp:posOffset>2015490</wp:posOffset>
                      </wp:positionV>
                      <wp:extent cx="1983740" cy="277495"/>
                      <wp:effectExtent l="0" t="0" r="0" b="0"/>
                      <wp:wrapNone/>
                      <wp:docPr id="78940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w="9525">
                                <a:noFill/>
                                <a:miter lim="800000"/>
                                <a:headEnd/>
                                <a:tailEnd/>
                              </a:ln>
                            </wps:spPr>
                            <wps:txbx>
                              <w:txbxContent>
                                <w:p w14:paraId="19B47909" w14:textId="50942CAB" w:rsidR="003B558D" w:rsidRPr="00434BCD" w:rsidRDefault="00AA514F" w:rsidP="00EA08FF">
                                  <w:pPr>
                                    <w:jc w:val="center"/>
                                    <w:rPr>
                                      <w:rFonts w:cs="Times New Roman"/>
                                      <w:b/>
                                      <w:bCs/>
                                      <w:color w:val="FFFFFF"/>
                                      <w:sz w:val="28"/>
                                      <w:szCs w:val="28"/>
                                    </w:rPr>
                                  </w:pPr>
                                  <w:r w:rsidRPr="00434BCD">
                                    <w:rPr>
                                      <w:rFonts w:cs="Times New Roman"/>
                                      <w:b/>
                                      <w:bCs/>
                                      <w:color w:val="FFFFFF"/>
                                      <w:sz w:val="28"/>
                                      <w:szCs w:val="28"/>
                                    </w:rPr>
                                    <w:t>ELLER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590C6" id="Text Box 7" o:spid="_x0000_s1076" type="#_x0000_t202" style="position:absolute;left:0;text-align:left;margin-left:7pt;margin-top:158.7pt;width:156.2pt;height:21.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" filled="f" stroked="f">
                      <v:textbox inset="0,0,0,0">
                        <w:txbxContent>
                          <w:p w14:paraId="19B47909" w14:textId="50942CAB" w:rsidR="003B558D" w:rsidRPr="00434BCD" w:rsidRDefault="00AA514F" w:rsidP="00EA08FF">
                            <w:pPr>
                              <w:jc w:val="center"/>
                              <w:rPr>
                                <w:rFonts w:cs="Times New Roman"/>
                                <w:b/>
                                <w:bCs/>
                                <w:color w:val="FFFFFF"/>
                                <w:sz w:val="28"/>
                                <w:szCs w:val="28"/>
                              </w:rPr>
                            </w:pPr>
                            <w:r w:rsidRPr="00434BCD">
                              <w:rPr>
                                <w:rFonts w:cs="Times New Roman"/>
                                <w:b/>
                                <w:bCs/>
                                <w:color w:val="FFFFFF"/>
                                <w:sz w:val="28"/>
                                <w:szCs w:val="28"/>
                              </w:rPr>
                              <w:t>ELLER</w:t>
                            </w:r>
                          </w:p>
                        </w:txbxContent>
                      </v:textbox>
                    </v:shape>
                  </w:pict>
                </mc:Fallback>
              </mc:AlternateContent>
            </w:r>
            <w:r>
              <w:rPr>
                <w:rFonts w:eastAsia="새굴림" w:cs="새굴림"/>
                <w:noProof/>
                <w:sz w:val="26"/>
                <w:lang w:eastAsia="ko-KR"/>
              </w:rPr>
              <w:drawing>
                <wp:inline distT="0" distB="0" distL="0" distR="0" wp14:anchorId="3B90EE1F" wp14:editId="77DA5AFB">
                  <wp:extent cx="2084705" cy="4218305"/>
                  <wp:effectExtent l="19050" t="19050" r="0" b="0"/>
                  <wp:docPr id="32" name="Bilde 1" descr="클립아트, 텍스트, 라인 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클립아트, 텍스트, 라인 아트, 만화 영화이(가) 표시된 사진&#10;&#10;자동 생성된 설명"/>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84705" cy="4218305"/>
                          </a:xfrm>
                          <a:prstGeom prst="rect">
                            <a:avLst/>
                          </a:prstGeom>
                          <a:noFill/>
                          <a:ln w="9525" cmpd="sng">
                            <a:solidFill>
                              <a:srgbClr val="000000"/>
                            </a:solidFill>
                            <a:miter lim="800000"/>
                            <a:headEnd/>
                            <a:tailEnd/>
                          </a:ln>
                          <a:effectLst/>
                        </pic:spPr>
                      </pic:pic>
                    </a:graphicData>
                  </a:graphic>
                </wp:inline>
              </w:drawing>
            </w:r>
          </w:p>
          <w:p w14:paraId="621540CC"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L</w:t>
            </w:r>
          </w:p>
        </w:tc>
        <w:tc>
          <w:tcPr>
            <w:tcW w:w="5517" w:type="dxa"/>
          </w:tcPr>
          <w:p w14:paraId="6463AB0C" w14:textId="77777777" w:rsidR="00EA08FF" w:rsidRPr="00A942F6" w:rsidRDefault="00EA08FF">
            <w:pPr>
              <w:widowControl w:val="0"/>
              <w:rPr>
                <w:rFonts w:eastAsia="새굴림" w:cs="새굴림"/>
                <w:lang w:val="nb-NO"/>
              </w:rPr>
            </w:pPr>
          </w:p>
        </w:tc>
      </w:tr>
      <w:tr w:rsidR="001F0013" w:rsidRPr="00B477E5" w14:paraId="5F617664" w14:textId="77777777">
        <w:trPr>
          <w:cantSplit/>
        </w:trPr>
        <w:tc>
          <w:tcPr>
            <w:tcW w:w="3539" w:type="dxa"/>
          </w:tcPr>
          <w:p w14:paraId="1C08FEFB" w14:textId="70C89EF3" w:rsidR="00EA08FF" w:rsidRPr="00A942F6" w:rsidRDefault="00D94A8B">
            <w:pPr>
              <w:widowControl w:val="0"/>
              <w:suppressAutoHyphens/>
              <w:jc w:val="right"/>
              <w:rPr>
                <w:rFonts w:eastAsia="새굴림" w:cs="새굴림"/>
                <w:b/>
                <w:bCs/>
                <w:noProof/>
                <w:lang w:val="nb-NO"/>
              </w:rPr>
            </w:pPr>
            <w:r>
              <w:rPr>
                <w:rFonts w:eastAsia="새굴림" w:cs="새굴림"/>
                <w:b/>
                <w:noProof/>
                <w:lang w:eastAsia="ko-KR"/>
              </w:rPr>
              <w:lastRenderedPageBreak/>
              <w:drawing>
                <wp:inline distT="0" distB="0" distL="0" distR="0" wp14:anchorId="0AC1C4BA" wp14:editId="3D408F5C">
                  <wp:extent cx="2060575" cy="4888865"/>
                  <wp:effectExtent l="19050" t="19050" r="0" b="6985"/>
                  <wp:docPr id="33" name="그림 1661478188" descr="텍스트, 클립아트,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61478188" descr="텍스트, 클립아트, 만화 영화, 화이트이(가) 표시된 사진&#10;&#10;자동 생성된 설명"/>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60575" cy="4888865"/>
                          </a:xfrm>
                          <a:prstGeom prst="rect">
                            <a:avLst/>
                          </a:prstGeom>
                          <a:noFill/>
                          <a:ln w="9525" cmpd="sng">
                            <a:solidFill>
                              <a:srgbClr val="000000"/>
                            </a:solidFill>
                            <a:miter lim="800000"/>
                            <a:headEnd/>
                            <a:tailEnd/>
                          </a:ln>
                          <a:effectLst/>
                        </pic:spPr>
                      </pic:pic>
                    </a:graphicData>
                  </a:graphic>
                </wp:inline>
              </w:drawing>
            </w:r>
          </w:p>
          <w:p w14:paraId="202AACEA" w14:textId="420B57A7" w:rsidR="00EA08FF" w:rsidRPr="00A942F6" w:rsidRDefault="00D94A8B">
            <w:pPr>
              <w:widowControl w:val="0"/>
              <w:suppressAutoHyphens/>
              <w:jc w:val="right"/>
              <w:rPr>
                <w:rFonts w:eastAsia="새굴림" w:cs="새굴림"/>
                <w:b/>
                <w:bCs/>
                <w:noProof/>
                <w:lang w:val="nb-NO"/>
              </w:rPr>
            </w:pPr>
            <w:r>
              <w:rPr>
                <w:noProof/>
                <w:lang w:eastAsia="ko-KR"/>
              </w:rPr>
              <mc:AlternateContent>
                <mc:Choice Requires="wps">
                  <w:drawing>
                    <wp:anchor distT="45720" distB="45720" distL="114300" distR="114300" simplePos="0" relativeHeight="251682816" behindDoc="0" locked="1" layoutInCell="1" allowOverlap="1" wp14:anchorId="05B47C92" wp14:editId="2DDAE837">
                      <wp:simplePos x="0" y="0"/>
                      <wp:positionH relativeFrom="column">
                        <wp:posOffset>41275</wp:posOffset>
                      </wp:positionH>
                      <wp:positionV relativeFrom="paragraph">
                        <wp:posOffset>-534035</wp:posOffset>
                      </wp:positionV>
                      <wp:extent cx="2047240" cy="482600"/>
                      <wp:effectExtent l="0" t="0" r="0" b="0"/>
                      <wp:wrapNone/>
                      <wp:docPr id="1457453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482600"/>
                              </a:xfrm>
                              <a:prstGeom prst="rect">
                                <a:avLst/>
                              </a:prstGeom>
                              <a:noFill/>
                              <a:ln w="9525">
                                <a:noFill/>
                                <a:miter lim="800000"/>
                                <a:headEnd/>
                                <a:tailEnd/>
                              </a:ln>
                            </wps:spPr>
                            <wps:txbx>
                              <w:txbxContent>
                                <w:p w14:paraId="70E6F259" w14:textId="5105312D" w:rsidR="003B558D" w:rsidRPr="00434BCD" w:rsidRDefault="00AA514F" w:rsidP="00EA08FF">
                                  <w:pPr>
                                    <w:jc w:val="center"/>
                                    <w:rPr>
                                      <w:rFonts w:cs="Times New Roman"/>
                                      <w:b/>
                                      <w:bCs/>
                                      <w:color w:val="FFFFFF"/>
                                      <w:sz w:val="28"/>
                                      <w:szCs w:val="28"/>
                                      <w:lang w:val="es-ES"/>
                                    </w:rPr>
                                  </w:pPr>
                                  <w:r w:rsidRPr="00434BCD">
                                    <w:rPr>
                                      <w:rFonts w:cs="Times New Roman"/>
                                      <w:b/>
                                      <w:bCs/>
                                      <w:color w:val="FFFFFF"/>
                                      <w:sz w:val="28"/>
                                      <w:szCs w:val="28"/>
                                      <w:lang w:val="es-ES"/>
                                    </w:rPr>
                                    <w:t>Tell deretter sakte til 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47C92" id="Text Box 5" o:spid="_x0000_s1077" type="#_x0000_t202" style="position:absolute;left:0;text-align:left;margin-left:3.25pt;margin-top:-42.05pt;width:161.2pt;height: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" filled="f" stroked="f">
                      <v:textbox inset="0,0,0,0">
                        <w:txbxContent>
                          <w:p w14:paraId="70E6F259" w14:textId="5105312D" w:rsidR="003B558D" w:rsidRPr="00434BCD" w:rsidRDefault="00AA514F" w:rsidP="00EA08FF">
                            <w:pPr>
                              <w:jc w:val="center"/>
                              <w:rPr>
                                <w:rFonts w:cs="Times New Roman"/>
                                <w:b/>
                                <w:bCs/>
                                <w:color w:val="FFFFFF"/>
                                <w:sz w:val="28"/>
                                <w:szCs w:val="28"/>
                                <w:lang w:val="es-ES"/>
                              </w:rPr>
                            </w:pPr>
                            <w:r w:rsidRPr="00434BCD">
                              <w:rPr>
                                <w:rFonts w:cs="Times New Roman"/>
                                <w:b/>
                                <w:bCs/>
                                <w:color w:val="FFFFFF"/>
                                <w:sz w:val="28"/>
                                <w:szCs w:val="28"/>
                                <w:lang w:val="es-ES"/>
                              </w:rPr>
                              <w:t>Tell deretter sakte til 5</w:t>
                            </w:r>
                          </w:p>
                        </w:txbxContent>
                      </v:textbox>
                      <w10:anchorlock/>
                    </v:shape>
                  </w:pict>
                </mc:Fallback>
              </mc:AlternateContent>
            </w:r>
            <w:r>
              <w:rPr>
                <w:noProof/>
                <w:lang w:eastAsia="ko-KR"/>
              </w:rPr>
              <mc:AlternateContent>
                <mc:Choice Requires="wps">
                  <w:drawing>
                    <wp:anchor distT="45720" distB="45720" distL="114300" distR="114300" simplePos="0" relativeHeight="251683840" behindDoc="0" locked="1" layoutInCell="1" allowOverlap="1" wp14:anchorId="0C0C77EF" wp14:editId="2BECD822">
                      <wp:simplePos x="0" y="0"/>
                      <wp:positionH relativeFrom="column">
                        <wp:posOffset>276860</wp:posOffset>
                      </wp:positionH>
                      <wp:positionV relativeFrom="paragraph">
                        <wp:posOffset>-4117975</wp:posOffset>
                      </wp:positionV>
                      <wp:extent cx="525780" cy="387985"/>
                      <wp:effectExtent l="0" t="0" r="0" b="0"/>
                      <wp:wrapNone/>
                      <wp:docPr id="457359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387985"/>
                              </a:xfrm>
                              <a:prstGeom prst="rect">
                                <a:avLst/>
                              </a:prstGeom>
                              <a:noFill/>
                              <a:ln w="9525">
                                <a:noFill/>
                                <a:miter lim="800000"/>
                                <a:headEnd/>
                                <a:tailEnd/>
                              </a:ln>
                            </wps:spPr>
                            <wps:txbx>
                              <w:txbxContent>
                                <w:p w14:paraId="4ABDF9D7" w14:textId="648FC875" w:rsidR="003B558D" w:rsidRPr="00434BCD" w:rsidRDefault="00AA514F" w:rsidP="00434BCD">
                                  <w:pPr>
                                    <w:jc w:val="center"/>
                                    <w:rPr>
                                      <w:rFonts w:cs="Times New Roman"/>
                                      <w:b/>
                                      <w:bCs/>
                                      <w:color w:val="FFFFFF"/>
                                      <w:sz w:val="28"/>
                                      <w:szCs w:val="28"/>
                                      <w:lang w:val="es-ES"/>
                                    </w:rPr>
                                  </w:pPr>
                                  <w:r w:rsidRPr="00434BCD">
                                    <w:rPr>
                                      <w:rFonts w:cs="Times New Roman"/>
                                      <w:b/>
                                      <w:bCs/>
                                      <w:color w:val="FFFFFF"/>
                                      <w:sz w:val="28"/>
                                      <w:szCs w:val="28"/>
                                      <w:lang w:val="es-ES"/>
                                    </w:rPr>
                                    <w:t>1. 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C77EF" id="Text Box 3" o:spid="_x0000_s1078" type="#_x0000_t202" style="position:absolute;left:0;text-align:left;margin-left:21.8pt;margin-top:-324.25pt;width:41.4pt;height:30.5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" filled="f" stroked="f">
                      <v:textbox inset="0,0,0,0">
                        <w:txbxContent>
                          <w:p w14:paraId="4ABDF9D7" w14:textId="648FC875" w:rsidR="003B558D" w:rsidRPr="00434BCD" w:rsidRDefault="00AA514F" w:rsidP="00434BCD">
                            <w:pPr>
                              <w:jc w:val="center"/>
                              <w:rPr>
                                <w:rFonts w:cs="Times New Roman"/>
                                <w:b/>
                                <w:bCs/>
                                <w:color w:val="FFFFFF"/>
                                <w:sz w:val="28"/>
                                <w:szCs w:val="28"/>
                                <w:lang w:val="es-ES"/>
                              </w:rPr>
                            </w:pPr>
                            <w:r w:rsidRPr="00434BCD">
                              <w:rPr>
                                <w:rFonts w:cs="Times New Roman"/>
                                <w:b/>
                                <w:bCs/>
                                <w:color w:val="FFFFFF"/>
                                <w:sz w:val="28"/>
                                <w:szCs w:val="28"/>
                                <w:lang w:val="es-ES"/>
                              </w:rPr>
                              <w:t>1. klikk</w:t>
                            </w:r>
                          </w:p>
                        </w:txbxContent>
                      </v:textbox>
                      <w10:anchorlock/>
                    </v:shape>
                  </w:pict>
                </mc:Fallback>
              </mc:AlternateContent>
            </w:r>
            <w:r>
              <w:rPr>
                <w:noProof/>
                <w:lang w:eastAsia="ko-KR"/>
              </w:rPr>
              <mc:AlternateContent>
                <mc:Choice Requires="wps">
                  <w:drawing>
                    <wp:anchor distT="45720" distB="45720" distL="114300" distR="114300" simplePos="0" relativeHeight="251684864" behindDoc="0" locked="1" layoutInCell="1" allowOverlap="1" wp14:anchorId="5BE654EC" wp14:editId="783C72CB">
                      <wp:simplePos x="0" y="0"/>
                      <wp:positionH relativeFrom="column">
                        <wp:posOffset>276860</wp:posOffset>
                      </wp:positionH>
                      <wp:positionV relativeFrom="paragraph">
                        <wp:posOffset>-1915795</wp:posOffset>
                      </wp:positionV>
                      <wp:extent cx="525780" cy="387985"/>
                      <wp:effectExtent l="0" t="0" r="0" b="0"/>
                      <wp:wrapNone/>
                      <wp:docPr id="375528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387985"/>
                              </a:xfrm>
                              <a:prstGeom prst="rect">
                                <a:avLst/>
                              </a:prstGeom>
                              <a:noFill/>
                              <a:ln w="9525">
                                <a:noFill/>
                                <a:miter lim="800000"/>
                                <a:headEnd/>
                                <a:tailEnd/>
                              </a:ln>
                            </wps:spPr>
                            <wps:txbx>
                              <w:txbxContent>
                                <w:p w14:paraId="430EC4A7" w14:textId="373D13EE" w:rsidR="003B558D" w:rsidRPr="00434BCD" w:rsidRDefault="00AA514F" w:rsidP="00434BCD">
                                  <w:pPr>
                                    <w:jc w:val="center"/>
                                    <w:rPr>
                                      <w:rFonts w:cs="Times New Roman"/>
                                      <w:b/>
                                      <w:bCs/>
                                      <w:color w:val="FFFFFF"/>
                                      <w:sz w:val="28"/>
                                      <w:szCs w:val="28"/>
                                      <w:lang w:val="es-ES"/>
                                    </w:rPr>
                                  </w:pPr>
                                  <w:r w:rsidRPr="00434BCD">
                                    <w:rPr>
                                      <w:rFonts w:cs="Times New Roman"/>
                                      <w:b/>
                                      <w:bCs/>
                                      <w:color w:val="FFFFFF"/>
                                      <w:sz w:val="28"/>
                                      <w:szCs w:val="28"/>
                                      <w:lang w:val="es-ES"/>
                                    </w:rPr>
                                    <w:t>2. 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654EC" id="Text Box 1" o:spid="_x0000_s1079" type="#_x0000_t202" style="position:absolute;left:0;text-align:left;margin-left:21.8pt;margin-top:-150.85pt;width:41.4pt;height:30.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" filled="f" stroked="f">
                      <v:textbox inset="0,0,0,0">
                        <w:txbxContent>
                          <w:p w14:paraId="430EC4A7" w14:textId="373D13EE" w:rsidR="003B558D" w:rsidRPr="00434BCD" w:rsidRDefault="00AA514F" w:rsidP="00434BCD">
                            <w:pPr>
                              <w:jc w:val="center"/>
                              <w:rPr>
                                <w:rFonts w:cs="Times New Roman"/>
                                <w:b/>
                                <w:bCs/>
                                <w:color w:val="FFFFFF"/>
                                <w:sz w:val="28"/>
                                <w:szCs w:val="28"/>
                                <w:lang w:val="es-ES"/>
                              </w:rPr>
                            </w:pPr>
                            <w:r w:rsidRPr="00434BCD">
                              <w:rPr>
                                <w:rFonts w:cs="Times New Roman"/>
                                <w:b/>
                                <w:bCs/>
                                <w:color w:val="FFFFFF"/>
                                <w:sz w:val="28"/>
                                <w:szCs w:val="28"/>
                                <w:lang w:val="es-ES"/>
                              </w:rPr>
                              <w:t>2. klikk</w:t>
                            </w:r>
                          </w:p>
                        </w:txbxContent>
                      </v:textbox>
                      <w10:anchorlock/>
                    </v:shape>
                  </w:pict>
                </mc:Fallback>
              </mc:AlternateContent>
            </w:r>
            <w:r w:rsidR="00EA08FF" w:rsidRPr="00A942F6">
              <w:rPr>
                <w:rFonts w:eastAsia="새굴림" w:cs="새굴림"/>
                <w:b/>
                <w:lang w:val="nb-NO"/>
              </w:rPr>
              <w:t>Figur M</w:t>
            </w:r>
          </w:p>
        </w:tc>
        <w:tc>
          <w:tcPr>
            <w:tcW w:w="5517" w:type="dxa"/>
          </w:tcPr>
          <w:p w14:paraId="20385CA9" w14:textId="77777777" w:rsidR="00EA08FF" w:rsidRPr="00A942F6" w:rsidRDefault="00EA08FF" w:rsidP="007814F8">
            <w:pPr>
              <w:pStyle w:val="a4"/>
              <w:numPr>
                <w:ilvl w:val="0"/>
                <w:numId w:val="53"/>
              </w:numPr>
              <w:autoSpaceDE/>
              <w:autoSpaceDN/>
              <w:ind w:left="567" w:hanging="567"/>
              <w:rPr>
                <w:b/>
                <w:lang w:val="nb-NO"/>
              </w:rPr>
            </w:pPr>
            <w:r w:rsidRPr="00A942F6">
              <w:rPr>
                <w:b/>
                <w:lang w:val="nb-NO"/>
              </w:rPr>
              <w:t>Sett injeksjonen.</w:t>
            </w:r>
          </w:p>
          <w:p w14:paraId="2D477618" w14:textId="77777777" w:rsidR="00EA08FF" w:rsidRPr="00A942F6" w:rsidRDefault="00EA08FF">
            <w:pPr>
              <w:pStyle w:val="a4"/>
              <w:ind w:left="567" w:hanging="567"/>
              <w:rPr>
                <w:bCs/>
                <w:lang w:val="nb-NO"/>
              </w:rPr>
            </w:pPr>
          </w:p>
          <w:p w14:paraId="298A4120" w14:textId="77777777" w:rsidR="00EA08FF" w:rsidRPr="00A942F6" w:rsidRDefault="00EA08FF" w:rsidP="007814F8">
            <w:pPr>
              <w:pStyle w:val="a4"/>
              <w:numPr>
                <w:ilvl w:val="0"/>
                <w:numId w:val="57"/>
              </w:numPr>
              <w:autoSpaceDE/>
              <w:autoSpaceDN/>
              <w:ind w:left="567" w:hanging="567"/>
              <w:rPr>
                <w:bCs/>
                <w:lang w:val="nb-NO"/>
              </w:rPr>
            </w:pPr>
            <w:r w:rsidRPr="00A942F6">
              <w:rPr>
                <w:lang w:val="nb-NO"/>
              </w:rPr>
              <w:t>Trykk den ferdigfylte pennen godt inn i huden for å starte injeksjonen.</w:t>
            </w:r>
          </w:p>
          <w:p w14:paraId="37F12A43" w14:textId="77777777" w:rsidR="00EA08FF" w:rsidRPr="00A942F6" w:rsidRDefault="00EA08FF" w:rsidP="007814F8">
            <w:pPr>
              <w:pStyle w:val="a4"/>
              <w:numPr>
                <w:ilvl w:val="0"/>
                <w:numId w:val="57"/>
              </w:numPr>
              <w:autoSpaceDE/>
              <w:autoSpaceDN/>
              <w:ind w:left="567" w:hanging="567"/>
              <w:rPr>
                <w:bCs/>
                <w:lang w:val="nb-NO"/>
              </w:rPr>
            </w:pPr>
            <w:r w:rsidRPr="00A942F6">
              <w:rPr>
                <w:lang w:val="nb-NO"/>
              </w:rPr>
              <w:t xml:space="preserve">Når injeksjonen starter, vil du høre det første "klikket", og den oransje indikatoren begynner å fylle vinduet (se </w:t>
            </w:r>
            <w:r w:rsidRPr="00A942F6">
              <w:rPr>
                <w:b/>
                <w:lang w:val="nb-NO"/>
              </w:rPr>
              <w:t>figur M</w:t>
            </w:r>
            <w:r w:rsidRPr="00A942F6">
              <w:rPr>
                <w:lang w:val="nb-NO"/>
              </w:rPr>
              <w:t>).</w:t>
            </w:r>
          </w:p>
          <w:p w14:paraId="39EF2AAD" w14:textId="77777777" w:rsidR="00EA08FF" w:rsidRPr="00A942F6" w:rsidRDefault="00EA08FF" w:rsidP="007814F8">
            <w:pPr>
              <w:pStyle w:val="a4"/>
              <w:numPr>
                <w:ilvl w:val="0"/>
                <w:numId w:val="57"/>
              </w:numPr>
              <w:autoSpaceDE/>
              <w:autoSpaceDN/>
              <w:ind w:left="567" w:hanging="567"/>
              <w:rPr>
                <w:bCs/>
                <w:lang w:val="nb-NO"/>
              </w:rPr>
            </w:pPr>
            <w:r w:rsidRPr="00A942F6">
              <w:rPr>
                <w:color w:val="231F20"/>
                <w:lang w:val="nb-NO"/>
              </w:rPr>
              <w:t>Hold den ferdigfylte pennen tett inntil huden og lytt etter det andre klikket.</w:t>
            </w:r>
          </w:p>
          <w:p w14:paraId="2744FCA0" w14:textId="77777777" w:rsidR="00EA08FF" w:rsidRPr="00A942F6" w:rsidRDefault="00EA08FF" w:rsidP="007814F8">
            <w:pPr>
              <w:pStyle w:val="a4"/>
              <w:numPr>
                <w:ilvl w:val="0"/>
                <w:numId w:val="57"/>
              </w:numPr>
              <w:autoSpaceDE/>
              <w:autoSpaceDN/>
              <w:ind w:left="567" w:hanging="567"/>
              <w:rPr>
                <w:bCs/>
                <w:lang w:val="nb-NO"/>
              </w:rPr>
            </w:pPr>
            <w:r w:rsidRPr="00A942F6">
              <w:rPr>
                <w:color w:val="231F20"/>
                <w:lang w:val="nb-NO"/>
              </w:rPr>
              <w:t xml:space="preserve">Etter at du hører det andre "klikket", fortsetter du å holde den ferdigfylte pennen hardt mot huden og </w:t>
            </w:r>
            <w:r w:rsidRPr="00A942F6">
              <w:rPr>
                <w:b/>
                <w:color w:val="231F20"/>
                <w:lang w:val="nb-NO"/>
              </w:rPr>
              <w:t>teller sakte til 5</w:t>
            </w:r>
            <w:r w:rsidR="0099741F">
              <w:rPr>
                <w:b/>
                <w:color w:val="231F20"/>
                <w:lang w:val="nb-NO"/>
              </w:rPr>
              <w:t> </w:t>
            </w:r>
            <w:r w:rsidRPr="00A942F6">
              <w:rPr>
                <w:color w:val="231F20"/>
                <w:lang w:val="nb-NO"/>
              </w:rPr>
              <w:t>for å være sikker på at du injiserer hele dosen (se</w:t>
            </w:r>
            <w:r w:rsidRPr="00A942F6">
              <w:rPr>
                <w:lang w:val="nb-NO"/>
              </w:rPr>
              <w:t xml:space="preserve"> </w:t>
            </w:r>
            <w:r w:rsidRPr="00A942F6">
              <w:rPr>
                <w:b/>
                <w:lang w:val="nb-NO"/>
              </w:rPr>
              <w:t>figur M</w:t>
            </w:r>
            <w:r w:rsidRPr="00A942F6">
              <w:rPr>
                <w:lang w:val="nb-NO"/>
              </w:rPr>
              <w:t>).</w:t>
            </w:r>
          </w:p>
          <w:p w14:paraId="1C9C4E6F" w14:textId="13621B2A" w:rsidR="00EA08FF" w:rsidRPr="00A942F6" w:rsidRDefault="00EA08FF" w:rsidP="007814F8">
            <w:pPr>
              <w:pStyle w:val="a4"/>
              <w:numPr>
                <w:ilvl w:val="0"/>
                <w:numId w:val="57"/>
              </w:numPr>
              <w:autoSpaceDE/>
              <w:autoSpaceDN/>
              <w:ind w:left="567" w:hanging="567"/>
              <w:rPr>
                <w:bCs/>
                <w:lang w:val="nb-NO"/>
              </w:rPr>
            </w:pPr>
            <w:r w:rsidRPr="00A942F6">
              <w:rPr>
                <w:color w:val="231F20"/>
                <w:lang w:val="nb-NO"/>
              </w:rPr>
              <w:t>Følg med på den oransje indikatoren til den slutter å bevege seg og har nådd enden av vinduet, for å være sikker på at hele legemiddeldosen er injisert.</w:t>
            </w:r>
            <w:r w:rsidR="004B1A0E">
              <w:rPr>
                <w:color w:val="231F20"/>
                <w:lang w:val="nb-NO"/>
              </w:rPr>
              <w:t xml:space="preserve">        </w:t>
            </w:r>
            <w:r w:rsidR="004B1A0E" w:rsidRPr="009B40A5">
              <w:rPr>
                <w:i/>
                <w:iCs/>
                <w:color w:val="231F20"/>
                <w:lang w:val="nb-NO"/>
              </w:rPr>
              <w:t>Merk</w:t>
            </w:r>
            <w:r w:rsidR="004B1A0E">
              <w:rPr>
                <w:color w:val="231F20"/>
                <w:lang w:val="nb-NO"/>
              </w:rPr>
              <w:t>: Hvis ikke den oransje indikatoren beveger på seg, kast den ferdigfylte pennen og bruk en ny.</w:t>
            </w:r>
          </w:p>
          <w:p w14:paraId="3379B6AA" w14:textId="77777777" w:rsidR="00EA08FF" w:rsidRPr="00A942F6" w:rsidRDefault="00EA08FF">
            <w:pPr>
              <w:widowControl w:val="0"/>
              <w:rPr>
                <w:rFonts w:eastAsia="새굴림" w:cs="새굴림"/>
                <w:lang w:val="nb-NO"/>
              </w:rPr>
            </w:pPr>
          </w:p>
        </w:tc>
      </w:tr>
      <w:tr w:rsidR="001F0013" w:rsidRPr="00B477E5" w14:paraId="0E975BFB" w14:textId="77777777">
        <w:trPr>
          <w:cantSplit/>
        </w:trPr>
        <w:tc>
          <w:tcPr>
            <w:tcW w:w="3539" w:type="dxa"/>
          </w:tcPr>
          <w:p w14:paraId="3907C3FA" w14:textId="47C14C94" w:rsidR="00EA08FF" w:rsidRPr="00A942F6" w:rsidRDefault="00D94A8B">
            <w:pPr>
              <w:widowControl w:val="0"/>
              <w:suppressAutoHyphens/>
              <w:jc w:val="right"/>
              <w:rPr>
                <w:rFonts w:eastAsia="새굴림" w:cs="새굴림"/>
                <w:b/>
                <w:bCs/>
                <w:noProof/>
                <w:lang w:val="nb-NO"/>
              </w:rPr>
            </w:pPr>
            <w:r>
              <w:rPr>
                <w:rFonts w:eastAsia="새굴림" w:cs="새굴림"/>
                <w:noProof/>
                <w:lang w:eastAsia="ko-KR"/>
              </w:rPr>
              <w:drawing>
                <wp:inline distT="0" distB="0" distL="0" distR="0" wp14:anchorId="583B6C35" wp14:editId="2F2DFD8E">
                  <wp:extent cx="2084705" cy="2560320"/>
                  <wp:effectExtent l="19050" t="19050" r="0" b="0"/>
                  <wp:docPr id="34" name="그림 219393715" descr="스케치, 클립아트, 그림,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9393715" descr="스케치, 클립아트, 그림, 라인 아트이(가) 표시된 사진&#10;&#10;자동 생성된 설명"/>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84705" cy="2560320"/>
                          </a:xfrm>
                          <a:prstGeom prst="rect">
                            <a:avLst/>
                          </a:prstGeom>
                          <a:noFill/>
                          <a:ln w="9525" cmpd="sng">
                            <a:solidFill>
                              <a:srgbClr val="000000"/>
                            </a:solidFill>
                            <a:miter lim="800000"/>
                            <a:headEnd/>
                            <a:tailEnd/>
                          </a:ln>
                          <a:effectLst/>
                        </pic:spPr>
                      </pic:pic>
                    </a:graphicData>
                  </a:graphic>
                </wp:inline>
              </w:drawing>
            </w:r>
          </w:p>
          <w:p w14:paraId="79F62C01"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N</w:t>
            </w:r>
          </w:p>
        </w:tc>
        <w:tc>
          <w:tcPr>
            <w:tcW w:w="5517" w:type="dxa"/>
          </w:tcPr>
          <w:p w14:paraId="74030890" w14:textId="77777777" w:rsidR="00EA08FF" w:rsidRPr="00A942F6" w:rsidRDefault="00EA08FF" w:rsidP="007814F8">
            <w:pPr>
              <w:pStyle w:val="a4"/>
              <w:numPr>
                <w:ilvl w:val="0"/>
                <w:numId w:val="53"/>
              </w:numPr>
              <w:autoSpaceDE/>
              <w:autoSpaceDN/>
              <w:ind w:left="567" w:hanging="567"/>
              <w:rPr>
                <w:b/>
                <w:lang w:val="nb-NO"/>
              </w:rPr>
            </w:pPr>
            <w:r w:rsidRPr="00A942F6">
              <w:rPr>
                <w:b/>
                <w:lang w:val="nb-NO"/>
              </w:rPr>
              <w:t>Fjern den ferdigfylte pennen fra injeksjonsstedet.</w:t>
            </w:r>
          </w:p>
          <w:p w14:paraId="336C733A" w14:textId="77777777" w:rsidR="00EA08FF" w:rsidRPr="00A942F6" w:rsidRDefault="00EA08FF">
            <w:pPr>
              <w:pStyle w:val="Default"/>
              <w:ind w:left="567" w:hanging="567"/>
              <w:rPr>
                <w:rFonts w:ascii="Times New Roman" w:hAnsi="Times New Roman" w:cs="Times New Roman"/>
                <w:sz w:val="22"/>
                <w:szCs w:val="22"/>
              </w:rPr>
            </w:pPr>
          </w:p>
          <w:p w14:paraId="628D35BC" w14:textId="77777777" w:rsidR="00EA08FF" w:rsidRPr="00A942F6" w:rsidRDefault="00EA08FF" w:rsidP="007814F8">
            <w:pPr>
              <w:pStyle w:val="a4"/>
              <w:numPr>
                <w:ilvl w:val="0"/>
                <w:numId w:val="56"/>
              </w:numPr>
              <w:autoSpaceDE/>
              <w:autoSpaceDN/>
              <w:ind w:left="567" w:hanging="567"/>
              <w:rPr>
                <w:bCs/>
                <w:lang w:val="nb-NO"/>
              </w:rPr>
            </w:pPr>
            <w:r w:rsidRPr="00A942F6">
              <w:rPr>
                <w:lang w:val="nb-NO"/>
              </w:rPr>
              <w:t>Når den oransje indikatoren har sluttet å bevege seg, løfter du den ferdigfylte pennen rett ut av injeksjonsstedet med en vinkel på 90 grader for å ta nålen ut av huden.</w:t>
            </w:r>
          </w:p>
          <w:p w14:paraId="5E5359F1"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 xml:space="preserve">Nålebeskyttelsen vil da automatisk bevege seg ut igjen og gå i lås slik at den dekker nålen (se </w:t>
            </w:r>
            <w:r w:rsidRPr="00434BCD">
              <w:rPr>
                <w:rFonts w:cs="Arial"/>
                <w:b/>
                <w:bCs/>
                <w:lang w:val="sl-SI" w:eastAsia="ko-KR"/>
              </w:rPr>
              <w:t>figur N</w:t>
            </w:r>
            <w:r w:rsidRPr="00434BCD">
              <w:rPr>
                <w:rFonts w:cs="Arial"/>
                <w:lang w:val="sl-SI" w:eastAsia="ko-KR"/>
              </w:rPr>
              <w:t>).</w:t>
            </w:r>
          </w:p>
          <w:p w14:paraId="3EAE5AED" w14:textId="77777777" w:rsidR="00EA08FF" w:rsidRPr="00A942F6" w:rsidRDefault="00EA08FF">
            <w:pPr>
              <w:pStyle w:val="a4"/>
              <w:ind w:left="567"/>
              <w:rPr>
                <w:bCs/>
                <w:noProof/>
                <w:lang w:val="nb-NO"/>
              </w:rPr>
            </w:pPr>
            <w:r w:rsidRPr="00A942F6">
              <w:rPr>
                <w:i/>
                <w:lang w:val="nb-NO"/>
              </w:rPr>
              <w:t>Merk</w:t>
            </w:r>
            <w:r w:rsidRPr="00A942F6">
              <w:rPr>
                <w:lang w:val="nb-NO"/>
              </w:rPr>
              <w:t xml:space="preserve">: Hvis vinduet ikke har blitt helt oransje, eller hvis legemidlet fortsatt injiseres, betyr det at du ikke har fått en full dose. </w:t>
            </w:r>
            <w:r w:rsidRPr="00A942F6">
              <w:rPr>
                <w:color w:val="231F20"/>
                <w:lang w:val="nb-NO"/>
              </w:rPr>
              <w:t>Legg den ferdigfylte pennen forsiktig i beholderen for skarpe gjenstander, og ring helsepersonell umiddelbart.</w:t>
            </w:r>
          </w:p>
          <w:p w14:paraId="41E310E9" w14:textId="77777777" w:rsidR="00EA08FF" w:rsidRPr="00A942F6" w:rsidRDefault="00EA08FF">
            <w:pPr>
              <w:pStyle w:val="a4"/>
              <w:ind w:left="567" w:hanging="567"/>
              <w:rPr>
                <w:lang w:val="nb-NO"/>
              </w:rPr>
            </w:pPr>
          </w:p>
          <w:p w14:paraId="3F0C9A2E"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rør nåledekslet til den ferdigfylte pennen.</w:t>
            </w:r>
          </w:p>
          <w:p w14:paraId="6183A0E3"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prøv å bruke den ferdigfylte pennen på nytt.</w:t>
            </w:r>
          </w:p>
          <w:p w14:paraId="11C01DED"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gjenta injeksjonen med en annen ferdigfylt penn.</w:t>
            </w:r>
          </w:p>
          <w:p w14:paraId="1248D16F" w14:textId="77777777" w:rsidR="00EA08FF" w:rsidRPr="00A942F6" w:rsidRDefault="00EA08FF">
            <w:pPr>
              <w:widowControl w:val="0"/>
              <w:rPr>
                <w:rFonts w:eastAsia="새굴림" w:cs="새굴림"/>
                <w:lang w:val="nb-NO"/>
              </w:rPr>
            </w:pPr>
          </w:p>
        </w:tc>
      </w:tr>
    </w:tbl>
    <w:p w14:paraId="5FB058B0" w14:textId="77777777" w:rsidR="00EA08FF" w:rsidRPr="00A942F6" w:rsidRDefault="00EA08FF" w:rsidP="00EA08FF">
      <w:pPr>
        <w:rPr>
          <w:lang w:val="nb-NO"/>
        </w:rPr>
      </w:pPr>
    </w:p>
    <w:p w14:paraId="0B475419" w14:textId="77777777" w:rsidR="00EA08FF" w:rsidRPr="00A942F6" w:rsidRDefault="00EA08FF" w:rsidP="00EA08FF">
      <w:pPr>
        <w:keepNext/>
        <w:rPr>
          <w:b/>
          <w:bCs/>
          <w:lang w:val="nb-NO"/>
        </w:rPr>
      </w:pPr>
      <w:r w:rsidRPr="00A942F6">
        <w:rPr>
          <w:b/>
          <w:lang w:val="nb-NO"/>
        </w:rPr>
        <w:lastRenderedPageBreak/>
        <w:t>Etter injeksjonen</w:t>
      </w:r>
    </w:p>
    <w:p w14:paraId="4A71F5BC" w14:textId="77777777" w:rsidR="00EA08FF" w:rsidRPr="00A942F6" w:rsidRDefault="00EA08FF" w:rsidP="00EA08FF">
      <w:pPr>
        <w:keepNext/>
        <w:rPr>
          <w:b/>
          <w:bCs/>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1F0013" w:rsidRPr="00A942F6" w14:paraId="39F57467" w14:textId="77777777">
        <w:trPr>
          <w:cantSplit/>
        </w:trPr>
        <w:tc>
          <w:tcPr>
            <w:tcW w:w="9056" w:type="dxa"/>
            <w:gridSpan w:val="2"/>
          </w:tcPr>
          <w:p w14:paraId="10ECFF0C" w14:textId="77777777" w:rsidR="00EA08FF" w:rsidRPr="00A942F6" w:rsidRDefault="00EA08FF" w:rsidP="007814F8">
            <w:pPr>
              <w:pStyle w:val="a4"/>
              <w:numPr>
                <w:ilvl w:val="0"/>
                <w:numId w:val="53"/>
              </w:numPr>
              <w:autoSpaceDE/>
              <w:autoSpaceDN/>
              <w:ind w:left="567" w:hanging="567"/>
              <w:rPr>
                <w:b/>
                <w:lang w:val="nb-NO"/>
              </w:rPr>
            </w:pPr>
            <w:r w:rsidRPr="00A942F6">
              <w:rPr>
                <w:b/>
                <w:lang w:val="nb-NO"/>
              </w:rPr>
              <w:t>Behandle injeksjonsstedet.</w:t>
            </w:r>
          </w:p>
          <w:p w14:paraId="6F01295A" w14:textId="77777777" w:rsidR="00EA08FF" w:rsidRPr="00A942F6" w:rsidRDefault="00EA08FF">
            <w:pPr>
              <w:pStyle w:val="Default"/>
              <w:ind w:left="567" w:hanging="567"/>
              <w:rPr>
                <w:rFonts w:ascii="Times New Roman" w:hAnsi="Times New Roman" w:cs="Times New Roman"/>
                <w:sz w:val="22"/>
                <w:szCs w:val="22"/>
              </w:rPr>
            </w:pPr>
          </w:p>
          <w:p w14:paraId="1A9C522A" w14:textId="77777777" w:rsidR="00EA08FF" w:rsidRPr="00A942F6" w:rsidRDefault="00EA08FF" w:rsidP="007814F8">
            <w:pPr>
              <w:pStyle w:val="a4"/>
              <w:numPr>
                <w:ilvl w:val="0"/>
                <w:numId w:val="55"/>
              </w:numPr>
              <w:autoSpaceDE/>
              <w:autoSpaceDN/>
              <w:ind w:left="567" w:hanging="567"/>
              <w:rPr>
                <w:bCs/>
                <w:lang w:val="nb-NO"/>
              </w:rPr>
            </w:pPr>
            <w:r w:rsidRPr="00A942F6">
              <w:rPr>
                <w:lang w:val="nb-NO"/>
              </w:rPr>
              <w:t>Hvis det oppstår en liten blødning, behandler du injeksjonsstedet ved å trykke forsiktig, ikke gni, en bomullsdott eller gasbind på stedet, og legge på et plaster om nødvendig.</w:t>
            </w:r>
          </w:p>
          <w:p w14:paraId="7A08E175"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gni på injeksjonsstedet.</w:t>
            </w:r>
          </w:p>
          <w:p w14:paraId="41BE3B4B" w14:textId="77777777" w:rsidR="00EA08FF" w:rsidRPr="00A942F6" w:rsidRDefault="00EA08FF">
            <w:pPr>
              <w:widowControl w:val="0"/>
              <w:rPr>
                <w:rFonts w:eastAsia="새굴림" w:cs="새굴림"/>
                <w:lang w:val="nb-NO"/>
              </w:rPr>
            </w:pPr>
          </w:p>
        </w:tc>
      </w:tr>
      <w:tr w:rsidR="001F0013" w:rsidRPr="00B477E5" w14:paraId="563B6801" w14:textId="77777777">
        <w:trPr>
          <w:cantSplit/>
        </w:trPr>
        <w:tc>
          <w:tcPr>
            <w:tcW w:w="3539" w:type="dxa"/>
          </w:tcPr>
          <w:p w14:paraId="187F6A30" w14:textId="55B49288" w:rsidR="00EA08FF" w:rsidRPr="00A942F6" w:rsidRDefault="00D94A8B">
            <w:pPr>
              <w:widowControl w:val="0"/>
              <w:suppressAutoHyphens/>
              <w:jc w:val="right"/>
              <w:rPr>
                <w:rFonts w:eastAsia="새굴림" w:cs="새굴림"/>
                <w:noProof/>
                <w:lang w:val="nb-NO"/>
              </w:rPr>
            </w:pPr>
            <w:r>
              <w:rPr>
                <w:rFonts w:eastAsia="새굴림" w:cs="새굴림"/>
                <w:noProof/>
                <w:lang w:eastAsia="ko-KR"/>
              </w:rPr>
              <w:drawing>
                <wp:inline distT="0" distB="0" distL="0" distR="0" wp14:anchorId="7832BDB5" wp14:editId="2381372A">
                  <wp:extent cx="2084705" cy="2536190"/>
                  <wp:effectExtent l="19050" t="19050" r="0" b="0"/>
                  <wp:docPr id="35" name="그림 850045557"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50045557" descr="스케치, 그림, 사무용품, 아동 미술이(가) 표시된 사진&#10;&#10;자동 생성된 설명"/>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84705" cy="2536190"/>
                          </a:xfrm>
                          <a:prstGeom prst="rect">
                            <a:avLst/>
                          </a:prstGeom>
                          <a:noFill/>
                          <a:ln w="9525" cmpd="sng">
                            <a:solidFill>
                              <a:srgbClr val="000000"/>
                            </a:solidFill>
                            <a:miter lim="800000"/>
                            <a:headEnd/>
                            <a:tailEnd/>
                          </a:ln>
                          <a:effectLst/>
                        </pic:spPr>
                      </pic:pic>
                    </a:graphicData>
                  </a:graphic>
                </wp:inline>
              </w:drawing>
            </w:r>
          </w:p>
          <w:p w14:paraId="6B1973F3" w14:textId="77777777" w:rsidR="00EA08FF" w:rsidRPr="00A942F6" w:rsidRDefault="00EA08FF">
            <w:pPr>
              <w:widowControl w:val="0"/>
              <w:suppressAutoHyphens/>
              <w:jc w:val="right"/>
              <w:rPr>
                <w:rFonts w:eastAsia="새굴림" w:cs="새굴림"/>
                <w:b/>
                <w:bCs/>
                <w:noProof/>
                <w:lang w:val="nb-NO"/>
              </w:rPr>
            </w:pPr>
            <w:r w:rsidRPr="00A942F6">
              <w:rPr>
                <w:rFonts w:eastAsia="새굴림" w:cs="새굴림"/>
                <w:b/>
                <w:lang w:val="nb-NO"/>
              </w:rPr>
              <w:t>Figur O</w:t>
            </w:r>
          </w:p>
        </w:tc>
        <w:tc>
          <w:tcPr>
            <w:tcW w:w="5517" w:type="dxa"/>
          </w:tcPr>
          <w:p w14:paraId="4A821A2D" w14:textId="77777777" w:rsidR="00EA08FF" w:rsidRPr="00A942F6" w:rsidRDefault="00EA08FF" w:rsidP="007814F8">
            <w:pPr>
              <w:pStyle w:val="a4"/>
              <w:numPr>
                <w:ilvl w:val="0"/>
                <w:numId w:val="53"/>
              </w:numPr>
              <w:autoSpaceDE/>
              <w:autoSpaceDN/>
              <w:ind w:left="567" w:hanging="567"/>
              <w:rPr>
                <w:b/>
                <w:lang w:val="nb-NO"/>
              </w:rPr>
            </w:pPr>
            <w:r w:rsidRPr="00A942F6">
              <w:rPr>
                <w:b/>
                <w:lang w:val="nb-NO"/>
              </w:rPr>
              <w:t>Kast Avtozma.</w:t>
            </w:r>
          </w:p>
          <w:p w14:paraId="7C331593" w14:textId="77777777" w:rsidR="00EA08FF" w:rsidRPr="00A942F6" w:rsidRDefault="00EA08FF">
            <w:pPr>
              <w:pStyle w:val="Default"/>
              <w:ind w:left="567" w:hanging="567"/>
              <w:rPr>
                <w:rFonts w:ascii="Times New Roman" w:hAnsi="Times New Roman" w:cs="Times New Roman"/>
                <w:sz w:val="22"/>
                <w:szCs w:val="22"/>
              </w:rPr>
            </w:pPr>
          </w:p>
          <w:p w14:paraId="4ECF9174" w14:textId="5AD22540" w:rsidR="00EA08FF" w:rsidRPr="00A942F6" w:rsidRDefault="00EA08FF" w:rsidP="007814F8">
            <w:pPr>
              <w:pStyle w:val="a4"/>
              <w:numPr>
                <w:ilvl w:val="0"/>
                <w:numId w:val="54"/>
              </w:numPr>
              <w:autoSpaceDE/>
              <w:autoSpaceDN/>
              <w:ind w:left="567" w:hanging="567"/>
              <w:rPr>
                <w:bCs/>
                <w:lang w:val="nb-NO"/>
              </w:rPr>
            </w:pPr>
            <w:r w:rsidRPr="00A942F6">
              <w:rPr>
                <w:lang w:val="nb-NO"/>
              </w:rPr>
              <w:t xml:space="preserve">Kast den brukte ferdigfylte pennen i </w:t>
            </w:r>
            <w:r w:rsidRPr="00A942F6">
              <w:rPr>
                <w:color w:val="231F20"/>
                <w:lang w:val="nb-NO"/>
              </w:rPr>
              <w:t xml:space="preserve">beholderen for skarpe gjenstander rett etter bruk (se </w:t>
            </w:r>
            <w:r w:rsidRPr="00A942F6">
              <w:rPr>
                <w:b/>
                <w:color w:val="231F20"/>
                <w:lang w:val="nb-NO"/>
              </w:rPr>
              <w:t>figur O</w:t>
            </w:r>
            <w:r w:rsidRPr="00A942F6">
              <w:rPr>
                <w:lang w:val="nb-NO"/>
              </w:rPr>
              <w:t>).</w:t>
            </w:r>
          </w:p>
          <w:p w14:paraId="0C0BDC18" w14:textId="77777777" w:rsidR="00EA08FF" w:rsidRPr="00A942F6" w:rsidRDefault="00EA08FF">
            <w:pPr>
              <w:pStyle w:val="a4"/>
              <w:ind w:left="567" w:hanging="567"/>
              <w:rPr>
                <w:bCs/>
                <w:lang w:val="nb-NO"/>
              </w:rPr>
            </w:pPr>
          </w:p>
          <w:p w14:paraId="3E074D1A" w14:textId="77777777" w:rsidR="00EA08FF" w:rsidRPr="00A942F6" w:rsidRDefault="00EA08FF">
            <w:pPr>
              <w:pStyle w:val="a4"/>
              <w:ind w:left="567"/>
              <w:rPr>
                <w:bCs/>
                <w:noProof/>
                <w:lang w:val="nb-NO"/>
              </w:rPr>
            </w:pPr>
            <w:r w:rsidRPr="00A942F6">
              <w:rPr>
                <w:i/>
                <w:lang w:val="nb-NO"/>
              </w:rPr>
              <w:t>Merk</w:t>
            </w:r>
            <w:r w:rsidRPr="00A942F6">
              <w:rPr>
                <w:lang w:val="nb-NO"/>
              </w:rPr>
              <w:t>: Dersom en annen person gir injeksjonen må denne personen også være forsiktig når den ferdigfylte pennen trekkes ut og kastes, for å unngå uhell med å skade seg på nålestikk og overføring av infeksjon</w:t>
            </w:r>
            <w:r w:rsidRPr="00A942F6">
              <w:rPr>
                <w:color w:val="231F20"/>
                <w:lang w:val="nb-NO"/>
              </w:rPr>
              <w:t>.</w:t>
            </w:r>
          </w:p>
          <w:p w14:paraId="3925A3C1" w14:textId="77777777" w:rsidR="00EA08FF" w:rsidRPr="00A942F6" w:rsidRDefault="00EA08FF">
            <w:pPr>
              <w:pStyle w:val="a4"/>
              <w:ind w:left="567" w:hanging="567"/>
              <w:rPr>
                <w:bCs/>
                <w:lang w:val="nb-NO"/>
              </w:rPr>
            </w:pPr>
          </w:p>
          <w:p w14:paraId="7407FDA0"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bruk den ferdigfylte pennen på nytt.</w:t>
            </w:r>
          </w:p>
          <w:p w14:paraId="7199CD25"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sett hetten tilbake på den ferdigfylte pennen.</w:t>
            </w:r>
          </w:p>
          <w:p w14:paraId="3460058B"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kast beholderen for skarpe gjenstander i husholdningsavfallet.</w:t>
            </w:r>
          </w:p>
          <w:p w14:paraId="62C17E22"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b/>
                <w:bCs/>
                <w:lang w:val="sl-SI" w:eastAsia="ko-KR"/>
              </w:rPr>
              <w:t>Ikke</w:t>
            </w:r>
            <w:r w:rsidRPr="00434BCD">
              <w:rPr>
                <w:rFonts w:cs="Arial"/>
                <w:lang w:val="sl-SI" w:eastAsia="ko-KR"/>
              </w:rPr>
              <w:t xml:space="preserve"> resirkuler beholderen for skarpe gjenstander.</w:t>
            </w:r>
          </w:p>
          <w:p w14:paraId="3410D9FC"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Oppbevar Avtozma ferdigfylt penn og avfallsbeholderen utilgjengelig for barn.</w:t>
            </w:r>
          </w:p>
          <w:p w14:paraId="05876727" w14:textId="77777777" w:rsidR="00EA08FF" w:rsidRPr="00434BCD" w:rsidRDefault="00EA08FF" w:rsidP="00434BCD">
            <w:pPr>
              <w:pStyle w:val="a4"/>
              <w:numPr>
                <w:ilvl w:val="0"/>
                <w:numId w:val="23"/>
              </w:numPr>
              <w:tabs>
                <w:tab w:val="left" w:pos="1124"/>
              </w:tabs>
              <w:autoSpaceDE/>
              <w:autoSpaceDN/>
              <w:ind w:left="1134" w:hanging="567"/>
              <w:rPr>
                <w:rFonts w:cs="Arial"/>
                <w:lang w:val="sl-SI" w:eastAsia="ko-KR"/>
              </w:rPr>
            </w:pPr>
            <w:r w:rsidRPr="00434BCD">
              <w:rPr>
                <w:rFonts w:cs="Arial"/>
                <w:lang w:val="sl-SI" w:eastAsia="ko-KR"/>
              </w:rPr>
              <w:t>Full beholder håndteres som avtalt med helsepersonell eller apotek. Hvis du ikke har en beholder for skarpe gjenstander, kan du bruke en oppbevaringsboks som kan lukkes og som er punksjonssikker. Ikke anvendt legemiddel samt avfall bør destrueres i overensstemmelse med lokale krav.</w:t>
            </w:r>
          </w:p>
          <w:p w14:paraId="368CE509" w14:textId="77777777" w:rsidR="00EA08FF" w:rsidRPr="00A942F6" w:rsidRDefault="00EA08FF">
            <w:pPr>
              <w:widowControl w:val="0"/>
              <w:rPr>
                <w:rFonts w:eastAsia="새굴림" w:cs="새굴림"/>
                <w:lang w:val="nb-NO"/>
              </w:rPr>
            </w:pPr>
          </w:p>
        </w:tc>
      </w:tr>
      <w:tr w:rsidR="001F0013" w:rsidRPr="00B477E5" w14:paraId="2BA9CA10" w14:textId="77777777">
        <w:trPr>
          <w:cantSplit/>
        </w:trPr>
        <w:tc>
          <w:tcPr>
            <w:tcW w:w="9056" w:type="dxa"/>
            <w:gridSpan w:val="2"/>
          </w:tcPr>
          <w:p w14:paraId="4011D11E" w14:textId="77777777" w:rsidR="00EA08FF" w:rsidRPr="00A942F6" w:rsidRDefault="00EA08FF" w:rsidP="007814F8">
            <w:pPr>
              <w:pStyle w:val="a4"/>
              <w:numPr>
                <w:ilvl w:val="0"/>
                <w:numId w:val="53"/>
              </w:numPr>
              <w:autoSpaceDE/>
              <w:autoSpaceDN/>
              <w:ind w:left="567" w:hanging="567"/>
              <w:rPr>
                <w:b/>
                <w:lang w:val="nb-NO"/>
              </w:rPr>
            </w:pPr>
            <w:r w:rsidRPr="00A942F6">
              <w:rPr>
                <w:b/>
                <w:lang w:val="nb-NO"/>
              </w:rPr>
              <w:t>Hold oversikt over injeksjonene dine.</w:t>
            </w:r>
          </w:p>
          <w:p w14:paraId="0690552D" w14:textId="77777777" w:rsidR="00EA08FF" w:rsidRPr="00A942F6" w:rsidRDefault="00EA08FF">
            <w:pPr>
              <w:pStyle w:val="Default"/>
              <w:ind w:left="567" w:hanging="567"/>
              <w:rPr>
                <w:rFonts w:ascii="Times New Roman" w:hAnsi="Times New Roman" w:cs="Times New Roman"/>
                <w:sz w:val="22"/>
                <w:szCs w:val="22"/>
              </w:rPr>
            </w:pPr>
          </w:p>
          <w:p w14:paraId="6A205AB0" w14:textId="77777777" w:rsidR="00EA08FF" w:rsidRPr="00A942F6" w:rsidRDefault="00EA08FF" w:rsidP="007814F8">
            <w:pPr>
              <w:pStyle w:val="a4"/>
              <w:numPr>
                <w:ilvl w:val="0"/>
                <w:numId w:val="52"/>
              </w:numPr>
              <w:autoSpaceDE/>
              <w:autoSpaceDN/>
              <w:ind w:left="567" w:hanging="567"/>
              <w:rPr>
                <w:lang w:val="nb-NO"/>
              </w:rPr>
            </w:pPr>
            <w:r w:rsidRPr="00A942F6">
              <w:rPr>
                <w:lang w:val="nb-NO"/>
              </w:rPr>
              <w:t>Skriv ned dato, tid og i hvilket område av kroppen du injiserte.</w:t>
            </w:r>
          </w:p>
          <w:p w14:paraId="76440CBE" w14:textId="77777777" w:rsidR="00EA08FF" w:rsidRPr="00A942F6" w:rsidRDefault="00EA08FF">
            <w:pPr>
              <w:widowControl w:val="0"/>
              <w:rPr>
                <w:rFonts w:eastAsia="새굴림" w:cs="새굴림"/>
                <w:lang w:val="nb-NO"/>
              </w:rPr>
            </w:pPr>
          </w:p>
        </w:tc>
      </w:tr>
    </w:tbl>
    <w:p w14:paraId="2BB9972A" w14:textId="77777777" w:rsidR="00EA08FF" w:rsidRPr="00A942F6" w:rsidRDefault="00EA08FF" w:rsidP="00EA08FF">
      <w:pPr>
        <w:rPr>
          <w:lang w:val="nb-NO"/>
        </w:rPr>
      </w:pPr>
    </w:p>
    <w:p w14:paraId="152F704C" w14:textId="7FDAE5AA" w:rsidR="00E31057" w:rsidRPr="00A942F6" w:rsidRDefault="00E31057" w:rsidP="00641834">
      <w:pPr>
        <w:rPr>
          <w:lang w:val="nb-NO"/>
        </w:rPr>
      </w:pPr>
    </w:p>
    <w:sectPr w:rsidR="00E31057" w:rsidRPr="00A942F6" w:rsidSect="00711234">
      <w:footerReference w:type="default" r:id="rId61"/>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03B03" w14:textId="77777777" w:rsidR="001346F0" w:rsidRDefault="001346F0" w:rsidP="00240A54">
      <w:r>
        <w:separator/>
      </w:r>
    </w:p>
    <w:p w14:paraId="1924DED9" w14:textId="77777777" w:rsidR="001346F0" w:rsidRDefault="001346F0"/>
  </w:endnote>
  <w:endnote w:type="continuationSeparator" w:id="0">
    <w:p w14:paraId="4B2C71A9" w14:textId="77777777" w:rsidR="001346F0" w:rsidRDefault="001346F0" w:rsidP="00240A54">
      <w:r>
        <w:continuationSeparator/>
      </w:r>
    </w:p>
    <w:p w14:paraId="03113FA2" w14:textId="77777777" w:rsidR="001346F0" w:rsidRDefault="001346F0"/>
  </w:endnote>
  <w:endnote w:type="continuationNotice" w:id="1">
    <w:p w14:paraId="18EB5A1E" w14:textId="77777777" w:rsidR="001346F0" w:rsidRDefault="00134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새굴림">
    <w:panose1 w:val="02030600000101010101"/>
    <w:charset w:val="81"/>
    <w:family w:val="roman"/>
    <w:pitch w:val="variable"/>
    <w:sig w:usb0="B00002AF" w:usb1="7B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521D" w14:textId="0996BCDB" w:rsidR="003B558D" w:rsidRPr="00240A54" w:rsidRDefault="003B558D" w:rsidP="00240A54">
    <w:pPr>
      <w:pStyle w:val="a8"/>
      <w:jc w:val="center"/>
      <w:rPr>
        <w:rFonts w:ascii="Arial" w:hAnsi="Arial"/>
        <w:sz w:val="16"/>
        <w:szCs w:val="16"/>
      </w:rPr>
    </w:pPr>
    <w:r w:rsidRPr="00240A54">
      <w:rPr>
        <w:rFonts w:ascii="Arial" w:hAnsi="Arial"/>
        <w:sz w:val="16"/>
        <w:szCs w:val="16"/>
      </w:rPr>
      <w:fldChar w:fldCharType="begin"/>
    </w:r>
    <w:r w:rsidRPr="00240A54">
      <w:rPr>
        <w:rFonts w:ascii="Arial" w:hAnsi="Arial"/>
        <w:sz w:val="16"/>
        <w:szCs w:val="16"/>
      </w:rPr>
      <w:instrText xml:space="preserve"> PAGE   \* MERGEFORMAT </w:instrText>
    </w:r>
    <w:r w:rsidRPr="00240A54">
      <w:rPr>
        <w:rFonts w:ascii="Arial" w:hAnsi="Arial"/>
        <w:sz w:val="16"/>
        <w:szCs w:val="16"/>
      </w:rPr>
      <w:fldChar w:fldCharType="separate"/>
    </w:r>
    <w:r w:rsidR="005E0F66">
      <w:rPr>
        <w:rFonts w:ascii="Arial" w:hAnsi="Arial"/>
        <w:noProof/>
        <w:sz w:val="16"/>
        <w:szCs w:val="16"/>
      </w:rPr>
      <w:t>2</w:t>
    </w:r>
    <w:r w:rsidRPr="00240A54">
      <w:rPr>
        <w:rFonts w:ascii="Arial" w:hAnsi="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F4492" w14:textId="77777777" w:rsidR="001346F0" w:rsidRDefault="001346F0" w:rsidP="00240A54">
      <w:r>
        <w:separator/>
      </w:r>
    </w:p>
    <w:p w14:paraId="65E66AD4" w14:textId="77777777" w:rsidR="001346F0" w:rsidRDefault="001346F0"/>
  </w:footnote>
  <w:footnote w:type="continuationSeparator" w:id="0">
    <w:p w14:paraId="53A26270" w14:textId="77777777" w:rsidR="001346F0" w:rsidRDefault="001346F0" w:rsidP="00240A54">
      <w:r>
        <w:continuationSeparator/>
      </w:r>
    </w:p>
    <w:p w14:paraId="17A7430C" w14:textId="77777777" w:rsidR="001346F0" w:rsidRDefault="001346F0"/>
  </w:footnote>
  <w:footnote w:type="continuationNotice" w:id="1">
    <w:p w14:paraId="2579BA5C" w14:textId="77777777" w:rsidR="001346F0" w:rsidRDefault="001346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3D2"/>
    <w:multiLevelType w:val="multilevel"/>
    <w:tmpl w:val="10CCA32E"/>
    <w:lvl w:ilvl="0">
      <w:start w:val="1"/>
      <w:numFmt w:val="decimal"/>
      <w:lvlText w:val="%1"/>
      <w:lvlJc w:val="left"/>
      <w:pPr>
        <w:ind w:left="720" w:hanging="360"/>
      </w:pPr>
      <w:rPr>
        <w:rFonts w:hint="default"/>
        <w:vertAlign w:val="superscrip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9A07FE"/>
    <w:multiLevelType w:val="hybridMultilevel"/>
    <w:tmpl w:val="8C64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5CC123A"/>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 w15:restartNumberingAfterBreak="0">
    <w:nsid w:val="06E76B24"/>
    <w:multiLevelType w:val="multilevel"/>
    <w:tmpl w:val="144E5010"/>
    <w:lvl w:ilvl="0">
      <w:start w:val="1"/>
      <w:numFmt w:val="decimal"/>
      <w:pStyle w:val="tablenote"/>
      <w:lvlText w:val="%1"/>
      <w:lvlJc w:val="left"/>
      <w:pPr>
        <w:ind w:left="720" w:hanging="360"/>
      </w:pPr>
      <w:rPr>
        <w:rFonts w:hint="default"/>
        <w:vertAlign w:val="superscrip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B54059"/>
    <w:multiLevelType w:val="hybridMultilevel"/>
    <w:tmpl w:val="9B326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9FF1A2B"/>
    <w:multiLevelType w:val="hybridMultilevel"/>
    <w:tmpl w:val="555C4208"/>
    <w:lvl w:ilvl="0" w:tplc="1D0CD3A0">
      <w:start w:val="10"/>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0B2C47E5"/>
    <w:multiLevelType w:val="multilevel"/>
    <w:tmpl w:val="4C3ABB3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9" w:hanging="360"/>
      </w:pPr>
      <w:rPr>
        <w:rFonts w:ascii="Symbol" w:hAnsi="Symbol"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7" w15:restartNumberingAfterBreak="0">
    <w:nsid w:val="129E7C4D"/>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8" w15:restartNumberingAfterBreak="0">
    <w:nsid w:val="15D53A06"/>
    <w:multiLevelType w:val="hybridMultilevel"/>
    <w:tmpl w:val="5DFE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010B1"/>
    <w:multiLevelType w:val="hybridMultilevel"/>
    <w:tmpl w:val="3998EAA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31558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1" w15:restartNumberingAfterBreak="0">
    <w:nsid w:val="1EDE55F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2" w15:restartNumberingAfterBreak="0">
    <w:nsid w:val="1F623275"/>
    <w:multiLevelType w:val="hybridMultilevel"/>
    <w:tmpl w:val="EF56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C1623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4" w15:restartNumberingAfterBreak="0">
    <w:nsid w:val="216018B2"/>
    <w:multiLevelType w:val="hybridMultilevel"/>
    <w:tmpl w:val="2FE830D8"/>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15" w15:restartNumberingAfterBreak="0">
    <w:nsid w:val="23D96753"/>
    <w:multiLevelType w:val="hybridMultilevel"/>
    <w:tmpl w:val="8FF05BDA"/>
    <w:lvl w:ilvl="0" w:tplc="FFFFFFFF">
      <w:start w:val="1"/>
      <w:numFmt w:val="decimal"/>
      <w:lvlText w:val="%1."/>
      <w:lvlJc w:val="left"/>
      <w:pPr>
        <w:ind w:left="471" w:hanging="360"/>
      </w:pPr>
      <w:rPr>
        <w:rFonts w:ascii="Times New Roman" w:hAnsi="Times New Roman" w:cs="Times New Roman" w:hint="default"/>
        <w:b/>
        <w:bCs w:val="0"/>
      </w:rPr>
    </w:lvl>
    <w:lvl w:ilvl="1" w:tplc="FFFFFFFF" w:tentative="1">
      <w:start w:val="1"/>
      <w:numFmt w:val="upperLetter"/>
      <w:lvlText w:val="%2."/>
      <w:lvlJc w:val="left"/>
      <w:pPr>
        <w:ind w:left="911" w:hanging="400"/>
      </w:pPr>
    </w:lvl>
    <w:lvl w:ilvl="2" w:tplc="FFFFFFFF" w:tentative="1">
      <w:start w:val="1"/>
      <w:numFmt w:val="lowerRoman"/>
      <w:lvlText w:val="%3."/>
      <w:lvlJc w:val="right"/>
      <w:pPr>
        <w:ind w:left="1311" w:hanging="400"/>
      </w:pPr>
    </w:lvl>
    <w:lvl w:ilvl="3" w:tplc="FFFFFFFF" w:tentative="1">
      <w:start w:val="1"/>
      <w:numFmt w:val="decimal"/>
      <w:lvlText w:val="%4."/>
      <w:lvlJc w:val="left"/>
      <w:pPr>
        <w:ind w:left="1711" w:hanging="400"/>
      </w:pPr>
    </w:lvl>
    <w:lvl w:ilvl="4" w:tplc="FFFFFFFF" w:tentative="1">
      <w:start w:val="1"/>
      <w:numFmt w:val="upperLetter"/>
      <w:lvlText w:val="%5."/>
      <w:lvlJc w:val="left"/>
      <w:pPr>
        <w:ind w:left="2111" w:hanging="400"/>
      </w:pPr>
    </w:lvl>
    <w:lvl w:ilvl="5" w:tplc="FFFFFFFF" w:tentative="1">
      <w:start w:val="1"/>
      <w:numFmt w:val="lowerRoman"/>
      <w:lvlText w:val="%6."/>
      <w:lvlJc w:val="right"/>
      <w:pPr>
        <w:ind w:left="2511" w:hanging="400"/>
      </w:pPr>
    </w:lvl>
    <w:lvl w:ilvl="6" w:tplc="FFFFFFFF" w:tentative="1">
      <w:start w:val="1"/>
      <w:numFmt w:val="decimal"/>
      <w:lvlText w:val="%7."/>
      <w:lvlJc w:val="left"/>
      <w:pPr>
        <w:ind w:left="2911" w:hanging="400"/>
      </w:pPr>
    </w:lvl>
    <w:lvl w:ilvl="7" w:tplc="FFFFFFFF" w:tentative="1">
      <w:start w:val="1"/>
      <w:numFmt w:val="upperLetter"/>
      <w:lvlText w:val="%8."/>
      <w:lvlJc w:val="left"/>
      <w:pPr>
        <w:ind w:left="3311" w:hanging="400"/>
      </w:pPr>
    </w:lvl>
    <w:lvl w:ilvl="8" w:tplc="FFFFFFFF" w:tentative="1">
      <w:start w:val="1"/>
      <w:numFmt w:val="lowerRoman"/>
      <w:lvlText w:val="%9."/>
      <w:lvlJc w:val="right"/>
      <w:pPr>
        <w:ind w:left="3711" w:hanging="400"/>
      </w:pPr>
    </w:lvl>
  </w:abstractNum>
  <w:abstractNum w:abstractNumId="16" w15:restartNumberingAfterBreak="0">
    <w:nsid w:val="281F72F3"/>
    <w:multiLevelType w:val="hybridMultilevel"/>
    <w:tmpl w:val="5E567C00"/>
    <w:lvl w:ilvl="0" w:tplc="BAE6AFF0">
      <w:start w:val="1"/>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911" w:hanging="400"/>
      </w:pPr>
    </w:lvl>
    <w:lvl w:ilvl="2" w:tplc="0409001B" w:tentative="1">
      <w:start w:val="1"/>
      <w:numFmt w:val="lowerRoman"/>
      <w:lvlText w:val="%3."/>
      <w:lvlJc w:val="right"/>
      <w:pPr>
        <w:ind w:left="1311" w:hanging="400"/>
      </w:pPr>
    </w:lvl>
    <w:lvl w:ilvl="3" w:tplc="0409000F" w:tentative="1">
      <w:start w:val="1"/>
      <w:numFmt w:val="decimal"/>
      <w:lvlText w:val="%4."/>
      <w:lvlJc w:val="left"/>
      <w:pPr>
        <w:ind w:left="1711" w:hanging="400"/>
      </w:pPr>
    </w:lvl>
    <w:lvl w:ilvl="4" w:tplc="04090019" w:tentative="1">
      <w:start w:val="1"/>
      <w:numFmt w:val="upperLetter"/>
      <w:lvlText w:val="%5."/>
      <w:lvlJc w:val="left"/>
      <w:pPr>
        <w:ind w:left="2111" w:hanging="400"/>
      </w:pPr>
    </w:lvl>
    <w:lvl w:ilvl="5" w:tplc="0409001B" w:tentative="1">
      <w:start w:val="1"/>
      <w:numFmt w:val="lowerRoman"/>
      <w:lvlText w:val="%6."/>
      <w:lvlJc w:val="right"/>
      <w:pPr>
        <w:ind w:left="2511" w:hanging="400"/>
      </w:pPr>
    </w:lvl>
    <w:lvl w:ilvl="6" w:tplc="0409000F" w:tentative="1">
      <w:start w:val="1"/>
      <w:numFmt w:val="decimal"/>
      <w:lvlText w:val="%7."/>
      <w:lvlJc w:val="left"/>
      <w:pPr>
        <w:ind w:left="2911" w:hanging="400"/>
      </w:pPr>
    </w:lvl>
    <w:lvl w:ilvl="7" w:tplc="04090019" w:tentative="1">
      <w:start w:val="1"/>
      <w:numFmt w:val="upperLetter"/>
      <w:lvlText w:val="%8."/>
      <w:lvlJc w:val="left"/>
      <w:pPr>
        <w:ind w:left="3311" w:hanging="400"/>
      </w:pPr>
    </w:lvl>
    <w:lvl w:ilvl="8" w:tplc="0409001B" w:tentative="1">
      <w:start w:val="1"/>
      <w:numFmt w:val="lowerRoman"/>
      <w:lvlText w:val="%9."/>
      <w:lvlJc w:val="right"/>
      <w:pPr>
        <w:ind w:left="3711" w:hanging="400"/>
      </w:pPr>
    </w:lvl>
  </w:abstractNum>
  <w:abstractNum w:abstractNumId="17" w15:restartNumberingAfterBreak="0">
    <w:nsid w:val="29403616"/>
    <w:multiLevelType w:val="multilevel"/>
    <w:tmpl w:val="5476C88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18" w15:restartNumberingAfterBreak="0">
    <w:nsid w:val="2EB87E7C"/>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9" w15:restartNumberingAfterBreak="0">
    <w:nsid w:val="2F725F0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0" w15:restartNumberingAfterBreak="0">
    <w:nsid w:val="32E8359D"/>
    <w:multiLevelType w:val="hybridMultilevel"/>
    <w:tmpl w:val="496C4C60"/>
    <w:lvl w:ilvl="0" w:tplc="97041E3C">
      <w:numFmt w:val="bullet"/>
      <w:lvlText w:val=""/>
      <w:lvlJc w:val="left"/>
      <w:pPr>
        <w:ind w:left="720" w:hanging="360"/>
      </w:pPr>
      <w:rPr>
        <w:rFonts w:ascii="Symbol" w:eastAsia="DengXi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4653D49"/>
    <w:multiLevelType w:val="hybridMultilevel"/>
    <w:tmpl w:val="3FCE161A"/>
    <w:lvl w:ilvl="0" w:tplc="447E1EA2">
      <w:start w:val="1"/>
      <w:numFmt w:val="bullet"/>
      <w:lvlText w:val="•"/>
      <w:lvlJc w:val="left"/>
      <w:pPr>
        <w:ind w:left="911" w:hanging="400"/>
      </w:pPr>
      <w:rPr>
        <w:rFonts w:ascii="Times New Roman" w:eastAsia="Times New Roman" w:hAnsi="Times New Roman" w:hint="default"/>
        <w:strike w:val="0"/>
        <w:sz w:val="22"/>
        <w:szCs w:val="22"/>
      </w:rPr>
    </w:lvl>
    <w:lvl w:ilvl="1" w:tplc="043E36C2" w:tentative="1">
      <w:start w:val="1"/>
      <w:numFmt w:val="bullet"/>
      <w:lvlText w:val=""/>
      <w:lvlJc w:val="left"/>
      <w:pPr>
        <w:ind w:left="1311" w:hanging="400"/>
      </w:pPr>
      <w:rPr>
        <w:rFonts w:ascii="Wingdings" w:hAnsi="Wingdings" w:hint="default"/>
      </w:rPr>
    </w:lvl>
    <w:lvl w:ilvl="2" w:tplc="0C9C1F6A" w:tentative="1">
      <w:start w:val="1"/>
      <w:numFmt w:val="bullet"/>
      <w:lvlText w:val=""/>
      <w:lvlJc w:val="left"/>
      <w:pPr>
        <w:ind w:left="1711" w:hanging="400"/>
      </w:pPr>
      <w:rPr>
        <w:rFonts w:ascii="Wingdings" w:hAnsi="Wingdings" w:hint="default"/>
      </w:rPr>
    </w:lvl>
    <w:lvl w:ilvl="3" w:tplc="AC68A48E" w:tentative="1">
      <w:start w:val="1"/>
      <w:numFmt w:val="bullet"/>
      <w:lvlText w:val=""/>
      <w:lvlJc w:val="left"/>
      <w:pPr>
        <w:ind w:left="2111" w:hanging="400"/>
      </w:pPr>
      <w:rPr>
        <w:rFonts w:ascii="Wingdings" w:hAnsi="Wingdings" w:hint="default"/>
      </w:rPr>
    </w:lvl>
    <w:lvl w:ilvl="4" w:tplc="444811B8" w:tentative="1">
      <w:start w:val="1"/>
      <w:numFmt w:val="bullet"/>
      <w:lvlText w:val=""/>
      <w:lvlJc w:val="left"/>
      <w:pPr>
        <w:ind w:left="2511" w:hanging="400"/>
      </w:pPr>
      <w:rPr>
        <w:rFonts w:ascii="Wingdings" w:hAnsi="Wingdings" w:hint="default"/>
      </w:rPr>
    </w:lvl>
    <w:lvl w:ilvl="5" w:tplc="FCD2B724" w:tentative="1">
      <w:start w:val="1"/>
      <w:numFmt w:val="bullet"/>
      <w:lvlText w:val=""/>
      <w:lvlJc w:val="left"/>
      <w:pPr>
        <w:ind w:left="2911" w:hanging="400"/>
      </w:pPr>
      <w:rPr>
        <w:rFonts w:ascii="Wingdings" w:hAnsi="Wingdings" w:hint="default"/>
      </w:rPr>
    </w:lvl>
    <w:lvl w:ilvl="6" w:tplc="53FC4946" w:tentative="1">
      <w:start w:val="1"/>
      <w:numFmt w:val="bullet"/>
      <w:lvlText w:val=""/>
      <w:lvlJc w:val="left"/>
      <w:pPr>
        <w:ind w:left="3311" w:hanging="400"/>
      </w:pPr>
      <w:rPr>
        <w:rFonts w:ascii="Wingdings" w:hAnsi="Wingdings" w:hint="default"/>
      </w:rPr>
    </w:lvl>
    <w:lvl w:ilvl="7" w:tplc="79BCAB6E" w:tentative="1">
      <w:start w:val="1"/>
      <w:numFmt w:val="bullet"/>
      <w:lvlText w:val=""/>
      <w:lvlJc w:val="left"/>
      <w:pPr>
        <w:ind w:left="3711" w:hanging="400"/>
      </w:pPr>
      <w:rPr>
        <w:rFonts w:ascii="Wingdings" w:hAnsi="Wingdings" w:hint="default"/>
      </w:rPr>
    </w:lvl>
    <w:lvl w:ilvl="8" w:tplc="0FA20506" w:tentative="1">
      <w:start w:val="1"/>
      <w:numFmt w:val="bullet"/>
      <w:lvlText w:val=""/>
      <w:lvlJc w:val="left"/>
      <w:pPr>
        <w:ind w:left="4111" w:hanging="400"/>
      </w:pPr>
      <w:rPr>
        <w:rFonts w:ascii="Wingdings" w:hAnsi="Wingdings" w:hint="default"/>
      </w:rPr>
    </w:lvl>
  </w:abstractNum>
  <w:abstractNum w:abstractNumId="22" w15:restartNumberingAfterBreak="0">
    <w:nsid w:val="34816D7C"/>
    <w:multiLevelType w:val="hybridMultilevel"/>
    <w:tmpl w:val="A66E32F4"/>
    <w:lvl w:ilvl="0" w:tplc="CAD03EEA">
      <w:start w:val="1"/>
      <w:numFmt w:val="bullet"/>
      <w:pStyle w:val="Style2"/>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C942F4"/>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4" w15:restartNumberingAfterBreak="0">
    <w:nsid w:val="35C33797"/>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5" w15:restartNumberingAfterBreak="0">
    <w:nsid w:val="38DC174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6" w15:restartNumberingAfterBreak="0">
    <w:nsid w:val="3A0508C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7" w15:restartNumberingAfterBreak="0">
    <w:nsid w:val="3B417C7E"/>
    <w:multiLevelType w:val="hybridMultilevel"/>
    <w:tmpl w:val="BEFA21F4"/>
    <w:lvl w:ilvl="0" w:tplc="D58017B4">
      <w:start w:val="1"/>
      <w:numFmt w:val="lowerLetter"/>
      <w:pStyle w:val="tabenoteab"/>
      <w:lvlText w:val="%1"/>
      <w:lvlJc w:val="left"/>
      <w:pPr>
        <w:ind w:left="360" w:hanging="360"/>
      </w:pPr>
      <w:rPr>
        <w:rFonts w:ascii="Times New Roman" w:eastAsia="SimSun" w:hAnsi="Times New Roman"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553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9" w15:restartNumberingAfterBreak="0">
    <w:nsid w:val="41C200DB"/>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0" w15:restartNumberingAfterBreak="0">
    <w:nsid w:val="483C758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1" w15:restartNumberingAfterBreak="0">
    <w:nsid w:val="49881D0A"/>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32" w15:restartNumberingAfterBreak="0">
    <w:nsid w:val="4A7D58BA"/>
    <w:multiLevelType w:val="hybridMultilevel"/>
    <w:tmpl w:val="1C58B0E8"/>
    <w:lvl w:ilvl="0" w:tplc="9766A800">
      <w:start w:val="1"/>
      <w:numFmt w:val="bullet"/>
      <w:pStyle w:val="tablenotesta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6E6F6D"/>
    <w:multiLevelType w:val="hybridMultilevel"/>
    <w:tmpl w:val="5F00DE66"/>
    <w:lvl w:ilvl="0" w:tplc="04090001">
      <w:start w:val="1"/>
      <w:numFmt w:val="bullet"/>
      <w:lvlText w:val=""/>
      <w:lvlJc w:val="left"/>
      <w:pPr>
        <w:ind w:left="911" w:hanging="400"/>
      </w:pPr>
      <w:rPr>
        <w:rFonts w:ascii="Symbol" w:hAnsi="Symbol" w:hint="default"/>
        <w:strike w:val="0"/>
        <w:sz w:val="22"/>
        <w:szCs w:val="22"/>
      </w:rPr>
    </w:lvl>
    <w:lvl w:ilvl="1" w:tplc="FFFFFFFF" w:tentative="1">
      <w:start w:val="1"/>
      <w:numFmt w:val="bullet"/>
      <w:lvlText w:val=""/>
      <w:lvlJc w:val="left"/>
      <w:pPr>
        <w:ind w:left="1311" w:hanging="400"/>
      </w:pPr>
      <w:rPr>
        <w:rFonts w:ascii="Wingdings" w:hAnsi="Wingdings" w:hint="default"/>
      </w:rPr>
    </w:lvl>
    <w:lvl w:ilvl="2" w:tplc="FFFFFFFF" w:tentative="1">
      <w:start w:val="1"/>
      <w:numFmt w:val="bullet"/>
      <w:lvlText w:val=""/>
      <w:lvlJc w:val="left"/>
      <w:pPr>
        <w:ind w:left="1711" w:hanging="400"/>
      </w:pPr>
      <w:rPr>
        <w:rFonts w:ascii="Wingdings" w:hAnsi="Wingdings" w:hint="default"/>
      </w:rPr>
    </w:lvl>
    <w:lvl w:ilvl="3" w:tplc="FFFFFFFF" w:tentative="1">
      <w:start w:val="1"/>
      <w:numFmt w:val="bullet"/>
      <w:lvlText w:val=""/>
      <w:lvlJc w:val="left"/>
      <w:pPr>
        <w:ind w:left="2111" w:hanging="400"/>
      </w:pPr>
      <w:rPr>
        <w:rFonts w:ascii="Wingdings" w:hAnsi="Wingdings" w:hint="default"/>
      </w:rPr>
    </w:lvl>
    <w:lvl w:ilvl="4" w:tplc="FFFFFFFF" w:tentative="1">
      <w:start w:val="1"/>
      <w:numFmt w:val="bullet"/>
      <w:lvlText w:val=""/>
      <w:lvlJc w:val="left"/>
      <w:pPr>
        <w:ind w:left="2511" w:hanging="400"/>
      </w:pPr>
      <w:rPr>
        <w:rFonts w:ascii="Wingdings" w:hAnsi="Wingdings" w:hint="default"/>
      </w:rPr>
    </w:lvl>
    <w:lvl w:ilvl="5" w:tplc="FFFFFFFF" w:tentative="1">
      <w:start w:val="1"/>
      <w:numFmt w:val="bullet"/>
      <w:lvlText w:val=""/>
      <w:lvlJc w:val="left"/>
      <w:pPr>
        <w:ind w:left="2911" w:hanging="400"/>
      </w:pPr>
      <w:rPr>
        <w:rFonts w:ascii="Wingdings" w:hAnsi="Wingdings" w:hint="default"/>
      </w:rPr>
    </w:lvl>
    <w:lvl w:ilvl="6" w:tplc="FFFFFFFF" w:tentative="1">
      <w:start w:val="1"/>
      <w:numFmt w:val="bullet"/>
      <w:lvlText w:val=""/>
      <w:lvlJc w:val="left"/>
      <w:pPr>
        <w:ind w:left="3311" w:hanging="400"/>
      </w:pPr>
      <w:rPr>
        <w:rFonts w:ascii="Wingdings" w:hAnsi="Wingdings" w:hint="default"/>
      </w:rPr>
    </w:lvl>
    <w:lvl w:ilvl="7" w:tplc="FFFFFFFF" w:tentative="1">
      <w:start w:val="1"/>
      <w:numFmt w:val="bullet"/>
      <w:lvlText w:val=""/>
      <w:lvlJc w:val="left"/>
      <w:pPr>
        <w:ind w:left="3711" w:hanging="400"/>
      </w:pPr>
      <w:rPr>
        <w:rFonts w:ascii="Wingdings" w:hAnsi="Wingdings" w:hint="default"/>
      </w:rPr>
    </w:lvl>
    <w:lvl w:ilvl="8" w:tplc="FFFFFFFF" w:tentative="1">
      <w:start w:val="1"/>
      <w:numFmt w:val="bullet"/>
      <w:lvlText w:val=""/>
      <w:lvlJc w:val="left"/>
      <w:pPr>
        <w:ind w:left="4111" w:hanging="400"/>
      </w:pPr>
      <w:rPr>
        <w:rFonts w:ascii="Wingdings" w:hAnsi="Wingdings" w:hint="default"/>
      </w:rPr>
    </w:lvl>
  </w:abstractNum>
  <w:abstractNum w:abstractNumId="34" w15:restartNumberingAfterBreak="0">
    <w:nsid w:val="4C55185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5" w15:restartNumberingAfterBreak="0">
    <w:nsid w:val="4CC0175C"/>
    <w:multiLevelType w:val="hybridMultilevel"/>
    <w:tmpl w:val="BC547514"/>
    <w:lvl w:ilvl="0" w:tplc="4CA0F288">
      <w:start w:val="1"/>
      <w:numFmt w:val="bullet"/>
      <w:lvlText w:val=""/>
      <w:lvlJc w:val="left"/>
      <w:pPr>
        <w:ind w:left="360" w:hanging="360"/>
      </w:pPr>
      <w:rPr>
        <w:rFonts w:ascii="Symbol" w:hAnsi="Symbol" w:hint="default"/>
      </w:rPr>
    </w:lvl>
    <w:lvl w:ilvl="1" w:tplc="02A272A4" w:tentative="1">
      <w:start w:val="1"/>
      <w:numFmt w:val="bullet"/>
      <w:lvlText w:val="o"/>
      <w:lvlJc w:val="left"/>
      <w:pPr>
        <w:ind w:left="2072" w:hanging="360"/>
      </w:pPr>
      <w:rPr>
        <w:rFonts w:ascii="Courier New" w:hAnsi="Courier New" w:cs="Courier New" w:hint="default"/>
      </w:rPr>
    </w:lvl>
    <w:lvl w:ilvl="2" w:tplc="6EBC9FC0" w:tentative="1">
      <w:start w:val="1"/>
      <w:numFmt w:val="bullet"/>
      <w:lvlText w:val=""/>
      <w:lvlJc w:val="left"/>
      <w:pPr>
        <w:ind w:left="2792" w:hanging="360"/>
      </w:pPr>
      <w:rPr>
        <w:rFonts w:ascii="Wingdings" w:hAnsi="Wingdings" w:hint="default"/>
      </w:rPr>
    </w:lvl>
    <w:lvl w:ilvl="3" w:tplc="157487D4" w:tentative="1">
      <w:start w:val="1"/>
      <w:numFmt w:val="bullet"/>
      <w:lvlText w:val=""/>
      <w:lvlJc w:val="left"/>
      <w:pPr>
        <w:ind w:left="3512" w:hanging="360"/>
      </w:pPr>
      <w:rPr>
        <w:rFonts w:ascii="Symbol" w:hAnsi="Symbol" w:hint="default"/>
      </w:rPr>
    </w:lvl>
    <w:lvl w:ilvl="4" w:tplc="612C29FA" w:tentative="1">
      <w:start w:val="1"/>
      <w:numFmt w:val="bullet"/>
      <w:lvlText w:val="o"/>
      <w:lvlJc w:val="left"/>
      <w:pPr>
        <w:ind w:left="4232" w:hanging="360"/>
      </w:pPr>
      <w:rPr>
        <w:rFonts w:ascii="Courier New" w:hAnsi="Courier New" w:cs="Courier New" w:hint="default"/>
      </w:rPr>
    </w:lvl>
    <w:lvl w:ilvl="5" w:tplc="A0B00824" w:tentative="1">
      <w:start w:val="1"/>
      <w:numFmt w:val="bullet"/>
      <w:lvlText w:val=""/>
      <w:lvlJc w:val="left"/>
      <w:pPr>
        <w:ind w:left="4952" w:hanging="360"/>
      </w:pPr>
      <w:rPr>
        <w:rFonts w:ascii="Wingdings" w:hAnsi="Wingdings" w:hint="default"/>
      </w:rPr>
    </w:lvl>
    <w:lvl w:ilvl="6" w:tplc="8D848558" w:tentative="1">
      <w:start w:val="1"/>
      <w:numFmt w:val="bullet"/>
      <w:lvlText w:val=""/>
      <w:lvlJc w:val="left"/>
      <w:pPr>
        <w:ind w:left="5672" w:hanging="360"/>
      </w:pPr>
      <w:rPr>
        <w:rFonts w:ascii="Symbol" w:hAnsi="Symbol" w:hint="default"/>
      </w:rPr>
    </w:lvl>
    <w:lvl w:ilvl="7" w:tplc="E5DA7124" w:tentative="1">
      <w:start w:val="1"/>
      <w:numFmt w:val="bullet"/>
      <w:lvlText w:val="o"/>
      <w:lvlJc w:val="left"/>
      <w:pPr>
        <w:ind w:left="6392" w:hanging="360"/>
      </w:pPr>
      <w:rPr>
        <w:rFonts w:ascii="Courier New" w:hAnsi="Courier New" w:cs="Courier New" w:hint="default"/>
      </w:rPr>
    </w:lvl>
    <w:lvl w:ilvl="8" w:tplc="05B8C438" w:tentative="1">
      <w:start w:val="1"/>
      <w:numFmt w:val="bullet"/>
      <w:lvlText w:val=""/>
      <w:lvlJc w:val="left"/>
      <w:pPr>
        <w:ind w:left="7112" w:hanging="360"/>
      </w:pPr>
      <w:rPr>
        <w:rFonts w:ascii="Wingdings" w:hAnsi="Wingdings" w:hint="default"/>
      </w:rPr>
    </w:lvl>
  </w:abstractNum>
  <w:abstractNum w:abstractNumId="36" w15:restartNumberingAfterBreak="0">
    <w:nsid w:val="4E090470"/>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7" w15:restartNumberingAfterBreak="0">
    <w:nsid w:val="4FF51D60"/>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8" w15:restartNumberingAfterBreak="0">
    <w:nsid w:val="53505ADA"/>
    <w:multiLevelType w:val="hybridMultilevel"/>
    <w:tmpl w:val="C5DC20C8"/>
    <w:lvl w:ilvl="0" w:tplc="97041E3C">
      <w:numFmt w:val="bullet"/>
      <w:lvlText w:val=""/>
      <w:lvlJc w:val="left"/>
      <w:pPr>
        <w:ind w:left="1080" w:hanging="720"/>
      </w:pPr>
      <w:rPr>
        <w:rFonts w:ascii="Symbol" w:eastAsia="DengXi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611404"/>
    <w:multiLevelType w:val="hybridMultilevel"/>
    <w:tmpl w:val="3A10CE70"/>
    <w:lvl w:ilvl="0" w:tplc="F688641A">
      <w:start w:val="1"/>
      <w:numFmt w:val="bullet"/>
      <w:pStyle w:val="BulletInd1cm1cm"/>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5F3F4D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1" w15:restartNumberingAfterBreak="0">
    <w:nsid w:val="5F812F93"/>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42" w15:restartNumberingAfterBreak="0">
    <w:nsid w:val="629D5D0B"/>
    <w:multiLevelType w:val="hybridMultilevel"/>
    <w:tmpl w:val="38DA79CE"/>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43" w15:restartNumberingAfterBreak="0">
    <w:nsid w:val="64514BF4"/>
    <w:multiLevelType w:val="hybridMultilevel"/>
    <w:tmpl w:val="2FE830D8"/>
    <w:lvl w:ilvl="0" w:tplc="689486F6">
      <w:start w:val="1"/>
      <w:numFmt w:val="lowerLetter"/>
      <w:lvlText w:val="%1."/>
      <w:lvlJc w:val="left"/>
      <w:pPr>
        <w:ind w:left="-648" w:hanging="360"/>
      </w:pPr>
      <w:rPr>
        <w:rFonts w:ascii="Times New Roman" w:hAnsi="Times New Roman" w:cs="Times New Roman" w:hint="default"/>
        <w:b/>
      </w:rPr>
    </w:lvl>
    <w:lvl w:ilvl="1" w:tplc="04090019" w:tentative="1">
      <w:start w:val="1"/>
      <w:numFmt w:val="upperLetter"/>
      <w:lvlText w:val="%2."/>
      <w:lvlJc w:val="left"/>
      <w:pPr>
        <w:ind w:left="201" w:hanging="440"/>
      </w:pPr>
    </w:lvl>
    <w:lvl w:ilvl="2" w:tplc="0409001B" w:tentative="1">
      <w:start w:val="1"/>
      <w:numFmt w:val="lowerRoman"/>
      <w:lvlText w:val="%3."/>
      <w:lvlJc w:val="right"/>
      <w:pPr>
        <w:ind w:left="641" w:hanging="440"/>
      </w:pPr>
    </w:lvl>
    <w:lvl w:ilvl="3" w:tplc="0409000F" w:tentative="1">
      <w:start w:val="1"/>
      <w:numFmt w:val="decimal"/>
      <w:lvlText w:val="%4."/>
      <w:lvlJc w:val="left"/>
      <w:pPr>
        <w:ind w:left="1081" w:hanging="440"/>
      </w:pPr>
    </w:lvl>
    <w:lvl w:ilvl="4" w:tplc="04090019" w:tentative="1">
      <w:start w:val="1"/>
      <w:numFmt w:val="upperLetter"/>
      <w:lvlText w:val="%5."/>
      <w:lvlJc w:val="left"/>
      <w:pPr>
        <w:ind w:left="1521" w:hanging="440"/>
      </w:pPr>
    </w:lvl>
    <w:lvl w:ilvl="5" w:tplc="0409001B" w:tentative="1">
      <w:start w:val="1"/>
      <w:numFmt w:val="lowerRoman"/>
      <w:lvlText w:val="%6."/>
      <w:lvlJc w:val="right"/>
      <w:pPr>
        <w:ind w:left="1961" w:hanging="440"/>
      </w:pPr>
    </w:lvl>
    <w:lvl w:ilvl="6" w:tplc="0409000F" w:tentative="1">
      <w:start w:val="1"/>
      <w:numFmt w:val="decimal"/>
      <w:lvlText w:val="%7."/>
      <w:lvlJc w:val="left"/>
      <w:pPr>
        <w:ind w:left="2401" w:hanging="440"/>
      </w:pPr>
    </w:lvl>
    <w:lvl w:ilvl="7" w:tplc="04090019" w:tentative="1">
      <w:start w:val="1"/>
      <w:numFmt w:val="upperLetter"/>
      <w:lvlText w:val="%8."/>
      <w:lvlJc w:val="left"/>
      <w:pPr>
        <w:ind w:left="2841" w:hanging="440"/>
      </w:pPr>
    </w:lvl>
    <w:lvl w:ilvl="8" w:tplc="0409001B" w:tentative="1">
      <w:start w:val="1"/>
      <w:numFmt w:val="lowerRoman"/>
      <w:lvlText w:val="%9."/>
      <w:lvlJc w:val="right"/>
      <w:pPr>
        <w:ind w:left="3281" w:hanging="440"/>
      </w:pPr>
    </w:lvl>
  </w:abstractNum>
  <w:abstractNum w:abstractNumId="44" w15:restartNumberingAfterBreak="0">
    <w:nsid w:val="64764B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5" w15:restartNumberingAfterBreak="0">
    <w:nsid w:val="653904C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6" w15:restartNumberingAfterBreak="0">
    <w:nsid w:val="686F2F84"/>
    <w:multiLevelType w:val="hybridMultilevel"/>
    <w:tmpl w:val="D6C8755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EDA6C1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8" w15:restartNumberingAfterBreak="0">
    <w:nsid w:val="6FFF6003"/>
    <w:multiLevelType w:val="hybridMultilevel"/>
    <w:tmpl w:val="5A944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C0393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0" w15:restartNumberingAfterBreak="0">
    <w:nsid w:val="7299215D"/>
    <w:multiLevelType w:val="hybridMultilevel"/>
    <w:tmpl w:val="EF52B61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40820E1"/>
    <w:multiLevelType w:val="hybridMultilevel"/>
    <w:tmpl w:val="AC245350"/>
    <w:lvl w:ilvl="0" w:tplc="DFE84B9A">
      <w:start w:val="1"/>
      <w:numFmt w:val="bullet"/>
      <w:lvlText w:val="-"/>
      <w:lvlJc w:val="left"/>
      <w:pPr>
        <w:ind w:left="4613" w:hanging="360"/>
      </w:pPr>
      <w:rPr>
        <w:rFonts w:ascii="Times New Roman" w:eastAsia="DengXian" w:hAnsi="Times New Roman" w:cs="Times New Roman" w:hint="default"/>
        <w:b/>
      </w:rPr>
    </w:lvl>
    <w:lvl w:ilvl="1" w:tplc="04090003" w:tentative="1">
      <w:start w:val="1"/>
      <w:numFmt w:val="bullet"/>
      <w:lvlText w:val=""/>
      <w:lvlJc w:val="left"/>
      <w:pPr>
        <w:ind w:left="5133" w:hanging="440"/>
      </w:pPr>
      <w:rPr>
        <w:rFonts w:ascii="Wingdings" w:hAnsi="Wingdings" w:hint="default"/>
      </w:rPr>
    </w:lvl>
    <w:lvl w:ilvl="2" w:tplc="04090005" w:tentative="1">
      <w:start w:val="1"/>
      <w:numFmt w:val="bullet"/>
      <w:lvlText w:val=""/>
      <w:lvlJc w:val="left"/>
      <w:pPr>
        <w:ind w:left="5573" w:hanging="440"/>
      </w:pPr>
      <w:rPr>
        <w:rFonts w:ascii="Wingdings" w:hAnsi="Wingdings" w:hint="default"/>
      </w:rPr>
    </w:lvl>
    <w:lvl w:ilvl="3" w:tplc="04090001" w:tentative="1">
      <w:start w:val="1"/>
      <w:numFmt w:val="bullet"/>
      <w:lvlText w:val=""/>
      <w:lvlJc w:val="left"/>
      <w:pPr>
        <w:ind w:left="6013" w:hanging="440"/>
      </w:pPr>
      <w:rPr>
        <w:rFonts w:ascii="Wingdings" w:hAnsi="Wingdings" w:hint="default"/>
      </w:rPr>
    </w:lvl>
    <w:lvl w:ilvl="4" w:tplc="04090003" w:tentative="1">
      <w:start w:val="1"/>
      <w:numFmt w:val="bullet"/>
      <w:lvlText w:val=""/>
      <w:lvlJc w:val="left"/>
      <w:pPr>
        <w:ind w:left="6453" w:hanging="440"/>
      </w:pPr>
      <w:rPr>
        <w:rFonts w:ascii="Wingdings" w:hAnsi="Wingdings" w:hint="default"/>
      </w:rPr>
    </w:lvl>
    <w:lvl w:ilvl="5" w:tplc="04090005" w:tentative="1">
      <w:start w:val="1"/>
      <w:numFmt w:val="bullet"/>
      <w:lvlText w:val=""/>
      <w:lvlJc w:val="left"/>
      <w:pPr>
        <w:ind w:left="6893" w:hanging="440"/>
      </w:pPr>
      <w:rPr>
        <w:rFonts w:ascii="Wingdings" w:hAnsi="Wingdings" w:hint="default"/>
      </w:rPr>
    </w:lvl>
    <w:lvl w:ilvl="6" w:tplc="04090001" w:tentative="1">
      <w:start w:val="1"/>
      <w:numFmt w:val="bullet"/>
      <w:lvlText w:val=""/>
      <w:lvlJc w:val="left"/>
      <w:pPr>
        <w:ind w:left="7333" w:hanging="440"/>
      </w:pPr>
      <w:rPr>
        <w:rFonts w:ascii="Wingdings" w:hAnsi="Wingdings" w:hint="default"/>
      </w:rPr>
    </w:lvl>
    <w:lvl w:ilvl="7" w:tplc="04090003" w:tentative="1">
      <w:start w:val="1"/>
      <w:numFmt w:val="bullet"/>
      <w:lvlText w:val=""/>
      <w:lvlJc w:val="left"/>
      <w:pPr>
        <w:ind w:left="7773" w:hanging="440"/>
      </w:pPr>
      <w:rPr>
        <w:rFonts w:ascii="Wingdings" w:hAnsi="Wingdings" w:hint="default"/>
      </w:rPr>
    </w:lvl>
    <w:lvl w:ilvl="8" w:tplc="04090005" w:tentative="1">
      <w:start w:val="1"/>
      <w:numFmt w:val="bullet"/>
      <w:lvlText w:val=""/>
      <w:lvlJc w:val="left"/>
      <w:pPr>
        <w:ind w:left="8213" w:hanging="440"/>
      </w:pPr>
      <w:rPr>
        <w:rFonts w:ascii="Wingdings" w:hAnsi="Wingdings" w:hint="default"/>
      </w:rPr>
    </w:lvl>
  </w:abstractNum>
  <w:abstractNum w:abstractNumId="52" w15:restartNumberingAfterBreak="0">
    <w:nsid w:val="74B92B0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3" w15:restartNumberingAfterBreak="0">
    <w:nsid w:val="78B32D83"/>
    <w:multiLevelType w:val="hybridMultilevel"/>
    <w:tmpl w:val="6F92C048"/>
    <w:lvl w:ilvl="0" w:tplc="54326680">
      <w:start w:val="1"/>
      <w:numFmt w:val="bullet"/>
      <w:pStyle w:val="Bullet1cm"/>
      <w:lvlText w:val=""/>
      <w:lvlJc w:val="left"/>
      <w:pPr>
        <w:ind w:left="720" w:hanging="360"/>
      </w:pPr>
      <w:rPr>
        <w:rFonts w:ascii="Symbol" w:hAnsi="Symbol" w:hint="default"/>
      </w:rPr>
    </w:lvl>
    <w:lvl w:ilvl="1" w:tplc="97041E3C">
      <w:numFmt w:val="bullet"/>
      <w:lvlText w:val=""/>
      <w:lvlJc w:val="left"/>
      <w:pPr>
        <w:ind w:left="1800" w:hanging="720"/>
      </w:pPr>
      <w:rPr>
        <w:rFonts w:ascii="Symbol" w:eastAsia="DengXi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D30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5" w15:restartNumberingAfterBreak="0">
    <w:nsid w:val="7D894AD8"/>
    <w:multiLevelType w:val="hybridMultilevel"/>
    <w:tmpl w:val="2D26874A"/>
    <w:lvl w:ilvl="0" w:tplc="97041E3C">
      <w:numFmt w:val="bullet"/>
      <w:lvlText w:val=""/>
      <w:lvlJc w:val="left"/>
      <w:pPr>
        <w:ind w:left="1080" w:hanging="720"/>
      </w:pPr>
      <w:rPr>
        <w:rFonts w:ascii="Symbol" w:eastAsia="DengXi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B729B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num w:numId="1" w16cid:durableId="791628072">
    <w:abstractNumId w:val="53"/>
  </w:num>
  <w:num w:numId="2" w16cid:durableId="1486167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963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0576391">
    <w:abstractNumId w:val="27"/>
  </w:num>
  <w:num w:numId="5" w16cid:durableId="5856960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417627">
    <w:abstractNumId w:val="32"/>
  </w:num>
  <w:num w:numId="7" w16cid:durableId="94130922">
    <w:abstractNumId w:val="39"/>
  </w:num>
  <w:num w:numId="8" w16cid:durableId="228687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8068716">
    <w:abstractNumId w:val="27"/>
    <w:lvlOverride w:ilvl="0">
      <w:startOverride w:val="1"/>
    </w:lvlOverride>
  </w:num>
  <w:num w:numId="10" w16cid:durableId="22950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792354">
    <w:abstractNumId w:val="3"/>
  </w:num>
  <w:num w:numId="12" w16cid:durableId="7667744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5293071">
    <w:abstractNumId w:val="27"/>
    <w:lvlOverride w:ilvl="0">
      <w:startOverride w:val="1"/>
    </w:lvlOverride>
  </w:num>
  <w:num w:numId="14" w16cid:durableId="2143690557">
    <w:abstractNumId w:val="22"/>
  </w:num>
  <w:num w:numId="15" w16cid:durableId="3658502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456944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0851832">
    <w:abstractNumId w:val="38"/>
  </w:num>
  <w:num w:numId="18" w16cid:durableId="1721786179">
    <w:abstractNumId w:val="55"/>
  </w:num>
  <w:num w:numId="19" w16cid:durableId="1511600638">
    <w:abstractNumId w:val="3"/>
    <w:lvlOverride w:ilvl="0">
      <w:startOverride w:val="2"/>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6663336">
    <w:abstractNumId w:val="20"/>
  </w:num>
  <w:num w:numId="21" w16cid:durableId="35815038">
    <w:abstractNumId w:val="17"/>
  </w:num>
  <w:num w:numId="22" w16cid:durableId="409887793">
    <w:abstractNumId w:val="21"/>
  </w:num>
  <w:num w:numId="23" w16cid:durableId="508909758">
    <w:abstractNumId w:val="35"/>
  </w:num>
  <w:num w:numId="24" w16cid:durableId="754202854">
    <w:abstractNumId w:val="16"/>
  </w:num>
  <w:num w:numId="25" w16cid:durableId="1763915430">
    <w:abstractNumId w:val="43"/>
  </w:num>
  <w:num w:numId="26" w16cid:durableId="745568238">
    <w:abstractNumId w:val="25"/>
  </w:num>
  <w:num w:numId="27" w16cid:durableId="1688797309">
    <w:abstractNumId w:val="45"/>
  </w:num>
  <w:num w:numId="28" w16cid:durableId="610745410">
    <w:abstractNumId w:val="40"/>
  </w:num>
  <w:num w:numId="29" w16cid:durableId="1982343124">
    <w:abstractNumId w:val="49"/>
  </w:num>
  <w:num w:numId="30" w16cid:durableId="1012226240">
    <w:abstractNumId w:val="2"/>
  </w:num>
  <w:num w:numId="31" w16cid:durableId="1270971244">
    <w:abstractNumId w:val="56"/>
  </w:num>
  <w:num w:numId="32" w16cid:durableId="1109467915">
    <w:abstractNumId w:val="51"/>
  </w:num>
  <w:num w:numId="33" w16cid:durableId="1067386404">
    <w:abstractNumId w:val="29"/>
  </w:num>
  <w:num w:numId="34" w16cid:durableId="232861383">
    <w:abstractNumId w:val="44"/>
  </w:num>
  <w:num w:numId="35" w16cid:durableId="2116899603">
    <w:abstractNumId w:val="11"/>
  </w:num>
  <w:num w:numId="36" w16cid:durableId="721710364">
    <w:abstractNumId w:val="13"/>
  </w:num>
  <w:num w:numId="37" w16cid:durableId="1704866811">
    <w:abstractNumId w:val="26"/>
  </w:num>
  <w:num w:numId="38" w16cid:durableId="381171813">
    <w:abstractNumId w:val="54"/>
  </w:num>
  <w:num w:numId="39" w16cid:durableId="1004816870">
    <w:abstractNumId w:val="36"/>
  </w:num>
  <w:num w:numId="40" w16cid:durableId="2031177823">
    <w:abstractNumId w:val="9"/>
  </w:num>
  <w:num w:numId="41" w16cid:durableId="709039900">
    <w:abstractNumId w:val="23"/>
  </w:num>
  <w:num w:numId="42" w16cid:durableId="1075278982">
    <w:abstractNumId w:val="15"/>
  </w:num>
  <w:num w:numId="43" w16cid:durableId="736588370">
    <w:abstractNumId w:val="34"/>
  </w:num>
  <w:num w:numId="44" w16cid:durableId="1122115997">
    <w:abstractNumId w:val="28"/>
  </w:num>
  <w:num w:numId="45" w16cid:durableId="1885017145">
    <w:abstractNumId w:val="52"/>
  </w:num>
  <w:num w:numId="46" w16cid:durableId="925579082">
    <w:abstractNumId w:val="18"/>
  </w:num>
  <w:num w:numId="47" w16cid:durableId="1445464764">
    <w:abstractNumId w:val="30"/>
  </w:num>
  <w:num w:numId="48" w16cid:durableId="409041217">
    <w:abstractNumId w:val="31"/>
  </w:num>
  <w:num w:numId="49" w16cid:durableId="267466207">
    <w:abstractNumId w:val="41"/>
  </w:num>
  <w:num w:numId="50" w16cid:durableId="1728726718">
    <w:abstractNumId w:val="37"/>
  </w:num>
  <w:num w:numId="51" w16cid:durableId="1102408794">
    <w:abstractNumId w:val="24"/>
  </w:num>
  <w:num w:numId="52" w16cid:durableId="1918131073">
    <w:abstractNumId w:val="7"/>
  </w:num>
  <w:num w:numId="53" w16cid:durableId="823005941">
    <w:abstractNumId w:val="5"/>
  </w:num>
  <w:num w:numId="54" w16cid:durableId="251745440">
    <w:abstractNumId w:val="42"/>
  </w:num>
  <w:num w:numId="55" w16cid:durableId="1007706837">
    <w:abstractNumId w:val="19"/>
  </w:num>
  <w:num w:numId="56" w16cid:durableId="392582045">
    <w:abstractNumId w:val="14"/>
  </w:num>
  <w:num w:numId="57" w16cid:durableId="1243023587">
    <w:abstractNumId w:val="10"/>
  </w:num>
  <w:num w:numId="58" w16cid:durableId="987366128">
    <w:abstractNumId w:val="47"/>
  </w:num>
  <w:num w:numId="59" w16cid:durableId="598022614">
    <w:abstractNumId w:val="4"/>
  </w:num>
  <w:num w:numId="60" w16cid:durableId="820392706">
    <w:abstractNumId w:val="1"/>
  </w:num>
  <w:num w:numId="61" w16cid:durableId="665019449">
    <w:abstractNumId w:val="12"/>
  </w:num>
  <w:num w:numId="62" w16cid:durableId="2009553354">
    <w:abstractNumId w:val="50"/>
  </w:num>
  <w:num w:numId="63" w16cid:durableId="1272542688">
    <w:abstractNumId w:val="8"/>
  </w:num>
  <w:num w:numId="64" w16cid:durableId="2003124437">
    <w:abstractNumId w:val="46"/>
  </w:num>
  <w:num w:numId="65" w16cid:durableId="1552419849">
    <w:abstractNumId w:val="33"/>
  </w:num>
  <w:num w:numId="66" w16cid:durableId="368381117">
    <w:abstractNumId w:val="48"/>
  </w:num>
  <w:num w:numId="67" w16cid:durableId="339816471">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FD"/>
    <w:rsid w:val="000015E4"/>
    <w:rsid w:val="00012510"/>
    <w:rsid w:val="0001390E"/>
    <w:rsid w:val="00022523"/>
    <w:rsid w:val="00025055"/>
    <w:rsid w:val="00046D32"/>
    <w:rsid w:val="000603DA"/>
    <w:rsid w:val="00064311"/>
    <w:rsid w:val="00070404"/>
    <w:rsid w:val="0007175E"/>
    <w:rsid w:val="00071D01"/>
    <w:rsid w:val="00074714"/>
    <w:rsid w:val="000769F3"/>
    <w:rsid w:val="000850FE"/>
    <w:rsid w:val="00094F69"/>
    <w:rsid w:val="000A09E6"/>
    <w:rsid w:val="000A2EF9"/>
    <w:rsid w:val="000A3A78"/>
    <w:rsid w:val="000A3D8B"/>
    <w:rsid w:val="000A558A"/>
    <w:rsid w:val="000B220B"/>
    <w:rsid w:val="000B380A"/>
    <w:rsid w:val="000B3F93"/>
    <w:rsid w:val="000B63D8"/>
    <w:rsid w:val="000C1A88"/>
    <w:rsid w:val="000C2C5A"/>
    <w:rsid w:val="000C45E7"/>
    <w:rsid w:val="000C6C75"/>
    <w:rsid w:val="000D024D"/>
    <w:rsid w:val="00103AD3"/>
    <w:rsid w:val="00104A87"/>
    <w:rsid w:val="00106213"/>
    <w:rsid w:val="0010748A"/>
    <w:rsid w:val="00114DE1"/>
    <w:rsid w:val="00116952"/>
    <w:rsid w:val="00120603"/>
    <w:rsid w:val="001208EB"/>
    <w:rsid w:val="00130B24"/>
    <w:rsid w:val="001346F0"/>
    <w:rsid w:val="0014439E"/>
    <w:rsid w:val="00145181"/>
    <w:rsid w:val="00147B45"/>
    <w:rsid w:val="00152DC5"/>
    <w:rsid w:val="001552FE"/>
    <w:rsid w:val="001579FF"/>
    <w:rsid w:val="00157EC5"/>
    <w:rsid w:val="00160C16"/>
    <w:rsid w:val="0016616F"/>
    <w:rsid w:val="00167E21"/>
    <w:rsid w:val="00180734"/>
    <w:rsid w:val="0018702F"/>
    <w:rsid w:val="00192D00"/>
    <w:rsid w:val="001931C0"/>
    <w:rsid w:val="00196493"/>
    <w:rsid w:val="00196D87"/>
    <w:rsid w:val="001A221C"/>
    <w:rsid w:val="001A4A64"/>
    <w:rsid w:val="001A6111"/>
    <w:rsid w:val="001A6D56"/>
    <w:rsid w:val="001B685D"/>
    <w:rsid w:val="001B6A3F"/>
    <w:rsid w:val="001C5137"/>
    <w:rsid w:val="001C7A06"/>
    <w:rsid w:val="001D0083"/>
    <w:rsid w:val="001D2021"/>
    <w:rsid w:val="001F0013"/>
    <w:rsid w:val="001F4B8A"/>
    <w:rsid w:val="001F7513"/>
    <w:rsid w:val="002033CB"/>
    <w:rsid w:val="00210458"/>
    <w:rsid w:val="00212EF4"/>
    <w:rsid w:val="00213333"/>
    <w:rsid w:val="002155E9"/>
    <w:rsid w:val="00217436"/>
    <w:rsid w:val="00220441"/>
    <w:rsid w:val="00224C98"/>
    <w:rsid w:val="00232F3D"/>
    <w:rsid w:val="002340D2"/>
    <w:rsid w:val="00235A56"/>
    <w:rsid w:val="00235B53"/>
    <w:rsid w:val="00240A54"/>
    <w:rsid w:val="00243E40"/>
    <w:rsid w:val="00250260"/>
    <w:rsid w:val="0025089F"/>
    <w:rsid w:val="002516FA"/>
    <w:rsid w:val="00253BCA"/>
    <w:rsid w:val="002542E9"/>
    <w:rsid w:val="002665E3"/>
    <w:rsid w:val="00274A63"/>
    <w:rsid w:val="0028685E"/>
    <w:rsid w:val="00286FA6"/>
    <w:rsid w:val="00294539"/>
    <w:rsid w:val="002A4D6B"/>
    <w:rsid w:val="002A4DDF"/>
    <w:rsid w:val="002A6C26"/>
    <w:rsid w:val="002B69E7"/>
    <w:rsid w:val="002B7608"/>
    <w:rsid w:val="002C204D"/>
    <w:rsid w:val="002C35DE"/>
    <w:rsid w:val="002C3C3C"/>
    <w:rsid w:val="002C4ADC"/>
    <w:rsid w:val="002C60D4"/>
    <w:rsid w:val="002D0155"/>
    <w:rsid w:val="002D2136"/>
    <w:rsid w:val="002E0AA3"/>
    <w:rsid w:val="002E140C"/>
    <w:rsid w:val="002E4897"/>
    <w:rsid w:val="002E7A48"/>
    <w:rsid w:val="002F0365"/>
    <w:rsid w:val="002F0CF4"/>
    <w:rsid w:val="002F7761"/>
    <w:rsid w:val="00300F7B"/>
    <w:rsid w:val="00306EB5"/>
    <w:rsid w:val="00310ABA"/>
    <w:rsid w:val="00312198"/>
    <w:rsid w:val="00313200"/>
    <w:rsid w:val="00313567"/>
    <w:rsid w:val="003175D5"/>
    <w:rsid w:val="00322007"/>
    <w:rsid w:val="003412A6"/>
    <w:rsid w:val="00355121"/>
    <w:rsid w:val="003634EF"/>
    <w:rsid w:val="00365386"/>
    <w:rsid w:val="00365F35"/>
    <w:rsid w:val="00366C66"/>
    <w:rsid w:val="00366FF6"/>
    <w:rsid w:val="0036729A"/>
    <w:rsid w:val="0036783D"/>
    <w:rsid w:val="00380EFD"/>
    <w:rsid w:val="0038147B"/>
    <w:rsid w:val="003929D4"/>
    <w:rsid w:val="00394415"/>
    <w:rsid w:val="003A66A4"/>
    <w:rsid w:val="003B0D84"/>
    <w:rsid w:val="003B0F09"/>
    <w:rsid w:val="003B558D"/>
    <w:rsid w:val="003C749A"/>
    <w:rsid w:val="003D568D"/>
    <w:rsid w:val="003E1867"/>
    <w:rsid w:val="003E3F61"/>
    <w:rsid w:val="003E441D"/>
    <w:rsid w:val="003F072B"/>
    <w:rsid w:val="003F726E"/>
    <w:rsid w:val="00401896"/>
    <w:rsid w:val="00405456"/>
    <w:rsid w:val="004100AF"/>
    <w:rsid w:val="00417D2C"/>
    <w:rsid w:val="00424DF4"/>
    <w:rsid w:val="00426296"/>
    <w:rsid w:val="004313EF"/>
    <w:rsid w:val="00434BCD"/>
    <w:rsid w:val="00437807"/>
    <w:rsid w:val="004432E6"/>
    <w:rsid w:val="004461E7"/>
    <w:rsid w:val="004514AF"/>
    <w:rsid w:val="00454E1F"/>
    <w:rsid w:val="00456217"/>
    <w:rsid w:val="00474209"/>
    <w:rsid w:val="004747AB"/>
    <w:rsid w:val="00474FFD"/>
    <w:rsid w:val="004918BE"/>
    <w:rsid w:val="00495B46"/>
    <w:rsid w:val="00497950"/>
    <w:rsid w:val="00497EC4"/>
    <w:rsid w:val="004A07DC"/>
    <w:rsid w:val="004A425F"/>
    <w:rsid w:val="004A51AA"/>
    <w:rsid w:val="004A55C4"/>
    <w:rsid w:val="004B1A0E"/>
    <w:rsid w:val="004C38D0"/>
    <w:rsid w:val="004D6595"/>
    <w:rsid w:val="004D786D"/>
    <w:rsid w:val="004E318C"/>
    <w:rsid w:val="004E4CE8"/>
    <w:rsid w:val="004F50C5"/>
    <w:rsid w:val="00502C18"/>
    <w:rsid w:val="00504B1E"/>
    <w:rsid w:val="00505A33"/>
    <w:rsid w:val="005144DC"/>
    <w:rsid w:val="00530528"/>
    <w:rsid w:val="00530E57"/>
    <w:rsid w:val="0053339C"/>
    <w:rsid w:val="00540923"/>
    <w:rsid w:val="00544E47"/>
    <w:rsid w:val="0055156E"/>
    <w:rsid w:val="00551975"/>
    <w:rsid w:val="00552215"/>
    <w:rsid w:val="00552B50"/>
    <w:rsid w:val="0055307B"/>
    <w:rsid w:val="00556635"/>
    <w:rsid w:val="00556BC9"/>
    <w:rsid w:val="00556CED"/>
    <w:rsid w:val="00563636"/>
    <w:rsid w:val="00566173"/>
    <w:rsid w:val="00566B0B"/>
    <w:rsid w:val="0057600E"/>
    <w:rsid w:val="0058224D"/>
    <w:rsid w:val="005832F6"/>
    <w:rsid w:val="00587C5A"/>
    <w:rsid w:val="0059422F"/>
    <w:rsid w:val="005A0DAF"/>
    <w:rsid w:val="005A191B"/>
    <w:rsid w:val="005A23FB"/>
    <w:rsid w:val="005A3515"/>
    <w:rsid w:val="005A42A2"/>
    <w:rsid w:val="005A5A44"/>
    <w:rsid w:val="005B1011"/>
    <w:rsid w:val="005B12B0"/>
    <w:rsid w:val="005C3BF4"/>
    <w:rsid w:val="005C539A"/>
    <w:rsid w:val="005C7089"/>
    <w:rsid w:val="005D566A"/>
    <w:rsid w:val="005E0F66"/>
    <w:rsid w:val="006003A4"/>
    <w:rsid w:val="00602B8B"/>
    <w:rsid w:val="006076C5"/>
    <w:rsid w:val="00610216"/>
    <w:rsid w:val="006104F1"/>
    <w:rsid w:val="00611E02"/>
    <w:rsid w:val="00613AFD"/>
    <w:rsid w:val="00613DC6"/>
    <w:rsid w:val="0061423D"/>
    <w:rsid w:val="00614D1E"/>
    <w:rsid w:val="0062621A"/>
    <w:rsid w:val="0063013E"/>
    <w:rsid w:val="00630D01"/>
    <w:rsid w:val="00634895"/>
    <w:rsid w:val="006400C9"/>
    <w:rsid w:val="00641834"/>
    <w:rsid w:val="006471C7"/>
    <w:rsid w:val="0065473C"/>
    <w:rsid w:val="00664A43"/>
    <w:rsid w:val="006725FF"/>
    <w:rsid w:val="00677C4F"/>
    <w:rsid w:val="00681045"/>
    <w:rsid w:val="0068598B"/>
    <w:rsid w:val="00693E54"/>
    <w:rsid w:val="006A3D0D"/>
    <w:rsid w:val="006B231E"/>
    <w:rsid w:val="006B30E5"/>
    <w:rsid w:val="006D41EF"/>
    <w:rsid w:val="006D55DF"/>
    <w:rsid w:val="006E109D"/>
    <w:rsid w:val="006F2712"/>
    <w:rsid w:val="006F279C"/>
    <w:rsid w:val="007000C3"/>
    <w:rsid w:val="0070243D"/>
    <w:rsid w:val="00706993"/>
    <w:rsid w:val="00711234"/>
    <w:rsid w:val="0071394A"/>
    <w:rsid w:val="00717799"/>
    <w:rsid w:val="00743626"/>
    <w:rsid w:val="007452AB"/>
    <w:rsid w:val="00745CF4"/>
    <w:rsid w:val="007461B0"/>
    <w:rsid w:val="00765CA7"/>
    <w:rsid w:val="0077126E"/>
    <w:rsid w:val="00773AFE"/>
    <w:rsid w:val="00774072"/>
    <w:rsid w:val="007814F8"/>
    <w:rsid w:val="00781CD2"/>
    <w:rsid w:val="00781FC4"/>
    <w:rsid w:val="00782A98"/>
    <w:rsid w:val="00784203"/>
    <w:rsid w:val="007934E2"/>
    <w:rsid w:val="00797058"/>
    <w:rsid w:val="007A1BA4"/>
    <w:rsid w:val="007A1CB0"/>
    <w:rsid w:val="007B428B"/>
    <w:rsid w:val="007C1BFE"/>
    <w:rsid w:val="007C4FF9"/>
    <w:rsid w:val="007C576F"/>
    <w:rsid w:val="007D1A84"/>
    <w:rsid w:val="007D37ED"/>
    <w:rsid w:val="007D497A"/>
    <w:rsid w:val="007D61B5"/>
    <w:rsid w:val="007E4199"/>
    <w:rsid w:val="007F3123"/>
    <w:rsid w:val="007F4B93"/>
    <w:rsid w:val="007F6AE8"/>
    <w:rsid w:val="00800358"/>
    <w:rsid w:val="00806BE4"/>
    <w:rsid w:val="00812929"/>
    <w:rsid w:val="00812ECE"/>
    <w:rsid w:val="00813939"/>
    <w:rsid w:val="008153BF"/>
    <w:rsid w:val="00815D31"/>
    <w:rsid w:val="008237A4"/>
    <w:rsid w:val="00824E9A"/>
    <w:rsid w:val="008303A2"/>
    <w:rsid w:val="00830690"/>
    <w:rsid w:val="008444E9"/>
    <w:rsid w:val="0086020D"/>
    <w:rsid w:val="00866C71"/>
    <w:rsid w:val="00872372"/>
    <w:rsid w:val="00875DFA"/>
    <w:rsid w:val="00877211"/>
    <w:rsid w:val="008774F4"/>
    <w:rsid w:val="00883050"/>
    <w:rsid w:val="008877F8"/>
    <w:rsid w:val="008906BF"/>
    <w:rsid w:val="00891F0D"/>
    <w:rsid w:val="0089307D"/>
    <w:rsid w:val="008A2663"/>
    <w:rsid w:val="008A3A7D"/>
    <w:rsid w:val="008A7022"/>
    <w:rsid w:val="008A72DA"/>
    <w:rsid w:val="008E02AC"/>
    <w:rsid w:val="009000D9"/>
    <w:rsid w:val="0090235C"/>
    <w:rsid w:val="00903331"/>
    <w:rsid w:val="00904A01"/>
    <w:rsid w:val="00916746"/>
    <w:rsid w:val="00922348"/>
    <w:rsid w:val="00923E68"/>
    <w:rsid w:val="009263AC"/>
    <w:rsid w:val="00926A4E"/>
    <w:rsid w:val="00930E6C"/>
    <w:rsid w:val="0093445F"/>
    <w:rsid w:val="0095047D"/>
    <w:rsid w:val="0095490A"/>
    <w:rsid w:val="0095778D"/>
    <w:rsid w:val="00971AB3"/>
    <w:rsid w:val="00990C77"/>
    <w:rsid w:val="0099284D"/>
    <w:rsid w:val="009947C5"/>
    <w:rsid w:val="0099741F"/>
    <w:rsid w:val="009A4C7C"/>
    <w:rsid w:val="009A7D49"/>
    <w:rsid w:val="009B076D"/>
    <w:rsid w:val="009B40A5"/>
    <w:rsid w:val="009C490E"/>
    <w:rsid w:val="009C710E"/>
    <w:rsid w:val="009E129A"/>
    <w:rsid w:val="009E743D"/>
    <w:rsid w:val="009F29CD"/>
    <w:rsid w:val="009F2CDA"/>
    <w:rsid w:val="009F2FAF"/>
    <w:rsid w:val="00A0056B"/>
    <w:rsid w:val="00A0095F"/>
    <w:rsid w:val="00A17AD0"/>
    <w:rsid w:val="00A2146B"/>
    <w:rsid w:val="00A360C9"/>
    <w:rsid w:val="00A64CE4"/>
    <w:rsid w:val="00A67618"/>
    <w:rsid w:val="00A77AE4"/>
    <w:rsid w:val="00A8273C"/>
    <w:rsid w:val="00A9023D"/>
    <w:rsid w:val="00A916E8"/>
    <w:rsid w:val="00A928A6"/>
    <w:rsid w:val="00A930CA"/>
    <w:rsid w:val="00A93CEB"/>
    <w:rsid w:val="00A942F6"/>
    <w:rsid w:val="00A97238"/>
    <w:rsid w:val="00AA08A8"/>
    <w:rsid w:val="00AA210D"/>
    <w:rsid w:val="00AA514F"/>
    <w:rsid w:val="00AB6395"/>
    <w:rsid w:val="00AC01D0"/>
    <w:rsid w:val="00AC18EA"/>
    <w:rsid w:val="00AC211B"/>
    <w:rsid w:val="00AD3978"/>
    <w:rsid w:val="00AD3A93"/>
    <w:rsid w:val="00AD4736"/>
    <w:rsid w:val="00AD60D7"/>
    <w:rsid w:val="00AD6D74"/>
    <w:rsid w:val="00AE39B1"/>
    <w:rsid w:val="00AE5359"/>
    <w:rsid w:val="00AF2707"/>
    <w:rsid w:val="00AF32BA"/>
    <w:rsid w:val="00AF4802"/>
    <w:rsid w:val="00B054C9"/>
    <w:rsid w:val="00B06E19"/>
    <w:rsid w:val="00B07034"/>
    <w:rsid w:val="00B14020"/>
    <w:rsid w:val="00B23EFD"/>
    <w:rsid w:val="00B27164"/>
    <w:rsid w:val="00B33CA4"/>
    <w:rsid w:val="00B41768"/>
    <w:rsid w:val="00B41B68"/>
    <w:rsid w:val="00B477E5"/>
    <w:rsid w:val="00B50F6B"/>
    <w:rsid w:val="00B5543C"/>
    <w:rsid w:val="00B57B98"/>
    <w:rsid w:val="00B63839"/>
    <w:rsid w:val="00B653E0"/>
    <w:rsid w:val="00B66B01"/>
    <w:rsid w:val="00B66B6F"/>
    <w:rsid w:val="00B70E00"/>
    <w:rsid w:val="00B91498"/>
    <w:rsid w:val="00B928BE"/>
    <w:rsid w:val="00B9487C"/>
    <w:rsid w:val="00B97FAC"/>
    <w:rsid w:val="00BA4A95"/>
    <w:rsid w:val="00BA68FE"/>
    <w:rsid w:val="00BB01C9"/>
    <w:rsid w:val="00BB0299"/>
    <w:rsid w:val="00BB4253"/>
    <w:rsid w:val="00BB4785"/>
    <w:rsid w:val="00BB64C2"/>
    <w:rsid w:val="00BB6EF5"/>
    <w:rsid w:val="00BC59E8"/>
    <w:rsid w:val="00BC5EC4"/>
    <w:rsid w:val="00BD4D94"/>
    <w:rsid w:val="00BE09DB"/>
    <w:rsid w:val="00BE1D9A"/>
    <w:rsid w:val="00BE3C08"/>
    <w:rsid w:val="00BF19EB"/>
    <w:rsid w:val="00BF4153"/>
    <w:rsid w:val="00C02048"/>
    <w:rsid w:val="00C038A7"/>
    <w:rsid w:val="00C044CE"/>
    <w:rsid w:val="00C04AF9"/>
    <w:rsid w:val="00C05CCA"/>
    <w:rsid w:val="00C224EA"/>
    <w:rsid w:val="00C23919"/>
    <w:rsid w:val="00C24509"/>
    <w:rsid w:val="00C324B2"/>
    <w:rsid w:val="00C40EFD"/>
    <w:rsid w:val="00C42B2C"/>
    <w:rsid w:val="00C5072D"/>
    <w:rsid w:val="00C5573F"/>
    <w:rsid w:val="00C609F9"/>
    <w:rsid w:val="00C628DE"/>
    <w:rsid w:val="00C65467"/>
    <w:rsid w:val="00C65986"/>
    <w:rsid w:val="00C667D2"/>
    <w:rsid w:val="00C71B5F"/>
    <w:rsid w:val="00C71ED3"/>
    <w:rsid w:val="00C72B66"/>
    <w:rsid w:val="00C77B2D"/>
    <w:rsid w:val="00C77BE2"/>
    <w:rsid w:val="00C81708"/>
    <w:rsid w:val="00C83FB7"/>
    <w:rsid w:val="00C85FAA"/>
    <w:rsid w:val="00C876B0"/>
    <w:rsid w:val="00C932B0"/>
    <w:rsid w:val="00C945E8"/>
    <w:rsid w:val="00C94B5C"/>
    <w:rsid w:val="00C94E5B"/>
    <w:rsid w:val="00CB45D2"/>
    <w:rsid w:val="00CB4C49"/>
    <w:rsid w:val="00CB7380"/>
    <w:rsid w:val="00CB7D04"/>
    <w:rsid w:val="00CB7EC4"/>
    <w:rsid w:val="00CC0740"/>
    <w:rsid w:val="00CC0BAD"/>
    <w:rsid w:val="00CC4E43"/>
    <w:rsid w:val="00CC516D"/>
    <w:rsid w:val="00CC57EA"/>
    <w:rsid w:val="00CC6572"/>
    <w:rsid w:val="00CD2FE8"/>
    <w:rsid w:val="00CD5548"/>
    <w:rsid w:val="00CD583D"/>
    <w:rsid w:val="00CD6EF2"/>
    <w:rsid w:val="00CE014F"/>
    <w:rsid w:val="00CE2579"/>
    <w:rsid w:val="00CE2B52"/>
    <w:rsid w:val="00CE2E3A"/>
    <w:rsid w:val="00CE336A"/>
    <w:rsid w:val="00CE3CFB"/>
    <w:rsid w:val="00CE3DBA"/>
    <w:rsid w:val="00CE6E79"/>
    <w:rsid w:val="00D04D8B"/>
    <w:rsid w:val="00D0619B"/>
    <w:rsid w:val="00D07125"/>
    <w:rsid w:val="00D104B3"/>
    <w:rsid w:val="00D11F4C"/>
    <w:rsid w:val="00D169F4"/>
    <w:rsid w:val="00D20B5B"/>
    <w:rsid w:val="00D20FDB"/>
    <w:rsid w:val="00D22552"/>
    <w:rsid w:val="00D24AAB"/>
    <w:rsid w:val="00D27624"/>
    <w:rsid w:val="00D32E0B"/>
    <w:rsid w:val="00D34B1D"/>
    <w:rsid w:val="00D434C5"/>
    <w:rsid w:val="00D44161"/>
    <w:rsid w:val="00D50365"/>
    <w:rsid w:val="00D54B80"/>
    <w:rsid w:val="00D56F39"/>
    <w:rsid w:val="00D6295A"/>
    <w:rsid w:val="00D65262"/>
    <w:rsid w:val="00D71C1B"/>
    <w:rsid w:val="00D763D5"/>
    <w:rsid w:val="00D82EA0"/>
    <w:rsid w:val="00D932C7"/>
    <w:rsid w:val="00D94A8B"/>
    <w:rsid w:val="00D94DE7"/>
    <w:rsid w:val="00D9672B"/>
    <w:rsid w:val="00DA173C"/>
    <w:rsid w:val="00DA195B"/>
    <w:rsid w:val="00DA39F0"/>
    <w:rsid w:val="00DA46F9"/>
    <w:rsid w:val="00DA5031"/>
    <w:rsid w:val="00DB0F71"/>
    <w:rsid w:val="00DB31C0"/>
    <w:rsid w:val="00DB4DAC"/>
    <w:rsid w:val="00DE3CE1"/>
    <w:rsid w:val="00DE40F7"/>
    <w:rsid w:val="00DF3AE4"/>
    <w:rsid w:val="00DF4467"/>
    <w:rsid w:val="00DF56D8"/>
    <w:rsid w:val="00E00641"/>
    <w:rsid w:val="00E06399"/>
    <w:rsid w:val="00E1582A"/>
    <w:rsid w:val="00E17B0A"/>
    <w:rsid w:val="00E211FE"/>
    <w:rsid w:val="00E2236F"/>
    <w:rsid w:val="00E22FDB"/>
    <w:rsid w:val="00E26977"/>
    <w:rsid w:val="00E27BA8"/>
    <w:rsid w:val="00E31057"/>
    <w:rsid w:val="00E31B81"/>
    <w:rsid w:val="00E322E6"/>
    <w:rsid w:val="00E42FB7"/>
    <w:rsid w:val="00E45416"/>
    <w:rsid w:val="00E5403B"/>
    <w:rsid w:val="00E6250A"/>
    <w:rsid w:val="00E74019"/>
    <w:rsid w:val="00E763CB"/>
    <w:rsid w:val="00E7673A"/>
    <w:rsid w:val="00E824D8"/>
    <w:rsid w:val="00E86487"/>
    <w:rsid w:val="00E9659D"/>
    <w:rsid w:val="00EA04B6"/>
    <w:rsid w:val="00EA08FF"/>
    <w:rsid w:val="00EB0FAC"/>
    <w:rsid w:val="00EC4E3E"/>
    <w:rsid w:val="00EC57C3"/>
    <w:rsid w:val="00EE103D"/>
    <w:rsid w:val="00EF07F0"/>
    <w:rsid w:val="00EF31DB"/>
    <w:rsid w:val="00EF591C"/>
    <w:rsid w:val="00F059AC"/>
    <w:rsid w:val="00F11249"/>
    <w:rsid w:val="00F15D3E"/>
    <w:rsid w:val="00F36EEE"/>
    <w:rsid w:val="00F37CB5"/>
    <w:rsid w:val="00F4296C"/>
    <w:rsid w:val="00F44CBF"/>
    <w:rsid w:val="00F45AB7"/>
    <w:rsid w:val="00F45BFD"/>
    <w:rsid w:val="00F47CA6"/>
    <w:rsid w:val="00F50939"/>
    <w:rsid w:val="00F617FC"/>
    <w:rsid w:val="00F61C73"/>
    <w:rsid w:val="00F62240"/>
    <w:rsid w:val="00F62FFB"/>
    <w:rsid w:val="00F723F3"/>
    <w:rsid w:val="00F76355"/>
    <w:rsid w:val="00F77629"/>
    <w:rsid w:val="00F862D9"/>
    <w:rsid w:val="00F975AF"/>
    <w:rsid w:val="00F97D0A"/>
    <w:rsid w:val="00F97D1D"/>
    <w:rsid w:val="00FA2F22"/>
    <w:rsid w:val="00FA5D2F"/>
    <w:rsid w:val="00FC1DF2"/>
    <w:rsid w:val="00FC420A"/>
    <w:rsid w:val="00FD3AF3"/>
    <w:rsid w:val="00FD4E24"/>
    <w:rsid w:val="00FD7DE6"/>
    <w:rsid w:val="00FE6881"/>
    <w:rsid w:val="00FF269E"/>
    <w:rsid w:val="00FF318D"/>
    <w:rsid w:val="00FF3BAB"/>
    <w:rsid w:val="00FF7C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14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DengXian" w:hAnsi="Aptos"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8FF"/>
    <w:rPr>
      <w:rFonts w:ascii="Times New Roman" w:hAnsi="Times New Roman"/>
      <w:kern w:val="2"/>
      <w:sz w:val="22"/>
      <w:szCs w:val="22"/>
      <w:lang w:val="en-US" w:eastAsia="zh-CN"/>
    </w:rPr>
  </w:style>
  <w:style w:type="paragraph" w:styleId="1">
    <w:name w:val="heading 1"/>
    <w:basedOn w:val="a"/>
    <w:next w:val="a"/>
    <w:link w:val="1Char"/>
    <w:uiPriority w:val="1"/>
    <w:qFormat/>
    <w:rsid w:val="00E31057"/>
    <w:pPr>
      <w:keepNext/>
      <w:keepLines/>
      <w:ind w:left="567" w:hanging="567"/>
      <w:outlineLvl w:val="0"/>
    </w:pPr>
    <w:rPr>
      <w:rFonts w:eastAsia="DengXian Light" w:cs="Times New Roman"/>
      <w:b/>
    </w:rPr>
  </w:style>
  <w:style w:type="paragraph" w:styleId="2">
    <w:name w:val="heading 2"/>
    <w:basedOn w:val="a"/>
    <w:next w:val="a"/>
    <w:link w:val="2Char"/>
    <w:uiPriority w:val="1"/>
    <w:unhideWhenUsed/>
    <w:qFormat/>
    <w:rsid w:val="00875DFA"/>
    <w:pPr>
      <w:keepNext/>
      <w:keepLines/>
      <w:ind w:left="567" w:hanging="567"/>
      <w:outlineLvl w:val="1"/>
    </w:pPr>
    <w:rPr>
      <w:rFonts w:eastAsia="DengXian Light" w:cs="Times New Roman"/>
      <w:b/>
    </w:rPr>
  </w:style>
  <w:style w:type="paragraph" w:styleId="3">
    <w:name w:val="heading 3"/>
    <w:basedOn w:val="a"/>
    <w:link w:val="3Char"/>
    <w:uiPriority w:val="1"/>
    <w:qFormat/>
    <w:rsid w:val="004A425F"/>
    <w:pPr>
      <w:widowControl w:val="0"/>
      <w:autoSpaceDE w:val="0"/>
      <w:autoSpaceDN w:val="0"/>
      <w:ind w:left="218"/>
      <w:outlineLvl w:val="2"/>
    </w:pPr>
    <w:rPr>
      <w:rFonts w:eastAsia="Times New Roman" w:cs="Times New Roman"/>
      <w:b/>
      <w:bCs/>
      <w:kern w:val="0"/>
      <w:lang w:val="nn-NO" w:eastAsia="en-US"/>
    </w:rPr>
  </w:style>
  <w:style w:type="paragraph" w:styleId="4">
    <w:name w:val="heading 4"/>
    <w:basedOn w:val="a"/>
    <w:link w:val="4Char"/>
    <w:uiPriority w:val="1"/>
    <w:qFormat/>
    <w:rsid w:val="004A425F"/>
    <w:pPr>
      <w:widowControl w:val="0"/>
      <w:autoSpaceDE w:val="0"/>
      <w:autoSpaceDN w:val="0"/>
      <w:ind w:left="218"/>
      <w:outlineLvl w:val="3"/>
    </w:pPr>
    <w:rPr>
      <w:rFonts w:eastAsia="Times New Roman" w:cs="Times New Roman"/>
      <w:b/>
      <w:bCs/>
      <w:i/>
      <w:iCs/>
      <w:kern w:val="0"/>
      <w:lang w:val="nn-N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1"/>
    <w:rsid w:val="00E31057"/>
    <w:rPr>
      <w:rFonts w:ascii="Times New Roman" w:eastAsia="DengXian Light" w:hAnsi="Times New Roman" w:cs="Times New Roman"/>
      <w:b/>
      <w:sz w:val="22"/>
      <w:szCs w:val="22"/>
    </w:rPr>
  </w:style>
  <w:style w:type="character" w:customStyle="1" w:styleId="2Char">
    <w:name w:val="제목 2 Char"/>
    <w:link w:val="2"/>
    <w:uiPriority w:val="1"/>
    <w:rsid w:val="00875DFA"/>
    <w:rPr>
      <w:rFonts w:ascii="Times New Roman" w:eastAsia="DengXian Light" w:hAnsi="Times New Roman" w:cs="Times New Roman"/>
      <w:b/>
      <w:sz w:val="22"/>
      <w:szCs w:val="22"/>
    </w:rPr>
  </w:style>
  <w:style w:type="character" w:styleId="a3">
    <w:name w:val="Strong"/>
    <w:uiPriority w:val="22"/>
    <w:qFormat/>
    <w:rsid w:val="004918BE"/>
    <w:rPr>
      <w:b/>
      <w:bCs/>
    </w:rPr>
  </w:style>
  <w:style w:type="paragraph" w:customStyle="1" w:styleId="TableParagraph">
    <w:name w:val="Table Paragraph"/>
    <w:basedOn w:val="a"/>
    <w:uiPriority w:val="1"/>
    <w:qFormat/>
    <w:rsid w:val="004A07DC"/>
    <w:pPr>
      <w:widowControl w:val="0"/>
      <w:autoSpaceDE w:val="0"/>
      <w:autoSpaceDN w:val="0"/>
    </w:pPr>
    <w:rPr>
      <w:rFonts w:eastAsia="Times New Roman" w:cs="Times New Roman"/>
      <w:kern w:val="0"/>
      <w:lang w:val="nn-NO" w:eastAsia="en-US"/>
    </w:rPr>
  </w:style>
  <w:style w:type="character" w:customStyle="1" w:styleId="3Char">
    <w:name w:val="제목 3 Char"/>
    <w:link w:val="3"/>
    <w:uiPriority w:val="1"/>
    <w:rsid w:val="004A425F"/>
    <w:rPr>
      <w:rFonts w:ascii="Times New Roman" w:eastAsia="Times New Roman" w:hAnsi="Times New Roman" w:cs="Times New Roman"/>
      <w:b/>
      <w:bCs/>
      <w:kern w:val="0"/>
      <w:sz w:val="22"/>
      <w:szCs w:val="22"/>
      <w:lang w:val="nn-NO" w:eastAsia="en-US"/>
    </w:rPr>
  </w:style>
  <w:style w:type="character" w:customStyle="1" w:styleId="4Char">
    <w:name w:val="제목 4 Char"/>
    <w:link w:val="4"/>
    <w:uiPriority w:val="1"/>
    <w:rsid w:val="004A425F"/>
    <w:rPr>
      <w:rFonts w:ascii="Times New Roman" w:eastAsia="Times New Roman" w:hAnsi="Times New Roman" w:cs="Times New Roman"/>
      <w:b/>
      <w:bCs/>
      <w:i/>
      <w:iCs/>
      <w:kern w:val="0"/>
      <w:sz w:val="22"/>
      <w:szCs w:val="22"/>
      <w:lang w:val="nn-NO" w:eastAsia="en-US"/>
    </w:rPr>
  </w:style>
  <w:style w:type="paragraph" w:styleId="a4">
    <w:name w:val="Body Text"/>
    <w:basedOn w:val="a"/>
    <w:link w:val="Char"/>
    <w:qFormat/>
    <w:rsid w:val="004A425F"/>
    <w:pPr>
      <w:widowControl w:val="0"/>
      <w:autoSpaceDE w:val="0"/>
      <w:autoSpaceDN w:val="0"/>
      <w:ind w:left="218"/>
    </w:pPr>
    <w:rPr>
      <w:rFonts w:eastAsia="Times New Roman" w:cs="Times New Roman"/>
      <w:kern w:val="0"/>
      <w:lang w:val="nn-NO" w:eastAsia="en-US"/>
    </w:rPr>
  </w:style>
  <w:style w:type="character" w:customStyle="1" w:styleId="Char">
    <w:name w:val="본문 Char"/>
    <w:link w:val="a4"/>
    <w:rsid w:val="004A425F"/>
    <w:rPr>
      <w:rFonts w:ascii="Times New Roman" w:eastAsia="Times New Roman" w:hAnsi="Times New Roman" w:cs="Times New Roman"/>
      <w:kern w:val="0"/>
      <w:sz w:val="22"/>
      <w:szCs w:val="22"/>
      <w:lang w:val="nn-NO" w:eastAsia="en-US"/>
    </w:rPr>
  </w:style>
  <w:style w:type="paragraph" w:styleId="a5">
    <w:name w:val="List Paragraph"/>
    <w:basedOn w:val="a"/>
    <w:uiPriority w:val="34"/>
    <w:qFormat/>
    <w:rsid w:val="004A425F"/>
    <w:pPr>
      <w:widowControl w:val="0"/>
      <w:autoSpaceDE w:val="0"/>
      <w:autoSpaceDN w:val="0"/>
      <w:ind w:left="784" w:hanging="566"/>
    </w:pPr>
    <w:rPr>
      <w:rFonts w:eastAsia="Times New Roman" w:cs="Times New Roman"/>
      <w:kern w:val="0"/>
      <w:lang w:val="nn-NO" w:eastAsia="en-US"/>
    </w:rPr>
  </w:style>
  <w:style w:type="paragraph" w:customStyle="1" w:styleId="Boldcenter">
    <w:name w:val="Bold center"/>
    <w:basedOn w:val="a"/>
    <w:qFormat/>
    <w:rsid w:val="00875DFA"/>
    <w:pPr>
      <w:jc w:val="center"/>
    </w:pPr>
    <w:rPr>
      <w:b/>
      <w:bCs/>
    </w:rPr>
  </w:style>
  <w:style w:type="paragraph" w:customStyle="1" w:styleId="H1">
    <w:name w:val="H1"/>
    <w:basedOn w:val="a"/>
    <w:qFormat/>
    <w:rsid w:val="00D434C5"/>
    <w:pPr>
      <w:keepNext/>
      <w:ind w:left="567" w:hanging="567"/>
    </w:pPr>
    <w:rPr>
      <w:b/>
    </w:rPr>
  </w:style>
  <w:style w:type="paragraph" w:customStyle="1" w:styleId="H2">
    <w:name w:val="H2"/>
    <w:basedOn w:val="H1"/>
    <w:qFormat/>
    <w:rsid w:val="007934E2"/>
  </w:style>
  <w:style w:type="character" w:styleId="a6">
    <w:name w:val="Hyperlink"/>
    <w:uiPriority w:val="99"/>
    <w:unhideWhenUsed/>
    <w:rsid w:val="00426296"/>
    <w:rPr>
      <w:color w:val="467886"/>
      <w:u w:val="single"/>
    </w:rPr>
  </w:style>
  <w:style w:type="paragraph" w:styleId="a7">
    <w:name w:val="header"/>
    <w:basedOn w:val="a"/>
    <w:link w:val="Char0"/>
    <w:uiPriority w:val="99"/>
    <w:unhideWhenUsed/>
    <w:rsid w:val="00240A54"/>
    <w:pPr>
      <w:tabs>
        <w:tab w:val="center" w:pos="4680"/>
        <w:tab w:val="right" w:pos="9360"/>
      </w:tabs>
    </w:pPr>
  </w:style>
  <w:style w:type="character" w:customStyle="1" w:styleId="Char0">
    <w:name w:val="머리글 Char"/>
    <w:link w:val="a7"/>
    <w:uiPriority w:val="99"/>
    <w:rsid w:val="00240A54"/>
    <w:rPr>
      <w:rFonts w:ascii="Times New Roman" w:hAnsi="Times New Roman"/>
      <w:sz w:val="22"/>
      <w:szCs w:val="22"/>
    </w:rPr>
  </w:style>
  <w:style w:type="paragraph" w:styleId="a8">
    <w:name w:val="footer"/>
    <w:basedOn w:val="a"/>
    <w:link w:val="Char1"/>
    <w:uiPriority w:val="99"/>
    <w:unhideWhenUsed/>
    <w:rsid w:val="00240A54"/>
    <w:pPr>
      <w:tabs>
        <w:tab w:val="center" w:pos="4680"/>
        <w:tab w:val="right" w:pos="9360"/>
      </w:tabs>
    </w:pPr>
  </w:style>
  <w:style w:type="character" w:customStyle="1" w:styleId="Char1">
    <w:name w:val="바닥글 Char"/>
    <w:link w:val="a8"/>
    <w:uiPriority w:val="99"/>
    <w:rsid w:val="00240A54"/>
    <w:rPr>
      <w:rFonts w:ascii="Times New Roman" w:hAnsi="Times New Roman"/>
      <w:sz w:val="22"/>
      <w:szCs w:val="22"/>
    </w:rPr>
  </w:style>
  <w:style w:type="paragraph" w:customStyle="1" w:styleId="Style1Iitaic">
    <w:name w:val="Style1 Iitaic"/>
    <w:basedOn w:val="a"/>
    <w:qFormat/>
    <w:rsid w:val="0018702F"/>
    <w:pPr>
      <w:keepNext/>
    </w:pPr>
    <w:rPr>
      <w:i/>
    </w:rPr>
  </w:style>
  <w:style w:type="paragraph" w:customStyle="1" w:styleId="Style1underline">
    <w:name w:val="Style1 underline"/>
    <w:qFormat/>
    <w:rsid w:val="0018702F"/>
    <w:pPr>
      <w:keepNext/>
    </w:pPr>
    <w:rPr>
      <w:rFonts w:ascii="Times New Roman" w:hAnsi="Times New Roman"/>
      <w:kern w:val="2"/>
      <w:sz w:val="22"/>
      <w:szCs w:val="22"/>
      <w:u w:val="single"/>
      <w:lang w:val="en-US" w:eastAsia="zh-CN"/>
    </w:rPr>
  </w:style>
  <w:style w:type="paragraph" w:customStyle="1" w:styleId="Style1">
    <w:name w:val="Style1"/>
    <w:basedOn w:val="Style1underline"/>
    <w:qFormat/>
    <w:rsid w:val="00366C66"/>
    <w:rPr>
      <w:i/>
    </w:rPr>
  </w:style>
  <w:style w:type="paragraph" w:customStyle="1" w:styleId="Bullet1cm">
    <w:name w:val="Bullet 1cm"/>
    <w:basedOn w:val="a"/>
    <w:qFormat/>
    <w:rsid w:val="00366C66"/>
    <w:pPr>
      <w:numPr>
        <w:numId w:val="1"/>
      </w:numPr>
      <w:ind w:left="567" w:hanging="567"/>
    </w:pPr>
  </w:style>
  <w:style w:type="paragraph" w:customStyle="1" w:styleId="Bullet2cm">
    <w:name w:val="Bullet 2cm"/>
    <w:basedOn w:val="Bullet1cm"/>
    <w:qFormat/>
    <w:rsid w:val="00366C66"/>
    <w:pPr>
      <w:ind w:left="1701"/>
    </w:pPr>
    <w:rPr>
      <w:lang w:val="nn-NO"/>
    </w:rPr>
  </w:style>
  <w:style w:type="paragraph" w:customStyle="1" w:styleId="tablenote">
    <w:name w:val="table note"/>
    <w:basedOn w:val="a"/>
    <w:qFormat/>
    <w:rsid w:val="00774072"/>
    <w:pPr>
      <w:numPr>
        <w:numId w:val="11"/>
      </w:numPr>
    </w:pPr>
    <w:rPr>
      <w:sz w:val="18"/>
      <w:szCs w:val="18"/>
      <w:lang w:val="nn-NO"/>
    </w:rPr>
  </w:style>
  <w:style w:type="paragraph" w:customStyle="1" w:styleId="Style1itaicunderline">
    <w:name w:val="Style 1 itaic+underline"/>
    <w:qFormat/>
    <w:rsid w:val="001C5137"/>
    <w:pPr>
      <w:keepNext/>
    </w:pPr>
    <w:rPr>
      <w:rFonts w:ascii="Times New Roman" w:hAnsi="Times New Roman"/>
      <w:i/>
      <w:kern w:val="2"/>
      <w:sz w:val="22"/>
      <w:szCs w:val="22"/>
      <w:u w:val="single"/>
      <w:lang w:val="nn-NO" w:eastAsia="zh-CN"/>
    </w:rPr>
  </w:style>
  <w:style w:type="paragraph" w:customStyle="1" w:styleId="Style2underlinebold">
    <w:name w:val="Style2 underline+bold"/>
    <w:qFormat/>
    <w:rsid w:val="00552B50"/>
    <w:pPr>
      <w:keepNext/>
    </w:pPr>
    <w:rPr>
      <w:rFonts w:ascii="Times New Roman" w:hAnsi="Times New Roman"/>
      <w:b/>
      <w:kern w:val="2"/>
      <w:sz w:val="22"/>
      <w:szCs w:val="22"/>
      <w:u w:val="single"/>
      <w:lang w:val="nn-NO" w:eastAsia="zh-CN"/>
    </w:rPr>
  </w:style>
  <w:style w:type="paragraph" w:customStyle="1" w:styleId="tabenoteab">
    <w:name w:val="tabe note ab"/>
    <w:basedOn w:val="a"/>
    <w:qFormat/>
    <w:rsid w:val="000A09E6"/>
    <w:pPr>
      <w:numPr>
        <w:numId w:val="4"/>
      </w:numPr>
    </w:pPr>
    <w:rPr>
      <w:sz w:val="18"/>
      <w:lang w:val="nn-NO"/>
    </w:rPr>
  </w:style>
  <w:style w:type="paragraph" w:customStyle="1" w:styleId="bold">
    <w:name w:val="bold"/>
    <w:basedOn w:val="a"/>
    <w:qFormat/>
    <w:rsid w:val="00D34B1D"/>
    <w:rPr>
      <w:b/>
      <w:lang w:val="nn-NO"/>
    </w:rPr>
  </w:style>
  <w:style w:type="paragraph" w:customStyle="1" w:styleId="tablenotestar">
    <w:name w:val="table note star"/>
    <w:basedOn w:val="tablenote"/>
    <w:qFormat/>
    <w:rsid w:val="00D34B1D"/>
    <w:pPr>
      <w:numPr>
        <w:numId w:val="6"/>
      </w:numPr>
      <w:ind w:left="284" w:hanging="284"/>
    </w:pPr>
  </w:style>
  <w:style w:type="paragraph" w:customStyle="1" w:styleId="BulletInd1cm1cm">
    <w:name w:val="Bullet Ind 1cm+1cm"/>
    <w:qFormat/>
    <w:rsid w:val="001D2021"/>
    <w:pPr>
      <w:numPr>
        <w:numId w:val="7"/>
      </w:numPr>
      <w:ind w:left="1134" w:hanging="567"/>
    </w:pPr>
    <w:rPr>
      <w:rFonts w:ascii="Times New Roman" w:hAnsi="Times New Roman"/>
      <w:kern w:val="2"/>
      <w:sz w:val="22"/>
      <w:szCs w:val="22"/>
      <w:lang w:val="nn-NO" w:eastAsia="zh-CN"/>
    </w:rPr>
  </w:style>
  <w:style w:type="paragraph" w:customStyle="1" w:styleId="Style2">
    <w:name w:val="Style2"/>
    <w:basedOn w:val="Bullet1cm"/>
    <w:qFormat/>
    <w:rsid w:val="00F723F3"/>
    <w:pPr>
      <w:numPr>
        <w:numId w:val="14"/>
      </w:numPr>
    </w:pPr>
    <w:rPr>
      <w:lang w:val="nn-NO"/>
    </w:rPr>
  </w:style>
  <w:style w:type="paragraph" w:customStyle="1" w:styleId="boldunderline">
    <w:name w:val="bold+underline"/>
    <w:basedOn w:val="bold"/>
    <w:qFormat/>
    <w:rsid w:val="002665E3"/>
    <w:rPr>
      <w:u w:val="single"/>
    </w:rPr>
  </w:style>
  <w:style w:type="paragraph" w:styleId="a9">
    <w:name w:val="Balloon Text"/>
    <w:basedOn w:val="a"/>
    <w:link w:val="Char2"/>
    <w:uiPriority w:val="99"/>
    <w:semiHidden/>
    <w:unhideWhenUsed/>
    <w:rsid w:val="00AD4736"/>
    <w:rPr>
      <w:rFonts w:ascii="Segoe UI" w:hAnsi="Segoe UI" w:cs="Segoe UI"/>
      <w:sz w:val="18"/>
      <w:szCs w:val="18"/>
    </w:rPr>
  </w:style>
  <w:style w:type="character" w:customStyle="1" w:styleId="Char2">
    <w:name w:val="풍선 도움말 텍스트 Char"/>
    <w:link w:val="a9"/>
    <w:uiPriority w:val="99"/>
    <w:semiHidden/>
    <w:rsid w:val="00AD4736"/>
    <w:rPr>
      <w:rFonts w:ascii="Segoe UI" w:hAnsi="Segoe UI" w:cs="Segoe UI"/>
      <w:sz w:val="18"/>
      <w:szCs w:val="18"/>
    </w:rPr>
  </w:style>
  <w:style w:type="paragraph" w:styleId="aa">
    <w:name w:val="Revision"/>
    <w:hidden/>
    <w:uiPriority w:val="99"/>
    <w:semiHidden/>
    <w:rsid w:val="00DB0F71"/>
    <w:rPr>
      <w:rFonts w:ascii="Times New Roman" w:hAnsi="Times New Roman"/>
      <w:kern w:val="2"/>
      <w:sz w:val="22"/>
      <w:szCs w:val="22"/>
      <w:lang w:val="en-US" w:eastAsia="zh-CN"/>
    </w:rPr>
  </w:style>
  <w:style w:type="character" w:styleId="ab">
    <w:name w:val="FollowedHyperlink"/>
    <w:uiPriority w:val="99"/>
    <w:semiHidden/>
    <w:unhideWhenUsed/>
    <w:rsid w:val="000C1A88"/>
    <w:rPr>
      <w:color w:val="96607D"/>
      <w:u w:val="single"/>
    </w:rPr>
  </w:style>
  <w:style w:type="character" w:styleId="ac">
    <w:name w:val="annotation reference"/>
    <w:uiPriority w:val="99"/>
    <w:semiHidden/>
    <w:unhideWhenUsed/>
    <w:rsid w:val="00B97FAC"/>
    <w:rPr>
      <w:sz w:val="16"/>
      <w:szCs w:val="16"/>
    </w:rPr>
  </w:style>
  <w:style w:type="paragraph" w:styleId="ad">
    <w:name w:val="annotation text"/>
    <w:basedOn w:val="a"/>
    <w:link w:val="Char3"/>
    <w:uiPriority w:val="99"/>
    <w:unhideWhenUsed/>
    <w:rsid w:val="00B97FAC"/>
    <w:rPr>
      <w:sz w:val="20"/>
      <w:szCs w:val="20"/>
    </w:rPr>
  </w:style>
  <w:style w:type="character" w:customStyle="1" w:styleId="Char3">
    <w:name w:val="메모 텍스트 Char"/>
    <w:link w:val="ad"/>
    <w:uiPriority w:val="99"/>
    <w:rsid w:val="00B97FAC"/>
    <w:rPr>
      <w:rFonts w:ascii="Times New Roman" w:hAnsi="Times New Roman"/>
      <w:kern w:val="2"/>
    </w:rPr>
  </w:style>
  <w:style w:type="paragraph" w:styleId="ae">
    <w:name w:val="annotation subject"/>
    <w:basedOn w:val="ad"/>
    <w:next w:val="ad"/>
    <w:link w:val="Char4"/>
    <w:uiPriority w:val="99"/>
    <w:semiHidden/>
    <w:unhideWhenUsed/>
    <w:rsid w:val="00B97FAC"/>
    <w:rPr>
      <w:b/>
      <w:bCs/>
    </w:rPr>
  </w:style>
  <w:style w:type="character" w:customStyle="1" w:styleId="Char4">
    <w:name w:val="메모 주제 Char"/>
    <w:link w:val="ae"/>
    <w:uiPriority w:val="99"/>
    <w:semiHidden/>
    <w:rsid w:val="00B97FAC"/>
    <w:rPr>
      <w:rFonts w:ascii="Times New Roman" w:hAnsi="Times New Roman"/>
      <w:b/>
      <w:bCs/>
      <w:kern w:val="2"/>
    </w:rPr>
  </w:style>
  <w:style w:type="character" w:customStyle="1" w:styleId="UnresolvedMention1">
    <w:name w:val="Unresolved Mention1"/>
    <w:uiPriority w:val="99"/>
    <w:semiHidden/>
    <w:unhideWhenUsed/>
    <w:rsid w:val="00C945E8"/>
    <w:rPr>
      <w:color w:val="605E5C"/>
      <w:shd w:val="clear" w:color="auto" w:fill="E1DFDD"/>
    </w:rPr>
  </w:style>
  <w:style w:type="table" w:styleId="af">
    <w:name w:val="Table Grid"/>
    <w:basedOn w:val="a1"/>
    <w:uiPriority w:val="39"/>
    <w:rsid w:val="00DA39F0"/>
    <w:pPr>
      <w:widowControl w:val="0"/>
    </w:pPr>
    <w:rPr>
      <w:rFonts w:ascii="새굴림" w:eastAsia="새굴림" w:hAnsi="새굴림" w:cs="새굴림"/>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08FF"/>
    <w:pPr>
      <w:widowControl w:val="0"/>
      <w:autoSpaceDE w:val="0"/>
      <w:autoSpaceDN w:val="0"/>
      <w:adjustRightInd w:val="0"/>
    </w:pPr>
    <w:rPr>
      <w:rFonts w:ascii="Arial" w:eastAsia="Times New Roman" w:hAnsi="Arial"/>
      <w:color w:val="000000"/>
      <w:sz w:val="24"/>
      <w:szCs w:val="24"/>
      <w:lang w:val="nb-NO" w:eastAsia="en-US"/>
    </w:rPr>
  </w:style>
  <w:style w:type="paragraph" w:customStyle="1" w:styleId="StyleArialNarrow8pts">
    <w:name w:val="_Style Arial Narrow 8 pts"/>
    <w:basedOn w:val="a"/>
    <w:qFormat/>
    <w:rsid w:val="00EA08FF"/>
    <w:pPr>
      <w:tabs>
        <w:tab w:val="left" w:pos="567"/>
      </w:tabs>
    </w:pPr>
    <w:rPr>
      <w:rFonts w:ascii="Arial Narrow" w:eastAsia="PMingLiU" w:hAnsi="Arial Narrow" w:cs="Times New Roman"/>
      <w:kern w:val="0"/>
      <w:sz w:val="16"/>
      <w:szCs w:val="16"/>
      <w:lang w:val="nb-NO" w:eastAsia="en-US"/>
    </w:rPr>
  </w:style>
  <w:style w:type="character" w:styleId="af0">
    <w:name w:val="Unresolved Mention"/>
    <w:basedOn w:val="a0"/>
    <w:uiPriority w:val="99"/>
    <w:semiHidden/>
    <w:unhideWhenUsed/>
    <w:rsid w:val="009E7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549681">
      <w:bodyDiv w:val="1"/>
      <w:marLeft w:val="0"/>
      <w:marRight w:val="0"/>
      <w:marTop w:val="0"/>
      <w:marBottom w:val="0"/>
      <w:divBdr>
        <w:top w:val="none" w:sz="0" w:space="0" w:color="auto"/>
        <w:left w:val="none" w:sz="0" w:space="0" w:color="auto"/>
        <w:bottom w:val="none" w:sz="0" w:space="0" w:color="auto"/>
        <w:right w:val="none" w:sz="0" w:space="0" w:color="auto"/>
      </w:divBdr>
    </w:div>
    <w:div w:id="1491091271">
      <w:bodyDiv w:val="1"/>
      <w:marLeft w:val="0"/>
      <w:marRight w:val="0"/>
      <w:marTop w:val="0"/>
      <w:marBottom w:val="0"/>
      <w:divBdr>
        <w:top w:val="none" w:sz="0" w:space="0" w:color="auto"/>
        <w:left w:val="none" w:sz="0" w:space="0" w:color="auto"/>
        <w:bottom w:val="none" w:sz="0" w:space="0" w:color="auto"/>
        <w:right w:val="none" w:sz="0" w:space="0" w:color="auto"/>
      </w:divBdr>
      <w:divsChild>
        <w:div w:id="2067558413">
          <w:marLeft w:val="0"/>
          <w:marRight w:val="0"/>
          <w:marTop w:val="0"/>
          <w:marBottom w:val="0"/>
          <w:divBdr>
            <w:top w:val="none" w:sz="0" w:space="0" w:color="auto"/>
            <w:left w:val="none" w:sz="0" w:space="0" w:color="auto"/>
            <w:bottom w:val="none" w:sz="0" w:space="0" w:color="auto"/>
            <w:right w:val="none" w:sz="0" w:space="0" w:color="auto"/>
          </w:divBdr>
        </w:div>
      </w:divsChild>
    </w:div>
    <w:div w:id="1494956836">
      <w:bodyDiv w:val="1"/>
      <w:marLeft w:val="0"/>
      <w:marRight w:val="0"/>
      <w:marTop w:val="0"/>
      <w:marBottom w:val="0"/>
      <w:divBdr>
        <w:top w:val="none" w:sz="0" w:space="0" w:color="auto"/>
        <w:left w:val="none" w:sz="0" w:space="0" w:color="auto"/>
        <w:bottom w:val="none" w:sz="0" w:space="0" w:color="auto"/>
        <w:right w:val="none" w:sz="0" w:space="0" w:color="auto"/>
      </w:divBdr>
    </w:div>
    <w:div w:id="1595240104">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documents/template-form/appendix-v-adverse-drug-reaction-reporting-details_en.doc" TargetMode="External"/><Relationship Id="rId26" Type="http://schemas.openxmlformats.org/officeDocument/2006/relationships/hyperlink" Target="mailto:NLinfo@celltrionhc.com" TargetMode="External"/><Relationship Id="rId39" Type="http://schemas.openxmlformats.org/officeDocument/2006/relationships/image" Target="media/image12.png"/><Relationship Id="rId21" Type="http://schemas.openxmlformats.org/officeDocument/2006/relationships/hyperlink" Target="https://www.ema.europa.eu/documents/template-form/appendix-v-adverse-drug-reaction-reporting-details_en.doc"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hyperlink" Target="http://www.ema.europa.eu" TargetMode="External"/><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2.png"/><Relationship Id="rId11" Type="http://schemas.openxmlformats.org/officeDocument/2006/relationships/image" Target="media/image1.png"/><Relationship Id="rId24" Type="http://schemas.openxmlformats.org/officeDocument/2006/relationships/hyperlink" Target="http://www.felleskatalogen.no"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hyperlink" Target="mailto:BEinfo@celltrionhc.com" TargetMode="External"/><Relationship Id="rId53" Type="http://schemas.openxmlformats.org/officeDocument/2006/relationships/image" Target="media/image20.png"/><Relationship Id="rId58" Type="http://schemas.openxmlformats.org/officeDocument/2006/relationships/image" Target="media/image25.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ema.europa.eu" TargetMode="External"/><Relationship Id="rId14" Type="http://schemas.openxmlformats.org/officeDocument/2006/relationships/hyperlink" Target="http://www.ema.europa.eu" TargetMode="External"/><Relationship Id="rId22" Type="http://schemas.openxmlformats.org/officeDocument/2006/relationships/hyperlink" Target="mailto:NLinfo@celltrionhc.com" TargetMode="External"/><Relationship Id="rId27" Type="http://schemas.openxmlformats.org/officeDocument/2006/relationships/hyperlink" Target="http://www.ema.europa.eu"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https://www.ema.europa.eu/documents/template-form/appendix-v-adverse-drug-reaction-reporting-details_en.doc" TargetMode="External"/><Relationship Id="rId48" Type="http://schemas.openxmlformats.org/officeDocument/2006/relationships/hyperlink" Target="http://www.felleskatalogen.no" TargetMode="External"/><Relationship Id="rId56" Type="http://schemas.openxmlformats.org/officeDocument/2006/relationships/image" Target="media/image23.png"/><Relationship Id="rId64"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hyperlink" Target="https://www.ema.europa.eu/documents/template-form/appendix-v-adverse-drug-reaction-reporting-details_en.doc" TargetMode="External"/><Relationship Id="rId17" Type="http://schemas.openxmlformats.org/officeDocument/2006/relationships/hyperlink" Target="http://www.ema.europa.eu" TargetMode="External"/><Relationship Id="rId25" Type="http://schemas.openxmlformats.org/officeDocument/2006/relationships/hyperlink" Target="https://www.ema.europa.eu/documents/template-form/appendix-v-adverse-drug-reaction-reporting-details_en.doc"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hyperlink" Target="mailto:NLinfo@celltrionhc.com" TargetMode="External"/><Relationship Id="rId59" Type="http://schemas.openxmlformats.org/officeDocument/2006/relationships/image" Target="media/image26.png"/><Relationship Id="rId20" Type="http://schemas.openxmlformats.org/officeDocument/2006/relationships/hyperlink" Target="http://www.ema.europa.eu" TargetMode="External"/><Relationship Id="rId41" Type="http://schemas.openxmlformats.org/officeDocument/2006/relationships/image" Target="media/image14.png"/><Relationship Id="rId54" Type="http://schemas.openxmlformats.org/officeDocument/2006/relationships/image" Target="media/image2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documents/template-form/appendix-v-adverse-drug-reaction-reporting-details_en.doc" TargetMode="External"/><Relationship Id="rId23" Type="http://schemas.openxmlformats.org/officeDocument/2006/relationships/hyperlink" Target="http://www.ema.europa.eu" TargetMode="External"/><Relationship Id="rId28" Type="http://schemas.openxmlformats.org/officeDocument/2006/relationships/hyperlink" Target="http://www.felleskatalogen.no" TargetMode="External"/><Relationship Id="rId36" Type="http://schemas.openxmlformats.org/officeDocument/2006/relationships/image" Target="media/image9.png"/><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hyperlink" Target="mailto:BEinfo@celltrionhc.com" TargetMode="External"/><Relationship Id="rId52" Type="http://schemas.openxmlformats.org/officeDocument/2006/relationships/image" Target="media/image19.png"/><Relationship Id="rId60"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EMADOC-1700519818-2467750</_dlc_DocId>
    <_dlc_DocIdUrl xmlns="a034c160-bfb7-45f5-8632-2eb7e0508071">
      <Url>https://euema.sharepoint.com/sites/CRM/_layouts/15/DocIdRedir.aspx?ID=EMADOC-1700519818-2467750</Url>
      <Description>EMADOC-1700519818-2467750</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42AC86-848A-4FE8-9472-8D288B484723}"/>
</file>

<file path=customXml/itemProps2.xml><?xml version="1.0" encoding="utf-8"?>
<ds:datastoreItem xmlns:ds="http://schemas.openxmlformats.org/officeDocument/2006/customXml" ds:itemID="{9F1B40C2-85C0-49AD-823B-0FD5963835B1}">
  <ds:schemaRefs>
    <ds:schemaRef ds:uri="http://schemas.microsoft.com/office/2006/metadata/properties"/>
    <ds:schemaRef ds:uri="http://schemas.microsoft.com/office/infopath/2007/PartnerControls"/>
    <ds:schemaRef ds:uri="83901066-ea94-4f10-a339-f99c2cb3eec1"/>
    <ds:schemaRef ds:uri="c0c1dc18-1381-4757-a3ef-160d068908e0"/>
  </ds:schemaRefs>
</ds:datastoreItem>
</file>

<file path=customXml/itemProps3.xml><?xml version="1.0" encoding="utf-8"?>
<ds:datastoreItem xmlns:ds="http://schemas.openxmlformats.org/officeDocument/2006/customXml" ds:itemID="{B03D9A50-1707-4EFF-B1DF-E1224D6D3972}">
  <ds:schemaRefs>
    <ds:schemaRef ds:uri="http://schemas.openxmlformats.org/officeDocument/2006/bibliography"/>
  </ds:schemaRefs>
</ds:datastoreItem>
</file>

<file path=customXml/itemProps4.xml><?xml version="1.0" encoding="utf-8"?>
<ds:datastoreItem xmlns:ds="http://schemas.openxmlformats.org/officeDocument/2006/customXml" ds:itemID="{9B52A2CB-DF44-440A-8450-986716C665A8}">
  <ds:schemaRefs>
    <ds:schemaRef ds:uri="http://schemas.microsoft.com/sharepoint/v3/contenttype/forms"/>
  </ds:schemaRefs>
</ds:datastoreItem>
</file>

<file path=customXml/itemProps5.xml><?xml version="1.0" encoding="utf-8"?>
<ds:datastoreItem xmlns:ds="http://schemas.openxmlformats.org/officeDocument/2006/customXml" ds:itemID="{74F639E9-4D57-41BA-88C4-21DF1E9D8E2C}"/>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173</Pages>
  <Words>58204</Words>
  <Characters>344568</Characters>
  <Application>Microsoft Office Word</Application>
  <DocSecurity>0</DocSecurity>
  <Lines>10767</Lines>
  <Paragraphs>5517</Paragraphs>
  <ScaleCrop>false</ScaleCrop>
  <HeadingPairs>
    <vt:vector size="2" baseType="variant">
      <vt:variant>
        <vt:lpstr>제목</vt:lpstr>
      </vt:variant>
      <vt:variant>
        <vt:i4>1</vt:i4>
      </vt:variant>
    </vt:vector>
  </HeadingPairs>
  <TitlesOfParts>
    <vt:vector size="1" baseType="lpstr">
      <vt:lpstr>Avtozma, INN-tocilizumab</vt:lpstr>
    </vt:vector>
  </TitlesOfParts>
  <Company/>
  <LinksUpToDate>false</LinksUpToDate>
  <CharactersWithSpaces>397255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Avtozma, INN-tocilizumab</dc:title>
  <dc:subject>EPAR</dc:subject>
  <dc:creator/>
  <cp:keywords>Avtozma, INN-tocilizumab</cp:keywords>
  <dc:description/>
  <cp:lastModifiedBy/>
  <cp:revision>1</cp:revision>
  <dcterms:created xsi:type="dcterms:W3CDTF">2025-09-03T03:24:00Z</dcterms:created>
  <dcterms:modified xsi:type="dcterms:W3CDTF">2025-09-10T05:01:00Z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0x010100C7044A7FB2EB2F4D8B1CA47F982F77DB</vt:lpwstr>
  </property>
  <property fmtid="{D5CDD505-2E9C-101B-9397-08002B2CF9AE}" pid="4" name="_dlc_DocIdItemGuid">
    <vt:lpwstr>634a6d32-fa61-4fbd-a3e3-416815ab6f4b</vt:lpwstr>
  </property>
</Properties>
</file>