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9A59FD" w14:paraId="0C6DC53A" w14:textId="77777777">
        <w:trPr>
          <w:trHeight w:val="1452"/>
        </w:trPr>
        <w:tc>
          <w:tcPr>
            <w:tcW w:w="9351" w:type="dxa"/>
            <w:tcBorders>
              <w:top w:val="single" w:sz="4" w:space="0" w:color="auto"/>
              <w:left w:val="single" w:sz="4" w:space="0" w:color="auto"/>
              <w:bottom w:val="single" w:sz="4" w:space="0" w:color="auto"/>
              <w:right w:val="single" w:sz="4" w:space="0" w:color="auto"/>
            </w:tcBorders>
          </w:tcPr>
          <w:p w14:paraId="3D6739A1" w14:textId="77777777" w:rsidR="009A59FD" w:rsidRPr="009A59FD" w:rsidRDefault="009A59FD" w:rsidP="009A59FD">
            <w:pPr>
              <w:widowControl w:val="0"/>
              <w:rPr>
                <w:lang w:val="nn-NO"/>
              </w:rPr>
            </w:pPr>
            <w:r w:rsidRPr="009A59FD">
              <w:rPr>
                <w:lang w:val="nn-NO"/>
              </w:rPr>
              <w:t xml:space="preserve">Dette dokumentet er den godkjente produktinformasjonen for </w:t>
            </w:r>
            <w:r w:rsidRPr="009D56B8">
              <w:rPr>
                <w:szCs w:val="22"/>
                <w:lang w:val="nb-NO"/>
              </w:rPr>
              <w:t>Dimethyl fumarate Accord</w:t>
            </w:r>
            <w:r w:rsidRPr="009A59FD">
              <w:rPr>
                <w:color w:val="000000"/>
                <w:lang w:val="nn-NO"/>
              </w:rPr>
              <w:t xml:space="preserve">. </w:t>
            </w:r>
            <w:r w:rsidRPr="009A59FD">
              <w:rPr>
                <w:lang w:val="nn-NO"/>
              </w:rPr>
              <w:t>Endringer siden forrige prosedyre som påvirker produktinformasjonen (</w:t>
            </w:r>
            <w:r w:rsidRPr="009A59FD">
              <w:rPr>
                <w:bCs/>
                <w:lang w:val="nn-NO"/>
              </w:rPr>
              <w:t>EMA/VR/0000247229</w:t>
            </w:r>
            <w:r w:rsidRPr="009A59FD">
              <w:rPr>
                <w:lang w:val="nn-NO"/>
              </w:rPr>
              <w:t>) er uthevet.</w:t>
            </w:r>
          </w:p>
          <w:p w14:paraId="3C1AB240" w14:textId="77777777" w:rsidR="009A59FD" w:rsidRPr="009A59FD" w:rsidRDefault="009A59FD" w:rsidP="009A59FD">
            <w:pPr>
              <w:widowControl w:val="0"/>
              <w:rPr>
                <w:lang w:val="nn-NO"/>
              </w:rPr>
            </w:pPr>
          </w:p>
          <w:p w14:paraId="7A9F5B8F" w14:textId="0396C149" w:rsidR="009A59FD" w:rsidRPr="009A59FD" w:rsidRDefault="009A59FD" w:rsidP="009A59FD">
            <w:pPr>
              <w:rPr>
                <w:szCs w:val="22"/>
                <w:lang w:val="nn-NO"/>
              </w:rPr>
            </w:pPr>
            <w:r w:rsidRPr="009A59FD">
              <w:rPr>
                <w:lang w:val="nn-NO"/>
              </w:rPr>
              <w:t>Mer informasjon finnes på nettstedet til Det europeiske legemiddelkontoret:</w:t>
            </w:r>
          </w:p>
          <w:p w14:paraId="51498485" w14:textId="3DDAB631" w:rsidR="009A59FD" w:rsidRPr="009A59FD" w:rsidRDefault="009A59FD" w:rsidP="009A59FD">
            <w:pPr>
              <w:rPr>
                <w:szCs w:val="22"/>
                <w:lang w:val="nb-NO"/>
              </w:rPr>
            </w:pPr>
            <w:hyperlink r:id="rId12" w:history="1">
              <w:r w:rsidRPr="009A59FD">
                <w:rPr>
                  <w:rStyle w:val="Hyperlink"/>
                  <w:szCs w:val="22"/>
                  <w:lang w:val="nb-NO"/>
                </w:rPr>
                <w:t>https://www.ema.europa.eu/en/medicines/human/EPAR/dimethyl-fumarate-accord</w:t>
              </w:r>
            </w:hyperlink>
          </w:p>
        </w:tc>
      </w:tr>
    </w:tbl>
    <w:p w14:paraId="767E825B" w14:textId="77777777" w:rsidR="00E50867" w:rsidRPr="009D56B8" w:rsidRDefault="00E50867">
      <w:pPr>
        <w:rPr>
          <w:szCs w:val="22"/>
          <w:lang w:val="nb-NO"/>
        </w:rPr>
      </w:pPr>
    </w:p>
    <w:p w14:paraId="016DE81C" w14:textId="77777777" w:rsidR="00E50867" w:rsidRPr="009D56B8" w:rsidRDefault="00E50867">
      <w:pPr>
        <w:rPr>
          <w:szCs w:val="22"/>
          <w:lang w:val="nb-NO"/>
        </w:rPr>
      </w:pPr>
    </w:p>
    <w:p w14:paraId="706E21CE" w14:textId="77777777" w:rsidR="00E50867" w:rsidRPr="009D56B8" w:rsidRDefault="00E50867">
      <w:pPr>
        <w:rPr>
          <w:szCs w:val="22"/>
          <w:lang w:val="nb-NO"/>
        </w:rPr>
      </w:pPr>
    </w:p>
    <w:p w14:paraId="4C13DF69" w14:textId="77777777" w:rsidR="00E50867" w:rsidRPr="009D56B8" w:rsidRDefault="00E50867">
      <w:pPr>
        <w:rPr>
          <w:szCs w:val="22"/>
          <w:lang w:val="nb-NO"/>
        </w:rPr>
      </w:pPr>
    </w:p>
    <w:p w14:paraId="316EA306" w14:textId="77777777" w:rsidR="00E50867" w:rsidRPr="009D56B8" w:rsidRDefault="00E50867">
      <w:pPr>
        <w:rPr>
          <w:szCs w:val="22"/>
          <w:lang w:val="nb-NO"/>
        </w:rPr>
      </w:pPr>
    </w:p>
    <w:p w14:paraId="7C70FBE3" w14:textId="77777777" w:rsidR="00E50867" w:rsidRPr="009D56B8" w:rsidRDefault="00E50867">
      <w:pPr>
        <w:rPr>
          <w:szCs w:val="22"/>
          <w:lang w:val="nb-NO"/>
        </w:rPr>
      </w:pPr>
    </w:p>
    <w:p w14:paraId="157C2416" w14:textId="77777777" w:rsidR="00E50867" w:rsidRPr="009D56B8" w:rsidRDefault="00E50867">
      <w:pPr>
        <w:rPr>
          <w:szCs w:val="22"/>
          <w:lang w:val="nb-NO"/>
        </w:rPr>
      </w:pPr>
    </w:p>
    <w:p w14:paraId="568113C4" w14:textId="77777777" w:rsidR="00E50867" w:rsidRPr="009D56B8" w:rsidRDefault="00E50867">
      <w:pPr>
        <w:rPr>
          <w:szCs w:val="22"/>
          <w:lang w:val="nb-NO"/>
        </w:rPr>
      </w:pPr>
    </w:p>
    <w:p w14:paraId="30E033C0" w14:textId="77777777" w:rsidR="00E50867" w:rsidRPr="009D56B8" w:rsidRDefault="00E50867">
      <w:pPr>
        <w:rPr>
          <w:szCs w:val="22"/>
          <w:lang w:val="nb-NO"/>
        </w:rPr>
      </w:pPr>
    </w:p>
    <w:p w14:paraId="242E15A8" w14:textId="77777777" w:rsidR="00E50867" w:rsidRPr="009D56B8" w:rsidRDefault="00E50867">
      <w:pPr>
        <w:rPr>
          <w:szCs w:val="22"/>
          <w:lang w:val="nb-NO"/>
        </w:rPr>
      </w:pPr>
    </w:p>
    <w:p w14:paraId="17019DC2" w14:textId="77777777" w:rsidR="00E50867" w:rsidRPr="009D56B8" w:rsidRDefault="00E50867">
      <w:pPr>
        <w:rPr>
          <w:szCs w:val="22"/>
          <w:lang w:val="nb-NO"/>
        </w:rPr>
      </w:pPr>
    </w:p>
    <w:p w14:paraId="340DD925" w14:textId="77777777" w:rsidR="00E50867" w:rsidRPr="009D56B8" w:rsidRDefault="00E50867">
      <w:pPr>
        <w:rPr>
          <w:szCs w:val="22"/>
          <w:lang w:val="nb-NO"/>
        </w:rPr>
      </w:pPr>
    </w:p>
    <w:p w14:paraId="125026BA" w14:textId="77777777" w:rsidR="00E50867" w:rsidRPr="009D56B8" w:rsidRDefault="00E50867">
      <w:pPr>
        <w:rPr>
          <w:szCs w:val="22"/>
          <w:lang w:val="nb-NO"/>
        </w:rPr>
      </w:pPr>
    </w:p>
    <w:p w14:paraId="27EA6F95" w14:textId="77777777" w:rsidR="00E50867" w:rsidRPr="009D56B8" w:rsidRDefault="00E50867">
      <w:pPr>
        <w:rPr>
          <w:szCs w:val="22"/>
          <w:lang w:val="nb-NO"/>
        </w:rPr>
      </w:pPr>
    </w:p>
    <w:p w14:paraId="67C781F1" w14:textId="77777777" w:rsidR="00E50867" w:rsidRPr="009D56B8" w:rsidRDefault="00E50867">
      <w:pPr>
        <w:rPr>
          <w:szCs w:val="22"/>
          <w:lang w:val="nb-NO"/>
        </w:rPr>
      </w:pPr>
    </w:p>
    <w:p w14:paraId="6BD0DA15" w14:textId="77777777" w:rsidR="00E50867" w:rsidRPr="009D56B8" w:rsidRDefault="00E50867">
      <w:pPr>
        <w:rPr>
          <w:szCs w:val="22"/>
          <w:lang w:val="nb-NO"/>
        </w:rPr>
      </w:pPr>
    </w:p>
    <w:p w14:paraId="464B482C" w14:textId="77777777" w:rsidR="00E50867" w:rsidRPr="009D56B8" w:rsidRDefault="00E50867">
      <w:pPr>
        <w:rPr>
          <w:szCs w:val="22"/>
          <w:lang w:val="nb-NO"/>
        </w:rPr>
      </w:pPr>
    </w:p>
    <w:p w14:paraId="511C933B" w14:textId="77777777" w:rsidR="00E50867" w:rsidRPr="009D56B8" w:rsidRDefault="00E50867">
      <w:pPr>
        <w:rPr>
          <w:szCs w:val="22"/>
          <w:lang w:val="nb-NO"/>
        </w:rPr>
      </w:pPr>
    </w:p>
    <w:p w14:paraId="504910B4" w14:textId="77777777" w:rsidR="00E50867" w:rsidRPr="009D56B8" w:rsidRDefault="00E50867">
      <w:pPr>
        <w:rPr>
          <w:szCs w:val="22"/>
          <w:lang w:val="nb-NO"/>
        </w:rPr>
      </w:pPr>
    </w:p>
    <w:p w14:paraId="1E12B42A" w14:textId="77777777" w:rsidR="00E50867" w:rsidRPr="009D56B8" w:rsidRDefault="00E50867">
      <w:pPr>
        <w:rPr>
          <w:szCs w:val="22"/>
          <w:lang w:val="nb-NO"/>
        </w:rPr>
      </w:pPr>
    </w:p>
    <w:p w14:paraId="4E9682E1" w14:textId="77777777" w:rsidR="00E50867" w:rsidRPr="009D56B8" w:rsidRDefault="00C770E8">
      <w:pPr>
        <w:widowControl w:val="0"/>
        <w:suppressLineNumbers/>
        <w:tabs>
          <w:tab w:val="left" w:pos="-1440"/>
          <w:tab w:val="left" w:pos="-720"/>
        </w:tabs>
        <w:jc w:val="center"/>
        <w:rPr>
          <w:b/>
          <w:szCs w:val="22"/>
          <w:lang w:val="nb-NO"/>
        </w:rPr>
      </w:pPr>
      <w:r w:rsidRPr="009D56B8">
        <w:rPr>
          <w:b/>
          <w:szCs w:val="22"/>
          <w:lang w:val="nb-NO"/>
        </w:rPr>
        <w:t>VEDLEGG I</w:t>
      </w:r>
    </w:p>
    <w:p w14:paraId="7F27C07C" w14:textId="77777777" w:rsidR="00E50867" w:rsidRPr="009D56B8" w:rsidRDefault="00E50867">
      <w:pPr>
        <w:rPr>
          <w:szCs w:val="22"/>
          <w:lang w:val="nb-NO"/>
        </w:rPr>
      </w:pPr>
    </w:p>
    <w:p w14:paraId="33105194" w14:textId="77777777" w:rsidR="00E50867" w:rsidRPr="009D56B8" w:rsidRDefault="00C770E8">
      <w:pPr>
        <w:pStyle w:val="TitleA"/>
      </w:pPr>
      <w:r w:rsidRPr="009D56B8">
        <w:t>PREPARATOMTALE</w:t>
      </w:r>
    </w:p>
    <w:p w14:paraId="14167069" w14:textId="77777777" w:rsidR="00E50867" w:rsidRPr="009D56B8" w:rsidRDefault="00E50867">
      <w:pPr>
        <w:pStyle w:val="TitleA"/>
        <w:numPr>
          <w:ilvl w:val="0"/>
          <w:numId w:val="0"/>
        </w:numPr>
        <w:jc w:val="left"/>
      </w:pPr>
    </w:p>
    <w:p w14:paraId="3BE33739" w14:textId="77777777" w:rsidR="00E50867" w:rsidRPr="009D56B8" w:rsidRDefault="00E50867">
      <w:pPr>
        <w:rPr>
          <w:szCs w:val="22"/>
          <w:lang w:val="nb-NO"/>
        </w:rPr>
      </w:pPr>
    </w:p>
    <w:p w14:paraId="16CA5FB3" w14:textId="2378D37B" w:rsidR="001A22B7" w:rsidRPr="009D56B8" w:rsidRDefault="001A22B7">
      <w:pPr>
        <w:rPr>
          <w:szCs w:val="22"/>
          <w:lang w:val="nb-NO"/>
        </w:rPr>
      </w:pPr>
    </w:p>
    <w:p w14:paraId="1AFA110B" w14:textId="77777777" w:rsidR="001A22B7" w:rsidRPr="009D56B8" w:rsidRDefault="001A22B7" w:rsidP="001A22B7">
      <w:pPr>
        <w:rPr>
          <w:szCs w:val="22"/>
          <w:lang w:val="nb-NO"/>
        </w:rPr>
      </w:pPr>
    </w:p>
    <w:p w14:paraId="0EABA7E5" w14:textId="77777777" w:rsidR="001A22B7" w:rsidRPr="009D56B8" w:rsidRDefault="001A22B7" w:rsidP="001A22B7">
      <w:pPr>
        <w:rPr>
          <w:szCs w:val="22"/>
          <w:lang w:val="nb-NO"/>
        </w:rPr>
      </w:pPr>
    </w:p>
    <w:p w14:paraId="5167BC50" w14:textId="77777777" w:rsidR="001A22B7" w:rsidRPr="009D56B8" w:rsidRDefault="001A22B7" w:rsidP="001A22B7">
      <w:pPr>
        <w:rPr>
          <w:szCs w:val="22"/>
          <w:lang w:val="nb-NO"/>
        </w:rPr>
      </w:pPr>
    </w:p>
    <w:p w14:paraId="69515167" w14:textId="77777777" w:rsidR="001A22B7" w:rsidRPr="009D56B8" w:rsidRDefault="001A22B7" w:rsidP="001A22B7">
      <w:pPr>
        <w:rPr>
          <w:szCs w:val="22"/>
          <w:lang w:val="nb-NO"/>
        </w:rPr>
      </w:pPr>
    </w:p>
    <w:p w14:paraId="5505F807" w14:textId="77777777" w:rsidR="001A22B7" w:rsidRPr="009D56B8" w:rsidRDefault="001A22B7" w:rsidP="001A22B7">
      <w:pPr>
        <w:rPr>
          <w:szCs w:val="22"/>
          <w:lang w:val="nb-NO"/>
        </w:rPr>
      </w:pPr>
    </w:p>
    <w:p w14:paraId="33C5A83C" w14:textId="77777777" w:rsidR="001A22B7" w:rsidRPr="009D56B8" w:rsidRDefault="001A22B7" w:rsidP="001A22B7">
      <w:pPr>
        <w:rPr>
          <w:szCs w:val="22"/>
          <w:lang w:val="nb-NO"/>
        </w:rPr>
      </w:pPr>
    </w:p>
    <w:p w14:paraId="1C67F42E" w14:textId="77777777" w:rsidR="001A22B7" w:rsidRPr="009D56B8" w:rsidRDefault="001A22B7" w:rsidP="001A22B7">
      <w:pPr>
        <w:rPr>
          <w:szCs w:val="22"/>
          <w:lang w:val="nb-NO"/>
        </w:rPr>
      </w:pPr>
    </w:p>
    <w:p w14:paraId="75FA2746" w14:textId="77777777" w:rsidR="001A22B7" w:rsidRPr="009D56B8" w:rsidRDefault="001A22B7" w:rsidP="001A22B7">
      <w:pPr>
        <w:rPr>
          <w:szCs w:val="22"/>
          <w:lang w:val="nb-NO"/>
        </w:rPr>
      </w:pPr>
    </w:p>
    <w:p w14:paraId="57DF6710" w14:textId="77777777" w:rsidR="001A22B7" w:rsidRPr="009D56B8" w:rsidRDefault="001A22B7" w:rsidP="001A22B7">
      <w:pPr>
        <w:rPr>
          <w:szCs w:val="22"/>
          <w:lang w:val="nb-NO"/>
        </w:rPr>
      </w:pPr>
    </w:p>
    <w:p w14:paraId="7C98D683" w14:textId="77777777" w:rsidR="001A22B7" w:rsidRPr="009D56B8" w:rsidRDefault="001A22B7" w:rsidP="001A22B7">
      <w:pPr>
        <w:rPr>
          <w:szCs w:val="22"/>
          <w:lang w:val="nb-NO"/>
        </w:rPr>
      </w:pPr>
    </w:p>
    <w:p w14:paraId="233FD12E" w14:textId="77777777" w:rsidR="001A22B7" w:rsidRPr="009D56B8" w:rsidRDefault="001A22B7" w:rsidP="001A22B7">
      <w:pPr>
        <w:rPr>
          <w:szCs w:val="22"/>
          <w:lang w:val="nb-NO"/>
        </w:rPr>
      </w:pPr>
    </w:p>
    <w:p w14:paraId="166ECE7A" w14:textId="77777777" w:rsidR="001A22B7" w:rsidRPr="009D56B8" w:rsidRDefault="001A22B7" w:rsidP="001A22B7">
      <w:pPr>
        <w:rPr>
          <w:szCs w:val="22"/>
          <w:lang w:val="nb-NO"/>
        </w:rPr>
      </w:pPr>
    </w:p>
    <w:p w14:paraId="2FF4808B" w14:textId="77777777" w:rsidR="001A22B7" w:rsidRPr="009D56B8" w:rsidRDefault="001A22B7" w:rsidP="001A22B7">
      <w:pPr>
        <w:rPr>
          <w:szCs w:val="22"/>
          <w:lang w:val="nb-NO"/>
        </w:rPr>
      </w:pPr>
    </w:p>
    <w:p w14:paraId="1F2C9038" w14:textId="77777777" w:rsidR="001A22B7" w:rsidRPr="009D56B8" w:rsidRDefault="001A22B7" w:rsidP="001A22B7">
      <w:pPr>
        <w:rPr>
          <w:szCs w:val="22"/>
          <w:lang w:val="nb-NO"/>
        </w:rPr>
      </w:pPr>
    </w:p>
    <w:p w14:paraId="65CE7AF7" w14:textId="77777777" w:rsidR="001A22B7" w:rsidRPr="009D56B8" w:rsidRDefault="001A22B7" w:rsidP="001A22B7">
      <w:pPr>
        <w:rPr>
          <w:szCs w:val="22"/>
          <w:lang w:val="nb-NO"/>
        </w:rPr>
      </w:pPr>
    </w:p>
    <w:p w14:paraId="6D55DC6A" w14:textId="76ACA84F" w:rsidR="001A22B7" w:rsidRPr="009D56B8" w:rsidRDefault="001A22B7" w:rsidP="001A22B7">
      <w:pPr>
        <w:rPr>
          <w:szCs w:val="22"/>
          <w:lang w:val="nb-NO"/>
        </w:rPr>
      </w:pPr>
    </w:p>
    <w:p w14:paraId="58C1D29D" w14:textId="4BDBC420" w:rsidR="001A22B7" w:rsidRPr="009D56B8" w:rsidRDefault="001A22B7" w:rsidP="001A22B7">
      <w:pPr>
        <w:tabs>
          <w:tab w:val="clear" w:pos="567"/>
          <w:tab w:val="left" w:pos="2895"/>
        </w:tabs>
        <w:rPr>
          <w:szCs w:val="22"/>
          <w:lang w:val="nb-NO"/>
        </w:rPr>
      </w:pPr>
      <w:r w:rsidRPr="009D56B8">
        <w:rPr>
          <w:szCs w:val="22"/>
          <w:lang w:val="nb-NO"/>
        </w:rPr>
        <w:tab/>
      </w:r>
    </w:p>
    <w:p w14:paraId="53EC91F9" w14:textId="4D2AB81F" w:rsidR="00E50867" w:rsidRPr="009D56B8" w:rsidRDefault="001A22B7" w:rsidP="001A22B7">
      <w:pPr>
        <w:tabs>
          <w:tab w:val="clear" w:pos="567"/>
          <w:tab w:val="left" w:pos="2895"/>
        </w:tabs>
        <w:rPr>
          <w:szCs w:val="22"/>
          <w:lang w:val="nb-NO"/>
        </w:rPr>
        <w:sectPr w:rsidR="00E50867" w:rsidRPr="009D56B8" w:rsidSect="00B540F6">
          <w:footerReference w:type="default" r:id="rId13"/>
          <w:pgSz w:w="11906" w:h="16838" w:code="9"/>
          <w:pgMar w:top="1138" w:right="1411" w:bottom="1138" w:left="1411" w:header="734" w:footer="734" w:gutter="0"/>
          <w:cols w:space="708"/>
          <w:docGrid w:linePitch="299"/>
        </w:sectPr>
      </w:pPr>
      <w:r w:rsidRPr="009D56B8">
        <w:rPr>
          <w:szCs w:val="22"/>
          <w:lang w:val="nb-NO"/>
        </w:rPr>
        <w:tab/>
      </w:r>
    </w:p>
    <w:p w14:paraId="6CC60F45" w14:textId="77777777" w:rsidR="00E50867" w:rsidRPr="009D56B8" w:rsidRDefault="00C770E8">
      <w:pPr>
        <w:rPr>
          <w:b/>
          <w:szCs w:val="22"/>
          <w:lang w:val="nb-NO"/>
        </w:rPr>
      </w:pPr>
      <w:r w:rsidRPr="009D56B8">
        <w:rPr>
          <w:b/>
          <w:szCs w:val="22"/>
          <w:lang w:val="nb-NO"/>
        </w:rPr>
        <w:lastRenderedPageBreak/>
        <w:t>1.</w:t>
      </w:r>
      <w:r w:rsidRPr="009D56B8">
        <w:rPr>
          <w:b/>
          <w:szCs w:val="22"/>
          <w:lang w:val="nb-NO"/>
        </w:rPr>
        <w:tab/>
        <w:t>LEGEMIDLETS NAVN</w:t>
      </w:r>
    </w:p>
    <w:p w14:paraId="0544C195" w14:textId="77777777" w:rsidR="00E50867" w:rsidRPr="009D56B8" w:rsidRDefault="00E50867">
      <w:pPr>
        <w:rPr>
          <w:szCs w:val="22"/>
          <w:lang w:val="nb-NO"/>
        </w:rPr>
      </w:pPr>
    </w:p>
    <w:p w14:paraId="39C319D1" w14:textId="6EA6007C" w:rsidR="00E50867" w:rsidRPr="009D56B8" w:rsidRDefault="00D172C2">
      <w:pPr>
        <w:widowControl w:val="0"/>
        <w:suppressLineNumbers/>
        <w:rPr>
          <w:szCs w:val="22"/>
          <w:lang w:val="nb-NO"/>
        </w:rPr>
      </w:pPr>
      <w:r w:rsidRPr="009D56B8">
        <w:rPr>
          <w:szCs w:val="22"/>
          <w:lang w:val="nb-NO"/>
        </w:rPr>
        <w:t>Dimethyl fumarate Accord</w:t>
      </w:r>
      <w:r w:rsidR="00C770E8" w:rsidRPr="009D56B8">
        <w:rPr>
          <w:szCs w:val="22"/>
          <w:lang w:val="nb-NO"/>
        </w:rPr>
        <w:t xml:space="preserve"> 120 mg </w:t>
      </w:r>
      <w:bookmarkStart w:id="0" w:name="_Hlk519753652"/>
      <w:r w:rsidR="00C770E8" w:rsidRPr="009D56B8">
        <w:rPr>
          <w:szCs w:val="22"/>
          <w:lang w:val="nb-NO"/>
        </w:rPr>
        <w:t>enterokapsler, harde</w:t>
      </w:r>
      <w:bookmarkEnd w:id="0"/>
    </w:p>
    <w:p w14:paraId="0CC2329B" w14:textId="716D8DE7" w:rsidR="00E50867" w:rsidRPr="009D56B8" w:rsidRDefault="00D172C2">
      <w:pPr>
        <w:widowControl w:val="0"/>
        <w:suppressLineNumbers/>
        <w:rPr>
          <w:szCs w:val="22"/>
          <w:lang w:val="nb-NO"/>
        </w:rPr>
      </w:pPr>
      <w:r w:rsidRPr="009D56B8">
        <w:rPr>
          <w:szCs w:val="22"/>
          <w:lang w:val="nb-NO"/>
        </w:rPr>
        <w:t>Dimethyl fumarate Accord</w:t>
      </w:r>
      <w:r w:rsidR="00C770E8" w:rsidRPr="009D56B8">
        <w:rPr>
          <w:szCs w:val="22"/>
          <w:lang w:val="nb-NO"/>
        </w:rPr>
        <w:t xml:space="preserve"> 240 mg enterokapsler, harde</w:t>
      </w:r>
    </w:p>
    <w:p w14:paraId="111C2952" w14:textId="77777777" w:rsidR="00E50867" w:rsidRPr="009D56B8" w:rsidRDefault="00E50867">
      <w:pPr>
        <w:rPr>
          <w:szCs w:val="22"/>
          <w:lang w:val="nb-NO"/>
        </w:rPr>
      </w:pPr>
    </w:p>
    <w:p w14:paraId="0069ED6F" w14:textId="77777777" w:rsidR="00E50867" w:rsidRPr="009D56B8" w:rsidRDefault="00E50867">
      <w:pPr>
        <w:rPr>
          <w:szCs w:val="22"/>
          <w:lang w:val="nb-NO"/>
        </w:rPr>
      </w:pPr>
    </w:p>
    <w:p w14:paraId="7AC6691A" w14:textId="77777777" w:rsidR="00E50867" w:rsidRPr="009D56B8" w:rsidRDefault="00C770E8">
      <w:pPr>
        <w:widowControl w:val="0"/>
        <w:suppressLineNumbers/>
        <w:rPr>
          <w:b/>
          <w:szCs w:val="22"/>
          <w:lang w:val="nb-NO"/>
        </w:rPr>
      </w:pPr>
      <w:r w:rsidRPr="009D56B8">
        <w:rPr>
          <w:b/>
          <w:szCs w:val="22"/>
          <w:lang w:val="nb-NO"/>
        </w:rPr>
        <w:t>2.</w:t>
      </w:r>
      <w:r w:rsidRPr="009D56B8">
        <w:rPr>
          <w:b/>
          <w:szCs w:val="22"/>
          <w:lang w:val="nb-NO"/>
        </w:rPr>
        <w:tab/>
        <w:t>KVALITATIV OG KVANTITATIV SAMMENSETNING</w:t>
      </w:r>
    </w:p>
    <w:p w14:paraId="28BB09FA" w14:textId="77777777" w:rsidR="00E50867" w:rsidRPr="009D56B8" w:rsidRDefault="00E50867">
      <w:pPr>
        <w:rPr>
          <w:szCs w:val="22"/>
          <w:lang w:val="nb-NO"/>
        </w:rPr>
      </w:pPr>
    </w:p>
    <w:p w14:paraId="2A7A8387" w14:textId="12E9D6AC" w:rsidR="00E50867" w:rsidRPr="009D56B8" w:rsidRDefault="00D172C2">
      <w:pPr>
        <w:rPr>
          <w:szCs w:val="22"/>
          <w:u w:val="single"/>
          <w:lang w:val="nb-NO"/>
        </w:rPr>
      </w:pPr>
      <w:r w:rsidRPr="009D56B8">
        <w:rPr>
          <w:szCs w:val="22"/>
          <w:u w:val="single"/>
          <w:lang w:val="nb-NO"/>
        </w:rPr>
        <w:t>Dimethyl fumarate Accord</w:t>
      </w:r>
      <w:r w:rsidR="00C770E8" w:rsidRPr="009D56B8">
        <w:rPr>
          <w:szCs w:val="22"/>
          <w:u w:val="single"/>
          <w:lang w:val="nb-NO"/>
        </w:rPr>
        <w:t xml:space="preserve"> 120 mg enterokapsler, harde</w:t>
      </w:r>
    </w:p>
    <w:p w14:paraId="3914A55D" w14:textId="77777777" w:rsidR="00E50867" w:rsidRPr="009D56B8" w:rsidRDefault="00E50867">
      <w:pPr>
        <w:rPr>
          <w:szCs w:val="22"/>
          <w:lang w:val="nb-NO"/>
        </w:rPr>
      </w:pPr>
    </w:p>
    <w:p w14:paraId="6818BA06" w14:textId="77777777" w:rsidR="00E50867" w:rsidRPr="009D56B8" w:rsidRDefault="00C770E8">
      <w:pPr>
        <w:rPr>
          <w:szCs w:val="22"/>
          <w:lang w:val="nb-NO"/>
        </w:rPr>
      </w:pPr>
      <w:r w:rsidRPr="009D56B8">
        <w:rPr>
          <w:szCs w:val="22"/>
          <w:lang w:val="nb-NO"/>
        </w:rPr>
        <w:t>Hver harde enterokapsel inneholder 120 mg dimetylfumarat (dimethyl fumarate).</w:t>
      </w:r>
    </w:p>
    <w:p w14:paraId="17A55ED6" w14:textId="77777777" w:rsidR="00E50867" w:rsidRPr="009D56B8" w:rsidRDefault="00E50867">
      <w:pPr>
        <w:rPr>
          <w:szCs w:val="22"/>
          <w:lang w:val="nb-NO"/>
        </w:rPr>
      </w:pPr>
    </w:p>
    <w:p w14:paraId="3E33E560" w14:textId="2FDD52C9" w:rsidR="00E50867" w:rsidRPr="009D56B8" w:rsidRDefault="00D172C2">
      <w:pPr>
        <w:rPr>
          <w:szCs w:val="22"/>
          <w:u w:val="single"/>
          <w:lang w:val="nb-NO"/>
        </w:rPr>
      </w:pPr>
      <w:r w:rsidRPr="009D56B8">
        <w:rPr>
          <w:szCs w:val="22"/>
          <w:u w:val="single"/>
          <w:lang w:val="nb-NO"/>
        </w:rPr>
        <w:t>Dimethyl fumarate Accord</w:t>
      </w:r>
      <w:r w:rsidR="00C770E8" w:rsidRPr="009D56B8">
        <w:rPr>
          <w:szCs w:val="22"/>
          <w:u w:val="single"/>
          <w:lang w:val="nb-NO"/>
        </w:rPr>
        <w:t xml:space="preserve"> 240 mg enterokapsler, harde</w:t>
      </w:r>
    </w:p>
    <w:p w14:paraId="67F35F1A" w14:textId="77777777" w:rsidR="00E50867" w:rsidRPr="009D56B8" w:rsidRDefault="00E50867">
      <w:pPr>
        <w:rPr>
          <w:szCs w:val="22"/>
          <w:lang w:val="nb-NO"/>
        </w:rPr>
      </w:pPr>
    </w:p>
    <w:p w14:paraId="7E94505E" w14:textId="77777777" w:rsidR="00E50867" w:rsidRPr="009D56B8" w:rsidRDefault="00C770E8">
      <w:pPr>
        <w:rPr>
          <w:szCs w:val="22"/>
          <w:lang w:val="nb-NO"/>
        </w:rPr>
      </w:pPr>
      <w:r w:rsidRPr="009D56B8">
        <w:rPr>
          <w:szCs w:val="22"/>
          <w:lang w:val="nb-NO"/>
        </w:rPr>
        <w:t>Hver harde enterokapsel inneholder 240 mg dimetylfumarat (dimethyl fumarate).</w:t>
      </w:r>
    </w:p>
    <w:p w14:paraId="1ADC23E1" w14:textId="77777777" w:rsidR="00E50867" w:rsidRPr="009D56B8" w:rsidRDefault="00E50867">
      <w:pPr>
        <w:rPr>
          <w:szCs w:val="22"/>
          <w:lang w:val="nb-NO"/>
        </w:rPr>
      </w:pPr>
    </w:p>
    <w:p w14:paraId="0A5940CA" w14:textId="77777777" w:rsidR="00E50867" w:rsidRPr="009D56B8" w:rsidRDefault="00C770E8">
      <w:pPr>
        <w:rPr>
          <w:szCs w:val="22"/>
          <w:lang w:val="nb-NO"/>
        </w:rPr>
      </w:pPr>
      <w:r w:rsidRPr="009D56B8">
        <w:rPr>
          <w:szCs w:val="22"/>
          <w:lang w:val="nb-NO"/>
        </w:rPr>
        <w:t>For fullstendig liste over hjelpestoffer, se pkt. 6.1.</w:t>
      </w:r>
    </w:p>
    <w:p w14:paraId="1D1734E4" w14:textId="77777777" w:rsidR="00E50867" w:rsidRPr="009D56B8" w:rsidRDefault="00E50867">
      <w:pPr>
        <w:rPr>
          <w:szCs w:val="22"/>
          <w:lang w:val="nb-NO"/>
        </w:rPr>
      </w:pPr>
    </w:p>
    <w:p w14:paraId="1E54C873" w14:textId="77777777" w:rsidR="00E50867" w:rsidRPr="009D56B8" w:rsidRDefault="00E50867">
      <w:pPr>
        <w:rPr>
          <w:szCs w:val="22"/>
          <w:lang w:val="nb-NO"/>
        </w:rPr>
      </w:pPr>
    </w:p>
    <w:p w14:paraId="359AB167" w14:textId="77777777" w:rsidR="00E50867" w:rsidRPr="009D56B8" w:rsidRDefault="00C770E8">
      <w:pPr>
        <w:rPr>
          <w:b/>
          <w:szCs w:val="22"/>
          <w:lang w:val="nb-NO"/>
        </w:rPr>
      </w:pPr>
      <w:r w:rsidRPr="009D56B8">
        <w:rPr>
          <w:b/>
          <w:szCs w:val="22"/>
          <w:lang w:val="nb-NO"/>
        </w:rPr>
        <w:t>3.</w:t>
      </w:r>
      <w:r w:rsidRPr="009D56B8">
        <w:rPr>
          <w:b/>
          <w:szCs w:val="22"/>
          <w:lang w:val="nb-NO"/>
        </w:rPr>
        <w:tab/>
        <w:t>LEGEMIDDELFORM</w:t>
      </w:r>
    </w:p>
    <w:p w14:paraId="0A949D27" w14:textId="77777777" w:rsidR="00E50867" w:rsidRPr="009D56B8" w:rsidRDefault="00E50867">
      <w:pPr>
        <w:rPr>
          <w:szCs w:val="22"/>
          <w:lang w:val="nb-NO"/>
        </w:rPr>
      </w:pPr>
    </w:p>
    <w:p w14:paraId="025DA7C1" w14:textId="50360E67" w:rsidR="00E50867" w:rsidRPr="009D56B8" w:rsidRDefault="00C770E8">
      <w:pPr>
        <w:widowControl w:val="0"/>
        <w:suppressLineNumbers/>
        <w:rPr>
          <w:szCs w:val="22"/>
          <w:lang w:val="nb-NO"/>
        </w:rPr>
      </w:pPr>
      <w:r w:rsidRPr="009D56B8">
        <w:rPr>
          <w:szCs w:val="22"/>
          <w:lang w:val="nb-NO"/>
        </w:rPr>
        <w:t>Enterokapsel, hard</w:t>
      </w:r>
      <w:r w:rsidR="00527205" w:rsidRPr="009D56B8">
        <w:rPr>
          <w:szCs w:val="22"/>
          <w:lang w:val="nb-NO"/>
        </w:rPr>
        <w:t xml:space="preserve"> (enterokapsel)</w:t>
      </w:r>
    </w:p>
    <w:p w14:paraId="5DF94EA2" w14:textId="77777777" w:rsidR="00E50867" w:rsidRPr="009D56B8" w:rsidRDefault="00E50867">
      <w:pPr>
        <w:widowControl w:val="0"/>
        <w:suppressLineNumbers/>
        <w:rPr>
          <w:szCs w:val="22"/>
          <w:lang w:val="nb-NO"/>
        </w:rPr>
      </w:pPr>
    </w:p>
    <w:p w14:paraId="404A8D8C" w14:textId="58BDBBBD" w:rsidR="00E50867" w:rsidRPr="009D56B8" w:rsidRDefault="00D172C2">
      <w:pPr>
        <w:rPr>
          <w:szCs w:val="22"/>
          <w:u w:val="single"/>
          <w:lang w:val="nb-NO"/>
        </w:rPr>
      </w:pPr>
      <w:r w:rsidRPr="009D56B8">
        <w:rPr>
          <w:szCs w:val="22"/>
          <w:u w:val="single"/>
          <w:lang w:val="nb-NO"/>
        </w:rPr>
        <w:t>Dimethyl fumarate Accord</w:t>
      </w:r>
      <w:r w:rsidR="00C770E8" w:rsidRPr="009D56B8">
        <w:rPr>
          <w:szCs w:val="22"/>
          <w:u w:val="single"/>
          <w:lang w:val="nb-NO"/>
        </w:rPr>
        <w:t xml:space="preserve"> 120 mg enterokapsler, harde</w:t>
      </w:r>
    </w:p>
    <w:p w14:paraId="07250589" w14:textId="77777777" w:rsidR="00E50867" w:rsidRPr="009D56B8" w:rsidRDefault="00E50867">
      <w:pPr>
        <w:widowControl w:val="0"/>
        <w:suppressLineNumbers/>
        <w:rPr>
          <w:szCs w:val="22"/>
          <w:lang w:val="nb-NO"/>
        </w:rPr>
      </w:pPr>
    </w:p>
    <w:p w14:paraId="32520BCC" w14:textId="13200019" w:rsidR="00E50867" w:rsidRPr="009D56B8" w:rsidRDefault="00BD2C32">
      <w:pPr>
        <w:widowControl w:val="0"/>
        <w:suppressLineNumbers/>
        <w:rPr>
          <w:szCs w:val="22"/>
          <w:lang w:val="nb-NO"/>
        </w:rPr>
      </w:pPr>
      <w:r w:rsidRPr="009D56B8">
        <w:rPr>
          <w:szCs w:val="22"/>
          <w:lang w:val="nb-NO"/>
        </w:rPr>
        <w:t>Harde</w:t>
      </w:r>
      <w:r w:rsidR="00C770E8" w:rsidRPr="009D56B8">
        <w:rPr>
          <w:szCs w:val="22"/>
          <w:lang w:val="nb-NO"/>
        </w:rPr>
        <w:t xml:space="preserve"> </w:t>
      </w:r>
      <w:r w:rsidR="00AC0CF9" w:rsidRPr="009D56B8">
        <w:rPr>
          <w:szCs w:val="22"/>
          <w:lang w:val="nb-NO"/>
        </w:rPr>
        <w:t xml:space="preserve">gelatinkapsler </w:t>
      </w:r>
      <w:r w:rsidRPr="009D56B8">
        <w:rPr>
          <w:szCs w:val="22"/>
          <w:lang w:val="nb-NO"/>
        </w:rPr>
        <w:t>av</w:t>
      </w:r>
      <w:r w:rsidR="00C770E8" w:rsidRPr="009D56B8">
        <w:rPr>
          <w:szCs w:val="22"/>
          <w:lang w:val="nb-NO"/>
        </w:rPr>
        <w:t xml:space="preserve"> størrelse </w:t>
      </w:r>
      <w:r w:rsidR="002C6517" w:rsidRPr="009D56B8">
        <w:rPr>
          <w:rFonts w:eastAsia="SimSun"/>
          <w:szCs w:val="22"/>
          <w:lang w:val="nb-NO"/>
        </w:rPr>
        <w:t>“0”</w:t>
      </w:r>
      <w:r w:rsidR="00AC0CF9" w:rsidRPr="009D56B8">
        <w:rPr>
          <w:szCs w:val="22"/>
          <w:lang w:val="nb-NO"/>
        </w:rPr>
        <w:t xml:space="preserve"> </w:t>
      </w:r>
      <w:r w:rsidR="005779B7" w:rsidRPr="009D56B8">
        <w:rPr>
          <w:szCs w:val="22"/>
          <w:lang w:val="nb-NO"/>
        </w:rPr>
        <w:t xml:space="preserve">(omtrent 21,3 x 7,5 mm) </w:t>
      </w:r>
      <w:r w:rsidR="00AC0CF9" w:rsidRPr="009D56B8">
        <w:rPr>
          <w:szCs w:val="22"/>
          <w:lang w:val="nb-NO"/>
        </w:rPr>
        <w:t>med grønn kapselhette og hvit bunn</w:t>
      </w:r>
      <w:r w:rsidR="00C770E8" w:rsidRPr="009D56B8">
        <w:rPr>
          <w:szCs w:val="22"/>
          <w:lang w:val="nb-NO"/>
        </w:rPr>
        <w:t xml:space="preserve">, påtrykt </w:t>
      </w:r>
      <w:r w:rsidR="00AC0CF9" w:rsidRPr="009D56B8">
        <w:rPr>
          <w:rFonts w:eastAsia="SimSun"/>
          <w:szCs w:val="22"/>
          <w:lang w:val="nb-NO"/>
        </w:rPr>
        <w:t>“HR1”</w:t>
      </w:r>
      <w:r w:rsidR="00C37C8F" w:rsidRPr="009D56B8">
        <w:rPr>
          <w:szCs w:val="22"/>
          <w:lang w:val="nb-NO"/>
        </w:rPr>
        <w:t xml:space="preserve"> i svart </w:t>
      </w:r>
      <w:r w:rsidR="006E4C08" w:rsidRPr="009D56B8">
        <w:rPr>
          <w:szCs w:val="22"/>
          <w:lang w:val="nb-NO"/>
        </w:rPr>
        <w:t>trykksverte</w:t>
      </w:r>
      <w:r w:rsidR="00C37C8F" w:rsidRPr="009D56B8">
        <w:rPr>
          <w:szCs w:val="22"/>
          <w:lang w:val="nb-NO"/>
        </w:rPr>
        <w:t xml:space="preserve"> på kapselbunnen</w:t>
      </w:r>
      <w:r w:rsidR="00C770E8" w:rsidRPr="009D56B8">
        <w:rPr>
          <w:szCs w:val="22"/>
          <w:lang w:val="nb-NO"/>
        </w:rPr>
        <w:t xml:space="preserve">, som inneholder </w:t>
      </w:r>
      <w:r w:rsidR="00C37C8F" w:rsidRPr="009D56B8">
        <w:rPr>
          <w:szCs w:val="22"/>
          <w:lang w:val="nb-NO"/>
        </w:rPr>
        <w:t xml:space="preserve">hvite til </w:t>
      </w:r>
      <w:r w:rsidR="00CE5205" w:rsidRPr="009D56B8">
        <w:rPr>
          <w:szCs w:val="22"/>
          <w:lang w:val="nb-NO"/>
        </w:rPr>
        <w:t>off-white</w:t>
      </w:r>
      <w:r w:rsidR="00C37C8F" w:rsidRPr="009D56B8">
        <w:rPr>
          <w:szCs w:val="22"/>
          <w:lang w:val="nb-NO"/>
        </w:rPr>
        <w:t>, runde, bikonvekse</w:t>
      </w:r>
      <w:r w:rsidR="006530EF" w:rsidRPr="009D56B8">
        <w:rPr>
          <w:szCs w:val="22"/>
          <w:lang w:val="nb-NO"/>
        </w:rPr>
        <w:t xml:space="preserve"> mini</w:t>
      </w:r>
      <w:r w:rsidR="00C770E8" w:rsidRPr="009D56B8">
        <w:rPr>
          <w:szCs w:val="22"/>
          <w:lang w:val="nb-NO"/>
        </w:rPr>
        <w:t>tabletter</w:t>
      </w:r>
      <w:r w:rsidR="006530EF" w:rsidRPr="009D56B8">
        <w:rPr>
          <w:szCs w:val="22"/>
          <w:lang w:val="nb-NO"/>
        </w:rPr>
        <w:t xml:space="preserve"> med enter</w:t>
      </w:r>
      <w:r w:rsidR="00156A72" w:rsidRPr="009D56B8">
        <w:rPr>
          <w:szCs w:val="22"/>
          <w:lang w:val="nb-NO"/>
        </w:rPr>
        <w:t>o</w:t>
      </w:r>
      <w:r w:rsidR="006530EF" w:rsidRPr="009D56B8">
        <w:rPr>
          <w:szCs w:val="22"/>
          <w:lang w:val="nb-NO"/>
        </w:rPr>
        <w:t>drasjering</w:t>
      </w:r>
      <w:r w:rsidR="002E47BA" w:rsidRPr="009D56B8">
        <w:rPr>
          <w:szCs w:val="22"/>
          <w:lang w:val="nb-NO"/>
        </w:rPr>
        <w:t xml:space="preserve"> </w:t>
      </w:r>
      <w:r w:rsidR="00B10FF6" w:rsidRPr="009D56B8">
        <w:rPr>
          <w:szCs w:val="22"/>
          <w:lang w:val="nb-NO"/>
        </w:rPr>
        <w:t>uten påtrykk</w:t>
      </w:r>
      <w:r w:rsidR="002E47BA" w:rsidRPr="009D56B8">
        <w:rPr>
          <w:szCs w:val="22"/>
          <w:lang w:val="nb-NO"/>
        </w:rPr>
        <w:t xml:space="preserve"> på begge sider</w:t>
      </w:r>
      <w:r w:rsidR="00C770E8" w:rsidRPr="009D56B8">
        <w:rPr>
          <w:szCs w:val="22"/>
          <w:lang w:val="nb-NO"/>
        </w:rPr>
        <w:t>.</w:t>
      </w:r>
    </w:p>
    <w:p w14:paraId="109B5F56" w14:textId="77777777" w:rsidR="00E50867" w:rsidRPr="009D56B8" w:rsidRDefault="00E50867">
      <w:pPr>
        <w:rPr>
          <w:szCs w:val="22"/>
          <w:lang w:val="nb-NO"/>
        </w:rPr>
      </w:pPr>
    </w:p>
    <w:p w14:paraId="33A531FF" w14:textId="24B0F046" w:rsidR="00E50867" w:rsidRPr="009D56B8" w:rsidRDefault="00D172C2">
      <w:pPr>
        <w:rPr>
          <w:szCs w:val="22"/>
          <w:u w:val="single"/>
          <w:lang w:val="nb-NO"/>
        </w:rPr>
      </w:pPr>
      <w:r w:rsidRPr="009D56B8">
        <w:rPr>
          <w:szCs w:val="22"/>
          <w:u w:val="single"/>
          <w:lang w:val="nb-NO"/>
        </w:rPr>
        <w:t>Dimethyl fumarate Accord</w:t>
      </w:r>
      <w:r w:rsidR="00C770E8" w:rsidRPr="009D56B8">
        <w:rPr>
          <w:szCs w:val="22"/>
          <w:u w:val="single"/>
          <w:lang w:val="nb-NO"/>
        </w:rPr>
        <w:t xml:space="preserve"> 240 mg enterokapsler, harde</w:t>
      </w:r>
    </w:p>
    <w:p w14:paraId="637BCF9D" w14:textId="77777777" w:rsidR="00E50867" w:rsidRPr="009D56B8" w:rsidRDefault="00E50867">
      <w:pPr>
        <w:widowControl w:val="0"/>
        <w:suppressLineNumbers/>
        <w:rPr>
          <w:szCs w:val="22"/>
          <w:lang w:val="nb-NO"/>
        </w:rPr>
      </w:pPr>
    </w:p>
    <w:p w14:paraId="1FD89AEB" w14:textId="4DB06E24" w:rsidR="00E50867" w:rsidRPr="009D56B8" w:rsidRDefault="003632E5">
      <w:pPr>
        <w:widowControl w:val="0"/>
        <w:suppressLineNumbers/>
        <w:rPr>
          <w:szCs w:val="22"/>
          <w:lang w:val="nb-NO"/>
        </w:rPr>
      </w:pPr>
      <w:r w:rsidRPr="009D56B8">
        <w:rPr>
          <w:szCs w:val="22"/>
          <w:lang w:val="nb-NO"/>
        </w:rPr>
        <w:t>Harde gelatinkapsler av</w:t>
      </w:r>
      <w:r w:rsidR="00C770E8" w:rsidRPr="009D56B8">
        <w:rPr>
          <w:szCs w:val="22"/>
          <w:lang w:val="nb-NO"/>
        </w:rPr>
        <w:t xml:space="preserve"> størrelse </w:t>
      </w:r>
      <w:r w:rsidRPr="009D56B8">
        <w:rPr>
          <w:rFonts w:eastAsia="SimSun"/>
          <w:szCs w:val="22"/>
          <w:lang w:val="nb-NO"/>
        </w:rPr>
        <w:t>“0”</w:t>
      </w:r>
      <w:r w:rsidRPr="009D56B8">
        <w:rPr>
          <w:szCs w:val="22"/>
          <w:lang w:val="nb-NO"/>
        </w:rPr>
        <w:t xml:space="preserve"> (omtrent 21,3 x 7,5 mm)</w:t>
      </w:r>
      <w:r w:rsidR="00374E20" w:rsidRPr="009D56B8">
        <w:rPr>
          <w:szCs w:val="22"/>
          <w:lang w:val="nb-NO"/>
        </w:rPr>
        <w:t xml:space="preserve"> med grønn kapselhette og bunn</w:t>
      </w:r>
      <w:r w:rsidR="00C770E8" w:rsidRPr="009D56B8">
        <w:rPr>
          <w:szCs w:val="22"/>
          <w:lang w:val="nb-NO"/>
        </w:rPr>
        <w:t xml:space="preserve">, påtrykt </w:t>
      </w:r>
      <w:r w:rsidR="00374E20" w:rsidRPr="009D56B8">
        <w:rPr>
          <w:rFonts w:eastAsia="SimSun"/>
          <w:szCs w:val="22"/>
          <w:lang w:val="nb-NO"/>
        </w:rPr>
        <w:t>“HR2”</w:t>
      </w:r>
      <w:r w:rsidR="00FC33A7" w:rsidRPr="009D56B8">
        <w:rPr>
          <w:szCs w:val="22"/>
          <w:lang w:val="nb-NO"/>
        </w:rPr>
        <w:t xml:space="preserve"> i svart </w:t>
      </w:r>
      <w:r w:rsidR="006E4C08" w:rsidRPr="009D56B8">
        <w:rPr>
          <w:szCs w:val="22"/>
          <w:lang w:val="nb-NO"/>
        </w:rPr>
        <w:t>trykksverte</w:t>
      </w:r>
      <w:r w:rsidR="00FC33A7" w:rsidRPr="009D56B8">
        <w:rPr>
          <w:szCs w:val="22"/>
          <w:lang w:val="nb-NO"/>
        </w:rPr>
        <w:t xml:space="preserve"> på kapselbunnen</w:t>
      </w:r>
      <w:r w:rsidR="00C770E8" w:rsidRPr="009D56B8">
        <w:rPr>
          <w:szCs w:val="22"/>
          <w:lang w:val="nb-NO"/>
        </w:rPr>
        <w:t xml:space="preserve">, som inneholder </w:t>
      </w:r>
      <w:r w:rsidR="00FC33A7" w:rsidRPr="009D56B8">
        <w:rPr>
          <w:szCs w:val="22"/>
          <w:lang w:val="nb-NO"/>
        </w:rPr>
        <w:t xml:space="preserve">hvite til </w:t>
      </w:r>
      <w:r w:rsidR="00CE5205" w:rsidRPr="009D56B8">
        <w:rPr>
          <w:szCs w:val="22"/>
          <w:lang w:val="nb-NO"/>
        </w:rPr>
        <w:t>off-white</w:t>
      </w:r>
      <w:r w:rsidR="00FC33A7" w:rsidRPr="009D56B8">
        <w:rPr>
          <w:szCs w:val="22"/>
          <w:lang w:val="nb-NO"/>
        </w:rPr>
        <w:t>, runde, bikonvekse mini</w:t>
      </w:r>
      <w:r w:rsidR="00C770E8" w:rsidRPr="009D56B8">
        <w:rPr>
          <w:szCs w:val="22"/>
          <w:lang w:val="nb-NO"/>
        </w:rPr>
        <w:t>tabletter</w:t>
      </w:r>
      <w:r w:rsidR="00FC33A7" w:rsidRPr="009D56B8">
        <w:rPr>
          <w:szCs w:val="22"/>
          <w:lang w:val="nb-NO"/>
        </w:rPr>
        <w:t xml:space="preserve"> med enterodrasjering uten påtrykk på begge sider</w:t>
      </w:r>
      <w:r w:rsidR="00C770E8" w:rsidRPr="009D56B8">
        <w:rPr>
          <w:szCs w:val="22"/>
          <w:lang w:val="nb-NO"/>
        </w:rPr>
        <w:t>.</w:t>
      </w:r>
    </w:p>
    <w:p w14:paraId="53BBFDE4" w14:textId="77777777" w:rsidR="00E50867" w:rsidRPr="009D56B8" w:rsidRDefault="00E50867">
      <w:pPr>
        <w:rPr>
          <w:szCs w:val="22"/>
          <w:lang w:val="nb-NO"/>
        </w:rPr>
      </w:pPr>
    </w:p>
    <w:p w14:paraId="6E07E978" w14:textId="77777777" w:rsidR="00E50867" w:rsidRPr="009D56B8" w:rsidRDefault="00E50867">
      <w:pPr>
        <w:rPr>
          <w:szCs w:val="22"/>
          <w:lang w:val="nb-NO"/>
        </w:rPr>
      </w:pPr>
    </w:p>
    <w:p w14:paraId="40949209" w14:textId="77777777" w:rsidR="00E50867" w:rsidRPr="009D56B8" w:rsidRDefault="00C770E8">
      <w:pPr>
        <w:rPr>
          <w:b/>
          <w:szCs w:val="22"/>
          <w:lang w:val="nb-NO"/>
        </w:rPr>
      </w:pPr>
      <w:r w:rsidRPr="009D56B8">
        <w:rPr>
          <w:b/>
          <w:szCs w:val="22"/>
          <w:lang w:val="nb-NO"/>
        </w:rPr>
        <w:t>4.</w:t>
      </w:r>
      <w:r w:rsidRPr="009D56B8">
        <w:rPr>
          <w:b/>
          <w:szCs w:val="22"/>
          <w:lang w:val="nb-NO"/>
        </w:rPr>
        <w:tab/>
        <w:t>KLINISKE OPPLYSNINGER</w:t>
      </w:r>
    </w:p>
    <w:p w14:paraId="1EB33D69" w14:textId="77777777" w:rsidR="00E50867" w:rsidRPr="009D56B8" w:rsidRDefault="00E50867">
      <w:pPr>
        <w:rPr>
          <w:szCs w:val="22"/>
          <w:lang w:val="nb-NO"/>
        </w:rPr>
      </w:pPr>
    </w:p>
    <w:p w14:paraId="5D47AC53" w14:textId="77777777" w:rsidR="00E50867" w:rsidRPr="009D56B8" w:rsidRDefault="00C770E8">
      <w:pPr>
        <w:widowControl w:val="0"/>
        <w:suppressLineNumbers/>
        <w:ind w:left="567" w:hanging="567"/>
        <w:rPr>
          <w:b/>
          <w:szCs w:val="22"/>
          <w:lang w:val="nb-NO"/>
        </w:rPr>
      </w:pPr>
      <w:r w:rsidRPr="009D56B8">
        <w:rPr>
          <w:b/>
          <w:szCs w:val="22"/>
          <w:lang w:val="nb-NO"/>
        </w:rPr>
        <w:t>4.1</w:t>
      </w:r>
      <w:r w:rsidRPr="009D56B8">
        <w:rPr>
          <w:b/>
          <w:szCs w:val="22"/>
          <w:lang w:val="nb-NO"/>
        </w:rPr>
        <w:tab/>
        <w:t>Indikasjon(er)</w:t>
      </w:r>
    </w:p>
    <w:p w14:paraId="21AADB6C" w14:textId="77777777" w:rsidR="00E50867" w:rsidRPr="009D56B8" w:rsidRDefault="00E50867">
      <w:pPr>
        <w:rPr>
          <w:szCs w:val="22"/>
          <w:lang w:val="nb-NO"/>
        </w:rPr>
      </w:pPr>
    </w:p>
    <w:p w14:paraId="32B08DF6" w14:textId="29B2731F" w:rsidR="00E50867" w:rsidRPr="009D56B8" w:rsidRDefault="00D172C2">
      <w:pPr>
        <w:widowControl w:val="0"/>
        <w:suppressLineNumbers/>
        <w:rPr>
          <w:szCs w:val="22"/>
          <w:lang w:val="nb-NO"/>
        </w:rPr>
      </w:pPr>
      <w:r w:rsidRPr="009D56B8">
        <w:rPr>
          <w:szCs w:val="22"/>
          <w:lang w:val="nb-NO"/>
        </w:rPr>
        <w:t>Dimethyl fumarate Accord</w:t>
      </w:r>
      <w:r w:rsidR="00C770E8" w:rsidRPr="009D56B8">
        <w:rPr>
          <w:szCs w:val="22"/>
          <w:lang w:val="nb-NO"/>
        </w:rPr>
        <w:t xml:space="preserve"> er indisert til behandling av voksne </w:t>
      </w:r>
      <w:r w:rsidR="00A53A43" w:rsidRPr="009D56B8">
        <w:rPr>
          <w:szCs w:val="22"/>
          <w:lang w:val="nb-NO"/>
        </w:rPr>
        <w:t>og pediatriske</w:t>
      </w:r>
      <w:r w:rsidR="00C770E8" w:rsidRPr="009D56B8">
        <w:rPr>
          <w:szCs w:val="22"/>
          <w:lang w:val="nb-NO"/>
        </w:rPr>
        <w:t xml:space="preserve"> pasienter </w:t>
      </w:r>
      <w:r w:rsidR="00A53A43" w:rsidRPr="009D56B8">
        <w:rPr>
          <w:szCs w:val="22"/>
          <w:lang w:val="nb-NO"/>
        </w:rPr>
        <w:t>fra</w:t>
      </w:r>
      <w:r w:rsidR="00C959AF" w:rsidRPr="009D56B8">
        <w:rPr>
          <w:szCs w:val="22"/>
          <w:lang w:val="nb-NO"/>
        </w:rPr>
        <w:t xml:space="preserve"> og med</w:t>
      </w:r>
      <w:r w:rsidR="00A53A43" w:rsidRPr="009D56B8">
        <w:rPr>
          <w:szCs w:val="22"/>
          <w:lang w:val="nb-NO"/>
        </w:rPr>
        <w:t xml:space="preserve"> 13 år </w:t>
      </w:r>
      <w:r w:rsidR="00C770E8" w:rsidRPr="009D56B8">
        <w:rPr>
          <w:szCs w:val="22"/>
          <w:lang w:val="nb-NO"/>
        </w:rPr>
        <w:t>med relapserende-remitterende (attakkvis) multippel sklerose (</w:t>
      </w:r>
      <w:r w:rsidR="00A53A43" w:rsidRPr="009D56B8">
        <w:rPr>
          <w:szCs w:val="22"/>
          <w:lang w:val="nb-NO"/>
        </w:rPr>
        <w:t>RRMS</w:t>
      </w:r>
      <w:r w:rsidR="00C770E8" w:rsidRPr="009D56B8">
        <w:rPr>
          <w:szCs w:val="22"/>
          <w:lang w:val="nb-NO"/>
        </w:rPr>
        <w:t>).</w:t>
      </w:r>
    </w:p>
    <w:p w14:paraId="3A42D409" w14:textId="77777777" w:rsidR="00E50867" w:rsidRPr="009D56B8" w:rsidRDefault="00E50867">
      <w:pPr>
        <w:rPr>
          <w:szCs w:val="22"/>
          <w:lang w:val="nb-NO"/>
        </w:rPr>
      </w:pPr>
    </w:p>
    <w:p w14:paraId="30CD238E" w14:textId="77777777" w:rsidR="00E50867" w:rsidRPr="009D56B8" w:rsidRDefault="00C770E8">
      <w:pPr>
        <w:widowControl w:val="0"/>
        <w:suppressLineNumbers/>
        <w:rPr>
          <w:b/>
          <w:szCs w:val="22"/>
          <w:lang w:val="nb-NO"/>
        </w:rPr>
      </w:pPr>
      <w:r w:rsidRPr="009D56B8">
        <w:rPr>
          <w:b/>
          <w:szCs w:val="22"/>
          <w:lang w:val="nb-NO"/>
        </w:rPr>
        <w:t>4.2</w:t>
      </w:r>
      <w:r w:rsidRPr="009D56B8">
        <w:rPr>
          <w:b/>
          <w:szCs w:val="22"/>
          <w:lang w:val="nb-NO"/>
        </w:rPr>
        <w:tab/>
        <w:t>Dosering og administrasjonsmåte</w:t>
      </w:r>
    </w:p>
    <w:p w14:paraId="48D9C099" w14:textId="77777777" w:rsidR="00E50867" w:rsidRPr="009D56B8" w:rsidRDefault="00E50867">
      <w:pPr>
        <w:rPr>
          <w:szCs w:val="22"/>
          <w:lang w:val="nb-NO"/>
        </w:rPr>
      </w:pPr>
    </w:p>
    <w:p w14:paraId="64BE8865" w14:textId="77777777" w:rsidR="00E50867" w:rsidRPr="009D56B8" w:rsidRDefault="00C770E8">
      <w:pPr>
        <w:tabs>
          <w:tab w:val="clear" w:pos="567"/>
        </w:tabs>
        <w:rPr>
          <w:szCs w:val="22"/>
          <w:lang w:val="nb-NO"/>
        </w:rPr>
      </w:pPr>
      <w:r w:rsidRPr="009D56B8">
        <w:rPr>
          <w:szCs w:val="22"/>
          <w:lang w:val="nb-NO"/>
        </w:rPr>
        <w:t>Behandling bør initieres under tilsyn av en lege med erfaring i behandling av multippel sklerose.</w:t>
      </w:r>
    </w:p>
    <w:p w14:paraId="7C836A39" w14:textId="77777777" w:rsidR="00E50867" w:rsidRPr="009D56B8" w:rsidRDefault="00E50867">
      <w:pPr>
        <w:tabs>
          <w:tab w:val="clear" w:pos="567"/>
        </w:tabs>
        <w:rPr>
          <w:szCs w:val="22"/>
          <w:lang w:val="nb-NO"/>
        </w:rPr>
      </w:pPr>
    </w:p>
    <w:p w14:paraId="588EFD40" w14:textId="77777777" w:rsidR="00E50867" w:rsidRPr="009D56B8" w:rsidRDefault="00C770E8">
      <w:pPr>
        <w:widowControl w:val="0"/>
        <w:suppressLineNumbers/>
        <w:rPr>
          <w:szCs w:val="22"/>
          <w:u w:val="single"/>
          <w:lang w:val="nb-NO"/>
        </w:rPr>
      </w:pPr>
      <w:r w:rsidRPr="009D56B8">
        <w:rPr>
          <w:szCs w:val="22"/>
          <w:u w:val="single"/>
          <w:lang w:val="nb-NO"/>
        </w:rPr>
        <w:t>Dosering</w:t>
      </w:r>
    </w:p>
    <w:p w14:paraId="00965380" w14:textId="77777777" w:rsidR="00E50867" w:rsidRPr="009D56B8" w:rsidRDefault="00E50867">
      <w:pPr>
        <w:rPr>
          <w:szCs w:val="22"/>
          <w:lang w:val="nb-NO"/>
        </w:rPr>
      </w:pPr>
    </w:p>
    <w:p w14:paraId="220E0169" w14:textId="77777777" w:rsidR="00E50867" w:rsidRPr="009D56B8" w:rsidRDefault="00C770E8">
      <w:pPr>
        <w:widowControl w:val="0"/>
        <w:suppressLineNumbers/>
        <w:autoSpaceDE w:val="0"/>
        <w:rPr>
          <w:szCs w:val="22"/>
          <w:lang w:val="nb-NO"/>
        </w:rPr>
      </w:pPr>
      <w:r w:rsidRPr="009D56B8">
        <w:rPr>
          <w:szCs w:val="22"/>
          <w:lang w:val="nb-NO"/>
        </w:rPr>
        <w:t>Startdosen er 120 mg to ganger daglig. Etter 7 dager skal dosen økes til den anbefalte vedlikeholdsdosen på 240 mg to ganger daglig (se pkt. 4.4).</w:t>
      </w:r>
    </w:p>
    <w:p w14:paraId="0E58DD8F" w14:textId="77777777" w:rsidR="00E50867" w:rsidRPr="009D56B8" w:rsidRDefault="00E50867">
      <w:pPr>
        <w:rPr>
          <w:szCs w:val="22"/>
          <w:lang w:val="nb-NO"/>
        </w:rPr>
      </w:pPr>
    </w:p>
    <w:p w14:paraId="02386FB6" w14:textId="77777777" w:rsidR="00E50867" w:rsidRPr="009D56B8" w:rsidRDefault="00C770E8">
      <w:pPr>
        <w:rPr>
          <w:szCs w:val="22"/>
          <w:lang w:val="nb-NO"/>
        </w:rPr>
      </w:pPr>
      <w:r w:rsidRPr="009D56B8">
        <w:rPr>
          <w:szCs w:val="22"/>
          <w:lang w:val="nb-NO"/>
        </w:rPr>
        <w:t>Hvis en pasient glemmer en dose, skal det ikke tas en dobbelt dose. Pasienten kan ta den glemte dosen kun dersom det blir 4 timer mellom dosene. Ellers skal pasienten vente til neste planlagte dose.</w:t>
      </w:r>
    </w:p>
    <w:p w14:paraId="4A225027" w14:textId="77777777" w:rsidR="00E50867" w:rsidRPr="009D56B8" w:rsidRDefault="00E50867">
      <w:pPr>
        <w:rPr>
          <w:szCs w:val="22"/>
          <w:lang w:val="nb-NO"/>
        </w:rPr>
      </w:pPr>
    </w:p>
    <w:p w14:paraId="2169BEC1" w14:textId="77777777" w:rsidR="00E50867" w:rsidRPr="009D56B8" w:rsidRDefault="00C770E8">
      <w:pPr>
        <w:widowControl w:val="0"/>
        <w:suppressLineNumbers/>
        <w:autoSpaceDE w:val="0"/>
        <w:rPr>
          <w:szCs w:val="22"/>
          <w:lang w:val="nb-NO"/>
        </w:rPr>
      </w:pPr>
      <w:r w:rsidRPr="009D56B8">
        <w:rPr>
          <w:szCs w:val="22"/>
          <w:lang w:val="nb-NO"/>
        </w:rPr>
        <w:t xml:space="preserve">En midlertidig dosereduksjon til 120 mg to ganger daglig kan redusere forekomsten av flushing og gastrointestinale bivirkninger. Innen 1 måned bør den anbefalte vedlikeholdsdosen på 240 mg to </w:t>
      </w:r>
      <w:r w:rsidRPr="009D56B8">
        <w:rPr>
          <w:szCs w:val="22"/>
          <w:lang w:val="nb-NO"/>
        </w:rPr>
        <w:lastRenderedPageBreak/>
        <w:t>ganger daglig gjenopptas.</w:t>
      </w:r>
    </w:p>
    <w:p w14:paraId="70C7A4FD" w14:textId="77777777" w:rsidR="00E50867" w:rsidRPr="009D56B8" w:rsidRDefault="00E50867">
      <w:pPr>
        <w:rPr>
          <w:szCs w:val="22"/>
          <w:lang w:val="nb-NO"/>
        </w:rPr>
      </w:pPr>
    </w:p>
    <w:p w14:paraId="36116490" w14:textId="52858267" w:rsidR="00E50867" w:rsidRPr="009D56B8" w:rsidRDefault="00D172C2" w:rsidP="00521D5D">
      <w:pPr>
        <w:keepLines/>
        <w:widowControl w:val="0"/>
        <w:suppressLineNumbers/>
        <w:autoSpaceDE w:val="0"/>
        <w:rPr>
          <w:szCs w:val="22"/>
          <w:lang w:val="nb-NO"/>
        </w:rPr>
      </w:pPr>
      <w:r w:rsidRPr="009D56B8">
        <w:rPr>
          <w:szCs w:val="22"/>
          <w:lang w:val="nb-NO"/>
        </w:rPr>
        <w:t>Dimethyl fumarate Accord</w:t>
      </w:r>
      <w:r w:rsidR="00C770E8" w:rsidRPr="009D56B8">
        <w:rPr>
          <w:szCs w:val="22"/>
          <w:lang w:val="nb-NO"/>
        </w:rPr>
        <w:t xml:space="preserve"> bør tas sammen med mat (se pkt. 5.2). For pasienter som opplever flushing eller gastrointestinale bivirkninger, kan tolerabiliteten økes ved å ta </w:t>
      </w:r>
      <w:r w:rsidRPr="009D56B8">
        <w:rPr>
          <w:szCs w:val="22"/>
          <w:lang w:val="nb-NO"/>
        </w:rPr>
        <w:t>Dimethyl fumarate Accord</w:t>
      </w:r>
      <w:r w:rsidR="00C770E8" w:rsidRPr="009D56B8">
        <w:rPr>
          <w:szCs w:val="22"/>
          <w:lang w:val="nb-NO"/>
        </w:rPr>
        <w:t xml:space="preserve"> sammen med mat (se pkt. 4.4, 4.5 og 4.8).</w:t>
      </w:r>
    </w:p>
    <w:p w14:paraId="544BBC75" w14:textId="77777777" w:rsidR="00E50867" w:rsidRPr="009D56B8" w:rsidRDefault="00E50867">
      <w:pPr>
        <w:rPr>
          <w:szCs w:val="22"/>
          <w:lang w:val="nb-NO"/>
        </w:rPr>
      </w:pPr>
    </w:p>
    <w:p w14:paraId="7889ADAA" w14:textId="77777777" w:rsidR="00E50867" w:rsidRPr="009D56B8" w:rsidRDefault="00C770E8">
      <w:pPr>
        <w:keepNext/>
        <w:widowControl w:val="0"/>
        <w:suppressLineNumbers/>
        <w:rPr>
          <w:i/>
          <w:szCs w:val="22"/>
          <w:lang w:val="nb-NO"/>
        </w:rPr>
      </w:pPr>
      <w:r w:rsidRPr="009D56B8">
        <w:rPr>
          <w:i/>
          <w:szCs w:val="22"/>
          <w:lang w:val="nb-NO"/>
        </w:rPr>
        <w:t>Spesielle populasjoner</w:t>
      </w:r>
    </w:p>
    <w:p w14:paraId="54D858CE" w14:textId="77777777" w:rsidR="00E50867" w:rsidRPr="009D56B8" w:rsidRDefault="00E50867">
      <w:pPr>
        <w:rPr>
          <w:szCs w:val="22"/>
          <w:lang w:val="nb-NO"/>
        </w:rPr>
      </w:pPr>
    </w:p>
    <w:p w14:paraId="0AD3AF08" w14:textId="77777777" w:rsidR="00E50867" w:rsidRPr="009D56B8" w:rsidRDefault="00C770E8">
      <w:pPr>
        <w:keepNext/>
        <w:widowControl w:val="0"/>
        <w:suppressLineNumbers/>
        <w:rPr>
          <w:i/>
          <w:szCs w:val="22"/>
          <w:lang w:val="nb-NO"/>
        </w:rPr>
      </w:pPr>
      <w:r w:rsidRPr="009D56B8">
        <w:rPr>
          <w:i/>
          <w:szCs w:val="22"/>
          <w:lang w:val="nb-NO"/>
        </w:rPr>
        <w:t>Eldre</w:t>
      </w:r>
    </w:p>
    <w:p w14:paraId="75EE715D" w14:textId="66E878FD" w:rsidR="00E50867" w:rsidRPr="009D56B8" w:rsidRDefault="00C770E8">
      <w:pPr>
        <w:autoSpaceDE w:val="0"/>
        <w:rPr>
          <w:szCs w:val="22"/>
          <w:lang w:val="nb-NO"/>
        </w:rPr>
      </w:pPr>
      <w:r w:rsidRPr="009D56B8">
        <w:rPr>
          <w:szCs w:val="22"/>
          <w:lang w:val="nb-NO"/>
        </w:rPr>
        <w:t xml:space="preserve">I kliniske studier med </w:t>
      </w:r>
      <w:r w:rsidR="00D172C2" w:rsidRPr="009D56B8">
        <w:rPr>
          <w:szCs w:val="22"/>
          <w:lang w:val="nb-NO"/>
        </w:rPr>
        <w:t>Dimethyl fumarate Accord</w:t>
      </w:r>
      <w:r w:rsidRPr="009D56B8">
        <w:rPr>
          <w:szCs w:val="22"/>
          <w:lang w:val="nb-NO"/>
        </w:rPr>
        <w:t xml:space="preserve"> var det begrenset eksponering hos pasienter i alderen ≥</w:t>
      </w:r>
      <w:r w:rsidR="006C0D10" w:rsidRPr="009D56B8">
        <w:rPr>
          <w:szCs w:val="22"/>
          <w:lang w:val="nb-NO"/>
        </w:rPr>
        <w:t> </w:t>
      </w:r>
      <w:r w:rsidRPr="009D56B8">
        <w:rPr>
          <w:szCs w:val="22"/>
          <w:lang w:val="nb-NO"/>
        </w:rPr>
        <w:t>55 år, og det var ikke inkludert et tilstrekkelig antall pasienter ≥</w:t>
      </w:r>
      <w:r w:rsidR="006C0D10" w:rsidRPr="009D56B8">
        <w:rPr>
          <w:szCs w:val="22"/>
          <w:lang w:val="nb-NO"/>
        </w:rPr>
        <w:t> </w:t>
      </w:r>
      <w:r w:rsidRPr="009D56B8">
        <w:rPr>
          <w:szCs w:val="22"/>
          <w:lang w:val="nb-NO"/>
        </w:rPr>
        <w:t>65 år til å fastslå om de responderer annerledes enn yngre pasienter (se pkt. 5.2). Ut fra virkningsmekanismen til virkestoffet er det ingen teoretiske grunner til å måtte justere dosen hos eldre.</w:t>
      </w:r>
    </w:p>
    <w:p w14:paraId="577FE41C" w14:textId="77777777" w:rsidR="00E50867" w:rsidRPr="009D56B8" w:rsidRDefault="00E50867">
      <w:pPr>
        <w:autoSpaceDE w:val="0"/>
        <w:rPr>
          <w:szCs w:val="22"/>
          <w:lang w:val="nb-NO"/>
        </w:rPr>
      </w:pPr>
    </w:p>
    <w:p w14:paraId="605EF297" w14:textId="77777777" w:rsidR="00E50867" w:rsidRPr="009D56B8" w:rsidRDefault="00C770E8">
      <w:pPr>
        <w:autoSpaceDE w:val="0"/>
        <w:rPr>
          <w:i/>
          <w:szCs w:val="22"/>
          <w:lang w:val="nb-NO"/>
        </w:rPr>
      </w:pPr>
      <w:r w:rsidRPr="009D56B8">
        <w:rPr>
          <w:i/>
          <w:szCs w:val="22"/>
          <w:lang w:val="nb-NO"/>
        </w:rPr>
        <w:t>Nedsatt nyre- og leverfunksjon</w:t>
      </w:r>
      <w:bookmarkStart w:id="1" w:name="OLE_LINK5"/>
      <w:bookmarkStart w:id="2" w:name="OLE_LINK6"/>
    </w:p>
    <w:p w14:paraId="358D84B1" w14:textId="7F767E5D" w:rsidR="00E50867" w:rsidRPr="009D56B8" w:rsidRDefault="00D172C2">
      <w:pPr>
        <w:autoSpaceDE w:val="0"/>
        <w:rPr>
          <w:szCs w:val="22"/>
          <w:lang w:val="nb-NO"/>
        </w:rPr>
      </w:pPr>
      <w:r w:rsidRPr="009D56B8">
        <w:rPr>
          <w:szCs w:val="22"/>
          <w:lang w:val="nb-NO"/>
        </w:rPr>
        <w:t>Dimethyl fumarate Accord</w:t>
      </w:r>
      <w:r w:rsidR="00C770E8" w:rsidRPr="009D56B8">
        <w:rPr>
          <w:szCs w:val="22"/>
          <w:lang w:val="nb-NO"/>
        </w:rPr>
        <w:t xml:space="preserve"> er ikke undersøkt hos pasienter med nedsatt nyre- eller leverfunksjon. Ut fra kliniske farmakologistudier er det ikke nødvendig å justere dosen (se pkt. 5.2). Forsiktighet bør likevel utvises ved behandling av pasienter med alvorlig nedsatt nyre- eller leverfunksjon (se pkt. 4.4).</w:t>
      </w:r>
    </w:p>
    <w:bookmarkEnd w:id="1"/>
    <w:bookmarkEnd w:id="2"/>
    <w:p w14:paraId="11283B1E" w14:textId="77777777" w:rsidR="00E50867" w:rsidRPr="009D56B8" w:rsidRDefault="00E50867">
      <w:pPr>
        <w:rPr>
          <w:szCs w:val="22"/>
          <w:lang w:val="nb-NO"/>
        </w:rPr>
      </w:pPr>
    </w:p>
    <w:p w14:paraId="4F70A5F2" w14:textId="77777777" w:rsidR="00E50867" w:rsidRPr="009D56B8" w:rsidRDefault="00C770E8">
      <w:pPr>
        <w:widowControl w:val="0"/>
        <w:suppressLineNumbers/>
        <w:rPr>
          <w:i/>
          <w:szCs w:val="22"/>
          <w:lang w:val="nb-NO"/>
        </w:rPr>
      </w:pPr>
      <w:r w:rsidRPr="009D56B8">
        <w:rPr>
          <w:i/>
          <w:szCs w:val="22"/>
          <w:lang w:val="nb-NO"/>
        </w:rPr>
        <w:t>Pediatrisk populasjon</w:t>
      </w:r>
    </w:p>
    <w:p w14:paraId="4489A6C0" w14:textId="7FDAAAAB" w:rsidR="00A53A43" w:rsidRPr="009D56B8" w:rsidRDefault="00A53A43">
      <w:pPr>
        <w:widowControl w:val="0"/>
        <w:suppressLineNumbers/>
        <w:autoSpaceDE w:val="0"/>
        <w:rPr>
          <w:szCs w:val="22"/>
          <w:lang w:val="nb-NO"/>
        </w:rPr>
      </w:pPr>
      <w:r w:rsidRPr="009D56B8">
        <w:rPr>
          <w:szCs w:val="22"/>
          <w:lang w:val="nb-NO"/>
        </w:rPr>
        <w:t xml:space="preserve">Doseringen er den samme hos voksne og pediatriske pasienter fra </w:t>
      </w:r>
      <w:r w:rsidR="002346EA" w:rsidRPr="009D56B8">
        <w:rPr>
          <w:szCs w:val="22"/>
          <w:lang w:val="nb-NO"/>
        </w:rPr>
        <w:t xml:space="preserve">og med </w:t>
      </w:r>
      <w:r w:rsidRPr="009D56B8">
        <w:rPr>
          <w:szCs w:val="22"/>
          <w:lang w:val="nb-NO"/>
        </w:rPr>
        <w:t>13 år.</w:t>
      </w:r>
    </w:p>
    <w:p w14:paraId="79941136" w14:textId="77777777" w:rsidR="00A53A43" w:rsidRPr="009D56B8" w:rsidRDefault="00A53A43">
      <w:pPr>
        <w:widowControl w:val="0"/>
        <w:suppressLineNumbers/>
        <w:autoSpaceDE w:val="0"/>
        <w:rPr>
          <w:szCs w:val="22"/>
          <w:lang w:val="nb-NO"/>
        </w:rPr>
      </w:pPr>
    </w:p>
    <w:p w14:paraId="4065396E" w14:textId="2D57DF51" w:rsidR="00A53A43" w:rsidRPr="009D56B8" w:rsidRDefault="00A53A43" w:rsidP="00A53A43">
      <w:pPr>
        <w:widowControl w:val="0"/>
        <w:suppressLineNumbers/>
        <w:autoSpaceDE w:val="0"/>
        <w:rPr>
          <w:szCs w:val="22"/>
          <w:lang w:val="nb-NO"/>
        </w:rPr>
      </w:pPr>
      <w:r w:rsidRPr="009D56B8">
        <w:rPr>
          <w:szCs w:val="22"/>
          <w:lang w:val="nb-NO"/>
        </w:rPr>
        <w:t>Begrense</w:t>
      </w:r>
      <w:r w:rsidR="0071308A" w:rsidRPr="009D56B8">
        <w:rPr>
          <w:szCs w:val="22"/>
          <w:lang w:val="nb-NO"/>
        </w:rPr>
        <w:t>t mengde</w:t>
      </w:r>
      <w:r w:rsidRPr="009D56B8">
        <w:rPr>
          <w:szCs w:val="22"/>
          <w:lang w:val="nb-NO"/>
        </w:rPr>
        <w:t xml:space="preserve"> data er tilgjengelig for barn i alderen 10–12 år.</w:t>
      </w:r>
      <w:r w:rsidR="00231540" w:rsidRPr="009D56B8">
        <w:rPr>
          <w:lang w:val="nl-NL"/>
        </w:rPr>
        <w:t xml:space="preserve"> </w:t>
      </w:r>
      <w:r w:rsidR="00231540" w:rsidRPr="009D56B8">
        <w:rPr>
          <w:szCs w:val="22"/>
          <w:lang w:val="nb-NO"/>
        </w:rPr>
        <w:t>For tiden tilgjengelige data er beskrevet i pkt. 4.8 og 5.1, men ingen doseringsanbefalinger kan gis.</w:t>
      </w:r>
    </w:p>
    <w:p w14:paraId="3478FD92" w14:textId="77777777" w:rsidR="00231540" w:rsidRPr="009D56B8" w:rsidRDefault="00231540" w:rsidP="00A53A43">
      <w:pPr>
        <w:widowControl w:val="0"/>
        <w:suppressLineNumbers/>
        <w:autoSpaceDE w:val="0"/>
        <w:rPr>
          <w:szCs w:val="22"/>
          <w:lang w:val="nb-NO"/>
        </w:rPr>
      </w:pPr>
    </w:p>
    <w:p w14:paraId="065911B2" w14:textId="01CAB696" w:rsidR="00A53A43" w:rsidRPr="009D56B8" w:rsidRDefault="00A53A43" w:rsidP="00A53A43">
      <w:pPr>
        <w:widowControl w:val="0"/>
        <w:suppressLineNumbers/>
        <w:autoSpaceDE w:val="0"/>
        <w:rPr>
          <w:szCs w:val="22"/>
          <w:lang w:val="nb-NO"/>
        </w:rPr>
      </w:pPr>
      <w:r w:rsidRPr="009D56B8">
        <w:rPr>
          <w:szCs w:val="22"/>
          <w:lang w:val="nb-NO"/>
        </w:rPr>
        <w:t xml:space="preserve">Sikkerhet og effekt av </w:t>
      </w:r>
      <w:r w:rsidR="00AB7E30" w:rsidRPr="009D56B8">
        <w:rPr>
          <w:szCs w:val="22"/>
          <w:lang w:val="nb-NO"/>
        </w:rPr>
        <w:t>d</w:t>
      </w:r>
      <w:r w:rsidR="00D172C2" w:rsidRPr="009D56B8">
        <w:rPr>
          <w:szCs w:val="22"/>
          <w:lang w:val="nb-NO"/>
        </w:rPr>
        <w:t>imetylfumarat</w:t>
      </w:r>
      <w:r w:rsidRPr="009D56B8">
        <w:rPr>
          <w:szCs w:val="22"/>
          <w:lang w:val="nb-NO"/>
        </w:rPr>
        <w:t xml:space="preserve"> hos barn under 10 år har ennå ikke blitt fastslått.</w:t>
      </w:r>
      <w:r w:rsidR="008B42EF" w:rsidRPr="009D56B8">
        <w:rPr>
          <w:szCs w:val="22"/>
          <w:lang w:val="nb-NO"/>
        </w:rPr>
        <w:t xml:space="preserve"> Det finnes ingen tilgjengelige data.</w:t>
      </w:r>
    </w:p>
    <w:p w14:paraId="2CC27ED8" w14:textId="77777777" w:rsidR="00E50867" w:rsidRPr="009D56B8" w:rsidRDefault="00E50867">
      <w:pPr>
        <w:widowControl w:val="0"/>
        <w:suppressLineNumbers/>
        <w:autoSpaceDE w:val="0"/>
        <w:rPr>
          <w:szCs w:val="22"/>
          <w:lang w:val="nb-NO"/>
        </w:rPr>
      </w:pPr>
    </w:p>
    <w:p w14:paraId="3C88FF95" w14:textId="77777777" w:rsidR="00E50867" w:rsidRPr="009D56B8" w:rsidRDefault="00C770E8">
      <w:pPr>
        <w:widowControl w:val="0"/>
        <w:suppressLineNumbers/>
        <w:rPr>
          <w:szCs w:val="22"/>
          <w:u w:val="single"/>
          <w:lang w:val="nb-NO"/>
        </w:rPr>
      </w:pPr>
      <w:r w:rsidRPr="009D56B8">
        <w:rPr>
          <w:szCs w:val="22"/>
          <w:u w:val="single"/>
          <w:lang w:val="nb-NO"/>
        </w:rPr>
        <w:t>Administrasjonsmåte</w:t>
      </w:r>
    </w:p>
    <w:p w14:paraId="6EC1CC2C" w14:textId="77777777" w:rsidR="00E50867" w:rsidRPr="009D56B8" w:rsidRDefault="00E50867">
      <w:pPr>
        <w:rPr>
          <w:szCs w:val="22"/>
          <w:lang w:val="nb-NO"/>
        </w:rPr>
      </w:pPr>
    </w:p>
    <w:p w14:paraId="1BC2940C" w14:textId="77777777" w:rsidR="00E50867" w:rsidRPr="009D56B8" w:rsidRDefault="00C770E8">
      <w:pPr>
        <w:widowControl w:val="0"/>
        <w:suppressLineNumbers/>
        <w:rPr>
          <w:szCs w:val="22"/>
          <w:lang w:val="nb-NO"/>
        </w:rPr>
      </w:pPr>
      <w:r w:rsidRPr="009D56B8">
        <w:rPr>
          <w:szCs w:val="22"/>
          <w:lang w:val="nb-NO"/>
        </w:rPr>
        <w:t>Til oral bruk.</w:t>
      </w:r>
    </w:p>
    <w:p w14:paraId="12B63EBE" w14:textId="77777777" w:rsidR="00E50867" w:rsidRPr="009D56B8" w:rsidRDefault="00E50867">
      <w:pPr>
        <w:rPr>
          <w:szCs w:val="22"/>
          <w:lang w:val="nb-NO"/>
        </w:rPr>
      </w:pPr>
    </w:p>
    <w:p w14:paraId="7491C335" w14:textId="1AEDDED5" w:rsidR="00E50867" w:rsidRPr="009D56B8" w:rsidRDefault="00C770E8">
      <w:pPr>
        <w:rPr>
          <w:szCs w:val="22"/>
          <w:lang w:val="nb-NO"/>
        </w:rPr>
      </w:pPr>
      <w:r w:rsidRPr="009D56B8">
        <w:rPr>
          <w:szCs w:val="22"/>
          <w:lang w:val="nb-NO"/>
        </w:rPr>
        <w:t xml:space="preserve">Kapselen skal svelges hel. Kapselen eller innholdet bør ikke knuses, deles, løses opp, suges eller tygges, da enterodrasjeringen på </w:t>
      </w:r>
      <w:r w:rsidR="007E077C" w:rsidRPr="009D56B8">
        <w:rPr>
          <w:szCs w:val="22"/>
          <w:lang w:val="nb-NO"/>
        </w:rPr>
        <w:t xml:space="preserve">minitablettene </w:t>
      </w:r>
      <w:r w:rsidRPr="009D56B8">
        <w:rPr>
          <w:szCs w:val="22"/>
          <w:lang w:val="nb-NO"/>
        </w:rPr>
        <w:t xml:space="preserve">forhindrer irriterende effekter i </w:t>
      </w:r>
      <w:r w:rsidR="003F607A" w:rsidRPr="009D56B8">
        <w:rPr>
          <w:szCs w:val="22"/>
          <w:lang w:val="nb-NO"/>
        </w:rPr>
        <w:t>gastrointestinaltraktus</w:t>
      </w:r>
      <w:r w:rsidRPr="009D56B8">
        <w:rPr>
          <w:szCs w:val="22"/>
          <w:lang w:val="nb-NO"/>
        </w:rPr>
        <w:t>.</w:t>
      </w:r>
    </w:p>
    <w:p w14:paraId="16FAAD56" w14:textId="77777777" w:rsidR="00E50867" w:rsidRPr="009D56B8" w:rsidRDefault="00E50867">
      <w:pPr>
        <w:rPr>
          <w:szCs w:val="22"/>
          <w:lang w:val="nb-NO"/>
        </w:rPr>
      </w:pPr>
    </w:p>
    <w:p w14:paraId="29D87111" w14:textId="77777777" w:rsidR="00E50867" w:rsidRPr="009D56B8" w:rsidRDefault="00C770E8">
      <w:pPr>
        <w:widowControl w:val="0"/>
        <w:suppressLineNumbers/>
        <w:ind w:left="567" w:hanging="567"/>
        <w:rPr>
          <w:b/>
          <w:szCs w:val="22"/>
          <w:lang w:val="nb-NO"/>
        </w:rPr>
      </w:pPr>
      <w:r w:rsidRPr="009D56B8">
        <w:rPr>
          <w:b/>
          <w:szCs w:val="22"/>
          <w:lang w:val="nb-NO"/>
        </w:rPr>
        <w:t>4.3</w:t>
      </w:r>
      <w:r w:rsidRPr="009D56B8">
        <w:rPr>
          <w:b/>
          <w:szCs w:val="22"/>
          <w:lang w:val="nb-NO"/>
        </w:rPr>
        <w:tab/>
        <w:t>Kontraindikasjoner</w:t>
      </w:r>
    </w:p>
    <w:p w14:paraId="6F76752F" w14:textId="77777777" w:rsidR="00E50867" w:rsidRPr="009D56B8" w:rsidRDefault="00E50867">
      <w:pPr>
        <w:rPr>
          <w:szCs w:val="22"/>
          <w:lang w:val="nb-NO"/>
        </w:rPr>
      </w:pPr>
    </w:p>
    <w:p w14:paraId="2E7A8E60" w14:textId="77777777" w:rsidR="00E50867" w:rsidRPr="009D56B8" w:rsidRDefault="00C770E8">
      <w:pPr>
        <w:widowControl w:val="0"/>
        <w:suppressLineNumbers/>
        <w:rPr>
          <w:szCs w:val="22"/>
          <w:lang w:val="nb-NO"/>
        </w:rPr>
      </w:pPr>
      <w:r w:rsidRPr="009D56B8">
        <w:rPr>
          <w:szCs w:val="22"/>
          <w:lang w:val="nb-NO"/>
        </w:rPr>
        <w:t>Overfølsomhet overfor virkestoffet eller overfor noen av hjelpestoffene listet opp i pkt. 6.1.</w:t>
      </w:r>
    </w:p>
    <w:p w14:paraId="2EB4CDEC" w14:textId="77777777" w:rsidR="00E50867" w:rsidRPr="009D56B8" w:rsidRDefault="00C770E8">
      <w:pPr>
        <w:rPr>
          <w:lang w:val="nb-NO"/>
        </w:rPr>
      </w:pPr>
      <w:r w:rsidRPr="009D56B8">
        <w:rPr>
          <w:szCs w:val="22"/>
          <w:lang w:val="nb-NO"/>
        </w:rPr>
        <w:t xml:space="preserve">Mistenkt eller bekreftet progressiv multifokal </w:t>
      </w:r>
      <w:r w:rsidRPr="009D56B8">
        <w:rPr>
          <w:lang w:val="nb-NO"/>
        </w:rPr>
        <w:t>leukoencefalopati (PML).</w:t>
      </w:r>
    </w:p>
    <w:p w14:paraId="694C906D" w14:textId="77777777" w:rsidR="00E50867" w:rsidRPr="009D56B8" w:rsidRDefault="00E50867">
      <w:pPr>
        <w:rPr>
          <w:szCs w:val="22"/>
          <w:lang w:val="nb-NO"/>
        </w:rPr>
      </w:pPr>
    </w:p>
    <w:p w14:paraId="394DA08E" w14:textId="77777777" w:rsidR="00E50867" w:rsidRPr="009D56B8" w:rsidRDefault="00C770E8">
      <w:pPr>
        <w:rPr>
          <w:b/>
          <w:szCs w:val="22"/>
          <w:lang w:val="nb-NO"/>
        </w:rPr>
      </w:pPr>
      <w:r w:rsidRPr="009D56B8">
        <w:rPr>
          <w:b/>
          <w:szCs w:val="22"/>
          <w:lang w:val="nb-NO"/>
        </w:rPr>
        <w:t>4.4</w:t>
      </w:r>
      <w:r w:rsidRPr="009D56B8">
        <w:rPr>
          <w:b/>
          <w:szCs w:val="22"/>
          <w:lang w:val="nb-NO"/>
        </w:rPr>
        <w:tab/>
        <w:t>Advarsler og forsiktighetsregler</w:t>
      </w:r>
    </w:p>
    <w:p w14:paraId="72154432" w14:textId="77777777" w:rsidR="00E50867" w:rsidRPr="009D56B8" w:rsidRDefault="00E50867">
      <w:pPr>
        <w:rPr>
          <w:szCs w:val="22"/>
          <w:lang w:val="nb-NO"/>
        </w:rPr>
      </w:pPr>
    </w:p>
    <w:p w14:paraId="34E61F7C" w14:textId="77777777" w:rsidR="00E50867" w:rsidRPr="009D56B8" w:rsidRDefault="00C770E8">
      <w:pPr>
        <w:widowControl w:val="0"/>
        <w:suppressLineNumbers/>
        <w:rPr>
          <w:szCs w:val="22"/>
          <w:u w:val="single"/>
          <w:lang w:val="nb-NO"/>
        </w:rPr>
      </w:pPr>
      <w:r w:rsidRPr="009D56B8">
        <w:rPr>
          <w:szCs w:val="22"/>
          <w:u w:val="single"/>
          <w:lang w:val="nb-NO"/>
        </w:rPr>
        <w:t>Blod-/laboratorieundersøkelser</w:t>
      </w:r>
    </w:p>
    <w:p w14:paraId="7B52B27B" w14:textId="77777777" w:rsidR="00E50867" w:rsidRPr="009D56B8" w:rsidRDefault="00E50867">
      <w:pPr>
        <w:widowControl w:val="0"/>
        <w:suppressLineNumbers/>
        <w:rPr>
          <w:szCs w:val="22"/>
          <w:u w:val="single"/>
          <w:lang w:val="nb-NO"/>
        </w:rPr>
      </w:pPr>
    </w:p>
    <w:p w14:paraId="73817C3C" w14:textId="66929E81" w:rsidR="00145174" w:rsidRPr="009D56B8" w:rsidRDefault="00145174">
      <w:pPr>
        <w:widowControl w:val="0"/>
        <w:suppressLineNumbers/>
        <w:rPr>
          <w:i/>
          <w:iCs/>
          <w:szCs w:val="22"/>
          <w:lang w:val="nb-NO"/>
        </w:rPr>
      </w:pPr>
      <w:r w:rsidRPr="009D56B8">
        <w:rPr>
          <w:i/>
          <w:iCs/>
          <w:szCs w:val="22"/>
          <w:lang w:val="nb-NO"/>
        </w:rPr>
        <w:t>Nyrefunksjon</w:t>
      </w:r>
    </w:p>
    <w:p w14:paraId="2E96221A" w14:textId="149000F5" w:rsidR="00E50867" w:rsidRPr="009D56B8" w:rsidRDefault="00C770E8">
      <w:pPr>
        <w:widowControl w:val="0"/>
        <w:suppressLineNumbers/>
        <w:rPr>
          <w:szCs w:val="22"/>
          <w:lang w:val="nb-NO"/>
        </w:rPr>
      </w:pPr>
      <w:r w:rsidRPr="009D56B8">
        <w:rPr>
          <w:szCs w:val="22"/>
          <w:lang w:val="nb-NO"/>
        </w:rPr>
        <w:t>Endringer i laboratorietester for nyrefunksjon er sett i kliniske studier hos pasienter som ble behandlet med dimetylfumarat (se pkt. 4.8). Den kliniske betydningen av disse endringene er ukjent. Vurdering av nyrefunksjonen (f.eks. kreatinin, blodureanitrogen og urinanalyse) anbefales før behandlingsstart, etter 3 og 6 måneders behandling, deretter hver 6.</w:t>
      </w:r>
      <w:r w:rsidRPr="009D56B8">
        <w:rPr>
          <w:szCs w:val="22"/>
          <w:lang w:val="nb-NO"/>
        </w:rPr>
        <w:noBreakHyphen/>
        <w:t>12. måned og når det er klinisk indisert.</w:t>
      </w:r>
    </w:p>
    <w:p w14:paraId="50A71E61" w14:textId="77777777" w:rsidR="00E50867" w:rsidRPr="009D56B8" w:rsidRDefault="00E50867">
      <w:pPr>
        <w:widowControl w:val="0"/>
        <w:suppressLineNumbers/>
        <w:rPr>
          <w:szCs w:val="22"/>
          <w:lang w:val="nb-NO"/>
        </w:rPr>
      </w:pPr>
    </w:p>
    <w:p w14:paraId="02EC8449" w14:textId="27FC5182" w:rsidR="00B17C63" w:rsidRPr="009D56B8" w:rsidRDefault="00B17C63">
      <w:pPr>
        <w:widowControl w:val="0"/>
        <w:suppressLineNumbers/>
        <w:rPr>
          <w:i/>
          <w:iCs/>
          <w:szCs w:val="22"/>
          <w:lang w:val="nb-NO"/>
        </w:rPr>
      </w:pPr>
      <w:r w:rsidRPr="009D56B8">
        <w:rPr>
          <w:i/>
          <w:iCs/>
          <w:szCs w:val="22"/>
          <w:lang w:val="nb-NO"/>
        </w:rPr>
        <w:t>Leverfunksjon</w:t>
      </w:r>
    </w:p>
    <w:p w14:paraId="36454E66" w14:textId="7FAB1E44" w:rsidR="00E50867" w:rsidRPr="009D56B8" w:rsidRDefault="00C770E8">
      <w:pPr>
        <w:widowControl w:val="0"/>
        <w:suppressLineNumbers/>
        <w:rPr>
          <w:szCs w:val="22"/>
          <w:lang w:val="nb-NO"/>
        </w:rPr>
      </w:pPr>
      <w:r w:rsidRPr="009D56B8">
        <w:rPr>
          <w:szCs w:val="22"/>
          <w:lang w:val="nb-NO"/>
        </w:rPr>
        <w:t>Legemiddelindusert leverskade, inkludert økning i leverenzymer (≥</w:t>
      </w:r>
      <w:r w:rsidR="001753BB" w:rsidRPr="009D56B8">
        <w:rPr>
          <w:szCs w:val="22"/>
          <w:lang w:val="nb-NO"/>
        </w:rPr>
        <w:t> </w:t>
      </w:r>
      <w:r w:rsidRPr="009D56B8">
        <w:rPr>
          <w:szCs w:val="22"/>
          <w:lang w:val="nb-NO"/>
        </w:rPr>
        <w:t>3 ganger øvre grense for normalområdet (ULN)) og forhøyet nivå av totalt bilirubin (≥</w:t>
      </w:r>
      <w:r w:rsidR="001753BB" w:rsidRPr="009D56B8">
        <w:rPr>
          <w:szCs w:val="22"/>
          <w:lang w:val="nb-NO"/>
        </w:rPr>
        <w:t> </w:t>
      </w:r>
      <w:r w:rsidRPr="009D56B8">
        <w:rPr>
          <w:szCs w:val="22"/>
          <w:lang w:val="nb-NO"/>
        </w:rPr>
        <w:t>2 ganger</w:t>
      </w:r>
      <w:r w:rsidR="00204B80" w:rsidRPr="009D56B8">
        <w:rPr>
          <w:szCs w:val="22"/>
          <w:lang w:val="nb-NO"/>
        </w:rPr>
        <w:t xml:space="preserve"> </w:t>
      </w:r>
      <w:r w:rsidRPr="009D56B8">
        <w:rPr>
          <w:szCs w:val="22"/>
          <w:lang w:val="nb-NO"/>
        </w:rPr>
        <w:t xml:space="preserve">ULN) kan oppstå som følge av behandling med dimetylfumarat. Dette kan oppstå </w:t>
      </w:r>
      <w:r w:rsidR="00E55C1C" w:rsidRPr="009D56B8">
        <w:rPr>
          <w:szCs w:val="22"/>
          <w:lang w:val="nb-NO"/>
        </w:rPr>
        <w:t>etter noen dager</w:t>
      </w:r>
      <w:r w:rsidRPr="009D56B8">
        <w:rPr>
          <w:szCs w:val="22"/>
          <w:lang w:val="nb-NO"/>
        </w:rPr>
        <w:t>, etter flere uker eller mer. Opphør av bivirkningene er observert etter seponering av behandlingen. Vurdering av serumaminotransferaser (f.eks. alaninaminotransferase (ALAT), aspartataminotransferase (ASAT)) og totalt bilirubinnivå anbefales før behandlingsstart samt under behandling når det er klinisk indisert.</w:t>
      </w:r>
    </w:p>
    <w:p w14:paraId="1BDD6CC2" w14:textId="77777777" w:rsidR="00E50867" w:rsidRPr="009D56B8" w:rsidRDefault="00E50867">
      <w:pPr>
        <w:widowControl w:val="0"/>
        <w:suppressLineNumbers/>
        <w:rPr>
          <w:szCs w:val="22"/>
          <w:lang w:val="nb-NO"/>
        </w:rPr>
      </w:pPr>
    </w:p>
    <w:p w14:paraId="1572CD2F" w14:textId="021C08A7" w:rsidR="00E55C1C" w:rsidRPr="009D56B8" w:rsidRDefault="00E55C1C">
      <w:pPr>
        <w:widowControl w:val="0"/>
        <w:suppressLineNumbers/>
        <w:rPr>
          <w:i/>
          <w:iCs/>
          <w:szCs w:val="22"/>
          <w:lang w:val="nb-NO"/>
        </w:rPr>
      </w:pPr>
      <w:r w:rsidRPr="009D56B8">
        <w:rPr>
          <w:i/>
          <w:iCs/>
          <w:szCs w:val="22"/>
          <w:lang w:val="nb-NO"/>
        </w:rPr>
        <w:t>Lymfocytter</w:t>
      </w:r>
    </w:p>
    <w:p w14:paraId="18A20FD1" w14:textId="33DF37F7" w:rsidR="00E50867" w:rsidRPr="009D56B8" w:rsidRDefault="00C770E8">
      <w:pPr>
        <w:widowControl w:val="0"/>
        <w:suppressLineNumbers/>
        <w:rPr>
          <w:szCs w:val="22"/>
          <w:lang w:val="nb-NO"/>
        </w:rPr>
      </w:pPr>
      <w:r w:rsidRPr="009D56B8">
        <w:rPr>
          <w:szCs w:val="22"/>
          <w:lang w:val="nb-NO"/>
        </w:rPr>
        <w:t xml:space="preserve">Pasienter som behandles med </w:t>
      </w:r>
      <w:r w:rsidR="00261B96" w:rsidRPr="009D56B8">
        <w:rPr>
          <w:szCs w:val="22"/>
          <w:lang w:val="nb-NO"/>
        </w:rPr>
        <w:t>dimetylfumarat</w:t>
      </w:r>
      <w:r w:rsidRPr="009D56B8">
        <w:rPr>
          <w:szCs w:val="22"/>
          <w:lang w:val="nb-NO"/>
        </w:rPr>
        <w:t xml:space="preserve"> kan utvikle lymfopeni (se pkt. 4.8). Før oppstart av behandling med </w:t>
      </w:r>
      <w:bookmarkStart w:id="3" w:name="_Hlk122236699"/>
      <w:r w:rsidR="00381B2B" w:rsidRPr="009D56B8">
        <w:rPr>
          <w:szCs w:val="22"/>
          <w:lang w:val="nb-NO"/>
        </w:rPr>
        <w:t>dimetylfumarat</w:t>
      </w:r>
      <w:bookmarkEnd w:id="3"/>
      <w:r w:rsidR="00381B2B" w:rsidRPr="009D56B8">
        <w:rPr>
          <w:szCs w:val="22"/>
          <w:lang w:val="nb-NO"/>
        </w:rPr>
        <w:t xml:space="preserve"> </w:t>
      </w:r>
      <w:r w:rsidRPr="009D56B8">
        <w:rPr>
          <w:szCs w:val="22"/>
          <w:lang w:val="nb-NO"/>
        </w:rPr>
        <w:t>skal det utføres en ny fullstendig blodcelletelling, inkludert lymfocytter.</w:t>
      </w:r>
    </w:p>
    <w:p w14:paraId="71B97BA9" w14:textId="77777777" w:rsidR="00E55C1C" w:rsidRPr="009D56B8" w:rsidRDefault="00E55C1C">
      <w:pPr>
        <w:widowControl w:val="0"/>
        <w:suppressLineNumbers/>
        <w:rPr>
          <w:szCs w:val="22"/>
          <w:lang w:val="nb-NO"/>
        </w:rPr>
      </w:pPr>
    </w:p>
    <w:p w14:paraId="3267BF3A" w14:textId="0E4A2FDA" w:rsidR="00E50867" w:rsidRPr="009D56B8" w:rsidRDefault="00C770E8">
      <w:pPr>
        <w:widowControl w:val="0"/>
        <w:suppressLineNumbers/>
        <w:rPr>
          <w:szCs w:val="22"/>
          <w:lang w:val="nb-NO"/>
        </w:rPr>
      </w:pPr>
      <w:r w:rsidRPr="009D56B8">
        <w:rPr>
          <w:szCs w:val="22"/>
          <w:lang w:val="nb-NO"/>
        </w:rPr>
        <w:t>Hvis lymfocyttallet ligger under normalområdet, bør en grundig vurdering av mulige årsaker fullføres før oppstart av behandling.</w:t>
      </w:r>
      <w:r w:rsidRPr="009D56B8">
        <w:rPr>
          <w:lang w:val="nb-NO"/>
        </w:rPr>
        <w:t xml:space="preserve"> </w:t>
      </w:r>
      <w:r w:rsidRPr="009D56B8">
        <w:rPr>
          <w:szCs w:val="22"/>
          <w:lang w:val="nb-NO"/>
        </w:rPr>
        <w:t xml:space="preserve">Dimetylfumarat er ikke undersøkt hos pasienter som allerede har lave lymfocyttall, og forsiktighet bør utvises ved behandling av slike pasienter. Behandling bør ikke startes opp hos </w:t>
      </w:r>
      <w:r w:rsidRPr="009D56B8">
        <w:rPr>
          <w:lang w:val="nb-NO"/>
        </w:rPr>
        <w:t>pasienter med alvorlig lymfopeni (lymfocyttall &lt;</w:t>
      </w:r>
      <w:r w:rsidR="006C0D10" w:rsidRPr="009D56B8">
        <w:rPr>
          <w:lang w:val="nb-NO"/>
        </w:rPr>
        <w:t> </w:t>
      </w:r>
      <w:r w:rsidRPr="009D56B8">
        <w:rPr>
          <w:lang w:val="nb-NO"/>
        </w:rPr>
        <w:t>0,5 × 10</w:t>
      </w:r>
      <w:r w:rsidRPr="009D56B8">
        <w:rPr>
          <w:rStyle w:val="Superscript"/>
          <w:lang w:val="nb-NO"/>
        </w:rPr>
        <w:t>9</w:t>
      </w:r>
      <w:r w:rsidRPr="009D56B8">
        <w:rPr>
          <w:lang w:val="nb-NO"/>
        </w:rPr>
        <w:t>/liter).</w:t>
      </w:r>
    </w:p>
    <w:p w14:paraId="511FDAE0" w14:textId="77777777" w:rsidR="00E50867" w:rsidRPr="009D56B8" w:rsidRDefault="00E50867">
      <w:pPr>
        <w:widowControl w:val="0"/>
        <w:suppressLineNumbers/>
        <w:rPr>
          <w:szCs w:val="22"/>
          <w:lang w:val="nb-NO"/>
        </w:rPr>
      </w:pPr>
    </w:p>
    <w:p w14:paraId="4E1CB62A" w14:textId="77777777" w:rsidR="00E50867" w:rsidRPr="009D56B8" w:rsidRDefault="00C770E8">
      <w:pPr>
        <w:suppressLineNumbers/>
        <w:rPr>
          <w:szCs w:val="22"/>
          <w:lang w:val="nb-NO"/>
        </w:rPr>
      </w:pPr>
      <w:r w:rsidRPr="009D56B8">
        <w:rPr>
          <w:szCs w:val="22"/>
          <w:lang w:val="nb-NO"/>
        </w:rPr>
        <w:t>Etter behandlingsstart skal en fullstendig blodcelletelling, inkludert lymfocytter, utføres hver 3. måned.</w:t>
      </w:r>
    </w:p>
    <w:p w14:paraId="3E854D96" w14:textId="77777777" w:rsidR="00E50867" w:rsidRPr="009D56B8" w:rsidRDefault="00E50867">
      <w:pPr>
        <w:widowControl w:val="0"/>
        <w:suppressLineNumbers/>
        <w:rPr>
          <w:szCs w:val="22"/>
          <w:lang w:val="nb-NO"/>
        </w:rPr>
      </w:pPr>
    </w:p>
    <w:p w14:paraId="1AFE55A7" w14:textId="45119EF3" w:rsidR="00E50867" w:rsidRPr="009D56B8" w:rsidRDefault="00C770E8">
      <w:pPr>
        <w:rPr>
          <w:szCs w:val="22"/>
          <w:lang w:val="nb-NO" w:eastAsia="zh-CN"/>
        </w:rPr>
      </w:pPr>
      <w:r w:rsidRPr="009D56B8">
        <w:rPr>
          <w:szCs w:val="22"/>
          <w:lang w:val="nb-NO" w:eastAsia="zh-CN"/>
        </w:rPr>
        <w:t>På grunn av økt risiko for PML anbefales økt årvåkenhet hos pasienter med lymfopeni. Dette kan gjøres på følgende måte:</w:t>
      </w:r>
    </w:p>
    <w:p w14:paraId="2A289932" w14:textId="6992DDB1" w:rsidR="00E50867" w:rsidRPr="009D56B8" w:rsidRDefault="006A3B50" w:rsidP="008E40D3">
      <w:pPr>
        <w:pStyle w:val="GTCParagraph"/>
        <w:keepNext/>
        <w:keepLines/>
        <w:numPr>
          <w:ilvl w:val="0"/>
          <w:numId w:val="40"/>
        </w:numPr>
        <w:ind w:left="709" w:hanging="425"/>
        <w:rPr>
          <w:sz w:val="22"/>
          <w:szCs w:val="22"/>
          <w:lang w:val="nb-NO"/>
        </w:rPr>
      </w:pPr>
      <w:r w:rsidRPr="009D56B8">
        <w:rPr>
          <w:sz w:val="22"/>
          <w:szCs w:val="22"/>
          <w:lang w:val="nb-NO"/>
        </w:rPr>
        <w:t xml:space="preserve">Behandling </w:t>
      </w:r>
      <w:r w:rsidR="00C770E8" w:rsidRPr="009D56B8">
        <w:rPr>
          <w:sz w:val="22"/>
          <w:szCs w:val="22"/>
          <w:lang w:val="nb-NO"/>
        </w:rPr>
        <w:t>bør seponeres hos pasienter med langvarig alvorlig lymfopeni (lymfocyttall &lt;</w:t>
      </w:r>
      <w:r w:rsidR="00841E9A" w:rsidRPr="009D56B8">
        <w:rPr>
          <w:sz w:val="22"/>
          <w:szCs w:val="22"/>
          <w:lang w:val="nb-NO"/>
        </w:rPr>
        <w:t> </w:t>
      </w:r>
      <w:r w:rsidR="00C770E8" w:rsidRPr="009D56B8">
        <w:rPr>
          <w:sz w:val="22"/>
          <w:szCs w:val="22"/>
          <w:lang w:val="nb-NO"/>
        </w:rPr>
        <w:t>0,5 × 10</w:t>
      </w:r>
      <w:r w:rsidR="00C770E8" w:rsidRPr="009D56B8">
        <w:rPr>
          <w:sz w:val="22"/>
          <w:szCs w:val="22"/>
          <w:vertAlign w:val="superscript"/>
          <w:lang w:val="nb-NO"/>
        </w:rPr>
        <w:t>9</w:t>
      </w:r>
      <w:r w:rsidR="00C770E8" w:rsidRPr="009D56B8">
        <w:rPr>
          <w:sz w:val="22"/>
          <w:szCs w:val="22"/>
          <w:lang w:val="nb-NO"/>
        </w:rPr>
        <w:t>/liter) som varer i mer enn 6 måneder.</w:t>
      </w:r>
    </w:p>
    <w:p w14:paraId="7289EF79" w14:textId="7DF2D57A" w:rsidR="00E50867" w:rsidRPr="009D56B8" w:rsidRDefault="00C770E8" w:rsidP="008E40D3">
      <w:pPr>
        <w:pStyle w:val="GTCParagraph"/>
        <w:keepNext/>
        <w:keepLines/>
        <w:numPr>
          <w:ilvl w:val="0"/>
          <w:numId w:val="40"/>
        </w:numPr>
        <w:ind w:left="709" w:hanging="425"/>
        <w:rPr>
          <w:sz w:val="22"/>
          <w:szCs w:val="22"/>
          <w:lang w:val="nb-NO"/>
        </w:rPr>
      </w:pPr>
      <w:r w:rsidRPr="009D56B8">
        <w:rPr>
          <w:sz w:val="22"/>
          <w:szCs w:val="22"/>
          <w:lang w:val="nb-NO"/>
        </w:rPr>
        <w:t>Hos pasienter som har vedvarende moderat reduksjon i absolutt lymfocyttall i området ≥</w:t>
      </w:r>
      <w:r w:rsidR="00841E9A" w:rsidRPr="009D56B8">
        <w:rPr>
          <w:sz w:val="22"/>
          <w:szCs w:val="22"/>
          <w:lang w:val="nb-NO"/>
        </w:rPr>
        <w:t> </w:t>
      </w:r>
      <w:r w:rsidRPr="009D56B8">
        <w:rPr>
          <w:sz w:val="22"/>
          <w:szCs w:val="22"/>
          <w:lang w:val="nb-NO"/>
        </w:rPr>
        <w:t>0,5 </w:t>
      </w:r>
      <w:r w:rsidRPr="009D56B8">
        <w:rPr>
          <w:lang w:val="nb-NO"/>
        </w:rPr>
        <w:t>×</w:t>
      </w:r>
      <w:r w:rsidRPr="009D56B8">
        <w:rPr>
          <w:sz w:val="22"/>
          <w:szCs w:val="22"/>
          <w:lang w:val="nb-NO"/>
        </w:rPr>
        <w:t> 10</w:t>
      </w:r>
      <w:r w:rsidRPr="009D56B8">
        <w:rPr>
          <w:rStyle w:val="Superscript"/>
          <w:sz w:val="22"/>
          <w:szCs w:val="22"/>
          <w:lang w:val="nb-NO"/>
        </w:rPr>
        <w:t>9</w:t>
      </w:r>
      <w:r w:rsidRPr="009D56B8">
        <w:rPr>
          <w:sz w:val="22"/>
          <w:szCs w:val="22"/>
          <w:lang w:val="nb-NO"/>
        </w:rPr>
        <w:t xml:space="preserve">/liter </w:t>
      </w:r>
      <w:r w:rsidR="001753BB" w:rsidRPr="009D56B8">
        <w:rPr>
          <w:sz w:val="22"/>
          <w:szCs w:val="22"/>
          <w:lang w:val="nb-NO"/>
        </w:rPr>
        <w:t>til</w:t>
      </w:r>
      <w:r w:rsidRPr="009D56B8">
        <w:rPr>
          <w:sz w:val="22"/>
          <w:szCs w:val="22"/>
          <w:lang w:val="nb-NO"/>
        </w:rPr>
        <w:t xml:space="preserve"> &lt;</w:t>
      </w:r>
      <w:r w:rsidR="006C0D10" w:rsidRPr="009D56B8">
        <w:rPr>
          <w:sz w:val="22"/>
          <w:szCs w:val="22"/>
          <w:lang w:val="nb-NO"/>
        </w:rPr>
        <w:t> </w:t>
      </w:r>
      <w:r w:rsidRPr="009D56B8">
        <w:rPr>
          <w:sz w:val="22"/>
          <w:szCs w:val="22"/>
          <w:lang w:val="nb-NO"/>
        </w:rPr>
        <w:t>0,8 </w:t>
      </w:r>
      <w:r w:rsidRPr="009D56B8">
        <w:rPr>
          <w:lang w:val="nb-NO"/>
        </w:rPr>
        <w:t>×</w:t>
      </w:r>
      <w:r w:rsidRPr="009D56B8">
        <w:rPr>
          <w:sz w:val="22"/>
          <w:szCs w:val="22"/>
          <w:lang w:val="nb-NO"/>
        </w:rPr>
        <w:t> 10</w:t>
      </w:r>
      <w:r w:rsidRPr="009D56B8">
        <w:rPr>
          <w:rStyle w:val="Superscript"/>
          <w:sz w:val="22"/>
          <w:szCs w:val="22"/>
          <w:lang w:val="nb-NO"/>
        </w:rPr>
        <w:t>9</w:t>
      </w:r>
      <w:r w:rsidRPr="009D56B8">
        <w:rPr>
          <w:sz w:val="22"/>
          <w:szCs w:val="22"/>
          <w:lang w:val="nb-NO"/>
        </w:rPr>
        <w:t xml:space="preserve">/liter i mer enn </w:t>
      </w:r>
      <w:r w:rsidR="001753BB" w:rsidRPr="009D56B8">
        <w:rPr>
          <w:sz w:val="22"/>
          <w:szCs w:val="22"/>
          <w:lang w:val="nb-NO"/>
        </w:rPr>
        <w:t>6 </w:t>
      </w:r>
      <w:r w:rsidRPr="009D56B8">
        <w:rPr>
          <w:sz w:val="22"/>
          <w:szCs w:val="22"/>
          <w:lang w:val="nb-NO"/>
        </w:rPr>
        <w:t>måneder, bør nytte</w:t>
      </w:r>
      <w:r w:rsidR="00BB3146" w:rsidRPr="009D56B8">
        <w:rPr>
          <w:sz w:val="22"/>
          <w:szCs w:val="22"/>
          <w:lang w:val="nb-NO"/>
        </w:rPr>
        <w:t>-</w:t>
      </w:r>
      <w:r w:rsidRPr="009D56B8">
        <w:rPr>
          <w:sz w:val="22"/>
          <w:szCs w:val="22"/>
          <w:lang w:val="nb-NO"/>
        </w:rPr>
        <w:t>/</w:t>
      </w:r>
      <w:r w:rsidR="00A02502" w:rsidRPr="009D56B8">
        <w:rPr>
          <w:sz w:val="22"/>
          <w:szCs w:val="22"/>
          <w:lang w:val="nb-NO"/>
        </w:rPr>
        <w:t xml:space="preserve">risikobalansen </w:t>
      </w:r>
      <w:r w:rsidRPr="009D56B8">
        <w:rPr>
          <w:sz w:val="22"/>
          <w:szCs w:val="22"/>
          <w:lang w:val="nb-NO"/>
        </w:rPr>
        <w:t xml:space="preserve">ved behandling med </w:t>
      </w:r>
      <w:r w:rsidR="0016668C" w:rsidRPr="009D56B8">
        <w:rPr>
          <w:sz w:val="22"/>
          <w:szCs w:val="22"/>
          <w:lang w:val="nb-NO"/>
        </w:rPr>
        <w:t>dimetylfumarat</w:t>
      </w:r>
      <w:r w:rsidRPr="009D56B8">
        <w:rPr>
          <w:sz w:val="22"/>
          <w:szCs w:val="22"/>
          <w:lang w:val="nb-NO"/>
        </w:rPr>
        <w:t xml:space="preserve"> vurderes på nytt.</w:t>
      </w:r>
    </w:p>
    <w:p w14:paraId="30B4ECC5" w14:textId="77777777" w:rsidR="00E50867" w:rsidRPr="009D56B8" w:rsidRDefault="00C770E8" w:rsidP="008E40D3">
      <w:pPr>
        <w:pStyle w:val="GTCParagraph"/>
        <w:keepNext/>
        <w:keepLines/>
        <w:numPr>
          <w:ilvl w:val="0"/>
          <w:numId w:val="40"/>
        </w:numPr>
        <w:ind w:left="709" w:hanging="425"/>
        <w:rPr>
          <w:sz w:val="22"/>
          <w:szCs w:val="22"/>
          <w:lang w:val="nb-NO"/>
        </w:rPr>
      </w:pPr>
      <w:r w:rsidRPr="009D56B8">
        <w:rPr>
          <w:sz w:val="22"/>
          <w:szCs w:val="22"/>
          <w:lang w:val="nb-NO"/>
        </w:rPr>
        <w:t>Hos pasienter med lymfocyttall under nedre grense for normalområdet, definert av referanseområdet ved det lokale laboratoriet, anbefales regelmessig kontroll av absolutt lymfocyttall. Ytterligere faktorer som kan øke den enkeltes risiko for PML bør vurderes (se avsnittet om PML nedenfor).</w:t>
      </w:r>
    </w:p>
    <w:p w14:paraId="27EC0621" w14:textId="77777777" w:rsidR="00E50867" w:rsidRPr="009D56B8" w:rsidRDefault="00E50867">
      <w:pPr>
        <w:pStyle w:val="GTCParagraph"/>
        <w:keepNext/>
        <w:keepLines/>
        <w:rPr>
          <w:sz w:val="22"/>
          <w:szCs w:val="22"/>
          <w:lang w:val="nb-NO"/>
        </w:rPr>
      </w:pPr>
    </w:p>
    <w:p w14:paraId="24B3DB2F" w14:textId="1426A20D" w:rsidR="00E50867" w:rsidRPr="009D56B8" w:rsidRDefault="00C770E8">
      <w:pPr>
        <w:pStyle w:val="GTCParagraph"/>
        <w:keepNext/>
        <w:keepLines/>
        <w:rPr>
          <w:sz w:val="22"/>
          <w:szCs w:val="22"/>
          <w:lang w:val="nb-NO"/>
        </w:rPr>
      </w:pPr>
      <w:r w:rsidRPr="009D56B8">
        <w:rPr>
          <w:sz w:val="22"/>
          <w:szCs w:val="22"/>
          <w:lang w:val="nb-NO"/>
        </w:rPr>
        <w:t>Lymfocyttallet bør følges opp til dette er gjenopprettet</w:t>
      </w:r>
      <w:r w:rsidR="001753BB" w:rsidRPr="009D56B8">
        <w:rPr>
          <w:sz w:val="22"/>
          <w:szCs w:val="22"/>
          <w:lang w:val="nb-NO"/>
        </w:rPr>
        <w:t xml:space="preserve"> (se pkt. 5.1)</w:t>
      </w:r>
      <w:r w:rsidRPr="009D56B8">
        <w:rPr>
          <w:sz w:val="22"/>
          <w:szCs w:val="22"/>
          <w:lang w:val="nb-NO"/>
        </w:rPr>
        <w:t xml:space="preserve">. Etter gjenoppretting av lymfocyttallet og i fravær av andre behandlingsalternativer, bør avgjørelsen om hvorvidt behandling med </w:t>
      </w:r>
      <w:r w:rsidR="0016668C" w:rsidRPr="009D56B8">
        <w:rPr>
          <w:sz w:val="22"/>
          <w:szCs w:val="22"/>
          <w:lang w:val="nb-NO"/>
        </w:rPr>
        <w:t>dimetylfumarat</w:t>
      </w:r>
      <w:r w:rsidRPr="009D56B8">
        <w:rPr>
          <w:sz w:val="22"/>
          <w:szCs w:val="22"/>
          <w:lang w:val="nb-NO"/>
        </w:rPr>
        <w:t xml:space="preserve"> skal startes på nytt eller ikke etter seponering, være basert på klinisk vurdering.</w:t>
      </w:r>
    </w:p>
    <w:p w14:paraId="22EC6095" w14:textId="77777777" w:rsidR="00E50867" w:rsidRPr="009D56B8" w:rsidRDefault="00E50867">
      <w:pPr>
        <w:pStyle w:val="GTCParagraph"/>
        <w:rPr>
          <w:sz w:val="22"/>
          <w:szCs w:val="22"/>
          <w:lang w:val="nb-NO"/>
        </w:rPr>
      </w:pPr>
    </w:p>
    <w:p w14:paraId="61420B0B" w14:textId="77777777" w:rsidR="00E50867" w:rsidRPr="009D56B8" w:rsidRDefault="00C770E8">
      <w:pPr>
        <w:rPr>
          <w:u w:val="single"/>
          <w:lang w:val="nb-NO"/>
        </w:rPr>
      </w:pPr>
      <w:r w:rsidRPr="009D56B8">
        <w:rPr>
          <w:u w:val="single"/>
          <w:lang w:val="nb-NO"/>
        </w:rPr>
        <w:t>Magnetisk resonans (MR)-undersøkelse</w:t>
      </w:r>
    </w:p>
    <w:p w14:paraId="3DAE99CF" w14:textId="77777777" w:rsidR="00E50867" w:rsidRPr="009D56B8" w:rsidRDefault="00E50867">
      <w:pPr>
        <w:widowControl w:val="0"/>
        <w:suppressLineNumbers/>
        <w:rPr>
          <w:lang w:val="nb-NO"/>
        </w:rPr>
      </w:pPr>
    </w:p>
    <w:p w14:paraId="6E4F7ADB" w14:textId="29237603" w:rsidR="00E50867" w:rsidRPr="009D56B8" w:rsidRDefault="00C770E8">
      <w:pPr>
        <w:widowControl w:val="0"/>
        <w:suppressLineNumbers/>
        <w:rPr>
          <w:szCs w:val="22"/>
          <w:lang w:val="nb-NO"/>
        </w:rPr>
      </w:pPr>
      <w:r w:rsidRPr="009D56B8">
        <w:rPr>
          <w:lang w:val="nb-NO"/>
        </w:rPr>
        <w:t xml:space="preserve">Før oppstart av behandling med </w:t>
      </w:r>
      <w:r w:rsidR="0016668C" w:rsidRPr="009D56B8">
        <w:rPr>
          <w:lang w:val="nb-NO"/>
        </w:rPr>
        <w:t>dimetylfumarat</w:t>
      </w:r>
      <w:r w:rsidRPr="009D56B8">
        <w:rPr>
          <w:lang w:val="nb-NO"/>
        </w:rPr>
        <w:t xml:space="preserve"> bør det foreligge en MR-undersøkelse fra baseline (vanligvis ikke eldre enn 3 måneder) som skal brukes som referanse. Behovet for ytterligere MR- skanning bør vurderes i henhold til nasjonale og lokale anbefalinger. MR-undersøkelser kan betraktes som en del av økt årvåkenhet hos pasienter som anses å ha økt risiko for PML. Ved klinisk mistanke om PML, bør MR utføres umiddelbart til diagnoseformål.</w:t>
      </w:r>
    </w:p>
    <w:p w14:paraId="7A290988" w14:textId="77777777" w:rsidR="00E50867" w:rsidRPr="009D56B8" w:rsidRDefault="00E50867">
      <w:pPr>
        <w:widowControl w:val="0"/>
        <w:suppressLineNumbers/>
        <w:rPr>
          <w:szCs w:val="22"/>
          <w:lang w:val="nb-NO"/>
        </w:rPr>
      </w:pPr>
    </w:p>
    <w:p w14:paraId="135FAEDB" w14:textId="77777777" w:rsidR="00E50867" w:rsidRPr="009D56B8" w:rsidRDefault="00C770E8">
      <w:pPr>
        <w:widowControl w:val="0"/>
        <w:suppressLineNumbers/>
        <w:rPr>
          <w:szCs w:val="22"/>
          <w:u w:val="single"/>
          <w:lang w:val="nb-NO"/>
        </w:rPr>
      </w:pPr>
      <w:r w:rsidRPr="009D56B8">
        <w:rPr>
          <w:szCs w:val="22"/>
          <w:u w:val="single"/>
          <w:lang w:val="nb-NO"/>
        </w:rPr>
        <w:t>Progressiv multifokal leukoencefalopati (PML)</w:t>
      </w:r>
    </w:p>
    <w:p w14:paraId="58C3B231" w14:textId="77777777" w:rsidR="00E50867" w:rsidRPr="009D56B8" w:rsidRDefault="00E50867">
      <w:pPr>
        <w:widowControl w:val="0"/>
        <w:suppressLineNumbers/>
        <w:rPr>
          <w:szCs w:val="22"/>
          <w:lang w:val="nb-NO"/>
        </w:rPr>
      </w:pPr>
    </w:p>
    <w:p w14:paraId="6697E933" w14:textId="507307C9" w:rsidR="00E50867" w:rsidRPr="009D56B8" w:rsidRDefault="00C770E8">
      <w:pPr>
        <w:rPr>
          <w:szCs w:val="22"/>
          <w:lang w:val="nb-NO"/>
        </w:rPr>
      </w:pPr>
      <w:r w:rsidRPr="009D56B8">
        <w:rPr>
          <w:lang w:val="nb-NO"/>
        </w:rPr>
        <w:t xml:space="preserve">PML er rapportert hos pasienter som behandles med </w:t>
      </w:r>
      <w:r w:rsidR="00430249" w:rsidRPr="009D56B8">
        <w:rPr>
          <w:lang w:val="nb-NO"/>
        </w:rPr>
        <w:t>dimetylfumarat</w:t>
      </w:r>
      <w:r w:rsidRPr="009D56B8">
        <w:rPr>
          <w:lang w:val="nb-NO"/>
        </w:rPr>
        <w:t xml:space="preserve"> (se pkt. 4.8).</w:t>
      </w:r>
      <w:r w:rsidRPr="009D56B8">
        <w:rPr>
          <w:szCs w:val="22"/>
          <w:lang w:val="nb-NO"/>
        </w:rPr>
        <w:t xml:space="preserve"> PML er en opportunistisk infeksjon forårsaket av John-Cunningham-virus (JCV), som kan være dødelig eller føre til alvorlig nedsatt funksjonsevne.</w:t>
      </w:r>
    </w:p>
    <w:p w14:paraId="6CDA3CD7" w14:textId="77777777" w:rsidR="00E50867" w:rsidRPr="009D56B8" w:rsidRDefault="00E50867">
      <w:pPr>
        <w:rPr>
          <w:szCs w:val="22"/>
          <w:lang w:val="nb-NO"/>
        </w:rPr>
      </w:pPr>
    </w:p>
    <w:p w14:paraId="0B5CF2DA" w14:textId="67FE9AC9" w:rsidR="00E50867" w:rsidRPr="009D56B8" w:rsidRDefault="00C770E8">
      <w:pPr>
        <w:rPr>
          <w:lang w:val="nb-NO"/>
        </w:rPr>
      </w:pPr>
      <w:bookmarkStart w:id="4" w:name="_Hlk49941969"/>
      <w:r w:rsidRPr="009D56B8">
        <w:rPr>
          <w:lang w:val="nb-NO"/>
        </w:rPr>
        <w:t xml:space="preserve">Det har forekommet tilfeller av PML ved bruk av dimetylfumarat og andre legemidler som inneholder fumarater </w:t>
      </w:r>
      <w:bookmarkEnd w:id="4"/>
      <w:r w:rsidRPr="009D56B8">
        <w:rPr>
          <w:lang w:val="nb-NO"/>
        </w:rPr>
        <w:t xml:space="preserve">ved lymfopeni (lymfocyttall under nedre grense for normalområdet). Langvarig moderat til alvorlig lymfopeni ser ut til å øke risikoen for PML ved bruk av </w:t>
      </w:r>
      <w:r w:rsidR="00430249" w:rsidRPr="009D56B8">
        <w:rPr>
          <w:lang w:val="nb-NO"/>
        </w:rPr>
        <w:t>dimetylfumarat</w:t>
      </w:r>
      <w:r w:rsidRPr="009D56B8">
        <w:rPr>
          <w:lang w:val="nb-NO"/>
        </w:rPr>
        <w:t>, men risikoen kan ikke utelukkes hos pasienter med mild lymfopeni.</w:t>
      </w:r>
    </w:p>
    <w:p w14:paraId="7B469873" w14:textId="77777777" w:rsidR="006C0D10" w:rsidRPr="009D56B8" w:rsidRDefault="006C0D10">
      <w:pPr>
        <w:pStyle w:val="Standard1"/>
        <w:rPr>
          <w:szCs w:val="22"/>
          <w:lang w:val="nb-NO"/>
        </w:rPr>
      </w:pPr>
    </w:p>
    <w:p w14:paraId="07DD5AA8" w14:textId="3F88B9A4" w:rsidR="00E50867" w:rsidRPr="009D56B8" w:rsidRDefault="00C770E8">
      <w:pPr>
        <w:pStyle w:val="Standard1"/>
        <w:rPr>
          <w:szCs w:val="22"/>
          <w:lang w:val="nb-NO"/>
        </w:rPr>
      </w:pPr>
      <w:r w:rsidRPr="009D56B8">
        <w:rPr>
          <w:szCs w:val="22"/>
          <w:lang w:val="nb-NO"/>
        </w:rPr>
        <w:t>Ytterligere faktorer som kan bidra til økt risiko for PML ved lymfopeni, er:</w:t>
      </w:r>
    </w:p>
    <w:p w14:paraId="51EBA11E" w14:textId="77777777" w:rsidR="00E50867" w:rsidRPr="009D56B8" w:rsidRDefault="00E50867">
      <w:pPr>
        <w:pStyle w:val="Standard1"/>
        <w:rPr>
          <w:highlight w:val="yellow"/>
          <w:lang w:val="nb-NO"/>
        </w:rPr>
      </w:pPr>
    </w:p>
    <w:p w14:paraId="5790DDAE" w14:textId="2D84F905" w:rsidR="00E50867" w:rsidRPr="009D56B8" w:rsidRDefault="00C770E8">
      <w:pPr>
        <w:pStyle w:val="Standard1"/>
        <w:numPr>
          <w:ilvl w:val="0"/>
          <w:numId w:val="42"/>
        </w:numPr>
        <w:ind w:left="567" w:hanging="207"/>
        <w:rPr>
          <w:lang w:val="nb-NO"/>
        </w:rPr>
      </w:pPr>
      <w:r w:rsidRPr="009D56B8">
        <w:rPr>
          <w:lang w:val="nb-NO"/>
        </w:rPr>
        <w:t xml:space="preserve">varighet av </w:t>
      </w:r>
      <w:r w:rsidR="004F77A9" w:rsidRPr="009D56B8">
        <w:rPr>
          <w:lang w:val="nb-NO"/>
        </w:rPr>
        <w:t>dimetylfumarat</w:t>
      </w:r>
      <w:r w:rsidRPr="009D56B8">
        <w:rPr>
          <w:lang w:val="nb-NO"/>
        </w:rPr>
        <w:t>behandlingen – tilfeller av PML har forekommet etter ca. 1 – 5 års behandling, selv om den nøyaktige sammenhengen med behandlingens varighet ikke er kjent</w:t>
      </w:r>
    </w:p>
    <w:p w14:paraId="6B95379F" w14:textId="77777777" w:rsidR="00E50867" w:rsidRPr="009D56B8" w:rsidRDefault="00E50867">
      <w:pPr>
        <w:pStyle w:val="Standard1"/>
        <w:ind w:left="567"/>
        <w:rPr>
          <w:lang w:val="nb-NO"/>
        </w:rPr>
      </w:pPr>
    </w:p>
    <w:p w14:paraId="5683BFAD" w14:textId="5DD4B42F" w:rsidR="00E50867" w:rsidRPr="009D56B8" w:rsidRDefault="00C770E8">
      <w:pPr>
        <w:pStyle w:val="Standard1"/>
        <w:numPr>
          <w:ilvl w:val="0"/>
          <w:numId w:val="42"/>
        </w:numPr>
        <w:ind w:left="567" w:hanging="207"/>
        <w:rPr>
          <w:szCs w:val="22"/>
          <w:lang w:val="nb-NO"/>
        </w:rPr>
      </w:pPr>
      <w:r w:rsidRPr="009D56B8">
        <w:rPr>
          <w:lang w:val="nb-NO"/>
        </w:rPr>
        <w:t>kraftig reduksjon i antall CD4-positive og spesielt CD8-positive T-celler, som er viktig for immunforsvaret (se pkt. 4.8) og</w:t>
      </w:r>
    </w:p>
    <w:p w14:paraId="175D45DD" w14:textId="77777777" w:rsidR="00E50867" w:rsidRPr="009D56B8" w:rsidRDefault="00E50867">
      <w:pPr>
        <w:pStyle w:val="Standard1"/>
        <w:ind w:left="567"/>
        <w:rPr>
          <w:szCs w:val="22"/>
          <w:lang w:val="nb-NO"/>
        </w:rPr>
      </w:pPr>
    </w:p>
    <w:p w14:paraId="704DE5FB" w14:textId="77777777" w:rsidR="00E50867" w:rsidRPr="009D56B8" w:rsidRDefault="00C770E8" w:rsidP="00521D5D">
      <w:pPr>
        <w:pStyle w:val="Standard1"/>
        <w:numPr>
          <w:ilvl w:val="0"/>
          <w:numId w:val="42"/>
        </w:numPr>
        <w:ind w:left="567" w:hanging="207"/>
        <w:rPr>
          <w:szCs w:val="22"/>
          <w:lang w:val="nb-NO"/>
        </w:rPr>
      </w:pPr>
      <w:r w:rsidRPr="009D56B8">
        <w:rPr>
          <w:lang w:val="nb-NO"/>
        </w:rPr>
        <w:lastRenderedPageBreak/>
        <w:t>tidligere immunsuppressiv eller immunmodulerende behandling (se nedenfor).</w:t>
      </w:r>
    </w:p>
    <w:p w14:paraId="777CBEF3" w14:textId="77777777" w:rsidR="00E50867" w:rsidRPr="009D56B8" w:rsidRDefault="00E50867">
      <w:pPr>
        <w:rPr>
          <w:lang w:val="da-DK"/>
        </w:rPr>
      </w:pPr>
    </w:p>
    <w:p w14:paraId="07B6585B" w14:textId="77777777" w:rsidR="00E50867" w:rsidRPr="009D56B8" w:rsidRDefault="00C770E8">
      <w:pPr>
        <w:rPr>
          <w:lang w:val="nb-NO"/>
        </w:rPr>
      </w:pPr>
      <w:r w:rsidRPr="009D56B8">
        <w:rPr>
          <w:lang w:val="nb-NO"/>
        </w:rPr>
        <w:t>Leger bør vurdere om pasientenes symptomer indikerer nevrologisk dysfunksjon, og i så fall om disse symptomene er typiske for MS eller forenlig med PML.</w:t>
      </w:r>
    </w:p>
    <w:p w14:paraId="79685A12" w14:textId="77777777" w:rsidR="00E50867" w:rsidRPr="009D56B8" w:rsidRDefault="00E50867">
      <w:pPr>
        <w:rPr>
          <w:szCs w:val="22"/>
          <w:lang w:val="nb-NO"/>
        </w:rPr>
      </w:pPr>
    </w:p>
    <w:p w14:paraId="33545B87" w14:textId="61521326" w:rsidR="00E50867" w:rsidRPr="009D56B8" w:rsidRDefault="00C770E8">
      <w:pPr>
        <w:rPr>
          <w:lang w:val="nb-NO"/>
        </w:rPr>
      </w:pPr>
      <w:r w:rsidRPr="009D56B8">
        <w:rPr>
          <w:szCs w:val="22"/>
          <w:lang w:val="nb-NO"/>
        </w:rPr>
        <w:t xml:space="preserve">Ved første tegn eller symptomer som tyder på PML skal behandling med </w:t>
      </w:r>
      <w:r w:rsidR="004F77A9" w:rsidRPr="009D56B8">
        <w:rPr>
          <w:szCs w:val="22"/>
          <w:lang w:val="nb-NO"/>
        </w:rPr>
        <w:t>dimetylfumarat</w:t>
      </w:r>
      <w:r w:rsidRPr="009D56B8">
        <w:rPr>
          <w:szCs w:val="22"/>
          <w:lang w:val="nb-NO"/>
        </w:rPr>
        <w:t xml:space="preserve"> avbrytes, og egnede diagnostiske undersøkelser må utføres, </w:t>
      </w:r>
      <w:r w:rsidRPr="009D56B8">
        <w:rPr>
          <w:lang w:val="nb-NO"/>
        </w:rPr>
        <w:t>inkludert bestemmelse av JCV-DNA i cerebrospinalvæske ved hjelp av kvantitativ polymerasekjedereaksjon (PCR)</w:t>
      </w:r>
      <w:r w:rsidRPr="009D56B8">
        <w:rPr>
          <w:szCs w:val="22"/>
          <w:lang w:val="nb-NO"/>
        </w:rPr>
        <w:t xml:space="preserve">. Symptomene på PML kan ligne et MS-anfall. Typiske symptomer som er forbundet med PML er varierte, de utvikles i løpet av dager til uker og omfatter tiltagende svekkelse i én side av kroppen eller klossete bevegelser av armer og bein, synsforstyrrelser og endringer i tanker, hukommelse og orientering, noe som medfører forvirring og personlighetsforandringer. </w:t>
      </w:r>
      <w:r w:rsidRPr="009D56B8">
        <w:rPr>
          <w:szCs w:val="22"/>
          <w:lang w:val="nb-NO" w:eastAsia="zh-CN"/>
        </w:rPr>
        <w:t>Leger bør være spesielt oppmerksomme på symptomer som tyder på PML og som pasienten selv kanskje ikke legger merke til. Pasienten bør også rådes til å informere sin partner eller sine omsorgspersoner om behandlingen, fordi de kan legge merke til symptomer som pasienten selv ikke er klar over.</w:t>
      </w:r>
    </w:p>
    <w:p w14:paraId="46480E9A" w14:textId="77777777" w:rsidR="00E50867" w:rsidRPr="009D56B8" w:rsidRDefault="00E50867">
      <w:pPr>
        <w:widowControl w:val="0"/>
        <w:autoSpaceDE w:val="0"/>
        <w:autoSpaceDN w:val="0"/>
        <w:adjustRightInd w:val="0"/>
        <w:rPr>
          <w:lang w:val="nb-NO"/>
        </w:rPr>
      </w:pPr>
    </w:p>
    <w:p w14:paraId="55650B80" w14:textId="77777777" w:rsidR="00E50867" w:rsidRPr="009D56B8" w:rsidRDefault="00C770E8">
      <w:pPr>
        <w:rPr>
          <w:lang w:val="nb-NO"/>
        </w:rPr>
      </w:pPr>
      <w:r w:rsidRPr="009D56B8">
        <w:rPr>
          <w:lang w:val="nb-NO"/>
        </w:rPr>
        <w:t xml:space="preserve">PML kan kun forekomme ved en JCV-infeksjon. </w:t>
      </w:r>
      <w:bookmarkStart w:id="5" w:name="_Hlk49942595"/>
      <w:r w:rsidRPr="009D56B8">
        <w:rPr>
          <w:lang w:val="nb-NO"/>
        </w:rPr>
        <w:t>Det er ikke undersøkt om lymfopeni påvirker nøyaktigheten av anti-JCV antistofftesting i serum hos pasienter som behandles med dimetylfumarat, og dette bør tas i betraktning. Det bør også legges merke til at en negativ anti-JCV antistofftest (ved normale lymfocyttall) ikke utelukker muligheten for senere JCV-infeksjon</w:t>
      </w:r>
      <w:bookmarkEnd w:id="5"/>
      <w:r w:rsidRPr="009D56B8">
        <w:rPr>
          <w:lang w:val="nb-NO"/>
        </w:rPr>
        <w:t>.</w:t>
      </w:r>
    </w:p>
    <w:p w14:paraId="20771A60" w14:textId="77777777" w:rsidR="00E50867" w:rsidRPr="009D56B8" w:rsidRDefault="00E50867">
      <w:pPr>
        <w:widowControl w:val="0"/>
        <w:autoSpaceDE w:val="0"/>
        <w:autoSpaceDN w:val="0"/>
        <w:adjustRightInd w:val="0"/>
        <w:rPr>
          <w:u w:val="single"/>
          <w:lang w:val="nb-NO"/>
        </w:rPr>
      </w:pPr>
    </w:p>
    <w:p w14:paraId="143B856E" w14:textId="24B58CF2" w:rsidR="00E50867" w:rsidRPr="009D56B8" w:rsidRDefault="00C770E8">
      <w:pPr>
        <w:widowControl w:val="0"/>
        <w:autoSpaceDE w:val="0"/>
        <w:autoSpaceDN w:val="0"/>
        <w:adjustRightInd w:val="0"/>
        <w:rPr>
          <w:u w:val="single"/>
          <w:lang w:val="nb-NO"/>
        </w:rPr>
      </w:pPr>
      <w:r w:rsidRPr="009D56B8">
        <w:rPr>
          <w:lang w:val="nb-NO"/>
        </w:rPr>
        <w:t xml:space="preserve">Hvis en pasient utvikler PML, må </w:t>
      </w:r>
      <w:r w:rsidR="00416DC0" w:rsidRPr="009D56B8">
        <w:rPr>
          <w:lang w:val="nb-NO"/>
        </w:rPr>
        <w:t>dimetylfumarat</w:t>
      </w:r>
      <w:r w:rsidRPr="009D56B8">
        <w:rPr>
          <w:lang w:val="nb-NO"/>
        </w:rPr>
        <w:t xml:space="preserve"> seponeres permanent.</w:t>
      </w:r>
    </w:p>
    <w:p w14:paraId="4A7A9B69" w14:textId="77777777" w:rsidR="00E50867" w:rsidRPr="009D56B8" w:rsidRDefault="00E50867">
      <w:pPr>
        <w:widowControl w:val="0"/>
        <w:autoSpaceDE w:val="0"/>
        <w:autoSpaceDN w:val="0"/>
        <w:adjustRightInd w:val="0"/>
        <w:rPr>
          <w:u w:val="single"/>
          <w:lang w:val="nb-NO"/>
        </w:rPr>
      </w:pPr>
    </w:p>
    <w:p w14:paraId="5CA8EBCD" w14:textId="77777777" w:rsidR="00E50867" w:rsidRPr="009D56B8" w:rsidRDefault="00C770E8">
      <w:pPr>
        <w:widowControl w:val="0"/>
        <w:autoSpaceDE w:val="0"/>
        <w:autoSpaceDN w:val="0"/>
        <w:adjustRightInd w:val="0"/>
        <w:rPr>
          <w:u w:val="single"/>
          <w:lang w:val="nb-NO"/>
        </w:rPr>
      </w:pPr>
      <w:r w:rsidRPr="009D56B8">
        <w:rPr>
          <w:u w:val="single"/>
          <w:lang w:val="nb-NO"/>
        </w:rPr>
        <w:t>Tidligere behandling med immunsuppressiv eller immunmodulerende behandling</w:t>
      </w:r>
    </w:p>
    <w:p w14:paraId="576AFD73" w14:textId="77777777" w:rsidR="00E50867" w:rsidRPr="009D56B8" w:rsidRDefault="00E50867">
      <w:pPr>
        <w:widowControl w:val="0"/>
        <w:autoSpaceDE w:val="0"/>
        <w:autoSpaceDN w:val="0"/>
        <w:adjustRightInd w:val="0"/>
        <w:rPr>
          <w:szCs w:val="22"/>
          <w:u w:val="single"/>
          <w:lang w:val="nb-NO"/>
        </w:rPr>
      </w:pPr>
    </w:p>
    <w:p w14:paraId="3E8A06C9" w14:textId="1295910D" w:rsidR="00E50867" w:rsidRPr="009D56B8" w:rsidRDefault="00C770E8">
      <w:pPr>
        <w:widowControl w:val="0"/>
        <w:autoSpaceDE w:val="0"/>
        <w:autoSpaceDN w:val="0"/>
        <w:adjustRightInd w:val="0"/>
        <w:rPr>
          <w:szCs w:val="22"/>
          <w:lang w:val="nb-NO"/>
        </w:rPr>
      </w:pPr>
      <w:r w:rsidRPr="009D56B8">
        <w:rPr>
          <w:szCs w:val="22"/>
          <w:lang w:val="nb-NO"/>
        </w:rPr>
        <w:t xml:space="preserve">Det er ikke utført studier for å evaluere effekten og sikkerheten av </w:t>
      </w:r>
      <w:r w:rsidR="00416DC0" w:rsidRPr="009D56B8">
        <w:rPr>
          <w:szCs w:val="22"/>
          <w:lang w:val="nb-NO"/>
        </w:rPr>
        <w:t>dimetylfumarat</w:t>
      </w:r>
      <w:r w:rsidRPr="009D56B8">
        <w:rPr>
          <w:szCs w:val="22"/>
          <w:lang w:val="nb-NO"/>
        </w:rPr>
        <w:t xml:space="preserve"> når pasienter bytter fra annen sykdomsmodifiserende behandling til </w:t>
      </w:r>
      <w:r w:rsidR="00416DC0" w:rsidRPr="009D56B8">
        <w:rPr>
          <w:szCs w:val="22"/>
          <w:lang w:val="nb-NO"/>
        </w:rPr>
        <w:t>dimetylfumarat</w:t>
      </w:r>
      <w:r w:rsidRPr="009D56B8">
        <w:rPr>
          <w:szCs w:val="22"/>
          <w:lang w:val="nb-NO"/>
        </w:rPr>
        <w:t>. Bidrag fra tidligere immunsuppressiv behandling på utvikling av PML hos dimetylfumaratbehandlede pasienter er mulig.</w:t>
      </w:r>
    </w:p>
    <w:p w14:paraId="503316F9" w14:textId="77777777" w:rsidR="00E50867" w:rsidRPr="009D56B8" w:rsidRDefault="00E50867">
      <w:pPr>
        <w:widowControl w:val="0"/>
        <w:autoSpaceDE w:val="0"/>
        <w:autoSpaceDN w:val="0"/>
        <w:adjustRightInd w:val="0"/>
        <w:rPr>
          <w:szCs w:val="22"/>
          <w:lang w:val="nb-NO"/>
        </w:rPr>
      </w:pPr>
    </w:p>
    <w:p w14:paraId="53053303" w14:textId="06660CC1" w:rsidR="00E50867" w:rsidRPr="009D56B8" w:rsidRDefault="00C770E8">
      <w:pPr>
        <w:tabs>
          <w:tab w:val="clear" w:pos="567"/>
        </w:tabs>
        <w:rPr>
          <w:szCs w:val="22"/>
          <w:lang w:val="nb-NO" w:eastAsia="zh-CN"/>
        </w:rPr>
      </w:pPr>
      <w:r w:rsidRPr="009D56B8">
        <w:rPr>
          <w:szCs w:val="22"/>
          <w:lang w:val="nb-NO" w:eastAsia="zh-CN"/>
        </w:rPr>
        <w:t xml:space="preserve">Tilfeller av PML </w:t>
      </w:r>
      <w:r w:rsidR="00B934D4" w:rsidRPr="009D56B8">
        <w:rPr>
          <w:szCs w:val="22"/>
          <w:lang w:val="nb-NO" w:eastAsia="zh-CN"/>
        </w:rPr>
        <w:t>er rapportert</w:t>
      </w:r>
      <w:r w:rsidRPr="009D56B8">
        <w:rPr>
          <w:szCs w:val="22"/>
          <w:lang w:val="nb-NO" w:eastAsia="zh-CN"/>
        </w:rPr>
        <w:t xml:space="preserve"> hos pasienter som tidligere er behandlet med natalizumab.</w:t>
      </w:r>
      <w:r w:rsidR="006E1FDB" w:rsidRPr="009D56B8">
        <w:rPr>
          <w:szCs w:val="22"/>
          <w:lang w:val="nb-NO" w:eastAsia="zh-CN"/>
        </w:rPr>
        <w:t xml:space="preserve"> Risiko for PML er fastslått ved behandling med natalizumab.</w:t>
      </w:r>
      <w:r w:rsidRPr="009D56B8">
        <w:rPr>
          <w:szCs w:val="22"/>
          <w:lang w:val="nb-NO" w:eastAsia="zh-CN"/>
        </w:rPr>
        <w:t xml:space="preserve"> Leger bør være klar over at tilfeller av PML som oppstår etter nylig seponering av natalizumab kanskje ikke er forbundet med lymfopeni.</w:t>
      </w:r>
    </w:p>
    <w:p w14:paraId="0982CACB" w14:textId="77777777" w:rsidR="00E50867" w:rsidRPr="009D56B8" w:rsidRDefault="00E50867">
      <w:pPr>
        <w:widowControl w:val="0"/>
        <w:autoSpaceDE w:val="0"/>
        <w:autoSpaceDN w:val="0"/>
        <w:adjustRightInd w:val="0"/>
        <w:rPr>
          <w:szCs w:val="22"/>
          <w:lang w:val="nb-NO"/>
        </w:rPr>
      </w:pPr>
    </w:p>
    <w:p w14:paraId="79AA72E8" w14:textId="0EEA57FF" w:rsidR="00E50867" w:rsidRPr="009D56B8" w:rsidRDefault="00C770E8">
      <w:pPr>
        <w:widowControl w:val="0"/>
        <w:autoSpaceDE w:val="0"/>
        <w:autoSpaceDN w:val="0"/>
        <w:adjustRightInd w:val="0"/>
        <w:rPr>
          <w:lang w:val="nb-NO"/>
        </w:rPr>
      </w:pPr>
      <w:r w:rsidRPr="009D56B8">
        <w:rPr>
          <w:lang w:val="nb-NO"/>
        </w:rPr>
        <w:t xml:space="preserve">I tillegg forekom de fleste bekreftede PML-tilfellene ved bruk av </w:t>
      </w:r>
      <w:r w:rsidR="00416DC0" w:rsidRPr="009D56B8">
        <w:rPr>
          <w:lang w:val="nb-NO"/>
        </w:rPr>
        <w:t>dimetylfumarat</w:t>
      </w:r>
      <w:r w:rsidRPr="009D56B8">
        <w:rPr>
          <w:lang w:val="nb-NO"/>
        </w:rPr>
        <w:t xml:space="preserve"> hos pasienter som tidligere hadde fått immunmodulerende behandling.</w:t>
      </w:r>
    </w:p>
    <w:p w14:paraId="1B073215" w14:textId="77777777" w:rsidR="00E50867" w:rsidRPr="009D56B8" w:rsidRDefault="00E50867">
      <w:pPr>
        <w:widowControl w:val="0"/>
        <w:autoSpaceDE w:val="0"/>
        <w:autoSpaceDN w:val="0"/>
        <w:adjustRightInd w:val="0"/>
        <w:rPr>
          <w:lang w:val="nb-NO"/>
        </w:rPr>
      </w:pPr>
    </w:p>
    <w:p w14:paraId="7E191695" w14:textId="2EE3FFEC" w:rsidR="00E50867" w:rsidRPr="009D56B8" w:rsidRDefault="00C770E8">
      <w:pPr>
        <w:widowControl w:val="0"/>
        <w:autoSpaceDE w:val="0"/>
        <w:autoSpaceDN w:val="0"/>
        <w:adjustRightInd w:val="0"/>
        <w:rPr>
          <w:szCs w:val="22"/>
          <w:lang w:val="nb-NO"/>
        </w:rPr>
      </w:pPr>
      <w:r w:rsidRPr="009D56B8">
        <w:rPr>
          <w:szCs w:val="22"/>
          <w:lang w:val="nb-NO"/>
        </w:rPr>
        <w:t xml:space="preserve">Når pasienter bytter fra annen sykdomsmodifiserende behandling til </w:t>
      </w:r>
      <w:r w:rsidR="00416DC0" w:rsidRPr="009D56B8">
        <w:rPr>
          <w:szCs w:val="22"/>
          <w:lang w:val="nb-NO"/>
        </w:rPr>
        <w:t>dimetylfumarat</w:t>
      </w:r>
      <w:r w:rsidRPr="009D56B8">
        <w:rPr>
          <w:szCs w:val="22"/>
          <w:lang w:val="nb-NO"/>
        </w:rPr>
        <w:t xml:space="preserve">, bør halveringstiden og virkningsmekanismen til den andre behandlingen tas i betraktning for å unngå en additiv immuneffekt og samtidig redusere risikoen for å reaktivere MS. En fullstendig blodcelletelling anbefales før oppstart av behandling med </w:t>
      </w:r>
      <w:r w:rsidR="00416DC0" w:rsidRPr="009D56B8">
        <w:rPr>
          <w:szCs w:val="22"/>
          <w:lang w:val="nb-NO"/>
        </w:rPr>
        <w:t>dimetylfumarat</w:t>
      </w:r>
      <w:r w:rsidRPr="009D56B8">
        <w:rPr>
          <w:szCs w:val="22"/>
          <w:lang w:val="nb-NO"/>
        </w:rPr>
        <w:t xml:space="preserve"> og regelmessig under behandlingen (se Blod</w:t>
      </w:r>
      <w:r w:rsidR="004558BB" w:rsidRPr="009D56B8">
        <w:rPr>
          <w:szCs w:val="22"/>
          <w:lang w:val="nb-NO"/>
        </w:rPr>
        <w:noBreakHyphen/>
      </w:r>
      <w:r w:rsidRPr="009D56B8">
        <w:rPr>
          <w:szCs w:val="22"/>
          <w:lang w:val="nb-NO"/>
        </w:rPr>
        <w:t>/laboratorieundersøkelser ovenfor).</w:t>
      </w:r>
    </w:p>
    <w:p w14:paraId="238452DC" w14:textId="77777777" w:rsidR="00E50867" w:rsidRPr="009D56B8" w:rsidRDefault="00E50867">
      <w:pPr>
        <w:widowControl w:val="0"/>
        <w:autoSpaceDE w:val="0"/>
        <w:autoSpaceDN w:val="0"/>
        <w:adjustRightInd w:val="0"/>
        <w:rPr>
          <w:szCs w:val="22"/>
          <w:lang w:val="nb-NO"/>
        </w:rPr>
      </w:pPr>
    </w:p>
    <w:p w14:paraId="266B77CC" w14:textId="1403E976" w:rsidR="00E50867" w:rsidRPr="009D56B8" w:rsidRDefault="00C770E8">
      <w:pPr>
        <w:keepNext/>
        <w:widowControl w:val="0"/>
        <w:suppressLineNumbers/>
        <w:rPr>
          <w:szCs w:val="22"/>
          <w:u w:val="single"/>
          <w:lang w:val="nb-NO"/>
        </w:rPr>
      </w:pPr>
      <w:r w:rsidRPr="009D56B8">
        <w:rPr>
          <w:szCs w:val="22"/>
          <w:u w:val="single"/>
          <w:lang w:val="nb-NO"/>
        </w:rPr>
        <w:t xml:space="preserve">Alvorlig nedsatt nyre- </w:t>
      </w:r>
      <w:r w:rsidR="004521BF" w:rsidRPr="009D56B8">
        <w:rPr>
          <w:szCs w:val="22"/>
          <w:u w:val="single"/>
          <w:lang w:val="nb-NO"/>
        </w:rPr>
        <w:t>eller</w:t>
      </w:r>
      <w:r w:rsidRPr="009D56B8">
        <w:rPr>
          <w:szCs w:val="22"/>
          <w:u w:val="single"/>
          <w:lang w:val="nb-NO"/>
        </w:rPr>
        <w:t xml:space="preserve"> leverfunksjon</w:t>
      </w:r>
    </w:p>
    <w:p w14:paraId="03DF9798" w14:textId="77777777" w:rsidR="00E50867" w:rsidRPr="009D56B8" w:rsidRDefault="00E50867">
      <w:pPr>
        <w:keepNext/>
        <w:widowControl w:val="0"/>
        <w:suppressLineNumbers/>
        <w:rPr>
          <w:szCs w:val="22"/>
          <w:u w:val="single"/>
          <w:lang w:val="nb-NO"/>
        </w:rPr>
      </w:pPr>
    </w:p>
    <w:p w14:paraId="33C74476" w14:textId="7BDDC092" w:rsidR="00E50867" w:rsidRPr="009D56B8" w:rsidRDefault="00DB0D35">
      <w:pPr>
        <w:widowControl w:val="0"/>
        <w:suppressLineNumbers/>
        <w:rPr>
          <w:szCs w:val="22"/>
          <w:lang w:val="nb-NO"/>
        </w:rPr>
      </w:pPr>
      <w:r w:rsidRPr="009D56B8">
        <w:rPr>
          <w:szCs w:val="22"/>
          <w:lang w:val="nb-NO"/>
        </w:rPr>
        <w:t>Dimetylfumarat</w:t>
      </w:r>
      <w:r w:rsidR="00C770E8" w:rsidRPr="009D56B8">
        <w:rPr>
          <w:szCs w:val="22"/>
          <w:lang w:val="nb-NO"/>
        </w:rPr>
        <w:t xml:space="preserve"> er ikke undersøkt hos pasienter med alvorlig nedsatt nyre- eller leverfunksjon, og forsiktighet bør derfor utvises ved behandling av disse pasientene (se pkt. 4.2).</w:t>
      </w:r>
    </w:p>
    <w:p w14:paraId="7E9A3D14" w14:textId="77777777" w:rsidR="00E50867" w:rsidRPr="009D56B8" w:rsidRDefault="00E50867">
      <w:pPr>
        <w:widowControl w:val="0"/>
        <w:suppressLineNumbers/>
        <w:rPr>
          <w:szCs w:val="22"/>
          <w:lang w:val="nb-NO"/>
        </w:rPr>
      </w:pPr>
    </w:p>
    <w:p w14:paraId="7E261CC7" w14:textId="77777777" w:rsidR="00E50867" w:rsidRPr="009D56B8" w:rsidRDefault="00C770E8">
      <w:pPr>
        <w:keepNext/>
        <w:widowControl w:val="0"/>
        <w:suppressLineNumbers/>
        <w:rPr>
          <w:szCs w:val="22"/>
          <w:u w:val="single"/>
          <w:lang w:val="nb-NO"/>
        </w:rPr>
      </w:pPr>
      <w:r w:rsidRPr="009D56B8">
        <w:rPr>
          <w:szCs w:val="22"/>
          <w:u w:val="single"/>
          <w:lang w:val="nb-NO"/>
        </w:rPr>
        <w:t>Alvorlig aktiv gastrointestinal sykdom</w:t>
      </w:r>
    </w:p>
    <w:p w14:paraId="172AE985" w14:textId="77777777" w:rsidR="00E50867" w:rsidRPr="009D56B8" w:rsidRDefault="00E50867">
      <w:pPr>
        <w:widowControl w:val="0"/>
        <w:suppressLineNumbers/>
        <w:rPr>
          <w:szCs w:val="22"/>
          <w:u w:val="single"/>
          <w:lang w:val="nb-NO"/>
        </w:rPr>
      </w:pPr>
    </w:p>
    <w:p w14:paraId="644D4418" w14:textId="053197F4" w:rsidR="00E50867" w:rsidRPr="009D56B8" w:rsidRDefault="00DB0D35">
      <w:pPr>
        <w:widowControl w:val="0"/>
        <w:suppressLineNumbers/>
        <w:rPr>
          <w:szCs w:val="22"/>
          <w:lang w:val="nb-NO"/>
        </w:rPr>
      </w:pPr>
      <w:r w:rsidRPr="009D56B8">
        <w:rPr>
          <w:szCs w:val="22"/>
          <w:lang w:val="nb-NO"/>
        </w:rPr>
        <w:t>Dimetylfumarat</w:t>
      </w:r>
      <w:r w:rsidR="00C770E8" w:rsidRPr="009D56B8">
        <w:rPr>
          <w:szCs w:val="22"/>
          <w:lang w:val="nb-NO"/>
        </w:rPr>
        <w:t xml:space="preserve"> er ikke undersøkt hos pasienter med alvorlig aktiv gastrointestinal sykdom, og forsiktighet bør derfor utvises ved behandling av disse pasientene.</w:t>
      </w:r>
    </w:p>
    <w:p w14:paraId="033A3014" w14:textId="77777777" w:rsidR="00E50867" w:rsidRPr="009D56B8" w:rsidRDefault="00E50867">
      <w:pPr>
        <w:rPr>
          <w:szCs w:val="22"/>
          <w:lang w:val="nb-NO"/>
        </w:rPr>
      </w:pPr>
    </w:p>
    <w:p w14:paraId="6A531D32" w14:textId="77777777" w:rsidR="00E50867" w:rsidRPr="009D56B8" w:rsidRDefault="00C770E8">
      <w:pPr>
        <w:keepNext/>
        <w:widowControl w:val="0"/>
        <w:suppressLineNumbers/>
        <w:rPr>
          <w:szCs w:val="22"/>
          <w:u w:val="single"/>
          <w:lang w:val="nb-NO"/>
        </w:rPr>
      </w:pPr>
      <w:r w:rsidRPr="009D56B8">
        <w:rPr>
          <w:szCs w:val="22"/>
          <w:u w:val="single"/>
          <w:lang w:val="nb-NO"/>
        </w:rPr>
        <w:t>Flushing</w:t>
      </w:r>
    </w:p>
    <w:p w14:paraId="1193EE45" w14:textId="77777777" w:rsidR="00E50867" w:rsidRPr="009D56B8" w:rsidRDefault="00E50867">
      <w:pPr>
        <w:keepNext/>
        <w:widowControl w:val="0"/>
        <w:suppressLineNumbers/>
        <w:rPr>
          <w:szCs w:val="22"/>
          <w:u w:val="single"/>
          <w:lang w:val="nb-NO"/>
        </w:rPr>
      </w:pPr>
    </w:p>
    <w:p w14:paraId="73289525" w14:textId="5A9F294E" w:rsidR="00E50867" w:rsidRPr="009D56B8" w:rsidRDefault="00C770E8">
      <w:pPr>
        <w:widowControl w:val="0"/>
        <w:suppressLineNumbers/>
        <w:rPr>
          <w:szCs w:val="22"/>
          <w:lang w:val="nb-NO"/>
        </w:rPr>
      </w:pPr>
      <w:r w:rsidRPr="009D56B8">
        <w:rPr>
          <w:szCs w:val="22"/>
          <w:lang w:val="nb-NO"/>
        </w:rPr>
        <w:t xml:space="preserve">I kliniske studier opplevde 34 % av pasientene som ble behandlet med </w:t>
      </w:r>
      <w:r w:rsidR="00B771AE" w:rsidRPr="009D56B8">
        <w:rPr>
          <w:szCs w:val="22"/>
          <w:lang w:val="nb-NO"/>
        </w:rPr>
        <w:t>dimetylfumarat</w:t>
      </w:r>
      <w:r w:rsidRPr="009D56B8">
        <w:rPr>
          <w:szCs w:val="22"/>
          <w:lang w:val="nb-NO"/>
        </w:rPr>
        <w:t xml:space="preserve"> flushing. Hos flesteparten av pasientene som opplevde flushing, var den av mild eller moderat alvorlighetsgrad. </w:t>
      </w:r>
      <w:bookmarkStart w:id="6" w:name="_Hlk504997409"/>
      <w:r w:rsidRPr="009D56B8">
        <w:rPr>
          <w:szCs w:val="22"/>
          <w:lang w:val="nb-NO"/>
        </w:rPr>
        <w:t xml:space="preserve">Data fra studier med friske, frivillige forsøkspersoner indikerer at flushing i forbindelse med dimetylfumarat </w:t>
      </w:r>
      <w:r w:rsidRPr="009D56B8">
        <w:rPr>
          <w:szCs w:val="22"/>
          <w:lang w:val="nb-NO"/>
        </w:rPr>
        <w:lastRenderedPageBreak/>
        <w:t>sannsynligvis er prostaglandinmediert</w:t>
      </w:r>
      <w:bookmarkEnd w:id="6"/>
      <w:r w:rsidRPr="009D56B8">
        <w:rPr>
          <w:szCs w:val="22"/>
          <w:lang w:val="nb-NO"/>
        </w:rPr>
        <w:t>. En kort behandlingskur med 75 mg acetylsalisylsyre uten enterodrasjering kan være gunstig hos pasienter som rammes av uakseptabel flushing (se pkt. 4.5). I to studier med friske, frivillige forsøkspersoner ble forekomsten og alvorlighetsgraden av flushing i behandlingsperioden redusert.</w:t>
      </w:r>
    </w:p>
    <w:p w14:paraId="76EEA29A" w14:textId="77777777" w:rsidR="00E50867" w:rsidRPr="009D56B8" w:rsidRDefault="00E50867">
      <w:pPr>
        <w:widowControl w:val="0"/>
        <w:suppressLineNumbers/>
        <w:rPr>
          <w:szCs w:val="22"/>
          <w:lang w:val="nb-NO"/>
        </w:rPr>
      </w:pPr>
    </w:p>
    <w:p w14:paraId="3BE0D905" w14:textId="752000D2" w:rsidR="00E50867" w:rsidRPr="009D56B8" w:rsidRDefault="00C770E8">
      <w:pPr>
        <w:widowControl w:val="0"/>
        <w:suppressLineNumbers/>
        <w:rPr>
          <w:szCs w:val="22"/>
          <w:u w:val="single"/>
          <w:lang w:val="nb-NO"/>
        </w:rPr>
      </w:pPr>
      <w:r w:rsidRPr="009D56B8">
        <w:rPr>
          <w:szCs w:val="22"/>
          <w:lang w:val="nb-NO"/>
        </w:rPr>
        <w:t>I kliniske studier opplevde 3</w:t>
      </w:r>
      <w:r w:rsidR="001753BB" w:rsidRPr="009D56B8">
        <w:rPr>
          <w:szCs w:val="22"/>
          <w:lang w:val="nb-NO"/>
        </w:rPr>
        <w:t> </w:t>
      </w:r>
      <w:r w:rsidRPr="009D56B8">
        <w:rPr>
          <w:szCs w:val="22"/>
          <w:lang w:val="nb-NO"/>
        </w:rPr>
        <w:t xml:space="preserve">av totalt 2560 pasienter som ble behandlet med dimetylfumarat alvorlige flushingsymptomer som sannsynligvis var overfølsomhets- eller anafylaktoide reaksjoner. Disse </w:t>
      </w:r>
      <w:r w:rsidR="00E52268" w:rsidRPr="009D56B8">
        <w:rPr>
          <w:szCs w:val="22"/>
          <w:lang w:val="nb-NO"/>
        </w:rPr>
        <w:t xml:space="preserve">bivirkningene </w:t>
      </w:r>
      <w:r w:rsidRPr="009D56B8">
        <w:rPr>
          <w:szCs w:val="22"/>
          <w:lang w:val="nb-NO"/>
        </w:rPr>
        <w:t>var ikke livstruende, men førte til sykehusinnleggelse. Ved alvorlige flushing-reaksjoner bør forskrivere og pasienter være oppmerksomme på denne muligheten (se pkt. 4.2, 4.5 og 4.8).</w:t>
      </w:r>
    </w:p>
    <w:p w14:paraId="3BF25E06" w14:textId="77777777" w:rsidR="00E50867" w:rsidRPr="009D56B8" w:rsidRDefault="00E50867">
      <w:pPr>
        <w:widowControl w:val="0"/>
        <w:suppressLineNumbers/>
        <w:rPr>
          <w:szCs w:val="22"/>
          <w:u w:val="single"/>
          <w:lang w:val="nb-NO"/>
        </w:rPr>
      </w:pPr>
    </w:p>
    <w:p w14:paraId="5C0DD169" w14:textId="77777777" w:rsidR="00E50867" w:rsidRPr="009D56B8" w:rsidRDefault="00C770E8">
      <w:pPr>
        <w:widowControl w:val="0"/>
        <w:suppressLineNumbers/>
        <w:suppressAutoHyphens w:val="0"/>
        <w:rPr>
          <w:szCs w:val="22"/>
          <w:u w:val="single"/>
          <w:lang w:val="nb-NO" w:eastAsia="en-US"/>
        </w:rPr>
      </w:pPr>
      <w:r w:rsidRPr="009D56B8">
        <w:rPr>
          <w:szCs w:val="22"/>
          <w:u w:val="single"/>
          <w:lang w:val="nb-NO" w:eastAsia="en-US"/>
        </w:rPr>
        <w:t>Anafylaktiske reaksjoner</w:t>
      </w:r>
    </w:p>
    <w:p w14:paraId="1927A30E" w14:textId="77777777" w:rsidR="00E50867" w:rsidRPr="009D56B8" w:rsidRDefault="00E50867">
      <w:pPr>
        <w:widowControl w:val="0"/>
        <w:suppressLineNumbers/>
        <w:suppressAutoHyphens w:val="0"/>
        <w:rPr>
          <w:szCs w:val="22"/>
          <w:u w:val="single"/>
          <w:lang w:val="nb-NO" w:eastAsia="en-US"/>
        </w:rPr>
      </w:pPr>
    </w:p>
    <w:p w14:paraId="20A717DF" w14:textId="2EC0A0C8" w:rsidR="00E50867" w:rsidRPr="009D56B8" w:rsidRDefault="00C770E8">
      <w:pPr>
        <w:widowControl w:val="0"/>
        <w:suppressLineNumbers/>
        <w:suppressAutoHyphens w:val="0"/>
        <w:rPr>
          <w:szCs w:val="22"/>
          <w:lang w:val="nb-NO" w:eastAsia="en-US"/>
        </w:rPr>
      </w:pPr>
      <w:r w:rsidRPr="009D56B8">
        <w:rPr>
          <w:szCs w:val="22"/>
          <w:lang w:val="nb-NO" w:eastAsia="en-US"/>
        </w:rPr>
        <w:t xml:space="preserve">Tilfeller av anafylaksi/anafylaktoid reaksjon er rapportert ved bruk av </w:t>
      </w:r>
      <w:r w:rsidR="00B771AE" w:rsidRPr="009D56B8">
        <w:rPr>
          <w:szCs w:val="22"/>
          <w:lang w:val="nb-NO" w:eastAsia="en-US"/>
        </w:rPr>
        <w:t>dimetylfumarat</w:t>
      </w:r>
      <w:r w:rsidRPr="009D56B8">
        <w:rPr>
          <w:szCs w:val="22"/>
          <w:lang w:val="nb-NO" w:eastAsia="en-US"/>
        </w:rPr>
        <w:t xml:space="preserve"> etter markedsføring</w:t>
      </w:r>
      <w:r w:rsidR="001025B5" w:rsidRPr="009D56B8">
        <w:rPr>
          <w:szCs w:val="22"/>
          <w:lang w:val="nb-NO" w:eastAsia="en-US"/>
        </w:rPr>
        <w:t xml:space="preserve"> (se pkt. 4.8)</w:t>
      </w:r>
      <w:r w:rsidRPr="009D56B8">
        <w:rPr>
          <w:szCs w:val="22"/>
          <w:lang w:val="nb-NO" w:eastAsia="en-US"/>
        </w:rPr>
        <w:t xml:space="preserve">. Symptomer kan omfatte dyspné, hypoksi, hypotensjon, angioødem, utslett og urticaria. Mekanismen ved dimetylfumaratindusert anafylaksi er ukjent. Disse reaksjonene oppstår vanligvis etter første dose, men kan også oppstå når som helst under behandlingen, og kan være alvorlige og livstruende. Pasienter skal instrueres om å seponere </w:t>
      </w:r>
      <w:r w:rsidR="00B771AE" w:rsidRPr="009D56B8">
        <w:rPr>
          <w:szCs w:val="22"/>
          <w:lang w:val="nb-NO" w:eastAsia="en-US"/>
        </w:rPr>
        <w:t>dimetylfumarat</w:t>
      </w:r>
      <w:r w:rsidRPr="009D56B8">
        <w:rPr>
          <w:szCs w:val="22"/>
          <w:lang w:val="nb-NO" w:eastAsia="en-US"/>
        </w:rPr>
        <w:t xml:space="preserve"> og oppsøke legehjelp umiddelbart hvis de får tegn eller symptomer på anafylaksi. Behandlingen bør ikke startes opp igjen (se pkt. 4.8).</w:t>
      </w:r>
    </w:p>
    <w:p w14:paraId="454B79F0" w14:textId="77777777" w:rsidR="00E50867" w:rsidRPr="009D56B8" w:rsidRDefault="00E50867">
      <w:pPr>
        <w:widowControl w:val="0"/>
        <w:suppressLineNumbers/>
        <w:suppressAutoHyphens w:val="0"/>
        <w:rPr>
          <w:szCs w:val="22"/>
          <w:u w:val="single"/>
          <w:lang w:val="nb-NO" w:eastAsia="en-US"/>
        </w:rPr>
      </w:pPr>
    </w:p>
    <w:p w14:paraId="7B91C14D" w14:textId="77777777" w:rsidR="00E50867" w:rsidRPr="009D56B8" w:rsidRDefault="00C770E8">
      <w:pPr>
        <w:widowControl w:val="0"/>
        <w:suppressLineNumbers/>
        <w:rPr>
          <w:szCs w:val="22"/>
          <w:lang w:val="nb-NO"/>
        </w:rPr>
      </w:pPr>
      <w:r w:rsidRPr="009D56B8">
        <w:rPr>
          <w:szCs w:val="22"/>
          <w:u w:val="single"/>
          <w:lang w:val="nb-NO"/>
        </w:rPr>
        <w:t>Infeksjoner</w:t>
      </w:r>
    </w:p>
    <w:p w14:paraId="21B1B45D" w14:textId="77777777" w:rsidR="00E50867" w:rsidRPr="009D56B8" w:rsidRDefault="00E50867">
      <w:pPr>
        <w:widowControl w:val="0"/>
        <w:suppressLineNumbers/>
        <w:rPr>
          <w:szCs w:val="22"/>
          <w:lang w:val="nb-NO"/>
        </w:rPr>
      </w:pPr>
    </w:p>
    <w:p w14:paraId="39612455" w14:textId="67CC77E4" w:rsidR="00E50867" w:rsidRPr="009D56B8" w:rsidRDefault="00C770E8">
      <w:pPr>
        <w:widowControl w:val="0"/>
        <w:suppressLineNumbers/>
        <w:rPr>
          <w:szCs w:val="22"/>
          <w:lang w:val="nb-NO"/>
        </w:rPr>
      </w:pPr>
      <w:r w:rsidRPr="009D56B8">
        <w:rPr>
          <w:szCs w:val="22"/>
          <w:lang w:val="nb-NO"/>
        </w:rPr>
        <w:t xml:space="preserve">I placebokontrollerte fase </w:t>
      </w:r>
      <w:r w:rsidR="00F16DC5" w:rsidRPr="009D56B8">
        <w:rPr>
          <w:szCs w:val="22"/>
          <w:lang w:val="nb-NO"/>
        </w:rPr>
        <w:t>3</w:t>
      </w:r>
      <w:r w:rsidRPr="009D56B8">
        <w:rPr>
          <w:szCs w:val="22"/>
          <w:lang w:val="nb-NO"/>
        </w:rPr>
        <w:t>-studier var insidensen av infeksjoner (60 %</w:t>
      </w:r>
      <w:r w:rsidR="001554BB" w:rsidRPr="009D56B8">
        <w:rPr>
          <w:szCs w:val="22"/>
          <w:lang w:val="nb-NO"/>
        </w:rPr>
        <w:t xml:space="preserve"> </w:t>
      </w:r>
      <w:r w:rsidRPr="009D56B8">
        <w:rPr>
          <w:szCs w:val="22"/>
          <w:lang w:val="nb-NO"/>
        </w:rPr>
        <w:t>versus</w:t>
      </w:r>
      <w:r w:rsidR="001554BB" w:rsidRPr="009D56B8">
        <w:rPr>
          <w:szCs w:val="22"/>
          <w:lang w:val="nb-NO"/>
        </w:rPr>
        <w:t xml:space="preserve"> </w:t>
      </w:r>
      <w:r w:rsidRPr="009D56B8">
        <w:rPr>
          <w:szCs w:val="22"/>
          <w:lang w:val="nb-NO"/>
        </w:rPr>
        <w:t>58 %) og alvorlige infeksjoner (2 %</w:t>
      </w:r>
      <w:r w:rsidR="009730D2" w:rsidRPr="009D56B8">
        <w:rPr>
          <w:szCs w:val="22"/>
          <w:lang w:val="nb-NO"/>
        </w:rPr>
        <w:t xml:space="preserve"> </w:t>
      </w:r>
      <w:r w:rsidRPr="009D56B8">
        <w:rPr>
          <w:szCs w:val="22"/>
          <w:lang w:val="nb-NO"/>
        </w:rPr>
        <w:t>versus</w:t>
      </w:r>
      <w:r w:rsidR="009730D2" w:rsidRPr="009D56B8">
        <w:rPr>
          <w:szCs w:val="22"/>
          <w:lang w:val="nb-NO"/>
        </w:rPr>
        <w:t xml:space="preserve"> </w:t>
      </w:r>
      <w:r w:rsidRPr="009D56B8">
        <w:rPr>
          <w:szCs w:val="22"/>
          <w:lang w:val="nb-NO"/>
        </w:rPr>
        <w:t xml:space="preserve">2 %) omtrent den samme hos pasienter som ble behandlet med henholdsvis </w:t>
      </w:r>
      <w:r w:rsidR="00A76A21" w:rsidRPr="009D56B8">
        <w:rPr>
          <w:szCs w:val="22"/>
          <w:lang w:val="nb-NO"/>
        </w:rPr>
        <w:t>dimetylfumarat</w:t>
      </w:r>
      <w:r w:rsidRPr="009D56B8">
        <w:rPr>
          <w:szCs w:val="22"/>
          <w:lang w:val="nb-NO"/>
        </w:rPr>
        <w:t xml:space="preserve"> eller placebo. Hvis en pasient utvikler en alvorlig infeksjon, bør imidlertid seponering av behandling med </w:t>
      </w:r>
      <w:r w:rsidR="00A76A21" w:rsidRPr="009D56B8">
        <w:rPr>
          <w:szCs w:val="22"/>
          <w:lang w:val="nb-NO"/>
        </w:rPr>
        <w:t>dimetylfumarat</w:t>
      </w:r>
      <w:r w:rsidRPr="009D56B8">
        <w:rPr>
          <w:szCs w:val="22"/>
          <w:lang w:val="nb-NO"/>
        </w:rPr>
        <w:t xml:space="preserve"> vurderes, og fordeler og risikoer bør revurderes før behandlingen gjenopptas, som følge av </w:t>
      </w:r>
      <w:r w:rsidR="00A76A21" w:rsidRPr="009D56B8">
        <w:rPr>
          <w:szCs w:val="22"/>
          <w:lang w:val="nb-NO"/>
        </w:rPr>
        <w:t>dimetylfumarats</w:t>
      </w:r>
      <w:r w:rsidRPr="009D56B8">
        <w:rPr>
          <w:szCs w:val="22"/>
          <w:lang w:val="nb-NO"/>
        </w:rPr>
        <w:t xml:space="preserve"> immunmodulerende egenskaper (se pkt. 5.1). Pasienter som får </w:t>
      </w:r>
      <w:r w:rsidR="00A76A21" w:rsidRPr="009D56B8">
        <w:rPr>
          <w:szCs w:val="22"/>
          <w:lang w:val="nb-NO"/>
        </w:rPr>
        <w:t>dimetylfumarat</w:t>
      </w:r>
      <w:r w:rsidRPr="009D56B8">
        <w:rPr>
          <w:szCs w:val="22"/>
          <w:lang w:val="nb-NO"/>
        </w:rPr>
        <w:t xml:space="preserve"> bør anmodes om å rapportere symptomer på infeksjoner til en lege. Pasienter med alvorlige infeksjoner bør ikke starte behandling med </w:t>
      </w:r>
      <w:r w:rsidR="00A76A21" w:rsidRPr="009D56B8">
        <w:rPr>
          <w:szCs w:val="22"/>
          <w:lang w:val="nb-NO"/>
        </w:rPr>
        <w:t>dimetylfumarat</w:t>
      </w:r>
      <w:r w:rsidRPr="009D56B8">
        <w:rPr>
          <w:szCs w:val="22"/>
          <w:lang w:val="nb-NO"/>
        </w:rPr>
        <w:t xml:space="preserve"> før infeksjonen(e) er borte.</w:t>
      </w:r>
    </w:p>
    <w:p w14:paraId="5EBBB4D5" w14:textId="77777777" w:rsidR="00E50867" w:rsidRPr="009D56B8" w:rsidRDefault="00E50867">
      <w:pPr>
        <w:rPr>
          <w:szCs w:val="22"/>
          <w:lang w:val="nb-NO"/>
        </w:rPr>
      </w:pPr>
    </w:p>
    <w:p w14:paraId="6215350E" w14:textId="12E7B91F" w:rsidR="00E50867" w:rsidRPr="009D56B8" w:rsidRDefault="00C770E8">
      <w:pPr>
        <w:widowControl w:val="0"/>
        <w:suppressLineNumbers/>
        <w:rPr>
          <w:szCs w:val="22"/>
          <w:lang w:val="nb-NO"/>
        </w:rPr>
      </w:pPr>
      <w:r w:rsidRPr="009D56B8">
        <w:rPr>
          <w:szCs w:val="22"/>
          <w:lang w:val="nb-NO"/>
        </w:rPr>
        <w:t>Det var ingen økt insidens av alvorlige infeksjoner hos pasienter med lymfocyttall &lt; 0,8 × 10</w:t>
      </w:r>
      <w:r w:rsidRPr="009D56B8">
        <w:rPr>
          <w:szCs w:val="22"/>
          <w:vertAlign w:val="superscript"/>
          <w:lang w:val="nb-NO"/>
        </w:rPr>
        <w:t>9</w:t>
      </w:r>
      <w:r w:rsidRPr="009D56B8">
        <w:rPr>
          <w:szCs w:val="22"/>
          <w:lang w:val="nb-NO"/>
        </w:rPr>
        <w:t>/liter eller</w:t>
      </w:r>
      <w:r w:rsidR="001F7EEF" w:rsidRPr="009D56B8">
        <w:rPr>
          <w:szCs w:val="22"/>
          <w:lang w:val="nb-NO"/>
        </w:rPr>
        <w:t xml:space="preserve"> </w:t>
      </w:r>
      <w:r w:rsidRPr="009D56B8">
        <w:rPr>
          <w:szCs w:val="22"/>
          <w:lang w:val="nb-NO"/>
        </w:rPr>
        <w:t>&lt; 0,5 × 10</w:t>
      </w:r>
      <w:r w:rsidRPr="009D56B8">
        <w:rPr>
          <w:szCs w:val="22"/>
          <w:vertAlign w:val="superscript"/>
          <w:lang w:val="nb-NO"/>
        </w:rPr>
        <w:t>9</w:t>
      </w:r>
      <w:r w:rsidRPr="009D56B8">
        <w:rPr>
          <w:szCs w:val="22"/>
          <w:lang w:val="nb-NO"/>
        </w:rPr>
        <w:t>/liter (se pkt. 4.8). Dersom behandlingen fortsettes ved moderat til alvorlig langvarig lymfopeni, kan risikoen for en opportunistisk infeksjon, inkludert PML ikke utelukkes (se pkt. 4.4, avsnittet om PML).</w:t>
      </w:r>
    </w:p>
    <w:p w14:paraId="62A14695" w14:textId="77777777" w:rsidR="00E50867" w:rsidRPr="009D56B8" w:rsidRDefault="00E50867">
      <w:pPr>
        <w:widowControl w:val="0"/>
        <w:suppressLineNumbers/>
        <w:rPr>
          <w:szCs w:val="22"/>
          <w:lang w:val="nb-NO"/>
        </w:rPr>
      </w:pPr>
    </w:p>
    <w:p w14:paraId="601D9C91" w14:textId="77777777" w:rsidR="00E50867" w:rsidRPr="009D56B8" w:rsidRDefault="00C770E8">
      <w:pPr>
        <w:pStyle w:val="HeadingUnderlined"/>
      </w:pPr>
      <w:r w:rsidRPr="009D56B8">
        <w:t>Herpes zoster-infeksjoner</w:t>
      </w:r>
    </w:p>
    <w:p w14:paraId="6B0C49BB" w14:textId="77777777" w:rsidR="00E50867" w:rsidRPr="009D56B8" w:rsidRDefault="00E50867">
      <w:pPr>
        <w:rPr>
          <w:lang w:val="nb-NO"/>
        </w:rPr>
      </w:pPr>
    </w:p>
    <w:p w14:paraId="517569B8" w14:textId="57E87C31" w:rsidR="00E50867" w:rsidRPr="009D56B8" w:rsidRDefault="00C770E8">
      <w:pPr>
        <w:rPr>
          <w:lang w:val="nb-NO"/>
        </w:rPr>
      </w:pPr>
      <w:r w:rsidRPr="009D56B8">
        <w:rPr>
          <w:lang w:val="nb-NO"/>
        </w:rPr>
        <w:t xml:space="preserve">Tilfeller av herpes zoster </w:t>
      </w:r>
      <w:r w:rsidR="0067408C" w:rsidRPr="009D56B8">
        <w:rPr>
          <w:lang w:val="nb-NO"/>
        </w:rPr>
        <w:t>er rapportert</w:t>
      </w:r>
      <w:r w:rsidRPr="009D56B8">
        <w:rPr>
          <w:lang w:val="nb-NO"/>
        </w:rPr>
        <w:t xml:space="preserve"> ved bruk av </w:t>
      </w:r>
      <w:r w:rsidR="00FA62BE" w:rsidRPr="009D56B8">
        <w:rPr>
          <w:lang w:val="nb-NO"/>
        </w:rPr>
        <w:t>dimetylfumarat</w:t>
      </w:r>
      <w:r w:rsidR="0067408C" w:rsidRPr="009D56B8">
        <w:rPr>
          <w:lang w:val="nb-NO"/>
        </w:rPr>
        <w:t xml:space="preserve"> (se pkt. 4.8)</w:t>
      </w:r>
      <w:r w:rsidRPr="009D56B8">
        <w:rPr>
          <w:lang w:val="nb-NO"/>
        </w:rPr>
        <w:t xml:space="preserve">. De fleste tilfellene var ikke alvorlige. Det er imidlertid rapportert alvorlige tilfeller, inkludert disseminert herpes zoster, herpes zoster ophthalmicus, herpes zoster oticus, nevrologisk herpes zoster-infeksjon, herpes zoster meningoencefalitt og herpes zoster meningomyelitt. Disse </w:t>
      </w:r>
      <w:r w:rsidR="0067408C" w:rsidRPr="009D56B8">
        <w:rPr>
          <w:lang w:val="nb-NO"/>
        </w:rPr>
        <w:t xml:space="preserve">bivirkningene </w:t>
      </w:r>
      <w:r w:rsidRPr="009D56B8">
        <w:rPr>
          <w:lang w:val="nb-NO"/>
        </w:rPr>
        <w:t xml:space="preserve">kan oppstå når som helst under behandlingen. Pasienter </w:t>
      </w:r>
      <w:r w:rsidR="005658F9" w:rsidRPr="009D56B8">
        <w:rPr>
          <w:lang w:val="nb-NO"/>
        </w:rPr>
        <w:t>bør</w:t>
      </w:r>
      <w:r w:rsidRPr="009D56B8">
        <w:rPr>
          <w:lang w:val="nb-NO"/>
        </w:rPr>
        <w:t xml:space="preserve"> overvåkes for tegn og symptomer på herpes zoster, spesielt når det rapporteres samtidig lymfopeni. Hvis herpes zoster forekommer, skal det gis egnet behandling mot herpes zoster. Opphold i behandlingen bør vurderes hos pasienter med alvorlige infeksjoner, inntil infeksjonen er borte (se pkt. 4.8).</w:t>
      </w:r>
    </w:p>
    <w:p w14:paraId="20658925" w14:textId="77777777" w:rsidR="00E50867" w:rsidRPr="009D56B8" w:rsidRDefault="00E50867">
      <w:pPr>
        <w:widowControl w:val="0"/>
        <w:suppressLineNumbers/>
        <w:rPr>
          <w:szCs w:val="22"/>
          <w:lang w:val="nb-NO"/>
        </w:rPr>
      </w:pPr>
    </w:p>
    <w:p w14:paraId="724B06FD" w14:textId="77777777" w:rsidR="00E50867" w:rsidRPr="009D56B8" w:rsidRDefault="00C770E8">
      <w:pPr>
        <w:widowControl w:val="0"/>
        <w:suppressLineNumbers/>
        <w:rPr>
          <w:szCs w:val="22"/>
          <w:u w:val="single"/>
          <w:lang w:val="nb-NO"/>
        </w:rPr>
      </w:pPr>
      <w:r w:rsidRPr="009D56B8">
        <w:rPr>
          <w:szCs w:val="22"/>
          <w:u w:val="single"/>
          <w:lang w:val="nb-NO"/>
        </w:rPr>
        <w:t>Oppstart av behandling</w:t>
      </w:r>
    </w:p>
    <w:p w14:paraId="4357FABE" w14:textId="77777777" w:rsidR="00E50867" w:rsidRPr="009D56B8" w:rsidRDefault="00E50867">
      <w:pPr>
        <w:widowControl w:val="0"/>
        <w:suppressLineNumbers/>
        <w:rPr>
          <w:szCs w:val="22"/>
          <w:lang w:val="nb-NO"/>
        </w:rPr>
      </w:pPr>
    </w:p>
    <w:p w14:paraId="213B14FB" w14:textId="21548608" w:rsidR="00E50867" w:rsidRPr="009D56B8" w:rsidRDefault="00A13183">
      <w:pPr>
        <w:widowControl w:val="0"/>
        <w:suppressLineNumbers/>
        <w:rPr>
          <w:szCs w:val="22"/>
          <w:lang w:val="nb-NO"/>
        </w:rPr>
      </w:pPr>
      <w:r w:rsidRPr="009D56B8">
        <w:rPr>
          <w:szCs w:val="22"/>
          <w:lang w:val="nb-NO"/>
        </w:rPr>
        <w:t>B</w:t>
      </w:r>
      <w:r w:rsidR="00C770E8" w:rsidRPr="009D56B8">
        <w:rPr>
          <w:szCs w:val="22"/>
          <w:lang w:val="nb-NO"/>
        </w:rPr>
        <w:t>ehandling bør startes gradvis for å redusere forekomsten av flushing og gastrointestinale bivirkninger (se pkt. 4.2).</w:t>
      </w:r>
    </w:p>
    <w:p w14:paraId="72A09F5F" w14:textId="77777777" w:rsidR="00E50867" w:rsidRPr="009D56B8" w:rsidRDefault="00E50867">
      <w:pPr>
        <w:rPr>
          <w:szCs w:val="22"/>
          <w:lang w:val="nb-NO"/>
        </w:rPr>
      </w:pPr>
    </w:p>
    <w:p w14:paraId="170EF693" w14:textId="77777777" w:rsidR="00E50867" w:rsidRPr="009D56B8" w:rsidRDefault="00C770E8">
      <w:pPr>
        <w:pStyle w:val="HeadingUnderlined"/>
      </w:pPr>
      <w:r w:rsidRPr="009D56B8">
        <w:t>Fanconis syndrom</w:t>
      </w:r>
    </w:p>
    <w:p w14:paraId="34163102" w14:textId="77777777" w:rsidR="00E50867" w:rsidRPr="009D56B8" w:rsidRDefault="00E50867">
      <w:pPr>
        <w:keepNext/>
        <w:rPr>
          <w:lang w:val="nb-NO"/>
        </w:rPr>
      </w:pPr>
    </w:p>
    <w:p w14:paraId="5262D7C4" w14:textId="42A6AAA3" w:rsidR="00E50867" w:rsidRPr="009D56B8" w:rsidRDefault="00C770E8">
      <w:pPr>
        <w:rPr>
          <w:lang w:val="nb-NO"/>
        </w:rPr>
      </w:pPr>
      <w:r w:rsidRPr="009D56B8">
        <w:rPr>
          <w:lang w:val="nb-NO"/>
        </w:rPr>
        <w:t xml:space="preserve">Det er rapportert tilfeller av Fanconis syndrom </w:t>
      </w:r>
      <w:r w:rsidR="00204D78" w:rsidRPr="009D56B8">
        <w:rPr>
          <w:lang w:val="nb-NO"/>
        </w:rPr>
        <w:t>med</w:t>
      </w:r>
      <w:r w:rsidRPr="009D56B8">
        <w:rPr>
          <w:lang w:val="nb-NO"/>
        </w:rPr>
        <w:t xml:space="preserve"> et legemiddel som inneholder dimetylfumarat i kombinasjon med andre fumarsyreestere. Tidlig diagnostisering av Fanconis syndrom og seponering av behandling med dimetylfumarat er viktig for å forhindre at det oppstår nedsatt nyrefunksjon og osteomalasi, da syndromet vanligvis er reversibelt. De viktigste tegnene er proteinuri, glukosuri (med </w:t>
      </w:r>
      <w:r w:rsidRPr="009D56B8">
        <w:rPr>
          <w:lang w:val="nb-NO"/>
        </w:rPr>
        <w:lastRenderedPageBreak/>
        <w:t>normalt blodsukkernivå), hyperaminosyreuri og fosfaturi (muligens samtidig med hypofosfatemi). Progresjon kan innebære symptomer som polyuri, polydipsi og proksimal muskelsvakhet. I sjeldne tilfeller kan det oppstå hypofosfatemisk osteomalasi med ikke-lokalisert beinsmerte, økt alkalisk fosfatase i serum og stressfrakturer. Det er viktig å merke seg at Fanconis syndrom kan forekomme uten økte kreatininnivåer eller lav glomerulær filtreringshastighet. Ved uklare symptomer bør Fanconis syndrom overveies og hensiktsmessige undersøkelser utføres.</w:t>
      </w:r>
    </w:p>
    <w:p w14:paraId="457F6CE2" w14:textId="77777777" w:rsidR="00204B80" w:rsidRPr="009D56B8" w:rsidRDefault="00204B80">
      <w:pPr>
        <w:rPr>
          <w:lang w:val="nb-NO"/>
        </w:rPr>
      </w:pPr>
    </w:p>
    <w:p w14:paraId="2319DA63" w14:textId="562AADDA" w:rsidR="00204B80" w:rsidRPr="009D56B8" w:rsidRDefault="00204B80">
      <w:pPr>
        <w:rPr>
          <w:u w:val="single"/>
          <w:lang w:val="nb-NO"/>
        </w:rPr>
      </w:pPr>
      <w:r w:rsidRPr="009D56B8">
        <w:rPr>
          <w:u w:val="single"/>
          <w:lang w:val="nb-NO"/>
        </w:rPr>
        <w:t>Hjelpestoffer</w:t>
      </w:r>
    </w:p>
    <w:p w14:paraId="6C0CA246" w14:textId="77777777" w:rsidR="00204B80" w:rsidRPr="009D56B8" w:rsidRDefault="00204B80">
      <w:pPr>
        <w:rPr>
          <w:lang w:val="nb-NO"/>
        </w:rPr>
      </w:pPr>
    </w:p>
    <w:p w14:paraId="2369C2CA" w14:textId="0665C3D0" w:rsidR="00204B80" w:rsidRPr="009D56B8" w:rsidRDefault="00204B80">
      <w:pPr>
        <w:rPr>
          <w:lang w:val="nb-NO"/>
        </w:rPr>
      </w:pPr>
      <w:r w:rsidRPr="009D56B8">
        <w:rPr>
          <w:lang w:val="nb-NO"/>
        </w:rPr>
        <w:t>Dette legemidlet inneholder mindre enn 1 mmol natrium (23 mg) i hver kapsel, og er så godt som "natriumfritt".</w:t>
      </w:r>
    </w:p>
    <w:p w14:paraId="34FC6354" w14:textId="77777777" w:rsidR="00E50867" w:rsidRPr="009D56B8" w:rsidRDefault="00E50867">
      <w:pPr>
        <w:rPr>
          <w:szCs w:val="22"/>
          <w:lang w:val="nb-NO"/>
        </w:rPr>
      </w:pPr>
    </w:p>
    <w:p w14:paraId="517B6149" w14:textId="77777777" w:rsidR="00E50867" w:rsidRPr="009D56B8" w:rsidRDefault="00C770E8">
      <w:pPr>
        <w:keepNext/>
        <w:widowControl w:val="0"/>
        <w:suppressLineNumbers/>
        <w:rPr>
          <w:b/>
          <w:szCs w:val="22"/>
          <w:lang w:val="nb-NO"/>
        </w:rPr>
      </w:pPr>
      <w:r w:rsidRPr="009D56B8">
        <w:rPr>
          <w:b/>
          <w:szCs w:val="22"/>
          <w:lang w:val="nb-NO"/>
        </w:rPr>
        <w:t>4.5</w:t>
      </w:r>
      <w:r w:rsidRPr="009D56B8">
        <w:rPr>
          <w:b/>
          <w:szCs w:val="22"/>
          <w:lang w:val="nb-NO"/>
        </w:rPr>
        <w:tab/>
        <w:t>Interaksjon med andre legemidler og andre former for interaksjon</w:t>
      </w:r>
    </w:p>
    <w:p w14:paraId="05500A36" w14:textId="77777777" w:rsidR="00E50867" w:rsidRPr="009D56B8" w:rsidRDefault="00E50867">
      <w:pPr>
        <w:keepNext/>
        <w:rPr>
          <w:szCs w:val="22"/>
          <w:lang w:val="nb-NO"/>
        </w:rPr>
      </w:pPr>
    </w:p>
    <w:p w14:paraId="729143B5" w14:textId="66A041E7" w:rsidR="00EB13B3" w:rsidRPr="009D56B8" w:rsidRDefault="00EB13B3">
      <w:pPr>
        <w:suppressLineNumbers/>
        <w:rPr>
          <w:szCs w:val="22"/>
          <w:u w:val="single"/>
          <w:lang w:val="nb-NO"/>
        </w:rPr>
      </w:pPr>
      <w:r w:rsidRPr="009D56B8">
        <w:rPr>
          <w:szCs w:val="22"/>
          <w:u w:val="single"/>
          <w:lang w:val="nb-NO"/>
        </w:rPr>
        <w:t>Antineoplastisk, immunsuppressiv eller kortikosteroidbehandling</w:t>
      </w:r>
    </w:p>
    <w:p w14:paraId="6B730915" w14:textId="77777777" w:rsidR="00EB13B3" w:rsidRPr="009D56B8" w:rsidRDefault="00EB13B3">
      <w:pPr>
        <w:suppressLineNumbers/>
        <w:rPr>
          <w:szCs w:val="22"/>
          <w:lang w:val="nb-NO"/>
        </w:rPr>
      </w:pPr>
    </w:p>
    <w:p w14:paraId="6AA4612D" w14:textId="7796E30C" w:rsidR="00E50867" w:rsidRPr="009D56B8" w:rsidRDefault="00FD7CD0">
      <w:pPr>
        <w:suppressLineNumbers/>
        <w:rPr>
          <w:szCs w:val="22"/>
          <w:lang w:val="nb-NO"/>
        </w:rPr>
      </w:pPr>
      <w:r w:rsidRPr="009D56B8">
        <w:rPr>
          <w:szCs w:val="22"/>
          <w:lang w:val="nb-NO"/>
        </w:rPr>
        <w:t>Dimetylfumarat</w:t>
      </w:r>
      <w:r w:rsidR="00C770E8" w:rsidRPr="009D56B8">
        <w:rPr>
          <w:szCs w:val="22"/>
          <w:lang w:val="nb-NO"/>
        </w:rPr>
        <w:t xml:space="preserve"> er ikke undersøkt i kombinasjon med antineoplastisk eller immunsuppressiv behandling, og forsiktighet bør derfor utvises ved samtidig administrering. I kliniske studier av multippel sklerose ble samtidig behandling av anfall med en kort kur med intravenøse kortikosteroider, ikke forbundet med en klinisk relevant økning i infeksjoner.</w:t>
      </w:r>
    </w:p>
    <w:p w14:paraId="01C2EA78" w14:textId="77777777" w:rsidR="007A1563" w:rsidRPr="009D56B8" w:rsidRDefault="007A1563">
      <w:pPr>
        <w:suppressLineNumbers/>
        <w:rPr>
          <w:szCs w:val="22"/>
          <w:lang w:val="nb-NO"/>
        </w:rPr>
      </w:pPr>
    </w:p>
    <w:p w14:paraId="3D015A69" w14:textId="591D6A8B" w:rsidR="007A1563" w:rsidRPr="009D56B8" w:rsidRDefault="007A1563">
      <w:pPr>
        <w:suppressLineNumbers/>
        <w:rPr>
          <w:szCs w:val="22"/>
          <w:u w:val="single"/>
          <w:lang w:val="nb-NO"/>
        </w:rPr>
      </w:pPr>
      <w:r w:rsidRPr="009D56B8">
        <w:rPr>
          <w:szCs w:val="22"/>
          <w:u w:val="single"/>
          <w:lang w:val="nb-NO"/>
        </w:rPr>
        <w:t>Vaksiner</w:t>
      </w:r>
    </w:p>
    <w:p w14:paraId="3F30F7F4" w14:textId="77777777" w:rsidR="00E50867" w:rsidRPr="009D56B8" w:rsidRDefault="00E50867">
      <w:pPr>
        <w:widowControl w:val="0"/>
        <w:suppressLineNumbers/>
        <w:rPr>
          <w:szCs w:val="22"/>
          <w:lang w:val="nb-NO"/>
        </w:rPr>
      </w:pPr>
    </w:p>
    <w:p w14:paraId="54A5281A" w14:textId="5909A83C" w:rsidR="00E50867" w:rsidRPr="009D56B8" w:rsidRDefault="00C770E8">
      <w:pPr>
        <w:widowControl w:val="0"/>
        <w:suppressLineNumbers/>
        <w:rPr>
          <w:szCs w:val="22"/>
          <w:lang w:val="nb-NO"/>
        </w:rPr>
      </w:pPr>
      <w:r w:rsidRPr="009D56B8">
        <w:rPr>
          <w:szCs w:val="22"/>
          <w:lang w:val="nb-NO"/>
        </w:rPr>
        <w:t xml:space="preserve">Samtidig administrering av ikke-levende vaksiner i henhold til nasjonale vaksineringsprogrammer kan vurderes under behandling med </w:t>
      </w:r>
      <w:r w:rsidR="00FD7CD0" w:rsidRPr="009D56B8">
        <w:rPr>
          <w:szCs w:val="22"/>
          <w:lang w:val="nb-NO"/>
        </w:rPr>
        <w:t>dimetylfumarat</w:t>
      </w:r>
      <w:r w:rsidRPr="009D56B8">
        <w:rPr>
          <w:szCs w:val="22"/>
          <w:lang w:val="nb-NO"/>
        </w:rPr>
        <w:t xml:space="preserve">. I en klinisk studie med totalt 71 pasienter med </w:t>
      </w:r>
      <w:r w:rsidR="00750425" w:rsidRPr="009D56B8">
        <w:rPr>
          <w:szCs w:val="22"/>
          <w:lang w:val="nb-NO"/>
        </w:rPr>
        <w:t>RRMS</w:t>
      </w:r>
      <w:r w:rsidRPr="009D56B8">
        <w:rPr>
          <w:szCs w:val="22"/>
          <w:lang w:val="nb-NO"/>
        </w:rPr>
        <w:t xml:space="preserve">, fikk pasienter som ble behandlet med </w:t>
      </w:r>
      <w:r w:rsidR="00FD7CD0" w:rsidRPr="009D56B8">
        <w:rPr>
          <w:szCs w:val="22"/>
          <w:lang w:val="nb-NO"/>
        </w:rPr>
        <w:t>dimetylfumarat</w:t>
      </w:r>
      <w:r w:rsidRPr="009D56B8">
        <w:rPr>
          <w:szCs w:val="22"/>
          <w:lang w:val="nb-NO"/>
        </w:rPr>
        <w:t xml:space="preserve"> 240 mg to ganger daglig i minst 6 måneder (n = 38) eller ikke-pegylert interferon i minst 3 måneder (n = 33), sammenlignbar immunrespons (definert som ≥ 2 ganger økning i titer fra før til etter vaksinering) på tetanustoksoid (recall-antigen) og en konjugert meningokokk C polysakkaridvaksine (neoantigen), mens immunresponsen på ulike serotyper av en ukonjugert 23-valent pneumokokkpolysakkaridvaksine (T-celleuavhengig antigen) varierte i begge behandlingsgrupper. En positiv immunrespons definert som ≥ 4 ganger økning i antistofftiter på de tre vaksinene, ble sett hos færre forsøkspersoner i begge behandlingsgruppene. Små numeriske forskjeller i respons på tetanustoksoid og pneumokokk serotype 3 polysakkarid ble registrert i favør av ikke-pegylert interferon.</w:t>
      </w:r>
    </w:p>
    <w:p w14:paraId="5F004CD4" w14:textId="77777777" w:rsidR="00E50867" w:rsidRPr="009D56B8" w:rsidRDefault="00E50867">
      <w:pPr>
        <w:widowControl w:val="0"/>
        <w:suppressLineNumbers/>
        <w:rPr>
          <w:szCs w:val="22"/>
          <w:lang w:val="nb-NO"/>
        </w:rPr>
      </w:pPr>
    </w:p>
    <w:p w14:paraId="2990439F" w14:textId="02F402DB" w:rsidR="00E50867" w:rsidRPr="009D56B8" w:rsidRDefault="00C770E8">
      <w:pPr>
        <w:widowControl w:val="0"/>
        <w:suppressLineNumbers/>
        <w:rPr>
          <w:szCs w:val="22"/>
          <w:lang w:val="nb-NO"/>
        </w:rPr>
      </w:pPr>
      <w:r w:rsidRPr="009D56B8">
        <w:rPr>
          <w:szCs w:val="22"/>
          <w:lang w:val="nb-NO"/>
        </w:rPr>
        <w:t xml:space="preserve">Det finnes ingen kliniske data på effekt og sikkerhet av levende, svekkede vaksiner hos pasienter som bruker </w:t>
      </w:r>
      <w:r w:rsidR="00277351" w:rsidRPr="009D56B8">
        <w:rPr>
          <w:szCs w:val="22"/>
          <w:lang w:val="nb-NO"/>
        </w:rPr>
        <w:t>dimetylfumarat</w:t>
      </w:r>
      <w:r w:rsidRPr="009D56B8">
        <w:rPr>
          <w:szCs w:val="22"/>
          <w:lang w:val="nb-NO"/>
        </w:rPr>
        <w:t xml:space="preserve">. Levende vaksiner kan gi en økt risiko for klinisk infeksjon og bør ikke gis til pasienter som behandles med </w:t>
      </w:r>
      <w:r w:rsidR="00277351" w:rsidRPr="009D56B8">
        <w:rPr>
          <w:szCs w:val="22"/>
          <w:lang w:val="nb-NO"/>
        </w:rPr>
        <w:t>dimetylfumarat</w:t>
      </w:r>
      <w:r w:rsidRPr="009D56B8">
        <w:rPr>
          <w:szCs w:val="22"/>
          <w:lang w:val="nb-NO"/>
        </w:rPr>
        <w:t xml:space="preserve"> med mindre den potensielle risikoen anses å bli oppveid av risikoen for den enkelte av ikke å vaksinere seg, og bare i unntakstilfeller.</w:t>
      </w:r>
    </w:p>
    <w:p w14:paraId="65586BA5" w14:textId="77777777" w:rsidR="00BB3146" w:rsidRPr="009D56B8" w:rsidRDefault="00BB3146">
      <w:pPr>
        <w:widowControl w:val="0"/>
        <w:suppressLineNumbers/>
        <w:rPr>
          <w:szCs w:val="22"/>
          <w:lang w:val="nb-NO"/>
        </w:rPr>
      </w:pPr>
    </w:p>
    <w:p w14:paraId="5240305C" w14:textId="05BF7DC2" w:rsidR="00BB3146" w:rsidRPr="009D56B8" w:rsidRDefault="00BB3146">
      <w:pPr>
        <w:widowControl w:val="0"/>
        <w:suppressLineNumbers/>
        <w:rPr>
          <w:szCs w:val="22"/>
          <w:u w:val="single"/>
          <w:lang w:val="nb-NO"/>
        </w:rPr>
      </w:pPr>
      <w:r w:rsidRPr="009D56B8">
        <w:rPr>
          <w:szCs w:val="22"/>
          <w:u w:val="single"/>
          <w:lang w:val="nb-NO"/>
        </w:rPr>
        <w:t>Andre fumarsyrederivater</w:t>
      </w:r>
    </w:p>
    <w:p w14:paraId="55B62554" w14:textId="77777777" w:rsidR="001A051D" w:rsidRPr="009D56B8" w:rsidRDefault="001A051D">
      <w:pPr>
        <w:widowControl w:val="0"/>
        <w:suppressLineNumbers/>
        <w:rPr>
          <w:szCs w:val="22"/>
          <w:u w:val="single"/>
          <w:lang w:val="nb-NO"/>
        </w:rPr>
      </w:pPr>
    </w:p>
    <w:p w14:paraId="0A19D709" w14:textId="661E4CBF" w:rsidR="00E50867" w:rsidRPr="009D56B8" w:rsidRDefault="00C770E8">
      <w:pPr>
        <w:widowControl w:val="0"/>
        <w:suppressLineNumbers/>
        <w:rPr>
          <w:szCs w:val="22"/>
          <w:lang w:val="nb-NO"/>
        </w:rPr>
      </w:pPr>
      <w:r w:rsidRPr="009D56B8">
        <w:rPr>
          <w:szCs w:val="22"/>
          <w:lang w:val="nb-NO"/>
        </w:rPr>
        <w:t xml:space="preserve">Samtidig bruk av andre fumarsyrederivater (topisk eller systemisk) bør unngås ved behandling med </w:t>
      </w:r>
      <w:r w:rsidR="00277351" w:rsidRPr="009D56B8">
        <w:rPr>
          <w:szCs w:val="22"/>
          <w:lang w:val="nb-NO"/>
        </w:rPr>
        <w:t>dimetylfumarat</w:t>
      </w:r>
      <w:r w:rsidRPr="009D56B8">
        <w:rPr>
          <w:szCs w:val="22"/>
          <w:lang w:val="nb-NO"/>
        </w:rPr>
        <w:t>.</w:t>
      </w:r>
    </w:p>
    <w:p w14:paraId="1C5B219B" w14:textId="77777777" w:rsidR="00E50867" w:rsidRPr="009D56B8" w:rsidRDefault="00E50867">
      <w:pPr>
        <w:rPr>
          <w:szCs w:val="22"/>
          <w:lang w:val="nb-NO"/>
        </w:rPr>
      </w:pPr>
    </w:p>
    <w:p w14:paraId="6F24E6A9" w14:textId="6287F79C" w:rsidR="00E50867" w:rsidRPr="009D56B8" w:rsidRDefault="00C770E8">
      <w:pPr>
        <w:keepNext/>
        <w:keepLines/>
        <w:suppressLineNumbers/>
        <w:rPr>
          <w:szCs w:val="22"/>
          <w:lang w:val="nb-NO"/>
        </w:rPr>
      </w:pPr>
      <w:r w:rsidRPr="009D56B8">
        <w:rPr>
          <w:szCs w:val="22"/>
          <w:lang w:val="nb-NO"/>
        </w:rPr>
        <w:t>Hos mennesker metaboliseres dimetylfumarat i stor grad av esteraser før det når systemisk sirkulasjon, og videre metabolisering foregår gjennom trikarboksylsyresyklusen, uten at cytokrom P450 (CYP)-systemet er involvert. Potensiell risiko for interaksjoner ble ikke funnet i CYP-inhiberings- og induksjonsstudier</w:t>
      </w:r>
      <w:r w:rsidRPr="009D56B8">
        <w:rPr>
          <w:i/>
          <w:szCs w:val="22"/>
          <w:lang w:val="nb-NO"/>
        </w:rPr>
        <w:t xml:space="preserve"> in vitro</w:t>
      </w:r>
      <w:r w:rsidRPr="009D56B8">
        <w:rPr>
          <w:szCs w:val="22"/>
          <w:lang w:val="nb-NO"/>
        </w:rPr>
        <w:t>, en p-glykoproteinstudie eller studier av proteinbinding av dimetylfumarat og monometylfumarat (</w:t>
      </w:r>
      <w:r w:rsidR="00451EDE" w:rsidRPr="009D56B8">
        <w:rPr>
          <w:szCs w:val="22"/>
          <w:lang w:val="nb-NO"/>
        </w:rPr>
        <w:t>d</w:t>
      </w:r>
      <w:r w:rsidRPr="009D56B8">
        <w:rPr>
          <w:szCs w:val="22"/>
          <w:lang w:val="nb-NO"/>
        </w:rPr>
        <w:t>en primær</w:t>
      </w:r>
      <w:r w:rsidR="00451EDE" w:rsidRPr="009D56B8">
        <w:rPr>
          <w:szCs w:val="22"/>
          <w:lang w:val="nb-NO"/>
        </w:rPr>
        <w:t>e</w:t>
      </w:r>
      <w:r w:rsidRPr="009D56B8">
        <w:rPr>
          <w:szCs w:val="22"/>
          <w:lang w:val="nb-NO"/>
        </w:rPr>
        <w:t xml:space="preserve"> metabolitt</w:t>
      </w:r>
      <w:r w:rsidR="00451EDE" w:rsidRPr="009D56B8">
        <w:rPr>
          <w:szCs w:val="22"/>
          <w:lang w:val="nb-NO"/>
        </w:rPr>
        <w:t>en</w:t>
      </w:r>
      <w:r w:rsidRPr="009D56B8">
        <w:rPr>
          <w:szCs w:val="22"/>
          <w:lang w:val="nb-NO"/>
        </w:rPr>
        <w:t xml:space="preserve"> av dimetylfumarat).</w:t>
      </w:r>
    </w:p>
    <w:p w14:paraId="75B1D9CD" w14:textId="77777777" w:rsidR="00E50867" w:rsidRPr="009D56B8" w:rsidRDefault="00E50867">
      <w:pPr>
        <w:widowControl w:val="0"/>
        <w:suppressLineNumbers/>
        <w:rPr>
          <w:szCs w:val="22"/>
          <w:lang w:val="nb-NO"/>
        </w:rPr>
      </w:pPr>
    </w:p>
    <w:p w14:paraId="1B11EBE8" w14:textId="4614AF13" w:rsidR="002E3C43" w:rsidRPr="009D56B8" w:rsidRDefault="002E3C43">
      <w:pPr>
        <w:widowControl w:val="0"/>
        <w:suppressLineNumbers/>
        <w:rPr>
          <w:szCs w:val="22"/>
          <w:u w:val="single"/>
          <w:lang w:val="nb-NO"/>
        </w:rPr>
      </w:pPr>
      <w:r w:rsidRPr="009D56B8">
        <w:rPr>
          <w:szCs w:val="22"/>
          <w:u w:val="single"/>
          <w:lang w:val="nb-NO"/>
        </w:rPr>
        <w:t>Effekter av andre forbindelser på dimetylfumarat</w:t>
      </w:r>
    </w:p>
    <w:p w14:paraId="51A8A611" w14:textId="77777777" w:rsidR="002E3C43" w:rsidRPr="009D56B8" w:rsidRDefault="002E3C43">
      <w:pPr>
        <w:widowControl w:val="0"/>
        <w:suppressLineNumbers/>
        <w:rPr>
          <w:szCs w:val="22"/>
          <w:u w:val="single"/>
          <w:lang w:val="nb-NO"/>
        </w:rPr>
      </w:pPr>
    </w:p>
    <w:p w14:paraId="42FD89C7" w14:textId="77777777" w:rsidR="00E50867" w:rsidRPr="009D56B8" w:rsidRDefault="00C770E8">
      <w:pPr>
        <w:widowControl w:val="0"/>
        <w:suppressLineNumbers/>
        <w:rPr>
          <w:szCs w:val="22"/>
          <w:lang w:val="nb-NO"/>
        </w:rPr>
      </w:pPr>
      <w:r w:rsidRPr="009D56B8">
        <w:rPr>
          <w:szCs w:val="22"/>
          <w:lang w:val="nb-NO"/>
        </w:rPr>
        <w:t>Legemidler som brukes hyppig hos pasienter med multippel sklerose, intramuskulært interferon beta</w:t>
      </w:r>
      <w:r w:rsidRPr="009D56B8">
        <w:rPr>
          <w:szCs w:val="22"/>
          <w:lang w:val="nb-NO"/>
        </w:rPr>
        <w:noBreakHyphen/>
        <w:t>1a og glatirameracetat, ble klinisk testet for mulige interaksjoner med dimetylfumarat og endret ikke den farmakokinetiske profilen til dimetylfumarat.</w:t>
      </w:r>
    </w:p>
    <w:p w14:paraId="139B7E53" w14:textId="77777777" w:rsidR="00E50867" w:rsidRPr="009D56B8" w:rsidRDefault="00E50867">
      <w:pPr>
        <w:rPr>
          <w:szCs w:val="22"/>
          <w:lang w:val="nb-NO"/>
        </w:rPr>
      </w:pPr>
    </w:p>
    <w:p w14:paraId="4F49E043" w14:textId="15331881" w:rsidR="00E50867" w:rsidRPr="009D56B8" w:rsidRDefault="00C770E8">
      <w:pPr>
        <w:rPr>
          <w:szCs w:val="22"/>
          <w:lang w:val="nb-NO"/>
        </w:rPr>
      </w:pPr>
      <w:r w:rsidRPr="009D56B8">
        <w:rPr>
          <w:szCs w:val="22"/>
          <w:lang w:val="nb-NO"/>
        </w:rPr>
        <w:lastRenderedPageBreak/>
        <w:t xml:space="preserve">Funn fra studier med friske, frivillige forsøkspersoner indikerer at flushing i forbindelse med </w:t>
      </w:r>
      <w:r w:rsidR="003C3355" w:rsidRPr="009D56B8">
        <w:rPr>
          <w:szCs w:val="22"/>
          <w:lang w:val="nb-NO"/>
        </w:rPr>
        <w:t>dimetylfumarat</w:t>
      </w:r>
      <w:r w:rsidRPr="009D56B8">
        <w:rPr>
          <w:szCs w:val="22"/>
          <w:lang w:val="nb-NO"/>
        </w:rPr>
        <w:t xml:space="preserve"> sannsynligvis er prostaglandinmediert. I to studier med friske, frivillige forsøkspersoner endret ikke administrering av 325 mg (eller tilsvarende) acetylsalisylsyre uten enterodrasjering 30 minutter før </w:t>
      </w:r>
      <w:r w:rsidR="003C3355" w:rsidRPr="009D56B8">
        <w:rPr>
          <w:szCs w:val="22"/>
          <w:lang w:val="nb-NO"/>
        </w:rPr>
        <w:t>dimetylfumarat</w:t>
      </w:r>
      <w:r w:rsidRPr="009D56B8">
        <w:rPr>
          <w:szCs w:val="22"/>
          <w:lang w:val="nb-NO"/>
        </w:rPr>
        <w:t xml:space="preserve">, den farmakokinetiske profilen til </w:t>
      </w:r>
      <w:r w:rsidR="003C3355" w:rsidRPr="009D56B8">
        <w:rPr>
          <w:szCs w:val="22"/>
          <w:lang w:val="nb-NO"/>
        </w:rPr>
        <w:t>dimetylfumarat</w:t>
      </w:r>
      <w:r w:rsidRPr="009D56B8">
        <w:rPr>
          <w:szCs w:val="22"/>
          <w:lang w:val="nb-NO"/>
        </w:rPr>
        <w:t xml:space="preserve"> i løpet av henholdsvis 4 dagers og 4 ukers behandling. Mulig risiko forbundet med behandling med acetylsalisylsyre bør overveies før samtidig administrering av </w:t>
      </w:r>
      <w:r w:rsidR="003C3355" w:rsidRPr="009D56B8">
        <w:rPr>
          <w:szCs w:val="22"/>
          <w:lang w:val="nb-NO"/>
        </w:rPr>
        <w:t>dimetylfumarat</w:t>
      </w:r>
      <w:r w:rsidRPr="009D56B8">
        <w:rPr>
          <w:szCs w:val="22"/>
          <w:lang w:val="nb-NO"/>
        </w:rPr>
        <w:t xml:space="preserve"> til pasienter med </w:t>
      </w:r>
      <w:r w:rsidR="004B12C6" w:rsidRPr="009D56B8">
        <w:rPr>
          <w:szCs w:val="22"/>
          <w:lang w:val="nb-NO"/>
        </w:rPr>
        <w:t>RR</w:t>
      </w:r>
      <w:r w:rsidRPr="009D56B8">
        <w:rPr>
          <w:szCs w:val="22"/>
          <w:lang w:val="nb-NO"/>
        </w:rPr>
        <w:t>MS. Kontinuerlig langtidsbruk (&gt; 4 uker) av acetylsalisylsyre har ikke blitt undersøkt (se pkt. 4.4 og 4.8).</w:t>
      </w:r>
    </w:p>
    <w:p w14:paraId="602D4753" w14:textId="77777777" w:rsidR="00E50867" w:rsidRPr="009D56B8" w:rsidRDefault="00E50867">
      <w:pPr>
        <w:rPr>
          <w:szCs w:val="22"/>
          <w:lang w:val="nb-NO"/>
        </w:rPr>
      </w:pPr>
    </w:p>
    <w:p w14:paraId="441624F3" w14:textId="7462EE76" w:rsidR="00E50867" w:rsidRPr="009D56B8" w:rsidRDefault="00C770E8">
      <w:pPr>
        <w:rPr>
          <w:szCs w:val="22"/>
          <w:lang w:val="nb-NO"/>
        </w:rPr>
      </w:pPr>
      <w:r w:rsidRPr="009D56B8">
        <w:rPr>
          <w:szCs w:val="22"/>
          <w:lang w:val="nb-NO"/>
        </w:rPr>
        <w:t xml:space="preserve">Samtidig behandling med nefrotoksiske legemidler (slik som aminoglykosider, diuretika, ikke-steroide antiinflammatoriske midler eller litium) kan øke potensialet for nyrebivirkninger (f.eks. proteinuri, se pkt. 4.8) hos pasienter som tar </w:t>
      </w:r>
      <w:r w:rsidR="003C3355" w:rsidRPr="009D56B8">
        <w:rPr>
          <w:szCs w:val="22"/>
          <w:lang w:val="nb-NO"/>
        </w:rPr>
        <w:t>dimetylfumarat</w:t>
      </w:r>
      <w:r w:rsidRPr="009D56B8">
        <w:rPr>
          <w:szCs w:val="22"/>
          <w:lang w:val="nb-NO"/>
        </w:rPr>
        <w:t xml:space="preserve"> (se pkt. 4.4, Blod-/laboratorieundersøkelser).</w:t>
      </w:r>
    </w:p>
    <w:p w14:paraId="20946A67" w14:textId="77777777" w:rsidR="00E50867" w:rsidRPr="009D56B8" w:rsidRDefault="00E50867">
      <w:pPr>
        <w:widowControl w:val="0"/>
        <w:suppressLineNumbers/>
        <w:rPr>
          <w:szCs w:val="22"/>
          <w:u w:val="single"/>
          <w:lang w:val="nb-NO"/>
        </w:rPr>
      </w:pPr>
    </w:p>
    <w:p w14:paraId="78C2A903" w14:textId="126322AD" w:rsidR="00E50867" w:rsidRPr="009D56B8" w:rsidRDefault="00C770E8">
      <w:pPr>
        <w:rPr>
          <w:szCs w:val="22"/>
          <w:lang w:val="nb-NO"/>
        </w:rPr>
      </w:pPr>
      <w:r w:rsidRPr="009D56B8">
        <w:rPr>
          <w:szCs w:val="22"/>
          <w:lang w:val="nb-NO"/>
        </w:rPr>
        <w:t xml:space="preserve">Inntak av moderate mengder alkohol endret ikke eksponeringen for dimetylfumarat og var ikke forbundet med en økning i bivirkninger. Inntak av store mengder sterke alkoholholdige drikker (mer enn 30 volum% alkohol) bør unngås i én time før og én time etter inntak av </w:t>
      </w:r>
      <w:r w:rsidR="003C3355" w:rsidRPr="009D56B8">
        <w:rPr>
          <w:szCs w:val="22"/>
          <w:lang w:val="nb-NO"/>
        </w:rPr>
        <w:t>dimetylfumarat</w:t>
      </w:r>
      <w:r w:rsidRPr="009D56B8">
        <w:rPr>
          <w:szCs w:val="22"/>
          <w:lang w:val="nb-NO"/>
        </w:rPr>
        <w:t>, da alkohol kan føre til økt hyppighet av gastrointestinale bivirkninger.</w:t>
      </w:r>
    </w:p>
    <w:p w14:paraId="6870A5C8" w14:textId="77777777" w:rsidR="002E3C43" w:rsidRPr="009D56B8" w:rsidRDefault="002E3C43">
      <w:pPr>
        <w:rPr>
          <w:szCs w:val="22"/>
          <w:lang w:val="nb-NO"/>
        </w:rPr>
      </w:pPr>
    </w:p>
    <w:p w14:paraId="7A0F5A31" w14:textId="4902DC23" w:rsidR="002E3C43" w:rsidRPr="009D56B8" w:rsidRDefault="002E3C43">
      <w:pPr>
        <w:rPr>
          <w:szCs w:val="22"/>
          <w:u w:val="single"/>
          <w:lang w:val="nb-NO"/>
        </w:rPr>
      </w:pPr>
      <w:r w:rsidRPr="009D56B8">
        <w:rPr>
          <w:szCs w:val="22"/>
          <w:u w:val="single"/>
          <w:lang w:val="nb-NO"/>
        </w:rPr>
        <w:t>Effekter av dimetylfumarat på andre forbindelser</w:t>
      </w:r>
    </w:p>
    <w:p w14:paraId="5EDACFC0" w14:textId="77777777" w:rsidR="00E50867" w:rsidRPr="009D56B8" w:rsidRDefault="00E50867">
      <w:pPr>
        <w:rPr>
          <w:szCs w:val="22"/>
          <w:lang w:val="nb-NO"/>
        </w:rPr>
      </w:pPr>
    </w:p>
    <w:p w14:paraId="0B60D5BD" w14:textId="11A5685C" w:rsidR="00E50867" w:rsidRPr="009D56B8" w:rsidRDefault="00C770E8">
      <w:pPr>
        <w:rPr>
          <w:szCs w:val="22"/>
          <w:lang w:val="nb-NO"/>
        </w:rPr>
      </w:pPr>
      <w:r w:rsidRPr="009D56B8">
        <w:rPr>
          <w:szCs w:val="22"/>
          <w:lang w:val="nb-NO"/>
        </w:rPr>
        <w:t xml:space="preserve">CYP-induksjonsstudier </w:t>
      </w:r>
      <w:r w:rsidRPr="009D56B8">
        <w:rPr>
          <w:i/>
          <w:szCs w:val="22"/>
          <w:lang w:val="nb-NO"/>
        </w:rPr>
        <w:t>in vitro</w:t>
      </w:r>
      <w:r w:rsidRPr="009D56B8">
        <w:rPr>
          <w:szCs w:val="22"/>
          <w:lang w:val="nb-NO"/>
        </w:rPr>
        <w:t xml:space="preserve"> viste ingen interaksjon mellom </w:t>
      </w:r>
      <w:r w:rsidR="003C3355" w:rsidRPr="009D56B8">
        <w:rPr>
          <w:szCs w:val="22"/>
          <w:lang w:val="nb-NO"/>
        </w:rPr>
        <w:t>dimetylfumarat</w:t>
      </w:r>
      <w:r w:rsidRPr="009D56B8">
        <w:rPr>
          <w:szCs w:val="22"/>
          <w:lang w:val="nb-NO"/>
        </w:rPr>
        <w:t xml:space="preserve"> og perorale antikonsepsjonsmidler. I en studie </w:t>
      </w:r>
      <w:r w:rsidRPr="009D56B8">
        <w:rPr>
          <w:i/>
          <w:szCs w:val="22"/>
          <w:lang w:val="nb-NO"/>
        </w:rPr>
        <w:t>in vivo</w:t>
      </w:r>
      <w:r w:rsidRPr="009D56B8">
        <w:rPr>
          <w:szCs w:val="22"/>
          <w:lang w:val="nb-NO"/>
        </w:rPr>
        <w:t xml:space="preserve"> med samtidig administrering av </w:t>
      </w:r>
      <w:r w:rsidR="003C3355" w:rsidRPr="009D56B8">
        <w:rPr>
          <w:szCs w:val="22"/>
          <w:lang w:val="nb-NO"/>
        </w:rPr>
        <w:t>dimetylfumarat</w:t>
      </w:r>
      <w:r w:rsidRPr="009D56B8">
        <w:rPr>
          <w:szCs w:val="22"/>
          <w:lang w:val="nb-NO"/>
        </w:rPr>
        <w:t xml:space="preserve"> og et kombinert peroralt antikonsepsjonsmiddel (norgestimat og etinyløstradiol) ble det ikke vist relevante endringer i eksponering for det perorale antikonsepsjonsmidlet. Det er ikke utført interaksjonsstudier med perorale antikonsepsjonsmidler som inneholder progestogener, men det forventes ikke at </w:t>
      </w:r>
      <w:r w:rsidR="003C3355" w:rsidRPr="009D56B8">
        <w:rPr>
          <w:szCs w:val="22"/>
          <w:lang w:val="nb-NO"/>
        </w:rPr>
        <w:t>dimetylfumarat</w:t>
      </w:r>
      <w:r w:rsidRPr="009D56B8">
        <w:rPr>
          <w:szCs w:val="22"/>
          <w:lang w:val="nb-NO"/>
        </w:rPr>
        <w:t xml:space="preserve"> har effekt på eksponeringen for disse.</w:t>
      </w:r>
    </w:p>
    <w:p w14:paraId="1CF47719" w14:textId="77777777" w:rsidR="00E50867" w:rsidRPr="009D56B8" w:rsidRDefault="00E50867">
      <w:pPr>
        <w:widowControl w:val="0"/>
        <w:suppressLineNumbers/>
        <w:rPr>
          <w:szCs w:val="22"/>
          <w:u w:val="single"/>
          <w:lang w:val="nb-NO"/>
        </w:rPr>
      </w:pPr>
    </w:p>
    <w:p w14:paraId="6989BFD7" w14:textId="77777777" w:rsidR="00E50867" w:rsidRPr="009D56B8" w:rsidRDefault="00C770E8">
      <w:pPr>
        <w:keepNext/>
        <w:widowControl w:val="0"/>
        <w:suppressLineNumbers/>
        <w:rPr>
          <w:szCs w:val="22"/>
          <w:u w:val="single"/>
          <w:lang w:val="nb-NO"/>
        </w:rPr>
      </w:pPr>
      <w:r w:rsidRPr="009D56B8">
        <w:rPr>
          <w:szCs w:val="22"/>
          <w:u w:val="single"/>
          <w:lang w:val="nb-NO"/>
        </w:rPr>
        <w:t>Pediatrisk populasjon</w:t>
      </w:r>
    </w:p>
    <w:p w14:paraId="64917910" w14:textId="77777777" w:rsidR="00E50867" w:rsidRPr="009D56B8" w:rsidRDefault="00E50867">
      <w:pPr>
        <w:keepNext/>
        <w:rPr>
          <w:szCs w:val="22"/>
          <w:lang w:val="nb-NO"/>
        </w:rPr>
      </w:pPr>
    </w:p>
    <w:p w14:paraId="3BDE5279" w14:textId="77777777" w:rsidR="00E50867" w:rsidRPr="009D56B8" w:rsidRDefault="00C770E8">
      <w:pPr>
        <w:widowControl w:val="0"/>
        <w:suppressLineNumbers/>
        <w:rPr>
          <w:szCs w:val="22"/>
          <w:lang w:val="nb-NO"/>
        </w:rPr>
      </w:pPr>
      <w:r w:rsidRPr="009D56B8">
        <w:rPr>
          <w:szCs w:val="22"/>
          <w:lang w:val="nb-NO"/>
        </w:rPr>
        <w:t>Interaksjonsstudier har kun blitt utført hos voksne.</w:t>
      </w:r>
    </w:p>
    <w:p w14:paraId="5B0EC8DE" w14:textId="77777777" w:rsidR="00E50867" w:rsidRPr="009D56B8" w:rsidRDefault="00E50867">
      <w:pPr>
        <w:rPr>
          <w:szCs w:val="22"/>
          <w:lang w:val="nb-NO"/>
        </w:rPr>
      </w:pPr>
    </w:p>
    <w:p w14:paraId="613CCF7A" w14:textId="77777777" w:rsidR="00E50867" w:rsidRPr="009D56B8" w:rsidRDefault="00C770E8">
      <w:pPr>
        <w:widowControl w:val="0"/>
        <w:suppressLineNumbers/>
        <w:ind w:left="567" w:hanging="567"/>
        <w:rPr>
          <w:b/>
          <w:szCs w:val="22"/>
          <w:lang w:val="nb-NO"/>
        </w:rPr>
      </w:pPr>
      <w:r w:rsidRPr="009D56B8">
        <w:rPr>
          <w:b/>
          <w:szCs w:val="22"/>
          <w:lang w:val="nb-NO"/>
        </w:rPr>
        <w:t>4.6</w:t>
      </w:r>
      <w:r w:rsidRPr="009D56B8">
        <w:rPr>
          <w:b/>
          <w:szCs w:val="22"/>
          <w:lang w:val="nb-NO"/>
        </w:rPr>
        <w:tab/>
        <w:t>Fertilitet, graviditet og amming</w:t>
      </w:r>
    </w:p>
    <w:p w14:paraId="74F06B8F" w14:textId="77777777" w:rsidR="00E50867" w:rsidRPr="009D56B8" w:rsidRDefault="00E50867">
      <w:pPr>
        <w:rPr>
          <w:szCs w:val="22"/>
          <w:lang w:val="nb-NO"/>
        </w:rPr>
      </w:pPr>
    </w:p>
    <w:p w14:paraId="465B50E6" w14:textId="77777777" w:rsidR="00E50867" w:rsidRPr="009D56B8" w:rsidRDefault="00C770E8">
      <w:pPr>
        <w:widowControl w:val="0"/>
        <w:suppressLineNumbers/>
        <w:rPr>
          <w:szCs w:val="22"/>
          <w:u w:val="single"/>
          <w:lang w:val="nb-NO"/>
        </w:rPr>
      </w:pPr>
      <w:r w:rsidRPr="009D56B8">
        <w:rPr>
          <w:szCs w:val="22"/>
          <w:u w:val="single"/>
          <w:lang w:val="nb-NO"/>
        </w:rPr>
        <w:t>Graviditet</w:t>
      </w:r>
    </w:p>
    <w:p w14:paraId="383B5C73" w14:textId="77777777" w:rsidR="00E50867" w:rsidRPr="009D56B8" w:rsidRDefault="00E50867">
      <w:pPr>
        <w:rPr>
          <w:szCs w:val="22"/>
          <w:lang w:val="nb-NO"/>
        </w:rPr>
      </w:pPr>
    </w:p>
    <w:p w14:paraId="585679E6" w14:textId="765C66F6" w:rsidR="00E50867" w:rsidRPr="009D56B8" w:rsidRDefault="00BB3146">
      <w:pPr>
        <w:widowControl w:val="0"/>
        <w:suppressLineNumbers/>
        <w:rPr>
          <w:szCs w:val="22"/>
          <w:lang w:val="nb-NO"/>
        </w:rPr>
      </w:pPr>
      <w:r w:rsidRPr="009D56B8">
        <w:rPr>
          <w:szCs w:val="22"/>
          <w:lang w:val="nb-NO"/>
        </w:rPr>
        <w:t xml:space="preserve">Det </w:t>
      </w:r>
      <w:r w:rsidR="004C4033" w:rsidRPr="009D56B8">
        <w:rPr>
          <w:szCs w:val="22"/>
          <w:lang w:val="nb-NO"/>
        </w:rPr>
        <w:t>er</w:t>
      </w:r>
      <w:r w:rsidRPr="009D56B8">
        <w:rPr>
          <w:szCs w:val="22"/>
          <w:lang w:val="nb-NO"/>
        </w:rPr>
        <w:t xml:space="preserve"> ingen eller begrense</w:t>
      </w:r>
      <w:r w:rsidR="004C4033" w:rsidRPr="009D56B8">
        <w:rPr>
          <w:szCs w:val="22"/>
          <w:lang w:val="nb-NO"/>
        </w:rPr>
        <w:t>t</w:t>
      </w:r>
      <w:r w:rsidRPr="009D56B8">
        <w:rPr>
          <w:szCs w:val="22"/>
          <w:lang w:val="nb-NO"/>
        </w:rPr>
        <w:t xml:space="preserve"> mengde data </w:t>
      </w:r>
      <w:r w:rsidR="004C4033" w:rsidRPr="009D56B8">
        <w:rPr>
          <w:szCs w:val="22"/>
          <w:lang w:val="nb-NO"/>
        </w:rPr>
        <w:t>på</w:t>
      </w:r>
      <w:r w:rsidRPr="009D56B8">
        <w:rPr>
          <w:szCs w:val="22"/>
          <w:lang w:val="nb-NO"/>
        </w:rPr>
        <w:t xml:space="preserve"> bruk av dimetylfumarat hos gravide kvinner. Studier på dyr har vist reproduksjonstoksisitet (se punkt 5.3). Dimetylfumarat er ikke anbefalt under graviditet </w:t>
      </w:r>
      <w:r w:rsidR="00E715C1" w:rsidRPr="009D56B8">
        <w:rPr>
          <w:szCs w:val="22"/>
          <w:lang w:val="nb-NO"/>
        </w:rPr>
        <w:t>eller til</w:t>
      </w:r>
      <w:r w:rsidRPr="009D56B8">
        <w:rPr>
          <w:szCs w:val="22"/>
          <w:lang w:val="nb-NO"/>
        </w:rPr>
        <w:t xml:space="preserve"> fertile kvinner som ikke bruker egnet prevensjon (se punkt 4.5). Dimetylfumarat </w:t>
      </w:r>
      <w:r w:rsidR="00C770E8" w:rsidRPr="009D56B8">
        <w:rPr>
          <w:szCs w:val="22"/>
          <w:lang w:val="nb-NO"/>
        </w:rPr>
        <w:t>skal bare brukes under graviditet hvis strengt nødvendig, og dersom den potensielle fordelen av behandlingen oppveier den potensielle risikoen for fosteret.</w:t>
      </w:r>
    </w:p>
    <w:p w14:paraId="088F4965" w14:textId="77777777" w:rsidR="00E50867" w:rsidRPr="009D56B8" w:rsidRDefault="00E50867">
      <w:pPr>
        <w:rPr>
          <w:szCs w:val="22"/>
          <w:lang w:val="nb-NO"/>
        </w:rPr>
      </w:pPr>
    </w:p>
    <w:p w14:paraId="7BFF5D30" w14:textId="77777777" w:rsidR="00E50867" w:rsidRPr="009D56B8" w:rsidRDefault="00C770E8">
      <w:pPr>
        <w:widowControl w:val="0"/>
        <w:suppressLineNumbers/>
        <w:rPr>
          <w:szCs w:val="22"/>
          <w:u w:val="single"/>
          <w:lang w:val="nb-NO"/>
        </w:rPr>
      </w:pPr>
      <w:r w:rsidRPr="009D56B8">
        <w:rPr>
          <w:szCs w:val="22"/>
          <w:u w:val="single"/>
          <w:lang w:val="nb-NO"/>
        </w:rPr>
        <w:t>Amming</w:t>
      </w:r>
    </w:p>
    <w:p w14:paraId="0EA6EECE" w14:textId="77777777" w:rsidR="00E50867" w:rsidRPr="009D56B8" w:rsidRDefault="00E50867">
      <w:pPr>
        <w:rPr>
          <w:szCs w:val="22"/>
          <w:lang w:val="nb-NO"/>
        </w:rPr>
      </w:pPr>
    </w:p>
    <w:p w14:paraId="35240BC2" w14:textId="3A97EFFA" w:rsidR="00E50867" w:rsidRPr="009D56B8" w:rsidRDefault="00C770E8">
      <w:pPr>
        <w:widowControl w:val="0"/>
        <w:suppressLineNumbers/>
        <w:rPr>
          <w:szCs w:val="22"/>
          <w:lang w:val="nb-NO"/>
        </w:rPr>
      </w:pPr>
      <w:r w:rsidRPr="009D56B8">
        <w:rPr>
          <w:szCs w:val="22"/>
          <w:lang w:val="nb-NO"/>
        </w:rPr>
        <w:t xml:space="preserve">Det er ukjent om dimetylfumarat eller dets metabolitter blir skilt ut i morsmelk hos mennesker. En risiko for nyfødte/spedbarn som ammes kan ikke utelukkes. Tatt i betraktning fordelene av amming for barnet og fordelene av behandling for moren, må det tas en beslutning om ammingen skal opphøre eller behandlingen med </w:t>
      </w:r>
      <w:r w:rsidR="003C3355" w:rsidRPr="009D56B8">
        <w:rPr>
          <w:szCs w:val="22"/>
          <w:lang w:val="nb-NO"/>
        </w:rPr>
        <w:t>dimetylfumarat</w:t>
      </w:r>
      <w:r w:rsidRPr="009D56B8">
        <w:rPr>
          <w:szCs w:val="22"/>
          <w:lang w:val="nb-NO"/>
        </w:rPr>
        <w:t xml:space="preserve"> skal avsluttes.</w:t>
      </w:r>
    </w:p>
    <w:p w14:paraId="42E3F0C9" w14:textId="77777777" w:rsidR="00E50867" w:rsidRPr="009D56B8" w:rsidRDefault="00E50867">
      <w:pPr>
        <w:rPr>
          <w:szCs w:val="22"/>
          <w:u w:val="single"/>
          <w:lang w:val="nb-NO"/>
        </w:rPr>
      </w:pPr>
    </w:p>
    <w:p w14:paraId="3D992AA8" w14:textId="77777777" w:rsidR="00E50867" w:rsidRPr="009D56B8" w:rsidRDefault="00C770E8">
      <w:pPr>
        <w:keepNext/>
        <w:keepLines/>
        <w:suppressLineNumbers/>
        <w:rPr>
          <w:szCs w:val="22"/>
          <w:u w:val="single"/>
          <w:lang w:val="nb-NO"/>
        </w:rPr>
      </w:pPr>
      <w:r w:rsidRPr="009D56B8">
        <w:rPr>
          <w:szCs w:val="22"/>
          <w:u w:val="single"/>
          <w:lang w:val="nb-NO"/>
        </w:rPr>
        <w:t>Fertilitet</w:t>
      </w:r>
    </w:p>
    <w:p w14:paraId="38064E7E" w14:textId="77777777" w:rsidR="00E50867" w:rsidRPr="009D56B8" w:rsidRDefault="00E50867">
      <w:pPr>
        <w:keepNext/>
        <w:keepLines/>
        <w:rPr>
          <w:szCs w:val="22"/>
          <w:lang w:val="nb-NO"/>
        </w:rPr>
      </w:pPr>
    </w:p>
    <w:p w14:paraId="64FDFAFB" w14:textId="77777777" w:rsidR="00E50867" w:rsidRPr="009D56B8" w:rsidRDefault="00C770E8">
      <w:pPr>
        <w:keepNext/>
        <w:keepLines/>
        <w:suppressLineNumbers/>
        <w:rPr>
          <w:szCs w:val="22"/>
          <w:lang w:val="nb-NO"/>
        </w:rPr>
      </w:pPr>
      <w:r w:rsidRPr="009D56B8">
        <w:rPr>
          <w:szCs w:val="22"/>
          <w:lang w:val="nb-NO"/>
        </w:rPr>
        <w:t>Det foreligger ingen data på effekten av dimetylfumarat på fertilitet hos mennesker. Data fra prekliniske studier tyder ikke på at dimetylfumarat er forbundet med økt risiko for redusert fertilitet (se pkt. 5.3).</w:t>
      </w:r>
    </w:p>
    <w:p w14:paraId="7E926CC3" w14:textId="36DF0A67" w:rsidR="00E50867" w:rsidRPr="009D56B8" w:rsidRDefault="00E50867">
      <w:pPr>
        <w:rPr>
          <w:szCs w:val="22"/>
          <w:lang w:val="nb-NO"/>
        </w:rPr>
      </w:pPr>
    </w:p>
    <w:p w14:paraId="259EE0D8" w14:textId="77777777" w:rsidR="006E13A1" w:rsidRPr="009D56B8" w:rsidRDefault="006E13A1">
      <w:pPr>
        <w:rPr>
          <w:szCs w:val="22"/>
          <w:lang w:val="nb-NO"/>
        </w:rPr>
      </w:pPr>
    </w:p>
    <w:p w14:paraId="52635F2A" w14:textId="77777777" w:rsidR="00E50867" w:rsidRPr="009D56B8" w:rsidRDefault="00C770E8">
      <w:pPr>
        <w:widowControl w:val="0"/>
        <w:suppressLineNumbers/>
        <w:ind w:left="567" w:hanging="567"/>
        <w:rPr>
          <w:b/>
          <w:szCs w:val="22"/>
          <w:lang w:val="nb-NO"/>
        </w:rPr>
      </w:pPr>
      <w:r w:rsidRPr="009D56B8">
        <w:rPr>
          <w:b/>
          <w:szCs w:val="22"/>
          <w:lang w:val="nb-NO"/>
        </w:rPr>
        <w:t>4.7</w:t>
      </w:r>
      <w:r w:rsidRPr="009D56B8">
        <w:rPr>
          <w:b/>
          <w:szCs w:val="22"/>
          <w:lang w:val="nb-NO"/>
        </w:rPr>
        <w:tab/>
        <w:t>Påvirkning av evnen til å kjøre bil og bruke maskiner</w:t>
      </w:r>
    </w:p>
    <w:p w14:paraId="49469E81" w14:textId="77777777" w:rsidR="00E50867" w:rsidRPr="009D56B8" w:rsidRDefault="00E50867">
      <w:pPr>
        <w:rPr>
          <w:szCs w:val="22"/>
          <w:lang w:val="nb-NO"/>
        </w:rPr>
      </w:pPr>
    </w:p>
    <w:p w14:paraId="353BA94F" w14:textId="656964B6" w:rsidR="00E50867" w:rsidRPr="009D56B8" w:rsidRDefault="0042681D">
      <w:pPr>
        <w:widowControl w:val="0"/>
        <w:suppressLineNumbers/>
        <w:rPr>
          <w:szCs w:val="22"/>
          <w:lang w:val="nb-NO"/>
        </w:rPr>
      </w:pPr>
      <w:r w:rsidRPr="009D56B8">
        <w:rPr>
          <w:szCs w:val="22"/>
          <w:lang w:val="nb-NO"/>
        </w:rPr>
        <w:t>Dimetylfumarat</w:t>
      </w:r>
      <w:r w:rsidR="00C770E8" w:rsidRPr="009D56B8">
        <w:rPr>
          <w:szCs w:val="22"/>
          <w:lang w:val="nb-NO"/>
        </w:rPr>
        <w:t xml:space="preserve"> har ingen eller ubetydelig påvirkning på evnen til å kjøre bil og bruke maskiner.</w:t>
      </w:r>
    </w:p>
    <w:p w14:paraId="4CDB0B7F" w14:textId="77777777" w:rsidR="00E50867" w:rsidRPr="009D56B8" w:rsidRDefault="00E50867">
      <w:pPr>
        <w:widowControl w:val="0"/>
        <w:suppressLineNumbers/>
        <w:rPr>
          <w:b/>
          <w:szCs w:val="22"/>
          <w:lang w:val="nb-NO"/>
        </w:rPr>
      </w:pPr>
    </w:p>
    <w:p w14:paraId="0A54F223" w14:textId="77777777" w:rsidR="00E50867" w:rsidRPr="009D56B8" w:rsidRDefault="00C770E8">
      <w:pPr>
        <w:keepNext/>
        <w:widowControl w:val="0"/>
        <w:suppressLineNumbers/>
        <w:rPr>
          <w:b/>
          <w:szCs w:val="22"/>
          <w:lang w:val="nb-NO"/>
        </w:rPr>
      </w:pPr>
      <w:r w:rsidRPr="009D56B8">
        <w:rPr>
          <w:b/>
          <w:szCs w:val="22"/>
          <w:lang w:val="nb-NO"/>
        </w:rPr>
        <w:t>4.8</w:t>
      </w:r>
      <w:r w:rsidRPr="009D56B8">
        <w:rPr>
          <w:b/>
          <w:szCs w:val="22"/>
          <w:lang w:val="nb-NO"/>
        </w:rPr>
        <w:tab/>
        <w:t>Bivirkninger</w:t>
      </w:r>
    </w:p>
    <w:p w14:paraId="77D9EAE0" w14:textId="77777777" w:rsidR="00E50867" w:rsidRPr="009D56B8" w:rsidRDefault="00E50867">
      <w:pPr>
        <w:keepNext/>
        <w:rPr>
          <w:szCs w:val="22"/>
          <w:lang w:val="nb-NO"/>
        </w:rPr>
      </w:pPr>
    </w:p>
    <w:p w14:paraId="7E147C1F" w14:textId="77777777" w:rsidR="00E50867" w:rsidRPr="009D56B8" w:rsidRDefault="00C770E8">
      <w:pPr>
        <w:keepNext/>
        <w:suppressLineNumbers/>
        <w:rPr>
          <w:szCs w:val="22"/>
          <w:u w:val="single"/>
          <w:lang w:val="nb-NO"/>
        </w:rPr>
      </w:pPr>
      <w:r w:rsidRPr="009D56B8">
        <w:rPr>
          <w:szCs w:val="22"/>
          <w:u w:val="single"/>
          <w:lang w:val="nb-NO"/>
        </w:rPr>
        <w:t>Sammendrag av sikkerhetsprofilen</w:t>
      </w:r>
    </w:p>
    <w:p w14:paraId="72EAAF10" w14:textId="77777777" w:rsidR="00E50867" w:rsidRPr="009D56B8" w:rsidRDefault="00E50867">
      <w:pPr>
        <w:keepNext/>
        <w:rPr>
          <w:szCs w:val="22"/>
          <w:lang w:val="nb-NO"/>
        </w:rPr>
      </w:pPr>
    </w:p>
    <w:p w14:paraId="304AF81E" w14:textId="3C5C1929" w:rsidR="00E50867" w:rsidRPr="009D56B8" w:rsidRDefault="00C770E8">
      <w:pPr>
        <w:suppressLineNumbers/>
        <w:rPr>
          <w:szCs w:val="22"/>
          <w:lang w:val="nb-NO"/>
        </w:rPr>
      </w:pPr>
      <w:r w:rsidRPr="009D56B8">
        <w:rPr>
          <w:szCs w:val="22"/>
          <w:lang w:val="nb-NO"/>
        </w:rPr>
        <w:t xml:space="preserve">De vanligste bivirkningene </w:t>
      </w:r>
      <w:r w:rsidR="001C139B" w:rsidRPr="009D56B8">
        <w:rPr>
          <w:szCs w:val="22"/>
          <w:lang w:val="nb-NO"/>
        </w:rPr>
        <w:t>er</w:t>
      </w:r>
      <w:r w:rsidRPr="009D56B8">
        <w:rPr>
          <w:szCs w:val="22"/>
          <w:lang w:val="nb-NO"/>
        </w:rPr>
        <w:t xml:space="preserve"> flushing</w:t>
      </w:r>
      <w:r w:rsidR="001C139B" w:rsidRPr="009D56B8">
        <w:rPr>
          <w:szCs w:val="22"/>
          <w:lang w:val="nb-NO"/>
        </w:rPr>
        <w:t xml:space="preserve"> (35 %)</w:t>
      </w:r>
      <w:r w:rsidRPr="009D56B8">
        <w:rPr>
          <w:szCs w:val="22"/>
          <w:lang w:val="nb-NO"/>
        </w:rPr>
        <w:t xml:space="preserve"> og gastrointestinale bivirkninger (dvs. diaré</w:t>
      </w:r>
      <w:r w:rsidR="001C139B" w:rsidRPr="009D56B8">
        <w:rPr>
          <w:szCs w:val="22"/>
          <w:lang w:val="nb-NO"/>
        </w:rPr>
        <w:t xml:space="preserve"> (14 %)</w:t>
      </w:r>
      <w:r w:rsidRPr="009D56B8">
        <w:rPr>
          <w:szCs w:val="22"/>
          <w:lang w:val="nb-NO"/>
        </w:rPr>
        <w:t>, kvalme</w:t>
      </w:r>
      <w:r w:rsidR="001C139B" w:rsidRPr="009D56B8">
        <w:rPr>
          <w:szCs w:val="22"/>
          <w:lang w:val="nb-NO"/>
        </w:rPr>
        <w:t xml:space="preserve"> (12 %)</w:t>
      </w:r>
      <w:r w:rsidRPr="009D56B8">
        <w:rPr>
          <w:szCs w:val="22"/>
          <w:lang w:val="nb-NO"/>
        </w:rPr>
        <w:t>, abdominale smerter</w:t>
      </w:r>
      <w:r w:rsidR="001C139B" w:rsidRPr="009D56B8">
        <w:rPr>
          <w:szCs w:val="22"/>
          <w:lang w:val="nb-NO"/>
        </w:rPr>
        <w:t xml:space="preserve"> (10 %)</w:t>
      </w:r>
      <w:r w:rsidRPr="009D56B8">
        <w:rPr>
          <w:szCs w:val="22"/>
          <w:lang w:val="nb-NO"/>
        </w:rPr>
        <w:t>, smerter i øvre del av abdomen</w:t>
      </w:r>
      <w:r w:rsidR="005167C5" w:rsidRPr="009D56B8">
        <w:rPr>
          <w:szCs w:val="22"/>
          <w:lang w:val="nb-NO"/>
        </w:rPr>
        <w:t xml:space="preserve"> (10 %)</w:t>
      </w:r>
      <w:r w:rsidRPr="009D56B8">
        <w:rPr>
          <w:szCs w:val="22"/>
          <w:lang w:val="nb-NO"/>
        </w:rPr>
        <w:t xml:space="preserve">). Flushing og gastrointestinale bivirkninger begynner vanligvis tidlig i behandlingsforløpet (hovedsakelig i den første måneden), og hos pasienter som opplever flushing og gastrointestinale bivirkninger, kan disse bivirkningene forekomme gjentatte ganger under hele behandlingen med </w:t>
      </w:r>
      <w:r w:rsidR="0042681D" w:rsidRPr="009D56B8">
        <w:rPr>
          <w:szCs w:val="22"/>
          <w:lang w:val="nb-NO"/>
        </w:rPr>
        <w:t>dimetylfumarat</w:t>
      </w:r>
      <w:r w:rsidRPr="009D56B8">
        <w:rPr>
          <w:szCs w:val="22"/>
          <w:lang w:val="nb-NO"/>
        </w:rPr>
        <w:t>. De hyppigst rapporterte bivirkningene som førte til seponering</w:t>
      </w:r>
      <w:r w:rsidR="005167C5" w:rsidRPr="009D56B8">
        <w:rPr>
          <w:szCs w:val="22"/>
          <w:lang w:val="nb-NO"/>
        </w:rPr>
        <w:t xml:space="preserve"> av behandlingen</w:t>
      </w:r>
      <w:r w:rsidRPr="009D56B8">
        <w:rPr>
          <w:szCs w:val="22"/>
          <w:lang w:val="nb-NO"/>
        </w:rPr>
        <w:t xml:space="preserve"> </w:t>
      </w:r>
      <w:r w:rsidR="006E55E9" w:rsidRPr="009D56B8">
        <w:rPr>
          <w:szCs w:val="22"/>
          <w:lang w:val="nb-NO"/>
        </w:rPr>
        <w:t>va</w:t>
      </w:r>
      <w:r w:rsidR="005167C5" w:rsidRPr="009D56B8">
        <w:rPr>
          <w:szCs w:val="22"/>
          <w:lang w:val="nb-NO"/>
        </w:rPr>
        <w:t>r</w:t>
      </w:r>
      <w:r w:rsidRPr="009D56B8">
        <w:rPr>
          <w:szCs w:val="22"/>
          <w:lang w:val="nb-NO"/>
        </w:rPr>
        <w:t xml:space="preserve"> flushing (3 %) og gastrointestinale bivirkninger (4 %).</w:t>
      </w:r>
    </w:p>
    <w:p w14:paraId="471D61C0" w14:textId="77777777" w:rsidR="00E50867" w:rsidRPr="009D56B8" w:rsidRDefault="00E50867">
      <w:pPr>
        <w:rPr>
          <w:szCs w:val="22"/>
          <w:lang w:val="nb-NO"/>
        </w:rPr>
      </w:pPr>
    </w:p>
    <w:p w14:paraId="4D3BEE32" w14:textId="343E09B2" w:rsidR="00E50867" w:rsidRPr="009D56B8" w:rsidRDefault="00C770E8">
      <w:pPr>
        <w:suppressLineNumbers/>
        <w:rPr>
          <w:szCs w:val="22"/>
          <w:lang w:val="nb-NO"/>
        </w:rPr>
      </w:pPr>
      <w:r w:rsidRPr="009D56B8">
        <w:rPr>
          <w:szCs w:val="22"/>
          <w:lang w:val="nb-NO"/>
        </w:rPr>
        <w:t>I placebokontrollerte og ikke-kontrollerte kliniske</w:t>
      </w:r>
      <w:r w:rsidR="00A4634E" w:rsidRPr="009D56B8">
        <w:rPr>
          <w:szCs w:val="22"/>
          <w:lang w:val="nb-NO"/>
        </w:rPr>
        <w:t xml:space="preserve"> fase 2- og fase 3-</w:t>
      </w:r>
      <w:r w:rsidRPr="009D56B8">
        <w:rPr>
          <w:szCs w:val="22"/>
          <w:lang w:val="nb-NO"/>
        </w:rPr>
        <w:t>studier fikk til sammen 2</w:t>
      </w:r>
      <w:r w:rsidR="001753BB" w:rsidRPr="009D56B8">
        <w:rPr>
          <w:szCs w:val="22"/>
          <w:lang w:val="nb-NO"/>
        </w:rPr>
        <w:t>513 </w:t>
      </w:r>
      <w:r w:rsidRPr="009D56B8">
        <w:rPr>
          <w:szCs w:val="22"/>
          <w:lang w:val="nb-NO"/>
        </w:rPr>
        <w:t xml:space="preserve">pasienter </w:t>
      </w:r>
      <w:r w:rsidR="0042681D" w:rsidRPr="009D56B8">
        <w:rPr>
          <w:szCs w:val="22"/>
          <w:lang w:val="nb-NO"/>
        </w:rPr>
        <w:t>dimetylfumarat</w:t>
      </w:r>
      <w:r w:rsidRPr="009D56B8">
        <w:rPr>
          <w:szCs w:val="22"/>
          <w:lang w:val="nb-NO"/>
        </w:rPr>
        <w:t xml:space="preserve"> i perioder på opptil </w:t>
      </w:r>
      <w:r w:rsidR="001753BB" w:rsidRPr="009D56B8">
        <w:rPr>
          <w:szCs w:val="22"/>
          <w:lang w:val="nb-NO"/>
        </w:rPr>
        <w:t>12</w:t>
      </w:r>
      <w:r w:rsidRPr="009D56B8">
        <w:rPr>
          <w:szCs w:val="22"/>
          <w:lang w:val="nb-NO"/>
        </w:rPr>
        <w:t xml:space="preserve"> år, med en samlet eksponering tilsvarende </w:t>
      </w:r>
      <w:r w:rsidR="001753BB" w:rsidRPr="009D56B8">
        <w:rPr>
          <w:szCs w:val="22"/>
          <w:lang w:val="nb-NO"/>
        </w:rPr>
        <w:t>11 318</w:t>
      </w:r>
      <w:r w:rsidRPr="009D56B8">
        <w:rPr>
          <w:szCs w:val="22"/>
          <w:lang w:val="nb-NO"/>
        </w:rPr>
        <w:t xml:space="preserve"> personår. </w:t>
      </w:r>
      <w:r w:rsidR="001753BB" w:rsidRPr="009D56B8">
        <w:rPr>
          <w:szCs w:val="22"/>
          <w:lang w:val="nb-NO"/>
        </w:rPr>
        <w:t xml:space="preserve">Totalt </w:t>
      </w:r>
      <w:r w:rsidRPr="009D56B8">
        <w:rPr>
          <w:szCs w:val="22"/>
          <w:lang w:val="nb-NO"/>
        </w:rPr>
        <w:t>1</w:t>
      </w:r>
      <w:r w:rsidR="001753BB" w:rsidRPr="009D56B8">
        <w:rPr>
          <w:szCs w:val="22"/>
          <w:lang w:val="nb-NO"/>
        </w:rPr>
        <w:t>169</w:t>
      </w:r>
      <w:r w:rsidRPr="009D56B8">
        <w:rPr>
          <w:szCs w:val="22"/>
          <w:lang w:val="nb-NO"/>
        </w:rPr>
        <w:t xml:space="preserve"> pasienter har fått </w:t>
      </w:r>
      <w:r w:rsidR="001753BB" w:rsidRPr="009D56B8">
        <w:rPr>
          <w:szCs w:val="22"/>
          <w:lang w:val="nb-NO"/>
        </w:rPr>
        <w:t xml:space="preserve">minst 5 års behandling med </w:t>
      </w:r>
      <w:r w:rsidR="0042681D" w:rsidRPr="009D56B8">
        <w:rPr>
          <w:szCs w:val="22"/>
          <w:lang w:val="nb-NO"/>
        </w:rPr>
        <w:t>dimetylfumarat</w:t>
      </w:r>
      <w:r w:rsidR="001753BB" w:rsidRPr="009D56B8">
        <w:rPr>
          <w:szCs w:val="22"/>
          <w:lang w:val="nb-NO"/>
        </w:rPr>
        <w:t>, og 426 pasienter har fått minst</w:t>
      </w:r>
      <w:r w:rsidRPr="009D56B8">
        <w:rPr>
          <w:szCs w:val="22"/>
          <w:lang w:val="nb-NO"/>
        </w:rPr>
        <w:t xml:space="preserve"> </w:t>
      </w:r>
      <w:r w:rsidR="001753BB" w:rsidRPr="009D56B8">
        <w:rPr>
          <w:szCs w:val="22"/>
          <w:lang w:val="nb-NO"/>
        </w:rPr>
        <w:t>10</w:t>
      </w:r>
      <w:r w:rsidRPr="009D56B8">
        <w:rPr>
          <w:szCs w:val="22"/>
          <w:lang w:val="nb-NO"/>
        </w:rPr>
        <w:t xml:space="preserve"> års behandling med </w:t>
      </w:r>
      <w:r w:rsidR="0042681D" w:rsidRPr="009D56B8">
        <w:rPr>
          <w:szCs w:val="22"/>
          <w:lang w:val="nb-NO"/>
        </w:rPr>
        <w:t>dimetylfumarat</w:t>
      </w:r>
      <w:r w:rsidRPr="009D56B8">
        <w:rPr>
          <w:szCs w:val="22"/>
          <w:lang w:val="nb-NO"/>
        </w:rPr>
        <w:t>. Erfaringen fra ikke-kontrollerte, kliniske studier er i samsvar med erfaringen fra placebokontrollerte, kliniske studier.</w:t>
      </w:r>
    </w:p>
    <w:p w14:paraId="0F2DE024" w14:textId="77777777" w:rsidR="00E50867" w:rsidRPr="009D56B8" w:rsidRDefault="00E50867">
      <w:pPr>
        <w:suppressLineNumbers/>
        <w:rPr>
          <w:szCs w:val="22"/>
          <w:lang w:val="nb-NO"/>
        </w:rPr>
      </w:pPr>
    </w:p>
    <w:p w14:paraId="6DFC6EBC" w14:textId="77777777" w:rsidR="00E50867" w:rsidRPr="009D56B8" w:rsidRDefault="00C770E8">
      <w:pPr>
        <w:keepNext/>
        <w:rPr>
          <w:szCs w:val="22"/>
          <w:lang w:val="nb-NO"/>
        </w:rPr>
      </w:pPr>
      <w:r w:rsidRPr="009D56B8">
        <w:rPr>
          <w:szCs w:val="22"/>
          <w:u w:val="single"/>
          <w:lang w:val="nb-NO"/>
        </w:rPr>
        <w:t>Bivirkningstabell</w:t>
      </w:r>
    </w:p>
    <w:p w14:paraId="08312234" w14:textId="0BC7700A" w:rsidR="00E50867" w:rsidRPr="009D56B8" w:rsidRDefault="00E50867">
      <w:pPr>
        <w:keepNext/>
        <w:rPr>
          <w:szCs w:val="22"/>
          <w:lang w:val="nb-NO"/>
        </w:rPr>
      </w:pPr>
    </w:p>
    <w:p w14:paraId="72A63300" w14:textId="77777777" w:rsidR="007672AE" w:rsidRPr="009D56B8" w:rsidRDefault="007672AE" w:rsidP="007672AE">
      <w:pPr>
        <w:rPr>
          <w:szCs w:val="22"/>
          <w:lang w:val="nb-NO"/>
        </w:rPr>
      </w:pPr>
      <w:r w:rsidRPr="009D56B8">
        <w:rPr>
          <w:szCs w:val="22"/>
          <w:lang w:val="nb-NO"/>
        </w:rPr>
        <w:t>Bivirkninger fra kliniske studier, fra sikkerhetsstudier etter markedsføring og fra spontanrapportering er angitt i tabellen nedenfor.</w:t>
      </w:r>
    </w:p>
    <w:p w14:paraId="7D21DC96" w14:textId="77777777" w:rsidR="007672AE" w:rsidRPr="009D56B8" w:rsidRDefault="007672AE">
      <w:pPr>
        <w:keepNext/>
        <w:rPr>
          <w:szCs w:val="22"/>
          <w:lang w:val="nb-NO"/>
        </w:rPr>
      </w:pPr>
    </w:p>
    <w:p w14:paraId="32AC112E" w14:textId="77777777" w:rsidR="00E50867" w:rsidRPr="009D56B8" w:rsidRDefault="00C770E8">
      <w:pPr>
        <w:suppressLineNumbers/>
        <w:rPr>
          <w:szCs w:val="22"/>
          <w:lang w:val="nb-NO"/>
        </w:rPr>
      </w:pPr>
      <w:r w:rsidRPr="009D56B8">
        <w:rPr>
          <w:szCs w:val="22"/>
          <w:lang w:val="nb-NO"/>
        </w:rPr>
        <w:t>Bivirkningene er angitt ved bruk av MedDRAs foretrukne termer i henhold til MedDRAs organklassesystem. Insidensen av bivirkningene nedenfor er oppført i henhold til følgende kategorier:</w:t>
      </w:r>
    </w:p>
    <w:p w14:paraId="0E1BEBEE" w14:textId="18EDDA45" w:rsidR="00E50867" w:rsidRPr="009D56B8" w:rsidRDefault="00C770E8">
      <w:pPr>
        <w:numPr>
          <w:ilvl w:val="0"/>
          <w:numId w:val="8"/>
        </w:numPr>
        <w:suppressLineNumbers/>
        <w:tabs>
          <w:tab w:val="clear" w:pos="567"/>
        </w:tabs>
        <w:ind w:left="567" w:hanging="567"/>
        <w:rPr>
          <w:szCs w:val="22"/>
          <w:lang w:val="nb-NO"/>
        </w:rPr>
      </w:pPr>
      <w:r w:rsidRPr="009D56B8">
        <w:rPr>
          <w:szCs w:val="22"/>
          <w:lang w:val="nb-NO"/>
        </w:rPr>
        <w:t>Svært vanlige (≥</w:t>
      </w:r>
      <w:r w:rsidR="001753BB" w:rsidRPr="009D56B8">
        <w:t> </w:t>
      </w:r>
      <w:r w:rsidRPr="009D56B8">
        <w:rPr>
          <w:szCs w:val="22"/>
          <w:lang w:val="nb-NO"/>
        </w:rPr>
        <w:t>1/10)</w:t>
      </w:r>
    </w:p>
    <w:p w14:paraId="6036B13F" w14:textId="4CC8E6FA" w:rsidR="00E50867" w:rsidRPr="009D56B8" w:rsidRDefault="00C770E8">
      <w:pPr>
        <w:numPr>
          <w:ilvl w:val="0"/>
          <w:numId w:val="8"/>
        </w:numPr>
        <w:suppressLineNumbers/>
        <w:tabs>
          <w:tab w:val="clear" w:pos="567"/>
        </w:tabs>
        <w:ind w:left="567" w:hanging="567"/>
        <w:rPr>
          <w:szCs w:val="22"/>
          <w:lang w:val="nb-NO"/>
        </w:rPr>
      </w:pPr>
      <w:r w:rsidRPr="009D56B8">
        <w:rPr>
          <w:szCs w:val="22"/>
          <w:lang w:val="nb-NO"/>
        </w:rPr>
        <w:t>Vanlige (≥</w:t>
      </w:r>
      <w:r w:rsidR="001753BB" w:rsidRPr="009D56B8">
        <w:rPr>
          <w:szCs w:val="22"/>
          <w:lang w:val="nb-NO"/>
        </w:rPr>
        <w:t> </w:t>
      </w:r>
      <w:r w:rsidRPr="009D56B8">
        <w:rPr>
          <w:szCs w:val="22"/>
          <w:lang w:val="nb-NO"/>
        </w:rPr>
        <w:t>1/100 til &lt;</w:t>
      </w:r>
      <w:r w:rsidR="001753BB" w:rsidRPr="009D56B8">
        <w:rPr>
          <w:szCs w:val="22"/>
          <w:lang w:val="nb-NO"/>
        </w:rPr>
        <w:t> </w:t>
      </w:r>
      <w:r w:rsidRPr="009D56B8">
        <w:rPr>
          <w:szCs w:val="22"/>
          <w:lang w:val="nb-NO"/>
        </w:rPr>
        <w:t>1/10)</w:t>
      </w:r>
    </w:p>
    <w:p w14:paraId="2D3AA909" w14:textId="7E0D4624" w:rsidR="00E50867" w:rsidRPr="009D56B8" w:rsidRDefault="00C770E8">
      <w:pPr>
        <w:numPr>
          <w:ilvl w:val="0"/>
          <w:numId w:val="8"/>
        </w:numPr>
        <w:suppressLineNumbers/>
        <w:tabs>
          <w:tab w:val="clear" w:pos="567"/>
        </w:tabs>
        <w:ind w:left="567" w:hanging="567"/>
        <w:rPr>
          <w:szCs w:val="22"/>
          <w:lang w:val="nb-NO"/>
        </w:rPr>
      </w:pPr>
      <w:r w:rsidRPr="009D56B8">
        <w:rPr>
          <w:szCs w:val="22"/>
          <w:lang w:val="nb-NO"/>
        </w:rPr>
        <w:t>Mindre vanlige (≥</w:t>
      </w:r>
      <w:r w:rsidR="001753BB" w:rsidRPr="009D56B8">
        <w:rPr>
          <w:szCs w:val="22"/>
          <w:lang w:val="nb-NO"/>
        </w:rPr>
        <w:t> </w:t>
      </w:r>
      <w:r w:rsidRPr="009D56B8">
        <w:rPr>
          <w:szCs w:val="22"/>
          <w:lang w:val="nb-NO"/>
        </w:rPr>
        <w:t>1/1</w:t>
      </w:r>
      <w:r w:rsidR="00E605AC" w:rsidRPr="009D56B8">
        <w:rPr>
          <w:szCs w:val="22"/>
          <w:lang w:val="nb-NO"/>
        </w:rPr>
        <w:t xml:space="preserve"> </w:t>
      </w:r>
      <w:r w:rsidRPr="009D56B8">
        <w:rPr>
          <w:szCs w:val="22"/>
          <w:lang w:val="nb-NO"/>
        </w:rPr>
        <w:t>000 til &lt;</w:t>
      </w:r>
      <w:r w:rsidR="001753BB" w:rsidRPr="009D56B8">
        <w:rPr>
          <w:szCs w:val="22"/>
          <w:lang w:val="nb-NO"/>
        </w:rPr>
        <w:t> </w:t>
      </w:r>
      <w:r w:rsidRPr="009D56B8">
        <w:rPr>
          <w:szCs w:val="22"/>
          <w:lang w:val="nb-NO"/>
        </w:rPr>
        <w:t>1/100)</w:t>
      </w:r>
    </w:p>
    <w:p w14:paraId="3E738E5E" w14:textId="01D2D897" w:rsidR="00E50867" w:rsidRPr="009D56B8" w:rsidRDefault="00C770E8">
      <w:pPr>
        <w:numPr>
          <w:ilvl w:val="0"/>
          <w:numId w:val="8"/>
        </w:numPr>
        <w:suppressLineNumbers/>
        <w:tabs>
          <w:tab w:val="clear" w:pos="567"/>
        </w:tabs>
        <w:ind w:left="567" w:hanging="567"/>
        <w:rPr>
          <w:szCs w:val="22"/>
          <w:lang w:val="nb-NO"/>
        </w:rPr>
      </w:pPr>
      <w:r w:rsidRPr="009D56B8">
        <w:rPr>
          <w:szCs w:val="22"/>
          <w:lang w:val="nb-NO"/>
        </w:rPr>
        <w:t>Sjeldne (≥</w:t>
      </w:r>
      <w:r w:rsidR="001753BB" w:rsidRPr="009D56B8">
        <w:rPr>
          <w:szCs w:val="22"/>
          <w:lang w:val="nb-NO"/>
        </w:rPr>
        <w:t> </w:t>
      </w:r>
      <w:r w:rsidR="000A4766" w:rsidRPr="009D56B8">
        <w:rPr>
          <w:szCs w:val="22"/>
          <w:lang w:val="nb-NO"/>
        </w:rPr>
        <w:t>1</w:t>
      </w:r>
      <w:r w:rsidRPr="009D56B8">
        <w:rPr>
          <w:szCs w:val="22"/>
          <w:lang w:val="nb-NO"/>
        </w:rPr>
        <w:t>/10</w:t>
      </w:r>
      <w:r w:rsidR="001753BB" w:rsidRPr="009D56B8">
        <w:rPr>
          <w:szCs w:val="22"/>
          <w:lang w:val="nb-NO"/>
        </w:rPr>
        <w:t> </w:t>
      </w:r>
      <w:r w:rsidRPr="009D56B8">
        <w:rPr>
          <w:szCs w:val="22"/>
          <w:lang w:val="nb-NO"/>
        </w:rPr>
        <w:t>000 til &lt;</w:t>
      </w:r>
      <w:r w:rsidR="001753BB" w:rsidRPr="009D56B8">
        <w:rPr>
          <w:szCs w:val="22"/>
          <w:lang w:val="nb-NO"/>
        </w:rPr>
        <w:t> </w:t>
      </w:r>
      <w:r w:rsidRPr="009D56B8">
        <w:rPr>
          <w:szCs w:val="22"/>
          <w:lang w:val="nb-NO"/>
        </w:rPr>
        <w:t>1/1</w:t>
      </w:r>
      <w:r w:rsidR="00E605AC" w:rsidRPr="009D56B8">
        <w:rPr>
          <w:szCs w:val="22"/>
          <w:lang w:val="nb-NO"/>
        </w:rPr>
        <w:t xml:space="preserve"> </w:t>
      </w:r>
      <w:r w:rsidRPr="009D56B8">
        <w:rPr>
          <w:szCs w:val="22"/>
          <w:lang w:val="nb-NO"/>
        </w:rPr>
        <w:t>000)</w:t>
      </w:r>
    </w:p>
    <w:p w14:paraId="72298CA7" w14:textId="185F3440" w:rsidR="00E50867" w:rsidRPr="009D56B8" w:rsidRDefault="00C770E8">
      <w:pPr>
        <w:numPr>
          <w:ilvl w:val="0"/>
          <w:numId w:val="8"/>
        </w:numPr>
        <w:suppressLineNumbers/>
        <w:tabs>
          <w:tab w:val="clear" w:pos="567"/>
        </w:tabs>
        <w:ind w:left="567" w:hanging="567"/>
        <w:rPr>
          <w:szCs w:val="22"/>
          <w:lang w:val="nb-NO"/>
        </w:rPr>
      </w:pPr>
      <w:r w:rsidRPr="009D56B8">
        <w:rPr>
          <w:szCs w:val="22"/>
          <w:lang w:val="nb-NO"/>
        </w:rPr>
        <w:t>Svært sjeldne (&lt;</w:t>
      </w:r>
      <w:r w:rsidR="001753BB" w:rsidRPr="009D56B8">
        <w:rPr>
          <w:szCs w:val="22"/>
          <w:lang w:val="nb-NO"/>
        </w:rPr>
        <w:t> </w:t>
      </w:r>
      <w:r w:rsidRPr="009D56B8">
        <w:rPr>
          <w:szCs w:val="22"/>
          <w:lang w:val="nb-NO"/>
        </w:rPr>
        <w:t>1/10</w:t>
      </w:r>
      <w:r w:rsidR="001753BB" w:rsidRPr="009D56B8">
        <w:rPr>
          <w:szCs w:val="22"/>
          <w:lang w:val="nb-NO"/>
        </w:rPr>
        <w:t> </w:t>
      </w:r>
      <w:r w:rsidRPr="009D56B8">
        <w:rPr>
          <w:szCs w:val="22"/>
          <w:lang w:val="nb-NO"/>
        </w:rPr>
        <w:t>000)</w:t>
      </w:r>
    </w:p>
    <w:p w14:paraId="3F05E113" w14:textId="43C351C5" w:rsidR="00E50867" w:rsidRPr="009D56B8" w:rsidRDefault="00C770E8" w:rsidP="008705D9">
      <w:pPr>
        <w:pStyle w:val="ListParagraph"/>
        <w:widowControl w:val="0"/>
        <w:numPr>
          <w:ilvl w:val="0"/>
          <w:numId w:val="8"/>
        </w:numPr>
        <w:suppressLineNumbers/>
        <w:ind w:left="567" w:hanging="567"/>
        <w:rPr>
          <w:szCs w:val="22"/>
          <w:lang w:val="nb-NO"/>
        </w:rPr>
      </w:pPr>
      <w:r w:rsidRPr="009D56B8">
        <w:rPr>
          <w:szCs w:val="22"/>
          <w:lang w:val="nb-NO"/>
        </w:rPr>
        <w:t>Ikke kjent (frekvens kan ikke anslås ut ifra tilgjengelige data)</w:t>
      </w:r>
    </w:p>
    <w:p w14:paraId="5F9859DC" w14:textId="77777777" w:rsidR="00E50867" w:rsidRPr="009D56B8" w:rsidRDefault="00E50867" w:rsidP="008E40D3">
      <w:pPr>
        <w:rPr>
          <w:lang w:val="nb-NO"/>
        </w:rPr>
      </w:pPr>
    </w:p>
    <w:tbl>
      <w:tblPr>
        <w:tblW w:w="9217" w:type="dxa"/>
        <w:tblInd w:w="93" w:type="dxa"/>
        <w:tblLayout w:type="fixed"/>
        <w:tblLook w:val="0000" w:firstRow="0" w:lastRow="0" w:firstColumn="0" w:lastColumn="0" w:noHBand="0" w:noVBand="0"/>
      </w:tblPr>
      <w:tblGrid>
        <w:gridCol w:w="3071"/>
        <w:gridCol w:w="3073"/>
        <w:gridCol w:w="3073"/>
      </w:tblGrid>
      <w:tr w:rsidR="009D56B8" w:rsidRPr="009D56B8" w14:paraId="180A32F1" w14:textId="77777777" w:rsidTr="00513CD0">
        <w:trPr>
          <w:cantSplit/>
          <w:trHeight w:val="283"/>
        </w:trPr>
        <w:tc>
          <w:tcPr>
            <w:tcW w:w="3071" w:type="dxa"/>
            <w:tcBorders>
              <w:top w:val="single" w:sz="4" w:space="0" w:color="000000"/>
              <w:left w:val="single" w:sz="4" w:space="0" w:color="000000"/>
              <w:bottom w:val="single" w:sz="4" w:space="0" w:color="000000"/>
            </w:tcBorders>
            <w:vAlign w:val="center"/>
          </w:tcPr>
          <w:p w14:paraId="72BC4375" w14:textId="77777777" w:rsidR="00E50867" w:rsidRPr="009D56B8" w:rsidRDefault="00C770E8" w:rsidP="002740EA">
            <w:pPr>
              <w:autoSpaceDE w:val="0"/>
              <w:snapToGrid w:val="0"/>
              <w:rPr>
                <w:b/>
                <w:szCs w:val="22"/>
                <w:lang w:val="nb-NO"/>
              </w:rPr>
            </w:pPr>
            <w:r w:rsidRPr="009D56B8">
              <w:rPr>
                <w:b/>
                <w:szCs w:val="22"/>
                <w:lang w:val="nb-NO"/>
              </w:rPr>
              <w:t>MedDRAs organklassesystem</w:t>
            </w:r>
          </w:p>
        </w:tc>
        <w:tc>
          <w:tcPr>
            <w:tcW w:w="3073" w:type="dxa"/>
            <w:tcBorders>
              <w:top w:val="single" w:sz="4" w:space="0" w:color="000000"/>
              <w:left w:val="single" w:sz="4" w:space="0" w:color="000000"/>
              <w:bottom w:val="single" w:sz="4" w:space="0" w:color="000000"/>
            </w:tcBorders>
            <w:vAlign w:val="center"/>
          </w:tcPr>
          <w:p w14:paraId="3B74C6FB" w14:textId="77777777" w:rsidR="00E50867" w:rsidRPr="009D56B8" w:rsidRDefault="00C770E8" w:rsidP="002740EA">
            <w:pPr>
              <w:autoSpaceDE w:val="0"/>
              <w:snapToGrid w:val="0"/>
              <w:rPr>
                <w:b/>
                <w:szCs w:val="22"/>
                <w:lang w:val="nb-NO"/>
              </w:rPr>
            </w:pPr>
            <w:r w:rsidRPr="009D56B8">
              <w:rPr>
                <w:b/>
                <w:szCs w:val="22"/>
                <w:lang w:val="nb-NO"/>
              </w:rPr>
              <w:t>Bivirkning</w:t>
            </w:r>
          </w:p>
        </w:tc>
        <w:tc>
          <w:tcPr>
            <w:tcW w:w="3073" w:type="dxa"/>
            <w:tcBorders>
              <w:top w:val="single" w:sz="4" w:space="0" w:color="000000"/>
              <w:left w:val="single" w:sz="4" w:space="0" w:color="000000"/>
              <w:bottom w:val="single" w:sz="4" w:space="0" w:color="000000"/>
              <w:right w:val="single" w:sz="4" w:space="0" w:color="000000"/>
            </w:tcBorders>
            <w:vAlign w:val="center"/>
          </w:tcPr>
          <w:p w14:paraId="0A025F2F" w14:textId="77777777" w:rsidR="00E50867" w:rsidRPr="009D56B8" w:rsidRDefault="00C770E8" w:rsidP="002740EA">
            <w:pPr>
              <w:autoSpaceDE w:val="0"/>
              <w:snapToGrid w:val="0"/>
              <w:rPr>
                <w:szCs w:val="22"/>
                <w:lang w:val="nb-NO"/>
              </w:rPr>
            </w:pPr>
            <w:bookmarkStart w:id="7" w:name="OLE_LINK3"/>
            <w:bookmarkStart w:id="8" w:name="OLE_LINK4"/>
            <w:bookmarkStart w:id="9" w:name="_Hlk345585762"/>
            <w:r w:rsidRPr="009D56B8">
              <w:rPr>
                <w:b/>
                <w:szCs w:val="22"/>
                <w:lang w:val="nb-NO"/>
              </w:rPr>
              <w:t>Frekvenskategori</w:t>
            </w:r>
            <w:bookmarkEnd w:id="7"/>
            <w:bookmarkEnd w:id="8"/>
            <w:bookmarkEnd w:id="9"/>
          </w:p>
        </w:tc>
      </w:tr>
      <w:tr w:rsidR="009D56B8" w:rsidRPr="009D56B8" w14:paraId="04AF80F0" w14:textId="77777777" w:rsidTr="00513CD0">
        <w:trPr>
          <w:cantSplit/>
        </w:trPr>
        <w:tc>
          <w:tcPr>
            <w:tcW w:w="3071" w:type="dxa"/>
            <w:vMerge w:val="restart"/>
            <w:tcBorders>
              <w:top w:val="single" w:sz="4" w:space="0" w:color="000000"/>
              <w:left w:val="single" w:sz="4" w:space="0" w:color="000000"/>
            </w:tcBorders>
          </w:tcPr>
          <w:p w14:paraId="5A51091D" w14:textId="1869F278" w:rsidR="00E50867" w:rsidRPr="009D56B8" w:rsidRDefault="00C770E8" w:rsidP="002740EA">
            <w:pPr>
              <w:autoSpaceDE w:val="0"/>
              <w:snapToGrid w:val="0"/>
              <w:rPr>
                <w:szCs w:val="22"/>
                <w:lang w:val="nb-NO"/>
              </w:rPr>
            </w:pPr>
            <w:r w:rsidRPr="009D56B8">
              <w:rPr>
                <w:szCs w:val="22"/>
                <w:lang w:val="nb-NO"/>
              </w:rPr>
              <w:t>Infeksiøse og parasittære sykdommer</w:t>
            </w:r>
          </w:p>
        </w:tc>
        <w:tc>
          <w:tcPr>
            <w:tcW w:w="3073" w:type="dxa"/>
            <w:tcBorders>
              <w:top w:val="single" w:sz="4" w:space="0" w:color="000000"/>
              <w:left w:val="single" w:sz="4" w:space="0" w:color="000000"/>
              <w:bottom w:val="single" w:sz="4" w:space="0" w:color="000000"/>
            </w:tcBorders>
            <w:vAlign w:val="center"/>
          </w:tcPr>
          <w:p w14:paraId="71D774E6" w14:textId="77777777" w:rsidR="00E50867" w:rsidRPr="009D56B8" w:rsidRDefault="00C770E8" w:rsidP="002740EA">
            <w:pPr>
              <w:autoSpaceDE w:val="0"/>
              <w:snapToGrid w:val="0"/>
              <w:rPr>
                <w:szCs w:val="22"/>
                <w:lang w:val="nb-NO"/>
              </w:rPr>
            </w:pPr>
            <w:r w:rsidRPr="009D56B8">
              <w:rPr>
                <w:szCs w:val="22"/>
                <w:lang w:val="nb-NO"/>
              </w:rPr>
              <w:t>Gastroenteritt</w:t>
            </w:r>
          </w:p>
        </w:tc>
        <w:tc>
          <w:tcPr>
            <w:tcW w:w="3073" w:type="dxa"/>
            <w:tcBorders>
              <w:top w:val="single" w:sz="4" w:space="0" w:color="000000"/>
              <w:left w:val="single" w:sz="4" w:space="0" w:color="000000"/>
              <w:bottom w:val="single" w:sz="4" w:space="0" w:color="000000"/>
              <w:right w:val="single" w:sz="4" w:space="0" w:color="000000"/>
            </w:tcBorders>
            <w:vAlign w:val="center"/>
          </w:tcPr>
          <w:p w14:paraId="71AC93D0" w14:textId="77777777" w:rsidR="00E50867" w:rsidRPr="009D56B8" w:rsidRDefault="00C770E8" w:rsidP="002740EA">
            <w:pPr>
              <w:autoSpaceDE w:val="0"/>
              <w:snapToGrid w:val="0"/>
              <w:rPr>
                <w:szCs w:val="22"/>
                <w:lang w:val="nb-NO"/>
              </w:rPr>
            </w:pPr>
            <w:r w:rsidRPr="009D56B8">
              <w:rPr>
                <w:szCs w:val="22"/>
                <w:lang w:val="nb-NO"/>
              </w:rPr>
              <w:t>Vanlige</w:t>
            </w:r>
          </w:p>
        </w:tc>
      </w:tr>
      <w:tr w:rsidR="009D56B8" w:rsidRPr="009D56B8" w14:paraId="0BFC132C" w14:textId="77777777" w:rsidTr="00513CD0">
        <w:trPr>
          <w:cantSplit/>
        </w:trPr>
        <w:tc>
          <w:tcPr>
            <w:tcW w:w="3071" w:type="dxa"/>
            <w:vMerge/>
            <w:tcBorders>
              <w:left w:val="single" w:sz="4" w:space="0" w:color="000000"/>
              <w:bottom w:val="single" w:sz="4" w:space="0" w:color="000000"/>
            </w:tcBorders>
          </w:tcPr>
          <w:p w14:paraId="5BF219BA" w14:textId="77777777" w:rsidR="00E50867" w:rsidRPr="009D56B8" w:rsidRDefault="00E50867" w:rsidP="002740EA">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71D1EAA8" w14:textId="77777777" w:rsidR="00E50867" w:rsidRPr="009D56B8" w:rsidRDefault="00C770E8" w:rsidP="002740EA">
            <w:pPr>
              <w:autoSpaceDE w:val="0"/>
              <w:autoSpaceDN w:val="0"/>
              <w:adjustRightInd w:val="0"/>
              <w:rPr>
                <w:szCs w:val="22"/>
                <w:lang w:val="nb-NO"/>
              </w:rPr>
            </w:pPr>
            <w:r w:rsidRPr="009D56B8">
              <w:rPr>
                <w:szCs w:val="22"/>
                <w:lang w:val="nb-NO"/>
              </w:rPr>
              <w:t>Progressiv multifokal leukoencefalopati (PML)</w:t>
            </w:r>
          </w:p>
        </w:tc>
        <w:tc>
          <w:tcPr>
            <w:tcW w:w="3073" w:type="dxa"/>
            <w:tcBorders>
              <w:top w:val="single" w:sz="4" w:space="0" w:color="000000"/>
              <w:left w:val="single" w:sz="4" w:space="0" w:color="000000"/>
              <w:bottom w:val="single" w:sz="4" w:space="0" w:color="000000"/>
              <w:right w:val="single" w:sz="4" w:space="0" w:color="000000"/>
            </w:tcBorders>
            <w:vAlign w:val="center"/>
          </w:tcPr>
          <w:p w14:paraId="1D241310" w14:textId="77777777" w:rsidR="00E50867" w:rsidRPr="009D56B8" w:rsidRDefault="00C770E8" w:rsidP="002740EA">
            <w:pPr>
              <w:autoSpaceDE w:val="0"/>
              <w:snapToGrid w:val="0"/>
              <w:rPr>
                <w:szCs w:val="22"/>
                <w:lang w:val="nb-NO"/>
              </w:rPr>
            </w:pPr>
            <w:r w:rsidRPr="009D56B8">
              <w:rPr>
                <w:szCs w:val="22"/>
                <w:lang w:val="nb-NO"/>
              </w:rPr>
              <w:t>Ikke kjent</w:t>
            </w:r>
          </w:p>
        </w:tc>
      </w:tr>
      <w:tr w:rsidR="009D56B8" w:rsidRPr="009D56B8" w14:paraId="71C25219" w14:textId="77777777" w:rsidTr="00513CD0">
        <w:trPr>
          <w:cantSplit/>
        </w:trPr>
        <w:tc>
          <w:tcPr>
            <w:tcW w:w="3071" w:type="dxa"/>
            <w:vMerge/>
            <w:tcBorders>
              <w:left w:val="single" w:sz="4" w:space="0" w:color="000000"/>
              <w:bottom w:val="single" w:sz="4" w:space="0" w:color="000000"/>
            </w:tcBorders>
          </w:tcPr>
          <w:p w14:paraId="607847F6"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016DA56D" w14:textId="35E4F910" w:rsidR="00E50867" w:rsidRPr="009D56B8" w:rsidRDefault="00C770E8" w:rsidP="008E40D3">
            <w:pPr>
              <w:autoSpaceDE w:val="0"/>
              <w:autoSpaceDN w:val="0"/>
              <w:adjustRightInd w:val="0"/>
              <w:rPr>
                <w:szCs w:val="22"/>
                <w:lang w:val="nb-NO" w:eastAsia="en-US"/>
              </w:rPr>
            </w:pPr>
            <w:r w:rsidRPr="009D56B8">
              <w:rPr>
                <w:szCs w:val="22"/>
              </w:rPr>
              <w:t>Herpes zoster</w:t>
            </w:r>
          </w:p>
        </w:tc>
        <w:tc>
          <w:tcPr>
            <w:tcW w:w="3073" w:type="dxa"/>
            <w:tcBorders>
              <w:top w:val="single" w:sz="4" w:space="0" w:color="000000"/>
              <w:left w:val="single" w:sz="4" w:space="0" w:color="000000"/>
              <w:bottom w:val="single" w:sz="4" w:space="0" w:color="000000"/>
              <w:right w:val="single" w:sz="4" w:space="0" w:color="000000"/>
            </w:tcBorders>
            <w:vAlign w:val="center"/>
          </w:tcPr>
          <w:p w14:paraId="66700024" w14:textId="77777777" w:rsidR="00E50867" w:rsidRPr="009D56B8" w:rsidRDefault="00C770E8" w:rsidP="008E40D3">
            <w:pPr>
              <w:autoSpaceDE w:val="0"/>
              <w:snapToGrid w:val="0"/>
              <w:rPr>
                <w:szCs w:val="22"/>
                <w:lang w:val="nb-NO"/>
              </w:rPr>
            </w:pPr>
            <w:r w:rsidRPr="009D56B8">
              <w:rPr>
                <w:szCs w:val="22"/>
                <w:lang w:val="nb-NO"/>
              </w:rPr>
              <w:t>Ikke kjent</w:t>
            </w:r>
          </w:p>
        </w:tc>
      </w:tr>
      <w:tr w:rsidR="009D56B8" w:rsidRPr="009D56B8" w14:paraId="09D3F0EF" w14:textId="77777777" w:rsidTr="00513CD0">
        <w:trPr>
          <w:cantSplit/>
        </w:trPr>
        <w:tc>
          <w:tcPr>
            <w:tcW w:w="3071" w:type="dxa"/>
            <w:vMerge w:val="restart"/>
            <w:tcBorders>
              <w:top w:val="single" w:sz="4" w:space="0" w:color="000000"/>
              <w:left w:val="single" w:sz="4" w:space="0" w:color="000000"/>
            </w:tcBorders>
          </w:tcPr>
          <w:p w14:paraId="46D47966" w14:textId="77777777" w:rsidR="00E50867" w:rsidRPr="009D56B8" w:rsidRDefault="00C770E8" w:rsidP="002740EA">
            <w:pPr>
              <w:autoSpaceDE w:val="0"/>
              <w:snapToGrid w:val="0"/>
              <w:rPr>
                <w:szCs w:val="22"/>
                <w:lang w:val="nb-NO"/>
              </w:rPr>
            </w:pPr>
            <w:r w:rsidRPr="009D56B8">
              <w:rPr>
                <w:szCs w:val="22"/>
                <w:lang w:val="nb-NO"/>
              </w:rPr>
              <w:t>Sykdommer i blod og lymfatiske organer</w:t>
            </w:r>
          </w:p>
        </w:tc>
        <w:tc>
          <w:tcPr>
            <w:tcW w:w="3073" w:type="dxa"/>
            <w:tcBorders>
              <w:top w:val="single" w:sz="4" w:space="0" w:color="000000"/>
              <w:left w:val="single" w:sz="4" w:space="0" w:color="000000"/>
              <w:bottom w:val="single" w:sz="4" w:space="0" w:color="000000"/>
            </w:tcBorders>
            <w:vAlign w:val="center"/>
          </w:tcPr>
          <w:p w14:paraId="604222AF" w14:textId="77777777" w:rsidR="00E50867" w:rsidRPr="009D56B8" w:rsidRDefault="00C770E8" w:rsidP="002740EA">
            <w:pPr>
              <w:autoSpaceDE w:val="0"/>
              <w:snapToGrid w:val="0"/>
              <w:rPr>
                <w:szCs w:val="22"/>
                <w:lang w:val="nb-NO"/>
              </w:rPr>
            </w:pPr>
            <w:r w:rsidRPr="009D56B8">
              <w:rPr>
                <w:szCs w:val="22"/>
                <w:lang w:val="nb-NO"/>
              </w:rPr>
              <w:t>Lymfopeni</w:t>
            </w:r>
          </w:p>
        </w:tc>
        <w:tc>
          <w:tcPr>
            <w:tcW w:w="3073" w:type="dxa"/>
            <w:tcBorders>
              <w:top w:val="single" w:sz="4" w:space="0" w:color="000000"/>
              <w:left w:val="single" w:sz="4" w:space="0" w:color="000000"/>
              <w:bottom w:val="single" w:sz="4" w:space="0" w:color="000000"/>
              <w:right w:val="single" w:sz="4" w:space="0" w:color="000000"/>
            </w:tcBorders>
            <w:vAlign w:val="center"/>
          </w:tcPr>
          <w:p w14:paraId="64396B3D" w14:textId="77777777" w:rsidR="00E50867" w:rsidRPr="009D56B8" w:rsidRDefault="00C770E8" w:rsidP="002740EA">
            <w:pPr>
              <w:snapToGrid w:val="0"/>
              <w:rPr>
                <w:szCs w:val="22"/>
                <w:lang w:val="nb-NO"/>
              </w:rPr>
            </w:pPr>
            <w:r w:rsidRPr="009D56B8">
              <w:rPr>
                <w:szCs w:val="22"/>
                <w:lang w:val="nb-NO"/>
              </w:rPr>
              <w:t>Vanlige</w:t>
            </w:r>
          </w:p>
        </w:tc>
      </w:tr>
      <w:tr w:rsidR="009D56B8" w:rsidRPr="009D56B8" w14:paraId="67568400" w14:textId="77777777" w:rsidTr="00513CD0">
        <w:trPr>
          <w:cantSplit/>
        </w:trPr>
        <w:tc>
          <w:tcPr>
            <w:tcW w:w="3071" w:type="dxa"/>
            <w:vMerge/>
            <w:tcBorders>
              <w:left w:val="single" w:sz="4" w:space="0" w:color="000000"/>
            </w:tcBorders>
          </w:tcPr>
          <w:p w14:paraId="22CEB846"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6F8018CA" w14:textId="77777777" w:rsidR="00E50867" w:rsidRPr="009D56B8" w:rsidRDefault="00C770E8" w:rsidP="008E40D3">
            <w:pPr>
              <w:autoSpaceDE w:val="0"/>
              <w:snapToGrid w:val="0"/>
              <w:rPr>
                <w:szCs w:val="22"/>
                <w:lang w:val="nb-NO"/>
              </w:rPr>
            </w:pPr>
            <w:r w:rsidRPr="009D56B8">
              <w:rPr>
                <w:szCs w:val="22"/>
                <w:lang w:val="nb-NO"/>
              </w:rPr>
              <w:t>Leukopeni</w:t>
            </w:r>
          </w:p>
        </w:tc>
        <w:tc>
          <w:tcPr>
            <w:tcW w:w="3073" w:type="dxa"/>
            <w:tcBorders>
              <w:top w:val="single" w:sz="4" w:space="0" w:color="000000"/>
              <w:left w:val="single" w:sz="4" w:space="0" w:color="000000"/>
              <w:bottom w:val="single" w:sz="4" w:space="0" w:color="000000"/>
              <w:right w:val="single" w:sz="4" w:space="0" w:color="000000"/>
            </w:tcBorders>
            <w:vAlign w:val="center"/>
          </w:tcPr>
          <w:p w14:paraId="2043E28A" w14:textId="77777777" w:rsidR="00E50867" w:rsidRPr="009D56B8" w:rsidRDefault="00C770E8" w:rsidP="008E40D3">
            <w:pPr>
              <w:snapToGrid w:val="0"/>
              <w:rPr>
                <w:szCs w:val="22"/>
                <w:lang w:val="nb-NO"/>
              </w:rPr>
            </w:pPr>
            <w:r w:rsidRPr="009D56B8">
              <w:rPr>
                <w:szCs w:val="22"/>
                <w:lang w:val="nb-NO"/>
              </w:rPr>
              <w:t>Vanlige</w:t>
            </w:r>
          </w:p>
        </w:tc>
      </w:tr>
      <w:tr w:rsidR="009D56B8" w:rsidRPr="009D56B8" w14:paraId="118C1642" w14:textId="77777777" w:rsidTr="00513CD0">
        <w:trPr>
          <w:cantSplit/>
        </w:trPr>
        <w:tc>
          <w:tcPr>
            <w:tcW w:w="3071" w:type="dxa"/>
            <w:vMerge/>
            <w:tcBorders>
              <w:left w:val="single" w:sz="4" w:space="0" w:color="000000"/>
              <w:bottom w:val="single" w:sz="4" w:space="0" w:color="000000"/>
            </w:tcBorders>
          </w:tcPr>
          <w:p w14:paraId="7D12D2DB"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56301A1D" w14:textId="77777777" w:rsidR="00E50867" w:rsidRPr="009D56B8" w:rsidRDefault="00C770E8" w:rsidP="008E40D3">
            <w:pPr>
              <w:autoSpaceDE w:val="0"/>
              <w:snapToGrid w:val="0"/>
              <w:rPr>
                <w:szCs w:val="22"/>
                <w:lang w:val="nb-NO"/>
              </w:rPr>
            </w:pPr>
            <w:r w:rsidRPr="009D56B8">
              <w:rPr>
                <w:szCs w:val="22"/>
                <w:lang w:val="nb-NO"/>
              </w:rPr>
              <w:t>Trombocytopeni</w:t>
            </w:r>
          </w:p>
        </w:tc>
        <w:tc>
          <w:tcPr>
            <w:tcW w:w="3073" w:type="dxa"/>
            <w:tcBorders>
              <w:top w:val="single" w:sz="4" w:space="0" w:color="000000"/>
              <w:left w:val="single" w:sz="4" w:space="0" w:color="000000"/>
              <w:bottom w:val="single" w:sz="4" w:space="0" w:color="000000"/>
              <w:right w:val="single" w:sz="4" w:space="0" w:color="000000"/>
            </w:tcBorders>
            <w:vAlign w:val="center"/>
          </w:tcPr>
          <w:p w14:paraId="0E669C6F" w14:textId="77777777" w:rsidR="00E50867" w:rsidRPr="009D56B8" w:rsidRDefault="00C770E8" w:rsidP="008E40D3">
            <w:pPr>
              <w:snapToGrid w:val="0"/>
              <w:rPr>
                <w:szCs w:val="22"/>
                <w:lang w:val="nb-NO"/>
              </w:rPr>
            </w:pPr>
            <w:r w:rsidRPr="009D56B8">
              <w:rPr>
                <w:szCs w:val="22"/>
                <w:lang w:val="nb-NO"/>
              </w:rPr>
              <w:t>Mindre vanlige</w:t>
            </w:r>
          </w:p>
        </w:tc>
      </w:tr>
      <w:tr w:rsidR="009D56B8" w:rsidRPr="009D56B8" w14:paraId="3200EDDF" w14:textId="77777777" w:rsidTr="00513CD0">
        <w:trPr>
          <w:cantSplit/>
        </w:trPr>
        <w:tc>
          <w:tcPr>
            <w:tcW w:w="3071" w:type="dxa"/>
            <w:vMerge w:val="restart"/>
            <w:tcBorders>
              <w:top w:val="single" w:sz="4" w:space="0" w:color="000000"/>
              <w:left w:val="single" w:sz="4" w:space="0" w:color="000000"/>
            </w:tcBorders>
          </w:tcPr>
          <w:p w14:paraId="463EA3D7" w14:textId="77777777" w:rsidR="00E50867" w:rsidRPr="009D56B8" w:rsidRDefault="00C770E8" w:rsidP="002740EA">
            <w:pPr>
              <w:autoSpaceDE w:val="0"/>
              <w:snapToGrid w:val="0"/>
              <w:rPr>
                <w:szCs w:val="22"/>
                <w:lang w:val="nb-NO"/>
              </w:rPr>
            </w:pPr>
            <w:r w:rsidRPr="009D56B8">
              <w:rPr>
                <w:szCs w:val="22"/>
                <w:lang w:val="nb-NO"/>
              </w:rPr>
              <w:t>Forstyrrelser i immunsystemet</w:t>
            </w:r>
          </w:p>
        </w:tc>
        <w:tc>
          <w:tcPr>
            <w:tcW w:w="3073" w:type="dxa"/>
            <w:tcBorders>
              <w:top w:val="single" w:sz="4" w:space="0" w:color="000000"/>
              <w:left w:val="single" w:sz="4" w:space="0" w:color="000000"/>
              <w:bottom w:val="single" w:sz="4" w:space="0" w:color="000000"/>
            </w:tcBorders>
            <w:vAlign w:val="center"/>
          </w:tcPr>
          <w:p w14:paraId="6C203BFB" w14:textId="77777777" w:rsidR="00E50867" w:rsidRPr="009D56B8" w:rsidRDefault="00C770E8" w:rsidP="002740EA">
            <w:pPr>
              <w:autoSpaceDE w:val="0"/>
              <w:snapToGrid w:val="0"/>
              <w:rPr>
                <w:szCs w:val="22"/>
                <w:lang w:val="nb-NO"/>
              </w:rPr>
            </w:pPr>
            <w:r w:rsidRPr="009D56B8">
              <w:rPr>
                <w:szCs w:val="22"/>
                <w:lang w:val="nb-NO"/>
              </w:rPr>
              <w:t>Overfølsomhet</w:t>
            </w:r>
          </w:p>
        </w:tc>
        <w:tc>
          <w:tcPr>
            <w:tcW w:w="3073" w:type="dxa"/>
            <w:tcBorders>
              <w:top w:val="single" w:sz="4" w:space="0" w:color="000000"/>
              <w:left w:val="single" w:sz="4" w:space="0" w:color="000000"/>
              <w:bottom w:val="single" w:sz="4" w:space="0" w:color="000000"/>
              <w:right w:val="single" w:sz="4" w:space="0" w:color="000000"/>
            </w:tcBorders>
            <w:vAlign w:val="center"/>
          </w:tcPr>
          <w:p w14:paraId="2BA9F3F6" w14:textId="77777777" w:rsidR="00E50867" w:rsidRPr="009D56B8" w:rsidRDefault="00C770E8" w:rsidP="002740EA">
            <w:pPr>
              <w:snapToGrid w:val="0"/>
              <w:rPr>
                <w:szCs w:val="22"/>
                <w:lang w:val="nb-NO"/>
              </w:rPr>
            </w:pPr>
            <w:r w:rsidRPr="009D56B8">
              <w:rPr>
                <w:szCs w:val="22"/>
                <w:lang w:val="nb-NO"/>
              </w:rPr>
              <w:t>Mindre vanlige</w:t>
            </w:r>
          </w:p>
        </w:tc>
      </w:tr>
      <w:tr w:rsidR="009D56B8" w:rsidRPr="009D56B8" w14:paraId="0D93C488" w14:textId="77777777" w:rsidTr="00513CD0">
        <w:trPr>
          <w:cantSplit/>
        </w:trPr>
        <w:tc>
          <w:tcPr>
            <w:tcW w:w="3071" w:type="dxa"/>
            <w:vMerge/>
            <w:tcBorders>
              <w:left w:val="single" w:sz="4" w:space="0" w:color="000000"/>
            </w:tcBorders>
          </w:tcPr>
          <w:p w14:paraId="68B2651E"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1EDE1953" w14:textId="2C339AE1" w:rsidR="00E50867" w:rsidRPr="009D56B8" w:rsidRDefault="00C770E8" w:rsidP="008E40D3">
            <w:pPr>
              <w:autoSpaceDE w:val="0"/>
              <w:snapToGrid w:val="0"/>
              <w:rPr>
                <w:szCs w:val="22"/>
                <w:lang w:val="nb-NO"/>
              </w:rPr>
            </w:pPr>
            <w:r w:rsidRPr="009D56B8">
              <w:rPr>
                <w:szCs w:val="22"/>
              </w:rPr>
              <w:t>Anafylaksi</w:t>
            </w:r>
          </w:p>
        </w:tc>
        <w:tc>
          <w:tcPr>
            <w:tcW w:w="3073" w:type="dxa"/>
            <w:tcBorders>
              <w:top w:val="single" w:sz="4" w:space="0" w:color="000000"/>
              <w:left w:val="single" w:sz="4" w:space="0" w:color="000000"/>
              <w:bottom w:val="single" w:sz="4" w:space="0" w:color="000000"/>
              <w:right w:val="single" w:sz="4" w:space="0" w:color="000000"/>
            </w:tcBorders>
            <w:vAlign w:val="center"/>
          </w:tcPr>
          <w:p w14:paraId="497E4E6F" w14:textId="77777777" w:rsidR="00E50867" w:rsidRPr="009D56B8" w:rsidRDefault="00C770E8" w:rsidP="008E40D3">
            <w:pPr>
              <w:snapToGrid w:val="0"/>
              <w:rPr>
                <w:szCs w:val="22"/>
                <w:lang w:val="nb-NO"/>
              </w:rPr>
            </w:pPr>
            <w:r w:rsidRPr="009D56B8">
              <w:rPr>
                <w:szCs w:val="22"/>
                <w:lang w:val="nb-NO"/>
              </w:rPr>
              <w:t>Ikke kjent</w:t>
            </w:r>
          </w:p>
        </w:tc>
      </w:tr>
      <w:tr w:rsidR="009D56B8" w:rsidRPr="009D56B8" w14:paraId="437B8BB3" w14:textId="77777777" w:rsidTr="00513CD0">
        <w:trPr>
          <w:cantSplit/>
        </w:trPr>
        <w:tc>
          <w:tcPr>
            <w:tcW w:w="3071" w:type="dxa"/>
            <w:vMerge/>
            <w:tcBorders>
              <w:left w:val="single" w:sz="4" w:space="0" w:color="000000"/>
            </w:tcBorders>
          </w:tcPr>
          <w:p w14:paraId="78E73E77"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5A5449C0" w14:textId="52C968D4" w:rsidR="00E50867" w:rsidRPr="009D56B8" w:rsidRDefault="00C770E8" w:rsidP="008E40D3">
            <w:pPr>
              <w:autoSpaceDE w:val="0"/>
              <w:snapToGrid w:val="0"/>
              <w:rPr>
                <w:szCs w:val="22"/>
              </w:rPr>
            </w:pPr>
            <w:r w:rsidRPr="009D56B8">
              <w:rPr>
                <w:szCs w:val="22"/>
              </w:rPr>
              <w:t>Dyspn</w:t>
            </w:r>
            <w:r w:rsidRPr="009D56B8">
              <w:rPr>
                <w:szCs w:val="22"/>
                <w:lang w:eastAsia="en-US"/>
              </w:rPr>
              <w:t>é</w:t>
            </w:r>
          </w:p>
        </w:tc>
        <w:tc>
          <w:tcPr>
            <w:tcW w:w="3073" w:type="dxa"/>
            <w:tcBorders>
              <w:top w:val="single" w:sz="4" w:space="0" w:color="000000"/>
              <w:left w:val="single" w:sz="4" w:space="0" w:color="000000"/>
              <w:bottom w:val="single" w:sz="4" w:space="0" w:color="000000"/>
              <w:right w:val="single" w:sz="4" w:space="0" w:color="000000"/>
            </w:tcBorders>
            <w:vAlign w:val="center"/>
          </w:tcPr>
          <w:p w14:paraId="6E9E2197" w14:textId="77777777" w:rsidR="00E50867" w:rsidRPr="009D56B8" w:rsidRDefault="00C770E8" w:rsidP="008E40D3">
            <w:pPr>
              <w:snapToGrid w:val="0"/>
              <w:rPr>
                <w:szCs w:val="22"/>
                <w:lang w:val="nb-NO"/>
              </w:rPr>
            </w:pPr>
            <w:r w:rsidRPr="009D56B8">
              <w:rPr>
                <w:szCs w:val="22"/>
                <w:lang w:val="nb-NO"/>
              </w:rPr>
              <w:t>Ikke kjent</w:t>
            </w:r>
          </w:p>
        </w:tc>
      </w:tr>
      <w:tr w:rsidR="009D56B8" w:rsidRPr="009D56B8" w14:paraId="54E8A4B0" w14:textId="77777777" w:rsidTr="00513CD0">
        <w:trPr>
          <w:cantSplit/>
        </w:trPr>
        <w:tc>
          <w:tcPr>
            <w:tcW w:w="3071" w:type="dxa"/>
            <w:vMerge/>
            <w:tcBorders>
              <w:left w:val="single" w:sz="4" w:space="0" w:color="000000"/>
            </w:tcBorders>
          </w:tcPr>
          <w:p w14:paraId="75AB36F4"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4468222E" w14:textId="13C7649C" w:rsidR="00E50867" w:rsidRPr="009D56B8" w:rsidRDefault="00C770E8" w:rsidP="008E40D3">
            <w:pPr>
              <w:autoSpaceDE w:val="0"/>
              <w:snapToGrid w:val="0"/>
              <w:rPr>
                <w:szCs w:val="22"/>
              </w:rPr>
            </w:pPr>
            <w:r w:rsidRPr="009D56B8">
              <w:rPr>
                <w:szCs w:val="22"/>
              </w:rPr>
              <w:t>Hypoksi</w:t>
            </w:r>
          </w:p>
        </w:tc>
        <w:tc>
          <w:tcPr>
            <w:tcW w:w="3073" w:type="dxa"/>
            <w:tcBorders>
              <w:top w:val="single" w:sz="4" w:space="0" w:color="000000"/>
              <w:left w:val="single" w:sz="4" w:space="0" w:color="000000"/>
              <w:bottom w:val="single" w:sz="4" w:space="0" w:color="000000"/>
              <w:right w:val="single" w:sz="4" w:space="0" w:color="000000"/>
            </w:tcBorders>
            <w:vAlign w:val="center"/>
          </w:tcPr>
          <w:p w14:paraId="69F41C25" w14:textId="77777777" w:rsidR="00E50867" w:rsidRPr="009D56B8" w:rsidRDefault="00C770E8" w:rsidP="008E40D3">
            <w:pPr>
              <w:snapToGrid w:val="0"/>
              <w:rPr>
                <w:szCs w:val="22"/>
                <w:lang w:val="nb-NO"/>
              </w:rPr>
            </w:pPr>
            <w:r w:rsidRPr="009D56B8">
              <w:rPr>
                <w:szCs w:val="22"/>
                <w:lang w:val="nb-NO"/>
              </w:rPr>
              <w:t>Ikke kjent</w:t>
            </w:r>
          </w:p>
        </w:tc>
      </w:tr>
      <w:tr w:rsidR="009D56B8" w:rsidRPr="009D56B8" w14:paraId="4660C70D" w14:textId="77777777" w:rsidTr="00513CD0">
        <w:trPr>
          <w:cantSplit/>
        </w:trPr>
        <w:tc>
          <w:tcPr>
            <w:tcW w:w="3071" w:type="dxa"/>
            <w:vMerge/>
            <w:tcBorders>
              <w:left w:val="single" w:sz="4" w:space="0" w:color="000000"/>
            </w:tcBorders>
          </w:tcPr>
          <w:p w14:paraId="7C02C754"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11A5E817" w14:textId="636B751C" w:rsidR="00E50867" w:rsidRPr="009D56B8" w:rsidRDefault="00C770E8" w:rsidP="008E40D3">
            <w:pPr>
              <w:autoSpaceDE w:val="0"/>
              <w:snapToGrid w:val="0"/>
              <w:rPr>
                <w:szCs w:val="22"/>
              </w:rPr>
            </w:pPr>
            <w:r w:rsidRPr="009D56B8">
              <w:rPr>
                <w:szCs w:val="22"/>
              </w:rPr>
              <w:t>Hypotensjon</w:t>
            </w:r>
          </w:p>
        </w:tc>
        <w:tc>
          <w:tcPr>
            <w:tcW w:w="3073" w:type="dxa"/>
            <w:tcBorders>
              <w:top w:val="single" w:sz="4" w:space="0" w:color="000000"/>
              <w:left w:val="single" w:sz="4" w:space="0" w:color="000000"/>
              <w:bottom w:val="single" w:sz="4" w:space="0" w:color="000000"/>
              <w:right w:val="single" w:sz="4" w:space="0" w:color="000000"/>
            </w:tcBorders>
            <w:vAlign w:val="center"/>
          </w:tcPr>
          <w:p w14:paraId="24C57686" w14:textId="77777777" w:rsidR="00E50867" w:rsidRPr="009D56B8" w:rsidRDefault="00C770E8" w:rsidP="008E40D3">
            <w:pPr>
              <w:snapToGrid w:val="0"/>
              <w:rPr>
                <w:szCs w:val="22"/>
                <w:lang w:val="nb-NO"/>
              </w:rPr>
            </w:pPr>
            <w:r w:rsidRPr="009D56B8">
              <w:rPr>
                <w:szCs w:val="22"/>
                <w:lang w:val="nb-NO"/>
              </w:rPr>
              <w:t>Ikke kjent</w:t>
            </w:r>
          </w:p>
        </w:tc>
      </w:tr>
      <w:tr w:rsidR="009D56B8" w:rsidRPr="009D56B8" w14:paraId="6EE76057" w14:textId="77777777" w:rsidTr="00513CD0">
        <w:trPr>
          <w:cantSplit/>
        </w:trPr>
        <w:tc>
          <w:tcPr>
            <w:tcW w:w="3071" w:type="dxa"/>
            <w:vMerge/>
            <w:tcBorders>
              <w:left w:val="single" w:sz="4" w:space="0" w:color="000000"/>
              <w:bottom w:val="single" w:sz="4" w:space="0" w:color="000000"/>
            </w:tcBorders>
          </w:tcPr>
          <w:p w14:paraId="09C1056F"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4CFA2048" w14:textId="2C78951B" w:rsidR="00E50867" w:rsidRPr="009D56B8" w:rsidRDefault="00C770E8" w:rsidP="008E40D3">
            <w:pPr>
              <w:autoSpaceDE w:val="0"/>
              <w:snapToGrid w:val="0"/>
              <w:rPr>
                <w:szCs w:val="22"/>
              </w:rPr>
            </w:pPr>
            <w:r w:rsidRPr="009D56B8">
              <w:rPr>
                <w:szCs w:val="22"/>
              </w:rPr>
              <w:t>Angioødem</w:t>
            </w:r>
          </w:p>
        </w:tc>
        <w:tc>
          <w:tcPr>
            <w:tcW w:w="3073" w:type="dxa"/>
            <w:tcBorders>
              <w:top w:val="single" w:sz="4" w:space="0" w:color="000000"/>
              <w:left w:val="single" w:sz="4" w:space="0" w:color="000000"/>
              <w:bottom w:val="single" w:sz="4" w:space="0" w:color="000000"/>
              <w:right w:val="single" w:sz="4" w:space="0" w:color="000000"/>
            </w:tcBorders>
            <w:vAlign w:val="center"/>
          </w:tcPr>
          <w:p w14:paraId="32B54366" w14:textId="77777777" w:rsidR="00E50867" w:rsidRPr="009D56B8" w:rsidRDefault="00C770E8" w:rsidP="008E40D3">
            <w:pPr>
              <w:snapToGrid w:val="0"/>
              <w:rPr>
                <w:szCs w:val="22"/>
                <w:lang w:val="nb-NO"/>
              </w:rPr>
            </w:pPr>
            <w:r w:rsidRPr="009D56B8">
              <w:rPr>
                <w:szCs w:val="22"/>
                <w:lang w:val="nb-NO"/>
              </w:rPr>
              <w:t>Ikke kjent</w:t>
            </w:r>
          </w:p>
        </w:tc>
      </w:tr>
      <w:tr w:rsidR="009D56B8" w:rsidRPr="009D56B8" w14:paraId="0E817EB9" w14:textId="77777777" w:rsidTr="00513CD0">
        <w:trPr>
          <w:cantSplit/>
        </w:trPr>
        <w:tc>
          <w:tcPr>
            <w:tcW w:w="3071" w:type="dxa"/>
            <w:tcBorders>
              <w:top w:val="single" w:sz="4" w:space="0" w:color="000000"/>
              <w:left w:val="single" w:sz="4" w:space="0" w:color="000000"/>
              <w:bottom w:val="single" w:sz="4" w:space="0" w:color="000000"/>
            </w:tcBorders>
          </w:tcPr>
          <w:p w14:paraId="3D67E3F7" w14:textId="77777777" w:rsidR="00E50867" w:rsidRPr="009D56B8" w:rsidRDefault="00C770E8" w:rsidP="002740EA">
            <w:pPr>
              <w:autoSpaceDE w:val="0"/>
              <w:snapToGrid w:val="0"/>
              <w:rPr>
                <w:szCs w:val="22"/>
                <w:lang w:val="nb-NO"/>
              </w:rPr>
            </w:pPr>
            <w:r w:rsidRPr="009D56B8">
              <w:rPr>
                <w:szCs w:val="22"/>
                <w:lang w:val="nb-NO"/>
              </w:rPr>
              <w:t>Nevrologiske sykdommer</w:t>
            </w:r>
          </w:p>
        </w:tc>
        <w:tc>
          <w:tcPr>
            <w:tcW w:w="3073" w:type="dxa"/>
            <w:tcBorders>
              <w:top w:val="single" w:sz="4" w:space="0" w:color="000000"/>
              <w:left w:val="single" w:sz="4" w:space="0" w:color="000000"/>
              <w:bottom w:val="single" w:sz="4" w:space="0" w:color="000000"/>
            </w:tcBorders>
            <w:vAlign w:val="center"/>
          </w:tcPr>
          <w:p w14:paraId="55A14608" w14:textId="77777777" w:rsidR="00E50867" w:rsidRPr="009D56B8" w:rsidRDefault="00C770E8" w:rsidP="002740EA">
            <w:pPr>
              <w:autoSpaceDE w:val="0"/>
              <w:snapToGrid w:val="0"/>
              <w:rPr>
                <w:szCs w:val="22"/>
                <w:lang w:val="nb-NO"/>
              </w:rPr>
            </w:pPr>
            <w:r w:rsidRPr="009D56B8">
              <w:rPr>
                <w:szCs w:val="22"/>
                <w:lang w:val="nb-NO"/>
              </w:rPr>
              <w:t>Svie</w:t>
            </w:r>
          </w:p>
        </w:tc>
        <w:tc>
          <w:tcPr>
            <w:tcW w:w="3073" w:type="dxa"/>
            <w:tcBorders>
              <w:top w:val="single" w:sz="4" w:space="0" w:color="000000"/>
              <w:left w:val="single" w:sz="4" w:space="0" w:color="000000"/>
              <w:bottom w:val="single" w:sz="4" w:space="0" w:color="000000"/>
              <w:right w:val="single" w:sz="4" w:space="0" w:color="000000"/>
            </w:tcBorders>
            <w:vAlign w:val="center"/>
          </w:tcPr>
          <w:p w14:paraId="27088FCD" w14:textId="77777777" w:rsidR="00E50867" w:rsidRPr="009D56B8" w:rsidRDefault="00C770E8" w:rsidP="002740EA">
            <w:pPr>
              <w:snapToGrid w:val="0"/>
              <w:rPr>
                <w:szCs w:val="22"/>
                <w:lang w:val="nb-NO"/>
              </w:rPr>
            </w:pPr>
            <w:r w:rsidRPr="009D56B8">
              <w:rPr>
                <w:szCs w:val="22"/>
                <w:lang w:val="nb-NO"/>
              </w:rPr>
              <w:t>Vanlige</w:t>
            </w:r>
          </w:p>
        </w:tc>
      </w:tr>
      <w:tr w:rsidR="009D56B8" w:rsidRPr="009D56B8" w14:paraId="1F6B4C8A" w14:textId="77777777" w:rsidTr="00513CD0">
        <w:trPr>
          <w:cantSplit/>
        </w:trPr>
        <w:tc>
          <w:tcPr>
            <w:tcW w:w="3071" w:type="dxa"/>
            <w:vMerge w:val="restart"/>
            <w:tcBorders>
              <w:top w:val="single" w:sz="4" w:space="0" w:color="000000"/>
              <w:left w:val="single" w:sz="4" w:space="0" w:color="000000"/>
              <w:bottom w:val="single" w:sz="4" w:space="0" w:color="000000"/>
            </w:tcBorders>
          </w:tcPr>
          <w:p w14:paraId="18E72B1E" w14:textId="77777777" w:rsidR="00E50867" w:rsidRPr="009D56B8" w:rsidRDefault="00C770E8" w:rsidP="002740EA">
            <w:pPr>
              <w:autoSpaceDE w:val="0"/>
              <w:snapToGrid w:val="0"/>
              <w:rPr>
                <w:szCs w:val="22"/>
                <w:lang w:val="nb-NO"/>
              </w:rPr>
            </w:pPr>
            <w:r w:rsidRPr="009D56B8">
              <w:rPr>
                <w:szCs w:val="22"/>
                <w:lang w:val="nb-NO"/>
              </w:rPr>
              <w:t>Karsykdommer</w:t>
            </w:r>
          </w:p>
        </w:tc>
        <w:tc>
          <w:tcPr>
            <w:tcW w:w="3073" w:type="dxa"/>
            <w:tcBorders>
              <w:top w:val="single" w:sz="4" w:space="0" w:color="000000"/>
              <w:left w:val="single" w:sz="4" w:space="0" w:color="000000"/>
              <w:bottom w:val="single" w:sz="4" w:space="0" w:color="000000"/>
            </w:tcBorders>
            <w:vAlign w:val="center"/>
          </w:tcPr>
          <w:p w14:paraId="776DE24E" w14:textId="77777777" w:rsidR="00E50867" w:rsidRPr="009D56B8" w:rsidRDefault="00C770E8" w:rsidP="002740EA">
            <w:pPr>
              <w:autoSpaceDE w:val="0"/>
              <w:snapToGrid w:val="0"/>
              <w:rPr>
                <w:szCs w:val="22"/>
                <w:lang w:val="nb-NO"/>
              </w:rPr>
            </w:pPr>
            <w:r w:rsidRPr="009D56B8">
              <w:rPr>
                <w:szCs w:val="22"/>
                <w:lang w:val="nb-NO"/>
              </w:rPr>
              <w:t>Flushing</w:t>
            </w:r>
          </w:p>
        </w:tc>
        <w:tc>
          <w:tcPr>
            <w:tcW w:w="3073" w:type="dxa"/>
            <w:tcBorders>
              <w:top w:val="single" w:sz="4" w:space="0" w:color="000000"/>
              <w:left w:val="single" w:sz="4" w:space="0" w:color="000000"/>
              <w:bottom w:val="single" w:sz="4" w:space="0" w:color="000000"/>
              <w:right w:val="single" w:sz="4" w:space="0" w:color="000000"/>
            </w:tcBorders>
            <w:vAlign w:val="center"/>
          </w:tcPr>
          <w:p w14:paraId="4D8FC452" w14:textId="77777777" w:rsidR="00E50867" w:rsidRPr="009D56B8" w:rsidRDefault="00C770E8" w:rsidP="002740EA">
            <w:pPr>
              <w:autoSpaceDE w:val="0"/>
              <w:snapToGrid w:val="0"/>
              <w:rPr>
                <w:szCs w:val="22"/>
                <w:lang w:val="nb-NO"/>
              </w:rPr>
            </w:pPr>
            <w:r w:rsidRPr="009D56B8">
              <w:rPr>
                <w:szCs w:val="22"/>
                <w:lang w:val="nb-NO"/>
              </w:rPr>
              <w:t>Svært vanlige</w:t>
            </w:r>
          </w:p>
        </w:tc>
      </w:tr>
      <w:tr w:rsidR="009D56B8" w:rsidRPr="009D56B8" w14:paraId="7EDEFD65" w14:textId="77777777" w:rsidTr="00513CD0">
        <w:trPr>
          <w:cantSplit/>
        </w:trPr>
        <w:tc>
          <w:tcPr>
            <w:tcW w:w="3071" w:type="dxa"/>
            <w:vMerge/>
            <w:tcBorders>
              <w:top w:val="single" w:sz="4" w:space="0" w:color="000000"/>
              <w:left w:val="single" w:sz="4" w:space="0" w:color="000000"/>
              <w:bottom w:val="single" w:sz="4" w:space="0" w:color="000000"/>
            </w:tcBorders>
          </w:tcPr>
          <w:p w14:paraId="7264204C"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0637FF78" w14:textId="77777777" w:rsidR="00E50867" w:rsidRPr="009D56B8" w:rsidRDefault="00C770E8" w:rsidP="008E40D3">
            <w:pPr>
              <w:autoSpaceDE w:val="0"/>
              <w:snapToGrid w:val="0"/>
              <w:rPr>
                <w:szCs w:val="22"/>
                <w:lang w:val="nb-NO"/>
              </w:rPr>
            </w:pPr>
            <w:r w:rsidRPr="009D56B8">
              <w:rPr>
                <w:szCs w:val="22"/>
                <w:lang w:val="nb-NO"/>
              </w:rPr>
              <w:t>Hetetokt</w:t>
            </w:r>
          </w:p>
        </w:tc>
        <w:tc>
          <w:tcPr>
            <w:tcW w:w="3073" w:type="dxa"/>
            <w:tcBorders>
              <w:top w:val="single" w:sz="4" w:space="0" w:color="000000"/>
              <w:left w:val="single" w:sz="4" w:space="0" w:color="000000"/>
              <w:bottom w:val="single" w:sz="4" w:space="0" w:color="000000"/>
              <w:right w:val="single" w:sz="4" w:space="0" w:color="000000"/>
            </w:tcBorders>
            <w:vAlign w:val="center"/>
          </w:tcPr>
          <w:p w14:paraId="2D505BD0" w14:textId="77777777" w:rsidR="00E50867" w:rsidRPr="009D56B8" w:rsidRDefault="00C770E8" w:rsidP="008E40D3">
            <w:pPr>
              <w:autoSpaceDE w:val="0"/>
              <w:snapToGrid w:val="0"/>
              <w:rPr>
                <w:szCs w:val="22"/>
                <w:lang w:val="nb-NO"/>
              </w:rPr>
            </w:pPr>
            <w:r w:rsidRPr="009D56B8">
              <w:rPr>
                <w:szCs w:val="22"/>
                <w:lang w:val="nb-NO"/>
              </w:rPr>
              <w:t>Vanlige</w:t>
            </w:r>
          </w:p>
        </w:tc>
      </w:tr>
      <w:tr w:rsidR="009D56B8" w:rsidRPr="009D56B8" w14:paraId="0C441B90" w14:textId="77777777" w:rsidTr="001D7462">
        <w:trPr>
          <w:cantSplit/>
        </w:trPr>
        <w:tc>
          <w:tcPr>
            <w:tcW w:w="3071" w:type="dxa"/>
            <w:tcBorders>
              <w:top w:val="single" w:sz="4" w:space="0" w:color="000000"/>
              <w:left w:val="single" w:sz="4" w:space="0" w:color="000000"/>
              <w:bottom w:val="single" w:sz="4" w:space="0" w:color="000000"/>
            </w:tcBorders>
          </w:tcPr>
          <w:p w14:paraId="3BADC684" w14:textId="4881DF06" w:rsidR="001753BB" w:rsidRPr="009D56B8" w:rsidRDefault="001753BB" w:rsidP="002740EA">
            <w:pPr>
              <w:autoSpaceDE w:val="0"/>
              <w:snapToGrid w:val="0"/>
              <w:rPr>
                <w:szCs w:val="22"/>
                <w:lang w:val="nb-NO"/>
              </w:rPr>
            </w:pPr>
            <w:r w:rsidRPr="009D56B8">
              <w:rPr>
                <w:szCs w:val="22"/>
                <w:lang w:val="nb-NO"/>
              </w:rPr>
              <w:t>Sykdommer i respirasjonsorganer, thorax og mediastinum</w:t>
            </w:r>
          </w:p>
        </w:tc>
        <w:tc>
          <w:tcPr>
            <w:tcW w:w="3073" w:type="dxa"/>
            <w:tcBorders>
              <w:top w:val="single" w:sz="4" w:space="0" w:color="000000"/>
              <w:left w:val="single" w:sz="4" w:space="0" w:color="000000"/>
              <w:bottom w:val="single" w:sz="4" w:space="0" w:color="000000"/>
            </w:tcBorders>
            <w:vAlign w:val="center"/>
          </w:tcPr>
          <w:p w14:paraId="14A59304" w14:textId="5259806B" w:rsidR="001753BB" w:rsidRPr="009D56B8" w:rsidRDefault="001753BB" w:rsidP="002740EA">
            <w:pPr>
              <w:autoSpaceDE w:val="0"/>
              <w:snapToGrid w:val="0"/>
              <w:rPr>
                <w:szCs w:val="22"/>
                <w:lang w:val="nb-NO"/>
              </w:rPr>
            </w:pPr>
            <w:r w:rsidRPr="009D56B8">
              <w:rPr>
                <w:szCs w:val="22"/>
                <w:lang w:val="nb-NO"/>
              </w:rPr>
              <w:t>Rhinoré</w:t>
            </w:r>
          </w:p>
        </w:tc>
        <w:tc>
          <w:tcPr>
            <w:tcW w:w="3073" w:type="dxa"/>
            <w:tcBorders>
              <w:top w:val="single" w:sz="4" w:space="0" w:color="000000"/>
              <w:left w:val="single" w:sz="4" w:space="0" w:color="000000"/>
              <w:bottom w:val="single" w:sz="4" w:space="0" w:color="000000"/>
              <w:right w:val="single" w:sz="4" w:space="0" w:color="000000"/>
            </w:tcBorders>
            <w:vAlign w:val="center"/>
          </w:tcPr>
          <w:p w14:paraId="2F05CADC" w14:textId="1C53AB63" w:rsidR="001753BB" w:rsidRPr="009D56B8" w:rsidRDefault="001753BB" w:rsidP="002740EA">
            <w:pPr>
              <w:snapToGrid w:val="0"/>
              <w:rPr>
                <w:szCs w:val="22"/>
                <w:lang w:val="nb-NO"/>
              </w:rPr>
            </w:pPr>
            <w:r w:rsidRPr="009D56B8">
              <w:rPr>
                <w:szCs w:val="22"/>
                <w:lang w:val="nb-NO"/>
              </w:rPr>
              <w:t>Ikke kjent</w:t>
            </w:r>
          </w:p>
        </w:tc>
      </w:tr>
      <w:tr w:rsidR="009D56B8" w:rsidRPr="009D56B8" w14:paraId="596D8B65" w14:textId="77777777" w:rsidTr="00513CD0">
        <w:trPr>
          <w:cantSplit/>
        </w:trPr>
        <w:tc>
          <w:tcPr>
            <w:tcW w:w="3071" w:type="dxa"/>
            <w:vMerge w:val="restart"/>
            <w:tcBorders>
              <w:top w:val="single" w:sz="4" w:space="0" w:color="000000"/>
              <w:left w:val="single" w:sz="4" w:space="0" w:color="000000"/>
              <w:bottom w:val="single" w:sz="4" w:space="0" w:color="000000"/>
            </w:tcBorders>
          </w:tcPr>
          <w:p w14:paraId="4BAC0CCB" w14:textId="77777777" w:rsidR="00E50867" w:rsidRPr="009D56B8" w:rsidRDefault="00C770E8" w:rsidP="002740EA">
            <w:pPr>
              <w:autoSpaceDE w:val="0"/>
              <w:snapToGrid w:val="0"/>
              <w:rPr>
                <w:szCs w:val="22"/>
                <w:lang w:val="nb-NO"/>
              </w:rPr>
            </w:pPr>
            <w:r w:rsidRPr="009D56B8">
              <w:rPr>
                <w:szCs w:val="22"/>
                <w:lang w:val="nb-NO"/>
              </w:rPr>
              <w:t>Gastrointestinale sykdommer</w:t>
            </w:r>
          </w:p>
        </w:tc>
        <w:tc>
          <w:tcPr>
            <w:tcW w:w="3073" w:type="dxa"/>
            <w:tcBorders>
              <w:top w:val="single" w:sz="4" w:space="0" w:color="000000"/>
              <w:left w:val="single" w:sz="4" w:space="0" w:color="000000"/>
              <w:bottom w:val="single" w:sz="4" w:space="0" w:color="000000"/>
            </w:tcBorders>
            <w:vAlign w:val="center"/>
          </w:tcPr>
          <w:p w14:paraId="2273A063" w14:textId="77777777" w:rsidR="00E50867" w:rsidRPr="009D56B8" w:rsidRDefault="00C770E8" w:rsidP="002740EA">
            <w:pPr>
              <w:autoSpaceDE w:val="0"/>
              <w:snapToGrid w:val="0"/>
              <w:rPr>
                <w:szCs w:val="22"/>
                <w:lang w:val="nb-NO"/>
              </w:rPr>
            </w:pPr>
            <w:r w:rsidRPr="009D56B8">
              <w:rPr>
                <w:szCs w:val="22"/>
                <w:lang w:val="nb-NO"/>
              </w:rPr>
              <w:t>Diaré</w:t>
            </w:r>
          </w:p>
        </w:tc>
        <w:tc>
          <w:tcPr>
            <w:tcW w:w="3073" w:type="dxa"/>
            <w:tcBorders>
              <w:top w:val="single" w:sz="4" w:space="0" w:color="000000"/>
              <w:left w:val="single" w:sz="4" w:space="0" w:color="000000"/>
              <w:bottom w:val="single" w:sz="4" w:space="0" w:color="000000"/>
              <w:right w:val="single" w:sz="4" w:space="0" w:color="000000"/>
            </w:tcBorders>
            <w:vAlign w:val="center"/>
          </w:tcPr>
          <w:p w14:paraId="48DCCB3C" w14:textId="77777777" w:rsidR="00E50867" w:rsidRPr="009D56B8" w:rsidRDefault="00C770E8" w:rsidP="002740EA">
            <w:pPr>
              <w:snapToGrid w:val="0"/>
              <w:rPr>
                <w:szCs w:val="22"/>
                <w:lang w:val="nb-NO"/>
              </w:rPr>
            </w:pPr>
            <w:r w:rsidRPr="009D56B8">
              <w:rPr>
                <w:szCs w:val="22"/>
                <w:lang w:val="nb-NO"/>
              </w:rPr>
              <w:t>Svært vanlige</w:t>
            </w:r>
          </w:p>
        </w:tc>
      </w:tr>
      <w:tr w:rsidR="009D56B8" w:rsidRPr="009D56B8" w14:paraId="4609AD6C" w14:textId="77777777" w:rsidTr="00513CD0">
        <w:trPr>
          <w:cantSplit/>
        </w:trPr>
        <w:tc>
          <w:tcPr>
            <w:tcW w:w="3071" w:type="dxa"/>
            <w:vMerge/>
            <w:tcBorders>
              <w:top w:val="single" w:sz="4" w:space="0" w:color="000000"/>
              <w:left w:val="single" w:sz="4" w:space="0" w:color="000000"/>
              <w:bottom w:val="single" w:sz="4" w:space="0" w:color="000000"/>
            </w:tcBorders>
          </w:tcPr>
          <w:p w14:paraId="5A899049"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6A711E41" w14:textId="77777777" w:rsidR="00E50867" w:rsidRPr="009D56B8" w:rsidRDefault="00C770E8" w:rsidP="008E40D3">
            <w:pPr>
              <w:autoSpaceDE w:val="0"/>
              <w:snapToGrid w:val="0"/>
              <w:rPr>
                <w:szCs w:val="22"/>
                <w:lang w:val="nb-NO"/>
              </w:rPr>
            </w:pPr>
            <w:r w:rsidRPr="009D56B8">
              <w:rPr>
                <w:szCs w:val="22"/>
                <w:lang w:val="nb-NO"/>
              </w:rPr>
              <w:t>Kvalme</w:t>
            </w:r>
          </w:p>
        </w:tc>
        <w:tc>
          <w:tcPr>
            <w:tcW w:w="3073" w:type="dxa"/>
            <w:tcBorders>
              <w:top w:val="single" w:sz="4" w:space="0" w:color="000000"/>
              <w:left w:val="single" w:sz="4" w:space="0" w:color="000000"/>
              <w:bottom w:val="single" w:sz="4" w:space="0" w:color="000000"/>
              <w:right w:val="single" w:sz="4" w:space="0" w:color="000000"/>
            </w:tcBorders>
            <w:vAlign w:val="center"/>
          </w:tcPr>
          <w:p w14:paraId="10A2865F" w14:textId="77777777" w:rsidR="00E50867" w:rsidRPr="009D56B8" w:rsidRDefault="00C770E8" w:rsidP="008E40D3">
            <w:pPr>
              <w:snapToGrid w:val="0"/>
              <w:rPr>
                <w:szCs w:val="22"/>
                <w:lang w:val="nb-NO"/>
              </w:rPr>
            </w:pPr>
            <w:r w:rsidRPr="009D56B8">
              <w:rPr>
                <w:szCs w:val="22"/>
                <w:lang w:val="nb-NO"/>
              </w:rPr>
              <w:t>Svært vanlige</w:t>
            </w:r>
          </w:p>
        </w:tc>
      </w:tr>
      <w:tr w:rsidR="009D56B8" w:rsidRPr="009D56B8" w14:paraId="784F4334" w14:textId="77777777" w:rsidTr="00513CD0">
        <w:trPr>
          <w:cantSplit/>
        </w:trPr>
        <w:tc>
          <w:tcPr>
            <w:tcW w:w="3071" w:type="dxa"/>
            <w:vMerge/>
            <w:tcBorders>
              <w:top w:val="single" w:sz="4" w:space="0" w:color="000000"/>
              <w:left w:val="single" w:sz="4" w:space="0" w:color="000000"/>
              <w:bottom w:val="single" w:sz="4" w:space="0" w:color="000000"/>
            </w:tcBorders>
          </w:tcPr>
          <w:p w14:paraId="7C4EE9F0"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7A7196FE" w14:textId="77777777" w:rsidR="00E50867" w:rsidRPr="009D56B8" w:rsidRDefault="00C770E8" w:rsidP="008E40D3">
            <w:pPr>
              <w:autoSpaceDE w:val="0"/>
              <w:snapToGrid w:val="0"/>
              <w:rPr>
                <w:szCs w:val="22"/>
                <w:lang w:val="nb-NO"/>
              </w:rPr>
            </w:pPr>
            <w:r w:rsidRPr="009D56B8">
              <w:rPr>
                <w:szCs w:val="22"/>
                <w:lang w:val="nb-NO"/>
              </w:rPr>
              <w:t>Smerter i øvre del av abdomen</w:t>
            </w:r>
          </w:p>
        </w:tc>
        <w:tc>
          <w:tcPr>
            <w:tcW w:w="3073" w:type="dxa"/>
            <w:tcBorders>
              <w:top w:val="single" w:sz="4" w:space="0" w:color="000000"/>
              <w:left w:val="single" w:sz="4" w:space="0" w:color="000000"/>
              <w:bottom w:val="single" w:sz="4" w:space="0" w:color="000000"/>
              <w:right w:val="single" w:sz="4" w:space="0" w:color="000000"/>
            </w:tcBorders>
            <w:vAlign w:val="center"/>
          </w:tcPr>
          <w:p w14:paraId="72BA8362" w14:textId="77777777" w:rsidR="00E50867" w:rsidRPr="009D56B8" w:rsidRDefault="00C770E8" w:rsidP="008E40D3">
            <w:pPr>
              <w:snapToGrid w:val="0"/>
              <w:rPr>
                <w:szCs w:val="22"/>
                <w:lang w:val="nb-NO"/>
              </w:rPr>
            </w:pPr>
            <w:r w:rsidRPr="009D56B8">
              <w:rPr>
                <w:szCs w:val="22"/>
                <w:lang w:val="nb-NO"/>
              </w:rPr>
              <w:t>Svært vanlige</w:t>
            </w:r>
          </w:p>
        </w:tc>
      </w:tr>
      <w:tr w:rsidR="009D56B8" w:rsidRPr="009D56B8" w14:paraId="02B4576A" w14:textId="77777777" w:rsidTr="00513CD0">
        <w:trPr>
          <w:cantSplit/>
        </w:trPr>
        <w:tc>
          <w:tcPr>
            <w:tcW w:w="3071" w:type="dxa"/>
            <w:vMerge/>
            <w:tcBorders>
              <w:top w:val="single" w:sz="4" w:space="0" w:color="000000"/>
              <w:left w:val="single" w:sz="4" w:space="0" w:color="000000"/>
              <w:bottom w:val="single" w:sz="4" w:space="0" w:color="000000"/>
            </w:tcBorders>
          </w:tcPr>
          <w:p w14:paraId="13D224CB"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7FDA3FCE" w14:textId="77777777" w:rsidR="00E50867" w:rsidRPr="009D56B8" w:rsidRDefault="00C770E8" w:rsidP="008E40D3">
            <w:pPr>
              <w:autoSpaceDE w:val="0"/>
              <w:snapToGrid w:val="0"/>
              <w:rPr>
                <w:szCs w:val="22"/>
                <w:lang w:val="nb-NO"/>
              </w:rPr>
            </w:pPr>
            <w:r w:rsidRPr="009D56B8">
              <w:rPr>
                <w:szCs w:val="22"/>
                <w:lang w:val="nb-NO"/>
              </w:rPr>
              <w:t>Abdominale smerter</w:t>
            </w:r>
          </w:p>
        </w:tc>
        <w:tc>
          <w:tcPr>
            <w:tcW w:w="3073" w:type="dxa"/>
            <w:tcBorders>
              <w:top w:val="single" w:sz="4" w:space="0" w:color="000000"/>
              <w:left w:val="single" w:sz="4" w:space="0" w:color="000000"/>
              <w:bottom w:val="single" w:sz="4" w:space="0" w:color="000000"/>
              <w:right w:val="single" w:sz="4" w:space="0" w:color="000000"/>
            </w:tcBorders>
            <w:vAlign w:val="center"/>
          </w:tcPr>
          <w:p w14:paraId="72CECDA6" w14:textId="77777777" w:rsidR="00E50867" w:rsidRPr="009D56B8" w:rsidRDefault="00C770E8" w:rsidP="008E40D3">
            <w:pPr>
              <w:snapToGrid w:val="0"/>
              <w:rPr>
                <w:szCs w:val="22"/>
                <w:lang w:val="nb-NO"/>
              </w:rPr>
            </w:pPr>
            <w:r w:rsidRPr="009D56B8">
              <w:rPr>
                <w:szCs w:val="22"/>
                <w:lang w:val="nb-NO"/>
              </w:rPr>
              <w:t>Svært vanlige</w:t>
            </w:r>
          </w:p>
        </w:tc>
      </w:tr>
      <w:tr w:rsidR="009D56B8" w:rsidRPr="009D56B8" w14:paraId="53FBE9FF" w14:textId="77777777" w:rsidTr="00513CD0">
        <w:trPr>
          <w:cantSplit/>
        </w:trPr>
        <w:tc>
          <w:tcPr>
            <w:tcW w:w="3071" w:type="dxa"/>
            <w:vMerge/>
            <w:tcBorders>
              <w:top w:val="single" w:sz="4" w:space="0" w:color="000000"/>
              <w:left w:val="single" w:sz="4" w:space="0" w:color="000000"/>
              <w:bottom w:val="single" w:sz="4" w:space="0" w:color="000000"/>
            </w:tcBorders>
          </w:tcPr>
          <w:p w14:paraId="5B8A2598"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5DD118E1" w14:textId="77777777" w:rsidR="00E50867" w:rsidRPr="009D56B8" w:rsidRDefault="00C770E8" w:rsidP="008E40D3">
            <w:pPr>
              <w:autoSpaceDE w:val="0"/>
              <w:snapToGrid w:val="0"/>
              <w:rPr>
                <w:szCs w:val="22"/>
                <w:lang w:val="nb-NO"/>
              </w:rPr>
            </w:pPr>
            <w:r w:rsidRPr="009D56B8">
              <w:rPr>
                <w:szCs w:val="22"/>
                <w:lang w:val="nb-NO"/>
              </w:rPr>
              <w:t>Oppkast</w:t>
            </w:r>
          </w:p>
        </w:tc>
        <w:tc>
          <w:tcPr>
            <w:tcW w:w="3073" w:type="dxa"/>
            <w:tcBorders>
              <w:top w:val="single" w:sz="4" w:space="0" w:color="000000"/>
              <w:left w:val="single" w:sz="4" w:space="0" w:color="000000"/>
              <w:bottom w:val="single" w:sz="4" w:space="0" w:color="000000"/>
              <w:right w:val="single" w:sz="4" w:space="0" w:color="000000"/>
            </w:tcBorders>
            <w:vAlign w:val="center"/>
          </w:tcPr>
          <w:p w14:paraId="39B4465B" w14:textId="77777777" w:rsidR="00E50867" w:rsidRPr="009D56B8" w:rsidRDefault="00C770E8" w:rsidP="008E40D3">
            <w:pPr>
              <w:snapToGrid w:val="0"/>
              <w:rPr>
                <w:szCs w:val="22"/>
                <w:lang w:val="nb-NO"/>
              </w:rPr>
            </w:pPr>
            <w:r w:rsidRPr="009D56B8">
              <w:rPr>
                <w:szCs w:val="22"/>
                <w:lang w:val="nb-NO"/>
              </w:rPr>
              <w:t>Vanlige</w:t>
            </w:r>
          </w:p>
        </w:tc>
      </w:tr>
      <w:tr w:rsidR="009D56B8" w:rsidRPr="009D56B8" w14:paraId="1CB79D0C" w14:textId="77777777" w:rsidTr="00513CD0">
        <w:trPr>
          <w:cantSplit/>
        </w:trPr>
        <w:tc>
          <w:tcPr>
            <w:tcW w:w="3071" w:type="dxa"/>
            <w:vMerge/>
            <w:tcBorders>
              <w:top w:val="single" w:sz="4" w:space="0" w:color="000000"/>
              <w:left w:val="single" w:sz="4" w:space="0" w:color="000000"/>
              <w:bottom w:val="single" w:sz="4" w:space="0" w:color="000000"/>
            </w:tcBorders>
          </w:tcPr>
          <w:p w14:paraId="024CCCC8"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5758D2C5" w14:textId="77777777" w:rsidR="00E50867" w:rsidRPr="009D56B8" w:rsidRDefault="00C770E8" w:rsidP="008E40D3">
            <w:pPr>
              <w:autoSpaceDE w:val="0"/>
              <w:snapToGrid w:val="0"/>
              <w:rPr>
                <w:szCs w:val="22"/>
                <w:lang w:val="nb-NO"/>
              </w:rPr>
            </w:pPr>
            <w:r w:rsidRPr="009D56B8">
              <w:rPr>
                <w:szCs w:val="22"/>
                <w:lang w:val="nb-NO"/>
              </w:rPr>
              <w:t>Dyspepsi</w:t>
            </w:r>
          </w:p>
        </w:tc>
        <w:tc>
          <w:tcPr>
            <w:tcW w:w="3073" w:type="dxa"/>
            <w:tcBorders>
              <w:top w:val="single" w:sz="4" w:space="0" w:color="000000"/>
              <w:left w:val="single" w:sz="4" w:space="0" w:color="000000"/>
              <w:bottom w:val="single" w:sz="4" w:space="0" w:color="000000"/>
              <w:right w:val="single" w:sz="4" w:space="0" w:color="000000"/>
            </w:tcBorders>
            <w:vAlign w:val="center"/>
          </w:tcPr>
          <w:p w14:paraId="059ABFAA" w14:textId="77777777" w:rsidR="00E50867" w:rsidRPr="009D56B8" w:rsidRDefault="00C770E8" w:rsidP="008E40D3">
            <w:pPr>
              <w:snapToGrid w:val="0"/>
              <w:rPr>
                <w:szCs w:val="22"/>
                <w:lang w:val="nb-NO"/>
              </w:rPr>
            </w:pPr>
            <w:r w:rsidRPr="009D56B8">
              <w:rPr>
                <w:szCs w:val="22"/>
                <w:lang w:val="nb-NO"/>
              </w:rPr>
              <w:t>Vanlige</w:t>
            </w:r>
          </w:p>
        </w:tc>
      </w:tr>
      <w:tr w:rsidR="009D56B8" w:rsidRPr="009D56B8" w14:paraId="20290FC8" w14:textId="77777777" w:rsidTr="00513CD0">
        <w:trPr>
          <w:cantSplit/>
        </w:trPr>
        <w:tc>
          <w:tcPr>
            <w:tcW w:w="3071" w:type="dxa"/>
            <w:vMerge/>
            <w:tcBorders>
              <w:top w:val="single" w:sz="4" w:space="0" w:color="000000"/>
              <w:left w:val="single" w:sz="4" w:space="0" w:color="000000"/>
              <w:bottom w:val="single" w:sz="4" w:space="0" w:color="000000"/>
            </w:tcBorders>
          </w:tcPr>
          <w:p w14:paraId="4B10A95B"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593DD349" w14:textId="77777777" w:rsidR="00E50867" w:rsidRPr="009D56B8" w:rsidRDefault="00C770E8" w:rsidP="008E40D3">
            <w:pPr>
              <w:autoSpaceDE w:val="0"/>
              <w:snapToGrid w:val="0"/>
              <w:rPr>
                <w:szCs w:val="22"/>
                <w:lang w:val="nb-NO"/>
              </w:rPr>
            </w:pPr>
            <w:r w:rsidRPr="009D56B8">
              <w:rPr>
                <w:szCs w:val="22"/>
                <w:lang w:val="nb-NO"/>
              </w:rPr>
              <w:t>Gastritt</w:t>
            </w:r>
          </w:p>
        </w:tc>
        <w:tc>
          <w:tcPr>
            <w:tcW w:w="3073" w:type="dxa"/>
            <w:tcBorders>
              <w:top w:val="single" w:sz="4" w:space="0" w:color="000000"/>
              <w:left w:val="single" w:sz="4" w:space="0" w:color="000000"/>
              <w:bottom w:val="single" w:sz="4" w:space="0" w:color="000000"/>
              <w:right w:val="single" w:sz="4" w:space="0" w:color="000000"/>
            </w:tcBorders>
            <w:vAlign w:val="center"/>
          </w:tcPr>
          <w:p w14:paraId="33DF7F72" w14:textId="77777777" w:rsidR="00E50867" w:rsidRPr="009D56B8" w:rsidRDefault="00C770E8" w:rsidP="008E40D3">
            <w:pPr>
              <w:snapToGrid w:val="0"/>
              <w:rPr>
                <w:szCs w:val="22"/>
                <w:lang w:val="nb-NO"/>
              </w:rPr>
            </w:pPr>
            <w:r w:rsidRPr="009D56B8">
              <w:rPr>
                <w:szCs w:val="22"/>
                <w:lang w:val="nb-NO"/>
              </w:rPr>
              <w:t>Vanlige</w:t>
            </w:r>
          </w:p>
        </w:tc>
      </w:tr>
      <w:tr w:rsidR="009D56B8" w:rsidRPr="009D56B8" w14:paraId="0E189997" w14:textId="77777777" w:rsidTr="00513CD0">
        <w:trPr>
          <w:cantSplit/>
        </w:trPr>
        <w:tc>
          <w:tcPr>
            <w:tcW w:w="3071" w:type="dxa"/>
            <w:vMerge/>
            <w:tcBorders>
              <w:top w:val="single" w:sz="4" w:space="0" w:color="000000"/>
              <w:left w:val="single" w:sz="4" w:space="0" w:color="000000"/>
              <w:bottom w:val="single" w:sz="4" w:space="0" w:color="000000"/>
            </w:tcBorders>
          </w:tcPr>
          <w:p w14:paraId="624F3D8D"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14F93885" w14:textId="77777777" w:rsidR="00E50867" w:rsidRPr="009D56B8" w:rsidRDefault="00C770E8" w:rsidP="008E40D3">
            <w:pPr>
              <w:autoSpaceDE w:val="0"/>
              <w:snapToGrid w:val="0"/>
              <w:rPr>
                <w:szCs w:val="22"/>
                <w:lang w:val="nb-NO"/>
              </w:rPr>
            </w:pPr>
            <w:r w:rsidRPr="009D56B8">
              <w:rPr>
                <w:szCs w:val="22"/>
                <w:lang w:val="nb-NO"/>
              </w:rPr>
              <w:t>Gastrointestinal sykdom</w:t>
            </w:r>
          </w:p>
        </w:tc>
        <w:tc>
          <w:tcPr>
            <w:tcW w:w="3073" w:type="dxa"/>
            <w:tcBorders>
              <w:top w:val="single" w:sz="4" w:space="0" w:color="000000"/>
              <w:left w:val="single" w:sz="4" w:space="0" w:color="000000"/>
              <w:bottom w:val="single" w:sz="4" w:space="0" w:color="000000"/>
              <w:right w:val="single" w:sz="4" w:space="0" w:color="000000"/>
            </w:tcBorders>
            <w:vAlign w:val="center"/>
          </w:tcPr>
          <w:p w14:paraId="37FA082E" w14:textId="77777777" w:rsidR="00E50867" w:rsidRPr="009D56B8" w:rsidRDefault="00C770E8" w:rsidP="008E40D3">
            <w:pPr>
              <w:snapToGrid w:val="0"/>
              <w:rPr>
                <w:szCs w:val="22"/>
                <w:lang w:val="nb-NO"/>
              </w:rPr>
            </w:pPr>
            <w:r w:rsidRPr="009D56B8">
              <w:rPr>
                <w:szCs w:val="22"/>
                <w:lang w:val="nb-NO"/>
              </w:rPr>
              <w:t>Vanlige</w:t>
            </w:r>
          </w:p>
        </w:tc>
      </w:tr>
      <w:tr w:rsidR="009D56B8" w:rsidRPr="009D56B8" w14:paraId="62E577F9" w14:textId="77777777" w:rsidTr="00513CD0">
        <w:trPr>
          <w:cantSplit/>
        </w:trPr>
        <w:tc>
          <w:tcPr>
            <w:tcW w:w="3071" w:type="dxa"/>
            <w:vMerge w:val="restart"/>
            <w:tcBorders>
              <w:top w:val="single" w:sz="4" w:space="0" w:color="000000"/>
              <w:left w:val="single" w:sz="4" w:space="0" w:color="000000"/>
            </w:tcBorders>
          </w:tcPr>
          <w:p w14:paraId="60C8F744" w14:textId="77777777" w:rsidR="00E50867" w:rsidRPr="009D56B8" w:rsidRDefault="00C770E8" w:rsidP="002740EA">
            <w:pPr>
              <w:autoSpaceDE w:val="0"/>
              <w:snapToGrid w:val="0"/>
              <w:rPr>
                <w:szCs w:val="22"/>
                <w:lang w:val="nb-NO"/>
              </w:rPr>
            </w:pPr>
            <w:r w:rsidRPr="009D56B8">
              <w:rPr>
                <w:szCs w:val="22"/>
                <w:lang w:val="nb-NO"/>
              </w:rPr>
              <w:t>Sykdommer i lever og galleveier</w:t>
            </w:r>
          </w:p>
        </w:tc>
        <w:tc>
          <w:tcPr>
            <w:tcW w:w="3073" w:type="dxa"/>
            <w:tcBorders>
              <w:top w:val="single" w:sz="4" w:space="0" w:color="000000"/>
              <w:left w:val="single" w:sz="4" w:space="0" w:color="000000"/>
              <w:bottom w:val="single" w:sz="4" w:space="0" w:color="000000"/>
            </w:tcBorders>
            <w:vAlign w:val="center"/>
          </w:tcPr>
          <w:p w14:paraId="18C2DB80" w14:textId="77777777" w:rsidR="00E50867" w:rsidRPr="009D56B8" w:rsidRDefault="00C770E8" w:rsidP="008E40D3">
            <w:pPr>
              <w:keepNext/>
              <w:autoSpaceDE w:val="0"/>
              <w:snapToGrid w:val="0"/>
              <w:rPr>
                <w:szCs w:val="22"/>
                <w:lang w:val="nb-NO"/>
              </w:rPr>
            </w:pPr>
            <w:r w:rsidRPr="009D56B8">
              <w:rPr>
                <w:szCs w:val="22"/>
                <w:lang w:val="nb-NO"/>
              </w:rPr>
              <w:t>Økt aspartataminotransferase</w:t>
            </w:r>
          </w:p>
        </w:tc>
        <w:tc>
          <w:tcPr>
            <w:tcW w:w="3073" w:type="dxa"/>
            <w:tcBorders>
              <w:top w:val="single" w:sz="4" w:space="0" w:color="000000"/>
              <w:left w:val="single" w:sz="4" w:space="0" w:color="000000"/>
              <w:bottom w:val="single" w:sz="4" w:space="0" w:color="000000"/>
              <w:right w:val="single" w:sz="4" w:space="0" w:color="000000"/>
            </w:tcBorders>
            <w:vAlign w:val="center"/>
          </w:tcPr>
          <w:p w14:paraId="066B7147" w14:textId="77777777" w:rsidR="00E50867" w:rsidRPr="009D56B8" w:rsidRDefault="00C770E8" w:rsidP="008E40D3">
            <w:pPr>
              <w:keepNext/>
              <w:snapToGrid w:val="0"/>
              <w:rPr>
                <w:szCs w:val="22"/>
                <w:lang w:val="nb-NO"/>
              </w:rPr>
            </w:pPr>
            <w:r w:rsidRPr="009D56B8">
              <w:rPr>
                <w:szCs w:val="22"/>
                <w:lang w:val="nb-NO"/>
              </w:rPr>
              <w:t>Vanlige</w:t>
            </w:r>
          </w:p>
        </w:tc>
      </w:tr>
      <w:tr w:rsidR="009D56B8" w:rsidRPr="009D56B8" w14:paraId="1B503014" w14:textId="77777777" w:rsidTr="00513CD0">
        <w:trPr>
          <w:cantSplit/>
        </w:trPr>
        <w:tc>
          <w:tcPr>
            <w:tcW w:w="3071" w:type="dxa"/>
            <w:vMerge/>
            <w:tcBorders>
              <w:left w:val="single" w:sz="4" w:space="0" w:color="000000"/>
            </w:tcBorders>
          </w:tcPr>
          <w:p w14:paraId="18387ABA"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49C9014B" w14:textId="77777777" w:rsidR="00E50867" w:rsidRPr="009D56B8" w:rsidRDefault="00C770E8" w:rsidP="008E40D3">
            <w:pPr>
              <w:autoSpaceDE w:val="0"/>
              <w:snapToGrid w:val="0"/>
              <w:rPr>
                <w:szCs w:val="22"/>
                <w:lang w:val="nb-NO"/>
              </w:rPr>
            </w:pPr>
            <w:r w:rsidRPr="009D56B8">
              <w:rPr>
                <w:szCs w:val="22"/>
                <w:lang w:val="nb-NO"/>
              </w:rPr>
              <w:t>Økt alaninaminotransferase</w:t>
            </w:r>
          </w:p>
        </w:tc>
        <w:tc>
          <w:tcPr>
            <w:tcW w:w="3073" w:type="dxa"/>
            <w:tcBorders>
              <w:top w:val="single" w:sz="4" w:space="0" w:color="000000"/>
              <w:left w:val="single" w:sz="4" w:space="0" w:color="000000"/>
              <w:bottom w:val="single" w:sz="4" w:space="0" w:color="000000"/>
              <w:right w:val="single" w:sz="4" w:space="0" w:color="000000"/>
            </w:tcBorders>
            <w:vAlign w:val="center"/>
          </w:tcPr>
          <w:p w14:paraId="3F437E47" w14:textId="77777777" w:rsidR="00E50867" w:rsidRPr="009D56B8" w:rsidRDefault="00C770E8" w:rsidP="008E40D3">
            <w:pPr>
              <w:snapToGrid w:val="0"/>
              <w:rPr>
                <w:szCs w:val="22"/>
                <w:lang w:val="nb-NO"/>
              </w:rPr>
            </w:pPr>
            <w:r w:rsidRPr="009D56B8">
              <w:rPr>
                <w:szCs w:val="22"/>
                <w:lang w:val="nb-NO"/>
              </w:rPr>
              <w:t>Vanlige</w:t>
            </w:r>
          </w:p>
        </w:tc>
      </w:tr>
      <w:tr w:rsidR="009D56B8" w:rsidRPr="009D56B8" w14:paraId="6B5620A5" w14:textId="77777777" w:rsidTr="00513CD0">
        <w:trPr>
          <w:cantSplit/>
        </w:trPr>
        <w:tc>
          <w:tcPr>
            <w:tcW w:w="3071" w:type="dxa"/>
            <w:vMerge/>
            <w:tcBorders>
              <w:left w:val="single" w:sz="4" w:space="0" w:color="000000"/>
              <w:bottom w:val="single" w:sz="4" w:space="0" w:color="000000"/>
            </w:tcBorders>
          </w:tcPr>
          <w:p w14:paraId="6E513146" w14:textId="77777777" w:rsidR="00E50867" w:rsidRPr="009D56B8" w:rsidRDefault="00E50867" w:rsidP="008E40D3">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3BDC4B9B" w14:textId="28FCEFCC" w:rsidR="00E50867" w:rsidRPr="009D56B8" w:rsidRDefault="00C770E8" w:rsidP="008E40D3">
            <w:pPr>
              <w:autoSpaceDE w:val="0"/>
              <w:snapToGrid w:val="0"/>
              <w:rPr>
                <w:szCs w:val="22"/>
                <w:lang w:val="nb-NO"/>
              </w:rPr>
            </w:pPr>
            <w:r w:rsidRPr="009D56B8">
              <w:rPr>
                <w:szCs w:val="22"/>
                <w:lang w:val="en-US"/>
              </w:rPr>
              <w:t>Legemiddelindusert leverskade</w:t>
            </w:r>
          </w:p>
        </w:tc>
        <w:tc>
          <w:tcPr>
            <w:tcW w:w="3073" w:type="dxa"/>
            <w:tcBorders>
              <w:top w:val="single" w:sz="4" w:space="0" w:color="000000"/>
              <w:left w:val="single" w:sz="4" w:space="0" w:color="000000"/>
              <w:bottom w:val="single" w:sz="4" w:space="0" w:color="000000"/>
              <w:right w:val="single" w:sz="4" w:space="0" w:color="000000"/>
            </w:tcBorders>
            <w:vAlign w:val="center"/>
          </w:tcPr>
          <w:p w14:paraId="0D4D58D8" w14:textId="4B06B64C" w:rsidR="00E50867" w:rsidRPr="009D56B8" w:rsidRDefault="00363A1F" w:rsidP="008E40D3">
            <w:pPr>
              <w:snapToGrid w:val="0"/>
              <w:rPr>
                <w:szCs w:val="22"/>
                <w:lang w:val="nb-NO"/>
              </w:rPr>
            </w:pPr>
            <w:r w:rsidRPr="009D56B8">
              <w:rPr>
                <w:szCs w:val="22"/>
                <w:lang w:val="nb-NO"/>
              </w:rPr>
              <w:t>Sjeldne</w:t>
            </w:r>
          </w:p>
        </w:tc>
      </w:tr>
      <w:tr w:rsidR="009D56B8" w:rsidRPr="009D56B8" w14:paraId="542262E6" w14:textId="77777777" w:rsidTr="00513CD0">
        <w:trPr>
          <w:cantSplit/>
        </w:trPr>
        <w:tc>
          <w:tcPr>
            <w:tcW w:w="3071" w:type="dxa"/>
            <w:vMerge w:val="restart"/>
            <w:tcBorders>
              <w:top w:val="single" w:sz="4" w:space="0" w:color="000000"/>
              <w:left w:val="single" w:sz="4" w:space="0" w:color="000000"/>
            </w:tcBorders>
          </w:tcPr>
          <w:p w14:paraId="4C9F5AD4" w14:textId="0A88276D" w:rsidR="00D178F8" w:rsidRPr="009D56B8" w:rsidRDefault="00D178F8" w:rsidP="00521D5D">
            <w:pPr>
              <w:keepNext/>
              <w:autoSpaceDE w:val="0"/>
              <w:snapToGrid w:val="0"/>
              <w:rPr>
                <w:szCs w:val="22"/>
                <w:lang w:val="nb-NO"/>
              </w:rPr>
            </w:pPr>
            <w:r w:rsidRPr="009D56B8">
              <w:rPr>
                <w:szCs w:val="22"/>
                <w:lang w:val="nb-NO"/>
              </w:rPr>
              <w:t>Hud- og underhudssykdommer</w:t>
            </w:r>
          </w:p>
        </w:tc>
        <w:tc>
          <w:tcPr>
            <w:tcW w:w="3073" w:type="dxa"/>
            <w:tcBorders>
              <w:top w:val="single" w:sz="4" w:space="0" w:color="000000"/>
              <w:left w:val="single" w:sz="4" w:space="0" w:color="000000"/>
              <w:bottom w:val="single" w:sz="4" w:space="0" w:color="000000"/>
            </w:tcBorders>
            <w:vAlign w:val="center"/>
          </w:tcPr>
          <w:p w14:paraId="186C4AA3" w14:textId="77777777" w:rsidR="00D178F8" w:rsidRPr="009D56B8" w:rsidRDefault="00D178F8" w:rsidP="00521D5D">
            <w:pPr>
              <w:keepNext/>
              <w:autoSpaceDE w:val="0"/>
              <w:snapToGrid w:val="0"/>
              <w:rPr>
                <w:szCs w:val="22"/>
                <w:lang w:val="nb-NO"/>
              </w:rPr>
            </w:pPr>
            <w:r w:rsidRPr="009D56B8">
              <w:rPr>
                <w:szCs w:val="22"/>
                <w:lang w:val="nb-NO"/>
              </w:rPr>
              <w:t>Pruritus</w:t>
            </w:r>
          </w:p>
        </w:tc>
        <w:tc>
          <w:tcPr>
            <w:tcW w:w="3073" w:type="dxa"/>
            <w:tcBorders>
              <w:top w:val="single" w:sz="4" w:space="0" w:color="000000"/>
              <w:left w:val="single" w:sz="4" w:space="0" w:color="000000"/>
              <w:bottom w:val="single" w:sz="4" w:space="0" w:color="000000"/>
              <w:right w:val="single" w:sz="4" w:space="0" w:color="000000"/>
            </w:tcBorders>
            <w:vAlign w:val="center"/>
          </w:tcPr>
          <w:p w14:paraId="0D781DF8" w14:textId="77777777" w:rsidR="00D178F8" w:rsidRPr="009D56B8" w:rsidRDefault="00D178F8" w:rsidP="00521D5D">
            <w:pPr>
              <w:keepNext/>
              <w:snapToGrid w:val="0"/>
              <w:rPr>
                <w:szCs w:val="22"/>
                <w:lang w:val="nb-NO"/>
              </w:rPr>
            </w:pPr>
            <w:r w:rsidRPr="009D56B8">
              <w:rPr>
                <w:szCs w:val="22"/>
                <w:lang w:val="nb-NO"/>
              </w:rPr>
              <w:t>Vanlige</w:t>
            </w:r>
          </w:p>
        </w:tc>
      </w:tr>
      <w:tr w:rsidR="009D56B8" w:rsidRPr="009D56B8" w14:paraId="2E2590D0" w14:textId="77777777" w:rsidTr="00513CD0">
        <w:trPr>
          <w:cantSplit/>
        </w:trPr>
        <w:tc>
          <w:tcPr>
            <w:tcW w:w="3071" w:type="dxa"/>
            <w:vMerge/>
            <w:tcBorders>
              <w:left w:val="single" w:sz="4" w:space="0" w:color="000000"/>
            </w:tcBorders>
          </w:tcPr>
          <w:p w14:paraId="4638E70C" w14:textId="77777777" w:rsidR="00D178F8" w:rsidRPr="009D56B8" w:rsidRDefault="00D178F8" w:rsidP="00521D5D">
            <w:pPr>
              <w:keepNext/>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10049ADE" w14:textId="77777777" w:rsidR="00D178F8" w:rsidRPr="009D56B8" w:rsidRDefault="00D178F8" w:rsidP="00521D5D">
            <w:pPr>
              <w:keepNext/>
              <w:autoSpaceDE w:val="0"/>
              <w:snapToGrid w:val="0"/>
              <w:rPr>
                <w:szCs w:val="22"/>
                <w:lang w:val="nb-NO"/>
              </w:rPr>
            </w:pPr>
            <w:r w:rsidRPr="009D56B8">
              <w:rPr>
                <w:szCs w:val="22"/>
                <w:lang w:val="nb-NO"/>
              </w:rPr>
              <w:t>Utslett</w:t>
            </w:r>
          </w:p>
        </w:tc>
        <w:tc>
          <w:tcPr>
            <w:tcW w:w="3073" w:type="dxa"/>
            <w:tcBorders>
              <w:top w:val="single" w:sz="4" w:space="0" w:color="000000"/>
              <w:left w:val="single" w:sz="4" w:space="0" w:color="000000"/>
              <w:bottom w:val="single" w:sz="4" w:space="0" w:color="000000"/>
              <w:right w:val="single" w:sz="4" w:space="0" w:color="000000"/>
            </w:tcBorders>
            <w:vAlign w:val="center"/>
          </w:tcPr>
          <w:p w14:paraId="1BB5F285" w14:textId="77777777" w:rsidR="00D178F8" w:rsidRPr="009D56B8" w:rsidRDefault="00D178F8" w:rsidP="00521D5D">
            <w:pPr>
              <w:keepNext/>
              <w:snapToGrid w:val="0"/>
              <w:rPr>
                <w:szCs w:val="22"/>
                <w:lang w:val="nb-NO"/>
              </w:rPr>
            </w:pPr>
            <w:r w:rsidRPr="009D56B8">
              <w:rPr>
                <w:szCs w:val="22"/>
                <w:lang w:val="nb-NO"/>
              </w:rPr>
              <w:t>Vanlige</w:t>
            </w:r>
          </w:p>
        </w:tc>
      </w:tr>
      <w:tr w:rsidR="009D56B8" w:rsidRPr="009D56B8" w14:paraId="0B327A28" w14:textId="77777777" w:rsidTr="00513CD0">
        <w:trPr>
          <w:cantSplit/>
        </w:trPr>
        <w:tc>
          <w:tcPr>
            <w:tcW w:w="3071" w:type="dxa"/>
            <w:vMerge/>
            <w:tcBorders>
              <w:left w:val="single" w:sz="4" w:space="0" w:color="000000"/>
            </w:tcBorders>
          </w:tcPr>
          <w:p w14:paraId="723153C0" w14:textId="77777777" w:rsidR="00D178F8" w:rsidRPr="009D56B8" w:rsidRDefault="00D178F8" w:rsidP="00513CD0">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6966E4EF" w14:textId="77777777" w:rsidR="00D178F8" w:rsidRPr="009D56B8" w:rsidRDefault="00D178F8" w:rsidP="00513CD0">
            <w:pPr>
              <w:autoSpaceDE w:val="0"/>
              <w:snapToGrid w:val="0"/>
              <w:rPr>
                <w:szCs w:val="22"/>
                <w:lang w:val="nb-NO"/>
              </w:rPr>
            </w:pPr>
            <w:r w:rsidRPr="009D56B8">
              <w:rPr>
                <w:szCs w:val="22"/>
                <w:lang w:val="nb-NO"/>
              </w:rPr>
              <w:t>Erytem</w:t>
            </w:r>
          </w:p>
        </w:tc>
        <w:tc>
          <w:tcPr>
            <w:tcW w:w="3073" w:type="dxa"/>
            <w:tcBorders>
              <w:top w:val="single" w:sz="4" w:space="0" w:color="000000"/>
              <w:left w:val="single" w:sz="4" w:space="0" w:color="000000"/>
              <w:bottom w:val="single" w:sz="4" w:space="0" w:color="000000"/>
              <w:right w:val="single" w:sz="4" w:space="0" w:color="000000"/>
            </w:tcBorders>
            <w:vAlign w:val="center"/>
          </w:tcPr>
          <w:p w14:paraId="2B698C27" w14:textId="77777777" w:rsidR="00D178F8" w:rsidRPr="009D56B8" w:rsidRDefault="00D178F8" w:rsidP="00513CD0">
            <w:pPr>
              <w:snapToGrid w:val="0"/>
              <w:rPr>
                <w:szCs w:val="22"/>
                <w:lang w:val="nb-NO"/>
              </w:rPr>
            </w:pPr>
            <w:r w:rsidRPr="009D56B8">
              <w:rPr>
                <w:szCs w:val="22"/>
                <w:lang w:val="nb-NO"/>
              </w:rPr>
              <w:t>Vanlige</w:t>
            </w:r>
          </w:p>
        </w:tc>
      </w:tr>
      <w:tr w:rsidR="009D56B8" w:rsidRPr="009D56B8" w14:paraId="0E1AE02E" w14:textId="77777777" w:rsidTr="00513CD0">
        <w:trPr>
          <w:cantSplit/>
        </w:trPr>
        <w:tc>
          <w:tcPr>
            <w:tcW w:w="3071" w:type="dxa"/>
            <w:vMerge/>
            <w:tcBorders>
              <w:left w:val="single" w:sz="4" w:space="0" w:color="000000"/>
              <w:bottom w:val="single" w:sz="4" w:space="0" w:color="000000"/>
            </w:tcBorders>
          </w:tcPr>
          <w:p w14:paraId="6AB2C385" w14:textId="77777777" w:rsidR="00D178F8" w:rsidRPr="009D56B8" w:rsidRDefault="00D178F8" w:rsidP="00513CD0">
            <w:pPr>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6703AD9D" w14:textId="6AE4C155" w:rsidR="00D178F8" w:rsidRPr="009D56B8" w:rsidRDefault="00D178F8" w:rsidP="00513CD0">
            <w:pPr>
              <w:autoSpaceDE w:val="0"/>
              <w:snapToGrid w:val="0"/>
              <w:rPr>
                <w:szCs w:val="22"/>
                <w:lang w:val="nb-NO"/>
              </w:rPr>
            </w:pPr>
            <w:r w:rsidRPr="009D56B8">
              <w:rPr>
                <w:szCs w:val="22"/>
                <w:lang w:val="nb-NO"/>
              </w:rPr>
              <w:t>Alopesi</w:t>
            </w:r>
          </w:p>
        </w:tc>
        <w:tc>
          <w:tcPr>
            <w:tcW w:w="3073" w:type="dxa"/>
            <w:tcBorders>
              <w:top w:val="single" w:sz="4" w:space="0" w:color="000000"/>
              <w:left w:val="single" w:sz="4" w:space="0" w:color="000000"/>
              <w:bottom w:val="single" w:sz="4" w:space="0" w:color="000000"/>
              <w:right w:val="single" w:sz="4" w:space="0" w:color="000000"/>
            </w:tcBorders>
            <w:vAlign w:val="center"/>
          </w:tcPr>
          <w:p w14:paraId="13285A3F" w14:textId="261771FA" w:rsidR="00D178F8" w:rsidRPr="009D56B8" w:rsidRDefault="00D178F8" w:rsidP="00513CD0">
            <w:pPr>
              <w:snapToGrid w:val="0"/>
              <w:rPr>
                <w:szCs w:val="22"/>
                <w:lang w:val="nb-NO"/>
              </w:rPr>
            </w:pPr>
            <w:r w:rsidRPr="009D56B8">
              <w:rPr>
                <w:szCs w:val="22"/>
                <w:lang w:val="nb-NO"/>
              </w:rPr>
              <w:t>Vanlige</w:t>
            </w:r>
          </w:p>
        </w:tc>
      </w:tr>
      <w:tr w:rsidR="009D56B8" w:rsidRPr="009D56B8" w14:paraId="052FE343" w14:textId="77777777" w:rsidTr="00513CD0">
        <w:trPr>
          <w:cantSplit/>
        </w:trPr>
        <w:tc>
          <w:tcPr>
            <w:tcW w:w="3071" w:type="dxa"/>
            <w:tcBorders>
              <w:top w:val="single" w:sz="4" w:space="0" w:color="000000"/>
              <w:left w:val="single" w:sz="4" w:space="0" w:color="000000"/>
              <w:bottom w:val="single" w:sz="4" w:space="0" w:color="000000"/>
            </w:tcBorders>
          </w:tcPr>
          <w:p w14:paraId="70F3A2A6" w14:textId="77777777" w:rsidR="00E50867" w:rsidRPr="009D56B8" w:rsidRDefault="00C770E8">
            <w:pPr>
              <w:keepNext/>
              <w:autoSpaceDE w:val="0"/>
              <w:snapToGrid w:val="0"/>
              <w:rPr>
                <w:szCs w:val="22"/>
                <w:lang w:val="nb-NO"/>
              </w:rPr>
            </w:pPr>
            <w:r w:rsidRPr="009D56B8">
              <w:rPr>
                <w:szCs w:val="22"/>
                <w:lang w:val="nb-NO"/>
              </w:rPr>
              <w:t>Sykdommer i nyre og urinveier</w:t>
            </w:r>
          </w:p>
        </w:tc>
        <w:tc>
          <w:tcPr>
            <w:tcW w:w="3073" w:type="dxa"/>
            <w:tcBorders>
              <w:top w:val="single" w:sz="4" w:space="0" w:color="000000"/>
              <w:left w:val="single" w:sz="4" w:space="0" w:color="000000"/>
              <w:bottom w:val="single" w:sz="4" w:space="0" w:color="000000"/>
            </w:tcBorders>
            <w:vAlign w:val="center"/>
          </w:tcPr>
          <w:p w14:paraId="4DB39D82" w14:textId="77777777" w:rsidR="00E50867" w:rsidRPr="009D56B8" w:rsidRDefault="00C770E8">
            <w:pPr>
              <w:keepNext/>
              <w:autoSpaceDE w:val="0"/>
              <w:snapToGrid w:val="0"/>
              <w:rPr>
                <w:szCs w:val="22"/>
                <w:lang w:val="nb-NO"/>
              </w:rPr>
            </w:pPr>
            <w:r w:rsidRPr="009D56B8">
              <w:rPr>
                <w:szCs w:val="22"/>
                <w:lang w:val="nb-NO"/>
              </w:rPr>
              <w:t>Proteinuri</w:t>
            </w:r>
          </w:p>
        </w:tc>
        <w:tc>
          <w:tcPr>
            <w:tcW w:w="3073" w:type="dxa"/>
            <w:tcBorders>
              <w:top w:val="single" w:sz="4" w:space="0" w:color="000000"/>
              <w:left w:val="single" w:sz="4" w:space="0" w:color="000000"/>
              <w:bottom w:val="single" w:sz="4" w:space="0" w:color="000000"/>
              <w:right w:val="single" w:sz="4" w:space="0" w:color="000000"/>
            </w:tcBorders>
            <w:vAlign w:val="center"/>
          </w:tcPr>
          <w:p w14:paraId="7EAE70F2" w14:textId="5E173944" w:rsidR="00E50867" w:rsidRPr="009D56B8" w:rsidRDefault="00C770E8">
            <w:pPr>
              <w:keepNext/>
              <w:snapToGrid w:val="0"/>
              <w:rPr>
                <w:szCs w:val="22"/>
                <w:lang w:val="nb-NO"/>
              </w:rPr>
            </w:pPr>
            <w:r w:rsidRPr="009D56B8">
              <w:rPr>
                <w:szCs w:val="22"/>
                <w:lang w:val="nb-NO"/>
              </w:rPr>
              <w:t>Vanlige</w:t>
            </w:r>
          </w:p>
        </w:tc>
      </w:tr>
      <w:tr w:rsidR="009D56B8" w:rsidRPr="009D56B8" w14:paraId="3DAE0392" w14:textId="77777777" w:rsidTr="00513CD0">
        <w:trPr>
          <w:cantSplit/>
        </w:trPr>
        <w:tc>
          <w:tcPr>
            <w:tcW w:w="3071" w:type="dxa"/>
            <w:tcBorders>
              <w:top w:val="single" w:sz="4" w:space="0" w:color="000000"/>
              <w:left w:val="single" w:sz="4" w:space="0" w:color="000000"/>
              <w:bottom w:val="single" w:sz="4" w:space="0" w:color="000000"/>
            </w:tcBorders>
          </w:tcPr>
          <w:p w14:paraId="192E31D2" w14:textId="77777777" w:rsidR="00E50867" w:rsidRPr="009D56B8" w:rsidRDefault="00C770E8">
            <w:pPr>
              <w:keepNext/>
              <w:autoSpaceDE w:val="0"/>
              <w:snapToGrid w:val="0"/>
              <w:rPr>
                <w:szCs w:val="22"/>
                <w:lang w:val="nb-NO"/>
              </w:rPr>
            </w:pPr>
            <w:r w:rsidRPr="009D56B8">
              <w:rPr>
                <w:szCs w:val="22"/>
                <w:lang w:val="nb-NO"/>
              </w:rPr>
              <w:t>Generelle lidelser og reaksjoner på administrasjonsstedet</w:t>
            </w:r>
          </w:p>
        </w:tc>
        <w:tc>
          <w:tcPr>
            <w:tcW w:w="3073" w:type="dxa"/>
            <w:tcBorders>
              <w:top w:val="single" w:sz="4" w:space="0" w:color="000000"/>
              <w:left w:val="single" w:sz="4" w:space="0" w:color="000000"/>
              <w:bottom w:val="single" w:sz="4" w:space="0" w:color="000000"/>
            </w:tcBorders>
            <w:vAlign w:val="center"/>
          </w:tcPr>
          <w:p w14:paraId="1C3A0CC6" w14:textId="77777777" w:rsidR="00E50867" w:rsidRPr="009D56B8" w:rsidRDefault="00C770E8">
            <w:pPr>
              <w:keepNext/>
              <w:autoSpaceDE w:val="0"/>
              <w:snapToGrid w:val="0"/>
              <w:rPr>
                <w:szCs w:val="22"/>
                <w:lang w:val="nb-NO"/>
              </w:rPr>
            </w:pPr>
            <w:r w:rsidRPr="009D56B8">
              <w:rPr>
                <w:szCs w:val="22"/>
                <w:lang w:val="nb-NO"/>
              </w:rPr>
              <w:t>Varmefølelse</w:t>
            </w:r>
          </w:p>
        </w:tc>
        <w:tc>
          <w:tcPr>
            <w:tcW w:w="3073" w:type="dxa"/>
            <w:tcBorders>
              <w:top w:val="single" w:sz="4" w:space="0" w:color="000000"/>
              <w:left w:val="single" w:sz="4" w:space="0" w:color="000000"/>
              <w:bottom w:val="single" w:sz="4" w:space="0" w:color="000000"/>
              <w:right w:val="single" w:sz="4" w:space="0" w:color="000000"/>
            </w:tcBorders>
            <w:vAlign w:val="center"/>
          </w:tcPr>
          <w:p w14:paraId="7A08C657" w14:textId="77777777" w:rsidR="00E50867" w:rsidRPr="009D56B8" w:rsidRDefault="00C770E8">
            <w:pPr>
              <w:keepNext/>
              <w:snapToGrid w:val="0"/>
              <w:rPr>
                <w:szCs w:val="22"/>
                <w:lang w:val="nb-NO"/>
              </w:rPr>
            </w:pPr>
            <w:r w:rsidRPr="009D56B8">
              <w:rPr>
                <w:szCs w:val="22"/>
                <w:lang w:val="nb-NO"/>
              </w:rPr>
              <w:t>Vanlige</w:t>
            </w:r>
          </w:p>
        </w:tc>
      </w:tr>
      <w:tr w:rsidR="009D56B8" w:rsidRPr="009D56B8" w14:paraId="5413FCA0" w14:textId="77777777" w:rsidTr="00513CD0">
        <w:trPr>
          <w:cantSplit/>
        </w:trPr>
        <w:tc>
          <w:tcPr>
            <w:tcW w:w="3071" w:type="dxa"/>
            <w:vMerge w:val="restart"/>
            <w:tcBorders>
              <w:top w:val="single" w:sz="4" w:space="0" w:color="000000"/>
              <w:left w:val="single" w:sz="4" w:space="0" w:color="000000"/>
              <w:bottom w:val="single" w:sz="4" w:space="0" w:color="000000"/>
            </w:tcBorders>
          </w:tcPr>
          <w:p w14:paraId="57CBDD91" w14:textId="77777777" w:rsidR="00E50867" w:rsidRPr="009D56B8" w:rsidRDefault="00C770E8">
            <w:pPr>
              <w:keepNext/>
              <w:autoSpaceDE w:val="0"/>
              <w:snapToGrid w:val="0"/>
              <w:rPr>
                <w:szCs w:val="22"/>
                <w:lang w:val="nb-NO"/>
              </w:rPr>
            </w:pPr>
            <w:r w:rsidRPr="009D56B8">
              <w:rPr>
                <w:szCs w:val="22"/>
                <w:lang w:val="nb-NO"/>
              </w:rPr>
              <w:t>Undersøkelser</w:t>
            </w:r>
          </w:p>
        </w:tc>
        <w:tc>
          <w:tcPr>
            <w:tcW w:w="3073" w:type="dxa"/>
            <w:tcBorders>
              <w:top w:val="single" w:sz="4" w:space="0" w:color="000000"/>
              <w:left w:val="single" w:sz="4" w:space="0" w:color="000000"/>
              <w:bottom w:val="single" w:sz="4" w:space="0" w:color="000000"/>
            </w:tcBorders>
            <w:vAlign w:val="center"/>
          </w:tcPr>
          <w:p w14:paraId="42FFE23C" w14:textId="77777777" w:rsidR="00E50867" w:rsidRPr="009D56B8" w:rsidRDefault="00C770E8">
            <w:pPr>
              <w:keepNext/>
              <w:autoSpaceDE w:val="0"/>
              <w:snapToGrid w:val="0"/>
              <w:rPr>
                <w:szCs w:val="22"/>
                <w:lang w:val="nb-NO"/>
              </w:rPr>
            </w:pPr>
            <w:r w:rsidRPr="009D56B8">
              <w:rPr>
                <w:szCs w:val="22"/>
                <w:lang w:val="nb-NO"/>
              </w:rPr>
              <w:t>Ketoner i urinen</w:t>
            </w:r>
          </w:p>
        </w:tc>
        <w:tc>
          <w:tcPr>
            <w:tcW w:w="3073" w:type="dxa"/>
            <w:tcBorders>
              <w:top w:val="single" w:sz="4" w:space="0" w:color="000000"/>
              <w:left w:val="single" w:sz="4" w:space="0" w:color="000000"/>
              <w:bottom w:val="single" w:sz="4" w:space="0" w:color="000000"/>
              <w:right w:val="single" w:sz="4" w:space="0" w:color="000000"/>
            </w:tcBorders>
            <w:vAlign w:val="center"/>
          </w:tcPr>
          <w:p w14:paraId="6D96FA7A" w14:textId="77777777" w:rsidR="00E50867" w:rsidRPr="009D56B8" w:rsidRDefault="00C770E8">
            <w:pPr>
              <w:keepNext/>
              <w:snapToGrid w:val="0"/>
              <w:rPr>
                <w:szCs w:val="22"/>
                <w:lang w:val="nb-NO"/>
              </w:rPr>
            </w:pPr>
            <w:r w:rsidRPr="009D56B8">
              <w:rPr>
                <w:szCs w:val="22"/>
                <w:lang w:val="nb-NO"/>
              </w:rPr>
              <w:t>Svært vanlige</w:t>
            </w:r>
          </w:p>
        </w:tc>
      </w:tr>
      <w:tr w:rsidR="009D56B8" w:rsidRPr="009D56B8" w14:paraId="2A7A33DE" w14:textId="77777777" w:rsidTr="00513CD0">
        <w:trPr>
          <w:cantSplit/>
        </w:trPr>
        <w:tc>
          <w:tcPr>
            <w:tcW w:w="3071" w:type="dxa"/>
            <w:vMerge/>
            <w:tcBorders>
              <w:top w:val="single" w:sz="4" w:space="0" w:color="000000"/>
              <w:left w:val="single" w:sz="4" w:space="0" w:color="000000"/>
              <w:bottom w:val="single" w:sz="4" w:space="0" w:color="000000"/>
            </w:tcBorders>
          </w:tcPr>
          <w:p w14:paraId="1DCF6BF4" w14:textId="77777777" w:rsidR="00E50867" w:rsidRPr="009D56B8" w:rsidRDefault="00E50867">
            <w:pPr>
              <w:keepNext/>
              <w:autoSpaceDE w:val="0"/>
              <w:snapToGrid w:val="0"/>
              <w:rPr>
                <w:szCs w:val="22"/>
                <w:lang w:val="nb-NO"/>
              </w:rPr>
            </w:pPr>
          </w:p>
        </w:tc>
        <w:tc>
          <w:tcPr>
            <w:tcW w:w="3073" w:type="dxa"/>
            <w:tcBorders>
              <w:top w:val="single" w:sz="4" w:space="0" w:color="000000"/>
              <w:left w:val="single" w:sz="4" w:space="0" w:color="000000"/>
              <w:bottom w:val="single" w:sz="4" w:space="0" w:color="000000"/>
            </w:tcBorders>
            <w:vAlign w:val="center"/>
          </w:tcPr>
          <w:p w14:paraId="396D43B6" w14:textId="77777777" w:rsidR="00E50867" w:rsidRPr="009D56B8" w:rsidRDefault="00C770E8">
            <w:pPr>
              <w:keepNext/>
              <w:autoSpaceDE w:val="0"/>
              <w:snapToGrid w:val="0"/>
              <w:rPr>
                <w:szCs w:val="22"/>
                <w:lang w:val="nb-NO"/>
              </w:rPr>
            </w:pPr>
            <w:r w:rsidRPr="009D56B8">
              <w:rPr>
                <w:szCs w:val="22"/>
                <w:lang w:val="nb-NO"/>
              </w:rPr>
              <w:t>Albumin i urin</w:t>
            </w:r>
          </w:p>
        </w:tc>
        <w:tc>
          <w:tcPr>
            <w:tcW w:w="3073" w:type="dxa"/>
            <w:tcBorders>
              <w:top w:val="single" w:sz="4" w:space="0" w:color="000000"/>
              <w:left w:val="single" w:sz="4" w:space="0" w:color="000000"/>
              <w:bottom w:val="single" w:sz="4" w:space="0" w:color="000000"/>
              <w:right w:val="single" w:sz="4" w:space="0" w:color="000000"/>
            </w:tcBorders>
            <w:vAlign w:val="center"/>
          </w:tcPr>
          <w:p w14:paraId="2FCB6F51" w14:textId="77777777" w:rsidR="00E50867" w:rsidRPr="009D56B8" w:rsidRDefault="00C770E8">
            <w:pPr>
              <w:keepNext/>
              <w:snapToGrid w:val="0"/>
              <w:rPr>
                <w:szCs w:val="22"/>
                <w:lang w:val="nb-NO"/>
              </w:rPr>
            </w:pPr>
            <w:r w:rsidRPr="009D56B8">
              <w:rPr>
                <w:szCs w:val="22"/>
                <w:lang w:val="nb-NO"/>
              </w:rPr>
              <w:t>Vanlige</w:t>
            </w:r>
          </w:p>
        </w:tc>
      </w:tr>
      <w:tr w:rsidR="004807CD" w:rsidRPr="009D56B8" w14:paraId="3EDC5970" w14:textId="77777777" w:rsidTr="00513CD0">
        <w:trPr>
          <w:cantSplit/>
        </w:trPr>
        <w:tc>
          <w:tcPr>
            <w:tcW w:w="3071" w:type="dxa"/>
            <w:vMerge/>
            <w:tcBorders>
              <w:top w:val="single" w:sz="4" w:space="0" w:color="000000"/>
              <w:left w:val="single" w:sz="4" w:space="0" w:color="000000"/>
              <w:bottom w:val="single" w:sz="4" w:space="0" w:color="000000"/>
            </w:tcBorders>
            <w:vAlign w:val="center"/>
          </w:tcPr>
          <w:p w14:paraId="2D24A364" w14:textId="77777777" w:rsidR="00E50867" w:rsidRPr="009D56B8" w:rsidRDefault="00E50867">
            <w:pPr>
              <w:keepNext/>
              <w:autoSpaceDE w:val="0"/>
              <w:snapToGrid w:val="0"/>
              <w:rPr>
                <w:b/>
                <w:szCs w:val="22"/>
                <w:lang w:val="nb-NO"/>
              </w:rPr>
            </w:pPr>
          </w:p>
        </w:tc>
        <w:tc>
          <w:tcPr>
            <w:tcW w:w="3073" w:type="dxa"/>
            <w:tcBorders>
              <w:top w:val="single" w:sz="4" w:space="0" w:color="000000"/>
              <w:left w:val="single" w:sz="4" w:space="0" w:color="000000"/>
              <w:bottom w:val="single" w:sz="4" w:space="0" w:color="000000"/>
            </w:tcBorders>
            <w:vAlign w:val="center"/>
          </w:tcPr>
          <w:p w14:paraId="719D01B3" w14:textId="77777777" w:rsidR="00E50867" w:rsidRPr="009D56B8" w:rsidRDefault="00C770E8">
            <w:pPr>
              <w:keepNext/>
              <w:autoSpaceDE w:val="0"/>
              <w:snapToGrid w:val="0"/>
              <w:rPr>
                <w:szCs w:val="22"/>
                <w:lang w:val="nb-NO"/>
              </w:rPr>
            </w:pPr>
            <w:r w:rsidRPr="009D56B8">
              <w:rPr>
                <w:szCs w:val="22"/>
                <w:lang w:val="nb-NO"/>
              </w:rPr>
              <w:t>Redusert antall hvite blodceller</w:t>
            </w:r>
          </w:p>
        </w:tc>
        <w:tc>
          <w:tcPr>
            <w:tcW w:w="3073" w:type="dxa"/>
            <w:tcBorders>
              <w:top w:val="single" w:sz="4" w:space="0" w:color="000000"/>
              <w:left w:val="single" w:sz="4" w:space="0" w:color="000000"/>
              <w:bottom w:val="single" w:sz="4" w:space="0" w:color="000000"/>
              <w:right w:val="single" w:sz="4" w:space="0" w:color="000000"/>
            </w:tcBorders>
            <w:vAlign w:val="center"/>
          </w:tcPr>
          <w:p w14:paraId="2F573015" w14:textId="77777777" w:rsidR="00E50867" w:rsidRPr="009D56B8" w:rsidRDefault="00C770E8">
            <w:pPr>
              <w:keepNext/>
              <w:snapToGrid w:val="0"/>
              <w:rPr>
                <w:szCs w:val="22"/>
                <w:lang w:val="nb-NO"/>
              </w:rPr>
            </w:pPr>
            <w:r w:rsidRPr="009D56B8">
              <w:rPr>
                <w:szCs w:val="22"/>
                <w:lang w:val="nb-NO"/>
              </w:rPr>
              <w:t>Vanlige</w:t>
            </w:r>
          </w:p>
        </w:tc>
      </w:tr>
    </w:tbl>
    <w:p w14:paraId="20557D67" w14:textId="77777777" w:rsidR="003B4140" w:rsidRPr="009D56B8" w:rsidRDefault="003B4140" w:rsidP="003B4140">
      <w:pPr>
        <w:pStyle w:val="Default"/>
        <w:rPr>
          <w:b/>
          <w:bCs/>
          <w:i/>
          <w:iCs/>
          <w:color w:val="auto"/>
          <w:sz w:val="14"/>
          <w:szCs w:val="14"/>
          <w:vertAlign w:val="superscript"/>
        </w:rPr>
      </w:pPr>
    </w:p>
    <w:p w14:paraId="7DD50D54" w14:textId="77777777" w:rsidR="00E50867" w:rsidRPr="009D56B8" w:rsidRDefault="00E50867" w:rsidP="008E40D3">
      <w:pPr>
        <w:pStyle w:val="Default"/>
        <w:rPr>
          <w:iCs/>
          <w:color w:val="auto"/>
          <w:sz w:val="22"/>
          <w:lang w:val="nb-NO"/>
        </w:rPr>
      </w:pPr>
    </w:p>
    <w:p w14:paraId="716D412E" w14:textId="77777777" w:rsidR="00E50867" w:rsidRPr="009D56B8" w:rsidRDefault="00C770E8">
      <w:pPr>
        <w:keepNext/>
        <w:rPr>
          <w:szCs w:val="22"/>
          <w:u w:val="single"/>
          <w:lang w:val="nb-NO"/>
        </w:rPr>
      </w:pPr>
      <w:r w:rsidRPr="009D56B8">
        <w:rPr>
          <w:szCs w:val="22"/>
          <w:u w:val="single"/>
          <w:lang w:val="nb-NO"/>
        </w:rPr>
        <w:t>Beskrivelse av utvalgte bivirkninger</w:t>
      </w:r>
    </w:p>
    <w:p w14:paraId="076A70AF" w14:textId="77777777" w:rsidR="00E50867" w:rsidRPr="009D56B8" w:rsidRDefault="00E50867">
      <w:pPr>
        <w:keepNext/>
        <w:rPr>
          <w:szCs w:val="22"/>
          <w:lang w:val="nb-NO"/>
        </w:rPr>
      </w:pPr>
    </w:p>
    <w:p w14:paraId="19719D81" w14:textId="77777777" w:rsidR="00E50867" w:rsidRPr="009D56B8" w:rsidRDefault="00C770E8">
      <w:pPr>
        <w:keepNext/>
        <w:rPr>
          <w:i/>
          <w:szCs w:val="22"/>
          <w:lang w:val="nb-NO"/>
        </w:rPr>
      </w:pPr>
      <w:r w:rsidRPr="009D56B8">
        <w:rPr>
          <w:i/>
          <w:szCs w:val="22"/>
          <w:lang w:val="nb-NO"/>
        </w:rPr>
        <w:t>Flushing</w:t>
      </w:r>
    </w:p>
    <w:p w14:paraId="36B40C9F" w14:textId="77777777" w:rsidR="00E50867" w:rsidRPr="009D56B8" w:rsidRDefault="00E50867">
      <w:pPr>
        <w:keepNext/>
        <w:rPr>
          <w:i/>
          <w:szCs w:val="22"/>
          <w:lang w:val="nb-NO"/>
        </w:rPr>
      </w:pPr>
    </w:p>
    <w:p w14:paraId="3454F06D" w14:textId="6AC63DD7" w:rsidR="00E50867" w:rsidRPr="009D56B8" w:rsidRDefault="00C770E8">
      <w:pPr>
        <w:rPr>
          <w:szCs w:val="22"/>
          <w:lang w:val="nb-NO"/>
        </w:rPr>
      </w:pPr>
      <w:r w:rsidRPr="009D56B8">
        <w:rPr>
          <w:szCs w:val="22"/>
          <w:lang w:val="nb-NO"/>
        </w:rPr>
        <w:t xml:space="preserve">I placebokontrollerte studier økte insidensen av flushing (34 % versus 4 %) og hetetokter (7 % versus 2 %) hos pasienter behandlet med </w:t>
      </w:r>
      <w:r w:rsidR="00BB4775" w:rsidRPr="009D56B8">
        <w:rPr>
          <w:szCs w:val="22"/>
          <w:lang w:val="nb-NO"/>
        </w:rPr>
        <w:t>dimetylfumarat</w:t>
      </w:r>
      <w:r w:rsidRPr="009D56B8">
        <w:rPr>
          <w:szCs w:val="22"/>
          <w:lang w:val="nb-NO"/>
        </w:rPr>
        <w:t xml:space="preserve"> sammenlignet med placebo. Flushing blir vanligvis beskrevet som rødming eller hetetokter, men kan inkludere andre bivirkninger (f.eks. varme, rødhet, kløe og svie). Flushing begynner vanligvis tidlig i behandlingsforløpet (hovedsakelig i den første måneden), og hos pasienter som opplever flushing, kan disse bivirkningene forekomme gjentatte ganger under hele behandlingen med </w:t>
      </w:r>
      <w:r w:rsidR="00BB4775" w:rsidRPr="009D56B8">
        <w:rPr>
          <w:szCs w:val="22"/>
          <w:lang w:val="nb-NO"/>
        </w:rPr>
        <w:t>dimetylfumarat</w:t>
      </w:r>
      <w:r w:rsidRPr="009D56B8">
        <w:rPr>
          <w:szCs w:val="22"/>
          <w:lang w:val="nb-NO"/>
        </w:rPr>
        <w:t xml:space="preserve">. Hos pasienter som opplevde flushing, hadde flesteparten flushing av mild eller moderat alvorlighetsgrad. </w:t>
      </w:r>
      <w:r w:rsidR="00BB4775" w:rsidRPr="009D56B8">
        <w:rPr>
          <w:szCs w:val="22"/>
          <w:lang w:val="nb-NO"/>
        </w:rPr>
        <w:t>Dimetylfumarat</w:t>
      </w:r>
      <w:r w:rsidRPr="009D56B8">
        <w:rPr>
          <w:szCs w:val="22"/>
          <w:lang w:val="nb-NO"/>
        </w:rPr>
        <w:t xml:space="preserve"> ble seponert på grunn av flushing hos totalt 3 %</w:t>
      </w:r>
      <w:r w:rsidR="002974CD" w:rsidRPr="009D56B8">
        <w:rPr>
          <w:szCs w:val="22"/>
          <w:lang w:val="nb-NO"/>
        </w:rPr>
        <w:t xml:space="preserve"> </w:t>
      </w:r>
      <w:r w:rsidRPr="009D56B8">
        <w:rPr>
          <w:szCs w:val="22"/>
          <w:lang w:val="nb-NO"/>
        </w:rPr>
        <w:t>av pasientene som ble behandlet. Insidensen av alvorlig flushing som kan være preget av generalisert erytem, utslett og/eller pruritus, ble sett hos &lt;</w:t>
      </w:r>
      <w:r w:rsidR="001753BB" w:rsidRPr="009D56B8">
        <w:rPr>
          <w:szCs w:val="22"/>
          <w:lang w:val="nb-NO"/>
        </w:rPr>
        <w:t> </w:t>
      </w:r>
      <w:r w:rsidRPr="009D56B8">
        <w:rPr>
          <w:szCs w:val="22"/>
          <w:lang w:val="nb-NO"/>
        </w:rPr>
        <w:t>1 %</w:t>
      </w:r>
      <w:r w:rsidR="002974CD" w:rsidRPr="009D56B8">
        <w:rPr>
          <w:szCs w:val="22"/>
          <w:lang w:val="nb-NO"/>
        </w:rPr>
        <w:t xml:space="preserve"> </w:t>
      </w:r>
      <w:r w:rsidRPr="009D56B8">
        <w:rPr>
          <w:szCs w:val="22"/>
          <w:lang w:val="nb-NO"/>
        </w:rPr>
        <w:t xml:space="preserve">av pasientene behandlet med </w:t>
      </w:r>
      <w:r w:rsidR="00BB4775" w:rsidRPr="009D56B8">
        <w:rPr>
          <w:szCs w:val="22"/>
          <w:lang w:val="nb-NO"/>
        </w:rPr>
        <w:t>dimetylfumarat</w:t>
      </w:r>
      <w:r w:rsidRPr="009D56B8">
        <w:rPr>
          <w:szCs w:val="22"/>
          <w:lang w:val="nb-NO"/>
        </w:rPr>
        <w:t xml:space="preserve"> (se pkt. 4.2, 4.4 og 4.5).</w:t>
      </w:r>
    </w:p>
    <w:p w14:paraId="39985612" w14:textId="77777777" w:rsidR="00E50867" w:rsidRPr="009D56B8" w:rsidRDefault="00E50867">
      <w:pPr>
        <w:rPr>
          <w:szCs w:val="22"/>
          <w:lang w:val="nb-NO"/>
        </w:rPr>
      </w:pPr>
    </w:p>
    <w:p w14:paraId="242ACD87" w14:textId="259C4C41" w:rsidR="00E50867" w:rsidRPr="009D56B8" w:rsidRDefault="00C770E8">
      <w:pPr>
        <w:keepNext/>
        <w:keepLines/>
        <w:rPr>
          <w:szCs w:val="22"/>
          <w:lang w:val="nb-NO"/>
        </w:rPr>
      </w:pPr>
      <w:r w:rsidRPr="009D56B8">
        <w:rPr>
          <w:i/>
          <w:szCs w:val="22"/>
          <w:lang w:val="nb-NO"/>
        </w:rPr>
        <w:t>Gastrointestinale</w:t>
      </w:r>
      <w:r w:rsidR="00FA313D" w:rsidRPr="009D56B8">
        <w:rPr>
          <w:i/>
          <w:szCs w:val="22"/>
          <w:lang w:val="nb-NO"/>
        </w:rPr>
        <w:t xml:space="preserve"> bivirkninger</w:t>
      </w:r>
    </w:p>
    <w:p w14:paraId="191B777B" w14:textId="77777777" w:rsidR="00E50867" w:rsidRPr="009D56B8" w:rsidRDefault="00E50867">
      <w:pPr>
        <w:keepNext/>
        <w:keepLines/>
        <w:rPr>
          <w:szCs w:val="22"/>
          <w:lang w:val="nb-NO"/>
        </w:rPr>
      </w:pPr>
    </w:p>
    <w:p w14:paraId="4DC36F71" w14:textId="383030C3" w:rsidR="00E50867" w:rsidRPr="009D56B8" w:rsidRDefault="00C770E8">
      <w:pPr>
        <w:keepNext/>
        <w:keepLines/>
        <w:rPr>
          <w:szCs w:val="22"/>
          <w:lang w:val="nb-NO"/>
        </w:rPr>
      </w:pPr>
      <w:r w:rsidRPr="009D56B8">
        <w:rPr>
          <w:szCs w:val="22"/>
          <w:lang w:val="nb-NO"/>
        </w:rPr>
        <w:t xml:space="preserve">Insidensen av gastrointestinale bivirkninger (f.eks. diaré [14 % versus 10 %], kvalme [12 % versus 9 %], smerter i øvre del av abdomen [10 % versus 6 %], abdominale smerter [9 % versus 4 %], oppkast [8 % versus 5 %] og dyspepsi [5 % versus 3 %]) økte hos pasienter som ble behandlet med </w:t>
      </w:r>
      <w:r w:rsidR="00BB4775" w:rsidRPr="009D56B8">
        <w:rPr>
          <w:szCs w:val="22"/>
          <w:lang w:val="nb-NO"/>
        </w:rPr>
        <w:t>dimetylfumarat</w:t>
      </w:r>
      <w:r w:rsidRPr="009D56B8">
        <w:rPr>
          <w:szCs w:val="22"/>
          <w:lang w:val="nb-NO"/>
        </w:rPr>
        <w:t xml:space="preserve"> sammenlignet med placebo. Gastrointestinale bivirkninger oppstår vanligvis tidlig i behandlingsforløpet (hovedsakelig i den første måneden), og hos pasienter som opplever gastrointestinale bivirkninger, kan disse hendelsene forekomme gjentatte ganger under hele behandlingen med </w:t>
      </w:r>
      <w:r w:rsidR="00B429EC" w:rsidRPr="009D56B8">
        <w:rPr>
          <w:szCs w:val="22"/>
          <w:lang w:val="nb-NO"/>
        </w:rPr>
        <w:t>dimetylfumarat</w:t>
      </w:r>
      <w:r w:rsidRPr="009D56B8">
        <w:rPr>
          <w:szCs w:val="22"/>
          <w:lang w:val="nb-NO"/>
        </w:rPr>
        <w:t xml:space="preserve">. Hos flesteparten av pasientene som opplevde gastrointestinale bivirkninger, var alvorlighetsgraden mild eller moderat. </w:t>
      </w:r>
      <w:r w:rsidR="00B429EC" w:rsidRPr="009D56B8">
        <w:rPr>
          <w:szCs w:val="22"/>
          <w:lang w:val="nb-NO"/>
        </w:rPr>
        <w:t>Dimetylfumarat</w:t>
      </w:r>
      <w:r w:rsidRPr="009D56B8">
        <w:rPr>
          <w:szCs w:val="22"/>
          <w:lang w:val="nb-NO"/>
        </w:rPr>
        <w:t xml:space="preserve"> ble seponert på grunn av gastrointestinale bivirkninger hos 4 % av pasientene som ble behandlet. Insidensen av alvorlige gastrointestinale bivirkninger, inkludert gastroenteritt og gastritt, ble sett hos 1 %</w:t>
      </w:r>
      <w:r w:rsidR="002974CD" w:rsidRPr="009D56B8">
        <w:rPr>
          <w:szCs w:val="22"/>
          <w:lang w:val="nb-NO"/>
        </w:rPr>
        <w:t xml:space="preserve"> </w:t>
      </w:r>
      <w:r w:rsidRPr="009D56B8">
        <w:rPr>
          <w:szCs w:val="22"/>
          <w:lang w:val="nb-NO"/>
        </w:rPr>
        <w:t xml:space="preserve">av pasientene som ble behandlet med </w:t>
      </w:r>
      <w:r w:rsidR="00B429EC" w:rsidRPr="009D56B8">
        <w:rPr>
          <w:szCs w:val="22"/>
          <w:lang w:val="nb-NO"/>
        </w:rPr>
        <w:t>dimetylfumarat</w:t>
      </w:r>
      <w:r w:rsidRPr="009D56B8">
        <w:rPr>
          <w:szCs w:val="22"/>
          <w:lang w:val="nb-NO"/>
        </w:rPr>
        <w:t xml:space="preserve"> (se pkt. 4.2).</w:t>
      </w:r>
    </w:p>
    <w:p w14:paraId="5D972002" w14:textId="150ABFEC" w:rsidR="00E50867" w:rsidRPr="009D56B8" w:rsidRDefault="00E50867">
      <w:pPr>
        <w:rPr>
          <w:szCs w:val="22"/>
          <w:lang w:val="nb-NO"/>
        </w:rPr>
      </w:pPr>
    </w:p>
    <w:p w14:paraId="58718944" w14:textId="77777777" w:rsidR="006E13A1" w:rsidRPr="009D56B8" w:rsidRDefault="006E13A1">
      <w:pPr>
        <w:rPr>
          <w:szCs w:val="22"/>
          <w:lang w:val="nb-NO"/>
        </w:rPr>
      </w:pPr>
    </w:p>
    <w:p w14:paraId="09B3E464" w14:textId="77777777" w:rsidR="00E50867" w:rsidRPr="009D56B8" w:rsidRDefault="00C770E8">
      <w:pPr>
        <w:rPr>
          <w:szCs w:val="22"/>
          <w:lang w:val="nb-NO"/>
        </w:rPr>
      </w:pPr>
      <w:r w:rsidRPr="009D56B8">
        <w:rPr>
          <w:i/>
          <w:szCs w:val="22"/>
          <w:lang w:val="nb-NO"/>
        </w:rPr>
        <w:t>Leverfunksjon</w:t>
      </w:r>
    </w:p>
    <w:p w14:paraId="554D86E0" w14:textId="77777777" w:rsidR="00E50867" w:rsidRPr="009D56B8" w:rsidRDefault="00E50867">
      <w:pPr>
        <w:rPr>
          <w:szCs w:val="22"/>
          <w:lang w:val="nb-NO"/>
        </w:rPr>
      </w:pPr>
    </w:p>
    <w:p w14:paraId="1A3C2235" w14:textId="34D0831A" w:rsidR="00E50867" w:rsidRPr="009D56B8" w:rsidRDefault="00C770E8">
      <w:pPr>
        <w:rPr>
          <w:szCs w:val="22"/>
          <w:lang w:val="nb-NO"/>
        </w:rPr>
      </w:pPr>
      <w:r w:rsidRPr="009D56B8">
        <w:rPr>
          <w:szCs w:val="22"/>
          <w:lang w:val="nb-NO"/>
        </w:rPr>
        <w:t>Basert på data fra placebokontrollerte studier hadde de fleste pasientene med forhøyelser levertransaminaser som var &lt;</w:t>
      </w:r>
      <w:r w:rsidR="001753BB" w:rsidRPr="009D56B8">
        <w:rPr>
          <w:szCs w:val="22"/>
          <w:lang w:val="nb-NO"/>
        </w:rPr>
        <w:t> </w:t>
      </w:r>
      <w:r w:rsidRPr="009D56B8">
        <w:rPr>
          <w:szCs w:val="22"/>
          <w:lang w:val="nb-NO"/>
        </w:rPr>
        <w:t xml:space="preserve">3 ganger ULN. Den økte insidensen av forhøyede levertransaminaser hos pasienter som ble behandlet med </w:t>
      </w:r>
      <w:r w:rsidR="00344CF9" w:rsidRPr="009D56B8">
        <w:rPr>
          <w:szCs w:val="22"/>
          <w:lang w:val="nb-NO"/>
        </w:rPr>
        <w:t>dimetylfumarat</w:t>
      </w:r>
      <w:r w:rsidRPr="009D56B8">
        <w:rPr>
          <w:szCs w:val="22"/>
          <w:lang w:val="nb-NO"/>
        </w:rPr>
        <w:t xml:space="preserve"> sammenlignet med placebo, ble hovedsakelig sett i løpet av de første 6 månedene av behandlingen. Økning i ALAT og ASAT til ≥</w:t>
      </w:r>
      <w:r w:rsidR="001753BB" w:rsidRPr="009D56B8">
        <w:rPr>
          <w:szCs w:val="22"/>
          <w:lang w:val="nb-NO"/>
        </w:rPr>
        <w:t> </w:t>
      </w:r>
      <w:r w:rsidRPr="009D56B8">
        <w:rPr>
          <w:szCs w:val="22"/>
          <w:lang w:val="nb-NO"/>
        </w:rPr>
        <w:t>3 ganger ULN ble sett hos henholdsvis 5 %</w:t>
      </w:r>
      <w:r w:rsidR="001F7EEF" w:rsidRPr="009D56B8">
        <w:rPr>
          <w:szCs w:val="22"/>
          <w:lang w:val="nb-NO"/>
        </w:rPr>
        <w:t xml:space="preserve"> </w:t>
      </w:r>
      <w:r w:rsidRPr="009D56B8">
        <w:rPr>
          <w:szCs w:val="22"/>
          <w:lang w:val="nb-NO"/>
        </w:rPr>
        <w:t>og 2 % av pasientene som ble behandlet med placebo og hos 6 %</w:t>
      </w:r>
      <w:r w:rsidR="001F7EEF" w:rsidRPr="009D56B8">
        <w:rPr>
          <w:szCs w:val="22"/>
          <w:lang w:val="nb-NO"/>
        </w:rPr>
        <w:t xml:space="preserve"> </w:t>
      </w:r>
      <w:r w:rsidRPr="009D56B8">
        <w:rPr>
          <w:szCs w:val="22"/>
          <w:lang w:val="nb-NO"/>
        </w:rPr>
        <w:t>og</w:t>
      </w:r>
      <w:r w:rsidR="001F7EEF" w:rsidRPr="009D56B8">
        <w:rPr>
          <w:szCs w:val="22"/>
          <w:lang w:val="nb-NO"/>
        </w:rPr>
        <w:t xml:space="preserve"> </w:t>
      </w:r>
      <w:r w:rsidRPr="009D56B8">
        <w:rPr>
          <w:szCs w:val="22"/>
          <w:lang w:val="nb-NO"/>
        </w:rPr>
        <w:t xml:space="preserve">2 % av </w:t>
      </w:r>
      <w:r w:rsidRPr="009D56B8">
        <w:rPr>
          <w:szCs w:val="22"/>
          <w:lang w:val="nb-NO"/>
        </w:rPr>
        <w:lastRenderedPageBreak/>
        <w:t xml:space="preserve">pasientene som ble behandlet med </w:t>
      </w:r>
      <w:r w:rsidR="00344CF9" w:rsidRPr="009D56B8">
        <w:rPr>
          <w:szCs w:val="22"/>
          <w:lang w:val="nb-NO"/>
        </w:rPr>
        <w:t>dimetylfumarat</w:t>
      </w:r>
      <w:r w:rsidRPr="009D56B8">
        <w:rPr>
          <w:szCs w:val="22"/>
          <w:lang w:val="nb-NO"/>
        </w:rPr>
        <w:t>. Seponering på grunn av forhøyede levertransaminaser var &lt;</w:t>
      </w:r>
      <w:r w:rsidR="001753BB" w:rsidRPr="009D56B8">
        <w:rPr>
          <w:szCs w:val="22"/>
          <w:lang w:val="nb-NO"/>
        </w:rPr>
        <w:t> </w:t>
      </w:r>
      <w:r w:rsidRPr="009D56B8">
        <w:rPr>
          <w:szCs w:val="22"/>
          <w:lang w:val="nb-NO"/>
        </w:rPr>
        <w:t>1 %</w:t>
      </w:r>
      <w:r w:rsidR="001F7EEF" w:rsidRPr="009D56B8">
        <w:rPr>
          <w:szCs w:val="22"/>
          <w:lang w:val="nb-NO"/>
        </w:rPr>
        <w:t xml:space="preserve"> </w:t>
      </w:r>
      <w:r w:rsidRPr="009D56B8">
        <w:rPr>
          <w:szCs w:val="22"/>
          <w:lang w:val="nb-NO"/>
        </w:rPr>
        <w:t xml:space="preserve">hos pasienter som ble behandlet med </w:t>
      </w:r>
      <w:r w:rsidR="00344CF9" w:rsidRPr="009D56B8">
        <w:rPr>
          <w:szCs w:val="22"/>
          <w:lang w:val="nb-NO"/>
        </w:rPr>
        <w:t>dimetylfumarat</w:t>
      </w:r>
      <w:r w:rsidRPr="009D56B8">
        <w:rPr>
          <w:szCs w:val="22"/>
          <w:lang w:val="nb-NO"/>
        </w:rPr>
        <w:t>, og tilsvarende hos pasienter som fikk placebo. Økning i transaminaser til ≥</w:t>
      </w:r>
      <w:r w:rsidR="001753BB" w:rsidRPr="009D56B8">
        <w:rPr>
          <w:szCs w:val="22"/>
          <w:lang w:val="nb-NO"/>
        </w:rPr>
        <w:t> </w:t>
      </w:r>
      <w:r w:rsidRPr="009D56B8">
        <w:rPr>
          <w:szCs w:val="22"/>
          <w:lang w:val="nb-NO"/>
        </w:rPr>
        <w:t>3 ganger ULN med samtidig økning i totalt bilirubin til &gt;</w:t>
      </w:r>
      <w:r w:rsidR="001753BB" w:rsidRPr="009D56B8">
        <w:rPr>
          <w:szCs w:val="22"/>
          <w:lang w:val="nb-NO"/>
        </w:rPr>
        <w:t> </w:t>
      </w:r>
      <w:r w:rsidRPr="009D56B8">
        <w:rPr>
          <w:szCs w:val="22"/>
          <w:lang w:val="nb-NO"/>
        </w:rPr>
        <w:t>2 ganger ULN ble ikke observert i placebokontrollerte studier.</w:t>
      </w:r>
    </w:p>
    <w:p w14:paraId="0FF91523" w14:textId="77777777" w:rsidR="00E50867" w:rsidRPr="009D56B8" w:rsidRDefault="00E50867">
      <w:pPr>
        <w:rPr>
          <w:szCs w:val="22"/>
          <w:lang w:val="nb-NO"/>
        </w:rPr>
      </w:pPr>
    </w:p>
    <w:p w14:paraId="61AC96EF" w14:textId="7FA2B0D9" w:rsidR="00E50867" w:rsidRPr="009D56B8" w:rsidRDefault="00C770E8">
      <w:pPr>
        <w:rPr>
          <w:szCs w:val="22"/>
          <w:lang w:val="nb-NO"/>
        </w:rPr>
      </w:pPr>
      <w:r w:rsidRPr="009D56B8">
        <w:rPr>
          <w:szCs w:val="22"/>
          <w:lang w:val="nb-NO"/>
        </w:rPr>
        <w:t>Økning i leverenzymer og tilfeller av legemiddelindusert leverskade (økning i transaminaser til ≥</w:t>
      </w:r>
      <w:r w:rsidR="001753BB" w:rsidRPr="009D56B8">
        <w:rPr>
          <w:szCs w:val="22"/>
          <w:lang w:val="nb-NO"/>
        </w:rPr>
        <w:t> </w:t>
      </w:r>
      <w:r w:rsidRPr="009D56B8">
        <w:rPr>
          <w:szCs w:val="22"/>
          <w:lang w:val="nb-NO"/>
        </w:rPr>
        <w:t>3 ganger ULN med samtidig økning i totalt bilirubin til &gt;</w:t>
      </w:r>
      <w:r w:rsidR="001753BB" w:rsidRPr="009D56B8">
        <w:rPr>
          <w:szCs w:val="22"/>
          <w:lang w:val="nb-NO"/>
        </w:rPr>
        <w:t> </w:t>
      </w:r>
      <w:r w:rsidRPr="009D56B8">
        <w:rPr>
          <w:szCs w:val="22"/>
          <w:lang w:val="nb-NO"/>
        </w:rPr>
        <w:t xml:space="preserve">2 ganger ULN) er rapportert etter bruk av </w:t>
      </w:r>
      <w:r w:rsidR="005E6A57" w:rsidRPr="009D56B8">
        <w:rPr>
          <w:szCs w:val="22"/>
          <w:lang w:val="nb-NO"/>
        </w:rPr>
        <w:t>dimetylfumarat</w:t>
      </w:r>
      <w:r w:rsidRPr="009D56B8">
        <w:rPr>
          <w:szCs w:val="22"/>
          <w:lang w:val="nb-NO"/>
        </w:rPr>
        <w:t xml:space="preserve"> etter markedsføring. Dette opphørte ved seponering av behandlingen.</w:t>
      </w:r>
    </w:p>
    <w:p w14:paraId="35274A02" w14:textId="77777777" w:rsidR="00E50867" w:rsidRPr="009D56B8" w:rsidRDefault="00E50867">
      <w:pPr>
        <w:rPr>
          <w:i/>
          <w:szCs w:val="22"/>
          <w:lang w:val="nb-NO"/>
        </w:rPr>
      </w:pPr>
    </w:p>
    <w:p w14:paraId="3F4EF9E1" w14:textId="77777777" w:rsidR="00E50867" w:rsidRPr="009D56B8" w:rsidRDefault="00C770E8">
      <w:pPr>
        <w:rPr>
          <w:szCs w:val="22"/>
          <w:lang w:val="nb-NO"/>
        </w:rPr>
      </w:pPr>
      <w:r w:rsidRPr="009D56B8">
        <w:rPr>
          <w:i/>
          <w:szCs w:val="22"/>
          <w:lang w:val="nb-NO"/>
        </w:rPr>
        <w:t>Lymfopeni</w:t>
      </w:r>
    </w:p>
    <w:p w14:paraId="53D50DB2" w14:textId="77777777" w:rsidR="00E50867" w:rsidRPr="009D56B8" w:rsidRDefault="00E50867">
      <w:pPr>
        <w:rPr>
          <w:szCs w:val="22"/>
          <w:lang w:val="nb-NO"/>
        </w:rPr>
      </w:pPr>
    </w:p>
    <w:p w14:paraId="2F7B4127" w14:textId="3E4253BD" w:rsidR="00E50867" w:rsidRPr="009D56B8" w:rsidRDefault="00C770E8">
      <w:pPr>
        <w:rPr>
          <w:szCs w:val="22"/>
          <w:lang w:val="nb-NO"/>
        </w:rPr>
      </w:pPr>
      <w:r w:rsidRPr="009D56B8">
        <w:rPr>
          <w:szCs w:val="22"/>
          <w:lang w:val="nb-NO"/>
        </w:rPr>
        <w:t>I placebokontrollerte studier hadde de fleste pasientene (&gt;</w:t>
      </w:r>
      <w:r w:rsidR="002974CD" w:rsidRPr="009D56B8">
        <w:rPr>
          <w:szCs w:val="22"/>
          <w:lang w:val="nb-NO"/>
        </w:rPr>
        <w:t> </w:t>
      </w:r>
      <w:r w:rsidRPr="009D56B8">
        <w:rPr>
          <w:szCs w:val="22"/>
          <w:lang w:val="nb-NO"/>
        </w:rPr>
        <w:t>98 %) normale lymfocytt</w:t>
      </w:r>
      <w:r w:rsidR="001E54BE" w:rsidRPr="009D56B8">
        <w:rPr>
          <w:szCs w:val="22"/>
          <w:lang w:val="nb-NO"/>
        </w:rPr>
        <w:t>all</w:t>
      </w:r>
      <w:r w:rsidRPr="009D56B8">
        <w:rPr>
          <w:szCs w:val="22"/>
          <w:lang w:val="nb-NO"/>
        </w:rPr>
        <w:t xml:space="preserve"> før behandlingen ble innledet. Ved behandling med </w:t>
      </w:r>
      <w:r w:rsidR="00590E7B" w:rsidRPr="009D56B8">
        <w:rPr>
          <w:szCs w:val="22"/>
          <w:lang w:val="nb-NO"/>
        </w:rPr>
        <w:t>dimetylfumarat</w:t>
      </w:r>
      <w:r w:rsidRPr="009D56B8">
        <w:rPr>
          <w:szCs w:val="22"/>
          <w:lang w:val="nb-NO"/>
        </w:rPr>
        <w:t xml:space="preserve"> avtok gjennomsnittlig lymfocyttall i løpet av det første året, med et etterfølgende platå. I gjennomsnitt ble antall lymfocytter redusert med ca. 30 % av baselineverdien. Gjennomsnittlig og mediant lymfocyttall holdt seg innenfor normalområdet. Lymfocyttall på &lt;</w:t>
      </w:r>
      <w:r w:rsidR="001753BB" w:rsidRPr="009D56B8">
        <w:rPr>
          <w:szCs w:val="22"/>
          <w:lang w:val="nb-NO"/>
        </w:rPr>
        <w:t> </w:t>
      </w:r>
      <w:r w:rsidRPr="009D56B8">
        <w:rPr>
          <w:szCs w:val="22"/>
          <w:lang w:val="nb-NO"/>
        </w:rPr>
        <w:t>0,5 </w:t>
      </w:r>
      <w:r w:rsidRPr="009D56B8">
        <w:rPr>
          <w:lang w:val="nb-NO"/>
        </w:rPr>
        <w:t>×</w:t>
      </w:r>
      <w:r w:rsidRPr="009D56B8">
        <w:rPr>
          <w:szCs w:val="22"/>
          <w:lang w:val="nb-NO"/>
        </w:rPr>
        <w:t> 10</w:t>
      </w:r>
      <w:r w:rsidRPr="009D56B8">
        <w:rPr>
          <w:szCs w:val="22"/>
          <w:vertAlign w:val="superscript"/>
          <w:lang w:val="nb-NO"/>
        </w:rPr>
        <w:t>9</w:t>
      </w:r>
      <w:r w:rsidRPr="009D56B8">
        <w:rPr>
          <w:szCs w:val="22"/>
          <w:lang w:val="nb-NO"/>
        </w:rPr>
        <w:t>/liter ble observert hos &lt;</w:t>
      </w:r>
      <w:r w:rsidR="001753BB" w:rsidRPr="009D56B8">
        <w:rPr>
          <w:szCs w:val="22"/>
          <w:lang w:val="nb-NO"/>
        </w:rPr>
        <w:t> </w:t>
      </w:r>
      <w:r w:rsidRPr="009D56B8">
        <w:rPr>
          <w:szCs w:val="22"/>
          <w:lang w:val="nb-NO"/>
        </w:rPr>
        <w:t>1 %</w:t>
      </w:r>
      <w:r w:rsidR="001F7EEF" w:rsidRPr="009D56B8">
        <w:rPr>
          <w:szCs w:val="22"/>
          <w:lang w:val="nb-NO"/>
        </w:rPr>
        <w:t xml:space="preserve"> </w:t>
      </w:r>
      <w:r w:rsidRPr="009D56B8">
        <w:rPr>
          <w:szCs w:val="22"/>
          <w:lang w:val="nb-NO"/>
        </w:rPr>
        <w:t>av pasientene som ble behandlet med placebo og hos 6 %</w:t>
      </w:r>
      <w:r w:rsidR="001F7EEF" w:rsidRPr="009D56B8">
        <w:rPr>
          <w:szCs w:val="22"/>
          <w:lang w:val="nb-NO"/>
        </w:rPr>
        <w:t xml:space="preserve"> </w:t>
      </w:r>
      <w:r w:rsidRPr="009D56B8">
        <w:rPr>
          <w:szCs w:val="22"/>
          <w:lang w:val="nb-NO"/>
        </w:rPr>
        <w:t xml:space="preserve">av pasientene som ble behandlet med </w:t>
      </w:r>
      <w:r w:rsidR="00590E7B" w:rsidRPr="009D56B8">
        <w:rPr>
          <w:szCs w:val="22"/>
          <w:lang w:val="nb-NO"/>
        </w:rPr>
        <w:t>dimetylfumarat</w:t>
      </w:r>
      <w:r w:rsidRPr="009D56B8">
        <w:rPr>
          <w:szCs w:val="22"/>
          <w:lang w:val="nb-NO"/>
        </w:rPr>
        <w:t>. Lymfocyttall på &lt;</w:t>
      </w:r>
      <w:r w:rsidR="001753BB" w:rsidRPr="009D56B8">
        <w:rPr>
          <w:szCs w:val="22"/>
          <w:lang w:val="nb-NO"/>
        </w:rPr>
        <w:t> </w:t>
      </w:r>
      <w:r w:rsidRPr="009D56B8">
        <w:rPr>
          <w:szCs w:val="22"/>
          <w:lang w:val="nb-NO"/>
        </w:rPr>
        <w:t>0,2 </w:t>
      </w:r>
      <w:r w:rsidRPr="009D56B8">
        <w:rPr>
          <w:lang w:val="nb-NO"/>
        </w:rPr>
        <w:t>×</w:t>
      </w:r>
      <w:r w:rsidRPr="009D56B8">
        <w:rPr>
          <w:szCs w:val="22"/>
          <w:lang w:val="nb-NO"/>
        </w:rPr>
        <w:t> 10</w:t>
      </w:r>
      <w:r w:rsidRPr="009D56B8">
        <w:rPr>
          <w:szCs w:val="22"/>
          <w:vertAlign w:val="superscript"/>
          <w:lang w:val="nb-NO"/>
        </w:rPr>
        <w:t>9</w:t>
      </w:r>
      <w:r w:rsidRPr="009D56B8">
        <w:rPr>
          <w:szCs w:val="22"/>
          <w:lang w:val="nb-NO"/>
        </w:rPr>
        <w:t xml:space="preserve">/liter ble observert hos 1 pasient som ble behandlet med </w:t>
      </w:r>
      <w:r w:rsidR="00590E7B" w:rsidRPr="009D56B8">
        <w:rPr>
          <w:szCs w:val="22"/>
          <w:lang w:val="nb-NO"/>
        </w:rPr>
        <w:t>dimetylfumarat</w:t>
      </w:r>
      <w:r w:rsidRPr="009D56B8">
        <w:rPr>
          <w:szCs w:val="22"/>
          <w:lang w:val="nb-NO"/>
        </w:rPr>
        <w:t xml:space="preserve"> og ingen av pasientene som ble behandlet med placebo.</w:t>
      </w:r>
    </w:p>
    <w:p w14:paraId="267F46B1" w14:textId="77777777" w:rsidR="00E50867" w:rsidRPr="009D56B8" w:rsidRDefault="00E50867">
      <w:pPr>
        <w:keepNext/>
        <w:rPr>
          <w:lang w:val="nb-NO"/>
        </w:rPr>
      </w:pPr>
    </w:p>
    <w:p w14:paraId="7BC7BFC0" w14:textId="0F1F1BD6" w:rsidR="00E50867" w:rsidRPr="009D56B8" w:rsidRDefault="00C770E8">
      <w:pPr>
        <w:tabs>
          <w:tab w:val="clear" w:pos="567"/>
        </w:tabs>
        <w:rPr>
          <w:szCs w:val="22"/>
          <w:lang w:val="nb-NO" w:eastAsia="zh-CN"/>
        </w:rPr>
      </w:pPr>
      <w:bookmarkStart w:id="10" w:name="_Hlk49943201"/>
      <w:r w:rsidRPr="009D56B8">
        <w:rPr>
          <w:szCs w:val="22"/>
          <w:lang w:val="nb-NO" w:eastAsia="zh-CN"/>
        </w:rPr>
        <w:t>I kliniske studier (både kontrollerte og ikke-kontrollerte) hadde 41 %</w:t>
      </w:r>
      <w:r w:rsidR="002974CD" w:rsidRPr="009D56B8">
        <w:rPr>
          <w:szCs w:val="22"/>
          <w:lang w:val="nb-NO" w:eastAsia="zh-CN"/>
        </w:rPr>
        <w:t xml:space="preserve"> </w:t>
      </w:r>
      <w:r w:rsidRPr="009D56B8">
        <w:rPr>
          <w:szCs w:val="22"/>
          <w:lang w:val="nb-NO" w:eastAsia="zh-CN"/>
        </w:rPr>
        <w:t xml:space="preserve">av pasientene som ble behandlet med </w:t>
      </w:r>
      <w:r w:rsidR="001928B9" w:rsidRPr="009D56B8">
        <w:rPr>
          <w:szCs w:val="22"/>
          <w:lang w:val="nb-NO" w:eastAsia="zh-CN"/>
        </w:rPr>
        <w:t>dimetylfumarat</w:t>
      </w:r>
      <w:r w:rsidRPr="009D56B8">
        <w:rPr>
          <w:szCs w:val="22"/>
          <w:lang w:val="nb-NO" w:eastAsia="zh-CN"/>
        </w:rPr>
        <w:t>, lymfopeni (i disse studiene definert som &lt;</w:t>
      </w:r>
      <w:r w:rsidR="00841E9A" w:rsidRPr="009D56B8">
        <w:rPr>
          <w:szCs w:val="22"/>
          <w:lang w:val="nb-NO" w:eastAsia="zh-CN"/>
        </w:rPr>
        <w:t> </w:t>
      </w:r>
      <w:r w:rsidRPr="009D56B8">
        <w:rPr>
          <w:szCs w:val="22"/>
          <w:lang w:val="nb-NO" w:eastAsia="zh-CN"/>
        </w:rPr>
        <w:t>0,91 </w:t>
      </w:r>
      <w:r w:rsidRPr="009D56B8">
        <w:rPr>
          <w:lang w:val="nb-NO"/>
        </w:rPr>
        <w:t>×</w:t>
      </w:r>
      <w:r w:rsidRPr="009D56B8">
        <w:rPr>
          <w:szCs w:val="22"/>
          <w:lang w:val="nb-NO" w:eastAsia="zh-CN"/>
        </w:rPr>
        <w:t> 10</w:t>
      </w:r>
      <w:r w:rsidRPr="009D56B8">
        <w:rPr>
          <w:szCs w:val="22"/>
          <w:vertAlign w:val="superscript"/>
          <w:lang w:val="nb-NO" w:eastAsia="zh-CN"/>
        </w:rPr>
        <w:t>9</w:t>
      </w:r>
      <w:r w:rsidRPr="009D56B8">
        <w:rPr>
          <w:szCs w:val="22"/>
          <w:lang w:val="nb-NO" w:eastAsia="zh-CN"/>
        </w:rPr>
        <w:t>/liter). Mild lymfopeni (</w:t>
      </w:r>
      <w:bookmarkStart w:id="11" w:name="_Hlk50541739"/>
      <w:r w:rsidRPr="009D56B8">
        <w:rPr>
          <w:szCs w:val="22"/>
          <w:lang w:val="nb-NO" w:eastAsia="zh-CN"/>
        </w:rPr>
        <w:t>lymfocyt</w:t>
      </w:r>
      <w:bookmarkEnd w:id="11"/>
      <w:r w:rsidRPr="009D56B8">
        <w:rPr>
          <w:szCs w:val="22"/>
          <w:lang w:val="nb-NO" w:eastAsia="zh-CN"/>
        </w:rPr>
        <w:t>tall ≥</w:t>
      </w:r>
      <w:r w:rsidR="00841E9A" w:rsidRPr="009D56B8">
        <w:rPr>
          <w:szCs w:val="22"/>
          <w:lang w:val="nb-NO" w:eastAsia="zh-CN"/>
        </w:rPr>
        <w:t> </w:t>
      </w:r>
      <w:r w:rsidRPr="009D56B8">
        <w:rPr>
          <w:szCs w:val="22"/>
          <w:lang w:val="nb-NO" w:eastAsia="zh-CN"/>
        </w:rPr>
        <w:t>0,8 </w:t>
      </w:r>
      <w:r w:rsidRPr="009D56B8">
        <w:rPr>
          <w:lang w:val="nb-NO"/>
        </w:rPr>
        <w:t>×</w:t>
      </w:r>
      <w:r w:rsidRPr="009D56B8">
        <w:rPr>
          <w:szCs w:val="22"/>
          <w:lang w:val="nb-NO" w:eastAsia="zh-CN"/>
        </w:rPr>
        <w:t> 10</w:t>
      </w:r>
      <w:r w:rsidRPr="009D56B8">
        <w:rPr>
          <w:szCs w:val="22"/>
          <w:vertAlign w:val="superscript"/>
          <w:lang w:val="nb-NO" w:eastAsia="zh-CN"/>
        </w:rPr>
        <w:t>9</w:t>
      </w:r>
      <w:r w:rsidRPr="009D56B8">
        <w:rPr>
          <w:szCs w:val="22"/>
          <w:lang w:val="nb-NO" w:eastAsia="zh-CN"/>
        </w:rPr>
        <w:t xml:space="preserve">/liter </w:t>
      </w:r>
      <w:r w:rsidR="00251DF7" w:rsidRPr="009D56B8">
        <w:rPr>
          <w:szCs w:val="22"/>
          <w:lang w:val="nb-NO" w:eastAsia="zh-CN"/>
        </w:rPr>
        <w:t xml:space="preserve">og </w:t>
      </w:r>
      <w:r w:rsidRPr="009D56B8">
        <w:rPr>
          <w:szCs w:val="22"/>
          <w:lang w:val="nb-NO" w:eastAsia="zh-CN"/>
        </w:rPr>
        <w:t>&lt;</w:t>
      </w:r>
      <w:r w:rsidR="00841E9A" w:rsidRPr="009D56B8">
        <w:rPr>
          <w:szCs w:val="22"/>
          <w:lang w:val="nb-NO" w:eastAsia="zh-CN"/>
        </w:rPr>
        <w:t> </w:t>
      </w:r>
      <w:r w:rsidRPr="009D56B8">
        <w:rPr>
          <w:szCs w:val="22"/>
          <w:lang w:val="nb-NO" w:eastAsia="zh-CN"/>
        </w:rPr>
        <w:t>0,91 </w:t>
      </w:r>
      <w:r w:rsidRPr="009D56B8">
        <w:rPr>
          <w:lang w:val="nb-NO"/>
        </w:rPr>
        <w:t>×</w:t>
      </w:r>
      <w:r w:rsidRPr="009D56B8">
        <w:rPr>
          <w:szCs w:val="22"/>
          <w:lang w:val="nb-NO" w:eastAsia="zh-CN"/>
        </w:rPr>
        <w:t> 10</w:t>
      </w:r>
      <w:r w:rsidRPr="009D56B8">
        <w:rPr>
          <w:szCs w:val="22"/>
          <w:vertAlign w:val="superscript"/>
          <w:lang w:val="nb-NO" w:eastAsia="zh-CN"/>
        </w:rPr>
        <w:t>9</w:t>
      </w:r>
      <w:r w:rsidRPr="009D56B8">
        <w:rPr>
          <w:szCs w:val="22"/>
          <w:lang w:val="nb-NO" w:eastAsia="zh-CN"/>
        </w:rPr>
        <w:t>/liter) ble observert hos 28 % av pasientene. Moderat lymfopeni (lymfocyttall ≥</w:t>
      </w:r>
      <w:r w:rsidR="00841E9A" w:rsidRPr="009D56B8">
        <w:rPr>
          <w:szCs w:val="22"/>
          <w:lang w:val="nb-NO" w:eastAsia="zh-CN"/>
        </w:rPr>
        <w:t> </w:t>
      </w:r>
      <w:r w:rsidRPr="009D56B8">
        <w:rPr>
          <w:szCs w:val="22"/>
          <w:lang w:val="nb-NO" w:eastAsia="zh-CN"/>
        </w:rPr>
        <w:t>0,5 </w:t>
      </w:r>
      <w:r w:rsidRPr="009D56B8">
        <w:rPr>
          <w:lang w:val="nb-NO"/>
        </w:rPr>
        <w:t>×</w:t>
      </w:r>
      <w:r w:rsidRPr="009D56B8">
        <w:rPr>
          <w:szCs w:val="22"/>
          <w:lang w:val="nb-NO" w:eastAsia="zh-CN"/>
        </w:rPr>
        <w:t> 10</w:t>
      </w:r>
      <w:r w:rsidRPr="009D56B8">
        <w:rPr>
          <w:szCs w:val="22"/>
          <w:vertAlign w:val="superscript"/>
          <w:lang w:val="nb-NO" w:eastAsia="zh-CN"/>
        </w:rPr>
        <w:t>9</w:t>
      </w:r>
      <w:r w:rsidRPr="009D56B8">
        <w:rPr>
          <w:szCs w:val="22"/>
          <w:lang w:val="nb-NO" w:eastAsia="zh-CN"/>
        </w:rPr>
        <w:t xml:space="preserve">/liter </w:t>
      </w:r>
      <w:r w:rsidR="00251DF7" w:rsidRPr="009D56B8">
        <w:rPr>
          <w:szCs w:val="22"/>
          <w:lang w:val="nb-NO" w:eastAsia="zh-CN"/>
        </w:rPr>
        <w:t xml:space="preserve">og </w:t>
      </w:r>
      <w:r w:rsidRPr="009D56B8">
        <w:rPr>
          <w:szCs w:val="22"/>
          <w:lang w:val="nb-NO" w:eastAsia="zh-CN"/>
        </w:rPr>
        <w:t>&lt;</w:t>
      </w:r>
      <w:r w:rsidR="00841E9A" w:rsidRPr="009D56B8">
        <w:rPr>
          <w:szCs w:val="22"/>
          <w:lang w:val="nb-NO" w:eastAsia="zh-CN"/>
        </w:rPr>
        <w:t> </w:t>
      </w:r>
      <w:r w:rsidRPr="009D56B8">
        <w:rPr>
          <w:szCs w:val="22"/>
          <w:lang w:val="nb-NO" w:eastAsia="zh-CN"/>
        </w:rPr>
        <w:t>0,8 </w:t>
      </w:r>
      <w:r w:rsidRPr="009D56B8">
        <w:rPr>
          <w:lang w:val="nb-NO"/>
        </w:rPr>
        <w:t>×</w:t>
      </w:r>
      <w:r w:rsidRPr="009D56B8">
        <w:rPr>
          <w:szCs w:val="22"/>
          <w:lang w:val="nb-NO" w:eastAsia="zh-CN"/>
        </w:rPr>
        <w:t> 10</w:t>
      </w:r>
      <w:r w:rsidRPr="009D56B8">
        <w:rPr>
          <w:szCs w:val="22"/>
          <w:vertAlign w:val="superscript"/>
          <w:lang w:val="nb-NO" w:eastAsia="zh-CN"/>
        </w:rPr>
        <w:t>9</w:t>
      </w:r>
      <w:r w:rsidRPr="009D56B8">
        <w:rPr>
          <w:szCs w:val="22"/>
          <w:lang w:val="nb-NO" w:eastAsia="zh-CN"/>
        </w:rPr>
        <w:t>/liter) som vedvarte i minst seks måneder, ble observert hos 1</w:t>
      </w:r>
      <w:r w:rsidR="00841E9A" w:rsidRPr="009D56B8">
        <w:rPr>
          <w:szCs w:val="22"/>
          <w:lang w:val="nb-NO" w:eastAsia="zh-CN"/>
        </w:rPr>
        <w:t>1</w:t>
      </w:r>
      <w:r w:rsidRPr="009D56B8">
        <w:rPr>
          <w:szCs w:val="22"/>
          <w:lang w:val="nb-NO" w:eastAsia="zh-CN"/>
        </w:rPr>
        <w:t> %</w:t>
      </w:r>
      <w:r w:rsidR="00942D2B" w:rsidRPr="009D56B8">
        <w:rPr>
          <w:szCs w:val="22"/>
          <w:lang w:val="nb-NO" w:eastAsia="zh-CN"/>
        </w:rPr>
        <w:t xml:space="preserve"> </w:t>
      </w:r>
      <w:r w:rsidRPr="009D56B8">
        <w:rPr>
          <w:szCs w:val="22"/>
          <w:lang w:val="nb-NO" w:eastAsia="zh-CN"/>
        </w:rPr>
        <w:t>av pasientene, og alvorlig lymfopeni (lymfocyttall &lt;</w:t>
      </w:r>
      <w:r w:rsidR="00841E9A" w:rsidRPr="009D56B8">
        <w:rPr>
          <w:szCs w:val="22"/>
          <w:lang w:val="nb-NO" w:eastAsia="zh-CN"/>
        </w:rPr>
        <w:t> </w:t>
      </w:r>
      <w:r w:rsidRPr="009D56B8">
        <w:rPr>
          <w:szCs w:val="22"/>
          <w:lang w:val="nb-NO" w:eastAsia="zh-CN"/>
        </w:rPr>
        <w:t>0,5 × 10</w:t>
      </w:r>
      <w:r w:rsidRPr="009D56B8">
        <w:rPr>
          <w:szCs w:val="22"/>
          <w:vertAlign w:val="superscript"/>
          <w:lang w:val="nb-NO" w:eastAsia="zh-CN"/>
        </w:rPr>
        <w:t>9</w:t>
      </w:r>
      <w:r w:rsidRPr="009D56B8">
        <w:rPr>
          <w:szCs w:val="22"/>
          <w:lang w:val="nb-NO" w:eastAsia="zh-CN"/>
        </w:rPr>
        <w:t>/liter) som vedvarte i minst seks måneder, ble observert hos 2 %</w:t>
      </w:r>
      <w:r w:rsidR="007A4EBF" w:rsidRPr="009D56B8">
        <w:rPr>
          <w:szCs w:val="22"/>
          <w:lang w:val="nb-NO" w:eastAsia="zh-CN"/>
        </w:rPr>
        <w:t xml:space="preserve"> </w:t>
      </w:r>
      <w:r w:rsidRPr="009D56B8">
        <w:rPr>
          <w:szCs w:val="22"/>
          <w:lang w:val="nb-NO" w:eastAsia="zh-CN"/>
        </w:rPr>
        <w:t>av pasientene. I gruppen med alvorlig lymfopeni holdt lymfocyttallet seg hos de fleste på &lt;</w:t>
      </w:r>
      <w:r w:rsidR="00841E9A" w:rsidRPr="009D56B8">
        <w:rPr>
          <w:szCs w:val="22"/>
          <w:lang w:val="nb-NO" w:eastAsia="zh-CN"/>
        </w:rPr>
        <w:t> </w:t>
      </w:r>
      <w:r w:rsidRPr="009D56B8">
        <w:rPr>
          <w:szCs w:val="22"/>
          <w:lang w:val="nb-NO" w:eastAsia="zh-CN"/>
        </w:rPr>
        <w:t>0,5 </w:t>
      </w:r>
      <w:r w:rsidRPr="009D56B8">
        <w:rPr>
          <w:lang w:val="nb-NO"/>
        </w:rPr>
        <w:t>×</w:t>
      </w:r>
      <w:r w:rsidRPr="009D56B8">
        <w:rPr>
          <w:szCs w:val="22"/>
          <w:lang w:val="nb-NO" w:eastAsia="zh-CN"/>
        </w:rPr>
        <w:t> 10</w:t>
      </w:r>
      <w:r w:rsidRPr="009D56B8">
        <w:rPr>
          <w:szCs w:val="22"/>
          <w:vertAlign w:val="superscript"/>
          <w:lang w:val="nb-NO" w:eastAsia="zh-CN"/>
        </w:rPr>
        <w:t>9</w:t>
      </w:r>
      <w:r w:rsidRPr="009D56B8">
        <w:rPr>
          <w:szCs w:val="22"/>
          <w:lang w:val="nb-NO" w:eastAsia="zh-CN"/>
        </w:rPr>
        <w:t>/liter ved fortsatt behandling</w:t>
      </w:r>
      <w:bookmarkEnd w:id="10"/>
      <w:r w:rsidRPr="009D56B8">
        <w:rPr>
          <w:szCs w:val="22"/>
          <w:lang w:val="nb-NO" w:eastAsia="zh-CN"/>
        </w:rPr>
        <w:t>.</w:t>
      </w:r>
    </w:p>
    <w:p w14:paraId="39142595" w14:textId="77777777" w:rsidR="00E50867" w:rsidRPr="009D56B8" w:rsidRDefault="00E50867">
      <w:pPr>
        <w:tabs>
          <w:tab w:val="clear" w:pos="567"/>
        </w:tabs>
        <w:rPr>
          <w:szCs w:val="22"/>
          <w:lang w:val="nb-NO" w:eastAsia="zh-CN"/>
        </w:rPr>
      </w:pPr>
    </w:p>
    <w:p w14:paraId="14334BE9" w14:textId="7AEA4C21" w:rsidR="00841E9A" w:rsidRPr="009D56B8" w:rsidRDefault="00C770E8">
      <w:pPr>
        <w:tabs>
          <w:tab w:val="clear" w:pos="567"/>
        </w:tabs>
        <w:rPr>
          <w:szCs w:val="22"/>
          <w:lang w:val="nb-NO" w:eastAsia="zh-CN"/>
        </w:rPr>
      </w:pPr>
      <w:r w:rsidRPr="009D56B8">
        <w:rPr>
          <w:lang w:val="nb-NO"/>
        </w:rPr>
        <w:t>I en ikke-kontrollert, prospektiv studie etter markedsføring, var i tillegg CD4-positive T-celler moderat (lymfocyttall ≥</w:t>
      </w:r>
      <w:r w:rsidR="00841E9A" w:rsidRPr="009D56B8">
        <w:rPr>
          <w:lang w:val="nb-NO"/>
        </w:rPr>
        <w:t> </w:t>
      </w:r>
      <w:r w:rsidRPr="009D56B8">
        <w:rPr>
          <w:lang w:val="nb-NO"/>
        </w:rPr>
        <w:t>0,2 × 10</w:t>
      </w:r>
      <w:r w:rsidRPr="009D56B8">
        <w:rPr>
          <w:vertAlign w:val="superscript"/>
          <w:lang w:val="nb-NO"/>
        </w:rPr>
        <w:t>9</w:t>
      </w:r>
      <w:r w:rsidRPr="009D56B8">
        <w:rPr>
          <w:lang w:val="nb-NO"/>
        </w:rPr>
        <w:t>/liter til &lt;</w:t>
      </w:r>
      <w:r w:rsidR="00841E9A" w:rsidRPr="009D56B8">
        <w:rPr>
          <w:lang w:val="nb-NO"/>
        </w:rPr>
        <w:t> </w:t>
      </w:r>
      <w:r w:rsidRPr="009D56B8">
        <w:rPr>
          <w:lang w:val="nb-NO"/>
        </w:rPr>
        <w:t>0,4 × 10</w:t>
      </w:r>
      <w:r w:rsidRPr="009D56B8">
        <w:rPr>
          <w:vertAlign w:val="superscript"/>
          <w:lang w:val="nb-NO"/>
        </w:rPr>
        <w:t>9</w:t>
      </w:r>
      <w:r w:rsidRPr="009D56B8">
        <w:rPr>
          <w:lang w:val="nb-NO"/>
        </w:rPr>
        <w:t>/liter) eller alvorlig (&lt;</w:t>
      </w:r>
      <w:r w:rsidR="00841E9A" w:rsidRPr="009D56B8">
        <w:rPr>
          <w:lang w:val="nb-NO"/>
        </w:rPr>
        <w:t> </w:t>
      </w:r>
      <w:r w:rsidRPr="009D56B8">
        <w:rPr>
          <w:lang w:val="nb-NO"/>
        </w:rPr>
        <w:t>0,2 × 10</w:t>
      </w:r>
      <w:r w:rsidRPr="009D56B8">
        <w:rPr>
          <w:vertAlign w:val="superscript"/>
          <w:lang w:val="nb-NO"/>
        </w:rPr>
        <w:t>9</w:t>
      </w:r>
      <w:r w:rsidRPr="009D56B8">
        <w:rPr>
          <w:lang w:val="nb-NO"/>
        </w:rPr>
        <w:t xml:space="preserve">/liter) redusert hos henholdsvis opptil 37 % og 6 % av pasientene i uke 48 av </w:t>
      </w:r>
      <w:r w:rsidR="00D82EC1" w:rsidRPr="009D56B8">
        <w:rPr>
          <w:lang w:val="nb-NO"/>
        </w:rPr>
        <w:t>dimetylfumarat</w:t>
      </w:r>
      <w:r w:rsidRPr="009D56B8">
        <w:rPr>
          <w:lang w:val="nb-NO"/>
        </w:rPr>
        <w:t>behandlingen (n=185), mens CD8-positive T-celler var hyppigere redusert, hos opptil 59 % av pasienter med lymfocyttall &lt;</w:t>
      </w:r>
      <w:r w:rsidR="00841E9A" w:rsidRPr="009D56B8">
        <w:rPr>
          <w:lang w:val="nb-NO"/>
        </w:rPr>
        <w:t> </w:t>
      </w:r>
      <w:r w:rsidRPr="009D56B8">
        <w:rPr>
          <w:lang w:val="nb-NO"/>
        </w:rPr>
        <w:t>0,2 × 10</w:t>
      </w:r>
      <w:r w:rsidRPr="009D56B8">
        <w:rPr>
          <w:vertAlign w:val="superscript"/>
          <w:lang w:val="nb-NO"/>
        </w:rPr>
        <w:t>9</w:t>
      </w:r>
      <w:r w:rsidRPr="009D56B8">
        <w:rPr>
          <w:lang w:val="nb-NO"/>
        </w:rPr>
        <w:t>/liter og hos 25 % av pasienter med lymfocyttall &lt;</w:t>
      </w:r>
      <w:r w:rsidR="00841E9A" w:rsidRPr="009D56B8">
        <w:rPr>
          <w:lang w:val="nb-NO"/>
        </w:rPr>
        <w:t> </w:t>
      </w:r>
      <w:r w:rsidRPr="009D56B8">
        <w:rPr>
          <w:lang w:val="nb-NO"/>
        </w:rPr>
        <w:t>0,1 × 10</w:t>
      </w:r>
      <w:r w:rsidRPr="009D56B8">
        <w:rPr>
          <w:vertAlign w:val="superscript"/>
          <w:lang w:val="nb-NO"/>
        </w:rPr>
        <w:t>9</w:t>
      </w:r>
      <w:r w:rsidRPr="009D56B8">
        <w:rPr>
          <w:lang w:val="nb-NO"/>
        </w:rPr>
        <w:t>/liter.</w:t>
      </w:r>
      <w:r w:rsidR="00415728" w:rsidRPr="009D56B8">
        <w:rPr>
          <w:lang w:val="nb-NO"/>
        </w:rPr>
        <w:t xml:space="preserve"> </w:t>
      </w:r>
      <w:r w:rsidR="00841E9A" w:rsidRPr="009D56B8">
        <w:rPr>
          <w:lang w:val="nb-NO"/>
        </w:rPr>
        <w:t xml:space="preserve">I kontrollerte og ikke-kontrollerte kliniske studier ble pasienter som </w:t>
      </w:r>
      <w:r w:rsidR="007A4EBF" w:rsidRPr="009D56B8">
        <w:rPr>
          <w:lang w:val="nb-NO"/>
        </w:rPr>
        <w:t xml:space="preserve">fikk </w:t>
      </w:r>
      <w:r w:rsidR="00841E9A" w:rsidRPr="009D56B8">
        <w:rPr>
          <w:lang w:val="nb-NO"/>
        </w:rPr>
        <w:t xml:space="preserve">seponert behandling med </w:t>
      </w:r>
      <w:r w:rsidR="005C569A" w:rsidRPr="009D56B8">
        <w:rPr>
          <w:lang w:val="nb-NO"/>
        </w:rPr>
        <w:t>dimetylfumarat</w:t>
      </w:r>
      <w:r w:rsidR="00841E9A" w:rsidRPr="009D56B8">
        <w:rPr>
          <w:lang w:val="nb-NO"/>
        </w:rPr>
        <w:t xml:space="preserve"> med lymfocyttall under </w:t>
      </w:r>
      <w:r w:rsidR="00150EB2" w:rsidRPr="009D56B8">
        <w:rPr>
          <w:lang w:val="nb-NO"/>
        </w:rPr>
        <w:t>LLN</w:t>
      </w:r>
      <w:r w:rsidR="00024CB9" w:rsidRPr="009D56B8">
        <w:rPr>
          <w:lang w:val="nb-NO"/>
        </w:rPr>
        <w:t>,</w:t>
      </w:r>
      <w:r w:rsidR="00841E9A" w:rsidRPr="009D56B8">
        <w:rPr>
          <w:lang w:val="nb-NO"/>
        </w:rPr>
        <w:t xml:space="preserve"> overvåket til lymfocyttallet var </w:t>
      </w:r>
      <w:r w:rsidR="00841E9A" w:rsidRPr="009D56B8">
        <w:rPr>
          <w:szCs w:val="22"/>
          <w:lang w:val="nb-NO"/>
        </w:rPr>
        <w:t xml:space="preserve">gjenopprettet </w:t>
      </w:r>
      <w:r w:rsidR="00841E9A" w:rsidRPr="009D56B8">
        <w:rPr>
          <w:lang w:val="nb-NO"/>
        </w:rPr>
        <w:t>til nedre grense for normalområdet (se pkt. 5.1).</w:t>
      </w:r>
    </w:p>
    <w:p w14:paraId="7895FB1C" w14:textId="77777777" w:rsidR="00E50867" w:rsidRPr="009D56B8" w:rsidRDefault="00E50867">
      <w:pPr>
        <w:keepNext/>
        <w:rPr>
          <w:lang w:val="nb-NO"/>
        </w:rPr>
      </w:pPr>
    </w:p>
    <w:p w14:paraId="2CCF6306" w14:textId="097784C1" w:rsidR="00E50867" w:rsidRPr="009D56B8" w:rsidRDefault="00AC4569">
      <w:pPr>
        <w:keepNext/>
        <w:rPr>
          <w:i/>
          <w:szCs w:val="22"/>
          <w:lang w:val="nb-NO"/>
        </w:rPr>
      </w:pPr>
      <w:r w:rsidRPr="009D56B8">
        <w:rPr>
          <w:i/>
          <w:szCs w:val="22"/>
          <w:lang w:val="nb-NO"/>
        </w:rPr>
        <w:t>Progressiv multifokal leukoencefalopati (PML)</w:t>
      </w:r>
    </w:p>
    <w:p w14:paraId="640A54C3" w14:textId="77777777" w:rsidR="00937DF3" w:rsidRPr="009D56B8" w:rsidRDefault="00937DF3">
      <w:pPr>
        <w:keepNext/>
        <w:rPr>
          <w:i/>
          <w:szCs w:val="22"/>
          <w:lang w:val="nb-NO"/>
        </w:rPr>
      </w:pPr>
    </w:p>
    <w:p w14:paraId="203BDAB7" w14:textId="4D971FFE" w:rsidR="00E50867" w:rsidRPr="009D56B8" w:rsidRDefault="00C770E8" w:rsidP="008E40D3">
      <w:pPr>
        <w:keepNext/>
        <w:rPr>
          <w:lang w:val="nb-NO"/>
        </w:rPr>
      </w:pPr>
      <w:r w:rsidRPr="009D56B8">
        <w:rPr>
          <w:lang w:val="nb-NO"/>
        </w:rPr>
        <w:t xml:space="preserve">Tilfeller av infeksjon med John Cunningham-virus (JCV) som forårsaker PML, er rapportert ved bruk av </w:t>
      </w:r>
      <w:r w:rsidR="001E7AB0" w:rsidRPr="009D56B8">
        <w:rPr>
          <w:lang w:val="nb-NO"/>
        </w:rPr>
        <w:t>dimetylfumarat</w:t>
      </w:r>
      <w:r w:rsidRPr="009D56B8">
        <w:rPr>
          <w:lang w:val="nb-NO"/>
        </w:rPr>
        <w:t xml:space="preserve"> (se pkt. 4.4). PML kan være dødelig eller føre til alvorlig nedsatt funksjonsevne. Én pasient som tok </w:t>
      </w:r>
      <w:r w:rsidR="001E7AB0" w:rsidRPr="009D56B8">
        <w:rPr>
          <w:lang w:val="nb-NO"/>
        </w:rPr>
        <w:t>dimetylfumarat</w:t>
      </w:r>
      <w:r w:rsidRPr="009D56B8">
        <w:rPr>
          <w:lang w:val="nb-NO"/>
        </w:rPr>
        <w:t xml:space="preserve"> i en av de kliniske utprøvingene, utviklet PML ved langvarig alvorlig lymfopeni (lymfocyttall hovedsakelig på &lt;</w:t>
      </w:r>
      <w:r w:rsidR="00841E9A" w:rsidRPr="009D56B8">
        <w:rPr>
          <w:lang w:val="nb-NO"/>
        </w:rPr>
        <w:t> </w:t>
      </w:r>
      <w:r w:rsidRPr="009D56B8">
        <w:rPr>
          <w:lang w:val="nb-NO"/>
        </w:rPr>
        <w:t>0,5 × 10</w:t>
      </w:r>
      <w:r w:rsidRPr="009D56B8">
        <w:rPr>
          <w:rStyle w:val="Superscript"/>
          <w:lang w:val="nb-NO"/>
        </w:rPr>
        <w:t>9</w:t>
      </w:r>
      <w:r w:rsidRPr="009D56B8">
        <w:rPr>
          <w:lang w:val="nb-NO"/>
        </w:rPr>
        <w:t>/liter i 3,5 år), og dette fikk en dødelig utgang. Etter markedsføring har PML også forekommet ved moderat og mild lymfopeni (&gt;</w:t>
      </w:r>
      <w:r w:rsidR="00841E9A" w:rsidRPr="009D56B8">
        <w:rPr>
          <w:lang w:val="nb-NO"/>
        </w:rPr>
        <w:t> </w:t>
      </w:r>
      <w:r w:rsidRPr="009D56B8">
        <w:rPr>
          <w:lang w:val="nb-NO"/>
        </w:rPr>
        <w:t>0,5 × 10</w:t>
      </w:r>
      <w:r w:rsidRPr="009D56B8">
        <w:rPr>
          <w:rStyle w:val="Superscript"/>
          <w:lang w:val="nb-NO"/>
        </w:rPr>
        <w:t>9</w:t>
      </w:r>
      <w:r w:rsidRPr="009D56B8">
        <w:rPr>
          <w:lang w:val="nb-NO"/>
        </w:rPr>
        <w:t>/liter til</w:t>
      </w:r>
      <w:r w:rsidR="00633021" w:rsidRPr="009D56B8">
        <w:rPr>
          <w:lang w:val="nb-NO"/>
        </w:rPr>
        <w:t xml:space="preserve"> </w:t>
      </w:r>
      <w:r w:rsidRPr="009D56B8">
        <w:rPr>
          <w:lang w:val="nb-NO"/>
        </w:rPr>
        <w:t>&lt;</w:t>
      </w:r>
      <w:r w:rsidR="00841E9A" w:rsidRPr="009D56B8">
        <w:rPr>
          <w:lang w:val="nb-NO"/>
        </w:rPr>
        <w:t> </w:t>
      </w:r>
      <w:r w:rsidRPr="009D56B8">
        <w:rPr>
          <w:lang w:val="nb-NO"/>
        </w:rPr>
        <w:t>nedre grense for normalområdet, definert av referanseområdet ved det lokale laboratoriet).</w:t>
      </w:r>
    </w:p>
    <w:p w14:paraId="334270D4" w14:textId="77777777" w:rsidR="00E50867" w:rsidRPr="009D56B8" w:rsidRDefault="00E50867">
      <w:pPr>
        <w:rPr>
          <w:lang w:val="nb-NO"/>
        </w:rPr>
      </w:pPr>
    </w:p>
    <w:p w14:paraId="16EF4065" w14:textId="5DE4A99B" w:rsidR="00E50867" w:rsidRPr="009D56B8" w:rsidRDefault="00C770E8">
      <w:pPr>
        <w:pStyle w:val="Standard"/>
        <w:rPr>
          <w:lang w:val="nb-NO"/>
        </w:rPr>
      </w:pPr>
      <w:r w:rsidRPr="009D56B8">
        <w:rPr>
          <w:noProof/>
          <w:lang w:val="nb-NO"/>
        </w:rPr>
        <w:t>I flere tilfeller av PML der undergrupper av T-celler ble bestemt på tidspunktet for PML-diagnosen, ble det sett at antall CD8-positive T-celler var redusert til &lt;</w:t>
      </w:r>
      <w:r w:rsidR="00841E9A" w:rsidRPr="009D56B8">
        <w:rPr>
          <w:noProof/>
          <w:lang w:val="nb-NO"/>
        </w:rPr>
        <w:t> </w:t>
      </w:r>
      <w:r w:rsidRPr="009D56B8">
        <w:rPr>
          <w:noProof/>
          <w:lang w:val="nb-NO"/>
        </w:rPr>
        <w:t>0,1 × </w:t>
      </w:r>
      <w:r w:rsidRPr="009D56B8">
        <w:rPr>
          <w:lang w:val="nb-NO"/>
        </w:rPr>
        <w:t>10</w:t>
      </w:r>
      <w:r w:rsidRPr="009D56B8">
        <w:rPr>
          <w:vertAlign w:val="superscript"/>
          <w:lang w:val="nb-NO"/>
        </w:rPr>
        <w:t>9</w:t>
      </w:r>
      <w:r w:rsidRPr="009D56B8">
        <w:rPr>
          <w:noProof/>
          <w:lang w:val="nb-NO"/>
        </w:rPr>
        <w:t>/liter, mens reduksjonen i antall CD4-positive T-celler varierte (i området &lt;</w:t>
      </w:r>
      <w:r w:rsidR="00841E9A" w:rsidRPr="009D56B8">
        <w:rPr>
          <w:noProof/>
          <w:lang w:val="nb-NO"/>
        </w:rPr>
        <w:t> </w:t>
      </w:r>
      <w:r w:rsidRPr="009D56B8">
        <w:rPr>
          <w:noProof/>
          <w:lang w:val="nb-NO"/>
        </w:rPr>
        <w:t>0,05 til 0,5 × </w:t>
      </w:r>
      <w:r w:rsidRPr="009D56B8">
        <w:rPr>
          <w:lang w:val="nb-NO"/>
        </w:rPr>
        <w:t>10</w:t>
      </w:r>
      <w:r w:rsidRPr="009D56B8">
        <w:rPr>
          <w:vertAlign w:val="superscript"/>
          <w:lang w:val="nb-NO"/>
        </w:rPr>
        <w:t>9</w:t>
      </w:r>
      <w:r w:rsidRPr="009D56B8">
        <w:rPr>
          <w:noProof/>
          <w:lang w:val="nb-NO"/>
        </w:rPr>
        <w:t>/liter) og korrelerte mer med den totale alvorlighetsgraden av lymfopeni (&lt;</w:t>
      </w:r>
      <w:r w:rsidR="00841E9A" w:rsidRPr="009D56B8">
        <w:rPr>
          <w:noProof/>
          <w:lang w:val="nb-NO"/>
        </w:rPr>
        <w:t> </w:t>
      </w:r>
      <w:r w:rsidRPr="009D56B8">
        <w:rPr>
          <w:noProof/>
          <w:lang w:val="nb-NO"/>
        </w:rPr>
        <w:t>0,5 x </w:t>
      </w:r>
      <w:r w:rsidRPr="009D56B8">
        <w:rPr>
          <w:lang w:val="nb-NO"/>
        </w:rPr>
        <w:t>10</w:t>
      </w:r>
      <w:r w:rsidRPr="009D56B8">
        <w:rPr>
          <w:vertAlign w:val="superscript"/>
          <w:lang w:val="nb-NO"/>
        </w:rPr>
        <w:t>9</w:t>
      </w:r>
      <w:r w:rsidRPr="009D56B8">
        <w:rPr>
          <w:noProof/>
          <w:lang w:val="nb-NO"/>
        </w:rPr>
        <w:t>/liter til &lt;</w:t>
      </w:r>
      <w:r w:rsidR="00841E9A" w:rsidRPr="009D56B8">
        <w:rPr>
          <w:noProof/>
          <w:lang w:val="nb-NO"/>
        </w:rPr>
        <w:t> </w:t>
      </w:r>
      <w:r w:rsidRPr="009D56B8">
        <w:rPr>
          <w:noProof/>
          <w:lang w:val="nb-NO"/>
        </w:rPr>
        <w:t>nedre grense for normalområdet). Forholdet CD4-positive/CD8-positive var derfor økt hos disse pasientene.</w:t>
      </w:r>
    </w:p>
    <w:p w14:paraId="73863230" w14:textId="77777777" w:rsidR="00E50867" w:rsidRPr="009D56B8" w:rsidRDefault="00E50867">
      <w:pPr>
        <w:pStyle w:val="Standard"/>
        <w:rPr>
          <w:lang w:val="nb-NO"/>
        </w:rPr>
      </w:pPr>
    </w:p>
    <w:p w14:paraId="7E4050EC" w14:textId="3664B105" w:rsidR="00E50867" w:rsidRPr="009D56B8" w:rsidRDefault="00C770E8">
      <w:pPr>
        <w:rPr>
          <w:lang w:val="nb-NO"/>
        </w:rPr>
      </w:pPr>
      <w:r w:rsidRPr="009D56B8">
        <w:rPr>
          <w:lang w:val="nb-NO"/>
        </w:rPr>
        <w:t xml:space="preserve">Langvarig moderat til alvorlig lymfopeni ser ut til å øke risikoen for PML ved bruk av </w:t>
      </w:r>
      <w:r w:rsidR="0097737A" w:rsidRPr="009D56B8">
        <w:rPr>
          <w:lang w:val="nb-NO"/>
        </w:rPr>
        <w:t>dimetylfumarat</w:t>
      </w:r>
      <w:r w:rsidRPr="009D56B8">
        <w:rPr>
          <w:lang w:val="nb-NO"/>
        </w:rPr>
        <w:t>, men PML forekom også hos pasienter med mild lymfopeni. I tillegg har de fleste PML-tilfellene etter markedsføring forekommet hos pasienter &gt;</w:t>
      </w:r>
      <w:r w:rsidR="00841E9A" w:rsidRPr="009D56B8">
        <w:rPr>
          <w:lang w:val="nb-NO"/>
        </w:rPr>
        <w:t> </w:t>
      </w:r>
      <w:r w:rsidRPr="009D56B8">
        <w:rPr>
          <w:lang w:val="nb-NO"/>
        </w:rPr>
        <w:t>50 år.</w:t>
      </w:r>
    </w:p>
    <w:p w14:paraId="046D66BF" w14:textId="77777777" w:rsidR="00E50867" w:rsidRPr="009D56B8" w:rsidRDefault="00E50867">
      <w:pPr>
        <w:rPr>
          <w:lang w:val="nb-NO"/>
        </w:rPr>
      </w:pPr>
    </w:p>
    <w:p w14:paraId="2D819812" w14:textId="11A3CBA1" w:rsidR="00A50D94" w:rsidRPr="009D56B8" w:rsidRDefault="00A50D94">
      <w:pPr>
        <w:rPr>
          <w:i/>
          <w:iCs/>
          <w:lang w:val="nb-NO"/>
        </w:rPr>
      </w:pPr>
      <w:r w:rsidRPr="009D56B8">
        <w:rPr>
          <w:i/>
          <w:iCs/>
          <w:lang w:val="nb-NO"/>
        </w:rPr>
        <w:t>Herpes zoster-infeksjoner</w:t>
      </w:r>
    </w:p>
    <w:p w14:paraId="10F2338D" w14:textId="77777777" w:rsidR="00A50D94" w:rsidRPr="009D56B8" w:rsidRDefault="00A50D94">
      <w:pPr>
        <w:rPr>
          <w:lang w:val="nb-NO"/>
        </w:rPr>
      </w:pPr>
    </w:p>
    <w:p w14:paraId="759538AD" w14:textId="314D9C8C" w:rsidR="00E50867" w:rsidRPr="009D56B8" w:rsidRDefault="00C770E8">
      <w:pPr>
        <w:rPr>
          <w:i/>
          <w:szCs w:val="22"/>
          <w:lang w:val="nb-NO"/>
        </w:rPr>
      </w:pPr>
      <w:r w:rsidRPr="009D56B8">
        <w:rPr>
          <w:lang w:val="nb-NO"/>
        </w:rPr>
        <w:t xml:space="preserve">Herpes zoster-infeksjoner er rapportert ved bruk av </w:t>
      </w:r>
      <w:r w:rsidR="00326511" w:rsidRPr="009D56B8">
        <w:rPr>
          <w:lang w:val="nb-NO"/>
        </w:rPr>
        <w:t>dimetylfumarat</w:t>
      </w:r>
      <w:r w:rsidRPr="009D56B8">
        <w:rPr>
          <w:lang w:val="nb-NO"/>
        </w:rPr>
        <w:t xml:space="preserve">. I </w:t>
      </w:r>
      <w:r w:rsidR="00DC2639" w:rsidRPr="009D56B8">
        <w:rPr>
          <w:lang w:val="nb-NO"/>
        </w:rPr>
        <w:t>den</w:t>
      </w:r>
      <w:r w:rsidRPr="009D56B8">
        <w:rPr>
          <w:lang w:val="nb-NO"/>
        </w:rPr>
        <w:t xml:space="preserve"> langvarig</w:t>
      </w:r>
      <w:r w:rsidR="00DC2639" w:rsidRPr="009D56B8">
        <w:rPr>
          <w:lang w:val="nb-NO"/>
        </w:rPr>
        <w:t>e</w:t>
      </w:r>
      <w:r w:rsidRPr="009D56B8">
        <w:rPr>
          <w:lang w:val="nb-NO"/>
        </w:rPr>
        <w:t xml:space="preserve"> forlengelsesstudie</w:t>
      </w:r>
      <w:r w:rsidR="00DC2639" w:rsidRPr="009D56B8">
        <w:rPr>
          <w:lang w:val="nb-NO"/>
        </w:rPr>
        <w:t>n</w:t>
      </w:r>
      <w:r w:rsidRPr="009D56B8">
        <w:rPr>
          <w:lang w:val="nb-NO"/>
        </w:rPr>
        <w:t xml:space="preserve"> der 1736 pasienter med MS </w:t>
      </w:r>
      <w:r w:rsidR="00DC2639" w:rsidRPr="009D56B8">
        <w:rPr>
          <w:lang w:val="nb-NO"/>
        </w:rPr>
        <w:t>ble</w:t>
      </w:r>
      <w:r w:rsidRPr="009D56B8">
        <w:rPr>
          <w:lang w:val="nb-NO"/>
        </w:rPr>
        <w:t xml:space="preserve"> behandlet</w:t>
      </w:r>
      <w:r w:rsidR="00DC2639" w:rsidRPr="009D56B8">
        <w:rPr>
          <w:lang w:val="nb-NO"/>
        </w:rPr>
        <w:t xml:space="preserve">, hadde </w:t>
      </w:r>
      <w:r w:rsidRPr="009D56B8">
        <w:rPr>
          <w:lang w:val="nb-NO"/>
        </w:rPr>
        <w:t xml:space="preserve">ca. 5 % av pasientene én eller flere tilfeller av herpes zoster, hvorav </w:t>
      </w:r>
      <w:r w:rsidR="00DC2639" w:rsidRPr="009D56B8">
        <w:rPr>
          <w:lang w:val="nb-NO"/>
        </w:rPr>
        <w:t>42 % var milde, 55 % var moderate og 3 % var alvorlige.</w:t>
      </w:r>
      <w:r w:rsidR="00E96C6B" w:rsidRPr="009D56B8">
        <w:rPr>
          <w:lang w:val="nb-NO"/>
        </w:rPr>
        <w:t xml:space="preserve"> Dette oppsto fra ca. 3 måneder til 10 år etter første dose med dimetylfumarat</w:t>
      </w:r>
      <w:r w:rsidR="005175DC" w:rsidRPr="009D56B8">
        <w:rPr>
          <w:lang w:val="nb-NO"/>
        </w:rPr>
        <w:t>. Fire pasienter hadde alvorlige hendelser, og alle gikk over</w:t>
      </w:r>
      <w:r w:rsidR="00E96C6B" w:rsidRPr="009D56B8">
        <w:rPr>
          <w:lang w:val="nb-NO"/>
        </w:rPr>
        <w:t xml:space="preserve">. </w:t>
      </w:r>
      <w:r w:rsidRPr="009D56B8">
        <w:rPr>
          <w:lang w:val="nb-NO"/>
        </w:rPr>
        <w:t xml:space="preserve">De fleste pasientene, inkludert de som fikk alvorlig herpes zoster-infeksjon, hadde lymfocyttall over nedre grense for normalområdet. Hos de fleste pasientene som hadde lymfocyttall </w:t>
      </w:r>
      <w:r w:rsidRPr="009D56B8">
        <w:rPr>
          <w:szCs w:val="22"/>
          <w:lang w:val="nb-NO" w:eastAsia="zh-CN"/>
        </w:rPr>
        <w:t>under nedre grense for normalområdet, ble lymfopeni klassifisert som moderat eller alvorlig</w:t>
      </w:r>
      <w:r w:rsidRPr="009D56B8">
        <w:rPr>
          <w:lang w:val="nb-NO"/>
        </w:rPr>
        <w:t xml:space="preserve">. Etter markedsføring var de fleste tilfellene av herpes zoster-infeksjoner ikke alvorlige og gikk over med behandling. Det er begrenset mengde tilgjengelige data på absolutt lymfocyttall hos pasienter med herpes zoster-infeksjon etter markedsføring. I tilfeller der det ble rapportert, hadde de fleste pasienter imidlertid moderat </w:t>
      </w:r>
      <w:r w:rsidR="0031543E" w:rsidRPr="009D56B8">
        <w:rPr>
          <w:lang w:val="nb-NO"/>
        </w:rPr>
        <w:t>(≥ 0,5 × 10</w:t>
      </w:r>
      <w:r w:rsidR="0031543E" w:rsidRPr="009D56B8">
        <w:rPr>
          <w:rStyle w:val="Superscript"/>
          <w:lang w:val="nb-NO"/>
        </w:rPr>
        <w:t>9</w:t>
      </w:r>
      <w:r w:rsidR="0031543E" w:rsidRPr="009D56B8">
        <w:rPr>
          <w:lang w:val="nb-NO"/>
        </w:rPr>
        <w:t>/liter til &lt; 0,8 × 10</w:t>
      </w:r>
      <w:r w:rsidR="0031543E" w:rsidRPr="009D56B8">
        <w:rPr>
          <w:rStyle w:val="Superscript"/>
          <w:lang w:val="nb-NO"/>
        </w:rPr>
        <w:t>9</w:t>
      </w:r>
      <w:r w:rsidR="0031543E" w:rsidRPr="009D56B8">
        <w:rPr>
          <w:lang w:val="nb-NO"/>
        </w:rPr>
        <w:t>/liter) eller alvorlig (&lt; 0,5 × 10</w:t>
      </w:r>
      <w:r w:rsidR="0031543E" w:rsidRPr="009D56B8">
        <w:rPr>
          <w:rStyle w:val="Superscript"/>
          <w:lang w:val="nb-NO"/>
        </w:rPr>
        <w:t>9</w:t>
      </w:r>
      <w:r w:rsidR="0031543E" w:rsidRPr="009D56B8">
        <w:rPr>
          <w:lang w:val="nb-NO"/>
        </w:rPr>
        <w:t>/liter til 0,2 × 10</w:t>
      </w:r>
      <w:r w:rsidR="0031543E" w:rsidRPr="009D56B8">
        <w:rPr>
          <w:rStyle w:val="Superscript"/>
          <w:lang w:val="nb-NO"/>
        </w:rPr>
        <w:t>9</w:t>
      </w:r>
      <w:r w:rsidR="0031543E" w:rsidRPr="009D56B8">
        <w:rPr>
          <w:lang w:val="nb-NO"/>
        </w:rPr>
        <w:t>/liter) lymfopeni (se pkt. 4.4).</w:t>
      </w:r>
    </w:p>
    <w:p w14:paraId="78AC37DC" w14:textId="77777777" w:rsidR="00E50867" w:rsidRPr="009D56B8" w:rsidRDefault="00C770E8">
      <w:pPr>
        <w:keepNext/>
        <w:rPr>
          <w:i/>
          <w:szCs w:val="22"/>
          <w:lang w:val="nb-NO"/>
        </w:rPr>
      </w:pPr>
      <w:r w:rsidRPr="009D56B8">
        <w:rPr>
          <w:i/>
          <w:szCs w:val="22"/>
          <w:lang w:val="nb-NO"/>
        </w:rPr>
        <w:t>Laboratorieavvik</w:t>
      </w:r>
    </w:p>
    <w:p w14:paraId="01E7EC3C" w14:textId="77777777" w:rsidR="00E50867" w:rsidRPr="009D56B8" w:rsidRDefault="00E50867">
      <w:pPr>
        <w:keepNext/>
        <w:rPr>
          <w:i/>
          <w:szCs w:val="22"/>
          <w:lang w:val="nb-NO"/>
        </w:rPr>
      </w:pPr>
    </w:p>
    <w:p w14:paraId="395E7045" w14:textId="79F5E3C1" w:rsidR="00E50867" w:rsidRPr="009D56B8" w:rsidRDefault="00C770E8">
      <w:pPr>
        <w:rPr>
          <w:szCs w:val="22"/>
          <w:lang w:val="nb-NO"/>
        </w:rPr>
      </w:pPr>
      <w:r w:rsidRPr="009D56B8">
        <w:rPr>
          <w:szCs w:val="22"/>
          <w:lang w:val="nb-NO"/>
        </w:rPr>
        <w:t>I placebokontrollerte studier var måling av ketoner i urin (≥</w:t>
      </w:r>
      <w:r w:rsidR="002974CD" w:rsidRPr="009D56B8">
        <w:rPr>
          <w:szCs w:val="22"/>
          <w:lang w:val="nb-NO"/>
        </w:rPr>
        <w:t> </w:t>
      </w:r>
      <w:r w:rsidRPr="009D56B8">
        <w:rPr>
          <w:szCs w:val="22"/>
          <w:lang w:val="nb-NO"/>
        </w:rPr>
        <w:t xml:space="preserve">1+) høyere hos pasienter som ble behandlet med </w:t>
      </w:r>
      <w:r w:rsidR="001F1F9A" w:rsidRPr="009D56B8">
        <w:rPr>
          <w:szCs w:val="22"/>
          <w:lang w:val="nb-NO"/>
        </w:rPr>
        <w:t>dimetylfumarat</w:t>
      </w:r>
      <w:r w:rsidRPr="009D56B8">
        <w:rPr>
          <w:szCs w:val="22"/>
          <w:lang w:val="nb-NO"/>
        </w:rPr>
        <w:t xml:space="preserve"> (45 %) sammenlignet med placebo (10 %). Ingen uønskede kliniske konsekvenser ble observert i kliniske studier.</w:t>
      </w:r>
    </w:p>
    <w:p w14:paraId="7705E2EE" w14:textId="77777777" w:rsidR="00E50867" w:rsidRPr="009D56B8" w:rsidRDefault="00E50867">
      <w:pPr>
        <w:rPr>
          <w:szCs w:val="22"/>
          <w:lang w:val="nb-NO"/>
        </w:rPr>
      </w:pPr>
    </w:p>
    <w:p w14:paraId="37DFA977" w14:textId="58A61BE5" w:rsidR="00E50867" w:rsidRPr="009D56B8" w:rsidRDefault="00C770E8">
      <w:pPr>
        <w:rPr>
          <w:szCs w:val="22"/>
          <w:lang w:val="nb-NO"/>
        </w:rPr>
      </w:pPr>
      <w:r w:rsidRPr="009D56B8">
        <w:rPr>
          <w:szCs w:val="22"/>
          <w:lang w:val="nb-NO"/>
        </w:rPr>
        <w:t xml:space="preserve">Nivået av 1,25-dihydroksyvitamin D avtok hos pasienter behandlet med </w:t>
      </w:r>
      <w:r w:rsidR="001F1F9A" w:rsidRPr="009D56B8">
        <w:rPr>
          <w:szCs w:val="22"/>
          <w:lang w:val="nb-NO"/>
        </w:rPr>
        <w:t>dimetylfumarat</w:t>
      </w:r>
      <w:r w:rsidRPr="009D56B8">
        <w:rPr>
          <w:szCs w:val="22"/>
          <w:lang w:val="nb-NO"/>
        </w:rPr>
        <w:t xml:space="preserve"> sammenlignet med placebo (median prosentvis nedgang fra baseline etter 2 år på henholdsvis 25 % og 15 %), og nivået av paratyreoideahormon (PTH) økte hos pasienter behandlet med </w:t>
      </w:r>
      <w:r w:rsidR="001F1F9A" w:rsidRPr="009D56B8">
        <w:rPr>
          <w:szCs w:val="22"/>
          <w:lang w:val="nb-NO"/>
        </w:rPr>
        <w:t>dimetylfumarat</w:t>
      </w:r>
      <w:r w:rsidRPr="009D56B8">
        <w:rPr>
          <w:szCs w:val="22"/>
          <w:lang w:val="nb-NO"/>
        </w:rPr>
        <w:t xml:space="preserve"> sammenlignet med placebo (median prosentvis økning fra baseline etter 2 år på henholdsvis 29 % og 15 %). Gjennomsnittsverdier for begge parametrene holdt seg innenfor normalområdet.</w:t>
      </w:r>
    </w:p>
    <w:p w14:paraId="1A750E61" w14:textId="77777777" w:rsidR="00E50867" w:rsidRPr="009D56B8" w:rsidRDefault="00E50867">
      <w:pPr>
        <w:rPr>
          <w:szCs w:val="22"/>
          <w:lang w:val="nb-NO"/>
        </w:rPr>
      </w:pPr>
    </w:p>
    <w:p w14:paraId="17B5520B" w14:textId="77777777" w:rsidR="00E50867" w:rsidRPr="009D56B8" w:rsidRDefault="00C770E8">
      <w:pPr>
        <w:rPr>
          <w:szCs w:val="22"/>
          <w:lang w:val="nb-NO"/>
        </w:rPr>
      </w:pPr>
      <w:r w:rsidRPr="009D56B8">
        <w:rPr>
          <w:szCs w:val="22"/>
          <w:lang w:val="nb-NO"/>
        </w:rPr>
        <w:t>En forbigående økning i gjennomsnittlig eosinofiltall ble sett i løpet av de første 2 behandlingsmånedene.</w:t>
      </w:r>
    </w:p>
    <w:p w14:paraId="22192952" w14:textId="77777777" w:rsidR="00E50867" w:rsidRPr="009D56B8" w:rsidRDefault="00E50867">
      <w:pPr>
        <w:rPr>
          <w:szCs w:val="22"/>
          <w:lang w:val="nb-NO"/>
        </w:rPr>
      </w:pPr>
    </w:p>
    <w:p w14:paraId="3A52E08B" w14:textId="77777777" w:rsidR="00E50867" w:rsidRPr="009D56B8" w:rsidRDefault="00C770E8">
      <w:pPr>
        <w:rPr>
          <w:szCs w:val="22"/>
          <w:u w:val="single"/>
          <w:lang w:val="nb-NO"/>
        </w:rPr>
      </w:pPr>
      <w:r w:rsidRPr="009D56B8">
        <w:rPr>
          <w:szCs w:val="22"/>
          <w:u w:val="single"/>
          <w:lang w:val="nb-NO"/>
        </w:rPr>
        <w:t>Pediatrisk populasjon</w:t>
      </w:r>
    </w:p>
    <w:p w14:paraId="187CFF5A" w14:textId="77777777" w:rsidR="00E50867" w:rsidRPr="009D56B8" w:rsidRDefault="00E50867">
      <w:pPr>
        <w:rPr>
          <w:szCs w:val="22"/>
          <w:lang w:val="nb-NO"/>
        </w:rPr>
      </w:pPr>
    </w:p>
    <w:p w14:paraId="55DE6219" w14:textId="1C62526C" w:rsidR="00823890" w:rsidRPr="009D56B8" w:rsidRDefault="00A53A43" w:rsidP="00A53A43">
      <w:pPr>
        <w:pStyle w:val="Standard1"/>
        <w:autoSpaceDE w:val="0"/>
        <w:autoSpaceDN w:val="0"/>
        <w:adjustRightInd w:val="0"/>
        <w:rPr>
          <w:szCs w:val="22"/>
          <w:lang w:val="nb-NO"/>
        </w:rPr>
      </w:pPr>
      <w:r w:rsidRPr="009D56B8">
        <w:rPr>
          <w:rFonts w:eastAsia="SimSun"/>
          <w:lang w:val="nb-NO"/>
        </w:rPr>
        <w:t xml:space="preserve">I en 96-ukers, åpen, randomisert studie med aktiv kontroll </w:t>
      </w:r>
      <w:r w:rsidR="007914FC" w:rsidRPr="009D56B8">
        <w:rPr>
          <w:rFonts w:eastAsia="SimSun"/>
          <w:lang w:val="nb-NO"/>
        </w:rPr>
        <w:t>ble</w:t>
      </w:r>
      <w:r w:rsidRPr="009D56B8">
        <w:rPr>
          <w:rFonts w:eastAsia="SimSun"/>
          <w:lang w:val="nb-NO"/>
        </w:rPr>
        <w:t xml:space="preserve"> pediatriske pasienter med RRMS</w:t>
      </w:r>
      <w:r w:rsidR="007914FC" w:rsidRPr="009D56B8">
        <w:rPr>
          <w:rFonts w:eastAsia="SimSun"/>
          <w:lang w:val="nb-NO"/>
        </w:rPr>
        <w:t xml:space="preserve"> (n = 7</w:t>
      </w:r>
      <w:r w:rsidRPr="009D56B8">
        <w:rPr>
          <w:rFonts w:eastAsia="SimSun"/>
          <w:lang w:val="nb-NO"/>
        </w:rPr>
        <w:t xml:space="preserve"> i alderen</w:t>
      </w:r>
      <w:r w:rsidR="00C67912" w:rsidRPr="009D56B8">
        <w:rPr>
          <w:rFonts w:eastAsia="SimSun"/>
          <w:lang w:val="nb-NO"/>
        </w:rPr>
        <w:t> </w:t>
      </w:r>
      <w:r w:rsidRPr="009D56B8">
        <w:rPr>
          <w:rFonts w:eastAsia="SimSun"/>
          <w:lang w:val="nb-NO"/>
        </w:rPr>
        <w:t xml:space="preserve">10 </w:t>
      </w:r>
      <w:r w:rsidR="00881E11" w:rsidRPr="009D56B8">
        <w:rPr>
          <w:rFonts w:eastAsia="SimSun"/>
          <w:lang w:val="nb-NO"/>
        </w:rPr>
        <w:t>opp</w:t>
      </w:r>
      <w:r w:rsidRPr="009D56B8">
        <w:rPr>
          <w:rFonts w:eastAsia="SimSun"/>
          <w:lang w:val="nb-NO"/>
        </w:rPr>
        <w:t xml:space="preserve">til </w:t>
      </w:r>
      <w:r w:rsidR="007914FC" w:rsidRPr="009D56B8">
        <w:rPr>
          <w:rFonts w:eastAsia="SimSun"/>
          <w:lang w:val="nb-NO"/>
        </w:rPr>
        <w:t>13 år og n = 71 i alderen 13 opptil 18 år)</w:t>
      </w:r>
      <w:r w:rsidR="00823890" w:rsidRPr="009D56B8">
        <w:rPr>
          <w:rFonts w:eastAsia="SimSun"/>
          <w:lang w:val="nb-NO"/>
        </w:rPr>
        <w:t xml:space="preserve"> behandlet med </w:t>
      </w:r>
      <w:r w:rsidRPr="009D56B8">
        <w:rPr>
          <w:rFonts w:eastAsia="SimSun"/>
          <w:lang w:val="nb-NO"/>
        </w:rPr>
        <w:t xml:space="preserve">120 mg </w:t>
      </w:r>
      <w:r w:rsidRPr="009D56B8">
        <w:rPr>
          <w:szCs w:val="22"/>
          <w:lang w:val="nb-NO"/>
        </w:rPr>
        <w:t>to ganger daglig i 7 dager etterfulgt av 240 mg to ganger daglig resten av behandlingen</w:t>
      </w:r>
      <w:r w:rsidR="00823890" w:rsidRPr="009D56B8">
        <w:rPr>
          <w:szCs w:val="22"/>
          <w:lang w:val="nb-NO"/>
        </w:rPr>
        <w:t>. Det så ut til at sikkerhetsprofilen var omtrent den samme hos pediatriske pasienter som den som tidligere er sett hos voksne pasienter.</w:t>
      </w:r>
    </w:p>
    <w:p w14:paraId="1D41AA01" w14:textId="77777777" w:rsidR="00823890" w:rsidRPr="009D56B8" w:rsidRDefault="00823890" w:rsidP="00A53A43">
      <w:pPr>
        <w:pStyle w:val="Standard1"/>
        <w:autoSpaceDE w:val="0"/>
        <w:autoSpaceDN w:val="0"/>
        <w:adjustRightInd w:val="0"/>
        <w:rPr>
          <w:szCs w:val="22"/>
          <w:lang w:val="nb-NO"/>
        </w:rPr>
      </w:pPr>
    </w:p>
    <w:p w14:paraId="734CA57E" w14:textId="55D0B9E0" w:rsidR="00A53A43" w:rsidRPr="009D56B8" w:rsidRDefault="00A53A43" w:rsidP="00A53A43">
      <w:pPr>
        <w:rPr>
          <w:lang w:val="nb-NO" w:eastAsia="en-US"/>
        </w:rPr>
      </w:pPr>
      <w:r w:rsidRPr="009D56B8">
        <w:rPr>
          <w:lang w:val="nb-NO" w:eastAsia="en-US"/>
        </w:rPr>
        <w:t xml:space="preserve">Designet </w:t>
      </w:r>
      <w:r w:rsidR="00635FB5" w:rsidRPr="009D56B8">
        <w:rPr>
          <w:lang w:val="nb-NO" w:eastAsia="en-US"/>
        </w:rPr>
        <w:t>av</w:t>
      </w:r>
      <w:r w:rsidRPr="009D56B8">
        <w:rPr>
          <w:lang w:val="nb-NO" w:eastAsia="en-US"/>
        </w:rPr>
        <w:t xml:space="preserve"> de</w:t>
      </w:r>
      <w:r w:rsidR="009E03F1" w:rsidRPr="009D56B8">
        <w:rPr>
          <w:lang w:val="nb-NO" w:eastAsia="en-US"/>
        </w:rPr>
        <w:t>n</w:t>
      </w:r>
      <w:r w:rsidRPr="009D56B8">
        <w:rPr>
          <w:lang w:val="nb-NO" w:eastAsia="en-US"/>
        </w:rPr>
        <w:t xml:space="preserve"> pediatriske kliniske studien var forskjellig fra de placebokontrollerte kliniske studiene hos voksne. Det kan derfor ikke utelukkes at klinisk studiedesign kan ha bidratt til numeriske forskjeller i bivirkninger mellom den pediatriske og voksne populasjonen.</w:t>
      </w:r>
      <w:r w:rsidR="009A7C2A" w:rsidRPr="009D56B8">
        <w:rPr>
          <w:lang w:val="nl-NL"/>
        </w:rPr>
        <w:t xml:space="preserve"> </w:t>
      </w:r>
      <w:r w:rsidR="009A7C2A" w:rsidRPr="009D56B8">
        <w:rPr>
          <w:lang w:val="nb-NO" w:eastAsia="en-US"/>
        </w:rPr>
        <w:t>Gastrointestinale sykdommer, sykdommer i respirasjonsorganer, thorax og mediastinum samt bivirkningene hodepine og dysmenoré ble rapportert hyppigere (≥ 10 %) i den pediatriske populasjonen enn i den voksne populasjonen.</w:t>
      </w:r>
      <w:r w:rsidR="00546DEB" w:rsidRPr="009D56B8">
        <w:rPr>
          <w:lang w:val="nl-NL"/>
        </w:rPr>
        <w:t xml:space="preserve"> </w:t>
      </w:r>
      <w:r w:rsidR="00546DEB" w:rsidRPr="009D56B8">
        <w:rPr>
          <w:lang w:val="nb-NO" w:eastAsia="en-US"/>
        </w:rPr>
        <w:t>Disse bivirkningene ble rapportert med følgende prosentandel hos pediatriske pasienter:</w:t>
      </w:r>
    </w:p>
    <w:p w14:paraId="5E75DA2B" w14:textId="77777777" w:rsidR="00A53A43" w:rsidRPr="009D56B8" w:rsidRDefault="00A53A43" w:rsidP="00A53A43">
      <w:pPr>
        <w:rPr>
          <w:lang w:val="nb-NO" w:eastAsia="en-US"/>
        </w:rPr>
      </w:pPr>
    </w:p>
    <w:p w14:paraId="024027D8" w14:textId="5EEF5F6D" w:rsidR="00A53A43" w:rsidRPr="009D56B8" w:rsidRDefault="00A53A43" w:rsidP="00513CD0">
      <w:pPr>
        <w:pStyle w:val="ListParagraph"/>
        <w:numPr>
          <w:ilvl w:val="0"/>
          <w:numId w:val="46"/>
        </w:numPr>
        <w:tabs>
          <w:tab w:val="clear" w:pos="567"/>
          <w:tab w:val="left" w:pos="426"/>
        </w:tabs>
        <w:suppressAutoHyphens w:val="0"/>
        <w:ind w:left="426" w:hanging="426"/>
        <w:rPr>
          <w:rFonts w:eastAsia="Times New Roman"/>
          <w:lang w:val="nb-NO" w:eastAsia="en-US"/>
        </w:rPr>
      </w:pPr>
      <w:r w:rsidRPr="009D56B8">
        <w:rPr>
          <w:rFonts w:eastAsia="Times New Roman"/>
          <w:lang w:val="nb-NO" w:eastAsia="en-US"/>
        </w:rPr>
        <w:t xml:space="preserve">Hodepine ble rapportert hos 28 % av pasientene behandlet med </w:t>
      </w:r>
      <w:r w:rsidR="00940EB2" w:rsidRPr="009D56B8">
        <w:rPr>
          <w:rFonts w:eastAsia="Times New Roman"/>
          <w:lang w:val="nb-NO" w:eastAsia="en-US"/>
        </w:rPr>
        <w:t>dimetylfumarat</w:t>
      </w:r>
      <w:r w:rsidRPr="009D56B8">
        <w:rPr>
          <w:rFonts w:eastAsia="Times New Roman"/>
          <w:lang w:val="nb-NO" w:eastAsia="en-US"/>
        </w:rPr>
        <w:t xml:space="preserve"> </w:t>
      </w:r>
      <w:r w:rsidR="00635FB5" w:rsidRPr="009D56B8">
        <w:rPr>
          <w:rFonts w:eastAsia="Times New Roman"/>
          <w:lang w:val="nb-NO" w:eastAsia="en-US"/>
        </w:rPr>
        <w:t>versus</w:t>
      </w:r>
      <w:r w:rsidRPr="009D56B8">
        <w:rPr>
          <w:rFonts w:eastAsia="Times New Roman"/>
          <w:lang w:val="nb-NO" w:eastAsia="en-US"/>
        </w:rPr>
        <w:t xml:space="preserve"> 36 % av pasientene behandlet med </w:t>
      </w:r>
      <w:r w:rsidRPr="009D56B8">
        <w:rPr>
          <w:lang w:val="nb-NO"/>
        </w:rPr>
        <w:t>interferon beta-1a.</w:t>
      </w:r>
    </w:p>
    <w:p w14:paraId="7245366C" w14:textId="697EA82B" w:rsidR="00A53A43" w:rsidRPr="009D56B8" w:rsidRDefault="00A53A43" w:rsidP="00513CD0">
      <w:pPr>
        <w:pStyle w:val="ListParagraph"/>
        <w:numPr>
          <w:ilvl w:val="0"/>
          <w:numId w:val="46"/>
        </w:numPr>
        <w:tabs>
          <w:tab w:val="clear" w:pos="567"/>
          <w:tab w:val="left" w:pos="426"/>
        </w:tabs>
        <w:suppressAutoHyphens w:val="0"/>
        <w:ind w:left="426" w:hanging="426"/>
        <w:rPr>
          <w:rFonts w:eastAsia="Times New Roman"/>
          <w:lang w:val="nb-NO" w:eastAsia="en-US"/>
        </w:rPr>
      </w:pPr>
      <w:r w:rsidRPr="009D56B8">
        <w:rPr>
          <w:rFonts w:eastAsia="Times New Roman"/>
          <w:lang w:val="nb-NO"/>
        </w:rPr>
        <w:t xml:space="preserve">Gastrointestinale sykdommer ble rapportert hos 74 % </w:t>
      </w:r>
      <w:r w:rsidRPr="009D56B8">
        <w:rPr>
          <w:rFonts w:eastAsia="Times New Roman"/>
          <w:lang w:val="nb-NO" w:eastAsia="en-US"/>
        </w:rPr>
        <w:t>av pasientene behandlet med</w:t>
      </w:r>
      <w:r w:rsidRPr="009D56B8">
        <w:rPr>
          <w:rFonts w:eastAsia="Times New Roman"/>
          <w:lang w:val="nb-NO"/>
        </w:rPr>
        <w:t xml:space="preserve"> </w:t>
      </w:r>
      <w:r w:rsidR="00940EB2" w:rsidRPr="009D56B8">
        <w:rPr>
          <w:rFonts w:eastAsia="Times New Roman"/>
          <w:lang w:val="nb-NO"/>
        </w:rPr>
        <w:t>dimetylfumarat</w:t>
      </w:r>
      <w:r w:rsidRPr="009D56B8">
        <w:rPr>
          <w:rFonts w:eastAsia="Times New Roman"/>
          <w:lang w:val="nb-NO"/>
        </w:rPr>
        <w:t xml:space="preserve"> </w:t>
      </w:r>
      <w:r w:rsidR="00635FB5" w:rsidRPr="009D56B8">
        <w:rPr>
          <w:rFonts w:eastAsia="Times New Roman"/>
          <w:lang w:val="nb-NO"/>
        </w:rPr>
        <w:t>versus</w:t>
      </w:r>
      <w:r w:rsidRPr="009D56B8">
        <w:rPr>
          <w:rFonts w:eastAsia="Times New Roman"/>
          <w:lang w:val="nb-NO"/>
        </w:rPr>
        <w:t xml:space="preserve"> 31 % </w:t>
      </w:r>
      <w:r w:rsidRPr="009D56B8">
        <w:rPr>
          <w:rFonts w:eastAsia="Times New Roman"/>
          <w:lang w:val="nb-NO" w:eastAsia="en-US"/>
        </w:rPr>
        <w:t>av pasientene behandlet med</w:t>
      </w:r>
      <w:r w:rsidRPr="009D56B8">
        <w:rPr>
          <w:rFonts w:eastAsia="Times New Roman"/>
          <w:lang w:val="nb-NO"/>
        </w:rPr>
        <w:t xml:space="preserve"> </w:t>
      </w:r>
      <w:r w:rsidRPr="009D56B8">
        <w:rPr>
          <w:lang w:val="nb-NO"/>
        </w:rPr>
        <w:t>interferon beta-1a</w:t>
      </w:r>
      <w:r w:rsidRPr="009D56B8">
        <w:rPr>
          <w:rFonts w:eastAsia="Times New Roman"/>
          <w:lang w:val="nb-NO"/>
        </w:rPr>
        <w:t xml:space="preserve">. Blant disse var abdominal smerte og oppkast de hyppigst rapporterte med </w:t>
      </w:r>
      <w:r w:rsidR="00D172C2" w:rsidRPr="009D56B8">
        <w:rPr>
          <w:rFonts w:eastAsia="Times New Roman"/>
          <w:lang w:val="nb-NO"/>
        </w:rPr>
        <w:t>Dimethyl fumarate Accord</w:t>
      </w:r>
      <w:r w:rsidRPr="009D56B8">
        <w:rPr>
          <w:rFonts w:eastAsia="Times New Roman"/>
          <w:lang w:val="nb-NO"/>
        </w:rPr>
        <w:t>.</w:t>
      </w:r>
    </w:p>
    <w:p w14:paraId="6445CCD6" w14:textId="1A4481B4" w:rsidR="00A53A43" w:rsidRPr="009D56B8" w:rsidRDefault="00A53A43" w:rsidP="00513CD0">
      <w:pPr>
        <w:pStyle w:val="ListParagraph"/>
        <w:numPr>
          <w:ilvl w:val="0"/>
          <w:numId w:val="46"/>
        </w:numPr>
        <w:tabs>
          <w:tab w:val="clear" w:pos="567"/>
          <w:tab w:val="left" w:pos="426"/>
        </w:tabs>
        <w:suppressAutoHyphens w:val="0"/>
        <w:ind w:left="426" w:hanging="426"/>
        <w:rPr>
          <w:rFonts w:eastAsia="Times New Roman"/>
          <w:lang w:val="nb-NO" w:eastAsia="en-US"/>
        </w:rPr>
      </w:pPr>
      <w:r w:rsidRPr="009D56B8">
        <w:rPr>
          <w:rFonts w:eastAsia="Times New Roman"/>
          <w:lang w:val="nb-NO"/>
        </w:rPr>
        <w:t xml:space="preserve">Sykdommer i respirasjonsorganer, thorax og mediastinum ble rapportert hos 32 % </w:t>
      </w:r>
      <w:r w:rsidRPr="009D56B8">
        <w:rPr>
          <w:rFonts w:eastAsia="Times New Roman"/>
          <w:lang w:val="nb-NO" w:eastAsia="en-US"/>
        </w:rPr>
        <w:t>av pasientene behandlet med</w:t>
      </w:r>
      <w:r w:rsidRPr="009D56B8">
        <w:rPr>
          <w:rFonts w:eastAsia="Times New Roman"/>
          <w:lang w:val="nb-NO"/>
        </w:rPr>
        <w:t xml:space="preserve"> </w:t>
      </w:r>
      <w:r w:rsidR="00940EB2" w:rsidRPr="009D56B8">
        <w:rPr>
          <w:rFonts w:eastAsia="Times New Roman"/>
          <w:lang w:val="nb-NO"/>
        </w:rPr>
        <w:t>dimetylfumarat</w:t>
      </w:r>
      <w:r w:rsidRPr="009D56B8">
        <w:rPr>
          <w:rFonts w:eastAsia="Times New Roman"/>
          <w:lang w:val="nb-NO"/>
        </w:rPr>
        <w:t xml:space="preserve"> </w:t>
      </w:r>
      <w:r w:rsidR="00937D61" w:rsidRPr="009D56B8">
        <w:rPr>
          <w:rFonts w:eastAsia="Times New Roman"/>
          <w:lang w:val="nb-NO"/>
        </w:rPr>
        <w:t>versus</w:t>
      </w:r>
      <w:r w:rsidRPr="009D56B8">
        <w:rPr>
          <w:rFonts w:eastAsia="Times New Roman"/>
          <w:lang w:val="nb-NO"/>
        </w:rPr>
        <w:t xml:space="preserve"> 11 % </w:t>
      </w:r>
      <w:r w:rsidRPr="009D56B8">
        <w:rPr>
          <w:rFonts w:eastAsia="Times New Roman"/>
          <w:lang w:val="nb-NO" w:eastAsia="en-US"/>
        </w:rPr>
        <w:t>av pasientene behandlet med</w:t>
      </w:r>
      <w:r w:rsidRPr="009D56B8">
        <w:rPr>
          <w:lang w:val="nb-NO"/>
        </w:rPr>
        <w:t xml:space="preserve"> interferon beta-1a</w:t>
      </w:r>
      <w:r w:rsidRPr="009D56B8">
        <w:rPr>
          <w:rFonts w:eastAsia="Times New Roman"/>
          <w:lang w:val="nb-NO"/>
        </w:rPr>
        <w:t xml:space="preserve">. Blant disse var orofaryngeal smerte og hoste de hyppigst rapporterte med </w:t>
      </w:r>
      <w:r w:rsidR="00940EB2" w:rsidRPr="009D56B8">
        <w:rPr>
          <w:rFonts w:eastAsia="Times New Roman"/>
          <w:lang w:val="nb-NO"/>
        </w:rPr>
        <w:t>dimetylfumarat</w:t>
      </w:r>
      <w:r w:rsidRPr="009D56B8">
        <w:rPr>
          <w:rFonts w:eastAsia="Times New Roman"/>
          <w:lang w:val="nb-NO"/>
        </w:rPr>
        <w:t>.</w:t>
      </w:r>
    </w:p>
    <w:p w14:paraId="64D02B65" w14:textId="4DDB1EAF" w:rsidR="00A53A43" w:rsidRPr="009D56B8" w:rsidRDefault="00A53A43" w:rsidP="00513CD0">
      <w:pPr>
        <w:pStyle w:val="ListParagraph"/>
        <w:numPr>
          <w:ilvl w:val="0"/>
          <w:numId w:val="46"/>
        </w:numPr>
        <w:tabs>
          <w:tab w:val="clear" w:pos="567"/>
          <w:tab w:val="left" w:pos="426"/>
        </w:tabs>
        <w:suppressAutoHyphens w:val="0"/>
        <w:ind w:left="426" w:hanging="426"/>
        <w:rPr>
          <w:rFonts w:eastAsia="Times New Roman"/>
          <w:lang w:val="nb-NO" w:eastAsia="en-US"/>
        </w:rPr>
      </w:pPr>
      <w:r w:rsidRPr="009D56B8">
        <w:rPr>
          <w:rFonts w:eastAsia="Times New Roman"/>
          <w:lang w:val="nb-NO" w:eastAsia="en-US"/>
        </w:rPr>
        <w:t xml:space="preserve">Dysmenoré </w:t>
      </w:r>
      <w:r w:rsidRPr="009D56B8">
        <w:rPr>
          <w:rFonts w:eastAsia="Times New Roman"/>
          <w:lang w:val="nb-NO"/>
        </w:rPr>
        <w:t xml:space="preserve">ble rapportert hos </w:t>
      </w:r>
      <w:r w:rsidRPr="009D56B8">
        <w:rPr>
          <w:rFonts w:eastAsia="Times New Roman"/>
          <w:lang w:val="nb-NO" w:eastAsia="en-US"/>
        </w:rPr>
        <w:t xml:space="preserve">17 % av pasientene behandlet med </w:t>
      </w:r>
      <w:r w:rsidR="00940EB2" w:rsidRPr="009D56B8">
        <w:rPr>
          <w:rFonts w:eastAsia="Times New Roman"/>
          <w:lang w:val="nb-NO" w:eastAsia="en-US"/>
        </w:rPr>
        <w:t>dimetylfumarat</w:t>
      </w:r>
      <w:r w:rsidRPr="009D56B8">
        <w:rPr>
          <w:rFonts w:eastAsia="Times New Roman"/>
          <w:lang w:val="nb-NO" w:eastAsia="en-US"/>
        </w:rPr>
        <w:t xml:space="preserve"> </w:t>
      </w:r>
      <w:r w:rsidR="00E0533A" w:rsidRPr="009D56B8">
        <w:rPr>
          <w:rFonts w:eastAsia="Times New Roman"/>
          <w:lang w:val="nb-NO" w:eastAsia="en-US"/>
        </w:rPr>
        <w:t>versus</w:t>
      </w:r>
      <w:r w:rsidRPr="009D56B8">
        <w:rPr>
          <w:rFonts w:eastAsia="Times New Roman"/>
          <w:lang w:val="nb-NO" w:eastAsia="en-US"/>
        </w:rPr>
        <w:t xml:space="preserve"> 7 % av pasientene behandlet med </w:t>
      </w:r>
      <w:r w:rsidRPr="009D56B8">
        <w:rPr>
          <w:lang w:val="nb-NO"/>
        </w:rPr>
        <w:t>interferon beta</w:t>
      </w:r>
      <w:r w:rsidRPr="009D56B8">
        <w:rPr>
          <w:lang w:val="nb-NO"/>
        </w:rPr>
        <w:noBreakHyphen/>
        <w:t>1a</w:t>
      </w:r>
      <w:r w:rsidRPr="009D56B8">
        <w:rPr>
          <w:rFonts w:eastAsia="Times New Roman"/>
          <w:lang w:val="nb-NO" w:eastAsia="en-US"/>
        </w:rPr>
        <w:t>.</w:t>
      </w:r>
    </w:p>
    <w:p w14:paraId="211DB2FC" w14:textId="77777777" w:rsidR="00A53A43" w:rsidRPr="009D56B8" w:rsidRDefault="00A53A43" w:rsidP="00A53A43">
      <w:pPr>
        <w:rPr>
          <w:szCs w:val="22"/>
          <w:lang w:val="nb-NO"/>
        </w:rPr>
      </w:pPr>
    </w:p>
    <w:p w14:paraId="7B74E7C0" w14:textId="04151887" w:rsidR="00D5668E" w:rsidRPr="009D56B8" w:rsidRDefault="00D5668E" w:rsidP="00D5668E">
      <w:pPr>
        <w:rPr>
          <w:szCs w:val="22"/>
          <w:lang w:val="nb-NO"/>
        </w:rPr>
      </w:pPr>
      <w:bookmarkStart w:id="12" w:name="_Hlk95919717"/>
      <w:bookmarkStart w:id="13" w:name="_Hlk95919785"/>
      <w:r w:rsidRPr="009D56B8">
        <w:rPr>
          <w:szCs w:val="22"/>
          <w:lang w:val="nb-NO"/>
        </w:rPr>
        <w:t>I en liten, 24-ukers, åpen, ikke-kontrollert studie med pediatriske pasienter i alderen 13 til</w:t>
      </w:r>
      <w:r w:rsidRPr="009D56B8">
        <w:rPr>
          <w:lang w:val="nb-NO"/>
        </w:rPr>
        <w:t> </w:t>
      </w:r>
      <w:r w:rsidRPr="009D56B8">
        <w:rPr>
          <w:szCs w:val="22"/>
          <w:lang w:val="nb-NO"/>
        </w:rPr>
        <w:t>17 år med RRMS (120 mg to ganger daglig i 7 dager etterfulgt av 240 mg to ganger daglig resten av behandlingen, n = 22), etterfulgt av en 96-ukers forlengelsesstudie (240 mg to ganger daglig, n = 20), så det ut til at sikkerhetsprofilen var omtrent den samme som den som er sett hos voksne pasienter.</w:t>
      </w:r>
    </w:p>
    <w:p w14:paraId="4EEBB4B3" w14:textId="77777777" w:rsidR="00D5668E" w:rsidRPr="009D56B8" w:rsidRDefault="00D5668E" w:rsidP="00D5668E">
      <w:pPr>
        <w:rPr>
          <w:szCs w:val="22"/>
          <w:lang w:val="nb-NO"/>
        </w:rPr>
      </w:pPr>
    </w:p>
    <w:bookmarkEnd w:id="12"/>
    <w:bookmarkEnd w:id="13"/>
    <w:p w14:paraId="49150ABA" w14:textId="77777777" w:rsidR="00E50867" w:rsidRPr="009D56B8" w:rsidRDefault="00C770E8">
      <w:pPr>
        <w:keepNext/>
        <w:suppressLineNumbers/>
        <w:tabs>
          <w:tab w:val="left" w:pos="0"/>
        </w:tabs>
        <w:autoSpaceDE w:val="0"/>
        <w:autoSpaceDN w:val="0"/>
        <w:adjustRightInd w:val="0"/>
        <w:jc w:val="both"/>
        <w:rPr>
          <w:u w:val="single"/>
          <w:lang w:val="nb-NO"/>
        </w:rPr>
      </w:pPr>
      <w:r w:rsidRPr="009D56B8">
        <w:rPr>
          <w:u w:val="single"/>
          <w:lang w:val="nb-NO"/>
        </w:rPr>
        <w:t>Melding av mistenkte bivirkninger</w:t>
      </w:r>
    </w:p>
    <w:p w14:paraId="47495B1C" w14:textId="77777777" w:rsidR="00E50867" w:rsidRPr="009D56B8" w:rsidRDefault="00E50867">
      <w:pPr>
        <w:keepNext/>
        <w:suppressLineNumbers/>
        <w:tabs>
          <w:tab w:val="left" w:pos="0"/>
        </w:tabs>
        <w:autoSpaceDE w:val="0"/>
        <w:autoSpaceDN w:val="0"/>
        <w:adjustRightInd w:val="0"/>
        <w:jc w:val="both"/>
        <w:rPr>
          <w:u w:val="single"/>
          <w:lang w:val="nb-NO"/>
        </w:rPr>
      </w:pPr>
    </w:p>
    <w:p w14:paraId="64391D55" w14:textId="77777777" w:rsidR="00E50867" w:rsidRPr="009D56B8" w:rsidRDefault="00C770E8">
      <w:pPr>
        <w:rPr>
          <w:lang w:val="nb-NO"/>
        </w:rPr>
      </w:pPr>
      <w:r w:rsidRPr="009D56B8">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9D56B8">
        <w:rPr>
          <w:highlight w:val="lightGray"/>
          <w:lang w:val="nb-NO"/>
        </w:rPr>
        <w:t xml:space="preserve">det nasjonale meldesystemet som beskrevet i </w:t>
      </w:r>
      <w:hyperlink r:id="rId14" w:history="1">
        <w:r w:rsidRPr="009D56B8">
          <w:rPr>
            <w:rStyle w:val="Hyperlink"/>
            <w:color w:val="auto"/>
            <w:highlight w:val="lightGray"/>
            <w:lang w:val="nb-NO"/>
          </w:rPr>
          <w:t>Appendix V</w:t>
        </w:r>
      </w:hyperlink>
      <w:r w:rsidRPr="009D56B8">
        <w:rPr>
          <w:lang w:val="nb-NO"/>
        </w:rPr>
        <w:t>.</w:t>
      </w:r>
    </w:p>
    <w:p w14:paraId="7E272FC0" w14:textId="77777777" w:rsidR="00E50867" w:rsidRPr="009D56B8" w:rsidRDefault="00E50867">
      <w:pPr>
        <w:rPr>
          <w:szCs w:val="22"/>
          <w:lang w:val="nb-NO"/>
        </w:rPr>
      </w:pPr>
    </w:p>
    <w:p w14:paraId="405FCBD7" w14:textId="77777777" w:rsidR="00E50867" w:rsidRPr="009D56B8" w:rsidRDefault="00C770E8" w:rsidP="00513CD0">
      <w:pPr>
        <w:widowControl w:val="0"/>
        <w:suppressLineNumbers/>
        <w:ind w:left="567" w:hanging="567"/>
        <w:rPr>
          <w:b/>
          <w:szCs w:val="22"/>
          <w:lang w:val="nb-NO"/>
        </w:rPr>
      </w:pPr>
      <w:r w:rsidRPr="009D56B8">
        <w:rPr>
          <w:b/>
          <w:szCs w:val="22"/>
          <w:lang w:val="nb-NO"/>
        </w:rPr>
        <w:t>4.9</w:t>
      </w:r>
      <w:r w:rsidRPr="009D56B8">
        <w:rPr>
          <w:b/>
          <w:szCs w:val="22"/>
          <w:lang w:val="nb-NO"/>
        </w:rPr>
        <w:tab/>
        <w:t>Overdosering</w:t>
      </w:r>
    </w:p>
    <w:p w14:paraId="361BD0F2" w14:textId="77777777" w:rsidR="00E50867" w:rsidRPr="009D56B8" w:rsidRDefault="00E50867" w:rsidP="00513CD0">
      <w:pPr>
        <w:rPr>
          <w:szCs w:val="22"/>
          <w:lang w:val="nb-NO"/>
        </w:rPr>
      </w:pPr>
    </w:p>
    <w:p w14:paraId="642BA596" w14:textId="6A2E1319" w:rsidR="00E50867" w:rsidRPr="009D56B8" w:rsidRDefault="00C770E8">
      <w:pPr>
        <w:widowControl w:val="0"/>
        <w:suppressLineNumbers/>
        <w:rPr>
          <w:szCs w:val="22"/>
          <w:lang w:val="nb-NO"/>
        </w:rPr>
      </w:pPr>
      <w:r w:rsidRPr="009D56B8">
        <w:rPr>
          <w:szCs w:val="22"/>
          <w:lang w:val="nb-NO"/>
        </w:rPr>
        <w:t xml:space="preserve">Det har vært rapportert tilfeller av overdosering med </w:t>
      </w:r>
      <w:r w:rsidR="00C15BF7" w:rsidRPr="009D56B8">
        <w:rPr>
          <w:szCs w:val="22"/>
          <w:lang w:val="nb-NO"/>
        </w:rPr>
        <w:t>dimetylfumarat</w:t>
      </w:r>
      <w:r w:rsidRPr="009D56B8">
        <w:rPr>
          <w:szCs w:val="22"/>
          <w:lang w:val="nb-NO"/>
        </w:rPr>
        <w:t xml:space="preserve">. Symptomene som ble beskrevet i disse tilfellene var i samsvar med den kjente </w:t>
      </w:r>
      <w:r w:rsidR="00765DD3" w:rsidRPr="009D56B8">
        <w:rPr>
          <w:szCs w:val="22"/>
          <w:lang w:val="nb-NO"/>
        </w:rPr>
        <w:t xml:space="preserve">sikkerhetsprofilen </w:t>
      </w:r>
      <w:r w:rsidRPr="009D56B8">
        <w:rPr>
          <w:szCs w:val="22"/>
          <w:lang w:val="nb-NO"/>
        </w:rPr>
        <w:t xml:space="preserve">for </w:t>
      </w:r>
      <w:r w:rsidR="00C15BF7" w:rsidRPr="009D56B8">
        <w:rPr>
          <w:szCs w:val="22"/>
          <w:lang w:val="nb-NO"/>
        </w:rPr>
        <w:t>dimetylfumarat</w:t>
      </w:r>
      <w:r w:rsidRPr="009D56B8">
        <w:rPr>
          <w:szCs w:val="22"/>
          <w:lang w:val="nb-NO"/>
        </w:rPr>
        <w:t xml:space="preserve">. Det finnes ingen kjent terapeutisk intervensjon som øker eliminasjonen av </w:t>
      </w:r>
      <w:r w:rsidR="00C15BF7" w:rsidRPr="009D56B8">
        <w:rPr>
          <w:szCs w:val="22"/>
          <w:lang w:val="nb-NO"/>
        </w:rPr>
        <w:t>dimetylfumarat</w:t>
      </w:r>
      <w:r w:rsidRPr="009D56B8">
        <w:rPr>
          <w:szCs w:val="22"/>
          <w:lang w:val="nb-NO"/>
        </w:rPr>
        <w:t>, og det finnes heller ikke noe kjent antidot. Ved overdosering anbefales oppstart av symptomatisk, støttende behandling som klinisk indisert.</w:t>
      </w:r>
    </w:p>
    <w:p w14:paraId="797C44E1" w14:textId="77777777" w:rsidR="00E50867" w:rsidRPr="009D56B8" w:rsidRDefault="00E50867">
      <w:pPr>
        <w:rPr>
          <w:szCs w:val="22"/>
          <w:lang w:val="nb-NO"/>
        </w:rPr>
      </w:pPr>
    </w:p>
    <w:p w14:paraId="2F6B6054" w14:textId="77777777" w:rsidR="00E50867" w:rsidRPr="009D56B8" w:rsidRDefault="00E50867">
      <w:pPr>
        <w:rPr>
          <w:szCs w:val="22"/>
          <w:lang w:val="nb-NO"/>
        </w:rPr>
      </w:pPr>
    </w:p>
    <w:p w14:paraId="455B4245" w14:textId="77777777" w:rsidR="00E50867" w:rsidRPr="009D56B8" w:rsidRDefault="00C770E8">
      <w:pPr>
        <w:widowControl w:val="0"/>
        <w:suppressLineNumbers/>
        <w:ind w:left="567" w:hanging="567"/>
        <w:rPr>
          <w:b/>
          <w:szCs w:val="22"/>
          <w:lang w:val="nb-NO"/>
        </w:rPr>
      </w:pPr>
      <w:r w:rsidRPr="009D56B8">
        <w:rPr>
          <w:b/>
          <w:szCs w:val="22"/>
          <w:lang w:val="nb-NO"/>
        </w:rPr>
        <w:t>5.</w:t>
      </w:r>
      <w:r w:rsidRPr="009D56B8">
        <w:rPr>
          <w:b/>
          <w:szCs w:val="22"/>
          <w:lang w:val="nb-NO"/>
        </w:rPr>
        <w:tab/>
        <w:t>FARMAKOLOGISKE EGENSKAPER</w:t>
      </w:r>
    </w:p>
    <w:p w14:paraId="590A1D0B" w14:textId="77777777" w:rsidR="00E50867" w:rsidRPr="009D56B8" w:rsidRDefault="00E50867">
      <w:pPr>
        <w:rPr>
          <w:szCs w:val="22"/>
          <w:lang w:val="nb-NO"/>
        </w:rPr>
      </w:pPr>
    </w:p>
    <w:p w14:paraId="74090FE0" w14:textId="77777777" w:rsidR="00E50867" w:rsidRPr="009D56B8" w:rsidRDefault="00C770E8">
      <w:pPr>
        <w:widowControl w:val="0"/>
        <w:suppressLineNumbers/>
        <w:ind w:left="567" w:hanging="567"/>
        <w:rPr>
          <w:b/>
          <w:szCs w:val="22"/>
          <w:lang w:val="nb-NO"/>
        </w:rPr>
      </w:pPr>
      <w:r w:rsidRPr="009D56B8">
        <w:rPr>
          <w:b/>
          <w:szCs w:val="22"/>
          <w:lang w:val="nb-NO"/>
        </w:rPr>
        <w:t xml:space="preserve">5.1 </w:t>
      </w:r>
      <w:r w:rsidRPr="009D56B8">
        <w:rPr>
          <w:b/>
          <w:szCs w:val="22"/>
          <w:lang w:val="nb-NO"/>
        </w:rPr>
        <w:tab/>
        <w:t>Farmakodynamiske egenskaper</w:t>
      </w:r>
    </w:p>
    <w:p w14:paraId="1AB2FF43" w14:textId="77777777" w:rsidR="00E50867" w:rsidRPr="009D56B8" w:rsidRDefault="00E50867">
      <w:pPr>
        <w:rPr>
          <w:szCs w:val="22"/>
          <w:lang w:val="nb-NO"/>
        </w:rPr>
      </w:pPr>
    </w:p>
    <w:p w14:paraId="5FF75C9E" w14:textId="0CBCBE93" w:rsidR="00E50867" w:rsidRPr="009D56B8" w:rsidRDefault="00C770E8">
      <w:pPr>
        <w:widowControl w:val="0"/>
        <w:suppressLineNumbers/>
        <w:rPr>
          <w:szCs w:val="22"/>
          <w:lang w:val="nb-NO"/>
        </w:rPr>
      </w:pPr>
      <w:bookmarkStart w:id="14" w:name="OLE_LINK7"/>
      <w:r w:rsidRPr="009D56B8">
        <w:rPr>
          <w:szCs w:val="22"/>
          <w:lang w:val="nb-NO"/>
        </w:rPr>
        <w:t xml:space="preserve">Farmakoterapeutisk gruppe: </w:t>
      </w:r>
      <w:r w:rsidR="00841E9A" w:rsidRPr="009D56B8">
        <w:rPr>
          <w:lang w:val="nb-NO"/>
        </w:rPr>
        <w:t>I</w:t>
      </w:r>
      <w:r w:rsidR="00841E9A" w:rsidRPr="009D56B8">
        <w:rPr>
          <w:szCs w:val="22"/>
          <w:lang w:val="nb-NO"/>
        </w:rPr>
        <w:t>mmunsuppressive</w:t>
      </w:r>
      <w:r w:rsidR="005A72EA" w:rsidRPr="009D56B8">
        <w:rPr>
          <w:szCs w:val="22"/>
          <w:lang w:val="nb-NO"/>
        </w:rPr>
        <w:t xml:space="preserve"> midler</w:t>
      </w:r>
      <w:r w:rsidR="00841E9A" w:rsidRPr="009D56B8">
        <w:rPr>
          <w:szCs w:val="22"/>
          <w:lang w:val="nb-NO"/>
        </w:rPr>
        <w:t>, andre immunsuppressive</w:t>
      </w:r>
      <w:r w:rsidR="005A72EA" w:rsidRPr="009D56B8">
        <w:rPr>
          <w:szCs w:val="22"/>
          <w:lang w:val="nb-NO"/>
        </w:rPr>
        <w:t xml:space="preserve"> midler</w:t>
      </w:r>
      <w:r w:rsidRPr="009D56B8">
        <w:rPr>
          <w:szCs w:val="22"/>
          <w:lang w:val="nb-NO"/>
        </w:rPr>
        <w:t>, ATC-kode:</w:t>
      </w:r>
      <w:r w:rsidR="00841E9A" w:rsidRPr="009D56B8">
        <w:rPr>
          <w:szCs w:val="22"/>
          <w:lang w:val="nb-NO"/>
        </w:rPr>
        <w:t> </w:t>
      </w:r>
      <w:r w:rsidRPr="009D56B8">
        <w:rPr>
          <w:szCs w:val="22"/>
          <w:lang w:val="nb-NO"/>
        </w:rPr>
        <w:t>L04AX07</w:t>
      </w:r>
      <w:bookmarkEnd w:id="14"/>
    </w:p>
    <w:p w14:paraId="2FA90AD7" w14:textId="77777777" w:rsidR="00E50867" w:rsidRPr="009D56B8" w:rsidRDefault="00E50867">
      <w:pPr>
        <w:rPr>
          <w:szCs w:val="22"/>
          <w:lang w:val="nb-NO"/>
        </w:rPr>
      </w:pPr>
    </w:p>
    <w:p w14:paraId="0311B419" w14:textId="77777777" w:rsidR="00E50867" w:rsidRPr="009D56B8" w:rsidRDefault="00C770E8">
      <w:pPr>
        <w:keepNext/>
        <w:rPr>
          <w:szCs w:val="22"/>
          <w:u w:val="single"/>
          <w:lang w:val="nb-NO"/>
        </w:rPr>
      </w:pPr>
      <w:r w:rsidRPr="009D56B8">
        <w:rPr>
          <w:szCs w:val="22"/>
          <w:u w:val="single"/>
          <w:lang w:val="nb-NO"/>
        </w:rPr>
        <w:t>Virkningsmekanisme</w:t>
      </w:r>
    </w:p>
    <w:p w14:paraId="5936DC53" w14:textId="77777777" w:rsidR="00E50867" w:rsidRPr="009D56B8" w:rsidRDefault="00E50867">
      <w:pPr>
        <w:keepNext/>
        <w:rPr>
          <w:szCs w:val="22"/>
          <w:lang w:val="nb-NO"/>
        </w:rPr>
      </w:pPr>
    </w:p>
    <w:p w14:paraId="28AF53AB" w14:textId="77777777" w:rsidR="00E50867" w:rsidRPr="009D56B8" w:rsidRDefault="00C770E8">
      <w:pPr>
        <w:keepNext/>
        <w:rPr>
          <w:szCs w:val="22"/>
          <w:lang w:val="nb-NO"/>
        </w:rPr>
      </w:pPr>
      <w:r w:rsidRPr="009D56B8">
        <w:rPr>
          <w:szCs w:val="22"/>
          <w:lang w:val="nb-NO"/>
        </w:rPr>
        <w:t>Mekanismen bak dimetylfumarats terapeutiske effekter ved multippel sklerose er ikke fullstendig klarlagt. Prekliniske studier indikerer at dimetylfumarat har farmakodynamiske effekter som i hovedsak ser ut til å være mediert gjennom aktivering av transkripsjonsveien via Nrf2 (erytroid transkripsjonsfaktor 2). Det er vist at dimetylfumarat oppregulerer Nrf2-avhengige antioksidantgener hos pasienter (f.eks. NAD(P)H</w:t>
      </w:r>
      <w:r w:rsidRPr="009D56B8">
        <w:rPr>
          <w:szCs w:val="22"/>
          <w:lang w:val="nb-NO"/>
        </w:rPr>
        <w:noBreakHyphen/>
        <w:t>dehydrogenase, kinon 1; [NQO1]).</w:t>
      </w:r>
    </w:p>
    <w:p w14:paraId="692986BC" w14:textId="77777777" w:rsidR="00E50867" w:rsidRPr="009D56B8" w:rsidRDefault="00E50867">
      <w:pPr>
        <w:rPr>
          <w:szCs w:val="22"/>
          <w:lang w:val="nb-NO"/>
        </w:rPr>
      </w:pPr>
    </w:p>
    <w:p w14:paraId="7922BC4D" w14:textId="77777777" w:rsidR="00E50867" w:rsidRPr="009D56B8" w:rsidRDefault="00C770E8" w:rsidP="00E009ED">
      <w:pPr>
        <w:keepNext/>
        <w:rPr>
          <w:szCs w:val="22"/>
          <w:u w:val="single"/>
          <w:lang w:val="nb-NO"/>
        </w:rPr>
      </w:pPr>
      <w:r w:rsidRPr="009D56B8">
        <w:rPr>
          <w:szCs w:val="22"/>
          <w:u w:val="single"/>
          <w:lang w:val="nb-NO"/>
        </w:rPr>
        <w:t>Farmakodynamiske effekter</w:t>
      </w:r>
    </w:p>
    <w:p w14:paraId="449EC64A" w14:textId="77777777" w:rsidR="00E50867" w:rsidRPr="009D56B8" w:rsidRDefault="00E50867" w:rsidP="00E009ED">
      <w:pPr>
        <w:keepNext/>
        <w:rPr>
          <w:szCs w:val="22"/>
          <w:lang w:val="nb-NO"/>
        </w:rPr>
      </w:pPr>
    </w:p>
    <w:p w14:paraId="1A29E984" w14:textId="77777777" w:rsidR="00E50867" w:rsidRPr="009D56B8" w:rsidRDefault="00C770E8" w:rsidP="00513CD0">
      <w:pPr>
        <w:keepNext/>
        <w:widowControl w:val="0"/>
        <w:suppressLineNumbers/>
        <w:autoSpaceDE w:val="0"/>
        <w:rPr>
          <w:i/>
          <w:szCs w:val="22"/>
          <w:lang w:val="nb-NO"/>
        </w:rPr>
      </w:pPr>
      <w:r w:rsidRPr="009D56B8">
        <w:rPr>
          <w:i/>
          <w:szCs w:val="22"/>
          <w:lang w:val="nb-NO"/>
        </w:rPr>
        <w:t>Effekter på immunsystemet</w:t>
      </w:r>
    </w:p>
    <w:p w14:paraId="54F01E41" w14:textId="77777777" w:rsidR="00E50867" w:rsidRPr="009D56B8" w:rsidRDefault="00E50867" w:rsidP="00513CD0">
      <w:pPr>
        <w:keepNext/>
        <w:rPr>
          <w:szCs w:val="22"/>
          <w:lang w:val="nb-NO"/>
        </w:rPr>
      </w:pPr>
    </w:p>
    <w:p w14:paraId="3E8DEADD" w14:textId="497B3AA5" w:rsidR="00415728" w:rsidRPr="009D56B8" w:rsidRDefault="00C770E8" w:rsidP="008E40D3">
      <w:pPr>
        <w:pStyle w:val="Standard2"/>
        <w:keepNext/>
        <w:widowControl w:val="0"/>
        <w:suppressLineNumbers/>
        <w:autoSpaceDE w:val="0"/>
        <w:autoSpaceDN w:val="0"/>
        <w:adjustRightInd w:val="0"/>
        <w:rPr>
          <w:szCs w:val="22"/>
          <w:lang w:val="nb-NO"/>
        </w:rPr>
      </w:pPr>
      <w:r w:rsidRPr="009D56B8">
        <w:rPr>
          <w:szCs w:val="22"/>
          <w:lang w:val="nb-NO"/>
        </w:rPr>
        <w:t>I prekliniske og kliniske studier viste dimetylfumarat antiinflammatoriske og immunmodulerende egenskaper. Dimetylfumarat og monometylfumarat, hovedmetabolitten til dimetylfumarat, forårsaker en betydelig redusert immuncelleaktivering og påfølgende frigjøring av proinflammatoriske cytokiner som respons på inflammatoriske stimuli i prekliniske modeller. I kliniske studier med psoriasispasienter, påvirket dimetylfumarat lymfocyttfenotyper gjennom en nedregulering av proinflammatoriske cytokinprofiler (T</w:t>
      </w:r>
      <w:r w:rsidRPr="009D56B8">
        <w:rPr>
          <w:szCs w:val="22"/>
          <w:vertAlign w:val="subscript"/>
          <w:lang w:val="nb-NO"/>
        </w:rPr>
        <w:t>H</w:t>
      </w:r>
      <w:r w:rsidRPr="009D56B8">
        <w:rPr>
          <w:szCs w:val="22"/>
          <w:lang w:val="nb-NO"/>
        </w:rPr>
        <w:t>1, T</w:t>
      </w:r>
      <w:r w:rsidRPr="009D56B8">
        <w:rPr>
          <w:szCs w:val="22"/>
          <w:vertAlign w:val="subscript"/>
          <w:lang w:val="nb-NO"/>
        </w:rPr>
        <w:t>H</w:t>
      </w:r>
      <w:r w:rsidRPr="009D56B8">
        <w:rPr>
          <w:szCs w:val="22"/>
          <w:lang w:val="nb-NO"/>
        </w:rPr>
        <w:t>17), og i retning antiinflammatorisk produksjon (T</w:t>
      </w:r>
      <w:r w:rsidRPr="009D56B8">
        <w:rPr>
          <w:szCs w:val="22"/>
          <w:vertAlign w:val="subscript"/>
          <w:lang w:val="nb-NO"/>
        </w:rPr>
        <w:t>H</w:t>
      </w:r>
      <w:r w:rsidRPr="009D56B8">
        <w:rPr>
          <w:szCs w:val="22"/>
          <w:lang w:val="nb-NO"/>
        </w:rPr>
        <w:t xml:space="preserve">2). Dimetylfumarat viste terapeutisk aktivitet i flere modeller av inflammatorisk og nevroinflammatorisk skade. Ved behandling med </w:t>
      </w:r>
      <w:r w:rsidR="00CE12BA" w:rsidRPr="009D56B8">
        <w:rPr>
          <w:szCs w:val="22"/>
          <w:lang w:val="nb-NO"/>
        </w:rPr>
        <w:t>dimetylfumarat</w:t>
      </w:r>
      <w:r w:rsidRPr="009D56B8">
        <w:rPr>
          <w:szCs w:val="22"/>
          <w:lang w:val="nb-NO"/>
        </w:rPr>
        <w:t xml:space="preserve"> i fase</w:t>
      </w:r>
      <w:r w:rsidR="00841E9A" w:rsidRPr="009D56B8">
        <w:rPr>
          <w:szCs w:val="22"/>
          <w:lang w:val="nb-NO"/>
        </w:rPr>
        <w:t> </w:t>
      </w:r>
      <w:r w:rsidRPr="009D56B8">
        <w:rPr>
          <w:szCs w:val="22"/>
          <w:lang w:val="nb-NO"/>
        </w:rPr>
        <w:t xml:space="preserve">3-studiene hos MS-pasienter </w:t>
      </w:r>
      <w:r w:rsidR="00841E9A" w:rsidRPr="009D56B8">
        <w:rPr>
          <w:szCs w:val="22"/>
          <w:lang w:val="nb-NO"/>
        </w:rPr>
        <w:t xml:space="preserve">(DEFINE, CONFIRM og ENDORSE), </w:t>
      </w:r>
      <w:r w:rsidRPr="009D56B8">
        <w:rPr>
          <w:szCs w:val="22"/>
          <w:lang w:val="nb-NO"/>
        </w:rPr>
        <w:t>ble lymfocyttall redusert med gjennomsnittlig ca.</w:t>
      </w:r>
      <w:r w:rsidR="00613A36" w:rsidRPr="009D56B8">
        <w:rPr>
          <w:szCs w:val="22"/>
          <w:lang w:val="nb-NO"/>
        </w:rPr>
        <w:t> </w:t>
      </w:r>
      <w:r w:rsidRPr="009D56B8">
        <w:rPr>
          <w:szCs w:val="22"/>
          <w:lang w:val="nb-NO"/>
        </w:rPr>
        <w:t>30 % av baselineverdien det første året, med et påfølgende platå.</w:t>
      </w:r>
      <w:r w:rsidR="00841E9A" w:rsidRPr="009D56B8">
        <w:rPr>
          <w:szCs w:val="22"/>
          <w:lang w:val="nb-NO"/>
        </w:rPr>
        <w:t xml:space="preserve"> I disse studiene </w:t>
      </w:r>
      <w:r w:rsidR="00841E9A" w:rsidRPr="009D56B8">
        <w:rPr>
          <w:lang w:val="nb-NO"/>
        </w:rPr>
        <w:t xml:space="preserve">ble pasienter som </w:t>
      </w:r>
      <w:r w:rsidR="00613A36" w:rsidRPr="009D56B8">
        <w:rPr>
          <w:lang w:val="nb-NO"/>
        </w:rPr>
        <w:t xml:space="preserve">fikk </w:t>
      </w:r>
      <w:r w:rsidR="00841E9A" w:rsidRPr="009D56B8">
        <w:rPr>
          <w:lang w:val="nb-NO"/>
        </w:rPr>
        <w:t xml:space="preserve">seponert behandling med lymfocyttall under nedre grense for normalområdet </w:t>
      </w:r>
      <w:r w:rsidR="00841E9A" w:rsidRPr="009D56B8">
        <w:rPr>
          <w:szCs w:val="22"/>
          <w:lang w:val="nb-NO"/>
        </w:rPr>
        <w:t>(</w:t>
      </w:r>
      <w:r w:rsidR="002633F7" w:rsidRPr="009D56B8">
        <w:rPr>
          <w:szCs w:val="22"/>
          <w:lang w:val="nb-NO"/>
        </w:rPr>
        <w:t xml:space="preserve">LLN, </w:t>
      </w:r>
      <w:r w:rsidR="007E5DB6" w:rsidRPr="009D56B8">
        <w:rPr>
          <w:szCs w:val="22"/>
          <w:lang w:val="nb-NO"/>
        </w:rPr>
        <w:t>0,</w:t>
      </w:r>
      <w:r w:rsidR="00841E9A" w:rsidRPr="009D56B8">
        <w:rPr>
          <w:lang w:val="nb-NO"/>
        </w:rPr>
        <w:t>9</w:t>
      </w:r>
      <w:r w:rsidR="007E5DB6" w:rsidRPr="009D56B8">
        <w:rPr>
          <w:szCs w:val="22"/>
          <w:lang w:val="nb-NO"/>
        </w:rPr>
        <w:t> x</w:t>
      </w:r>
      <w:r w:rsidR="00841E9A" w:rsidRPr="009D56B8">
        <w:rPr>
          <w:lang w:val="nb-NO"/>
        </w:rPr>
        <w:t> </w:t>
      </w:r>
      <w:r w:rsidR="007E5DB6" w:rsidRPr="009D56B8">
        <w:rPr>
          <w:szCs w:val="22"/>
          <w:lang w:val="nb-NO"/>
        </w:rPr>
        <w:t>10</w:t>
      </w:r>
      <w:r w:rsidR="007E5DB6" w:rsidRPr="009D56B8">
        <w:rPr>
          <w:vertAlign w:val="superscript"/>
          <w:lang w:val="nb-NO"/>
        </w:rPr>
        <w:t>9</w:t>
      </w:r>
      <w:r w:rsidR="007E5DB6" w:rsidRPr="009D56B8">
        <w:rPr>
          <w:szCs w:val="22"/>
          <w:lang w:val="nb-NO"/>
        </w:rPr>
        <w:t>/liter</w:t>
      </w:r>
      <w:r w:rsidR="00841E9A" w:rsidRPr="009D56B8">
        <w:rPr>
          <w:szCs w:val="22"/>
          <w:lang w:val="nb-NO"/>
        </w:rPr>
        <w:t xml:space="preserve">) </w:t>
      </w:r>
      <w:r w:rsidR="00841E9A" w:rsidRPr="009D56B8">
        <w:rPr>
          <w:lang w:val="nb-NO"/>
        </w:rPr>
        <w:t xml:space="preserve">overvåket til lymfocyttallet var </w:t>
      </w:r>
      <w:r w:rsidR="00841E9A" w:rsidRPr="009D56B8">
        <w:rPr>
          <w:szCs w:val="22"/>
          <w:lang w:val="nb-NO"/>
        </w:rPr>
        <w:t xml:space="preserve">gjenopprettet </w:t>
      </w:r>
      <w:r w:rsidR="00841E9A" w:rsidRPr="009D56B8">
        <w:rPr>
          <w:lang w:val="nb-NO"/>
        </w:rPr>
        <w:t>til nedre grense for normalområdet</w:t>
      </w:r>
      <w:r w:rsidR="00841E9A" w:rsidRPr="009D56B8">
        <w:rPr>
          <w:szCs w:val="22"/>
          <w:lang w:val="nb-NO"/>
        </w:rPr>
        <w:t>.</w:t>
      </w:r>
    </w:p>
    <w:p w14:paraId="1689AB4C" w14:textId="77777777" w:rsidR="00415728" w:rsidRPr="009D56B8" w:rsidRDefault="00415728" w:rsidP="00841E9A">
      <w:pPr>
        <w:pStyle w:val="Standard2"/>
        <w:keepNext/>
        <w:widowControl w:val="0"/>
        <w:suppressLineNumbers/>
        <w:autoSpaceDE w:val="0"/>
        <w:autoSpaceDN w:val="0"/>
        <w:adjustRightInd w:val="0"/>
        <w:rPr>
          <w:szCs w:val="22"/>
          <w:lang w:val="nb-NO"/>
        </w:rPr>
      </w:pPr>
    </w:p>
    <w:p w14:paraId="22A6E9BC" w14:textId="1785A196" w:rsidR="00841E9A" w:rsidRPr="009D56B8" w:rsidRDefault="00841E9A" w:rsidP="00841E9A">
      <w:pPr>
        <w:pStyle w:val="Standard2"/>
        <w:keepNext/>
        <w:widowControl w:val="0"/>
        <w:suppressLineNumbers/>
        <w:autoSpaceDE w:val="0"/>
        <w:autoSpaceDN w:val="0"/>
        <w:adjustRightInd w:val="0"/>
        <w:rPr>
          <w:lang w:val="nb-NO"/>
        </w:rPr>
      </w:pPr>
      <w:r w:rsidRPr="009D56B8">
        <w:rPr>
          <w:lang w:val="nb-NO"/>
        </w:rPr>
        <w:t xml:space="preserve">Figur 1 viser </w:t>
      </w:r>
      <w:bookmarkStart w:id="15" w:name="_Hlk92904072"/>
      <w:r w:rsidRPr="009D56B8">
        <w:rPr>
          <w:lang w:val="nb-NO"/>
        </w:rPr>
        <w:t xml:space="preserve">andelen av pasienter </w:t>
      </w:r>
      <w:r w:rsidR="007C52E1" w:rsidRPr="009D56B8">
        <w:rPr>
          <w:lang w:val="nb-NO"/>
        </w:rPr>
        <w:t xml:space="preserve">som er </w:t>
      </w:r>
      <w:r w:rsidRPr="009D56B8">
        <w:rPr>
          <w:lang w:val="nb-NO"/>
        </w:rPr>
        <w:t xml:space="preserve">anslått å nå nedre grense for normalområdet </w:t>
      </w:r>
      <w:bookmarkEnd w:id="15"/>
      <w:r w:rsidRPr="009D56B8">
        <w:rPr>
          <w:lang w:val="nb-NO"/>
        </w:rPr>
        <w:t>basert på Kaplan-Meier-metoden</w:t>
      </w:r>
      <w:r w:rsidR="00B93218" w:rsidRPr="009D56B8">
        <w:rPr>
          <w:lang w:val="nb-NO"/>
        </w:rPr>
        <w:t>,</w:t>
      </w:r>
      <w:r w:rsidRPr="009D56B8">
        <w:rPr>
          <w:lang w:val="nb-NO"/>
        </w:rPr>
        <w:t xml:space="preserve"> </w:t>
      </w:r>
      <w:r w:rsidR="00B40B33" w:rsidRPr="009D56B8">
        <w:rPr>
          <w:lang w:val="nb-NO"/>
        </w:rPr>
        <w:t>unntatt pasienter med</w:t>
      </w:r>
      <w:r w:rsidRPr="009D56B8">
        <w:rPr>
          <w:lang w:val="nb-NO"/>
        </w:rPr>
        <w:t xml:space="preserve"> langvarig alvorlig lymfopeni. </w:t>
      </w:r>
      <w:r w:rsidR="00B93218" w:rsidRPr="009D56B8">
        <w:rPr>
          <w:lang w:val="nb-NO"/>
        </w:rPr>
        <w:t>Baseline for gjenoppretting</w:t>
      </w:r>
      <w:r w:rsidRPr="009D56B8">
        <w:rPr>
          <w:lang w:val="nb-NO"/>
        </w:rPr>
        <w:t xml:space="preserve"> ble definert som siste </w:t>
      </w:r>
      <w:r w:rsidR="00FC73EB" w:rsidRPr="009D56B8">
        <w:rPr>
          <w:lang w:val="nb-NO"/>
        </w:rPr>
        <w:t>absolutt lymfocyttall (</w:t>
      </w:r>
      <w:r w:rsidRPr="009D56B8">
        <w:rPr>
          <w:lang w:val="nb-NO"/>
        </w:rPr>
        <w:t>ALC</w:t>
      </w:r>
      <w:r w:rsidR="00FC73EB" w:rsidRPr="009D56B8">
        <w:rPr>
          <w:lang w:val="nb-NO"/>
        </w:rPr>
        <w:t>)</w:t>
      </w:r>
      <w:r w:rsidRPr="009D56B8">
        <w:rPr>
          <w:lang w:val="nb-NO"/>
        </w:rPr>
        <w:t xml:space="preserve"> </w:t>
      </w:r>
      <w:r w:rsidR="00FC73EB" w:rsidRPr="009D56B8">
        <w:rPr>
          <w:lang w:val="nb-NO"/>
        </w:rPr>
        <w:t>under</w:t>
      </w:r>
      <w:r w:rsidRPr="009D56B8">
        <w:rPr>
          <w:lang w:val="nb-NO"/>
        </w:rPr>
        <w:t xml:space="preserve"> behandling før seponering av </w:t>
      </w:r>
      <w:r w:rsidR="0056161C" w:rsidRPr="009D56B8">
        <w:rPr>
          <w:lang w:val="nb-NO"/>
        </w:rPr>
        <w:t>behandling</w:t>
      </w:r>
      <w:r w:rsidRPr="009D56B8">
        <w:rPr>
          <w:szCs w:val="22"/>
          <w:lang w:val="nb-NO"/>
        </w:rPr>
        <w:t xml:space="preserve">. Anslått andel </w:t>
      </w:r>
      <w:r w:rsidRPr="009D56B8">
        <w:rPr>
          <w:lang w:val="nb-NO"/>
        </w:rPr>
        <w:t xml:space="preserve">av pasienter med </w:t>
      </w:r>
      <w:r w:rsidRPr="009D56B8">
        <w:rPr>
          <w:szCs w:val="22"/>
          <w:lang w:val="nb-NO"/>
        </w:rPr>
        <w:t xml:space="preserve">gjenoppretting </w:t>
      </w:r>
      <w:r w:rsidRPr="009D56B8">
        <w:rPr>
          <w:lang w:val="nb-NO"/>
        </w:rPr>
        <w:t>til nedre grense for normalområdet</w:t>
      </w:r>
      <w:r w:rsidRPr="009D56B8">
        <w:rPr>
          <w:szCs w:val="22"/>
          <w:lang w:val="nb-NO"/>
        </w:rPr>
        <w:t xml:space="preserve"> (</w:t>
      </w:r>
      <w:r w:rsidR="007C52E1" w:rsidRPr="009D56B8">
        <w:rPr>
          <w:szCs w:val="22"/>
          <w:lang w:val="nb-NO"/>
        </w:rPr>
        <w:t>absolutt lymfocyttall</w:t>
      </w:r>
      <w:r w:rsidRPr="009D56B8">
        <w:rPr>
          <w:szCs w:val="22"/>
          <w:lang w:val="nb-NO"/>
        </w:rPr>
        <w:t xml:space="preserve"> ≥ 0,9 x 10</w:t>
      </w:r>
      <w:r w:rsidRPr="009D56B8">
        <w:rPr>
          <w:vertAlign w:val="superscript"/>
          <w:lang w:val="nb-NO"/>
        </w:rPr>
        <w:t>9</w:t>
      </w:r>
      <w:r w:rsidRPr="009D56B8">
        <w:rPr>
          <w:szCs w:val="22"/>
          <w:lang w:val="nb-NO"/>
        </w:rPr>
        <w:t xml:space="preserve">/liter) i </w:t>
      </w:r>
      <w:r w:rsidR="00415728" w:rsidRPr="009D56B8">
        <w:rPr>
          <w:szCs w:val="22"/>
          <w:lang w:val="nb-NO"/>
        </w:rPr>
        <w:t xml:space="preserve">uke 12 og </w:t>
      </w:r>
      <w:r w:rsidRPr="009D56B8">
        <w:rPr>
          <w:szCs w:val="22"/>
          <w:lang w:val="nb-NO"/>
        </w:rPr>
        <w:t>uke 24</w:t>
      </w:r>
      <w:r w:rsidR="00415728" w:rsidRPr="009D56B8">
        <w:rPr>
          <w:szCs w:val="22"/>
          <w:lang w:val="nb-NO"/>
        </w:rPr>
        <w:t xml:space="preserve">, som hadde mild, moderat eller alvorlig lymfopeni ved baseline for gjenoppretting, er presentert i tabell 1, tabell 2 og tabell 3 med 95 % punktvise konfidensintervaller. Standardfeilen for Kaplan-Meier-estimatoren for </w:t>
      </w:r>
      <w:r w:rsidR="00415728" w:rsidRPr="009D56B8">
        <w:rPr>
          <w:szCs w:val="22"/>
          <w:lang w:val="nb-NO"/>
        </w:rPr>
        <w:lastRenderedPageBreak/>
        <w:t>overlevelsesfunksjonen er beregnet ved bruk av Greenwoods formel.</w:t>
      </w:r>
    </w:p>
    <w:p w14:paraId="1D97F9AA" w14:textId="77777777" w:rsidR="00841E9A" w:rsidRPr="009D56B8" w:rsidRDefault="00841E9A">
      <w:pPr>
        <w:widowControl w:val="0"/>
        <w:suppressLineNumbers/>
        <w:autoSpaceDE w:val="0"/>
        <w:rPr>
          <w:szCs w:val="22"/>
          <w:lang w:val="nb-NO"/>
        </w:rPr>
      </w:pPr>
      <w:bookmarkStart w:id="16" w:name="IDX"/>
      <w:bookmarkEnd w:id="16"/>
    </w:p>
    <w:p w14:paraId="48FE8563" w14:textId="78B2F31B" w:rsidR="00841E9A" w:rsidRPr="009D56B8" w:rsidRDefault="00841E9A" w:rsidP="00513CD0">
      <w:pPr>
        <w:keepNext/>
        <w:rPr>
          <w:b/>
          <w:bCs/>
          <w:szCs w:val="22"/>
          <w:lang w:val="nb-NO"/>
        </w:rPr>
      </w:pPr>
      <w:r w:rsidRPr="009D56B8">
        <w:rPr>
          <w:b/>
          <w:bCs/>
          <w:szCs w:val="22"/>
          <w:lang w:val="nb-NO"/>
        </w:rPr>
        <w:t>Figur 1:</w:t>
      </w:r>
      <w:r w:rsidRPr="009D56B8">
        <w:rPr>
          <w:szCs w:val="22"/>
          <w:lang w:val="nb-NO"/>
        </w:rPr>
        <w:t xml:space="preserve"> </w:t>
      </w:r>
      <w:r w:rsidRPr="009D56B8">
        <w:rPr>
          <w:b/>
          <w:bCs/>
          <w:szCs w:val="22"/>
          <w:lang w:val="nb-NO"/>
        </w:rPr>
        <w:t xml:space="preserve">Kaplan-Meier-metode; </w:t>
      </w:r>
      <w:r w:rsidR="008219E8" w:rsidRPr="009D56B8">
        <w:rPr>
          <w:b/>
          <w:bCs/>
          <w:szCs w:val="22"/>
          <w:lang w:val="nb-NO"/>
        </w:rPr>
        <w:t>a</w:t>
      </w:r>
      <w:r w:rsidRPr="009D56B8">
        <w:rPr>
          <w:b/>
          <w:bCs/>
          <w:szCs w:val="22"/>
          <w:lang w:val="nb-NO"/>
        </w:rPr>
        <w:t>ndel av pa</w:t>
      </w:r>
      <w:r w:rsidR="00B93218" w:rsidRPr="009D56B8">
        <w:rPr>
          <w:b/>
          <w:bCs/>
          <w:szCs w:val="22"/>
          <w:lang w:val="nb-NO"/>
        </w:rPr>
        <w:t>s</w:t>
      </w:r>
      <w:r w:rsidRPr="009D56B8">
        <w:rPr>
          <w:b/>
          <w:bCs/>
          <w:szCs w:val="22"/>
          <w:lang w:val="nb-NO"/>
        </w:rPr>
        <w:t>ienter med gjenoppretting til nedre grense for normalområdet</w:t>
      </w:r>
      <w:r w:rsidR="00FB2D1F" w:rsidRPr="009D56B8">
        <w:rPr>
          <w:b/>
          <w:bCs/>
          <w:szCs w:val="22"/>
          <w:lang w:val="nb-NO"/>
        </w:rPr>
        <w:t xml:space="preserve"> (LLN)</w:t>
      </w:r>
      <w:r w:rsidR="00820FD2" w:rsidRPr="009D56B8">
        <w:rPr>
          <w:b/>
          <w:bCs/>
          <w:szCs w:val="22"/>
          <w:lang w:val="nb-NO"/>
        </w:rPr>
        <w:t xml:space="preserve"> ≥ </w:t>
      </w:r>
      <w:r w:rsidR="007E5DB6" w:rsidRPr="009D56B8">
        <w:rPr>
          <w:b/>
          <w:bCs/>
          <w:szCs w:val="22"/>
          <w:lang w:val="nb-NO"/>
        </w:rPr>
        <w:t>0,</w:t>
      </w:r>
      <w:r w:rsidR="00820FD2" w:rsidRPr="009D56B8">
        <w:rPr>
          <w:b/>
          <w:bCs/>
          <w:szCs w:val="22"/>
          <w:lang w:val="nb-NO"/>
        </w:rPr>
        <w:t>9</w:t>
      </w:r>
      <w:r w:rsidR="007E5DB6" w:rsidRPr="009D56B8">
        <w:rPr>
          <w:b/>
          <w:bCs/>
          <w:szCs w:val="22"/>
          <w:lang w:val="nb-NO"/>
        </w:rPr>
        <w:t> x 10</w:t>
      </w:r>
      <w:r w:rsidR="007E5DB6" w:rsidRPr="009D56B8">
        <w:rPr>
          <w:b/>
          <w:bCs/>
          <w:vertAlign w:val="superscript"/>
          <w:lang w:val="nb-NO"/>
        </w:rPr>
        <w:t>9</w:t>
      </w:r>
      <w:r w:rsidR="007E5DB6" w:rsidRPr="009D56B8">
        <w:rPr>
          <w:b/>
          <w:bCs/>
          <w:szCs w:val="22"/>
          <w:lang w:val="nb-NO"/>
        </w:rPr>
        <w:t>/liter</w:t>
      </w:r>
      <w:r w:rsidR="008568B8" w:rsidRPr="009D56B8">
        <w:rPr>
          <w:b/>
          <w:bCs/>
          <w:szCs w:val="22"/>
          <w:lang w:val="nb-NO"/>
        </w:rPr>
        <w:t xml:space="preserve"> (≥ 910 celler/mm</w:t>
      </w:r>
      <w:r w:rsidR="008568B8" w:rsidRPr="009D56B8">
        <w:rPr>
          <w:b/>
          <w:bCs/>
          <w:szCs w:val="22"/>
          <w:vertAlign w:val="superscript"/>
          <w:lang w:val="nb-NO"/>
        </w:rPr>
        <w:t>3</w:t>
      </w:r>
      <w:r w:rsidR="008568B8" w:rsidRPr="009D56B8">
        <w:rPr>
          <w:b/>
          <w:bCs/>
          <w:szCs w:val="22"/>
          <w:lang w:val="nb-NO"/>
        </w:rPr>
        <w:t>)</w:t>
      </w:r>
      <w:r w:rsidR="00820FD2" w:rsidRPr="009D56B8">
        <w:rPr>
          <w:b/>
          <w:bCs/>
          <w:szCs w:val="22"/>
          <w:lang w:val="nb-NO"/>
        </w:rPr>
        <w:t>,</w:t>
      </w:r>
      <w:r w:rsidRPr="009D56B8">
        <w:rPr>
          <w:b/>
          <w:bCs/>
          <w:szCs w:val="22"/>
          <w:lang w:val="nb-NO"/>
        </w:rPr>
        <w:t xml:space="preserve"> fra </w:t>
      </w:r>
      <w:r w:rsidR="00B93218" w:rsidRPr="009D56B8">
        <w:rPr>
          <w:b/>
          <w:bCs/>
          <w:szCs w:val="22"/>
          <w:lang w:val="nb-NO"/>
        </w:rPr>
        <w:t>baseline for gjenoppretting</w:t>
      </w:r>
      <w:r w:rsidRPr="009D56B8">
        <w:rPr>
          <w:b/>
          <w:bCs/>
          <w:szCs w:val="22"/>
          <w:lang w:val="nb-NO"/>
        </w:rPr>
        <w:t xml:space="preserve"> (</w:t>
      </w:r>
      <w:r w:rsidR="00B40B33" w:rsidRPr="009D56B8">
        <w:rPr>
          <w:b/>
          <w:bCs/>
          <w:szCs w:val="22"/>
          <w:lang w:val="nb-NO"/>
        </w:rPr>
        <w:t xml:space="preserve">recovery baseline, </w:t>
      </w:r>
      <w:r w:rsidRPr="009D56B8">
        <w:rPr>
          <w:b/>
          <w:bCs/>
          <w:szCs w:val="22"/>
          <w:lang w:val="nb-NO"/>
        </w:rPr>
        <w:t>RBL)</w:t>
      </w:r>
    </w:p>
    <w:p w14:paraId="66C04F46" w14:textId="05EBDCE0" w:rsidR="00CA04BC" w:rsidRPr="009D56B8" w:rsidRDefault="00CA04BC" w:rsidP="00513CD0">
      <w:pPr>
        <w:keepNext/>
        <w:rPr>
          <w:b/>
          <w:bCs/>
          <w:szCs w:val="22"/>
          <w:lang w:val="nb-NO"/>
        </w:rPr>
      </w:pPr>
    </w:p>
    <w:p w14:paraId="38652BF9" w14:textId="17D6B2B8" w:rsidR="00CA04BC" w:rsidRPr="009D56B8" w:rsidRDefault="00E551DB" w:rsidP="00E551DB">
      <w:pPr>
        <w:rPr>
          <w:b/>
          <w:bCs/>
          <w:szCs w:val="22"/>
          <w:lang w:val="nb-NO"/>
        </w:rPr>
      </w:pPr>
      <w:r w:rsidRPr="009D56B8">
        <w:rPr>
          <w:noProof/>
          <w:lang w:val="en-US" w:eastAsia="en-US"/>
        </w:rPr>
        <w:drawing>
          <wp:inline distT="0" distB="0" distL="0" distR="0" wp14:anchorId="6B8E238D" wp14:editId="121A330D">
            <wp:extent cx="5759450" cy="2953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953385"/>
                    </a:xfrm>
                    <a:prstGeom prst="rect">
                      <a:avLst/>
                    </a:prstGeom>
                  </pic:spPr>
                </pic:pic>
              </a:graphicData>
            </a:graphic>
          </wp:inline>
        </w:drawing>
      </w:r>
    </w:p>
    <w:p w14:paraId="0E2246A9" w14:textId="4BAF4A73" w:rsidR="00415728" w:rsidRPr="009D56B8" w:rsidRDefault="009F35F3" w:rsidP="00415728">
      <w:pPr>
        <w:rPr>
          <w:rFonts w:eastAsia="Times New Roman"/>
          <w:szCs w:val="22"/>
          <w:lang w:val="nb-NO" w:eastAsia="en-US"/>
        </w:rPr>
      </w:pPr>
      <w:r w:rsidRPr="009D56B8">
        <w:rPr>
          <w:rFonts w:eastAsia="Times New Roman"/>
          <w:szCs w:val="22"/>
          <w:lang w:val="nb-NO" w:eastAsia="en-US"/>
        </w:rPr>
        <w:t>Merk: 500 celler/mm</w:t>
      </w:r>
      <w:r w:rsidRPr="009D56B8">
        <w:rPr>
          <w:rFonts w:eastAsia="Times New Roman"/>
          <w:szCs w:val="22"/>
          <w:vertAlign w:val="superscript"/>
          <w:lang w:val="nb-NO" w:eastAsia="en-US"/>
        </w:rPr>
        <w:t>3</w:t>
      </w:r>
      <w:r w:rsidRPr="009D56B8">
        <w:rPr>
          <w:rFonts w:eastAsia="Times New Roman"/>
          <w:szCs w:val="22"/>
          <w:lang w:val="nb-NO" w:eastAsia="en-US"/>
        </w:rPr>
        <w:t xml:space="preserve"> , 800 celler/mm</w:t>
      </w:r>
      <w:r w:rsidRPr="009D56B8">
        <w:rPr>
          <w:rFonts w:eastAsia="Times New Roman"/>
          <w:szCs w:val="22"/>
          <w:vertAlign w:val="superscript"/>
          <w:lang w:val="nb-NO" w:eastAsia="en-US"/>
        </w:rPr>
        <w:t>3</w:t>
      </w:r>
      <w:r w:rsidRPr="009D56B8">
        <w:rPr>
          <w:rFonts w:eastAsia="Times New Roman"/>
          <w:szCs w:val="22"/>
          <w:lang w:val="nb-NO" w:eastAsia="en-US"/>
        </w:rPr>
        <w:t xml:space="preserve"> , 910 celler/mm</w:t>
      </w:r>
      <w:r w:rsidRPr="009D56B8">
        <w:rPr>
          <w:rFonts w:eastAsia="Times New Roman"/>
          <w:szCs w:val="22"/>
          <w:vertAlign w:val="superscript"/>
          <w:lang w:val="nb-NO" w:eastAsia="en-US"/>
        </w:rPr>
        <w:t>3</w:t>
      </w:r>
      <w:r w:rsidRPr="009D56B8">
        <w:rPr>
          <w:rFonts w:eastAsia="Times New Roman"/>
          <w:szCs w:val="22"/>
          <w:lang w:val="nb-NO" w:eastAsia="en-US"/>
        </w:rPr>
        <w:t xml:space="preserve"> tilsvarer henholdsvis 0,5 × 10</w:t>
      </w:r>
      <w:r w:rsidRPr="009D56B8">
        <w:rPr>
          <w:rFonts w:eastAsia="Times New Roman"/>
          <w:szCs w:val="22"/>
          <w:vertAlign w:val="superscript"/>
          <w:lang w:val="nb-NO" w:eastAsia="en-US"/>
        </w:rPr>
        <w:t>9</w:t>
      </w:r>
      <w:r w:rsidRPr="009D56B8">
        <w:rPr>
          <w:rFonts w:eastAsia="Times New Roman"/>
          <w:szCs w:val="22"/>
          <w:lang w:val="nb-NO" w:eastAsia="en-US"/>
        </w:rPr>
        <w:t xml:space="preserve"> /liter, 0,8 × 10</w:t>
      </w:r>
      <w:r w:rsidRPr="009D56B8">
        <w:rPr>
          <w:rFonts w:eastAsia="Times New Roman"/>
          <w:szCs w:val="22"/>
          <w:vertAlign w:val="superscript"/>
          <w:lang w:val="nb-NO" w:eastAsia="en-US"/>
        </w:rPr>
        <w:t>9</w:t>
      </w:r>
      <w:r w:rsidRPr="009D56B8">
        <w:rPr>
          <w:rFonts w:eastAsia="Times New Roman"/>
          <w:szCs w:val="22"/>
          <w:lang w:val="nb-NO" w:eastAsia="en-US"/>
        </w:rPr>
        <w:t xml:space="preserve"> /liter og 0,9 × 10</w:t>
      </w:r>
      <w:r w:rsidRPr="009D56B8">
        <w:rPr>
          <w:rFonts w:eastAsia="Times New Roman"/>
          <w:szCs w:val="22"/>
          <w:vertAlign w:val="superscript"/>
          <w:lang w:val="nb-NO" w:eastAsia="en-US"/>
        </w:rPr>
        <w:t>9</w:t>
      </w:r>
      <w:r w:rsidRPr="009D56B8">
        <w:rPr>
          <w:rFonts w:eastAsia="Times New Roman"/>
          <w:szCs w:val="22"/>
          <w:lang w:val="nb-NO" w:eastAsia="en-US"/>
        </w:rPr>
        <w:t xml:space="preserve"> /liter.</w:t>
      </w:r>
    </w:p>
    <w:p w14:paraId="1B9E0002" w14:textId="77777777" w:rsidR="009F35F3" w:rsidRPr="009D56B8" w:rsidRDefault="009F35F3" w:rsidP="00415728">
      <w:pPr>
        <w:rPr>
          <w:szCs w:val="22"/>
          <w:lang w:val="nn-NO"/>
        </w:rPr>
      </w:pPr>
    </w:p>
    <w:p w14:paraId="53FD758B" w14:textId="2292FD0F" w:rsidR="00415728" w:rsidRPr="009D56B8" w:rsidRDefault="00415728" w:rsidP="002740EA">
      <w:pPr>
        <w:keepNext/>
        <w:rPr>
          <w:b/>
          <w:bCs/>
          <w:szCs w:val="22"/>
          <w:lang w:val="nb-NO"/>
        </w:rPr>
      </w:pPr>
      <w:r w:rsidRPr="009D56B8">
        <w:rPr>
          <w:b/>
          <w:bCs/>
          <w:szCs w:val="22"/>
          <w:lang w:val="nb-NO"/>
        </w:rPr>
        <w:t>Tabell 1:</w:t>
      </w:r>
      <w:r w:rsidRPr="009D56B8">
        <w:rPr>
          <w:szCs w:val="22"/>
          <w:lang w:val="nb-NO"/>
        </w:rPr>
        <w:t xml:space="preserve"> </w:t>
      </w:r>
      <w:r w:rsidRPr="009D56B8">
        <w:rPr>
          <w:b/>
          <w:bCs/>
          <w:szCs w:val="22"/>
          <w:lang w:val="nb-NO"/>
        </w:rPr>
        <w:t xml:space="preserve">Kaplan-Meier-metode; </w:t>
      </w:r>
      <w:r w:rsidR="008219E8" w:rsidRPr="009D56B8">
        <w:rPr>
          <w:b/>
          <w:bCs/>
          <w:szCs w:val="22"/>
          <w:lang w:val="nb-NO"/>
        </w:rPr>
        <w:t>a</w:t>
      </w:r>
      <w:r w:rsidRPr="009D56B8">
        <w:rPr>
          <w:b/>
          <w:bCs/>
          <w:szCs w:val="22"/>
          <w:lang w:val="nb-NO"/>
        </w:rPr>
        <w:t xml:space="preserve">ndel av pasienter </w:t>
      </w:r>
      <w:r w:rsidR="007C52E1" w:rsidRPr="009D56B8">
        <w:rPr>
          <w:b/>
          <w:bCs/>
          <w:szCs w:val="22"/>
          <w:lang w:val="nb-NO"/>
        </w:rPr>
        <w:t xml:space="preserve">som er </w:t>
      </w:r>
      <w:r w:rsidRPr="009D56B8">
        <w:rPr>
          <w:b/>
          <w:bCs/>
          <w:szCs w:val="22"/>
          <w:lang w:val="nb-NO"/>
        </w:rPr>
        <w:t xml:space="preserve">anslått å nå nedre grense for normalområdet, </w:t>
      </w:r>
      <w:r w:rsidR="00820FD2" w:rsidRPr="009D56B8">
        <w:rPr>
          <w:b/>
          <w:bCs/>
          <w:szCs w:val="22"/>
          <w:lang w:val="nb-NO"/>
        </w:rPr>
        <w:t xml:space="preserve">med </w:t>
      </w:r>
      <w:r w:rsidRPr="009D56B8">
        <w:rPr>
          <w:b/>
          <w:bCs/>
          <w:szCs w:val="22"/>
          <w:lang w:val="nb-NO"/>
        </w:rPr>
        <w:t>mild lymfopeni ved baseline for gjenoppretting (</w:t>
      </w:r>
      <w:r w:rsidR="00B40B33" w:rsidRPr="009D56B8">
        <w:rPr>
          <w:b/>
          <w:bCs/>
          <w:szCs w:val="22"/>
          <w:lang w:val="nb-NO"/>
        </w:rPr>
        <w:t xml:space="preserve">recovery baseline, </w:t>
      </w:r>
      <w:r w:rsidRPr="009D56B8">
        <w:rPr>
          <w:b/>
          <w:bCs/>
          <w:szCs w:val="22"/>
          <w:lang w:val="nb-NO"/>
        </w:rPr>
        <w:t>RBL), unntatt pasienter med langvarig alvorlig lymfopeni</w:t>
      </w:r>
    </w:p>
    <w:p w14:paraId="3D933F85" w14:textId="77777777" w:rsidR="00415728" w:rsidRPr="009D56B8" w:rsidRDefault="00415728" w:rsidP="002740EA">
      <w:pPr>
        <w:keepNext/>
        <w:rPr>
          <w:szCs w:val="22"/>
          <w:lang w:val="nb-NO"/>
        </w:rPr>
      </w:pPr>
    </w:p>
    <w:tbl>
      <w:tblPr>
        <w:tblStyle w:val="TableGrid"/>
        <w:tblW w:w="0" w:type="auto"/>
        <w:tblLook w:val="04A0" w:firstRow="1" w:lastRow="0" w:firstColumn="1" w:lastColumn="0" w:noHBand="0" w:noVBand="1"/>
      </w:tblPr>
      <w:tblGrid>
        <w:gridCol w:w="3509"/>
        <w:gridCol w:w="1855"/>
        <w:gridCol w:w="1855"/>
        <w:gridCol w:w="1855"/>
      </w:tblGrid>
      <w:tr w:rsidR="009D56B8" w:rsidRPr="009D56B8" w14:paraId="21D93677" w14:textId="77777777" w:rsidTr="00EE620B">
        <w:tc>
          <w:tcPr>
            <w:tcW w:w="1797" w:type="pct"/>
          </w:tcPr>
          <w:p w14:paraId="31A3966F" w14:textId="77777777" w:rsidR="00FC6AA0" w:rsidRPr="009D56B8" w:rsidRDefault="00415728" w:rsidP="002740EA">
            <w:pPr>
              <w:keepNext/>
              <w:rPr>
                <w:b/>
                <w:szCs w:val="22"/>
                <w:lang w:val="nb-NO"/>
              </w:rPr>
            </w:pPr>
            <w:r w:rsidRPr="009D56B8">
              <w:rPr>
                <w:b/>
                <w:szCs w:val="22"/>
                <w:lang w:val="nb-NO"/>
              </w:rPr>
              <w:t>Antall pasienter</w:t>
            </w:r>
            <w:r w:rsidR="00FC6AA0" w:rsidRPr="009D56B8">
              <w:rPr>
                <w:b/>
                <w:szCs w:val="22"/>
                <w:lang w:val="nb-NO"/>
              </w:rPr>
              <w:t xml:space="preserve"> under risiko,</w:t>
            </w:r>
          </w:p>
          <w:p w14:paraId="54F8ABFB" w14:textId="0F63E729" w:rsidR="00415728" w:rsidRPr="009D56B8" w:rsidRDefault="00FC6AA0" w:rsidP="002740EA">
            <w:pPr>
              <w:keepNext/>
              <w:rPr>
                <w:b/>
                <w:szCs w:val="22"/>
                <w:lang w:val="nb-NO"/>
              </w:rPr>
            </w:pPr>
            <w:r w:rsidRPr="009D56B8">
              <w:rPr>
                <w:b/>
                <w:szCs w:val="22"/>
                <w:lang w:val="nb-NO"/>
              </w:rPr>
              <w:t>pasienter</w:t>
            </w:r>
            <w:r w:rsidR="00415728" w:rsidRPr="009D56B8">
              <w:rPr>
                <w:b/>
                <w:szCs w:val="22"/>
                <w:lang w:val="nb-NO"/>
              </w:rPr>
              <w:t xml:space="preserve"> med mild lymfopeni</w:t>
            </w:r>
            <w:r w:rsidR="00415728" w:rsidRPr="009D56B8">
              <w:rPr>
                <w:b/>
                <w:szCs w:val="22"/>
                <w:vertAlign w:val="superscript"/>
                <w:lang w:val="nb-NO"/>
              </w:rPr>
              <w:t>a</w:t>
            </w:r>
            <w:r w:rsidR="00415728" w:rsidRPr="009D56B8">
              <w:rPr>
                <w:b/>
                <w:szCs w:val="22"/>
                <w:lang w:val="nb-NO"/>
              </w:rPr>
              <w:t xml:space="preserve"> </w:t>
            </w:r>
          </w:p>
        </w:tc>
        <w:tc>
          <w:tcPr>
            <w:tcW w:w="950" w:type="pct"/>
          </w:tcPr>
          <w:p w14:paraId="62EA8DC7" w14:textId="77777777" w:rsidR="00415728" w:rsidRPr="009D56B8" w:rsidRDefault="00415728" w:rsidP="002740EA">
            <w:pPr>
              <w:keepNext/>
              <w:jc w:val="center"/>
              <w:rPr>
                <w:b/>
                <w:szCs w:val="22"/>
                <w:lang w:val="nb-NO"/>
              </w:rPr>
            </w:pPr>
            <w:r w:rsidRPr="009D56B8">
              <w:rPr>
                <w:b/>
                <w:szCs w:val="22"/>
                <w:lang w:val="nb-NO"/>
              </w:rPr>
              <w:t>Baseline</w:t>
            </w:r>
          </w:p>
          <w:p w14:paraId="5B4E0413" w14:textId="77777777" w:rsidR="00415728" w:rsidRPr="009D56B8" w:rsidRDefault="00415728" w:rsidP="002740EA">
            <w:pPr>
              <w:keepNext/>
              <w:jc w:val="center"/>
              <w:rPr>
                <w:b/>
                <w:szCs w:val="22"/>
                <w:lang w:val="nb-NO"/>
              </w:rPr>
            </w:pPr>
            <w:r w:rsidRPr="009D56B8">
              <w:rPr>
                <w:b/>
                <w:szCs w:val="22"/>
                <w:lang w:val="nb-NO"/>
              </w:rPr>
              <w:t>N = 86</w:t>
            </w:r>
          </w:p>
        </w:tc>
        <w:tc>
          <w:tcPr>
            <w:tcW w:w="950" w:type="pct"/>
          </w:tcPr>
          <w:p w14:paraId="5AFF459C" w14:textId="77777777" w:rsidR="00415728" w:rsidRPr="009D56B8" w:rsidRDefault="00415728" w:rsidP="002740EA">
            <w:pPr>
              <w:keepNext/>
              <w:jc w:val="center"/>
              <w:rPr>
                <w:b/>
                <w:szCs w:val="22"/>
                <w:lang w:val="nb-NO"/>
              </w:rPr>
            </w:pPr>
            <w:r w:rsidRPr="009D56B8">
              <w:rPr>
                <w:b/>
                <w:szCs w:val="22"/>
                <w:lang w:val="nb-NO"/>
              </w:rPr>
              <w:t>Uke 12</w:t>
            </w:r>
          </w:p>
          <w:p w14:paraId="0E1E636B" w14:textId="77777777" w:rsidR="00415728" w:rsidRPr="009D56B8" w:rsidRDefault="00415728" w:rsidP="002740EA">
            <w:pPr>
              <w:keepNext/>
              <w:jc w:val="center"/>
              <w:rPr>
                <w:b/>
                <w:szCs w:val="22"/>
                <w:lang w:val="nb-NO"/>
              </w:rPr>
            </w:pPr>
            <w:r w:rsidRPr="009D56B8">
              <w:rPr>
                <w:b/>
                <w:szCs w:val="22"/>
                <w:lang w:val="nb-NO"/>
              </w:rPr>
              <w:t>N = 12</w:t>
            </w:r>
          </w:p>
        </w:tc>
        <w:tc>
          <w:tcPr>
            <w:tcW w:w="950" w:type="pct"/>
          </w:tcPr>
          <w:p w14:paraId="3ED8A902" w14:textId="77777777" w:rsidR="00415728" w:rsidRPr="009D56B8" w:rsidRDefault="00415728" w:rsidP="002740EA">
            <w:pPr>
              <w:keepNext/>
              <w:jc w:val="center"/>
              <w:rPr>
                <w:b/>
                <w:szCs w:val="22"/>
                <w:lang w:val="nb-NO"/>
              </w:rPr>
            </w:pPr>
            <w:r w:rsidRPr="009D56B8">
              <w:rPr>
                <w:b/>
                <w:szCs w:val="22"/>
                <w:lang w:val="nb-NO"/>
              </w:rPr>
              <w:t>Uke 24</w:t>
            </w:r>
          </w:p>
          <w:p w14:paraId="18D880DB" w14:textId="77777777" w:rsidR="00415728" w:rsidRPr="009D56B8" w:rsidRDefault="00415728" w:rsidP="002740EA">
            <w:pPr>
              <w:keepNext/>
              <w:jc w:val="center"/>
              <w:rPr>
                <w:b/>
                <w:szCs w:val="22"/>
                <w:lang w:val="nb-NO"/>
              </w:rPr>
            </w:pPr>
            <w:r w:rsidRPr="009D56B8">
              <w:rPr>
                <w:b/>
                <w:szCs w:val="22"/>
                <w:lang w:val="nb-NO"/>
              </w:rPr>
              <w:t>N = 4</w:t>
            </w:r>
          </w:p>
        </w:tc>
      </w:tr>
      <w:tr w:rsidR="009D56B8" w:rsidRPr="009D56B8" w14:paraId="020C059C" w14:textId="77777777" w:rsidTr="00EE620B">
        <w:tc>
          <w:tcPr>
            <w:tcW w:w="1797" w:type="pct"/>
          </w:tcPr>
          <w:p w14:paraId="7C53706F" w14:textId="7C02F579" w:rsidR="00415728" w:rsidRPr="009D56B8" w:rsidRDefault="00415728" w:rsidP="00EE620B">
            <w:pPr>
              <w:rPr>
                <w:szCs w:val="22"/>
                <w:lang w:val="nb-NO"/>
              </w:rPr>
            </w:pPr>
            <w:r w:rsidRPr="009D56B8">
              <w:rPr>
                <w:szCs w:val="22"/>
                <w:lang w:val="nb-NO"/>
              </w:rPr>
              <w:t>Andel som når</w:t>
            </w:r>
            <w:r w:rsidR="00B40B33" w:rsidRPr="009D56B8">
              <w:rPr>
                <w:szCs w:val="22"/>
                <w:lang w:val="nb-NO"/>
              </w:rPr>
              <w:t xml:space="preserve"> nedre grense for normalområdet</w:t>
            </w:r>
            <w:r w:rsidRPr="009D56B8">
              <w:rPr>
                <w:szCs w:val="22"/>
                <w:lang w:val="nb-NO"/>
              </w:rPr>
              <w:t xml:space="preserve"> (95 % KI)</w:t>
            </w:r>
          </w:p>
        </w:tc>
        <w:tc>
          <w:tcPr>
            <w:tcW w:w="950" w:type="pct"/>
          </w:tcPr>
          <w:p w14:paraId="280D4950" w14:textId="77777777" w:rsidR="00415728" w:rsidRPr="009D56B8" w:rsidRDefault="00415728" w:rsidP="00EE620B">
            <w:pPr>
              <w:jc w:val="center"/>
              <w:rPr>
                <w:szCs w:val="22"/>
                <w:lang w:val="nb-NO"/>
              </w:rPr>
            </w:pPr>
          </w:p>
        </w:tc>
        <w:tc>
          <w:tcPr>
            <w:tcW w:w="950" w:type="pct"/>
          </w:tcPr>
          <w:p w14:paraId="20C246A0" w14:textId="77777777" w:rsidR="00415728" w:rsidRPr="009D56B8" w:rsidRDefault="00415728" w:rsidP="00EE620B">
            <w:pPr>
              <w:jc w:val="center"/>
              <w:rPr>
                <w:szCs w:val="22"/>
                <w:lang w:val="nb-NO"/>
              </w:rPr>
            </w:pPr>
            <w:r w:rsidRPr="009D56B8">
              <w:rPr>
                <w:szCs w:val="22"/>
                <w:lang w:val="nb-NO"/>
              </w:rPr>
              <w:t>0,81</w:t>
            </w:r>
          </w:p>
          <w:p w14:paraId="581C2351" w14:textId="77777777" w:rsidR="00415728" w:rsidRPr="009D56B8" w:rsidRDefault="00415728" w:rsidP="00EE620B">
            <w:pPr>
              <w:jc w:val="center"/>
              <w:rPr>
                <w:szCs w:val="22"/>
                <w:lang w:val="nb-NO"/>
              </w:rPr>
            </w:pPr>
            <w:r w:rsidRPr="009D56B8">
              <w:rPr>
                <w:szCs w:val="22"/>
                <w:lang w:val="nb-NO"/>
              </w:rPr>
              <w:t>(0,71, 0,89)</w:t>
            </w:r>
          </w:p>
        </w:tc>
        <w:tc>
          <w:tcPr>
            <w:tcW w:w="950" w:type="pct"/>
          </w:tcPr>
          <w:p w14:paraId="4A83C74C" w14:textId="77777777" w:rsidR="00415728" w:rsidRPr="009D56B8" w:rsidRDefault="00415728" w:rsidP="00EE620B">
            <w:pPr>
              <w:jc w:val="center"/>
              <w:rPr>
                <w:szCs w:val="22"/>
                <w:lang w:val="nb-NO"/>
              </w:rPr>
            </w:pPr>
            <w:r w:rsidRPr="009D56B8">
              <w:rPr>
                <w:szCs w:val="22"/>
                <w:lang w:val="nb-NO"/>
              </w:rPr>
              <w:t>0,90</w:t>
            </w:r>
          </w:p>
          <w:p w14:paraId="3C818587" w14:textId="77777777" w:rsidR="00415728" w:rsidRPr="009D56B8" w:rsidRDefault="00415728" w:rsidP="00EE620B">
            <w:pPr>
              <w:jc w:val="center"/>
              <w:rPr>
                <w:szCs w:val="22"/>
                <w:lang w:val="nb-NO"/>
              </w:rPr>
            </w:pPr>
            <w:r w:rsidRPr="009D56B8">
              <w:rPr>
                <w:szCs w:val="22"/>
                <w:lang w:val="nb-NO"/>
              </w:rPr>
              <w:t>(0,81, 0,96)</w:t>
            </w:r>
          </w:p>
        </w:tc>
      </w:tr>
    </w:tbl>
    <w:p w14:paraId="3958746F" w14:textId="7A4BE9EB" w:rsidR="00415728" w:rsidRPr="009D56B8" w:rsidRDefault="00415728" w:rsidP="00415728">
      <w:pPr>
        <w:rPr>
          <w:lang w:val="nb-NO"/>
        </w:rPr>
      </w:pPr>
      <w:r w:rsidRPr="009D56B8">
        <w:rPr>
          <w:vertAlign w:val="superscript"/>
          <w:lang w:val="nb-NO"/>
        </w:rPr>
        <w:t>a</w:t>
      </w:r>
      <w:r w:rsidRPr="009D56B8">
        <w:rPr>
          <w:lang w:val="nb-NO"/>
        </w:rPr>
        <w:t xml:space="preserve"> </w:t>
      </w:r>
      <w:r w:rsidRPr="009D56B8">
        <w:rPr>
          <w:sz w:val="20"/>
          <w:lang w:val="nb-NO"/>
        </w:rPr>
        <w:t xml:space="preserve">Pasienter med </w:t>
      </w:r>
      <w:r w:rsidR="009C56A3" w:rsidRPr="009D56B8">
        <w:rPr>
          <w:sz w:val="20"/>
          <w:lang w:val="nb-NO"/>
        </w:rPr>
        <w:t xml:space="preserve">absolutt lymfocyttall </w:t>
      </w:r>
      <w:r w:rsidRPr="009D56B8">
        <w:rPr>
          <w:sz w:val="20"/>
          <w:lang w:val="nb-NO"/>
        </w:rPr>
        <w:t>&lt; </w:t>
      </w:r>
      <w:r w:rsidR="007E5DB6" w:rsidRPr="009D56B8">
        <w:rPr>
          <w:sz w:val="20"/>
          <w:lang w:val="nb-NO"/>
        </w:rPr>
        <w:t>0,</w:t>
      </w:r>
      <w:r w:rsidRPr="009D56B8">
        <w:rPr>
          <w:sz w:val="20"/>
          <w:lang w:val="nb-NO"/>
        </w:rPr>
        <w:t>9 og ≥ </w:t>
      </w:r>
      <w:r w:rsidR="007E5DB6" w:rsidRPr="009D56B8">
        <w:rPr>
          <w:sz w:val="20"/>
          <w:lang w:val="nb-NO"/>
        </w:rPr>
        <w:t>0,</w:t>
      </w:r>
      <w:r w:rsidRPr="009D56B8">
        <w:rPr>
          <w:sz w:val="20"/>
          <w:lang w:val="nb-NO"/>
        </w:rPr>
        <w:t>8 </w:t>
      </w:r>
      <w:r w:rsidR="007E5DB6" w:rsidRPr="009D56B8">
        <w:rPr>
          <w:sz w:val="20"/>
          <w:lang w:val="nb-NO"/>
        </w:rPr>
        <w:t>x 10</w:t>
      </w:r>
      <w:r w:rsidR="007E5DB6" w:rsidRPr="009D56B8">
        <w:rPr>
          <w:sz w:val="20"/>
          <w:vertAlign w:val="superscript"/>
          <w:lang w:val="nb-NO"/>
        </w:rPr>
        <w:t>9</w:t>
      </w:r>
      <w:r w:rsidR="007E5DB6" w:rsidRPr="009D56B8">
        <w:rPr>
          <w:sz w:val="20"/>
          <w:lang w:val="nb-NO"/>
        </w:rPr>
        <w:t>/liter</w:t>
      </w:r>
      <w:r w:rsidRPr="009D56B8">
        <w:rPr>
          <w:sz w:val="20"/>
          <w:lang w:val="nb-NO"/>
        </w:rPr>
        <w:t xml:space="preserve"> ved RBL, unntatt pasienter med langvarig alvorlig lymfopeni.</w:t>
      </w:r>
    </w:p>
    <w:p w14:paraId="117785F1" w14:textId="77777777" w:rsidR="00415728" w:rsidRPr="009D56B8" w:rsidRDefault="00415728" w:rsidP="00415728">
      <w:pPr>
        <w:rPr>
          <w:szCs w:val="22"/>
          <w:lang w:val="nb-NO"/>
        </w:rPr>
      </w:pPr>
    </w:p>
    <w:p w14:paraId="6021114C" w14:textId="35AABE18" w:rsidR="00415728" w:rsidRPr="009D56B8" w:rsidRDefault="00415728" w:rsidP="00415728">
      <w:pPr>
        <w:rPr>
          <w:b/>
          <w:bCs/>
          <w:szCs w:val="22"/>
          <w:lang w:val="nb-NO"/>
        </w:rPr>
      </w:pPr>
      <w:r w:rsidRPr="009D56B8">
        <w:rPr>
          <w:b/>
          <w:bCs/>
          <w:szCs w:val="22"/>
          <w:lang w:val="nb-NO"/>
        </w:rPr>
        <w:t>Tabell 2:</w:t>
      </w:r>
      <w:r w:rsidRPr="009D56B8">
        <w:rPr>
          <w:szCs w:val="22"/>
          <w:lang w:val="nb-NO"/>
        </w:rPr>
        <w:t xml:space="preserve"> </w:t>
      </w:r>
      <w:r w:rsidRPr="009D56B8">
        <w:rPr>
          <w:b/>
          <w:bCs/>
          <w:szCs w:val="22"/>
          <w:lang w:val="nb-NO"/>
        </w:rPr>
        <w:t xml:space="preserve">Kaplan-Meier-metode; </w:t>
      </w:r>
      <w:r w:rsidR="008219E8" w:rsidRPr="009D56B8">
        <w:rPr>
          <w:b/>
          <w:bCs/>
          <w:szCs w:val="22"/>
          <w:lang w:val="nb-NO"/>
        </w:rPr>
        <w:t>a</w:t>
      </w:r>
      <w:r w:rsidRPr="009D56B8">
        <w:rPr>
          <w:b/>
          <w:bCs/>
          <w:szCs w:val="22"/>
          <w:lang w:val="nb-NO"/>
        </w:rPr>
        <w:t xml:space="preserve">ndel av pasienter </w:t>
      </w:r>
      <w:r w:rsidR="00B40B33" w:rsidRPr="009D56B8">
        <w:rPr>
          <w:b/>
          <w:bCs/>
          <w:szCs w:val="22"/>
          <w:lang w:val="nb-NO"/>
        </w:rPr>
        <w:t xml:space="preserve">som er </w:t>
      </w:r>
      <w:r w:rsidRPr="009D56B8">
        <w:rPr>
          <w:b/>
          <w:bCs/>
          <w:szCs w:val="22"/>
          <w:lang w:val="nb-NO"/>
        </w:rPr>
        <w:t xml:space="preserve">anslått å nå nedre grense for normalområdet, </w:t>
      </w:r>
      <w:r w:rsidR="00820FD2" w:rsidRPr="009D56B8">
        <w:rPr>
          <w:b/>
          <w:bCs/>
          <w:szCs w:val="22"/>
          <w:lang w:val="nb-NO"/>
        </w:rPr>
        <w:t xml:space="preserve">med </w:t>
      </w:r>
      <w:r w:rsidRPr="009D56B8">
        <w:rPr>
          <w:b/>
          <w:bCs/>
          <w:szCs w:val="22"/>
          <w:lang w:val="nb-NO"/>
        </w:rPr>
        <w:t>moderat lymfopeni ved baseline for gjenoppretting (</w:t>
      </w:r>
      <w:r w:rsidR="00B40B33" w:rsidRPr="009D56B8">
        <w:rPr>
          <w:b/>
          <w:bCs/>
          <w:szCs w:val="22"/>
          <w:lang w:val="nb-NO"/>
        </w:rPr>
        <w:t xml:space="preserve">recovery baseline, </w:t>
      </w:r>
      <w:r w:rsidRPr="009D56B8">
        <w:rPr>
          <w:b/>
          <w:bCs/>
          <w:szCs w:val="22"/>
          <w:lang w:val="nb-NO"/>
        </w:rPr>
        <w:t>RBL), unntatt pasienter med langvarig alvorlig lymfopeni</w:t>
      </w:r>
    </w:p>
    <w:p w14:paraId="6FA1875E" w14:textId="77777777" w:rsidR="00415728" w:rsidRPr="009D56B8" w:rsidRDefault="00415728" w:rsidP="00415728">
      <w:pPr>
        <w:rPr>
          <w:szCs w:val="22"/>
          <w:lang w:val="nb-NO"/>
        </w:rPr>
      </w:pPr>
    </w:p>
    <w:tbl>
      <w:tblPr>
        <w:tblStyle w:val="TableGrid"/>
        <w:tblW w:w="0" w:type="auto"/>
        <w:tblLook w:val="04A0" w:firstRow="1" w:lastRow="0" w:firstColumn="1" w:lastColumn="0" w:noHBand="0" w:noVBand="1"/>
      </w:tblPr>
      <w:tblGrid>
        <w:gridCol w:w="3509"/>
        <w:gridCol w:w="1855"/>
        <w:gridCol w:w="1855"/>
        <w:gridCol w:w="1855"/>
      </w:tblGrid>
      <w:tr w:rsidR="009D56B8" w:rsidRPr="009D56B8" w14:paraId="5E6D7F0E" w14:textId="77777777" w:rsidTr="00EE620B">
        <w:tc>
          <w:tcPr>
            <w:tcW w:w="1797" w:type="pct"/>
          </w:tcPr>
          <w:p w14:paraId="343AE1C3" w14:textId="77777777" w:rsidR="00FC6AA0" w:rsidRPr="009D56B8" w:rsidRDefault="00415728" w:rsidP="00EE620B">
            <w:pPr>
              <w:rPr>
                <w:b/>
                <w:szCs w:val="22"/>
                <w:lang w:val="nb-NO"/>
              </w:rPr>
            </w:pPr>
            <w:r w:rsidRPr="009D56B8">
              <w:rPr>
                <w:b/>
                <w:szCs w:val="22"/>
                <w:lang w:val="nb-NO"/>
              </w:rPr>
              <w:t xml:space="preserve">Antall pasienter </w:t>
            </w:r>
            <w:r w:rsidR="00FC6AA0" w:rsidRPr="009D56B8">
              <w:rPr>
                <w:b/>
                <w:szCs w:val="22"/>
                <w:lang w:val="nb-NO"/>
              </w:rPr>
              <w:t>under risiko,</w:t>
            </w:r>
          </w:p>
          <w:p w14:paraId="22D31D88" w14:textId="7C62676E" w:rsidR="00415728" w:rsidRPr="009D56B8" w:rsidRDefault="00FC6AA0" w:rsidP="00EE620B">
            <w:pPr>
              <w:rPr>
                <w:b/>
                <w:szCs w:val="22"/>
                <w:lang w:val="nb-NO"/>
              </w:rPr>
            </w:pPr>
            <w:r w:rsidRPr="009D56B8">
              <w:rPr>
                <w:b/>
                <w:szCs w:val="22"/>
                <w:lang w:val="nb-NO"/>
              </w:rPr>
              <w:t xml:space="preserve">pasienter </w:t>
            </w:r>
            <w:r w:rsidR="00415728" w:rsidRPr="009D56B8">
              <w:rPr>
                <w:b/>
                <w:szCs w:val="22"/>
                <w:lang w:val="nb-NO"/>
              </w:rPr>
              <w:t>med moderat lymfopeni</w:t>
            </w:r>
            <w:r w:rsidR="00415728" w:rsidRPr="009D56B8">
              <w:rPr>
                <w:b/>
                <w:szCs w:val="22"/>
                <w:vertAlign w:val="superscript"/>
                <w:lang w:val="nb-NO"/>
              </w:rPr>
              <w:t>a</w:t>
            </w:r>
          </w:p>
        </w:tc>
        <w:tc>
          <w:tcPr>
            <w:tcW w:w="950" w:type="pct"/>
          </w:tcPr>
          <w:p w14:paraId="1820B1F7" w14:textId="77777777" w:rsidR="00415728" w:rsidRPr="009D56B8" w:rsidRDefault="00415728" w:rsidP="00EE620B">
            <w:pPr>
              <w:jc w:val="center"/>
              <w:rPr>
                <w:b/>
                <w:szCs w:val="22"/>
                <w:lang w:val="nb-NO"/>
              </w:rPr>
            </w:pPr>
            <w:r w:rsidRPr="009D56B8">
              <w:rPr>
                <w:b/>
                <w:szCs w:val="22"/>
                <w:lang w:val="nb-NO"/>
              </w:rPr>
              <w:t>Baseline</w:t>
            </w:r>
          </w:p>
          <w:p w14:paraId="3958161D" w14:textId="571989B6" w:rsidR="00415728" w:rsidRPr="009D56B8" w:rsidRDefault="00415728" w:rsidP="00EE620B">
            <w:pPr>
              <w:jc w:val="center"/>
              <w:rPr>
                <w:b/>
                <w:szCs w:val="22"/>
                <w:lang w:val="nb-NO"/>
              </w:rPr>
            </w:pPr>
            <w:r w:rsidRPr="009D56B8">
              <w:rPr>
                <w:b/>
                <w:szCs w:val="22"/>
                <w:lang w:val="nb-NO"/>
              </w:rPr>
              <w:t>N = 124</w:t>
            </w:r>
          </w:p>
        </w:tc>
        <w:tc>
          <w:tcPr>
            <w:tcW w:w="950" w:type="pct"/>
          </w:tcPr>
          <w:p w14:paraId="03553805" w14:textId="77777777" w:rsidR="00415728" w:rsidRPr="009D56B8" w:rsidRDefault="00415728" w:rsidP="00EE620B">
            <w:pPr>
              <w:jc w:val="center"/>
              <w:rPr>
                <w:b/>
                <w:szCs w:val="22"/>
                <w:lang w:val="nb-NO"/>
              </w:rPr>
            </w:pPr>
            <w:r w:rsidRPr="009D56B8">
              <w:rPr>
                <w:b/>
                <w:szCs w:val="22"/>
                <w:lang w:val="nb-NO"/>
              </w:rPr>
              <w:t>Uke 12</w:t>
            </w:r>
          </w:p>
          <w:p w14:paraId="7752D75A" w14:textId="26A1A761" w:rsidR="00415728" w:rsidRPr="009D56B8" w:rsidRDefault="00415728" w:rsidP="00EE620B">
            <w:pPr>
              <w:jc w:val="center"/>
              <w:rPr>
                <w:b/>
                <w:szCs w:val="22"/>
                <w:lang w:val="nb-NO"/>
              </w:rPr>
            </w:pPr>
            <w:r w:rsidRPr="009D56B8">
              <w:rPr>
                <w:b/>
                <w:szCs w:val="22"/>
                <w:lang w:val="nb-NO"/>
              </w:rPr>
              <w:t>N = 33</w:t>
            </w:r>
          </w:p>
        </w:tc>
        <w:tc>
          <w:tcPr>
            <w:tcW w:w="950" w:type="pct"/>
          </w:tcPr>
          <w:p w14:paraId="401C9919" w14:textId="77777777" w:rsidR="00415728" w:rsidRPr="009D56B8" w:rsidRDefault="00415728" w:rsidP="00EE620B">
            <w:pPr>
              <w:jc w:val="center"/>
              <w:rPr>
                <w:b/>
                <w:szCs w:val="22"/>
                <w:lang w:val="nb-NO"/>
              </w:rPr>
            </w:pPr>
            <w:r w:rsidRPr="009D56B8">
              <w:rPr>
                <w:b/>
                <w:szCs w:val="22"/>
                <w:lang w:val="nb-NO"/>
              </w:rPr>
              <w:t>Uke 24</w:t>
            </w:r>
          </w:p>
          <w:p w14:paraId="242A392A" w14:textId="2DD3035B" w:rsidR="00415728" w:rsidRPr="009D56B8" w:rsidRDefault="00415728" w:rsidP="00EE620B">
            <w:pPr>
              <w:jc w:val="center"/>
              <w:rPr>
                <w:b/>
                <w:szCs w:val="22"/>
                <w:lang w:val="nb-NO"/>
              </w:rPr>
            </w:pPr>
            <w:r w:rsidRPr="009D56B8">
              <w:rPr>
                <w:b/>
                <w:szCs w:val="22"/>
                <w:lang w:val="nb-NO"/>
              </w:rPr>
              <w:t>N = </w:t>
            </w:r>
            <w:r w:rsidR="001A22B7" w:rsidRPr="009D56B8">
              <w:rPr>
                <w:b/>
                <w:szCs w:val="22"/>
                <w:lang w:val="nb-NO"/>
              </w:rPr>
              <w:t>17</w:t>
            </w:r>
          </w:p>
        </w:tc>
      </w:tr>
      <w:tr w:rsidR="009D56B8" w:rsidRPr="009D56B8" w14:paraId="3399E73A" w14:textId="77777777" w:rsidTr="00EE620B">
        <w:tc>
          <w:tcPr>
            <w:tcW w:w="1797" w:type="pct"/>
          </w:tcPr>
          <w:p w14:paraId="571B7FA0" w14:textId="51451A7B" w:rsidR="00415728" w:rsidRPr="009D56B8" w:rsidRDefault="00415728" w:rsidP="00EE620B">
            <w:pPr>
              <w:rPr>
                <w:szCs w:val="22"/>
                <w:lang w:val="nb-NO"/>
              </w:rPr>
            </w:pPr>
            <w:r w:rsidRPr="009D56B8">
              <w:rPr>
                <w:szCs w:val="22"/>
                <w:lang w:val="nb-NO"/>
              </w:rPr>
              <w:t>Andel som når</w:t>
            </w:r>
            <w:r w:rsidR="00B40B33" w:rsidRPr="009D56B8">
              <w:rPr>
                <w:szCs w:val="22"/>
                <w:lang w:val="nb-NO"/>
              </w:rPr>
              <w:t xml:space="preserve"> nedre grense for normalområdet</w:t>
            </w:r>
            <w:r w:rsidRPr="009D56B8">
              <w:rPr>
                <w:szCs w:val="22"/>
                <w:lang w:val="nb-NO"/>
              </w:rPr>
              <w:t xml:space="preserve"> (95 % KI)</w:t>
            </w:r>
          </w:p>
        </w:tc>
        <w:tc>
          <w:tcPr>
            <w:tcW w:w="950" w:type="pct"/>
          </w:tcPr>
          <w:p w14:paraId="54FC08B9" w14:textId="77777777" w:rsidR="00415728" w:rsidRPr="009D56B8" w:rsidRDefault="00415728" w:rsidP="00EE620B">
            <w:pPr>
              <w:jc w:val="center"/>
              <w:rPr>
                <w:szCs w:val="22"/>
                <w:lang w:val="nb-NO"/>
              </w:rPr>
            </w:pPr>
          </w:p>
        </w:tc>
        <w:tc>
          <w:tcPr>
            <w:tcW w:w="950" w:type="pct"/>
          </w:tcPr>
          <w:p w14:paraId="6DFF2607" w14:textId="678D2B92" w:rsidR="00415728" w:rsidRPr="009D56B8" w:rsidRDefault="00415728" w:rsidP="00415728">
            <w:pPr>
              <w:jc w:val="center"/>
              <w:rPr>
                <w:szCs w:val="22"/>
                <w:lang w:val="nb-NO"/>
              </w:rPr>
            </w:pPr>
            <w:r w:rsidRPr="009D56B8">
              <w:rPr>
                <w:szCs w:val="22"/>
                <w:lang w:val="nb-NO"/>
              </w:rPr>
              <w:t>0,57</w:t>
            </w:r>
          </w:p>
          <w:p w14:paraId="4176D7E5" w14:textId="51FD9BCC" w:rsidR="00415728" w:rsidRPr="009D56B8" w:rsidRDefault="00415728" w:rsidP="00415728">
            <w:pPr>
              <w:jc w:val="center"/>
              <w:rPr>
                <w:szCs w:val="22"/>
                <w:lang w:val="nb-NO"/>
              </w:rPr>
            </w:pPr>
            <w:r w:rsidRPr="009D56B8">
              <w:rPr>
                <w:szCs w:val="22"/>
                <w:lang w:val="nb-NO"/>
              </w:rPr>
              <w:t>(0,46, 0,67)</w:t>
            </w:r>
          </w:p>
        </w:tc>
        <w:tc>
          <w:tcPr>
            <w:tcW w:w="950" w:type="pct"/>
          </w:tcPr>
          <w:p w14:paraId="1E66C9CB" w14:textId="2CEDE7DF" w:rsidR="00415728" w:rsidRPr="009D56B8" w:rsidRDefault="00415728" w:rsidP="00415728">
            <w:pPr>
              <w:jc w:val="center"/>
              <w:rPr>
                <w:szCs w:val="22"/>
                <w:lang w:val="nb-NO"/>
              </w:rPr>
            </w:pPr>
            <w:r w:rsidRPr="009D56B8">
              <w:rPr>
                <w:szCs w:val="22"/>
                <w:lang w:val="nb-NO"/>
              </w:rPr>
              <w:t>0,70</w:t>
            </w:r>
          </w:p>
          <w:p w14:paraId="07ADB1CE" w14:textId="5B79C492" w:rsidR="00415728" w:rsidRPr="009D56B8" w:rsidRDefault="00415728" w:rsidP="00415728">
            <w:pPr>
              <w:jc w:val="center"/>
              <w:rPr>
                <w:szCs w:val="22"/>
                <w:lang w:val="nb-NO"/>
              </w:rPr>
            </w:pPr>
            <w:r w:rsidRPr="009D56B8">
              <w:rPr>
                <w:szCs w:val="22"/>
                <w:lang w:val="nb-NO"/>
              </w:rPr>
              <w:t>(0,60, 0,80)</w:t>
            </w:r>
          </w:p>
        </w:tc>
      </w:tr>
    </w:tbl>
    <w:p w14:paraId="459FBAF9" w14:textId="6C0D9953" w:rsidR="00415728" w:rsidRPr="009D56B8" w:rsidRDefault="00415728" w:rsidP="00415728">
      <w:pPr>
        <w:rPr>
          <w:lang w:val="nb-NO"/>
        </w:rPr>
      </w:pPr>
      <w:r w:rsidRPr="009D56B8">
        <w:rPr>
          <w:vertAlign w:val="superscript"/>
          <w:lang w:val="nb-NO"/>
        </w:rPr>
        <w:t>a</w:t>
      </w:r>
      <w:r w:rsidRPr="009D56B8">
        <w:rPr>
          <w:lang w:val="nb-NO"/>
        </w:rPr>
        <w:t xml:space="preserve"> </w:t>
      </w:r>
      <w:r w:rsidRPr="009D56B8">
        <w:rPr>
          <w:sz w:val="20"/>
          <w:lang w:val="nb-NO"/>
        </w:rPr>
        <w:t xml:space="preserve">Pasienter med </w:t>
      </w:r>
      <w:r w:rsidR="009C56A3" w:rsidRPr="009D56B8">
        <w:rPr>
          <w:sz w:val="20"/>
          <w:lang w:val="nb-NO"/>
        </w:rPr>
        <w:t xml:space="preserve">absolutt lymfocyttall </w:t>
      </w:r>
      <w:r w:rsidRPr="009D56B8">
        <w:rPr>
          <w:sz w:val="20"/>
          <w:lang w:val="nb-NO"/>
        </w:rPr>
        <w:t>&lt; </w:t>
      </w:r>
      <w:r w:rsidR="007E5DB6" w:rsidRPr="009D56B8">
        <w:rPr>
          <w:sz w:val="20"/>
          <w:lang w:val="nb-NO"/>
        </w:rPr>
        <w:t>0,</w:t>
      </w:r>
      <w:r w:rsidRPr="009D56B8">
        <w:rPr>
          <w:sz w:val="20"/>
          <w:lang w:val="nb-NO"/>
        </w:rPr>
        <w:t>8 og ≥ </w:t>
      </w:r>
      <w:r w:rsidR="007E5DB6" w:rsidRPr="009D56B8">
        <w:rPr>
          <w:sz w:val="20"/>
          <w:lang w:val="nb-NO"/>
        </w:rPr>
        <w:t>0,</w:t>
      </w:r>
      <w:r w:rsidRPr="009D56B8">
        <w:rPr>
          <w:sz w:val="20"/>
          <w:lang w:val="nb-NO"/>
        </w:rPr>
        <w:t>5 </w:t>
      </w:r>
      <w:r w:rsidR="007E5DB6" w:rsidRPr="009D56B8">
        <w:rPr>
          <w:sz w:val="20"/>
          <w:lang w:val="nb-NO"/>
        </w:rPr>
        <w:t>x 10</w:t>
      </w:r>
      <w:r w:rsidR="007E5DB6" w:rsidRPr="009D56B8">
        <w:rPr>
          <w:sz w:val="20"/>
          <w:vertAlign w:val="superscript"/>
          <w:lang w:val="nb-NO"/>
        </w:rPr>
        <w:t>9</w:t>
      </w:r>
      <w:r w:rsidR="007E5DB6" w:rsidRPr="009D56B8">
        <w:rPr>
          <w:sz w:val="20"/>
          <w:lang w:val="nb-NO"/>
        </w:rPr>
        <w:t>/liter</w:t>
      </w:r>
      <w:r w:rsidRPr="009D56B8">
        <w:rPr>
          <w:sz w:val="20"/>
          <w:lang w:val="nb-NO"/>
        </w:rPr>
        <w:t xml:space="preserve"> ved RBL, unntatt pasienter med langvarig alvorlig lymfopeni.</w:t>
      </w:r>
    </w:p>
    <w:p w14:paraId="1BD4BF72" w14:textId="77777777" w:rsidR="00415728" w:rsidRPr="009D56B8" w:rsidRDefault="00415728" w:rsidP="00415728">
      <w:pPr>
        <w:rPr>
          <w:szCs w:val="22"/>
          <w:lang w:val="nb-NO"/>
        </w:rPr>
      </w:pPr>
    </w:p>
    <w:p w14:paraId="16DDE9CD" w14:textId="6676CC94" w:rsidR="00415728" w:rsidRPr="009D56B8" w:rsidRDefault="00415728" w:rsidP="00415728">
      <w:pPr>
        <w:rPr>
          <w:b/>
          <w:bCs/>
          <w:szCs w:val="22"/>
          <w:lang w:val="nb-NO"/>
        </w:rPr>
      </w:pPr>
      <w:r w:rsidRPr="009D56B8">
        <w:rPr>
          <w:b/>
          <w:bCs/>
          <w:szCs w:val="22"/>
          <w:lang w:val="nb-NO"/>
        </w:rPr>
        <w:t>Tabell 3:</w:t>
      </w:r>
      <w:r w:rsidRPr="009D56B8">
        <w:rPr>
          <w:szCs w:val="22"/>
          <w:lang w:val="nb-NO"/>
        </w:rPr>
        <w:t xml:space="preserve"> </w:t>
      </w:r>
      <w:r w:rsidRPr="009D56B8">
        <w:rPr>
          <w:b/>
          <w:bCs/>
          <w:szCs w:val="22"/>
          <w:lang w:val="nb-NO"/>
        </w:rPr>
        <w:t xml:space="preserve">Kaplan-Meier-metode; </w:t>
      </w:r>
      <w:r w:rsidR="008219E8" w:rsidRPr="009D56B8">
        <w:rPr>
          <w:b/>
          <w:bCs/>
          <w:szCs w:val="22"/>
          <w:lang w:val="nb-NO"/>
        </w:rPr>
        <w:t>a</w:t>
      </w:r>
      <w:r w:rsidRPr="009D56B8">
        <w:rPr>
          <w:b/>
          <w:bCs/>
          <w:szCs w:val="22"/>
          <w:lang w:val="nb-NO"/>
        </w:rPr>
        <w:t xml:space="preserve">ndel av pasienter </w:t>
      </w:r>
      <w:r w:rsidR="00B40B33" w:rsidRPr="009D56B8">
        <w:rPr>
          <w:b/>
          <w:bCs/>
          <w:szCs w:val="22"/>
          <w:lang w:val="nb-NO"/>
        </w:rPr>
        <w:t xml:space="preserve">som er </w:t>
      </w:r>
      <w:r w:rsidRPr="009D56B8">
        <w:rPr>
          <w:b/>
          <w:bCs/>
          <w:szCs w:val="22"/>
          <w:lang w:val="nb-NO"/>
        </w:rPr>
        <w:t xml:space="preserve">anslått å nå nedre grense for normalområdet, </w:t>
      </w:r>
      <w:r w:rsidR="00820FD2" w:rsidRPr="009D56B8">
        <w:rPr>
          <w:b/>
          <w:bCs/>
          <w:szCs w:val="22"/>
          <w:lang w:val="nb-NO"/>
        </w:rPr>
        <w:t xml:space="preserve">med </w:t>
      </w:r>
      <w:r w:rsidRPr="009D56B8">
        <w:rPr>
          <w:b/>
          <w:bCs/>
          <w:szCs w:val="22"/>
          <w:lang w:val="nb-NO"/>
        </w:rPr>
        <w:t>alvorlig lymfopeni ved baseline for gjenoppretting (</w:t>
      </w:r>
      <w:r w:rsidR="009C56A3" w:rsidRPr="009D56B8">
        <w:rPr>
          <w:b/>
          <w:bCs/>
          <w:szCs w:val="22"/>
          <w:lang w:val="nb-NO"/>
        </w:rPr>
        <w:t xml:space="preserve">recovery baseline, </w:t>
      </w:r>
      <w:r w:rsidRPr="009D56B8">
        <w:rPr>
          <w:b/>
          <w:bCs/>
          <w:szCs w:val="22"/>
          <w:lang w:val="nb-NO"/>
        </w:rPr>
        <w:t>RBL), unntatt pasienter med langvarig alvorlig lymfopeni</w:t>
      </w:r>
    </w:p>
    <w:p w14:paraId="5A5F2208" w14:textId="77777777" w:rsidR="00415728" w:rsidRPr="009D56B8" w:rsidRDefault="00415728" w:rsidP="00415728">
      <w:pPr>
        <w:rPr>
          <w:szCs w:val="22"/>
          <w:lang w:val="nb-NO"/>
        </w:rPr>
      </w:pPr>
    </w:p>
    <w:tbl>
      <w:tblPr>
        <w:tblStyle w:val="TableGrid"/>
        <w:tblW w:w="0" w:type="auto"/>
        <w:tblLook w:val="04A0" w:firstRow="1" w:lastRow="0" w:firstColumn="1" w:lastColumn="0" w:noHBand="0" w:noVBand="1"/>
      </w:tblPr>
      <w:tblGrid>
        <w:gridCol w:w="3509"/>
        <w:gridCol w:w="1855"/>
        <w:gridCol w:w="1855"/>
        <w:gridCol w:w="1855"/>
      </w:tblGrid>
      <w:tr w:rsidR="009D56B8" w:rsidRPr="009D56B8" w14:paraId="6C941D3F" w14:textId="77777777" w:rsidTr="00EE620B">
        <w:tc>
          <w:tcPr>
            <w:tcW w:w="1797" w:type="pct"/>
          </w:tcPr>
          <w:p w14:paraId="5A8EE710" w14:textId="5BF55F65" w:rsidR="00FF13C2" w:rsidRPr="009D56B8" w:rsidRDefault="00415728" w:rsidP="00EE620B">
            <w:pPr>
              <w:rPr>
                <w:b/>
                <w:szCs w:val="22"/>
                <w:lang w:val="nb-NO"/>
              </w:rPr>
            </w:pPr>
            <w:r w:rsidRPr="009D56B8">
              <w:rPr>
                <w:b/>
                <w:szCs w:val="22"/>
                <w:lang w:val="nb-NO"/>
              </w:rPr>
              <w:t xml:space="preserve">Antall pasienter </w:t>
            </w:r>
            <w:r w:rsidR="00FC6AA0" w:rsidRPr="009D56B8">
              <w:rPr>
                <w:b/>
                <w:szCs w:val="22"/>
                <w:lang w:val="nb-NO"/>
              </w:rPr>
              <w:t>under risiko</w:t>
            </w:r>
            <w:r w:rsidR="00FF13C2" w:rsidRPr="009D56B8">
              <w:rPr>
                <w:b/>
                <w:szCs w:val="22"/>
                <w:lang w:val="nb-NO"/>
              </w:rPr>
              <w:t>,</w:t>
            </w:r>
          </w:p>
          <w:p w14:paraId="0EA96E77" w14:textId="58657E16" w:rsidR="00415728" w:rsidRPr="009D56B8" w:rsidRDefault="00FF13C2" w:rsidP="00EE620B">
            <w:pPr>
              <w:rPr>
                <w:b/>
                <w:szCs w:val="22"/>
                <w:lang w:val="nb-NO"/>
              </w:rPr>
            </w:pPr>
            <w:r w:rsidRPr="009D56B8">
              <w:rPr>
                <w:b/>
                <w:szCs w:val="22"/>
                <w:lang w:val="nb-NO"/>
              </w:rPr>
              <w:t xml:space="preserve">pasienter </w:t>
            </w:r>
            <w:r w:rsidR="00415728" w:rsidRPr="009D56B8">
              <w:rPr>
                <w:b/>
                <w:szCs w:val="22"/>
                <w:lang w:val="nb-NO"/>
              </w:rPr>
              <w:t>med alvorlig lymfopeni</w:t>
            </w:r>
            <w:r w:rsidR="00415728" w:rsidRPr="009D56B8">
              <w:rPr>
                <w:b/>
                <w:szCs w:val="22"/>
                <w:vertAlign w:val="superscript"/>
                <w:lang w:val="nb-NO"/>
              </w:rPr>
              <w:t>a</w:t>
            </w:r>
          </w:p>
        </w:tc>
        <w:tc>
          <w:tcPr>
            <w:tcW w:w="950" w:type="pct"/>
          </w:tcPr>
          <w:p w14:paraId="14FF91BE" w14:textId="77777777" w:rsidR="00415728" w:rsidRPr="009D56B8" w:rsidRDefault="00415728" w:rsidP="00EE620B">
            <w:pPr>
              <w:jc w:val="center"/>
              <w:rPr>
                <w:b/>
                <w:szCs w:val="22"/>
                <w:lang w:val="nb-NO"/>
              </w:rPr>
            </w:pPr>
            <w:r w:rsidRPr="009D56B8">
              <w:rPr>
                <w:b/>
                <w:szCs w:val="22"/>
                <w:lang w:val="nb-NO"/>
              </w:rPr>
              <w:t>Baseline</w:t>
            </w:r>
          </w:p>
          <w:p w14:paraId="2B86D694" w14:textId="3A6DC1B2" w:rsidR="00415728" w:rsidRPr="009D56B8" w:rsidRDefault="00415728" w:rsidP="00EE620B">
            <w:pPr>
              <w:jc w:val="center"/>
              <w:rPr>
                <w:b/>
                <w:szCs w:val="22"/>
                <w:lang w:val="nb-NO"/>
              </w:rPr>
            </w:pPr>
            <w:r w:rsidRPr="009D56B8">
              <w:rPr>
                <w:b/>
                <w:szCs w:val="22"/>
                <w:lang w:val="nb-NO"/>
              </w:rPr>
              <w:t>N = 18</w:t>
            </w:r>
          </w:p>
        </w:tc>
        <w:tc>
          <w:tcPr>
            <w:tcW w:w="950" w:type="pct"/>
          </w:tcPr>
          <w:p w14:paraId="6EE2BA37" w14:textId="77777777" w:rsidR="00415728" w:rsidRPr="009D56B8" w:rsidRDefault="00415728" w:rsidP="00EE620B">
            <w:pPr>
              <w:jc w:val="center"/>
              <w:rPr>
                <w:b/>
                <w:szCs w:val="22"/>
                <w:lang w:val="nb-NO"/>
              </w:rPr>
            </w:pPr>
            <w:r w:rsidRPr="009D56B8">
              <w:rPr>
                <w:b/>
                <w:szCs w:val="22"/>
                <w:lang w:val="nb-NO"/>
              </w:rPr>
              <w:t>Uke 12</w:t>
            </w:r>
          </w:p>
          <w:p w14:paraId="0B0EB0A4" w14:textId="3F7505D2" w:rsidR="00415728" w:rsidRPr="009D56B8" w:rsidRDefault="00415728" w:rsidP="00EE620B">
            <w:pPr>
              <w:jc w:val="center"/>
              <w:rPr>
                <w:b/>
                <w:szCs w:val="22"/>
                <w:lang w:val="nb-NO"/>
              </w:rPr>
            </w:pPr>
            <w:r w:rsidRPr="009D56B8">
              <w:rPr>
                <w:b/>
                <w:szCs w:val="22"/>
                <w:lang w:val="nb-NO"/>
              </w:rPr>
              <w:t>N = 6</w:t>
            </w:r>
          </w:p>
        </w:tc>
        <w:tc>
          <w:tcPr>
            <w:tcW w:w="950" w:type="pct"/>
          </w:tcPr>
          <w:p w14:paraId="4D9B4357" w14:textId="77777777" w:rsidR="00415728" w:rsidRPr="009D56B8" w:rsidRDefault="00415728" w:rsidP="00EE620B">
            <w:pPr>
              <w:jc w:val="center"/>
              <w:rPr>
                <w:b/>
                <w:szCs w:val="22"/>
                <w:lang w:val="nb-NO"/>
              </w:rPr>
            </w:pPr>
            <w:r w:rsidRPr="009D56B8">
              <w:rPr>
                <w:b/>
                <w:szCs w:val="22"/>
                <w:lang w:val="nb-NO"/>
              </w:rPr>
              <w:t>Uke 24</w:t>
            </w:r>
          </w:p>
          <w:p w14:paraId="5873508C" w14:textId="77777777" w:rsidR="00415728" w:rsidRPr="009D56B8" w:rsidRDefault="00415728" w:rsidP="00EE620B">
            <w:pPr>
              <w:jc w:val="center"/>
              <w:rPr>
                <w:b/>
                <w:szCs w:val="22"/>
                <w:lang w:val="nb-NO"/>
              </w:rPr>
            </w:pPr>
            <w:r w:rsidRPr="009D56B8">
              <w:rPr>
                <w:b/>
                <w:szCs w:val="22"/>
                <w:lang w:val="nb-NO"/>
              </w:rPr>
              <w:t>N = 4</w:t>
            </w:r>
          </w:p>
        </w:tc>
      </w:tr>
      <w:tr w:rsidR="009D56B8" w:rsidRPr="009D56B8" w14:paraId="7E234EC1" w14:textId="77777777" w:rsidTr="00EE620B">
        <w:tc>
          <w:tcPr>
            <w:tcW w:w="1797" w:type="pct"/>
          </w:tcPr>
          <w:p w14:paraId="66FCDBA4" w14:textId="34CA2313" w:rsidR="00415728" w:rsidRPr="009D56B8" w:rsidRDefault="00415728" w:rsidP="00EE620B">
            <w:pPr>
              <w:rPr>
                <w:szCs w:val="22"/>
                <w:lang w:val="nb-NO"/>
              </w:rPr>
            </w:pPr>
            <w:r w:rsidRPr="009D56B8">
              <w:rPr>
                <w:szCs w:val="22"/>
                <w:lang w:val="nb-NO"/>
              </w:rPr>
              <w:t>Andel som når</w:t>
            </w:r>
            <w:r w:rsidR="00B40B33" w:rsidRPr="009D56B8">
              <w:rPr>
                <w:szCs w:val="22"/>
                <w:lang w:val="nb-NO"/>
              </w:rPr>
              <w:t xml:space="preserve"> nedre grense for normalområdet</w:t>
            </w:r>
            <w:r w:rsidRPr="009D56B8">
              <w:rPr>
                <w:szCs w:val="22"/>
                <w:lang w:val="nb-NO"/>
              </w:rPr>
              <w:t xml:space="preserve"> (95 % KI)</w:t>
            </w:r>
          </w:p>
        </w:tc>
        <w:tc>
          <w:tcPr>
            <w:tcW w:w="950" w:type="pct"/>
          </w:tcPr>
          <w:p w14:paraId="0D8311A0" w14:textId="77777777" w:rsidR="00415728" w:rsidRPr="009D56B8" w:rsidRDefault="00415728" w:rsidP="00EE620B">
            <w:pPr>
              <w:jc w:val="center"/>
              <w:rPr>
                <w:szCs w:val="22"/>
                <w:lang w:val="nb-NO"/>
              </w:rPr>
            </w:pPr>
          </w:p>
        </w:tc>
        <w:tc>
          <w:tcPr>
            <w:tcW w:w="950" w:type="pct"/>
          </w:tcPr>
          <w:p w14:paraId="1D596892" w14:textId="4F1BFB85" w:rsidR="00415728" w:rsidRPr="009D56B8" w:rsidRDefault="00415728" w:rsidP="00415728">
            <w:pPr>
              <w:jc w:val="center"/>
              <w:rPr>
                <w:szCs w:val="22"/>
                <w:lang w:val="nb-NO"/>
              </w:rPr>
            </w:pPr>
            <w:r w:rsidRPr="009D56B8">
              <w:rPr>
                <w:szCs w:val="22"/>
                <w:lang w:val="nb-NO"/>
              </w:rPr>
              <w:t>0,43</w:t>
            </w:r>
          </w:p>
          <w:p w14:paraId="78B3CAF1" w14:textId="1004CE64" w:rsidR="00415728" w:rsidRPr="009D56B8" w:rsidRDefault="00415728" w:rsidP="00415728">
            <w:pPr>
              <w:jc w:val="center"/>
              <w:rPr>
                <w:szCs w:val="22"/>
                <w:lang w:val="nb-NO"/>
              </w:rPr>
            </w:pPr>
            <w:r w:rsidRPr="009D56B8">
              <w:rPr>
                <w:szCs w:val="22"/>
                <w:lang w:val="nb-NO"/>
              </w:rPr>
              <w:t>(0,20, 0,75)</w:t>
            </w:r>
          </w:p>
        </w:tc>
        <w:tc>
          <w:tcPr>
            <w:tcW w:w="950" w:type="pct"/>
          </w:tcPr>
          <w:p w14:paraId="0865F96C" w14:textId="60C85040" w:rsidR="00415728" w:rsidRPr="009D56B8" w:rsidRDefault="00415728" w:rsidP="00415728">
            <w:pPr>
              <w:jc w:val="center"/>
              <w:rPr>
                <w:szCs w:val="22"/>
                <w:lang w:val="nb-NO"/>
              </w:rPr>
            </w:pPr>
            <w:r w:rsidRPr="009D56B8">
              <w:rPr>
                <w:szCs w:val="22"/>
                <w:lang w:val="nb-NO"/>
              </w:rPr>
              <w:t>0,62</w:t>
            </w:r>
          </w:p>
          <w:p w14:paraId="7A81848D" w14:textId="5771111F" w:rsidR="00415728" w:rsidRPr="009D56B8" w:rsidRDefault="00415728" w:rsidP="00415728">
            <w:pPr>
              <w:jc w:val="center"/>
              <w:rPr>
                <w:szCs w:val="22"/>
                <w:lang w:val="nb-NO"/>
              </w:rPr>
            </w:pPr>
            <w:r w:rsidRPr="009D56B8">
              <w:rPr>
                <w:szCs w:val="22"/>
                <w:lang w:val="nb-NO"/>
              </w:rPr>
              <w:t>(0,35, 0,88)</w:t>
            </w:r>
          </w:p>
        </w:tc>
      </w:tr>
    </w:tbl>
    <w:p w14:paraId="50827472" w14:textId="627251DE" w:rsidR="00415728" w:rsidRPr="009D56B8" w:rsidRDefault="00415728" w:rsidP="00415728">
      <w:pPr>
        <w:rPr>
          <w:lang w:val="nb-NO"/>
        </w:rPr>
      </w:pPr>
      <w:r w:rsidRPr="009D56B8">
        <w:rPr>
          <w:vertAlign w:val="superscript"/>
          <w:lang w:val="nb-NO"/>
        </w:rPr>
        <w:lastRenderedPageBreak/>
        <w:t>a</w:t>
      </w:r>
      <w:r w:rsidRPr="009D56B8">
        <w:rPr>
          <w:lang w:val="nb-NO"/>
        </w:rPr>
        <w:t xml:space="preserve"> </w:t>
      </w:r>
      <w:r w:rsidRPr="009D56B8">
        <w:rPr>
          <w:sz w:val="20"/>
          <w:lang w:val="nb-NO"/>
        </w:rPr>
        <w:t xml:space="preserve">Pasienter med </w:t>
      </w:r>
      <w:r w:rsidR="009C56A3" w:rsidRPr="009D56B8">
        <w:rPr>
          <w:sz w:val="20"/>
          <w:lang w:val="nb-NO"/>
        </w:rPr>
        <w:t xml:space="preserve">absolutt lymfocyttall </w:t>
      </w:r>
      <w:r w:rsidRPr="009D56B8">
        <w:rPr>
          <w:sz w:val="20"/>
          <w:lang w:val="nb-NO"/>
        </w:rPr>
        <w:t>&lt; </w:t>
      </w:r>
      <w:r w:rsidR="007E5DB6" w:rsidRPr="009D56B8">
        <w:rPr>
          <w:sz w:val="20"/>
          <w:lang w:val="nb-NO"/>
        </w:rPr>
        <w:t>0,</w:t>
      </w:r>
      <w:r w:rsidRPr="009D56B8">
        <w:rPr>
          <w:sz w:val="20"/>
          <w:lang w:val="nb-NO"/>
        </w:rPr>
        <w:t>5 </w:t>
      </w:r>
      <w:r w:rsidR="007E5DB6" w:rsidRPr="009D56B8">
        <w:rPr>
          <w:sz w:val="20"/>
          <w:lang w:val="nb-NO"/>
        </w:rPr>
        <w:t>x 10</w:t>
      </w:r>
      <w:r w:rsidR="007E5DB6" w:rsidRPr="009D56B8">
        <w:rPr>
          <w:sz w:val="20"/>
          <w:vertAlign w:val="superscript"/>
          <w:lang w:val="nb-NO"/>
        </w:rPr>
        <w:t>9</w:t>
      </w:r>
      <w:r w:rsidR="007E5DB6" w:rsidRPr="009D56B8">
        <w:rPr>
          <w:sz w:val="20"/>
          <w:lang w:val="nb-NO"/>
        </w:rPr>
        <w:t>/liter</w:t>
      </w:r>
      <w:r w:rsidRPr="009D56B8">
        <w:rPr>
          <w:sz w:val="20"/>
          <w:lang w:val="nb-NO"/>
        </w:rPr>
        <w:t xml:space="preserve"> ved RBL, unntatt pasienter med langvarig alvorlig lymfopeni.</w:t>
      </w:r>
    </w:p>
    <w:p w14:paraId="527CC449" w14:textId="77777777" w:rsidR="00415728" w:rsidRPr="009D56B8" w:rsidRDefault="00415728">
      <w:pPr>
        <w:rPr>
          <w:szCs w:val="22"/>
          <w:lang w:val="nb-NO"/>
        </w:rPr>
      </w:pPr>
    </w:p>
    <w:p w14:paraId="1B38B7DF" w14:textId="77777777" w:rsidR="00E50867" w:rsidRPr="009D56B8" w:rsidRDefault="00C770E8" w:rsidP="00513CD0">
      <w:pPr>
        <w:keepNext/>
        <w:widowControl w:val="0"/>
        <w:suppressLineNumbers/>
        <w:autoSpaceDE w:val="0"/>
        <w:rPr>
          <w:szCs w:val="22"/>
          <w:u w:val="single"/>
          <w:lang w:val="nb-NO"/>
        </w:rPr>
      </w:pPr>
      <w:r w:rsidRPr="009D56B8">
        <w:rPr>
          <w:szCs w:val="22"/>
          <w:u w:val="single"/>
          <w:lang w:val="nb-NO"/>
        </w:rPr>
        <w:t>Klinisk effekt og sikkerhet</w:t>
      </w:r>
    </w:p>
    <w:p w14:paraId="69F2A4CD" w14:textId="77777777" w:rsidR="00E50867" w:rsidRPr="009D56B8" w:rsidRDefault="00E50867" w:rsidP="00513CD0">
      <w:pPr>
        <w:keepNext/>
        <w:rPr>
          <w:szCs w:val="22"/>
          <w:lang w:val="nb-NO"/>
        </w:rPr>
      </w:pPr>
    </w:p>
    <w:p w14:paraId="60155D20" w14:textId="26E2EC5B" w:rsidR="00841E9A" w:rsidRPr="009D56B8" w:rsidRDefault="00C770E8" w:rsidP="002740EA">
      <w:pPr>
        <w:keepNext/>
        <w:rPr>
          <w:szCs w:val="22"/>
          <w:lang w:val="nb-NO"/>
        </w:rPr>
      </w:pPr>
      <w:r w:rsidRPr="009D56B8">
        <w:rPr>
          <w:szCs w:val="22"/>
          <w:lang w:val="nb-NO"/>
        </w:rPr>
        <w:t>Det ble gjennomført to 2-årige, randomiserte, dobbeltblinde, placebokontrollerte studier (DEFINE med 1234 </w:t>
      </w:r>
      <w:r w:rsidR="00841E9A" w:rsidRPr="009D56B8">
        <w:rPr>
          <w:szCs w:val="22"/>
          <w:lang w:val="nb-NO"/>
        </w:rPr>
        <w:t>pasienter</w:t>
      </w:r>
      <w:r w:rsidRPr="009D56B8">
        <w:rPr>
          <w:szCs w:val="22"/>
          <w:lang w:val="nb-NO"/>
        </w:rPr>
        <w:t xml:space="preserve"> og CONFIRM med 1417 </w:t>
      </w:r>
      <w:r w:rsidR="00841E9A" w:rsidRPr="009D56B8">
        <w:rPr>
          <w:szCs w:val="22"/>
          <w:lang w:val="nb-NO"/>
        </w:rPr>
        <w:t xml:space="preserve">pasienter) </w:t>
      </w:r>
      <w:r w:rsidR="002974CD" w:rsidRPr="009D56B8">
        <w:rPr>
          <w:szCs w:val="22"/>
          <w:lang w:val="nb-NO"/>
        </w:rPr>
        <w:t>med</w:t>
      </w:r>
      <w:r w:rsidR="00841E9A" w:rsidRPr="009D56B8">
        <w:rPr>
          <w:szCs w:val="22"/>
          <w:lang w:val="nb-NO"/>
        </w:rPr>
        <w:t xml:space="preserve"> pasienter</w:t>
      </w:r>
      <w:r w:rsidRPr="009D56B8">
        <w:rPr>
          <w:szCs w:val="22"/>
          <w:lang w:val="nb-NO"/>
        </w:rPr>
        <w:t xml:space="preserve"> med RRMS. </w:t>
      </w:r>
      <w:r w:rsidR="00841E9A" w:rsidRPr="009D56B8">
        <w:rPr>
          <w:szCs w:val="22"/>
          <w:lang w:val="nb-NO"/>
        </w:rPr>
        <w:t>Pasienter</w:t>
      </w:r>
      <w:r w:rsidRPr="009D56B8">
        <w:rPr>
          <w:szCs w:val="22"/>
          <w:lang w:val="nb-NO"/>
        </w:rPr>
        <w:t xml:space="preserve"> med progredierende former for MS ble ikke inkludert i disse studiene.</w:t>
      </w:r>
    </w:p>
    <w:p w14:paraId="22D796C4" w14:textId="77777777" w:rsidR="00841E9A" w:rsidRPr="009D56B8" w:rsidRDefault="00841E9A">
      <w:pPr>
        <w:rPr>
          <w:szCs w:val="22"/>
          <w:lang w:val="nb-NO"/>
        </w:rPr>
      </w:pPr>
    </w:p>
    <w:p w14:paraId="1CA92E8E" w14:textId="30F1CE87" w:rsidR="00E50867" w:rsidRPr="009D56B8" w:rsidRDefault="00C770E8">
      <w:pPr>
        <w:rPr>
          <w:szCs w:val="22"/>
          <w:lang w:val="nb-NO"/>
        </w:rPr>
      </w:pPr>
      <w:r w:rsidRPr="009D56B8">
        <w:rPr>
          <w:szCs w:val="22"/>
          <w:lang w:val="nb-NO"/>
        </w:rPr>
        <w:t xml:space="preserve">Effekt (se tabell </w:t>
      </w:r>
      <w:r w:rsidR="00F85FE9" w:rsidRPr="009D56B8">
        <w:rPr>
          <w:szCs w:val="22"/>
          <w:lang w:val="nb-NO"/>
        </w:rPr>
        <w:t>4</w:t>
      </w:r>
      <w:r w:rsidRPr="009D56B8">
        <w:rPr>
          <w:szCs w:val="22"/>
          <w:lang w:val="nb-NO"/>
        </w:rPr>
        <w:t>) og sikkerhet ble vist hos pasienter med en score på Expanded Disability Status Scale (EDSS) i området 0</w:t>
      </w:r>
      <w:r w:rsidR="001871D0" w:rsidRPr="009D56B8">
        <w:rPr>
          <w:szCs w:val="22"/>
          <w:lang w:val="nb-NO"/>
        </w:rPr>
        <w:noBreakHyphen/>
      </w:r>
      <w:r w:rsidRPr="009D56B8">
        <w:rPr>
          <w:szCs w:val="22"/>
          <w:lang w:val="nb-NO"/>
        </w:rPr>
        <w:t xml:space="preserve">5, som hadde opplevd minst ett anfall i løpet av året før randomisering, eller som hadde </w:t>
      </w:r>
      <w:r w:rsidR="00EF4062" w:rsidRPr="009D56B8">
        <w:rPr>
          <w:szCs w:val="22"/>
          <w:lang w:val="nb-NO"/>
        </w:rPr>
        <w:t xml:space="preserve">en </w:t>
      </w:r>
      <w:r w:rsidRPr="009D56B8">
        <w:rPr>
          <w:szCs w:val="22"/>
          <w:lang w:val="nb-NO"/>
        </w:rPr>
        <w:t>MR-</w:t>
      </w:r>
      <w:r w:rsidR="00EF4062" w:rsidRPr="009D56B8">
        <w:rPr>
          <w:szCs w:val="22"/>
          <w:lang w:val="nb-NO"/>
        </w:rPr>
        <w:t>undersøkelse</w:t>
      </w:r>
      <w:r w:rsidRPr="009D56B8">
        <w:rPr>
          <w:lang w:val="nb-NO"/>
        </w:rPr>
        <w:t xml:space="preserve"> (MR)</w:t>
      </w:r>
      <w:r w:rsidRPr="009D56B8">
        <w:rPr>
          <w:szCs w:val="22"/>
          <w:lang w:val="nb-NO"/>
        </w:rPr>
        <w:t xml:space="preserve"> av hjernen de siste 6 ukene før randomisering som viste minst én gadoliniumforsterkende (Gd+) lesjon. </w:t>
      </w:r>
      <w:r w:rsidR="00841E9A" w:rsidRPr="009D56B8">
        <w:rPr>
          <w:szCs w:val="22"/>
          <w:lang w:val="nb-NO"/>
        </w:rPr>
        <w:t>CONFIRM-s</w:t>
      </w:r>
      <w:r w:rsidRPr="009D56B8">
        <w:rPr>
          <w:szCs w:val="22"/>
          <w:lang w:val="nb-NO"/>
        </w:rPr>
        <w:t>tudie</w:t>
      </w:r>
      <w:r w:rsidR="00841E9A" w:rsidRPr="009D56B8">
        <w:rPr>
          <w:szCs w:val="22"/>
          <w:lang w:val="nb-NO"/>
        </w:rPr>
        <w:t>n</w:t>
      </w:r>
      <w:r w:rsidRPr="009D56B8">
        <w:rPr>
          <w:szCs w:val="22"/>
          <w:lang w:val="nb-NO"/>
        </w:rPr>
        <w:t xml:space="preserve"> hadde et utprøver-blindet (dvs. studiebehandlingen var blindet for studielege/utprøver som vurderte responsen) sammenligningspreparat for glatirameracetat.</w:t>
      </w:r>
    </w:p>
    <w:p w14:paraId="216BCE83" w14:textId="77777777" w:rsidR="00E50867" w:rsidRPr="009D56B8" w:rsidRDefault="00E50867">
      <w:pPr>
        <w:rPr>
          <w:szCs w:val="22"/>
          <w:lang w:val="nb-NO"/>
        </w:rPr>
      </w:pPr>
    </w:p>
    <w:p w14:paraId="3FDE31A9" w14:textId="13196010" w:rsidR="00E50867" w:rsidRPr="009D56B8" w:rsidRDefault="00C770E8">
      <w:pPr>
        <w:rPr>
          <w:szCs w:val="22"/>
          <w:lang w:val="nb-NO"/>
        </w:rPr>
      </w:pPr>
      <w:r w:rsidRPr="009D56B8">
        <w:rPr>
          <w:szCs w:val="22"/>
          <w:lang w:val="nb-NO"/>
        </w:rPr>
        <w:t xml:space="preserve">I </w:t>
      </w:r>
      <w:r w:rsidR="00841E9A" w:rsidRPr="009D56B8">
        <w:rPr>
          <w:szCs w:val="22"/>
          <w:lang w:val="nb-NO"/>
        </w:rPr>
        <w:t>DEFINE</w:t>
      </w:r>
      <w:r w:rsidRPr="009D56B8">
        <w:rPr>
          <w:szCs w:val="22"/>
          <w:lang w:val="nb-NO"/>
        </w:rPr>
        <w:t xml:space="preserve"> hadde pasientene følgende medianverdier for karakteristika ved baseline: alder 39 år, sykdomsvarighet 7,0 år, EDSS</w:t>
      </w:r>
      <w:r w:rsidRPr="009D56B8">
        <w:rPr>
          <w:szCs w:val="22"/>
          <w:lang w:val="nb-NO"/>
        </w:rPr>
        <w:noBreakHyphen/>
        <w:t>score 2,0. I tillegg hadde 16 % av pasientene en EDSS</w:t>
      </w:r>
      <w:r w:rsidRPr="009D56B8">
        <w:rPr>
          <w:szCs w:val="22"/>
          <w:lang w:val="nb-NO"/>
        </w:rPr>
        <w:noBreakHyphen/>
        <w:t>score på &gt;</w:t>
      </w:r>
      <w:r w:rsidR="00841E9A" w:rsidRPr="009D56B8">
        <w:rPr>
          <w:szCs w:val="22"/>
          <w:lang w:val="nb-NO"/>
        </w:rPr>
        <w:t> </w:t>
      </w:r>
      <w:r w:rsidRPr="009D56B8">
        <w:rPr>
          <w:szCs w:val="22"/>
          <w:lang w:val="nb-NO"/>
        </w:rPr>
        <w:t>3,5,</w:t>
      </w:r>
      <w:r w:rsidR="002974CD" w:rsidRPr="009D56B8">
        <w:rPr>
          <w:szCs w:val="22"/>
          <w:lang w:val="nb-NO"/>
        </w:rPr>
        <w:t xml:space="preserve"> </w:t>
      </w:r>
      <w:r w:rsidRPr="009D56B8">
        <w:rPr>
          <w:szCs w:val="22"/>
          <w:lang w:val="nb-NO"/>
        </w:rPr>
        <w:t>28 % hadde ≥</w:t>
      </w:r>
      <w:r w:rsidR="00841E9A" w:rsidRPr="009D56B8">
        <w:rPr>
          <w:szCs w:val="22"/>
          <w:lang w:val="nb-NO"/>
        </w:rPr>
        <w:t> </w:t>
      </w:r>
      <w:r w:rsidRPr="009D56B8">
        <w:rPr>
          <w:szCs w:val="22"/>
          <w:lang w:val="nb-NO"/>
        </w:rPr>
        <w:t>2 anfall i det foregående året og 42 % hadde tidligere fått andre godkjente MS</w:t>
      </w:r>
      <w:r w:rsidRPr="009D56B8">
        <w:rPr>
          <w:szCs w:val="22"/>
          <w:lang w:val="nb-NO"/>
        </w:rPr>
        <w:noBreakHyphen/>
        <w:t>behandlinger. I MR</w:t>
      </w:r>
      <w:r w:rsidRPr="009D56B8">
        <w:rPr>
          <w:szCs w:val="22"/>
          <w:lang w:val="nb-NO"/>
        </w:rPr>
        <w:noBreakHyphen/>
        <w:t>kohorten hadde 36 %</w:t>
      </w:r>
      <w:r w:rsidR="002974CD" w:rsidRPr="009D56B8">
        <w:rPr>
          <w:szCs w:val="22"/>
          <w:lang w:val="nb-NO"/>
        </w:rPr>
        <w:t xml:space="preserve"> </w:t>
      </w:r>
      <w:r w:rsidRPr="009D56B8">
        <w:rPr>
          <w:szCs w:val="22"/>
          <w:lang w:val="nb-NO"/>
        </w:rPr>
        <w:t>av pasientene som ble med i studien, Gd+</w:t>
      </w:r>
      <w:r w:rsidR="002974CD" w:rsidRPr="009D56B8">
        <w:rPr>
          <w:szCs w:val="22"/>
          <w:lang w:val="nb-NO"/>
        </w:rPr>
        <w:t>-</w:t>
      </w:r>
      <w:r w:rsidRPr="009D56B8">
        <w:rPr>
          <w:szCs w:val="22"/>
          <w:lang w:val="nb-NO"/>
        </w:rPr>
        <w:t>lesjoner ved baseline (gjennomsnittlig antall Gd+</w:t>
      </w:r>
      <w:r w:rsidR="002974CD" w:rsidRPr="009D56B8">
        <w:rPr>
          <w:szCs w:val="22"/>
          <w:lang w:val="nb-NO"/>
        </w:rPr>
        <w:t>-</w:t>
      </w:r>
      <w:r w:rsidRPr="009D56B8">
        <w:rPr>
          <w:szCs w:val="22"/>
          <w:lang w:val="nb-NO"/>
        </w:rPr>
        <w:t>lesjoner 1,4).</w:t>
      </w:r>
    </w:p>
    <w:p w14:paraId="4A23F177" w14:textId="77777777" w:rsidR="00E50867" w:rsidRPr="009D56B8" w:rsidRDefault="00E50867">
      <w:pPr>
        <w:rPr>
          <w:szCs w:val="22"/>
          <w:lang w:val="nb-NO"/>
        </w:rPr>
      </w:pPr>
    </w:p>
    <w:p w14:paraId="5FF35099" w14:textId="48B4C129" w:rsidR="00E50867" w:rsidRPr="009D56B8" w:rsidRDefault="00C770E8">
      <w:pPr>
        <w:rPr>
          <w:szCs w:val="22"/>
          <w:lang w:val="nb-NO"/>
        </w:rPr>
      </w:pPr>
      <w:r w:rsidRPr="009D56B8">
        <w:rPr>
          <w:szCs w:val="22"/>
          <w:lang w:val="nb-NO"/>
        </w:rPr>
        <w:t xml:space="preserve">I </w:t>
      </w:r>
      <w:r w:rsidR="00841E9A" w:rsidRPr="009D56B8">
        <w:rPr>
          <w:szCs w:val="22"/>
          <w:lang w:val="nb-NO"/>
        </w:rPr>
        <w:t>CONFIRM</w:t>
      </w:r>
      <w:r w:rsidRPr="009D56B8">
        <w:rPr>
          <w:szCs w:val="22"/>
          <w:lang w:val="nb-NO"/>
        </w:rPr>
        <w:t xml:space="preserve"> hadde pasientene følgende medianverdier for karakteristika ved baseline: alder 37 år, sykdomsvarighet 6,0 år, EDSS-score 2,5. I tillegg hadde 17 % av pasientene en EDSS</w:t>
      </w:r>
      <w:r w:rsidRPr="009D56B8">
        <w:rPr>
          <w:szCs w:val="22"/>
          <w:lang w:val="nb-NO"/>
        </w:rPr>
        <w:noBreakHyphen/>
        <w:t>score på &gt;</w:t>
      </w:r>
      <w:r w:rsidR="00841E9A" w:rsidRPr="009D56B8">
        <w:rPr>
          <w:szCs w:val="22"/>
          <w:lang w:val="nb-NO"/>
        </w:rPr>
        <w:t> </w:t>
      </w:r>
      <w:r w:rsidRPr="009D56B8">
        <w:rPr>
          <w:szCs w:val="22"/>
          <w:lang w:val="nb-NO"/>
        </w:rPr>
        <w:t>3,5, 32 % hadde ≥</w:t>
      </w:r>
      <w:r w:rsidR="00841E9A" w:rsidRPr="009D56B8">
        <w:rPr>
          <w:szCs w:val="22"/>
          <w:lang w:val="nb-NO"/>
        </w:rPr>
        <w:t> </w:t>
      </w:r>
      <w:r w:rsidRPr="009D56B8">
        <w:rPr>
          <w:szCs w:val="22"/>
          <w:lang w:val="nb-NO"/>
        </w:rPr>
        <w:t>2 anfall i det foregående året og 30 % hadde tidligere fått andre godkjente MS</w:t>
      </w:r>
      <w:r w:rsidRPr="009D56B8">
        <w:rPr>
          <w:szCs w:val="22"/>
          <w:lang w:val="nb-NO"/>
        </w:rPr>
        <w:noBreakHyphen/>
        <w:t>behandlinger. I MR</w:t>
      </w:r>
      <w:r w:rsidRPr="009D56B8">
        <w:rPr>
          <w:szCs w:val="22"/>
          <w:lang w:val="nb-NO"/>
        </w:rPr>
        <w:noBreakHyphen/>
        <w:t>kohorten hadde 45 % av pasientene som ble med i studien, Gd+</w:t>
      </w:r>
      <w:r w:rsidR="00F04043" w:rsidRPr="009D56B8">
        <w:rPr>
          <w:szCs w:val="22"/>
          <w:lang w:val="nb-NO"/>
        </w:rPr>
        <w:t>-</w:t>
      </w:r>
      <w:r w:rsidRPr="009D56B8">
        <w:rPr>
          <w:szCs w:val="22"/>
          <w:lang w:val="nb-NO"/>
        </w:rPr>
        <w:t>lesjoner ved baseline (gjennomsnittlig antall Gd+</w:t>
      </w:r>
      <w:r w:rsidR="00F04043" w:rsidRPr="009D56B8">
        <w:rPr>
          <w:szCs w:val="22"/>
          <w:lang w:val="nb-NO"/>
        </w:rPr>
        <w:t>-</w:t>
      </w:r>
      <w:r w:rsidRPr="009D56B8">
        <w:rPr>
          <w:szCs w:val="22"/>
          <w:lang w:val="nb-NO"/>
        </w:rPr>
        <w:t>lesjoner 2,4).</w:t>
      </w:r>
    </w:p>
    <w:p w14:paraId="1D7F7644" w14:textId="77777777" w:rsidR="006B6451" w:rsidRPr="009D56B8" w:rsidRDefault="006B6451" w:rsidP="00BE2F37">
      <w:pPr>
        <w:rPr>
          <w:szCs w:val="22"/>
          <w:lang w:val="nb-NO"/>
        </w:rPr>
      </w:pPr>
    </w:p>
    <w:p w14:paraId="3514C5EF" w14:textId="77777777" w:rsidR="00EF7E58" w:rsidRPr="009D56B8" w:rsidRDefault="00EF7E58" w:rsidP="00EF7E58">
      <w:pPr>
        <w:tabs>
          <w:tab w:val="clear" w:pos="567"/>
        </w:tabs>
        <w:autoSpaceDE w:val="0"/>
        <w:autoSpaceDN w:val="0"/>
        <w:adjustRightInd w:val="0"/>
        <w:rPr>
          <w:rFonts w:eastAsia="SimSun"/>
          <w:sz w:val="20"/>
          <w:szCs w:val="22"/>
          <w:lang w:val="nb-NO" w:eastAsia="en-GB"/>
        </w:rPr>
      </w:pPr>
      <w:r w:rsidRPr="009D56B8">
        <w:rPr>
          <w:rFonts w:eastAsia="SimSun"/>
          <w:lang w:val="nb-NO"/>
        </w:rPr>
        <w:t>Sammenlignet med</w:t>
      </w:r>
      <w:r w:rsidRPr="009D56B8">
        <w:rPr>
          <w:rFonts w:eastAsia="SimSun"/>
          <w:szCs w:val="22"/>
          <w:lang w:val="nb-NO"/>
        </w:rPr>
        <w:t xml:space="preserve"> placebo hadde pasienter som ble behandlet med dimetylfumarat en klinisk relevant og statistisk signifikant reduksjon i det primære endepunktet i DEFINE-studien, andelen av pasienter som fikk anfall etter 2 år, og det primære endepunktet i CONFIRM-studien, årlig anfallshyppighet etter 2 år.</w:t>
      </w:r>
    </w:p>
    <w:p w14:paraId="78FA2C86" w14:textId="77777777" w:rsidR="00EF7E58" w:rsidRPr="009D56B8" w:rsidRDefault="00EF7E58" w:rsidP="00EF7E58">
      <w:pPr>
        <w:spacing w:before="11"/>
        <w:rPr>
          <w:sz w:val="21"/>
          <w:lang w:val="nb-NO"/>
        </w:rPr>
      </w:pPr>
    </w:p>
    <w:p w14:paraId="4E66ADC3" w14:textId="00F3F61E" w:rsidR="006E48B4" w:rsidRPr="009D56B8" w:rsidRDefault="006E48B4" w:rsidP="00513CD0">
      <w:pPr>
        <w:pStyle w:val="TableParagraph"/>
        <w:spacing w:line="251" w:lineRule="exact"/>
        <w:ind w:left="0"/>
        <w:rPr>
          <w:rFonts w:eastAsia="SimSun"/>
          <w:b/>
          <w:bCs/>
          <w:lang w:val="nb-NO"/>
        </w:rPr>
      </w:pPr>
      <w:r w:rsidRPr="009D56B8">
        <w:rPr>
          <w:b/>
          <w:bCs/>
          <w:lang w:val="nb-NO"/>
        </w:rPr>
        <w:t>Tabell 4: Kliniske endepunkter og MR-endepunkter for studiene DEFINE og CONFIRM</w:t>
      </w:r>
    </w:p>
    <w:p w14:paraId="113848C6" w14:textId="77777777" w:rsidR="003E234B" w:rsidRPr="009D56B8" w:rsidRDefault="003E234B" w:rsidP="00B00825">
      <w:pPr>
        <w:pStyle w:val="TableParagraph"/>
        <w:spacing w:line="251" w:lineRule="exact"/>
        <w:ind w:left="0"/>
        <w:rPr>
          <w:b/>
          <w:spacing w:val="-1"/>
          <w:lang w:val="nb-NO"/>
        </w:rPr>
      </w:pPr>
    </w:p>
    <w:tbl>
      <w:tblPr>
        <w:tblW w:w="895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0"/>
        <w:gridCol w:w="964"/>
        <w:gridCol w:w="1585"/>
        <w:gridCol w:w="964"/>
        <w:gridCol w:w="1616"/>
        <w:gridCol w:w="1277"/>
      </w:tblGrid>
      <w:tr w:rsidR="009D56B8" w:rsidRPr="009D56B8" w14:paraId="1333BDDF" w14:textId="77777777" w:rsidTr="006E13A1">
        <w:trPr>
          <w:trHeight w:hRule="exact" w:val="263"/>
          <w:tblHeader/>
        </w:trPr>
        <w:tc>
          <w:tcPr>
            <w:tcW w:w="2550" w:type="dxa"/>
          </w:tcPr>
          <w:p w14:paraId="374C9E09" w14:textId="77777777" w:rsidR="003E234B" w:rsidRPr="009D56B8" w:rsidRDefault="003E234B" w:rsidP="00B00825">
            <w:pPr>
              <w:rPr>
                <w:lang w:val="nb-NO"/>
              </w:rPr>
            </w:pPr>
          </w:p>
        </w:tc>
        <w:tc>
          <w:tcPr>
            <w:tcW w:w="2549" w:type="dxa"/>
            <w:gridSpan w:val="2"/>
          </w:tcPr>
          <w:p w14:paraId="11578B66" w14:textId="77777777" w:rsidR="003E234B" w:rsidRPr="009D56B8" w:rsidRDefault="003E234B" w:rsidP="00B00825">
            <w:pPr>
              <w:pStyle w:val="TableParagraph"/>
              <w:spacing w:line="251" w:lineRule="exact"/>
              <w:ind w:left="0"/>
              <w:jc w:val="center"/>
            </w:pPr>
            <w:r w:rsidRPr="009D56B8">
              <w:rPr>
                <w:b/>
                <w:spacing w:val="-1"/>
              </w:rPr>
              <w:t>DEFINE</w:t>
            </w:r>
          </w:p>
        </w:tc>
        <w:tc>
          <w:tcPr>
            <w:tcW w:w="3857" w:type="dxa"/>
            <w:gridSpan w:val="3"/>
          </w:tcPr>
          <w:p w14:paraId="668B9082" w14:textId="77777777" w:rsidR="003E234B" w:rsidRPr="009D56B8" w:rsidRDefault="003E234B" w:rsidP="00B00825">
            <w:pPr>
              <w:pStyle w:val="TableParagraph"/>
              <w:spacing w:line="251" w:lineRule="exact"/>
              <w:ind w:left="0"/>
              <w:jc w:val="center"/>
            </w:pPr>
            <w:r w:rsidRPr="009D56B8">
              <w:rPr>
                <w:b/>
                <w:spacing w:val="-1"/>
              </w:rPr>
              <w:t>CONFIRM</w:t>
            </w:r>
          </w:p>
        </w:tc>
      </w:tr>
      <w:tr w:rsidR="009D56B8" w:rsidRPr="009D56B8" w14:paraId="0693675F" w14:textId="77777777" w:rsidTr="006E13A1">
        <w:trPr>
          <w:trHeight w:hRule="exact" w:val="769"/>
          <w:tblHeader/>
        </w:trPr>
        <w:tc>
          <w:tcPr>
            <w:tcW w:w="2550" w:type="dxa"/>
          </w:tcPr>
          <w:p w14:paraId="4307C40A" w14:textId="77777777" w:rsidR="003E234B" w:rsidRPr="009D56B8" w:rsidRDefault="003E234B" w:rsidP="00B00825"/>
        </w:tc>
        <w:tc>
          <w:tcPr>
            <w:tcW w:w="964" w:type="dxa"/>
          </w:tcPr>
          <w:p w14:paraId="1BF89E09" w14:textId="77777777" w:rsidR="003E234B" w:rsidRPr="009D56B8" w:rsidRDefault="003E234B" w:rsidP="00B00825">
            <w:pPr>
              <w:pStyle w:val="TableParagraph"/>
              <w:spacing w:line="252" w:lineRule="exact"/>
              <w:ind w:left="0"/>
            </w:pPr>
            <w:r w:rsidRPr="009D56B8">
              <w:rPr>
                <w:b/>
                <w:spacing w:val="-1"/>
              </w:rPr>
              <w:t>Placebo</w:t>
            </w:r>
          </w:p>
        </w:tc>
        <w:tc>
          <w:tcPr>
            <w:tcW w:w="1585" w:type="dxa"/>
          </w:tcPr>
          <w:p w14:paraId="2BD3700D" w14:textId="77777777" w:rsidR="003E234B" w:rsidRPr="009D56B8" w:rsidRDefault="003E234B" w:rsidP="00B00825">
            <w:pPr>
              <w:pStyle w:val="TableParagraph"/>
              <w:ind w:left="0"/>
              <w:rPr>
                <w:lang w:val="nb-NO"/>
              </w:rPr>
            </w:pPr>
            <w:r w:rsidRPr="009D56B8">
              <w:rPr>
                <w:b/>
                <w:spacing w:val="-1"/>
                <w:lang w:val="nb-NO"/>
              </w:rPr>
              <w:t xml:space="preserve">Dimetyl-fumarat </w:t>
            </w:r>
            <w:r w:rsidRPr="009D56B8">
              <w:rPr>
                <w:b/>
                <w:lang w:val="nb-NO"/>
              </w:rPr>
              <w:t>240</w:t>
            </w:r>
            <w:r w:rsidRPr="009D56B8">
              <w:rPr>
                <w:b/>
                <w:spacing w:val="-7"/>
                <w:lang w:val="nb-NO"/>
              </w:rPr>
              <w:t> </w:t>
            </w:r>
            <w:r w:rsidRPr="009D56B8">
              <w:rPr>
                <w:b/>
                <w:spacing w:val="-1"/>
                <w:lang w:val="nb-NO"/>
              </w:rPr>
              <w:t>mg</w:t>
            </w:r>
            <w:r w:rsidRPr="009D56B8">
              <w:rPr>
                <w:b/>
                <w:spacing w:val="19"/>
                <w:w w:val="99"/>
                <w:lang w:val="nb-NO"/>
              </w:rPr>
              <w:t xml:space="preserve"> </w:t>
            </w:r>
            <w:r w:rsidRPr="009D56B8">
              <w:rPr>
                <w:b/>
                <w:spacing w:val="-1"/>
                <w:lang w:val="nb-NO"/>
              </w:rPr>
              <w:t>to ganger daglig</w:t>
            </w:r>
          </w:p>
        </w:tc>
        <w:tc>
          <w:tcPr>
            <w:tcW w:w="964" w:type="dxa"/>
          </w:tcPr>
          <w:p w14:paraId="697E5FB6" w14:textId="77777777" w:rsidR="003E234B" w:rsidRPr="009D56B8" w:rsidRDefault="003E234B" w:rsidP="00B00825">
            <w:pPr>
              <w:pStyle w:val="TableParagraph"/>
              <w:spacing w:line="252" w:lineRule="exact"/>
              <w:ind w:left="0"/>
            </w:pPr>
            <w:r w:rsidRPr="009D56B8">
              <w:rPr>
                <w:b/>
                <w:spacing w:val="-1"/>
              </w:rPr>
              <w:t>Placebo</w:t>
            </w:r>
          </w:p>
        </w:tc>
        <w:tc>
          <w:tcPr>
            <w:tcW w:w="1616" w:type="dxa"/>
          </w:tcPr>
          <w:p w14:paraId="302AC3C7" w14:textId="77777777" w:rsidR="003E234B" w:rsidRPr="009D56B8" w:rsidRDefault="003E234B" w:rsidP="00B00825">
            <w:pPr>
              <w:pStyle w:val="TableParagraph"/>
              <w:ind w:left="0"/>
              <w:rPr>
                <w:lang w:val="nb-NO"/>
              </w:rPr>
            </w:pPr>
            <w:r w:rsidRPr="009D56B8">
              <w:rPr>
                <w:b/>
                <w:spacing w:val="-1"/>
                <w:lang w:val="nb-NO"/>
              </w:rPr>
              <w:t>Dimetyl-fumarat</w:t>
            </w:r>
            <w:r w:rsidRPr="009D56B8">
              <w:rPr>
                <w:b/>
                <w:spacing w:val="24"/>
                <w:w w:val="99"/>
                <w:lang w:val="nb-NO"/>
              </w:rPr>
              <w:t xml:space="preserve"> </w:t>
            </w:r>
            <w:r w:rsidRPr="009D56B8">
              <w:rPr>
                <w:b/>
                <w:lang w:val="nb-NO"/>
              </w:rPr>
              <w:t>240</w:t>
            </w:r>
            <w:r w:rsidRPr="009D56B8">
              <w:rPr>
                <w:b/>
                <w:spacing w:val="-7"/>
                <w:lang w:val="nb-NO"/>
              </w:rPr>
              <w:t> </w:t>
            </w:r>
            <w:r w:rsidRPr="009D56B8">
              <w:rPr>
                <w:b/>
                <w:spacing w:val="-1"/>
                <w:lang w:val="nb-NO"/>
              </w:rPr>
              <w:t>mg</w:t>
            </w:r>
            <w:r w:rsidRPr="009D56B8">
              <w:rPr>
                <w:b/>
                <w:spacing w:val="21"/>
                <w:w w:val="99"/>
                <w:lang w:val="nb-NO"/>
              </w:rPr>
              <w:t xml:space="preserve"> </w:t>
            </w:r>
            <w:r w:rsidRPr="009D56B8">
              <w:rPr>
                <w:b/>
                <w:spacing w:val="-1"/>
                <w:lang w:val="nb-NO"/>
              </w:rPr>
              <w:t>to ganger daglig</w:t>
            </w:r>
          </w:p>
        </w:tc>
        <w:tc>
          <w:tcPr>
            <w:tcW w:w="1277" w:type="dxa"/>
          </w:tcPr>
          <w:p w14:paraId="73A56A07" w14:textId="77777777" w:rsidR="003E234B" w:rsidRPr="009D56B8" w:rsidRDefault="003E234B" w:rsidP="00B00825">
            <w:pPr>
              <w:pStyle w:val="TableParagraph"/>
              <w:ind w:left="0"/>
            </w:pPr>
            <w:r w:rsidRPr="009D56B8">
              <w:rPr>
                <w:b/>
                <w:spacing w:val="-1"/>
              </w:rPr>
              <w:t>Glatiramer-acetat</w:t>
            </w:r>
          </w:p>
        </w:tc>
      </w:tr>
      <w:tr w:rsidR="009D56B8" w:rsidRPr="009D56B8" w14:paraId="43074735" w14:textId="77777777" w:rsidTr="006E13A1">
        <w:trPr>
          <w:trHeight w:hRule="exact" w:val="263"/>
        </w:trPr>
        <w:tc>
          <w:tcPr>
            <w:tcW w:w="8956" w:type="dxa"/>
            <w:gridSpan w:val="6"/>
          </w:tcPr>
          <w:p w14:paraId="06D20B47" w14:textId="77777777" w:rsidR="003E234B" w:rsidRPr="009D56B8" w:rsidRDefault="003E234B" w:rsidP="00B00825">
            <w:pPr>
              <w:pStyle w:val="TableParagraph"/>
              <w:spacing w:line="251" w:lineRule="exact"/>
              <w:ind w:left="0"/>
              <w:rPr>
                <w:sz w:val="14"/>
                <w:szCs w:val="14"/>
              </w:rPr>
            </w:pPr>
            <w:proofErr w:type="spellStart"/>
            <w:r w:rsidRPr="009D56B8">
              <w:rPr>
                <w:b/>
                <w:spacing w:val="-1"/>
              </w:rPr>
              <w:t>Kliniske</w:t>
            </w:r>
            <w:proofErr w:type="spellEnd"/>
            <w:r w:rsidRPr="009D56B8">
              <w:rPr>
                <w:b/>
                <w:spacing w:val="-1"/>
              </w:rPr>
              <w:t xml:space="preserve"> </w:t>
            </w:r>
            <w:proofErr w:type="spellStart"/>
            <w:r w:rsidRPr="009D56B8">
              <w:rPr>
                <w:b/>
                <w:spacing w:val="-1"/>
              </w:rPr>
              <w:t>endepunkter</w:t>
            </w:r>
            <w:proofErr w:type="spellEnd"/>
            <w:r w:rsidRPr="009D56B8">
              <w:rPr>
                <w:b/>
                <w:spacing w:val="-1"/>
                <w:position w:val="8"/>
                <w:sz w:val="14"/>
              </w:rPr>
              <w:t>a</w:t>
            </w:r>
          </w:p>
        </w:tc>
      </w:tr>
      <w:tr w:rsidR="009D56B8" w:rsidRPr="009D56B8" w14:paraId="054BDBCA" w14:textId="77777777" w:rsidTr="006E13A1">
        <w:trPr>
          <w:trHeight w:hRule="exact" w:val="263"/>
        </w:trPr>
        <w:tc>
          <w:tcPr>
            <w:tcW w:w="2550" w:type="dxa"/>
          </w:tcPr>
          <w:p w14:paraId="0943A0BD" w14:textId="77777777" w:rsidR="003E234B" w:rsidRPr="009D56B8" w:rsidRDefault="003E234B" w:rsidP="00B00825">
            <w:pPr>
              <w:pStyle w:val="TableParagraph"/>
              <w:spacing w:line="251" w:lineRule="exact"/>
              <w:ind w:left="0"/>
            </w:pPr>
            <w:r w:rsidRPr="009D56B8">
              <w:rPr>
                <w:spacing w:val="-1"/>
              </w:rPr>
              <w:t xml:space="preserve">Antall </w:t>
            </w:r>
            <w:proofErr w:type="spellStart"/>
            <w:r w:rsidRPr="009D56B8">
              <w:rPr>
                <w:spacing w:val="-1"/>
              </w:rPr>
              <w:t>pasienter</w:t>
            </w:r>
            <w:proofErr w:type="spellEnd"/>
          </w:p>
        </w:tc>
        <w:tc>
          <w:tcPr>
            <w:tcW w:w="964" w:type="dxa"/>
          </w:tcPr>
          <w:p w14:paraId="027A1608" w14:textId="77777777" w:rsidR="003E234B" w:rsidRPr="009D56B8" w:rsidRDefault="003E234B" w:rsidP="00B00825">
            <w:pPr>
              <w:pStyle w:val="TableParagraph"/>
              <w:spacing w:line="251" w:lineRule="exact"/>
              <w:ind w:left="0"/>
            </w:pPr>
            <w:r w:rsidRPr="009D56B8">
              <w:t>408</w:t>
            </w:r>
          </w:p>
        </w:tc>
        <w:tc>
          <w:tcPr>
            <w:tcW w:w="1585" w:type="dxa"/>
          </w:tcPr>
          <w:p w14:paraId="20ABDA32" w14:textId="77777777" w:rsidR="003E234B" w:rsidRPr="009D56B8" w:rsidRDefault="003E234B" w:rsidP="00B00825">
            <w:pPr>
              <w:pStyle w:val="TableParagraph"/>
              <w:spacing w:line="251" w:lineRule="exact"/>
              <w:ind w:left="0"/>
            </w:pPr>
            <w:r w:rsidRPr="009D56B8">
              <w:t>410</w:t>
            </w:r>
          </w:p>
        </w:tc>
        <w:tc>
          <w:tcPr>
            <w:tcW w:w="964" w:type="dxa"/>
          </w:tcPr>
          <w:p w14:paraId="7BDE66DC" w14:textId="77777777" w:rsidR="003E234B" w:rsidRPr="009D56B8" w:rsidRDefault="003E234B" w:rsidP="00B00825">
            <w:pPr>
              <w:pStyle w:val="TableParagraph"/>
              <w:spacing w:line="251" w:lineRule="exact"/>
              <w:ind w:left="0"/>
            </w:pPr>
            <w:r w:rsidRPr="009D56B8">
              <w:t>363</w:t>
            </w:r>
          </w:p>
        </w:tc>
        <w:tc>
          <w:tcPr>
            <w:tcW w:w="1616" w:type="dxa"/>
          </w:tcPr>
          <w:p w14:paraId="1E1D0DB2" w14:textId="77777777" w:rsidR="003E234B" w:rsidRPr="009D56B8" w:rsidRDefault="003E234B" w:rsidP="00B00825">
            <w:pPr>
              <w:pStyle w:val="TableParagraph"/>
              <w:spacing w:line="251" w:lineRule="exact"/>
              <w:ind w:left="0"/>
            </w:pPr>
            <w:r w:rsidRPr="009D56B8">
              <w:t>359</w:t>
            </w:r>
          </w:p>
        </w:tc>
        <w:tc>
          <w:tcPr>
            <w:tcW w:w="1277" w:type="dxa"/>
          </w:tcPr>
          <w:p w14:paraId="5BA31E3C" w14:textId="77777777" w:rsidR="003E234B" w:rsidRPr="009D56B8" w:rsidRDefault="003E234B" w:rsidP="00B00825">
            <w:pPr>
              <w:pStyle w:val="TableParagraph"/>
              <w:spacing w:line="251" w:lineRule="exact"/>
              <w:ind w:left="0"/>
            </w:pPr>
            <w:r w:rsidRPr="009D56B8">
              <w:t>350</w:t>
            </w:r>
          </w:p>
        </w:tc>
      </w:tr>
      <w:tr w:rsidR="009D56B8" w:rsidRPr="009D56B8" w14:paraId="4CF10FD2" w14:textId="77777777" w:rsidTr="006E13A1">
        <w:trPr>
          <w:trHeight w:hRule="exact" w:val="263"/>
        </w:trPr>
        <w:tc>
          <w:tcPr>
            <w:tcW w:w="2550" w:type="dxa"/>
          </w:tcPr>
          <w:p w14:paraId="7302FEB4" w14:textId="77777777" w:rsidR="003E234B" w:rsidRPr="009D56B8" w:rsidRDefault="003E234B" w:rsidP="00B00825">
            <w:pPr>
              <w:pStyle w:val="TableParagraph"/>
              <w:spacing w:line="251" w:lineRule="exact"/>
              <w:ind w:left="0"/>
            </w:pPr>
            <w:proofErr w:type="spellStart"/>
            <w:r w:rsidRPr="009D56B8">
              <w:rPr>
                <w:spacing w:val="-1"/>
              </w:rPr>
              <w:t>Årlig</w:t>
            </w:r>
            <w:proofErr w:type="spellEnd"/>
            <w:r w:rsidRPr="009D56B8">
              <w:rPr>
                <w:spacing w:val="-1"/>
              </w:rPr>
              <w:t xml:space="preserve"> </w:t>
            </w:r>
            <w:proofErr w:type="spellStart"/>
            <w:r w:rsidRPr="009D56B8">
              <w:rPr>
                <w:spacing w:val="-1"/>
              </w:rPr>
              <w:t>anfallshyppighet</w:t>
            </w:r>
            <w:proofErr w:type="spellEnd"/>
          </w:p>
        </w:tc>
        <w:tc>
          <w:tcPr>
            <w:tcW w:w="964" w:type="dxa"/>
          </w:tcPr>
          <w:p w14:paraId="54F22717" w14:textId="77777777" w:rsidR="003E234B" w:rsidRPr="009D56B8" w:rsidRDefault="003E234B" w:rsidP="00B00825">
            <w:pPr>
              <w:pStyle w:val="TableParagraph"/>
              <w:spacing w:line="251" w:lineRule="exact"/>
              <w:ind w:left="0"/>
            </w:pPr>
            <w:r w:rsidRPr="009D56B8">
              <w:rPr>
                <w:spacing w:val="-1"/>
              </w:rPr>
              <w:t>0,364</w:t>
            </w:r>
          </w:p>
        </w:tc>
        <w:tc>
          <w:tcPr>
            <w:tcW w:w="1585" w:type="dxa"/>
          </w:tcPr>
          <w:p w14:paraId="68D2862E" w14:textId="6BD3DF38" w:rsidR="003E234B" w:rsidRPr="009D56B8" w:rsidRDefault="003E234B" w:rsidP="00B00825">
            <w:pPr>
              <w:pStyle w:val="TableParagraph"/>
              <w:spacing w:line="251" w:lineRule="exact"/>
              <w:ind w:left="0"/>
            </w:pPr>
            <w:r w:rsidRPr="009D56B8">
              <w:rPr>
                <w:spacing w:val="-1"/>
              </w:rPr>
              <w:t>0</w:t>
            </w:r>
            <w:r w:rsidR="005C434E" w:rsidRPr="009D56B8">
              <w:rPr>
                <w:spacing w:val="-1"/>
              </w:rPr>
              <w:t>,</w:t>
            </w:r>
            <w:r w:rsidRPr="009D56B8">
              <w:rPr>
                <w:spacing w:val="-1"/>
              </w:rPr>
              <w:t>172***</w:t>
            </w:r>
          </w:p>
        </w:tc>
        <w:tc>
          <w:tcPr>
            <w:tcW w:w="964" w:type="dxa"/>
          </w:tcPr>
          <w:p w14:paraId="6F7270F8" w14:textId="07571F47" w:rsidR="003E234B" w:rsidRPr="009D56B8" w:rsidRDefault="003E234B" w:rsidP="00B00825">
            <w:pPr>
              <w:pStyle w:val="TableParagraph"/>
              <w:spacing w:line="251" w:lineRule="exact"/>
              <w:ind w:left="0"/>
            </w:pPr>
            <w:r w:rsidRPr="009D56B8">
              <w:rPr>
                <w:spacing w:val="-1"/>
              </w:rPr>
              <w:t>0</w:t>
            </w:r>
            <w:r w:rsidR="00ED5DE9" w:rsidRPr="009D56B8">
              <w:rPr>
                <w:spacing w:val="-1"/>
              </w:rPr>
              <w:t>,</w:t>
            </w:r>
            <w:r w:rsidRPr="009D56B8">
              <w:rPr>
                <w:spacing w:val="-1"/>
              </w:rPr>
              <w:t>401</w:t>
            </w:r>
          </w:p>
        </w:tc>
        <w:tc>
          <w:tcPr>
            <w:tcW w:w="1616" w:type="dxa"/>
          </w:tcPr>
          <w:p w14:paraId="1464C744" w14:textId="77777777" w:rsidR="003E234B" w:rsidRPr="009D56B8" w:rsidRDefault="003E234B" w:rsidP="00B00825">
            <w:pPr>
              <w:pStyle w:val="TableParagraph"/>
              <w:spacing w:line="251" w:lineRule="exact"/>
              <w:ind w:left="0"/>
            </w:pPr>
            <w:r w:rsidRPr="009D56B8">
              <w:rPr>
                <w:spacing w:val="-1"/>
              </w:rPr>
              <w:t>0,224***</w:t>
            </w:r>
          </w:p>
        </w:tc>
        <w:tc>
          <w:tcPr>
            <w:tcW w:w="1277" w:type="dxa"/>
          </w:tcPr>
          <w:p w14:paraId="793D4834" w14:textId="77777777" w:rsidR="003E234B" w:rsidRPr="009D56B8" w:rsidRDefault="003E234B" w:rsidP="00B00825">
            <w:pPr>
              <w:pStyle w:val="TableParagraph"/>
              <w:spacing w:line="251" w:lineRule="exact"/>
              <w:ind w:left="0"/>
            </w:pPr>
            <w:r w:rsidRPr="009D56B8">
              <w:rPr>
                <w:spacing w:val="-1"/>
              </w:rPr>
              <w:t>0,286*</w:t>
            </w:r>
          </w:p>
        </w:tc>
      </w:tr>
      <w:tr w:rsidR="009D56B8" w:rsidRPr="009D56B8" w14:paraId="2237BF4B" w14:textId="77777777" w:rsidTr="006E13A1">
        <w:trPr>
          <w:trHeight w:hRule="exact" w:val="270"/>
        </w:trPr>
        <w:tc>
          <w:tcPr>
            <w:tcW w:w="2550" w:type="dxa"/>
          </w:tcPr>
          <w:p w14:paraId="2BE3B579" w14:textId="77777777" w:rsidR="003E234B" w:rsidRPr="009D56B8" w:rsidRDefault="003E234B" w:rsidP="00513CD0">
            <w:pPr>
              <w:pStyle w:val="TableParagraph"/>
              <w:spacing w:line="252" w:lineRule="exact"/>
              <w:ind w:left="0"/>
              <w:jc w:val="center"/>
            </w:pPr>
            <w:r w:rsidRPr="009D56B8">
              <w:rPr>
                <w:spacing w:val="-1"/>
              </w:rPr>
              <w:t>Rate</w:t>
            </w:r>
            <w:r w:rsidRPr="009D56B8">
              <w:rPr>
                <w:spacing w:val="-10"/>
              </w:rPr>
              <w:t xml:space="preserve"> </w:t>
            </w:r>
            <w:r w:rsidRPr="009D56B8">
              <w:rPr>
                <w:spacing w:val="-1"/>
              </w:rPr>
              <w:t>ratio</w:t>
            </w:r>
          </w:p>
        </w:tc>
        <w:tc>
          <w:tcPr>
            <w:tcW w:w="964" w:type="dxa"/>
            <w:vMerge w:val="restart"/>
          </w:tcPr>
          <w:p w14:paraId="59B5BB39" w14:textId="77777777" w:rsidR="003E234B" w:rsidRPr="009D56B8" w:rsidRDefault="003E234B" w:rsidP="00B00825"/>
        </w:tc>
        <w:tc>
          <w:tcPr>
            <w:tcW w:w="1585" w:type="dxa"/>
          </w:tcPr>
          <w:p w14:paraId="2BDC5280" w14:textId="77777777" w:rsidR="003E234B" w:rsidRPr="009D56B8" w:rsidRDefault="003E234B" w:rsidP="00B00825">
            <w:pPr>
              <w:pStyle w:val="TableParagraph"/>
              <w:spacing w:line="252" w:lineRule="exact"/>
              <w:ind w:left="0"/>
            </w:pPr>
            <w:r w:rsidRPr="009D56B8">
              <w:t>0,47</w:t>
            </w:r>
          </w:p>
        </w:tc>
        <w:tc>
          <w:tcPr>
            <w:tcW w:w="964" w:type="dxa"/>
            <w:vMerge w:val="restart"/>
          </w:tcPr>
          <w:p w14:paraId="3E55B558" w14:textId="77777777" w:rsidR="003E234B" w:rsidRPr="009D56B8" w:rsidRDefault="003E234B" w:rsidP="00B00825"/>
        </w:tc>
        <w:tc>
          <w:tcPr>
            <w:tcW w:w="1616" w:type="dxa"/>
          </w:tcPr>
          <w:p w14:paraId="791AB753" w14:textId="77777777" w:rsidR="003E234B" w:rsidRPr="009D56B8" w:rsidRDefault="003E234B" w:rsidP="00B00825">
            <w:pPr>
              <w:pStyle w:val="TableParagraph"/>
              <w:spacing w:line="252" w:lineRule="exact"/>
              <w:ind w:left="0"/>
            </w:pPr>
            <w:r w:rsidRPr="009D56B8">
              <w:t>0,56</w:t>
            </w:r>
          </w:p>
        </w:tc>
        <w:tc>
          <w:tcPr>
            <w:tcW w:w="1277" w:type="dxa"/>
          </w:tcPr>
          <w:p w14:paraId="10F7DA80" w14:textId="77777777" w:rsidR="003E234B" w:rsidRPr="009D56B8" w:rsidRDefault="003E234B" w:rsidP="00B00825">
            <w:pPr>
              <w:pStyle w:val="TableParagraph"/>
              <w:spacing w:line="252" w:lineRule="exact"/>
              <w:ind w:left="0"/>
            </w:pPr>
            <w:r w:rsidRPr="009D56B8">
              <w:t>0,71</w:t>
            </w:r>
          </w:p>
        </w:tc>
      </w:tr>
      <w:tr w:rsidR="009D56B8" w:rsidRPr="009D56B8" w14:paraId="1D6C3AC2" w14:textId="77777777" w:rsidTr="006E13A1">
        <w:trPr>
          <w:trHeight w:hRule="exact" w:val="246"/>
        </w:trPr>
        <w:tc>
          <w:tcPr>
            <w:tcW w:w="2550" w:type="dxa"/>
          </w:tcPr>
          <w:p w14:paraId="254634AB" w14:textId="7812E713" w:rsidR="003E234B" w:rsidRPr="009D56B8" w:rsidRDefault="003E234B" w:rsidP="00513CD0">
            <w:pPr>
              <w:pStyle w:val="TableParagraph"/>
              <w:spacing w:line="240" w:lineRule="exact"/>
              <w:ind w:left="0"/>
              <w:jc w:val="center"/>
            </w:pPr>
            <w:r w:rsidRPr="009D56B8">
              <w:t>(95 %</w:t>
            </w:r>
            <w:r w:rsidRPr="009D56B8">
              <w:rPr>
                <w:spacing w:val="-9"/>
              </w:rPr>
              <w:t xml:space="preserve"> </w:t>
            </w:r>
            <w:r w:rsidR="00ED5DE9" w:rsidRPr="009D56B8">
              <w:t>K</w:t>
            </w:r>
            <w:r w:rsidRPr="009D56B8">
              <w:t>I)</w:t>
            </w:r>
          </w:p>
        </w:tc>
        <w:tc>
          <w:tcPr>
            <w:tcW w:w="964" w:type="dxa"/>
            <w:vMerge/>
          </w:tcPr>
          <w:p w14:paraId="115F428A" w14:textId="77777777" w:rsidR="003E234B" w:rsidRPr="009D56B8" w:rsidRDefault="003E234B" w:rsidP="00B00825"/>
        </w:tc>
        <w:tc>
          <w:tcPr>
            <w:tcW w:w="1585" w:type="dxa"/>
          </w:tcPr>
          <w:p w14:paraId="0E886760" w14:textId="77777777" w:rsidR="003E234B" w:rsidRPr="009D56B8" w:rsidRDefault="003E234B" w:rsidP="00B00825">
            <w:pPr>
              <w:pStyle w:val="TableParagraph"/>
              <w:spacing w:line="240" w:lineRule="exact"/>
              <w:ind w:left="0"/>
            </w:pPr>
            <w:r w:rsidRPr="009D56B8">
              <w:t>(0,37,</w:t>
            </w:r>
            <w:r w:rsidRPr="009D56B8">
              <w:rPr>
                <w:spacing w:val="-11"/>
              </w:rPr>
              <w:t xml:space="preserve"> </w:t>
            </w:r>
            <w:r w:rsidRPr="009D56B8">
              <w:rPr>
                <w:spacing w:val="-1"/>
              </w:rPr>
              <w:t>0,61)</w:t>
            </w:r>
          </w:p>
        </w:tc>
        <w:tc>
          <w:tcPr>
            <w:tcW w:w="964" w:type="dxa"/>
            <w:vMerge/>
          </w:tcPr>
          <w:p w14:paraId="21F28D0B" w14:textId="77777777" w:rsidR="003E234B" w:rsidRPr="009D56B8" w:rsidRDefault="003E234B" w:rsidP="00B00825"/>
        </w:tc>
        <w:tc>
          <w:tcPr>
            <w:tcW w:w="1616" w:type="dxa"/>
          </w:tcPr>
          <w:p w14:paraId="71199731" w14:textId="77777777" w:rsidR="003E234B" w:rsidRPr="009D56B8" w:rsidRDefault="003E234B" w:rsidP="00B00825">
            <w:pPr>
              <w:pStyle w:val="TableParagraph"/>
              <w:spacing w:line="240" w:lineRule="exact"/>
              <w:ind w:left="0"/>
            </w:pPr>
            <w:r w:rsidRPr="009D56B8">
              <w:t>(0,42,</w:t>
            </w:r>
            <w:r w:rsidRPr="009D56B8">
              <w:rPr>
                <w:spacing w:val="-11"/>
              </w:rPr>
              <w:t xml:space="preserve"> </w:t>
            </w:r>
            <w:r w:rsidRPr="009D56B8">
              <w:rPr>
                <w:spacing w:val="-1"/>
              </w:rPr>
              <w:t>0,74)</w:t>
            </w:r>
          </w:p>
        </w:tc>
        <w:tc>
          <w:tcPr>
            <w:tcW w:w="1277" w:type="dxa"/>
          </w:tcPr>
          <w:p w14:paraId="7DCA157A" w14:textId="77777777" w:rsidR="003E234B" w:rsidRPr="009D56B8" w:rsidRDefault="003E234B" w:rsidP="00B00825">
            <w:pPr>
              <w:pStyle w:val="TableParagraph"/>
              <w:spacing w:line="240" w:lineRule="exact"/>
              <w:ind w:left="0"/>
            </w:pPr>
            <w:r w:rsidRPr="009D56B8">
              <w:t>(0,55,</w:t>
            </w:r>
            <w:r w:rsidRPr="009D56B8">
              <w:rPr>
                <w:spacing w:val="-11"/>
              </w:rPr>
              <w:t xml:space="preserve"> </w:t>
            </w:r>
            <w:r w:rsidRPr="009D56B8">
              <w:rPr>
                <w:spacing w:val="-1"/>
              </w:rPr>
              <w:t>0,93)</w:t>
            </w:r>
          </w:p>
        </w:tc>
      </w:tr>
      <w:tr w:rsidR="009D56B8" w:rsidRPr="009D56B8" w14:paraId="5678A33E" w14:textId="77777777" w:rsidTr="006E13A1">
        <w:trPr>
          <w:trHeight w:hRule="exact" w:val="263"/>
        </w:trPr>
        <w:tc>
          <w:tcPr>
            <w:tcW w:w="2550" w:type="dxa"/>
          </w:tcPr>
          <w:p w14:paraId="3BA13CAF" w14:textId="77777777" w:rsidR="003E234B" w:rsidRPr="009D56B8" w:rsidRDefault="003E234B" w:rsidP="00B00825">
            <w:pPr>
              <w:pStyle w:val="TableParagraph"/>
              <w:spacing w:line="251" w:lineRule="exact"/>
              <w:ind w:left="0"/>
            </w:pPr>
            <w:r w:rsidRPr="009D56B8">
              <w:rPr>
                <w:spacing w:val="-1"/>
              </w:rPr>
              <w:t xml:space="preserve">Andel med </w:t>
            </w:r>
            <w:proofErr w:type="spellStart"/>
            <w:r w:rsidRPr="009D56B8">
              <w:rPr>
                <w:spacing w:val="-1"/>
              </w:rPr>
              <w:t>anfall</w:t>
            </w:r>
            <w:proofErr w:type="spellEnd"/>
          </w:p>
        </w:tc>
        <w:tc>
          <w:tcPr>
            <w:tcW w:w="964" w:type="dxa"/>
          </w:tcPr>
          <w:p w14:paraId="33A1DC7E" w14:textId="77777777" w:rsidR="003E234B" w:rsidRPr="009D56B8" w:rsidRDefault="003E234B" w:rsidP="00B00825">
            <w:pPr>
              <w:pStyle w:val="TableParagraph"/>
              <w:spacing w:line="251" w:lineRule="exact"/>
              <w:ind w:left="0"/>
            </w:pPr>
            <w:r w:rsidRPr="009D56B8">
              <w:rPr>
                <w:spacing w:val="-1"/>
              </w:rPr>
              <w:t>0,461</w:t>
            </w:r>
          </w:p>
        </w:tc>
        <w:tc>
          <w:tcPr>
            <w:tcW w:w="1585" w:type="dxa"/>
          </w:tcPr>
          <w:p w14:paraId="63949C39" w14:textId="77777777" w:rsidR="003E234B" w:rsidRPr="009D56B8" w:rsidRDefault="003E234B" w:rsidP="00B00825">
            <w:pPr>
              <w:pStyle w:val="TableParagraph"/>
              <w:spacing w:line="251" w:lineRule="exact"/>
              <w:ind w:left="0"/>
            </w:pPr>
            <w:r w:rsidRPr="009D56B8">
              <w:rPr>
                <w:spacing w:val="-1"/>
              </w:rPr>
              <w:t>0,270***</w:t>
            </w:r>
          </w:p>
        </w:tc>
        <w:tc>
          <w:tcPr>
            <w:tcW w:w="964" w:type="dxa"/>
          </w:tcPr>
          <w:p w14:paraId="573A175D" w14:textId="77777777" w:rsidR="003E234B" w:rsidRPr="009D56B8" w:rsidRDefault="003E234B" w:rsidP="00B00825">
            <w:pPr>
              <w:pStyle w:val="TableParagraph"/>
              <w:spacing w:line="251" w:lineRule="exact"/>
              <w:ind w:left="0"/>
            </w:pPr>
            <w:r w:rsidRPr="009D56B8">
              <w:rPr>
                <w:spacing w:val="-1"/>
              </w:rPr>
              <w:t>0,410</w:t>
            </w:r>
          </w:p>
        </w:tc>
        <w:tc>
          <w:tcPr>
            <w:tcW w:w="1616" w:type="dxa"/>
          </w:tcPr>
          <w:p w14:paraId="6A9F30C3" w14:textId="77777777" w:rsidR="003E234B" w:rsidRPr="009D56B8" w:rsidRDefault="003E234B" w:rsidP="00B00825">
            <w:pPr>
              <w:pStyle w:val="TableParagraph"/>
              <w:spacing w:line="251" w:lineRule="exact"/>
              <w:ind w:left="0"/>
            </w:pPr>
            <w:r w:rsidRPr="009D56B8">
              <w:rPr>
                <w:spacing w:val="-1"/>
              </w:rPr>
              <w:t>0,291**</w:t>
            </w:r>
          </w:p>
        </w:tc>
        <w:tc>
          <w:tcPr>
            <w:tcW w:w="1277" w:type="dxa"/>
          </w:tcPr>
          <w:p w14:paraId="781E8AD8" w14:textId="77777777" w:rsidR="003E234B" w:rsidRPr="009D56B8" w:rsidRDefault="003E234B" w:rsidP="00B00825">
            <w:pPr>
              <w:pStyle w:val="TableParagraph"/>
              <w:spacing w:line="251" w:lineRule="exact"/>
              <w:ind w:left="0"/>
            </w:pPr>
            <w:r w:rsidRPr="009D56B8">
              <w:rPr>
                <w:spacing w:val="-1"/>
              </w:rPr>
              <w:t>0,321**</w:t>
            </w:r>
          </w:p>
        </w:tc>
      </w:tr>
      <w:tr w:rsidR="009D56B8" w:rsidRPr="009D56B8" w14:paraId="11C15823" w14:textId="77777777" w:rsidTr="006E13A1">
        <w:trPr>
          <w:trHeight w:hRule="exact" w:val="270"/>
        </w:trPr>
        <w:tc>
          <w:tcPr>
            <w:tcW w:w="2550" w:type="dxa"/>
          </w:tcPr>
          <w:p w14:paraId="0610B3A7" w14:textId="77777777" w:rsidR="003E234B" w:rsidRPr="009D56B8" w:rsidRDefault="003E234B" w:rsidP="00513CD0">
            <w:pPr>
              <w:pStyle w:val="TableParagraph"/>
              <w:spacing w:line="252" w:lineRule="exact"/>
              <w:ind w:left="0"/>
              <w:jc w:val="center"/>
            </w:pPr>
            <w:proofErr w:type="spellStart"/>
            <w:r w:rsidRPr="009D56B8">
              <w:rPr>
                <w:spacing w:val="-1"/>
              </w:rPr>
              <w:t>Hasardratio</w:t>
            </w:r>
            <w:proofErr w:type="spellEnd"/>
          </w:p>
        </w:tc>
        <w:tc>
          <w:tcPr>
            <w:tcW w:w="964" w:type="dxa"/>
            <w:vMerge w:val="restart"/>
          </w:tcPr>
          <w:p w14:paraId="49C8BEF8" w14:textId="77777777" w:rsidR="003E234B" w:rsidRPr="009D56B8" w:rsidRDefault="003E234B" w:rsidP="00B00825"/>
        </w:tc>
        <w:tc>
          <w:tcPr>
            <w:tcW w:w="1585" w:type="dxa"/>
          </w:tcPr>
          <w:p w14:paraId="35531DDD" w14:textId="77777777" w:rsidR="003E234B" w:rsidRPr="009D56B8" w:rsidRDefault="003E234B" w:rsidP="00B00825">
            <w:pPr>
              <w:pStyle w:val="TableParagraph"/>
              <w:spacing w:line="252" w:lineRule="exact"/>
              <w:ind w:left="0"/>
            </w:pPr>
            <w:r w:rsidRPr="009D56B8">
              <w:t>0,51</w:t>
            </w:r>
          </w:p>
        </w:tc>
        <w:tc>
          <w:tcPr>
            <w:tcW w:w="964" w:type="dxa"/>
            <w:vMerge w:val="restart"/>
          </w:tcPr>
          <w:p w14:paraId="50AD8518" w14:textId="77777777" w:rsidR="003E234B" w:rsidRPr="009D56B8" w:rsidRDefault="003E234B" w:rsidP="00B00825"/>
        </w:tc>
        <w:tc>
          <w:tcPr>
            <w:tcW w:w="1616" w:type="dxa"/>
          </w:tcPr>
          <w:p w14:paraId="2BD7D372" w14:textId="77777777" w:rsidR="003E234B" w:rsidRPr="009D56B8" w:rsidRDefault="003E234B" w:rsidP="00B00825">
            <w:pPr>
              <w:pStyle w:val="TableParagraph"/>
              <w:spacing w:line="252" w:lineRule="exact"/>
              <w:ind w:left="0"/>
            </w:pPr>
            <w:r w:rsidRPr="009D56B8">
              <w:t>0,66</w:t>
            </w:r>
          </w:p>
        </w:tc>
        <w:tc>
          <w:tcPr>
            <w:tcW w:w="1277" w:type="dxa"/>
          </w:tcPr>
          <w:p w14:paraId="11D77B35" w14:textId="77777777" w:rsidR="003E234B" w:rsidRPr="009D56B8" w:rsidRDefault="003E234B" w:rsidP="00B00825">
            <w:pPr>
              <w:pStyle w:val="TableParagraph"/>
              <w:ind w:left="0"/>
            </w:pPr>
            <w:r w:rsidRPr="009D56B8">
              <w:t>0,71</w:t>
            </w:r>
          </w:p>
        </w:tc>
      </w:tr>
      <w:tr w:rsidR="009D56B8" w:rsidRPr="009D56B8" w14:paraId="2F0328ED" w14:textId="77777777" w:rsidTr="006E13A1">
        <w:trPr>
          <w:trHeight w:hRule="exact" w:val="284"/>
        </w:trPr>
        <w:tc>
          <w:tcPr>
            <w:tcW w:w="2550" w:type="dxa"/>
          </w:tcPr>
          <w:p w14:paraId="603B3061" w14:textId="77777777" w:rsidR="003E234B" w:rsidRPr="009D56B8" w:rsidRDefault="003E234B" w:rsidP="00513CD0">
            <w:pPr>
              <w:pStyle w:val="TableParagraph"/>
              <w:spacing w:line="240" w:lineRule="exact"/>
              <w:ind w:left="0"/>
              <w:jc w:val="center"/>
            </w:pPr>
            <w:r w:rsidRPr="009D56B8">
              <w:t>(95 %</w:t>
            </w:r>
            <w:r w:rsidRPr="009D56B8">
              <w:rPr>
                <w:spacing w:val="-9"/>
              </w:rPr>
              <w:t xml:space="preserve"> </w:t>
            </w:r>
            <w:r w:rsidRPr="009D56B8">
              <w:t>KI)</w:t>
            </w:r>
          </w:p>
        </w:tc>
        <w:tc>
          <w:tcPr>
            <w:tcW w:w="964" w:type="dxa"/>
            <w:vMerge/>
          </w:tcPr>
          <w:p w14:paraId="59BBD9AB" w14:textId="77777777" w:rsidR="003E234B" w:rsidRPr="009D56B8" w:rsidRDefault="003E234B" w:rsidP="00B00825"/>
        </w:tc>
        <w:tc>
          <w:tcPr>
            <w:tcW w:w="1585" w:type="dxa"/>
          </w:tcPr>
          <w:p w14:paraId="169A6C8F" w14:textId="77777777" w:rsidR="003E234B" w:rsidRPr="009D56B8" w:rsidRDefault="003E234B" w:rsidP="00B00825">
            <w:pPr>
              <w:pStyle w:val="TableParagraph"/>
              <w:spacing w:line="240" w:lineRule="exact"/>
              <w:ind w:left="0"/>
            </w:pPr>
            <w:r w:rsidRPr="009D56B8">
              <w:t>(0,40,</w:t>
            </w:r>
            <w:r w:rsidRPr="009D56B8">
              <w:rPr>
                <w:spacing w:val="-11"/>
              </w:rPr>
              <w:t xml:space="preserve"> </w:t>
            </w:r>
            <w:r w:rsidRPr="009D56B8">
              <w:rPr>
                <w:spacing w:val="-1"/>
              </w:rPr>
              <w:t>0,66)</w:t>
            </w:r>
          </w:p>
        </w:tc>
        <w:tc>
          <w:tcPr>
            <w:tcW w:w="964" w:type="dxa"/>
            <w:vMerge/>
          </w:tcPr>
          <w:p w14:paraId="3D4371F5" w14:textId="77777777" w:rsidR="003E234B" w:rsidRPr="009D56B8" w:rsidRDefault="003E234B" w:rsidP="00B00825"/>
        </w:tc>
        <w:tc>
          <w:tcPr>
            <w:tcW w:w="1616" w:type="dxa"/>
          </w:tcPr>
          <w:p w14:paraId="5F778CD5" w14:textId="77777777" w:rsidR="003E234B" w:rsidRPr="009D56B8" w:rsidRDefault="003E234B" w:rsidP="00B00825">
            <w:pPr>
              <w:pStyle w:val="TableParagraph"/>
              <w:spacing w:line="240" w:lineRule="exact"/>
              <w:ind w:left="0"/>
            </w:pPr>
            <w:r w:rsidRPr="009D56B8">
              <w:t>(0,51,</w:t>
            </w:r>
            <w:r w:rsidRPr="009D56B8">
              <w:rPr>
                <w:spacing w:val="-11"/>
              </w:rPr>
              <w:t xml:space="preserve"> </w:t>
            </w:r>
            <w:r w:rsidRPr="009D56B8">
              <w:rPr>
                <w:spacing w:val="-1"/>
              </w:rPr>
              <w:t>0,86)</w:t>
            </w:r>
          </w:p>
        </w:tc>
        <w:tc>
          <w:tcPr>
            <w:tcW w:w="1277" w:type="dxa"/>
          </w:tcPr>
          <w:p w14:paraId="0862B680" w14:textId="77777777" w:rsidR="003E234B" w:rsidRPr="009D56B8" w:rsidRDefault="003E234B" w:rsidP="00B00825">
            <w:pPr>
              <w:pStyle w:val="TableParagraph"/>
              <w:spacing w:before="26" w:line="252" w:lineRule="exact"/>
              <w:ind w:left="0"/>
            </w:pPr>
            <w:r w:rsidRPr="009D56B8">
              <w:t>(0,55,</w:t>
            </w:r>
            <w:r w:rsidRPr="009D56B8">
              <w:rPr>
                <w:spacing w:val="-11"/>
              </w:rPr>
              <w:t xml:space="preserve"> </w:t>
            </w:r>
            <w:r w:rsidRPr="009D56B8">
              <w:rPr>
                <w:spacing w:val="-1"/>
              </w:rPr>
              <w:t>0,92)</w:t>
            </w:r>
          </w:p>
        </w:tc>
      </w:tr>
      <w:tr w:rsidR="009D56B8" w:rsidRPr="009D56B8" w14:paraId="4A557E21" w14:textId="77777777" w:rsidTr="006E13A1">
        <w:trPr>
          <w:trHeight w:hRule="exact" w:val="769"/>
        </w:trPr>
        <w:tc>
          <w:tcPr>
            <w:tcW w:w="2550" w:type="dxa"/>
          </w:tcPr>
          <w:p w14:paraId="7330F2CA" w14:textId="77777777" w:rsidR="003E234B" w:rsidRPr="009D56B8" w:rsidRDefault="003E234B" w:rsidP="00B00825">
            <w:pPr>
              <w:pStyle w:val="TableParagraph"/>
              <w:ind w:left="0"/>
              <w:rPr>
                <w:lang w:val="nb-NO"/>
              </w:rPr>
            </w:pPr>
            <w:r w:rsidRPr="009D56B8">
              <w:rPr>
                <w:spacing w:val="-1"/>
                <w:lang w:val="nb-NO"/>
              </w:rPr>
              <w:t>Andel med bekreftet 12-ukers progresjon av funksjonsnedsettelse</w:t>
            </w:r>
          </w:p>
        </w:tc>
        <w:tc>
          <w:tcPr>
            <w:tcW w:w="964" w:type="dxa"/>
          </w:tcPr>
          <w:p w14:paraId="37DF1B48" w14:textId="77777777" w:rsidR="003E234B" w:rsidRPr="009D56B8" w:rsidRDefault="003E234B" w:rsidP="00B00825">
            <w:pPr>
              <w:pStyle w:val="TableParagraph"/>
              <w:spacing w:line="252" w:lineRule="exact"/>
              <w:ind w:left="0"/>
            </w:pPr>
            <w:r w:rsidRPr="009D56B8">
              <w:rPr>
                <w:spacing w:val="-1"/>
              </w:rPr>
              <w:t>0,271</w:t>
            </w:r>
          </w:p>
        </w:tc>
        <w:tc>
          <w:tcPr>
            <w:tcW w:w="1585" w:type="dxa"/>
          </w:tcPr>
          <w:p w14:paraId="05266237" w14:textId="77777777" w:rsidR="003E234B" w:rsidRPr="009D56B8" w:rsidRDefault="003E234B" w:rsidP="00B00825">
            <w:pPr>
              <w:pStyle w:val="TableParagraph"/>
              <w:spacing w:line="252" w:lineRule="exact"/>
              <w:ind w:left="0"/>
            </w:pPr>
            <w:r w:rsidRPr="009D56B8">
              <w:rPr>
                <w:spacing w:val="-1"/>
              </w:rPr>
              <w:t>0,164**</w:t>
            </w:r>
          </w:p>
        </w:tc>
        <w:tc>
          <w:tcPr>
            <w:tcW w:w="964" w:type="dxa"/>
          </w:tcPr>
          <w:p w14:paraId="2C928F47" w14:textId="77777777" w:rsidR="003E234B" w:rsidRPr="009D56B8" w:rsidRDefault="003E234B" w:rsidP="00B00825">
            <w:pPr>
              <w:pStyle w:val="TableParagraph"/>
              <w:spacing w:line="252" w:lineRule="exact"/>
              <w:ind w:left="0"/>
            </w:pPr>
            <w:r w:rsidRPr="009D56B8">
              <w:rPr>
                <w:spacing w:val="-1"/>
              </w:rPr>
              <w:t>0,169</w:t>
            </w:r>
          </w:p>
        </w:tc>
        <w:tc>
          <w:tcPr>
            <w:tcW w:w="1616" w:type="dxa"/>
          </w:tcPr>
          <w:p w14:paraId="0D8F7295" w14:textId="77777777" w:rsidR="003E234B" w:rsidRPr="009D56B8" w:rsidRDefault="003E234B" w:rsidP="00B00825">
            <w:pPr>
              <w:pStyle w:val="TableParagraph"/>
              <w:spacing w:line="252" w:lineRule="exact"/>
              <w:ind w:left="0"/>
              <w:rPr>
                <w:sz w:val="14"/>
                <w:szCs w:val="14"/>
              </w:rPr>
            </w:pPr>
            <w:r w:rsidRPr="009D56B8">
              <w:rPr>
                <w:spacing w:val="-1"/>
              </w:rPr>
              <w:t>0,128</w:t>
            </w:r>
            <w:r w:rsidRPr="009D56B8">
              <w:rPr>
                <w:spacing w:val="-1"/>
                <w:position w:val="9"/>
                <w:sz w:val="14"/>
              </w:rPr>
              <w:t>#</w:t>
            </w:r>
          </w:p>
        </w:tc>
        <w:tc>
          <w:tcPr>
            <w:tcW w:w="1277" w:type="dxa"/>
          </w:tcPr>
          <w:p w14:paraId="532B8529" w14:textId="77777777" w:rsidR="003E234B" w:rsidRPr="009D56B8" w:rsidRDefault="003E234B" w:rsidP="00B00825">
            <w:pPr>
              <w:pStyle w:val="TableParagraph"/>
              <w:spacing w:line="252" w:lineRule="exact"/>
              <w:ind w:left="0"/>
              <w:rPr>
                <w:sz w:val="14"/>
                <w:szCs w:val="14"/>
              </w:rPr>
            </w:pPr>
            <w:r w:rsidRPr="009D56B8">
              <w:rPr>
                <w:spacing w:val="-1"/>
              </w:rPr>
              <w:t>0,156</w:t>
            </w:r>
            <w:r w:rsidRPr="009D56B8">
              <w:rPr>
                <w:spacing w:val="-1"/>
                <w:position w:val="9"/>
                <w:sz w:val="14"/>
              </w:rPr>
              <w:t>#</w:t>
            </w:r>
          </w:p>
        </w:tc>
      </w:tr>
      <w:tr w:rsidR="009D56B8" w:rsidRPr="009D56B8" w14:paraId="0BD5722F" w14:textId="77777777" w:rsidTr="006E13A1">
        <w:trPr>
          <w:trHeight w:hRule="exact" w:val="270"/>
        </w:trPr>
        <w:tc>
          <w:tcPr>
            <w:tcW w:w="2550" w:type="dxa"/>
          </w:tcPr>
          <w:p w14:paraId="6D3F2409" w14:textId="77777777" w:rsidR="003E234B" w:rsidRPr="009D56B8" w:rsidRDefault="003E234B" w:rsidP="00513CD0">
            <w:pPr>
              <w:pStyle w:val="TableParagraph"/>
              <w:spacing w:line="252" w:lineRule="exact"/>
              <w:ind w:left="0"/>
              <w:jc w:val="center"/>
            </w:pPr>
            <w:proofErr w:type="spellStart"/>
            <w:r w:rsidRPr="009D56B8">
              <w:rPr>
                <w:spacing w:val="-1"/>
              </w:rPr>
              <w:t>Hasardratio</w:t>
            </w:r>
            <w:proofErr w:type="spellEnd"/>
          </w:p>
        </w:tc>
        <w:tc>
          <w:tcPr>
            <w:tcW w:w="964" w:type="dxa"/>
            <w:vMerge w:val="restart"/>
          </w:tcPr>
          <w:p w14:paraId="2A56508D" w14:textId="77777777" w:rsidR="003E234B" w:rsidRPr="009D56B8" w:rsidRDefault="003E234B" w:rsidP="00B00825"/>
        </w:tc>
        <w:tc>
          <w:tcPr>
            <w:tcW w:w="1585" w:type="dxa"/>
          </w:tcPr>
          <w:p w14:paraId="4C5CFEA0" w14:textId="77777777" w:rsidR="003E234B" w:rsidRPr="009D56B8" w:rsidRDefault="003E234B" w:rsidP="00B00825">
            <w:pPr>
              <w:pStyle w:val="TableParagraph"/>
              <w:spacing w:line="252" w:lineRule="exact"/>
              <w:ind w:left="0"/>
            </w:pPr>
            <w:r w:rsidRPr="009D56B8">
              <w:t>0,62</w:t>
            </w:r>
          </w:p>
        </w:tc>
        <w:tc>
          <w:tcPr>
            <w:tcW w:w="964" w:type="dxa"/>
            <w:vMerge w:val="restart"/>
          </w:tcPr>
          <w:p w14:paraId="26A10BF4" w14:textId="77777777" w:rsidR="003E234B" w:rsidRPr="009D56B8" w:rsidRDefault="003E234B" w:rsidP="00B00825"/>
        </w:tc>
        <w:tc>
          <w:tcPr>
            <w:tcW w:w="1616" w:type="dxa"/>
          </w:tcPr>
          <w:p w14:paraId="0B546297" w14:textId="77777777" w:rsidR="003E234B" w:rsidRPr="009D56B8" w:rsidRDefault="003E234B" w:rsidP="00B00825">
            <w:pPr>
              <w:pStyle w:val="TableParagraph"/>
              <w:spacing w:line="252" w:lineRule="exact"/>
              <w:ind w:left="0"/>
            </w:pPr>
            <w:r w:rsidRPr="009D56B8">
              <w:t>0,79</w:t>
            </w:r>
          </w:p>
        </w:tc>
        <w:tc>
          <w:tcPr>
            <w:tcW w:w="1277" w:type="dxa"/>
          </w:tcPr>
          <w:p w14:paraId="3F56F141" w14:textId="77777777" w:rsidR="003E234B" w:rsidRPr="009D56B8" w:rsidRDefault="003E234B" w:rsidP="00B00825">
            <w:pPr>
              <w:pStyle w:val="TableParagraph"/>
              <w:spacing w:line="252" w:lineRule="exact"/>
              <w:ind w:left="0"/>
            </w:pPr>
            <w:r w:rsidRPr="009D56B8">
              <w:t>0,93</w:t>
            </w:r>
          </w:p>
        </w:tc>
      </w:tr>
      <w:tr w:rsidR="009D56B8" w:rsidRPr="009D56B8" w14:paraId="60632F47" w14:textId="77777777" w:rsidTr="006E13A1">
        <w:trPr>
          <w:trHeight w:hRule="exact" w:val="246"/>
        </w:trPr>
        <w:tc>
          <w:tcPr>
            <w:tcW w:w="2550" w:type="dxa"/>
          </w:tcPr>
          <w:p w14:paraId="062F905A" w14:textId="77777777" w:rsidR="003E234B" w:rsidRPr="009D56B8" w:rsidRDefault="003E234B" w:rsidP="00513CD0">
            <w:pPr>
              <w:pStyle w:val="TableParagraph"/>
              <w:spacing w:line="240" w:lineRule="exact"/>
              <w:ind w:left="0"/>
              <w:jc w:val="center"/>
            </w:pPr>
            <w:r w:rsidRPr="009D56B8">
              <w:t>(95 %</w:t>
            </w:r>
            <w:r w:rsidRPr="009D56B8">
              <w:rPr>
                <w:spacing w:val="-9"/>
              </w:rPr>
              <w:t xml:space="preserve"> </w:t>
            </w:r>
            <w:r w:rsidRPr="009D56B8">
              <w:t>KI)</w:t>
            </w:r>
          </w:p>
        </w:tc>
        <w:tc>
          <w:tcPr>
            <w:tcW w:w="964" w:type="dxa"/>
            <w:vMerge/>
          </w:tcPr>
          <w:p w14:paraId="69C1832A" w14:textId="77777777" w:rsidR="003E234B" w:rsidRPr="009D56B8" w:rsidRDefault="003E234B" w:rsidP="00B00825"/>
        </w:tc>
        <w:tc>
          <w:tcPr>
            <w:tcW w:w="1585" w:type="dxa"/>
          </w:tcPr>
          <w:p w14:paraId="3FD1E47C" w14:textId="77777777" w:rsidR="003E234B" w:rsidRPr="009D56B8" w:rsidRDefault="003E234B" w:rsidP="00B00825">
            <w:pPr>
              <w:pStyle w:val="TableParagraph"/>
              <w:spacing w:line="240" w:lineRule="exact"/>
              <w:ind w:left="0"/>
            </w:pPr>
            <w:r w:rsidRPr="009D56B8">
              <w:t>(0,44,</w:t>
            </w:r>
            <w:r w:rsidRPr="009D56B8">
              <w:rPr>
                <w:spacing w:val="-11"/>
              </w:rPr>
              <w:t xml:space="preserve"> </w:t>
            </w:r>
            <w:r w:rsidRPr="009D56B8">
              <w:rPr>
                <w:spacing w:val="-1"/>
              </w:rPr>
              <w:t>0,87)</w:t>
            </w:r>
          </w:p>
        </w:tc>
        <w:tc>
          <w:tcPr>
            <w:tcW w:w="964" w:type="dxa"/>
            <w:vMerge/>
          </w:tcPr>
          <w:p w14:paraId="7237370B" w14:textId="77777777" w:rsidR="003E234B" w:rsidRPr="009D56B8" w:rsidRDefault="003E234B" w:rsidP="00B00825"/>
        </w:tc>
        <w:tc>
          <w:tcPr>
            <w:tcW w:w="1616" w:type="dxa"/>
          </w:tcPr>
          <w:p w14:paraId="4B47A492" w14:textId="77777777" w:rsidR="003E234B" w:rsidRPr="009D56B8" w:rsidRDefault="003E234B" w:rsidP="00B00825">
            <w:pPr>
              <w:pStyle w:val="TableParagraph"/>
              <w:spacing w:line="240" w:lineRule="exact"/>
              <w:ind w:left="0"/>
            </w:pPr>
            <w:r w:rsidRPr="009D56B8">
              <w:t>(0,52,</w:t>
            </w:r>
            <w:r w:rsidRPr="009D56B8">
              <w:rPr>
                <w:spacing w:val="-11"/>
              </w:rPr>
              <w:t xml:space="preserve"> </w:t>
            </w:r>
            <w:r w:rsidRPr="009D56B8">
              <w:rPr>
                <w:spacing w:val="-1"/>
              </w:rPr>
              <w:t>1,19)</w:t>
            </w:r>
          </w:p>
        </w:tc>
        <w:tc>
          <w:tcPr>
            <w:tcW w:w="1277" w:type="dxa"/>
          </w:tcPr>
          <w:p w14:paraId="16814D62" w14:textId="77777777" w:rsidR="003E234B" w:rsidRPr="009D56B8" w:rsidRDefault="003E234B" w:rsidP="00B00825">
            <w:pPr>
              <w:pStyle w:val="TableParagraph"/>
              <w:spacing w:line="240" w:lineRule="exact"/>
              <w:ind w:left="0"/>
            </w:pPr>
            <w:r w:rsidRPr="009D56B8">
              <w:t>(0,63,</w:t>
            </w:r>
            <w:r w:rsidRPr="009D56B8">
              <w:rPr>
                <w:spacing w:val="-11"/>
              </w:rPr>
              <w:t xml:space="preserve"> </w:t>
            </w:r>
            <w:r w:rsidRPr="009D56B8">
              <w:rPr>
                <w:spacing w:val="-1"/>
              </w:rPr>
              <w:t>1,37)</w:t>
            </w:r>
          </w:p>
        </w:tc>
      </w:tr>
      <w:tr w:rsidR="009D56B8" w:rsidRPr="009D56B8" w14:paraId="524457D2" w14:textId="77777777" w:rsidTr="006E13A1">
        <w:trPr>
          <w:trHeight w:hRule="exact" w:val="768"/>
        </w:trPr>
        <w:tc>
          <w:tcPr>
            <w:tcW w:w="2550" w:type="dxa"/>
          </w:tcPr>
          <w:p w14:paraId="19F652B9" w14:textId="77777777" w:rsidR="003E234B" w:rsidRPr="009D56B8" w:rsidRDefault="003E234B" w:rsidP="00B00825">
            <w:pPr>
              <w:pStyle w:val="TableParagraph"/>
              <w:ind w:left="0"/>
              <w:rPr>
                <w:lang w:val="nb-NO"/>
              </w:rPr>
            </w:pPr>
            <w:r w:rsidRPr="009D56B8">
              <w:rPr>
                <w:spacing w:val="-1"/>
                <w:lang w:val="nb-NO"/>
              </w:rPr>
              <w:t>Andel med bekreftet 24-ukers progresjon av funksjonsnedsettelse</w:t>
            </w:r>
          </w:p>
        </w:tc>
        <w:tc>
          <w:tcPr>
            <w:tcW w:w="964" w:type="dxa"/>
          </w:tcPr>
          <w:p w14:paraId="19D04A04" w14:textId="77777777" w:rsidR="003E234B" w:rsidRPr="009D56B8" w:rsidRDefault="003E234B" w:rsidP="00B00825">
            <w:pPr>
              <w:pStyle w:val="TableParagraph"/>
              <w:spacing w:line="252" w:lineRule="exact"/>
              <w:ind w:left="0"/>
            </w:pPr>
            <w:r w:rsidRPr="009D56B8">
              <w:rPr>
                <w:spacing w:val="-1"/>
              </w:rPr>
              <w:t>0,169</w:t>
            </w:r>
          </w:p>
        </w:tc>
        <w:tc>
          <w:tcPr>
            <w:tcW w:w="1585" w:type="dxa"/>
          </w:tcPr>
          <w:p w14:paraId="66B447E1" w14:textId="77777777" w:rsidR="003E234B" w:rsidRPr="009D56B8" w:rsidRDefault="003E234B" w:rsidP="00B00825">
            <w:pPr>
              <w:pStyle w:val="TableParagraph"/>
              <w:spacing w:line="252" w:lineRule="exact"/>
              <w:ind w:left="0"/>
            </w:pPr>
            <w:r w:rsidRPr="009D56B8">
              <w:rPr>
                <w:spacing w:val="-1"/>
              </w:rPr>
              <w:t>0,128#</w:t>
            </w:r>
          </w:p>
        </w:tc>
        <w:tc>
          <w:tcPr>
            <w:tcW w:w="964" w:type="dxa"/>
          </w:tcPr>
          <w:p w14:paraId="2D366712" w14:textId="77777777" w:rsidR="003E234B" w:rsidRPr="009D56B8" w:rsidRDefault="003E234B" w:rsidP="00B00825">
            <w:pPr>
              <w:pStyle w:val="TableParagraph"/>
              <w:spacing w:line="252" w:lineRule="exact"/>
              <w:ind w:left="0"/>
            </w:pPr>
            <w:r w:rsidRPr="009D56B8">
              <w:rPr>
                <w:spacing w:val="-1"/>
              </w:rPr>
              <w:t>0,125</w:t>
            </w:r>
          </w:p>
        </w:tc>
        <w:tc>
          <w:tcPr>
            <w:tcW w:w="1616" w:type="dxa"/>
          </w:tcPr>
          <w:p w14:paraId="1B1CD956" w14:textId="77777777" w:rsidR="003E234B" w:rsidRPr="009D56B8" w:rsidRDefault="003E234B" w:rsidP="00B00825">
            <w:pPr>
              <w:pStyle w:val="TableParagraph"/>
              <w:spacing w:line="252" w:lineRule="exact"/>
              <w:ind w:left="0"/>
            </w:pPr>
            <w:r w:rsidRPr="009D56B8">
              <w:rPr>
                <w:spacing w:val="-1"/>
              </w:rPr>
              <w:t>0,078#</w:t>
            </w:r>
          </w:p>
        </w:tc>
        <w:tc>
          <w:tcPr>
            <w:tcW w:w="1277" w:type="dxa"/>
          </w:tcPr>
          <w:p w14:paraId="3CCA69C5" w14:textId="77777777" w:rsidR="003E234B" w:rsidRPr="009D56B8" w:rsidRDefault="003E234B" w:rsidP="00B00825">
            <w:pPr>
              <w:pStyle w:val="TableParagraph"/>
              <w:spacing w:line="252" w:lineRule="exact"/>
              <w:ind w:left="0"/>
            </w:pPr>
            <w:r w:rsidRPr="009D56B8">
              <w:rPr>
                <w:spacing w:val="-1"/>
              </w:rPr>
              <w:t>0,108#</w:t>
            </w:r>
          </w:p>
        </w:tc>
      </w:tr>
      <w:tr w:rsidR="009D56B8" w:rsidRPr="009D56B8" w14:paraId="2D6D042D" w14:textId="77777777" w:rsidTr="006E13A1">
        <w:trPr>
          <w:trHeight w:hRule="exact" w:val="270"/>
        </w:trPr>
        <w:tc>
          <w:tcPr>
            <w:tcW w:w="2550" w:type="dxa"/>
          </w:tcPr>
          <w:p w14:paraId="456B372F" w14:textId="77777777" w:rsidR="003E234B" w:rsidRPr="009D56B8" w:rsidRDefault="003E234B" w:rsidP="00513CD0">
            <w:pPr>
              <w:pStyle w:val="TableParagraph"/>
              <w:ind w:left="0"/>
              <w:jc w:val="center"/>
            </w:pPr>
            <w:proofErr w:type="spellStart"/>
            <w:r w:rsidRPr="009D56B8">
              <w:rPr>
                <w:spacing w:val="-1"/>
              </w:rPr>
              <w:t>Hasardratio</w:t>
            </w:r>
            <w:proofErr w:type="spellEnd"/>
          </w:p>
        </w:tc>
        <w:tc>
          <w:tcPr>
            <w:tcW w:w="964" w:type="dxa"/>
            <w:vMerge w:val="restart"/>
          </w:tcPr>
          <w:p w14:paraId="3D30F0EC" w14:textId="77777777" w:rsidR="003E234B" w:rsidRPr="009D56B8" w:rsidRDefault="003E234B" w:rsidP="00B00825"/>
        </w:tc>
        <w:tc>
          <w:tcPr>
            <w:tcW w:w="1585" w:type="dxa"/>
          </w:tcPr>
          <w:p w14:paraId="19976853" w14:textId="77777777" w:rsidR="003E234B" w:rsidRPr="009D56B8" w:rsidRDefault="003E234B" w:rsidP="00B00825">
            <w:pPr>
              <w:pStyle w:val="TableParagraph"/>
              <w:ind w:left="0"/>
            </w:pPr>
            <w:r w:rsidRPr="009D56B8">
              <w:t>0,77</w:t>
            </w:r>
          </w:p>
        </w:tc>
        <w:tc>
          <w:tcPr>
            <w:tcW w:w="964" w:type="dxa"/>
            <w:vMerge w:val="restart"/>
          </w:tcPr>
          <w:p w14:paraId="608A02C7" w14:textId="77777777" w:rsidR="003E234B" w:rsidRPr="009D56B8" w:rsidRDefault="003E234B" w:rsidP="00B00825"/>
        </w:tc>
        <w:tc>
          <w:tcPr>
            <w:tcW w:w="1616" w:type="dxa"/>
          </w:tcPr>
          <w:p w14:paraId="29998933" w14:textId="77777777" w:rsidR="003E234B" w:rsidRPr="009D56B8" w:rsidRDefault="003E234B" w:rsidP="00B00825">
            <w:pPr>
              <w:pStyle w:val="TableParagraph"/>
              <w:ind w:left="0"/>
            </w:pPr>
            <w:r w:rsidRPr="009D56B8">
              <w:t>0,62</w:t>
            </w:r>
          </w:p>
        </w:tc>
        <w:tc>
          <w:tcPr>
            <w:tcW w:w="1277" w:type="dxa"/>
          </w:tcPr>
          <w:p w14:paraId="02313B81" w14:textId="77777777" w:rsidR="003E234B" w:rsidRPr="009D56B8" w:rsidRDefault="003E234B" w:rsidP="00B00825">
            <w:pPr>
              <w:pStyle w:val="TableParagraph"/>
              <w:ind w:left="0"/>
            </w:pPr>
            <w:r w:rsidRPr="009D56B8">
              <w:t>0,87</w:t>
            </w:r>
          </w:p>
        </w:tc>
      </w:tr>
      <w:tr w:rsidR="009D56B8" w:rsidRPr="009D56B8" w14:paraId="76B28D22" w14:textId="77777777" w:rsidTr="006E13A1">
        <w:trPr>
          <w:trHeight w:hRule="exact" w:val="246"/>
        </w:trPr>
        <w:tc>
          <w:tcPr>
            <w:tcW w:w="2550" w:type="dxa"/>
          </w:tcPr>
          <w:p w14:paraId="4B7F6929" w14:textId="77777777" w:rsidR="003E234B" w:rsidRPr="009D56B8" w:rsidRDefault="003E234B" w:rsidP="00513CD0">
            <w:pPr>
              <w:pStyle w:val="TableParagraph"/>
              <w:spacing w:line="240" w:lineRule="exact"/>
              <w:ind w:left="0"/>
              <w:jc w:val="center"/>
            </w:pPr>
            <w:r w:rsidRPr="009D56B8">
              <w:t>(95 %</w:t>
            </w:r>
            <w:r w:rsidRPr="009D56B8">
              <w:rPr>
                <w:spacing w:val="-9"/>
              </w:rPr>
              <w:t xml:space="preserve"> </w:t>
            </w:r>
            <w:r w:rsidRPr="009D56B8">
              <w:t>KI)</w:t>
            </w:r>
          </w:p>
        </w:tc>
        <w:tc>
          <w:tcPr>
            <w:tcW w:w="964" w:type="dxa"/>
            <w:vMerge/>
          </w:tcPr>
          <w:p w14:paraId="71F22E25" w14:textId="77777777" w:rsidR="003E234B" w:rsidRPr="009D56B8" w:rsidRDefault="003E234B" w:rsidP="00B00825"/>
        </w:tc>
        <w:tc>
          <w:tcPr>
            <w:tcW w:w="1585" w:type="dxa"/>
          </w:tcPr>
          <w:p w14:paraId="72E142FD" w14:textId="77777777" w:rsidR="003E234B" w:rsidRPr="009D56B8" w:rsidRDefault="003E234B" w:rsidP="00B00825">
            <w:pPr>
              <w:pStyle w:val="TableParagraph"/>
              <w:spacing w:line="240" w:lineRule="exact"/>
              <w:ind w:left="0"/>
            </w:pPr>
            <w:r w:rsidRPr="009D56B8">
              <w:t>(0,52,</w:t>
            </w:r>
            <w:r w:rsidRPr="009D56B8">
              <w:rPr>
                <w:spacing w:val="-11"/>
              </w:rPr>
              <w:t xml:space="preserve"> </w:t>
            </w:r>
            <w:r w:rsidRPr="009D56B8">
              <w:rPr>
                <w:spacing w:val="-1"/>
              </w:rPr>
              <w:t>1,14)</w:t>
            </w:r>
          </w:p>
        </w:tc>
        <w:tc>
          <w:tcPr>
            <w:tcW w:w="964" w:type="dxa"/>
            <w:vMerge/>
          </w:tcPr>
          <w:p w14:paraId="46D3E65C" w14:textId="77777777" w:rsidR="003E234B" w:rsidRPr="009D56B8" w:rsidRDefault="003E234B" w:rsidP="00B00825"/>
        </w:tc>
        <w:tc>
          <w:tcPr>
            <w:tcW w:w="1616" w:type="dxa"/>
          </w:tcPr>
          <w:p w14:paraId="4A393A67" w14:textId="77777777" w:rsidR="003E234B" w:rsidRPr="009D56B8" w:rsidRDefault="003E234B" w:rsidP="00B00825">
            <w:pPr>
              <w:pStyle w:val="TableParagraph"/>
              <w:spacing w:line="240" w:lineRule="exact"/>
              <w:ind w:left="0"/>
            </w:pPr>
            <w:r w:rsidRPr="009D56B8">
              <w:t>(0,37,</w:t>
            </w:r>
            <w:r w:rsidRPr="009D56B8">
              <w:rPr>
                <w:spacing w:val="-11"/>
              </w:rPr>
              <w:t xml:space="preserve"> </w:t>
            </w:r>
            <w:r w:rsidRPr="009D56B8">
              <w:rPr>
                <w:spacing w:val="-1"/>
              </w:rPr>
              <w:t>1,03)</w:t>
            </w:r>
          </w:p>
        </w:tc>
        <w:tc>
          <w:tcPr>
            <w:tcW w:w="1277" w:type="dxa"/>
          </w:tcPr>
          <w:p w14:paraId="1082593D" w14:textId="77777777" w:rsidR="003E234B" w:rsidRPr="009D56B8" w:rsidRDefault="003E234B" w:rsidP="00B00825">
            <w:pPr>
              <w:pStyle w:val="TableParagraph"/>
              <w:spacing w:line="240" w:lineRule="exact"/>
              <w:ind w:left="0"/>
            </w:pPr>
            <w:r w:rsidRPr="009D56B8">
              <w:t>(0,55,</w:t>
            </w:r>
            <w:r w:rsidRPr="009D56B8">
              <w:rPr>
                <w:spacing w:val="-11"/>
              </w:rPr>
              <w:t xml:space="preserve"> </w:t>
            </w:r>
            <w:r w:rsidRPr="009D56B8">
              <w:rPr>
                <w:spacing w:val="-1"/>
              </w:rPr>
              <w:t>1,38)</w:t>
            </w:r>
          </w:p>
        </w:tc>
      </w:tr>
      <w:tr w:rsidR="009D56B8" w:rsidRPr="009D56B8" w14:paraId="13C7665D" w14:textId="77777777" w:rsidTr="006E13A1">
        <w:trPr>
          <w:trHeight w:hRule="exact" w:val="263"/>
        </w:trPr>
        <w:tc>
          <w:tcPr>
            <w:tcW w:w="5099" w:type="dxa"/>
            <w:gridSpan w:val="3"/>
          </w:tcPr>
          <w:p w14:paraId="485EC2A5" w14:textId="77777777" w:rsidR="003E234B" w:rsidRPr="009D56B8" w:rsidRDefault="003E234B" w:rsidP="00B00825">
            <w:pPr>
              <w:pStyle w:val="TableParagraph"/>
              <w:spacing w:line="251" w:lineRule="exact"/>
              <w:ind w:left="0"/>
              <w:rPr>
                <w:sz w:val="14"/>
                <w:szCs w:val="14"/>
              </w:rPr>
            </w:pPr>
            <w:r w:rsidRPr="009D56B8">
              <w:rPr>
                <w:b/>
                <w:spacing w:val="-1"/>
              </w:rPr>
              <w:lastRenderedPageBreak/>
              <w:t>MR-</w:t>
            </w:r>
            <w:proofErr w:type="spellStart"/>
            <w:r w:rsidRPr="009D56B8">
              <w:rPr>
                <w:b/>
                <w:spacing w:val="-1"/>
              </w:rPr>
              <w:t>endepunkter</w:t>
            </w:r>
            <w:proofErr w:type="spellEnd"/>
            <w:r w:rsidRPr="009D56B8">
              <w:rPr>
                <w:spacing w:val="-1"/>
                <w:position w:val="9"/>
                <w:sz w:val="14"/>
              </w:rPr>
              <w:t>b</w:t>
            </w:r>
          </w:p>
        </w:tc>
        <w:tc>
          <w:tcPr>
            <w:tcW w:w="3857" w:type="dxa"/>
            <w:gridSpan w:val="3"/>
          </w:tcPr>
          <w:p w14:paraId="765E1E90" w14:textId="77777777" w:rsidR="003E234B" w:rsidRPr="009D56B8" w:rsidRDefault="003E234B" w:rsidP="00B00825"/>
        </w:tc>
      </w:tr>
      <w:tr w:rsidR="009D56B8" w:rsidRPr="009D56B8" w14:paraId="3B18CD99" w14:textId="77777777" w:rsidTr="006E13A1">
        <w:trPr>
          <w:trHeight w:hRule="exact" w:val="264"/>
        </w:trPr>
        <w:tc>
          <w:tcPr>
            <w:tcW w:w="2550" w:type="dxa"/>
          </w:tcPr>
          <w:p w14:paraId="63AEAE90" w14:textId="77777777" w:rsidR="003E234B" w:rsidRPr="009D56B8" w:rsidRDefault="003E234B" w:rsidP="00B00825">
            <w:pPr>
              <w:pStyle w:val="TableParagraph"/>
              <w:spacing w:line="252" w:lineRule="exact"/>
              <w:ind w:left="0"/>
            </w:pPr>
            <w:r w:rsidRPr="009D56B8">
              <w:rPr>
                <w:spacing w:val="-1"/>
              </w:rPr>
              <w:t>Antall pasienter</w:t>
            </w:r>
          </w:p>
        </w:tc>
        <w:tc>
          <w:tcPr>
            <w:tcW w:w="964" w:type="dxa"/>
          </w:tcPr>
          <w:p w14:paraId="3F6BADAB" w14:textId="77777777" w:rsidR="003E234B" w:rsidRPr="009D56B8" w:rsidRDefault="003E234B" w:rsidP="00B00825">
            <w:pPr>
              <w:pStyle w:val="TableParagraph"/>
              <w:spacing w:line="252" w:lineRule="exact"/>
              <w:ind w:left="0"/>
            </w:pPr>
            <w:r w:rsidRPr="009D56B8">
              <w:t>165</w:t>
            </w:r>
          </w:p>
        </w:tc>
        <w:tc>
          <w:tcPr>
            <w:tcW w:w="1585" w:type="dxa"/>
          </w:tcPr>
          <w:p w14:paraId="20F24D6B" w14:textId="77777777" w:rsidR="003E234B" w:rsidRPr="009D56B8" w:rsidRDefault="003E234B" w:rsidP="00B00825">
            <w:pPr>
              <w:pStyle w:val="TableParagraph"/>
              <w:spacing w:line="252" w:lineRule="exact"/>
              <w:ind w:left="0"/>
            </w:pPr>
            <w:r w:rsidRPr="009D56B8">
              <w:t>152</w:t>
            </w:r>
          </w:p>
        </w:tc>
        <w:tc>
          <w:tcPr>
            <w:tcW w:w="964" w:type="dxa"/>
          </w:tcPr>
          <w:p w14:paraId="0A90C29D" w14:textId="77777777" w:rsidR="003E234B" w:rsidRPr="009D56B8" w:rsidRDefault="003E234B" w:rsidP="00B00825">
            <w:pPr>
              <w:pStyle w:val="TableParagraph"/>
              <w:spacing w:line="252" w:lineRule="exact"/>
              <w:ind w:left="0"/>
            </w:pPr>
            <w:r w:rsidRPr="009D56B8">
              <w:t>144</w:t>
            </w:r>
          </w:p>
        </w:tc>
        <w:tc>
          <w:tcPr>
            <w:tcW w:w="1616" w:type="dxa"/>
          </w:tcPr>
          <w:p w14:paraId="6E86B21C" w14:textId="77777777" w:rsidR="003E234B" w:rsidRPr="009D56B8" w:rsidRDefault="003E234B" w:rsidP="00B00825">
            <w:pPr>
              <w:pStyle w:val="TableParagraph"/>
              <w:spacing w:line="252" w:lineRule="exact"/>
              <w:ind w:left="0"/>
            </w:pPr>
            <w:r w:rsidRPr="009D56B8">
              <w:t>147</w:t>
            </w:r>
          </w:p>
        </w:tc>
        <w:tc>
          <w:tcPr>
            <w:tcW w:w="1277" w:type="dxa"/>
          </w:tcPr>
          <w:p w14:paraId="406BDB67" w14:textId="77777777" w:rsidR="003E234B" w:rsidRPr="009D56B8" w:rsidRDefault="003E234B" w:rsidP="00B00825">
            <w:pPr>
              <w:pStyle w:val="TableParagraph"/>
              <w:spacing w:line="252" w:lineRule="exact"/>
              <w:ind w:left="0"/>
            </w:pPr>
            <w:r w:rsidRPr="009D56B8">
              <w:t>161</w:t>
            </w:r>
          </w:p>
        </w:tc>
      </w:tr>
      <w:tr w:rsidR="009D56B8" w:rsidRPr="009D56B8" w14:paraId="0A990B47" w14:textId="77777777" w:rsidTr="006E13A1">
        <w:trPr>
          <w:trHeight w:hRule="exact" w:val="270"/>
        </w:trPr>
        <w:tc>
          <w:tcPr>
            <w:tcW w:w="2550" w:type="dxa"/>
            <w:vMerge w:val="restart"/>
          </w:tcPr>
          <w:p w14:paraId="3E49D369" w14:textId="77777777" w:rsidR="003E234B" w:rsidRPr="009D56B8" w:rsidRDefault="003E234B" w:rsidP="00513CD0">
            <w:pPr>
              <w:pStyle w:val="TableParagraph"/>
              <w:spacing w:line="240" w:lineRule="exact"/>
              <w:ind w:left="0"/>
              <w:rPr>
                <w:lang w:val="nb-NO"/>
              </w:rPr>
            </w:pPr>
            <w:r w:rsidRPr="009D56B8">
              <w:rPr>
                <w:spacing w:val="-1"/>
                <w:lang w:val="nb-NO"/>
              </w:rPr>
              <w:t>Gj.snittlig (median) antall nye eller nylig forstørrede T2-lesjoner i løpet av 2 år</w:t>
            </w:r>
          </w:p>
        </w:tc>
        <w:tc>
          <w:tcPr>
            <w:tcW w:w="964" w:type="dxa"/>
          </w:tcPr>
          <w:p w14:paraId="31404A9F" w14:textId="77777777" w:rsidR="003E234B" w:rsidRPr="009D56B8" w:rsidRDefault="003E234B" w:rsidP="00B00825">
            <w:pPr>
              <w:pStyle w:val="TableParagraph"/>
              <w:spacing w:line="252" w:lineRule="exact"/>
              <w:ind w:left="0"/>
            </w:pPr>
            <w:r w:rsidRPr="009D56B8">
              <w:t>16,5</w:t>
            </w:r>
          </w:p>
        </w:tc>
        <w:tc>
          <w:tcPr>
            <w:tcW w:w="1585" w:type="dxa"/>
          </w:tcPr>
          <w:p w14:paraId="0A7B89AF" w14:textId="77777777" w:rsidR="003E234B" w:rsidRPr="009D56B8" w:rsidRDefault="003E234B" w:rsidP="00B00825">
            <w:pPr>
              <w:pStyle w:val="TableParagraph"/>
              <w:spacing w:line="252" w:lineRule="exact"/>
              <w:ind w:left="0"/>
            </w:pPr>
            <w:r w:rsidRPr="009D56B8">
              <w:t>3,2</w:t>
            </w:r>
          </w:p>
        </w:tc>
        <w:tc>
          <w:tcPr>
            <w:tcW w:w="964" w:type="dxa"/>
          </w:tcPr>
          <w:p w14:paraId="405DC2D6" w14:textId="77777777" w:rsidR="003E234B" w:rsidRPr="009D56B8" w:rsidRDefault="003E234B" w:rsidP="00B00825">
            <w:pPr>
              <w:pStyle w:val="TableParagraph"/>
              <w:spacing w:line="252" w:lineRule="exact"/>
              <w:ind w:left="0"/>
            </w:pPr>
            <w:r w:rsidRPr="009D56B8">
              <w:t>19,9</w:t>
            </w:r>
          </w:p>
        </w:tc>
        <w:tc>
          <w:tcPr>
            <w:tcW w:w="1616" w:type="dxa"/>
          </w:tcPr>
          <w:p w14:paraId="6808516C" w14:textId="77777777" w:rsidR="003E234B" w:rsidRPr="009D56B8" w:rsidRDefault="003E234B" w:rsidP="00B00825">
            <w:pPr>
              <w:pStyle w:val="TableParagraph"/>
              <w:spacing w:line="252" w:lineRule="exact"/>
              <w:ind w:left="0"/>
            </w:pPr>
            <w:r w:rsidRPr="009D56B8">
              <w:t>5,7</w:t>
            </w:r>
          </w:p>
        </w:tc>
        <w:tc>
          <w:tcPr>
            <w:tcW w:w="1277" w:type="dxa"/>
          </w:tcPr>
          <w:p w14:paraId="22289997" w14:textId="77777777" w:rsidR="003E234B" w:rsidRPr="009D56B8" w:rsidRDefault="003E234B" w:rsidP="00B00825">
            <w:pPr>
              <w:pStyle w:val="TableParagraph"/>
              <w:spacing w:line="252" w:lineRule="exact"/>
              <w:ind w:left="0"/>
            </w:pPr>
            <w:r w:rsidRPr="009D56B8">
              <w:t>9,6</w:t>
            </w:r>
          </w:p>
        </w:tc>
      </w:tr>
      <w:tr w:rsidR="009D56B8" w:rsidRPr="009D56B8" w14:paraId="0605DAC0" w14:textId="77777777" w:rsidTr="006E13A1">
        <w:trPr>
          <w:trHeight w:val="487"/>
        </w:trPr>
        <w:tc>
          <w:tcPr>
            <w:tcW w:w="2550" w:type="dxa"/>
            <w:vMerge/>
          </w:tcPr>
          <w:p w14:paraId="2C5258F8" w14:textId="77777777" w:rsidR="003E234B" w:rsidRPr="009D56B8" w:rsidRDefault="003E234B" w:rsidP="00513CD0">
            <w:pPr>
              <w:pStyle w:val="TableParagraph"/>
              <w:spacing w:line="240" w:lineRule="exact"/>
              <w:ind w:left="0"/>
            </w:pPr>
          </w:p>
        </w:tc>
        <w:tc>
          <w:tcPr>
            <w:tcW w:w="964" w:type="dxa"/>
          </w:tcPr>
          <w:p w14:paraId="6E2BE214" w14:textId="77777777" w:rsidR="003E234B" w:rsidRPr="009D56B8" w:rsidRDefault="003E234B" w:rsidP="00B00825">
            <w:pPr>
              <w:pStyle w:val="TableParagraph"/>
              <w:spacing w:line="241" w:lineRule="exact"/>
              <w:ind w:left="0"/>
            </w:pPr>
            <w:r w:rsidRPr="009D56B8">
              <w:t>(7,0)</w:t>
            </w:r>
          </w:p>
        </w:tc>
        <w:tc>
          <w:tcPr>
            <w:tcW w:w="1585" w:type="dxa"/>
          </w:tcPr>
          <w:p w14:paraId="248D1E1E" w14:textId="77777777" w:rsidR="003E234B" w:rsidRPr="009D56B8" w:rsidRDefault="003E234B" w:rsidP="00B00825">
            <w:pPr>
              <w:pStyle w:val="TableParagraph"/>
              <w:spacing w:line="241" w:lineRule="exact"/>
              <w:ind w:left="0"/>
            </w:pPr>
            <w:r w:rsidRPr="009D56B8">
              <w:rPr>
                <w:spacing w:val="-1"/>
              </w:rPr>
              <w:t>(1,0)***</w:t>
            </w:r>
          </w:p>
        </w:tc>
        <w:tc>
          <w:tcPr>
            <w:tcW w:w="964" w:type="dxa"/>
          </w:tcPr>
          <w:p w14:paraId="54C91A52" w14:textId="77777777" w:rsidR="003E234B" w:rsidRPr="009D56B8" w:rsidRDefault="003E234B" w:rsidP="00B00825">
            <w:pPr>
              <w:pStyle w:val="TableParagraph"/>
              <w:spacing w:line="241" w:lineRule="exact"/>
              <w:ind w:left="0"/>
            </w:pPr>
            <w:r w:rsidRPr="009D56B8">
              <w:t>(11,0)</w:t>
            </w:r>
          </w:p>
        </w:tc>
        <w:tc>
          <w:tcPr>
            <w:tcW w:w="1616" w:type="dxa"/>
          </w:tcPr>
          <w:p w14:paraId="4203A92F" w14:textId="77777777" w:rsidR="003E234B" w:rsidRPr="009D56B8" w:rsidRDefault="003E234B" w:rsidP="00B00825">
            <w:pPr>
              <w:pStyle w:val="TableParagraph"/>
              <w:spacing w:line="241" w:lineRule="exact"/>
              <w:ind w:left="0"/>
            </w:pPr>
            <w:r w:rsidRPr="009D56B8">
              <w:rPr>
                <w:spacing w:val="-1"/>
              </w:rPr>
              <w:t>(2,0)***</w:t>
            </w:r>
          </w:p>
        </w:tc>
        <w:tc>
          <w:tcPr>
            <w:tcW w:w="1277" w:type="dxa"/>
          </w:tcPr>
          <w:p w14:paraId="217E5169" w14:textId="77777777" w:rsidR="003E234B" w:rsidRPr="009D56B8" w:rsidRDefault="003E234B" w:rsidP="00B00825">
            <w:pPr>
              <w:pStyle w:val="TableParagraph"/>
              <w:spacing w:line="241" w:lineRule="exact"/>
              <w:ind w:left="0"/>
            </w:pPr>
            <w:r w:rsidRPr="009D56B8">
              <w:rPr>
                <w:spacing w:val="-1"/>
              </w:rPr>
              <w:t>(3,0)***</w:t>
            </w:r>
          </w:p>
        </w:tc>
      </w:tr>
      <w:tr w:rsidR="009D56B8" w:rsidRPr="009D56B8" w14:paraId="5C4F29A0" w14:textId="77777777" w:rsidTr="006E13A1">
        <w:trPr>
          <w:trHeight w:hRule="exact" w:val="270"/>
        </w:trPr>
        <w:tc>
          <w:tcPr>
            <w:tcW w:w="2550" w:type="dxa"/>
            <w:vMerge w:val="restart"/>
          </w:tcPr>
          <w:p w14:paraId="29A5B4AB" w14:textId="77777777" w:rsidR="003E234B" w:rsidRPr="009D56B8" w:rsidRDefault="003E234B" w:rsidP="00513CD0">
            <w:pPr>
              <w:pStyle w:val="TableParagraph"/>
              <w:ind w:left="0"/>
              <w:jc w:val="center"/>
              <w:rPr>
                <w:lang w:val="nb-NO"/>
              </w:rPr>
            </w:pPr>
            <w:r w:rsidRPr="009D56B8">
              <w:rPr>
                <w:spacing w:val="-1"/>
                <w:lang w:val="nb-NO"/>
              </w:rPr>
              <w:t>Lesjoner, gj.snittlig forhold</w:t>
            </w:r>
          </w:p>
          <w:p w14:paraId="5510D172" w14:textId="77777777" w:rsidR="003E234B" w:rsidRPr="009D56B8" w:rsidRDefault="003E234B" w:rsidP="00513CD0">
            <w:pPr>
              <w:pStyle w:val="TableParagraph"/>
              <w:spacing w:line="240" w:lineRule="exact"/>
              <w:ind w:left="0"/>
              <w:jc w:val="center"/>
              <w:rPr>
                <w:lang w:val="nb-NO"/>
              </w:rPr>
            </w:pPr>
            <w:r w:rsidRPr="009D56B8">
              <w:rPr>
                <w:lang w:val="nb-NO"/>
              </w:rPr>
              <w:t>(95 %</w:t>
            </w:r>
            <w:r w:rsidRPr="009D56B8">
              <w:rPr>
                <w:spacing w:val="-9"/>
                <w:lang w:val="nb-NO"/>
              </w:rPr>
              <w:t xml:space="preserve"> </w:t>
            </w:r>
            <w:r w:rsidRPr="009D56B8">
              <w:rPr>
                <w:lang w:val="nb-NO"/>
              </w:rPr>
              <w:t>KI)</w:t>
            </w:r>
          </w:p>
        </w:tc>
        <w:tc>
          <w:tcPr>
            <w:tcW w:w="964" w:type="dxa"/>
            <w:vMerge w:val="restart"/>
          </w:tcPr>
          <w:p w14:paraId="013FEDA4" w14:textId="77777777" w:rsidR="003E234B" w:rsidRPr="009D56B8" w:rsidRDefault="003E234B" w:rsidP="00B00825">
            <w:pPr>
              <w:rPr>
                <w:lang w:val="nb-NO"/>
              </w:rPr>
            </w:pPr>
          </w:p>
        </w:tc>
        <w:tc>
          <w:tcPr>
            <w:tcW w:w="1585" w:type="dxa"/>
          </w:tcPr>
          <w:p w14:paraId="0C8C5D49" w14:textId="77777777" w:rsidR="003E234B" w:rsidRPr="009D56B8" w:rsidRDefault="003E234B" w:rsidP="00B00825">
            <w:pPr>
              <w:pStyle w:val="TableParagraph"/>
              <w:ind w:left="0"/>
            </w:pPr>
            <w:r w:rsidRPr="009D56B8">
              <w:t>0,15</w:t>
            </w:r>
          </w:p>
        </w:tc>
        <w:tc>
          <w:tcPr>
            <w:tcW w:w="964" w:type="dxa"/>
            <w:vMerge w:val="restart"/>
          </w:tcPr>
          <w:p w14:paraId="7FE36F8A" w14:textId="77777777" w:rsidR="003E234B" w:rsidRPr="009D56B8" w:rsidRDefault="003E234B" w:rsidP="00B00825"/>
        </w:tc>
        <w:tc>
          <w:tcPr>
            <w:tcW w:w="1616" w:type="dxa"/>
          </w:tcPr>
          <w:p w14:paraId="533B0B6A" w14:textId="77777777" w:rsidR="003E234B" w:rsidRPr="009D56B8" w:rsidRDefault="003E234B" w:rsidP="00B00825">
            <w:pPr>
              <w:pStyle w:val="TableParagraph"/>
              <w:ind w:left="0"/>
            </w:pPr>
            <w:r w:rsidRPr="009D56B8">
              <w:t>0,29</w:t>
            </w:r>
          </w:p>
        </w:tc>
        <w:tc>
          <w:tcPr>
            <w:tcW w:w="1277" w:type="dxa"/>
          </w:tcPr>
          <w:p w14:paraId="1B31B08F" w14:textId="77777777" w:rsidR="003E234B" w:rsidRPr="009D56B8" w:rsidRDefault="003E234B" w:rsidP="00B00825">
            <w:pPr>
              <w:pStyle w:val="TableParagraph"/>
              <w:ind w:left="0"/>
            </w:pPr>
            <w:r w:rsidRPr="009D56B8">
              <w:t>0,46</w:t>
            </w:r>
          </w:p>
        </w:tc>
      </w:tr>
      <w:tr w:rsidR="009D56B8" w:rsidRPr="009D56B8" w14:paraId="3660BCB7" w14:textId="77777777" w:rsidTr="006E13A1">
        <w:trPr>
          <w:trHeight w:hRule="exact" w:val="246"/>
        </w:trPr>
        <w:tc>
          <w:tcPr>
            <w:tcW w:w="2550" w:type="dxa"/>
            <w:vMerge/>
          </w:tcPr>
          <w:p w14:paraId="63FCCA7F" w14:textId="77777777" w:rsidR="003E234B" w:rsidRPr="009D56B8" w:rsidRDefault="003E234B" w:rsidP="00B00825">
            <w:pPr>
              <w:pStyle w:val="TableParagraph"/>
              <w:spacing w:line="240" w:lineRule="exact"/>
              <w:ind w:left="0"/>
            </w:pPr>
          </w:p>
        </w:tc>
        <w:tc>
          <w:tcPr>
            <w:tcW w:w="964" w:type="dxa"/>
            <w:vMerge/>
          </w:tcPr>
          <w:p w14:paraId="73F14F23" w14:textId="77777777" w:rsidR="003E234B" w:rsidRPr="009D56B8" w:rsidRDefault="003E234B" w:rsidP="00B00825"/>
        </w:tc>
        <w:tc>
          <w:tcPr>
            <w:tcW w:w="1585" w:type="dxa"/>
          </w:tcPr>
          <w:p w14:paraId="0B75EC3A" w14:textId="77777777" w:rsidR="003E234B" w:rsidRPr="009D56B8" w:rsidRDefault="003E234B" w:rsidP="00B00825">
            <w:pPr>
              <w:pStyle w:val="TableParagraph"/>
              <w:spacing w:line="240" w:lineRule="exact"/>
              <w:ind w:left="0"/>
            </w:pPr>
            <w:r w:rsidRPr="009D56B8">
              <w:t>(0,10,</w:t>
            </w:r>
            <w:r w:rsidRPr="009D56B8">
              <w:rPr>
                <w:spacing w:val="-11"/>
              </w:rPr>
              <w:t xml:space="preserve"> </w:t>
            </w:r>
            <w:r w:rsidRPr="009D56B8">
              <w:rPr>
                <w:spacing w:val="-1"/>
              </w:rPr>
              <w:t>0,23)</w:t>
            </w:r>
          </w:p>
        </w:tc>
        <w:tc>
          <w:tcPr>
            <w:tcW w:w="964" w:type="dxa"/>
            <w:vMerge/>
          </w:tcPr>
          <w:p w14:paraId="45F41FF2" w14:textId="77777777" w:rsidR="003E234B" w:rsidRPr="009D56B8" w:rsidRDefault="003E234B" w:rsidP="00B00825"/>
        </w:tc>
        <w:tc>
          <w:tcPr>
            <w:tcW w:w="1616" w:type="dxa"/>
          </w:tcPr>
          <w:p w14:paraId="417A6D91" w14:textId="77777777" w:rsidR="003E234B" w:rsidRPr="009D56B8" w:rsidRDefault="003E234B" w:rsidP="00B00825">
            <w:pPr>
              <w:pStyle w:val="TableParagraph"/>
              <w:spacing w:line="240" w:lineRule="exact"/>
              <w:ind w:left="0"/>
            </w:pPr>
            <w:r w:rsidRPr="009D56B8">
              <w:t>(0,21,</w:t>
            </w:r>
            <w:r w:rsidRPr="009D56B8">
              <w:rPr>
                <w:spacing w:val="-11"/>
              </w:rPr>
              <w:t xml:space="preserve"> </w:t>
            </w:r>
            <w:r w:rsidRPr="009D56B8">
              <w:rPr>
                <w:spacing w:val="-1"/>
              </w:rPr>
              <w:t>0,41)</w:t>
            </w:r>
          </w:p>
        </w:tc>
        <w:tc>
          <w:tcPr>
            <w:tcW w:w="1277" w:type="dxa"/>
          </w:tcPr>
          <w:p w14:paraId="10CA27AC" w14:textId="77777777" w:rsidR="003E234B" w:rsidRPr="009D56B8" w:rsidRDefault="003E234B" w:rsidP="00B00825">
            <w:pPr>
              <w:pStyle w:val="TableParagraph"/>
              <w:spacing w:line="240" w:lineRule="exact"/>
              <w:ind w:left="0"/>
            </w:pPr>
            <w:r w:rsidRPr="009D56B8">
              <w:t>(0,33,</w:t>
            </w:r>
            <w:r w:rsidRPr="009D56B8">
              <w:rPr>
                <w:spacing w:val="-11"/>
              </w:rPr>
              <w:t xml:space="preserve"> </w:t>
            </w:r>
            <w:r w:rsidRPr="009D56B8">
              <w:rPr>
                <w:spacing w:val="-1"/>
              </w:rPr>
              <w:t>0,63)</w:t>
            </w:r>
          </w:p>
        </w:tc>
      </w:tr>
      <w:tr w:rsidR="009D56B8" w:rsidRPr="009D56B8" w14:paraId="762EC035" w14:textId="77777777" w:rsidTr="006E13A1">
        <w:trPr>
          <w:trHeight w:hRule="exact" w:val="270"/>
        </w:trPr>
        <w:tc>
          <w:tcPr>
            <w:tcW w:w="2550" w:type="dxa"/>
            <w:vMerge w:val="restart"/>
          </w:tcPr>
          <w:p w14:paraId="38347A0B" w14:textId="77777777" w:rsidR="003E234B" w:rsidRPr="009D56B8" w:rsidRDefault="003E234B" w:rsidP="00513CD0">
            <w:pPr>
              <w:pStyle w:val="TableParagraph"/>
              <w:spacing w:line="240" w:lineRule="exact"/>
              <w:ind w:left="0"/>
              <w:rPr>
                <w:lang w:val="nb-NO"/>
              </w:rPr>
            </w:pPr>
            <w:r w:rsidRPr="009D56B8">
              <w:rPr>
                <w:spacing w:val="-1"/>
                <w:lang w:val="nb-NO"/>
              </w:rPr>
              <w:t>Gj.snittlig (median) antall Gd-lesjoner etter 2 år</w:t>
            </w:r>
          </w:p>
        </w:tc>
        <w:tc>
          <w:tcPr>
            <w:tcW w:w="964" w:type="dxa"/>
          </w:tcPr>
          <w:p w14:paraId="503ACF5D" w14:textId="77777777" w:rsidR="003E234B" w:rsidRPr="009D56B8" w:rsidRDefault="003E234B" w:rsidP="00B00825">
            <w:pPr>
              <w:pStyle w:val="TableParagraph"/>
              <w:ind w:left="0"/>
            </w:pPr>
            <w:r w:rsidRPr="009D56B8">
              <w:t>1,8</w:t>
            </w:r>
          </w:p>
        </w:tc>
        <w:tc>
          <w:tcPr>
            <w:tcW w:w="1585" w:type="dxa"/>
          </w:tcPr>
          <w:p w14:paraId="7B31F4AE" w14:textId="77777777" w:rsidR="003E234B" w:rsidRPr="009D56B8" w:rsidRDefault="003E234B" w:rsidP="00B00825">
            <w:pPr>
              <w:pStyle w:val="TableParagraph"/>
              <w:ind w:left="0"/>
            </w:pPr>
            <w:r w:rsidRPr="009D56B8">
              <w:t>0,1</w:t>
            </w:r>
          </w:p>
        </w:tc>
        <w:tc>
          <w:tcPr>
            <w:tcW w:w="964" w:type="dxa"/>
          </w:tcPr>
          <w:p w14:paraId="4684A581" w14:textId="77777777" w:rsidR="003E234B" w:rsidRPr="009D56B8" w:rsidRDefault="003E234B" w:rsidP="00B00825">
            <w:pPr>
              <w:pStyle w:val="TableParagraph"/>
              <w:ind w:left="0"/>
            </w:pPr>
            <w:r w:rsidRPr="009D56B8">
              <w:t>2,0</w:t>
            </w:r>
          </w:p>
        </w:tc>
        <w:tc>
          <w:tcPr>
            <w:tcW w:w="1616" w:type="dxa"/>
          </w:tcPr>
          <w:p w14:paraId="69CE2E16" w14:textId="77777777" w:rsidR="003E234B" w:rsidRPr="009D56B8" w:rsidRDefault="003E234B" w:rsidP="00B00825">
            <w:pPr>
              <w:pStyle w:val="TableParagraph"/>
              <w:ind w:left="0"/>
            </w:pPr>
            <w:r w:rsidRPr="009D56B8">
              <w:t>0,5</w:t>
            </w:r>
          </w:p>
        </w:tc>
        <w:tc>
          <w:tcPr>
            <w:tcW w:w="1277" w:type="dxa"/>
          </w:tcPr>
          <w:p w14:paraId="25CAF53C" w14:textId="77777777" w:rsidR="003E234B" w:rsidRPr="009D56B8" w:rsidRDefault="003E234B" w:rsidP="00B00825">
            <w:pPr>
              <w:pStyle w:val="TableParagraph"/>
              <w:ind w:left="0"/>
            </w:pPr>
            <w:r w:rsidRPr="009D56B8">
              <w:t>0,7</w:t>
            </w:r>
          </w:p>
        </w:tc>
      </w:tr>
      <w:tr w:rsidR="009D56B8" w:rsidRPr="009D56B8" w14:paraId="5DCCE236" w14:textId="77777777" w:rsidTr="006E13A1">
        <w:trPr>
          <w:trHeight w:hRule="exact" w:val="246"/>
        </w:trPr>
        <w:tc>
          <w:tcPr>
            <w:tcW w:w="2550" w:type="dxa"/>
            <w:vMerge/>
          </w:tcPr>
          <w:p w14:paraId="7A90A10B" w14:textId="77777777" w:rsidR="003E234B" w:rsidRPr="009D56B8" w:rsidRDefault="003E234B" w:rsidP="00B00825">
            <w:pPr>
              <w:pStyle w:val="TableParagraph"/>
              <w:spacing w:line="240" w:lineRule="exact"/>
              <w:ind w:left="0"/>
            </w:pPr>
          </w:p>
        </w:tc>
        <w:tc>
          <w:tcPr>
            <w:tcW w:w="964" w:type="dxa"/>
          </w:tcPr>
          <w:p w14:paraId="197F2380" w14:textId="77777777" w:rsidR="003E234B" w:rsidRPr="009D56B8" w:rsidRDefault="003E234B" w:rsidP="00B00825">
            <w:pPr>
              <w:pStyle w:val="TableParagraph"/>
              <w:spacing w:line="240" w:lineRule="exact"/>
              <w:ind w:left="0"/>
            </w:pPr>
            <w:r w:rsidRPr="009D56B8">
              <w:t>(0)</w:t>
            </w:r>
          </w:p>
        </w:tc>
        <w:tc>
          <w:tcPr>
            <w:tcW w:w="1585" w:type="dxa"/>
          </w:tcPr>
          <w:p w14:paraId="3D81ACC2" w14:textId="77777777" w:rsidR="003E234B" w:rsidRPr="009D56B8" w:rsidRDefault="003E234B" w:rsidP="00B00825">
            <w:pPr>
              <w:pStyle w:val="TableParagraph"/>
              <w:spacing w:line="240" w:lineRule="exact"/>
              <w:ind w:left="0"/>
            </w:pPr>
            <w:r w:rsidRPr="009D56B8">
              <w:t>(0)***</w:t>
            </w:r>
          </w:p>
        </w:tc>
        <w:tc>
          <w:tcPr>
            <w:tcW w:w="964" w:type="dxa"/>
          </w:tcPr>
          <w:p w14:paraId="32CD5E5A" w14:textId="77777777" w:rsidR="003E234B" w:rsidRPr="009D56B8" w:rsidRDefault="003E234B" w:rsidP="00B00825">
            <w:pPr>
              <w:pStyle w:val="TableParagraph"/>
              <w:spacing w:line="240" w:lineRule="exact"/>
              <w:ind w:left="0"/>
            </w:pPr>
            <w:r w:rsidRPr="009D56B8">
              <w:t>(0,0)</w:t>
            </w:r>
          </w:p>
        </w:tc>
        <w:tc>
          <w:tcPr>
            <w:tcW w:w="1616" w:type="dxa"/>
          </w:tcPr>
          <w:p w14:paraId="0BA96E4D" w14:textId="77777777" w:rsidR="003E234B" w:rsidRPr="009D56B8" w:rsidRDefault="003E234B" w:rsidP="00B00825">
            <w:pPr>
              <w:pStyle w:val="TableParagraph"/>
              <w:spacing w:line="240" w:lineRule="exact"/>
              <w:ind w:left="0"/>
            </w:pPr>
            <w:r w:rsidRPr="009D56B8">
              <w:rPr>
                <w:spacing w:val="-1"/>
              </w:rPr>
              <w:t>(0,0)***</w:t>
            </w:r>
          </w:p>
        </w:tc>
        <w:tc>
          <w:tcPr>
            <w:tcW w:w="1277" w:type="dxa"/>
          </w:tcPr>
          <w:p w14:paraId="7DF93E03" w14:textId="77777777" w:rsidR="003E234B" w:rsidRPr="009D56B8" w:rsidRDefault="003E234B" w:rsidP="00B00825">
            <w:pPr>
              <w:pStyle w:val="TableParagraph"/>
              <w:spacing w:line="240" w:lineRule="exact"/>
              <w:ind w:left="0"/>
            </w:pPr>
            <w:r w:rsidRPr="009D56B8">
              <w:t>(0,0)**</w:t>
            </w:r>
          </w:p>
        </w:tc>
      </w:tr>
      <w:tr w:rsidR="009D56B8" w:rsidRPr="009D56B8" w14:paraId="19F65AC2" w14:textId="77777777" w:rsidTr="006E13A1">
        <w:trPr>
          <w:trHeight w:hRule="exact" w:val="270"/>
        </w:trPr>
        <w:tc>
          <w:tcPr>
            <w:tcW w:w="2550" w:type="dxa"/>
          </w:tcPr>
          <w:p w14:paraId="180F2BD4" w14:textId="77777777" w:rsidR="003E234B" w:rsidRPr="009D56B8" w:rsidRDefault="003E234B" w:rsidP="00513CD0">
            <w:pPr>
              <w:pStyle w:val="TableParagraph"/>
              <w:spacing w:line="252" w:lineRule="exact"/>
              <w:ind w:left="0"/>
              <w:jc w:val="center"/>
            </w:pPr>
            <w:r w:rsidRPr="009D56B8">
              <w:rPr>
                <w:spacing w:val="-1"/>
              </w:rPr>
              <w:t>Odds</w:t>
            </w:r>
            <w:r w:rsidRPr="009D56B8">
              <w:rPr>
                <w:spacing w:val="-10"/>
              </w:rPr>
              <w:t xml:space="preserve"> </w:t>
            </w:r>
            <w:r w:rsidRPr="009D56B8">
              <w:rPr>
                <w:spacing w:val="-1"/>
              </w:rPr>
              <w:t>ratio</w:t>
            </w:r>
          </w:p>
        </w:tc>
        <w:tc>
          <w:tcPr>
            <w:tcW w:w="964" w:type="dxa"/>
            <w:vMerge w:val="restart"/>
          </w:tcPr>
          <w:p w14:paraId="1911214F" w14:textId="77777777" w:rsidR="003E234B" w:rsidRPr="009D56B8" w:rsidRDefault="003E234B" w:rsidP="00B00825"/>
        </w:tc>
        <w:tc>
          <w:tcPr>
            <w:tcW w:w="1585" w:type="dxa"/>
          </w:tcPr>
          <w:p w14:paraId="41379D81" w14:textId="77777777" w:rsidR="003E234B" w:rsidRPr="009D56B8" w:rsidRDefault="003E234B" w:rsidP="00B00825">
            <w:pPr>
              <w:pStyle w:val="TableParagraph"/>
              <w:spacing w:line="252" w:lineRule="exact"/>
              <w:ind w:left="0"/>
            </w:pPr>
            <w:r w:rsidRPr="009D56B8">
              <w:t>0,10</w:t>
            </w:r>
          </w:p>
        </w:tc>
        <w:tc>
          <w:tcPr>
            <w:tcW w:w="964" w:type="dxa"/>
            <w:vMerge w:val="restart"/>
          </w:tcPr>
          <w:p w14:paraId="0DA2347C" w14:textId="77777777" w:rsidR="003E234B" w:rsidRPr="009D56B8" w:rsidRDefault="003E234B" w:rsidP="00B00825"/>
        </w:tc>
        <w:tc>
          <w:tcPr>
            <w:tcW w:w="1616" w:type="dxa"/>
          </w:tcPr>
          <w:p w14:paraId="22C42BA0" w14:textId="77777777" w:rsidR="003E234B" w:rsidRPr="009D56B8" w:rsidRDefault="003E234B" w:rsidP="00B00825">
            <w:pPr>
              <w:pStyle w:val="TableParagraph"/>
              <w:spacing w:line="252" w:lineRule="exact"/>
              <w:ind w:left="0"/>
            </w:pPr>
            <w:r w:rsidRPr="009D56B8">
              <w:t>0,26</w:t>
            </w:r>
          </w:p>
        </w:tc>
        <w:tc>
          <w:tcPr>
            <w:tcW w:w="1277" w:type="dxa"/>
          </w:tcPr>
          <w:p w14:paraId="5ACA63E7" w14:textId="77777777" w:rsidR="003E234B" w:rsidRPr="009D56B8" w:rsidRDefault="003E234B" w:rsidP="00B00825">
            <w:pPr>
              <w:pStyle w:val="TableParagraph"/>
              <w:spacing w:line="252" w:lineRule="exact"/>
              <w:ind w:left="0"/>
            </w:pPr>
            <w:r w:rsidRPr="009D56B8">
              <w:t>0,39</w:t>
            </w:r>
          </w:p>
        </w:tc>
      </w:tr>
      <w:tr w:rsidR="009D56B8" w:rsidRPr="009D56B8" w14:paraId="4FA0C15A" w14:textId="77777777" w:rsidTr="006E13A1">
        <w:trPr>
          <w:trHeight w:hRule="exact" w:val="248"/>
        </w:trPr>
        <w:tc>
          <w:tcPr>
            <w:tcW w:w="2550" w:type="dxa"/>
          </w:tcPr>
          <w:p w14:paraId="19A907C9" w14:textId="77777777" w:rsidR="003E234B" w:rsidRPr="009D56B8" w:rsidRDefault="003E234B" w:rsidP="00513CD0">
            <w:pPr>
              <w:pStyle w:val="TableParagraph"/>
              <w:spacing w:line="241" w:lineRule="exact"/>
              <w:ind w:left="0"/>
              <w:jc w:val="center"/>
            </w:pPr>
            <w:r w:rsidRPr="009D56B8">
              <w:t>(95 %</w:t>
            </w:r>
            <w:r w:rsidRPr="009D56B8">
              <w:rPr>
                <w:spacing w:val="-9"/>
              </w:rPr>
              <w:t xml:space="preserve"> </w:t>
            </w:r>
            <w:r w:rsidRPr="009D56B8">
              <w:t>KI)</w:t>
            </w:r>
          </w:p>
        </w:tc>
        <w:tc>
          <w:tcPr>
            <w:tcW w:w="964" w:type="dxa"/>
            <w:vMerge/>
          </w:tcPr>
          <w:p w14:paraId="049C79AC" w14:textId="77777777" w:rsidR="003E234B" w:rsidRPr="009D56B8" w:rsidRDefault="003E234B" w:rsidP="00B00825"/>
        </w:tc>
        <w:tc>
          <w:tcPr>
            <w:tcW w:w="1585" w:type="dxa"/>
          </w:tcPr>
          <w:p w14:paraId="01F47230" w14:textId="77777777" w:rsidR="003E234B" w:rsidRPr="009D56B8" w:rsidRDefault="003E234B" w:rsidP="00B00825">
            <w:pPr>
              <w:pStyle w:val="TableParagraph"/>
              <w:spacing w:line="241" w:lineRule="exact"/>
              <w:ind w:left="0"/>
            </w:pPr>
            <w:r w:rsidRPr="009D56B8">
              <w:t>(0,05,</w:t>
            </w:r>
            <w:r w:rsidRPr="009D56B8">
              <w:rPr>
                <w:spacing w:val="-11"/>
              </w:rPr>
              <w:t xml:space="preserve"> </w:t>
            </w:r>
            <w:r w:rsidRPr="009D56B8">
              <w:rPr>
                <w:spacing w:val="-1"/>
              </w:rPr>
              <w:t>0,22)</w:t>
            </w:r>
          </w:p>
        </w:tc>
        <w:tc>
          <w:tcPr>
            <w:tcW w:w="964" w:type="dxa"/>
            <w:vMerge/>
          </w:tcPr>
          <w:p w14:paraId="19CD3F7B" w14:textId="77777777" w:rsidR="003E234B" w:rsidRPr="009D56B8" w:rsidRDefault="003E234B" w:rsidP="00B00825"/>
        </w:tc>
        <w:tc>
          <w:tcPr>
            <w:tcW w:w="1616" w:type="dxa"/>
          </w:tcPr>
          <w:p w14:paraId="72091352" w14:textId="77777777" w:rsidR="003E234B" w:rsidRPr="009D56B8" w:rsidRDefault="003E234B" w:rsidP="00B00825">
            <w:pPr>
              <w:pStyle w:val="TableParagraph"/>
              <w:spacing w:line="241" w:lineRule="exact"/>
              <w:ind w:left="0"/>
            </w:pPr>
            <w:r w:rsidRPr="009D56B8">
              <w:t>(0,15,</w:t>
            </w:r>
            <w:r w:rsidRPr="009D56B8">
              <w:rPr>
                <w:spacing w:val="-11"/>
              </w:rPr>
              <w:t xml:space="preserve"> </w:t>
            </w:r>
            <w:r w:rsidRPr="009D56B8">
              <w:rPr>
                <w:spacing w:val="-1"/>
              </w:rPr>
              <w:t>0,46)</w:t>
            </w:r>
          </w:p>
        </w:tc>
        <w:tc>
          <w:tcPr>
            <w:tcW w:w="1277" w:type="dxa"/>
          </w:tcPr>
          <w:p w14:paraId="61372620" w14:textId="77777777" w:rsidR="003E234B" w:rsidRPr="009D56B8" w:rsidRDefault="003E234B" w:rsidP="00B00825">
            <w:pPr>
              <w:pStyle w:val="TableParagraph"/>
              <w:spacing w:line="241" w:lineRule="exact"/>
              <w:ind w:left="0"/>
            </w:pPr>
            <w:r w:rsidRPr="009D56B8">
              <w:t>(0,24,</w:t>
            </w:r>
            <w:r w:rsidRPr="009D56B8">
              <w:rPr>
                <w:spacing w:val="-11"/>
              </w:rPr>
              <w:t xml:space="preserve"> </w:t>
            </w:r>
            <w:r w:rsidRPr="009D56B8">
              <w:rPr>
                <w:spacing w:val="-1"/>
              </w:rPr>
              <w:t>0,65)</w:t>
            </w:r>
          </w:p>
        </w:tc>
      </w:tr>
      <w:tr w:rsidR="009D56B8" w:rsidRPr="009D56B8" w14:paraId="3D86ECB2" w14:textId="77777777" w:rsidTr="006E13A1">
        <w:trPr>
          <w:trHeight w:hRule="exact" w:val="270"/>
        </w:trPr>
        <w:tc>
          <w:tcPr>
            <w:tcW w:w="2550" w:type="dxa"/>
            <w:vMerge w:val="restart"/>
          </w:tcPr>
          <w:p w14:paraId="76FB4FE5" w14:textId="77777777" w:rsidR="003E234B" w:rsidRPr="009D56B8" w:rsidRDefault="003E234B" w:rsidP="00513CD0">
            <w:pPr>
              <w:pStyle w:val="TableParagraph"/>
              <w:spacing w:line="240" w:lineRule="exact"/>
              <w:ind w:left="0"/>
              <w:rPr>
                <w:lang w:val="nb-NO"/>
              </w:rPr>
            </w:pPr>
            <w:r w:rsidRPr="009D56B8">
              <w:rPr>
                <w:spacing w:val="-1"/>
                <w:lang w:val="nb-NO"/>
              </w:rPr>
              <w:t>Gj.snittlig (median) antall nye T1 hypointense lesjoner i løpet av 2 år</w:t>
            </w:r>
          </w:p>
        </w:tc>
        <w:tc>
          <w:tcPr>
            <w:tcW w:w="964" w:type="dxa"/>
          </w:tcPr>
          <w:p w14:paraId="223506F2" w14:textId="77777777" w:rsidR="003E234B" w:rsidRPr="009D56B8" w:rsidRDefault="003E234B" w:rsidP="00B00825">
            <w:pPr>
              <w:pStyle w:val="TableParagraph"/>
              <w:spacing w:line="252" w:lineRule="exact"/>
              <w:ind w:left="0"/>
            </w:pPr>
            <w:r w:rsidRPr="009D56B8">
              <w:t>5,7</w:t>
            </w:r>
          </w:p>
        </w:tc>
        <w:tc>
          <w:tcPr>
            <w:tcW w:w="1585" w:type="dxa"/>
          </w:tcPr>
          <w:p w14:paraId="6758240A" w14:textId="77777777" w:rsidR="003E234B" w:rsidRPr="009D56B8" w:rsidRDefault="003E234B" w:rsidP="00B00825">
            <w:pPr>
              <w:pStyle w:val="TableParagraph"/>
              <w:spacing w:line="252" w:lineRule="exact"/>
              <w:ind w:left="0"/>
            </w:pPr>
            <w:r w:rsidRPr="009D56B8">
              <w:t>2,0</w:t>
            </w:r>
          </w:p>
        </w:tc>
        <w:tc>
          <w:tcPr>
            <w:tcW w:w="964" w:type="dxa"/>
          </w:tcPr>
          <w:p w14:paraId="3B6B8154" w14:textId="77777777" w:rsidR="003E234B" w:rsidRPr="009D56B8" w:rsidRDefault="003E234B" w:rsidP="00B00825">
            <w:pPr>
              <w:pStyle w:val="TableParagraph"/>
              <w:spacing w:line="252" w:lineRule="exact"/>
              <w:ind w:left="0"/>
            </w:pPr>
            <w:r w:rsidRPr="009D56B8">
              <w:t>8,1</w:t>
            </w:r>
          </w:p>
        </w:tc>
        <w:tc>
          <w:tcPr>
            <w:tcW w:w="1616" w:type="dxa"/>
          </w:tcPr>
          <w:p w14:paraId="264D4A5C" w14:textId="77777777" w:rsidR="003E234B" w:rsidRPr="009D56B8" w:rsidRDefault="003E234B" w:rsidP="00B00825">
            <w:pPr>
              <w:pStyle w:val="TableParagraph"/>
              <w:spacing w:line="252" w:lineRule="exact"/>
              <w:ind w:left="0"/>
            </w:pPr>
            <w:r w:rsidRPr="009D56B8">
              <w:t>3,8</w:t>
            </w:r>
          </w:p>
        </w:tc>
        <w:tc>
          <w:tcPr>
            <w:tcW w:w="1277" w:type="dxa"/>
          </w:tcPr>
          <w:p w14:paraId="7E2A72E6" w14:textId="77777777" w:rsidR="003E234B" w:rsidRPr="009D56B8" w:rsidRDefault="003E234B" w:rsidP="00B00825">
            <w:pPr>
              <w:pStyle w:val="TableParagraph"/>
              <w:spacing w:line="252" w:lineRule="exact"/>
              <w:ind w:left="0"/>
            </w:pPr>
            <w:r w:rsidRPr="009D56B8">
              <w:t>4,5</w:t>
            </w:r>
          </w:p>
        </w:tc>
      </w:tr>
      <w:tr w:rsidR="009D56B8" w:rsidRPr="009D56B8" w14:paraId="42B0EF3F" w14:textId="77777777" w:rsidTr="006E13A1">
        <w:trPr>
          <w:trHeight w:val="487"/>
        </w:trPr>
        <w:tc>
          <w:tcPr>
            <w:tcW w:w="2550" w:type="dxa"/>
            <w:vMerge/>
          </w:tcPr>
          <w:p w14:paraId="7C334E57" w14:textId="77777777" w:rsidR="003E234B" w:rsidRPr="009D56B8" w:rsidRDefault="003E234B" w:rsidP="00513CD0">
            <w:pPr>
              <w:pStyle w:val="TableParagraph"/>
              <w:spacing w:line="240" w:lineRule="exact"/>
              <w:ind w:left="0"/>
            </w:pPr>
          </w:p>
        </w:tc>
        <w:tc>
          <w:tcPr>
            <w:tcW w:w="964" w:type="dxa"/>
          </w:tcPr>
          <w:p w14:paraId="57514C1A" w14:textId="77777777" w:rsidR="003E234B" w:rsidRPr="009D56B8" w:rsidRDefault="003E234B" w:rsidP="00B00825">
            <w:pPr>
              <w:pStyle w:val="TableParagraph"/>
              <w:spacing w:line="241" w:lineRule="exact"/>
              <w:ind w:left="0"/>
            </w:pPr>
            <w:r w:rsidRPr="009D56B8">
              <w:t>(2,0)</w:t>
            </w:r>
          </w:p>
        </w:tc>
        <w:tc>
          <w:tcPr>
            <w:tcW w:w="1585" w:type="dxa"/>
          </w:tcPr>
          <w:p w14:paraId="64E15BE2" w14:textId="77777777" w:rsidR="003E234B" w:rsidRPr="009D56B8" w:rsidRDefault="003E234B" w:rsidP="00B00825">
            <w:pPr>
              <w:pStyle w:val="TableParagraph"/>
              <w:spacing w:line="241" w:lineRule="exact"/>
              <w:ind w:left="0"/>
            </w:pPr>
            <w:r w:rsidRPr="009D56B8">
              <w:rPr>
                <w:spacing w:val="-1"/>
              </w:rPr>
              <w:t>(1,0)***</w:t>
            </w:r>
          </w:p>
        </w:tc>
        <w:tc>
          <w:tcPr>
            <w:tcW w:w="964" w:type="dxa"/>
          </w:tcPr>
          <w:p w14:paraId="348ED028" w14:textId="77777777" w:rsidR="003E234B" w:rsidRPr="009D56B8" w:rsidRDefault="003E234B" w:rsidP="00B00825">
            <w:pPr>
              <w:pStyle w:val="TableParagraph"/>
              <w:spacing w:line="241" w:lineRule="exact"/>
              <w:ind w:left="0"/>
            </w:pPr>
            <w:r w:rsidRPr="009D56B8">
              <w:t>(4,0)</w:t>
            </w:r>
          </w:p>
        </w:tc>
        <w:tc>
          <w:tcPr>
            <w:tcW w:w="1616" w:type="dxa"/>
          </w:tcPr>
          <w:p w14:paraId="65D46D50" w14:textId="77777777" w:rsidR="003E234B" w:rsidRPr="009D56B8" w:rsidRDefault="003E234B" w:rsidP="00B00825">
            <w:pPr>
              <w:pStyle w:val="TableParagraph"/>
              <w:spacing w:line="241" w:lineRule="exact"/>
              <w:ind w:left="0"/>
            </w:pPr>
            <w:r w:rsidRPr="009D56B8">
              <w:rPr>
                <w:spacing w:val="-1"/>
              </w:rPr>
              <w:t>(1,0)***</w:t>
            </w:r>
          </w:p>
        </w:tc>
        <w:tc>
          <w:tcPr>
            <w:tcW w:w="1277" w:type="dxa"/>
          </w:tcPr>
          <w:p w14:paraId="21728DA6" w14:textId="77777777" w:rsidR="003E234B" w:rsidRPr="009D56B8" w:rsidRDefault="003E234B" w:rsidP="00B00825">
            <w:pPr>
              <w:pStyle w:val="TableParagraph"/>
              <w:spacing w:line="241" w:lineRule="exact"/>
              <w:ind w:left="0"/>
            </w:pPr>
            <w:r w:rsidRPr="009D56B8">
              <w:t>(2,0)**</w:t>
            </w:r>
          </w:p>
        </w:tc>
      </w:tr>
      <w:tr w:rsidR="009D56B8" w:rsidRPr="009D56B8" w14:paraId="3AD51635" w14:textId="77777777" w:rsidTr="006E13A1">
        <w:trPr>
          <w:trHeight w:hRule="exact" w:val="270"/>
        </w:trPr>
        <w:tc>
          <w:tcPr>
            <w:tcW w:w="2550" w:type="dxa"/>
          </w:tcPr>
          <w:p w14:paraId="18D72AD7" w14:textId="77777777" w:rsidR="003E234B" w:rsidRPr="009D56B8" w:rsidRDefault="003E234B" w:rsidP="00513CD0">
            <w:pPr>
              <w:pStyle w:val="TableParagraph"/>
              <w:spacing w:line="252" w:lineRule="exact"/>
              <w:ind w:left="0"/>
              <w:jc w:val="center"/>
              <w:rPr>
                <w:lang w:val="nb-NO"/>
              </w:rPr>
            </w:pPr>
            <w:r w:rsidRPr="009D56B8">
              <w:rPr>
                <w:spacing w:val="-1"/>
                <w:lang w:val="nb-NO"/>
              </w:rPr>
              <w:t>Lesjoner, gj.snittlig forhold</w:t>
            </w:r>
            <w:r w:rsidRPr="009D56B8">
              <w:rPr>
                <w:spacing w:val="-8"/>
                <w:lang w:val="nb-NO"/>
              </w:rPr>
              <w:t xml:space="preserve"> </w:t>
            </w:r>
            <w:r w:rsidRPr="009D56B8">
              <w:rPr>
                <w:spacing w:val="-1"/>
                <w:lang w:val="nb-NO"/>
              </w:rPr>
              <w:t>mean</w:t>
            </w:r>
            <w:r w:rsidRPr="009D56B8">
              <w:rPr>
                <w:spacing w:val="-5"/>
                <w:lang w:val="nb-NO"/>
              </w:rPr>
              <w:t xml:space="preserve"> </w:t>
            </w:r>
            <w:r w:rsidRPr="009D56B8">
              <w:rPr>
                <w:spacing w:val="-1"/>
                <w:lang w:val="nb-NO"/>
              </w:rPr>
              <w:t>ratio</w:t>
            </w:r>
          </w:p>
        </w:tc>
        <w:tc>
          <w:tcPr>
            <w:tcW w:w="964" w:type="dxa"/>
            <w:vMerge w:val="restart"/>
          </w:tcPr>
          <w:p w14:paraId="1193439D" w14:textId="77777777" w:rsidR="003E234B" w:rsidRPr="009D56B8" w:rsidRDefault="003E234B" w:rsidP="00B00825">
            <w:pPr>
              <w:rPr>
                <w:lang w:val="nb-NO"/>
              </w:rPr>
            </w:pPr>
          </w:p>
        </w:tc>
        <w:tc>
          <w:tcPr>
            <w:tcW w:w="1585" w:type="dxa"/>
          </w:tcPr>
          <w:p w14:paraId="599598C7" w14:textId="77777777" w:rsidR="003E234B" w:rsidRPr="009D56B8" w:rsidRDefault="003E234B" w:rsidP="00B00825">
            <w:pPr>
              <w:pStyle w:val="TableParagraph"/>
              <w:spacing w:line="252" w:lineRule="exact"/>
              <w:ind w:left="0"/>
            </w:pPr>
            <w:r w:rsidRPr="009D56B8">
              <w:t>0,28</w:t>
            </w:r>
          </w:p>
        </w:tc>
        <w:tc>
          <w:tcPr>
            <w:tcW w:w="964" w:type="dxa"/>
            <w:vMerge w:val="restart"/>
          </w:tcPr>
          <w:p w14:paraId="5B12F3B7" w14:textId="77777777" w:rsidR="003E234B" w:rsidRPr="009D56B8" w:rsidRDefault="003E234B" w:rsidP="00B00825"/>
        </w:tc>
        <w:tc>
          <w:tcPr>
            <w:tcW w:w="1616" w:type="dxa"/>
          </w:tcPr>
          <w:p w14:paraId="011CA321" w14:textId="77777777" w:rsidR="003E234B" w:rsidRPr="009D56B8" w:rsidRDefault="003E234B" w:rsidP="00B00825">
            <w:pPr>
              <w:pStyle w:val="TableParagraph"/>
              <w:spacing w:line="252" w:lineRule="exact"/>
              <w:ind w:left="0"/>
            </w:pPr>
            <w:r w:rsidRPr="009D56B8">
              <w:t>0,43</w:t>
            </w:r>
          </w:p>
        </w:tc>
        <w:tc>
          <w:tcPr>
            <w:tcW w:w="1277" w:type="dxa"/>
          </w:tcPr>
          <w:p w14:paraId="42AACED4" w14:textId="77777777" w:rsidR="003E234B" w:rsidRPr="009D56B8" w:rsidRDefault="003E234B" w:rsidP="00B00825">
            <w:pPr>
              <w:pStyle w:val="TableParagraph"/>
              <w:spacing w:line="252" w:lineRule="exact"/>
              <w:ind w:left="0"/>
            </w:pPr>
            <w:r w:rsidRPr="009D56B8">
              <w:t>0,59</w:t>
            </w:r>
          </w:p>
        </w:tc>
      </w:tr>
      <w:tr w:rsidR="009D56B8" w:rsidRPr="009D56B8" w14:paraId="534EA128" w14:textId="77777777" w:rsidTr="006E13A1">
        <w:trPr>
          <w:trHeight w:hRule="exact" w:val="246"/>
        </w:trPr>
        <w:tc>
          <w:tcPr>
            <w:tcW w:w="2550" w:type="dxa"/>
          </w:tcPr>
          <w:p w14:paraId="3C7944AC" w14:textId="77777777" w:rsidR="003E234B" w:rsidRPr="009D56B8" w:rsidRDefault="003E234B" w:rsidP="00513CD0">
            <w:pPr>
              <w:pStyle w:val="TableParagraph"/>
              <w:spacing w:line="241" w:lineRule="exact"/>
              <w:ind w:left="0"/>
              <w:jc w:val="center"/>
            </w:pPr>
            <w:r w:rsidRPr="009D56B8">
              <w:t>(95 %</w:t>
            </w:r>
            <w:r w:rsidRPr="009D56B8">
              <w:rPr>
                <w:spacing w:val="-9"/>
              </w:rPr>
              <w:t xml:space="preserve"> </w:t>
            </w:r>
            <w:r w:rsidRPr="009D56B8">
              <w:t>KI)</w:t>
            </w:r>
          </w:p>
        </w:tc>
        <w:tc>
          <w:tcPr>
            <w:tcW w:w="964" w:type="dxa"/>
            <w:vMerge/>
          </w:tcPr>
          <w:p w14:paraId="134C493D" w14:textId="77777777" w:rsidR="003E234B" w:rsidRPr="009D56B8" w:rsidRDefault="003E234B" w:rsidP="00B00825"/>
        </w:tc>
        <w:tc>
          <w:tcPr>
            <w:tcW w:w="1585" w:type="dxa"/>
          </w:tcPr>
          <w:p w14:paraId="70A258F6" w14:textId="77777777" w:rsidR="003E234B" w:rsidRPr="009D56B8" w:rsidRDefault="003E234B" w:rsidP="00B00825">
            <w:pPr>
              <w:pStyle w:val="TableParagraph"/>
              <w:spacing w:line="241" w:lineRule="exact"/>
              <w:ind w:left="0"/>
            </w:pPr>
            <w:r w:rsidRPr="009D56B8">
              <w:t>(0,20,</w:t>
            </w:r>
            <w:r w:rsidRPr="009D56B8">
              <w:rPr>
                <w:spacing w:val="-11"/>
              </w:rPr>
              <w:t xml:space="preserve"> </w:t>
            </w:r>
            <w:r w:rsidRPr="009D56B8">
              <w:rPr>
                <w:spacing w:val="-1"/>
              </w:rPr>
              <w:t>0,39)</w:t>
            </w:r>
          </w:p>
        </w:tc>
        <w:tc>
          <w:tcPr>
            <w:tcW w:w="964" w:type="dxa"/>
            <w:vMerge/>
          </w:tcPr>
          <w:p w14:paraId="1F3BD13A" w14:textId="77777777" w:rsidR="003E234B" w:rsidRPr="009D56B8" w:rsidRDefault="003E234B" w:rsidP="00B00825"/>
        </w:tc>
        <w:tc>
          <w:tcPr>
            <w:tcW w:w="1616" w:type="dxa"/>
          </w:tcPr>
          <w:p w14:paraId="54D65B49" w14:textId="77777777" w:rsidR="003E234B" w:rsidRPr="009D56B8" w:rsidRDefault="003E234B" w:rsidP="00B00825">
            <w:pPr>
              <w:pStyle w:val="TableParagraph"/>
              <w:spacing w:line="241" w:lineRule="exact"/>
              <w:ind w:left="0"/>
            </w:pPr>
            <w:r w:rsidRPr="009D56B8">
              <w:t>(0,30,</w:t>
            </w:r>
            <w:r w:rsidRPr="009D56B8">
              <w:rPr>
                <w:spacing w:val="-11"/>
              </w:rPr>
              <w:t xml:space="preserve"> </w:t>
            </w:r>
            <w:r w:rsidRPr="009D56B8">
              <w:rPr>
                <w:spacing w:val="-1"/>
              </w:rPr>
              <w:t>0,61)</w:t>
            </w:r>
          </w:p>
        </w:tc>
        <w:tc>
          <w:tcPr>
            <w:tcW w:w="1277" w:type="dxa"/>
          </w:tcPr>
          <w:p w14:paraId="3E78E8B8" w14:textId="77777777" w:rsidR="003E234B" w:rsidRPr="009D56B8" w:rsidRDefault="003E234B" w:rsidP="00B00825">
            <w:pPr>
              <w:pStyle w:val="TableParagraph"/>
              <w:spacing w:line="241" w:lineRule="exact"/>
              <w:ind w:left="0"/>
            </w:pPr>
            <w:r w:rsidRPr="009D56B8">
              <w:t>(0,42,</w:t>
            </w:r>
            <w:r w:rsidRPr="009D56B8">
              <w:rPr>
                <w:spacing w:val="-11"/>
              </w:rPr>
              <w:t xml:space="preserve"> </w:t>
            </w:r>
            <w:r w:rsidRPr="009D56B8">
              <w:rPr>
                <w:spacing w:val="-1"/>
              </w:rPr>
              <w:t>0,82)</w:t>
            </w:r>
          </w:p>
        </w:tc>
      </w:tr>
    </w:tbl>
    <w:p w14:paraId="1E39FAB5" w14:textId="77777777" w:rsidR="00E50867" w:rsidRPr="009D56B8" w:rsidRDefault="00C770E8">
      <w:pPr>
        <w:rPr>
          <w:sz w:val="20"/>
          <w:lang w:val="nb-NO"/>
        </w:rPr>
      </w:pPr>
      <w:r w:rsidRPr="009D56B8">
        <w:rPr>
          <w:sz w:val="20"/>
          <w:vertAlign w:val="superscript"/>
          <w:lang w:val="nb-NO"/>
        </w:rPr>
        <w:t>a</w:t>
      </w:r>
      <w:r w:rsidRPr="009D56B8">
        <w:rPr>
          <w:sz w:val="20"/>
          <w:lang w:val="nb-NO"/>
        </w:rPr>
        <w:t xml:space="preserve">Alle analyser av kliniske endepunkter var intent-to-treat; </w:t>
      </w:r>
      <w:r w:rsidRPr="009D56B8">
        <w:rPr>
          <w:sz w:val="20"/>
          <w:vertAlign w:val="superscript"/>
          <w:lang w:val="nb-NO"/>
        </w:rPr>
        <w:t>b</w:t>
      </w:r>
      <w:r w:rsidRPr="009D56B8">
        <w:rPr>
          <w:sz w:val="20"/>
          <w:lang w:val="nb-NO"/>
        </w:rPr>
        <w:t>MR-analyse brukte MR-kohort</w:t>
      </w:r>
    </w:p>
    <w:p w14:paraId="3153AAED" w14:textId="362C99CE" w:rsidR="00E50867" w:rsidRPr="009D56B8" w:rsidRDefault="00C770E8">
      <w:pPr>
        <w:rPr>
          <w:sz w:val="20"/>
          <w:lang w:val="nb-NO"/>
        </w:rPr>
      </w:pPr>
      <w:r w:rsidRPr="009D56B8">
        <w:rPr>
          <w:sz w:val="20"/>
          <w:lang w:val="nb-NO"/>
        </w:rPr>
        <w:t>*P-verdi &lt;</w:t>
      </w:r>
      <w:r w:rsidR="00415728" w:rsidRPr="009D56B8">
        <w:rPr>
          <w:sz w:val="20"/>
          <w:lang w:val="nb-NO"/>
        </w:rPr>
        <w:t> </w:t>
      </w:r>
      <w:r w:rsidRPr="009D56B8">
        <w:rPr>
          <w:sz w:val="20"/>
          <w:lang w:val="nb-NO"/>
        </w:rPr>
        <w:t>0,05; ** P-verdi &lt;</w:t>
      </w:r>
      <w:r w:rsidR="00415728" w:rsidRPr="009D56B8">
        <w:rPr>
          <w:sz w:val="20"/>
          <w:lang w:val="nb-NO"/>
        </w:rPr>
        <w:t> </w:t>
      </w:r>
      <w:r w:rsidRPr="009D56B8">
        <w:rPr>
          <w:sz w:val="20"/>
          <w:lang w:val="nb-NO"/>
        </w:rPr>
        <w:t>0,01; *** P-verdi &lt;</w:t>
      </w:r>
      <w:r w:rsidR="00415728" w:rsidRPr="009D56B8">
        <w:rPr>
          <w:sz w:val="20"/>
          <w:lang w:val="nb-NO"/>
        </w:rPr>
        <w:t> </w:t>
      </w:r>
      <w:r w:rsidRPr="009D56B8">
        <w:rPr>
          <w:sz w:val="20"/>
          <w:lang w:val="nb-NO"/>
        </w:rPr>
        <w:t>0,0001; # ikke statistisk signifikant</w:t>
      </w:r>
    </w:p>
    <w:p w14:paraId="71D11046" w14:textId="2A151500" w:rsidR="00E50867" w:rsidRPr="009D56B8" w:rsidRDefault="00E50867">
      <w:pPr>
        <w:rPr>
          <w:szCs w:val="22"/>
          <w:lang w:val="nb-NO"/>
        </w:rPr>
      </w:pPr>
    </w:p>
    <w:p w14:paraId="0BCB5551" w14:textId="5DE87C90" w:rsidR="00B93218" w:rsidRPr="009D56B8" w:rsidRDefault="00B93218" w:rsidP="00B93218">
      <w:pPr>
        <w:pStyle w:val="Standard2"/>
        <w:keepNext/>
        <w:rPr>
          <w:szCs w:val="22"/>
          <w:lang w:val="nb-NO"/>
        </w:rPr>
      </w:pPr>
      <w:r w:rsidRPr="009D56B8">
        <w:rPr>
          <w:szCs w:val="22"/>
          <w:lang w:val="nb-NO"/>
        </w:rPr>
        <w:t xml:space="preserve">En åpen, ikke-kontrollert, 8-årig forlengelsesstudie (ENDORSE) inkluderte 1736 kvalifiserte RRMS-pasienter fra de pivotale studiene (DEFINE og CONFIRM). </w:t>
      </w:r>
      <w:r w:rsidR="00E04A20" w:rsidRPr="009D56B8">
        <w:rPr>
          <w:szCs w:val="22"/>
          <w:lang w:val="nb-NO"/>
        </w:rPr>
        <w:t>Hovedformålet med studien</w:t>
      </w:r>
      <w:r w:rsidRPr="009D56B8">
        <w:rPr>
          <w:szCs w:val="22"/>
          <w:lang w:val="nb-NO"/>
        </w:rPr>
        <w:t xml:space="preserve"> var å vurdere sikkerheten</w:t>
      </w:r>
      <w:r w:rsidR="00130CB8" w:rsidRPr="009D56B8">
        <w:rPr>
          <w:szCs w:val="22"/>
          <w:lang w:val="nb-NO"/>
        </w:rPr>
        <w:t xml:space="preserve"> ved langvarig bruk av</w:t>
      </w:r>
      <w:r w:rsidRPr="009D56B8">
        <w:rPr>
          <w:szCs w:val="22"/>
          <w:lang w:val="nb-NO"/>
        </w:rPr>
        <w:t xml:space="preserve"> </w:t>
      </w:r>
      <w:r w:rsidR="003A2D3C" w:rsidRPr="009D56B8">
        <w:rPr>
          <w:szCs w:val="22"/>
          <w:lang w:val="nb-NO"/>
        </w:rPr>
        <w:t xml:space="preserve">dimetylfumarat </w:t>
      </w:r>
      <w:r w:rsidRPr="009D56B8">
        <w:rPr>
          <w:szCs w:val="22"/>
          <w:lang w:val="nb-NO"/>
        </w:rPr>
        <w:t xml:space="preserve">hos pasienter med RRMS. Av de 1736 pasientene </w:t>
      </w:r>
      <w:r w:rsidR="00130CB8" w:rsidRPr="009D56B8">
        <w:rPr>
          <w:szCs w:val="22"/>
          <w:lang w:val="nb-NO"/>
        </w:rPr>
        <w:t>fikk</w:t>
      </w:r>
      <w:r w:rsidRPr="009D56B8">
        <w:rPr>
          <w:szCs w:val="22"/>
          <w:lang w:val="nb-NO"/>
        </w:rPr>
        <w:t xml:space="preserve"> ca. halvparten (909, 52 %) behandl</w:t>
      </w:r>
      <w:r w:rsidR="00130CB8" w:rsidRPr="009D56B8">
        <w:rPr>
          <w:szCs w:val="22"/>
          <w:lang w:val="nb-NO"/>
        </w:rPr>
        <w:t>ing</w:t>
      </w:r>
      <w:r w:rsidRPr="009D56B8">
        <w:rPr>
          <w:szCs w:val="22"/>
          <w:lang w:val="nb-NO"/>
        </w:rPr>
        <w:t xml:space="preserve"> i 6 år eller mer. </w:t>
      </w:r>
      <w:r w:rsidR="00E04A20" w:rsidRPr="009D56B8">
        <w:rPr>
          <w:szCs w:val="22"/>
          <w:lang w:val="nb-NO"/>
        </w:rPr>
        <w:t>Totalt</w:t>
      </w:r>
      <w:r w:rsidRPr="009D56B8">
        <w:rPr>
          <w:szCs w:val="22"/>
          <w:lang w:val="nb-NO"/>
        </w:rPr>
        <w:t xml:space="preserve"> 501 pasienter </w:t>
      </w:r>
      <w:r w:rsidR="00F32D1B" w:rsidRPr="009D56B8">
        <w:rPr>
          <w:szCs w:val="22"/>
          <w:lang w:val="nb-NO"/>
        </w:rPr>
        <w:t xml:space="preserve">i de tre studiene </w:t>
      </w:r>
      <w:r w:rsidR="00130CB8" w:rsidRPr="009D56B8">
        <w:rPr>
          <w:szCs w:val="22"/>
          <w:lang w:val="nb-NO"/>
        </w:rPr>
        <w:t>fikk</w:t>
      </w:r>
      <w:r w:rsidRPr="009D56B8">
        <w:rPr>
          <w:szCs w:val="22"/>
          <w:lang w:val="nb-NO"/>
        </w:rPr>
        <w:t xml:space="preserve"> kontinuerlig behandl</w:t>
      </w:r>
      <w:r w:rsidR="00130CB8" w:rsidRPr="009D56B8">
        <w:rPr>
          <w:szCs w:val="22"/>
          <w:lang w:val="nb-NO"/>
        </w:rPr>
        <w:t>ing</w:t>
      </w:r>
      <w:r w:rsidRPr="009D56B8">
        <w:rPr>
          <w:szCs w:val="22"/>
          <w:lang w:val="nb-NO"/>
        </w:rPr>
        <w:t xml:space="preserve"> med </w:t>
      </w:r>
      <w:r w:rsidR="003A2D3C" w:rsidRPr="009D56B8">
        <w:rPr>
          <w:szCs w:val="22"/>
          <w:lang w:val="nb-NO"/>
        </w:rPr>
        <w:t>dimetylfumarat</w:t>
      </w:r>
      <w:r w:rsidRPr="009D56B8">
        <w:rPr>
          <w:szCs w:val="22"/>
          <w:lang w:val="nb-NO"/>
        </w:rPr>
        <w:t xml:space="preserve"> 240 mg to ganger daglig, og 249 pasienter </w:t>
      </w:r>
      <w:r w:rsidR="00130CB8" w:rsidRPr="009D56B8">
        <w:rPr>
          <w:szCs w:val="22"/>
          <w:lang w:val="nb-NO"/>
        </w:rPr>
        <w:t xml:space="preserve">som </w:t>
      </w:r>
      <w:r w:rsidRPr="009D56B8">
        <w:rPr>
          <w:szCs w:val="22"/>
          <w:lang w:val="nb-NO"/>
        </w:rPr>
        <w:t xml:space="preserve">tidligere </w:t>
      </w:r>
      <w:r w:rsidR="00130CB8" w:rsidRPr="009D56B8">
        <w:rPr>
          <w:szCs w:val="22"/>
          <w:lang w:val="nb-NO"/>
        </w:rPr>
        <w:t>hadde fått</w:t>
      </w:r>
      <w:r w:rsidRPr="009D56B8">
        <w:rPr>
          <w:szCs w:val="22"/>
          <w:lang w:val="nb-NO"/>
        </w:rPr>
        <w:t xml:space="preserve"> placebo i studiene DEFINE og CONFIRM</w:t>
      </w:r>
      <w:r w:rsidR="00130CB8" w:rsidRPr="009D56B8">
        <w:rPr>
          <w:szCs w:val="22"/>
          <w:lang w:val="nb-NO"/>
        </w:rPr>
        <w:t>,</w:t>
      </w:r>
      <w:r w:rsidRPr="009D56B8">
        <w:rPr>
          <w:szCs w:val="22"/>
          <w:lang w:val="nb-NO"/>
        </w:rPr>
        <w:t xml:space="preserve"> fikk behandling med 240 mg to ganger daglig i ENDORSE-studien. Pasienter som fikk </w:t>
      </w:r>
      <w:r w:rsidR="00130CB8" w:rsidRPr="009D56B8">
        <w:rPr>
          <w:szCs w:val="22"/>
          <w:lang w:val="nb-NO"/>
        </w:rPr>
        <w:t xml:space="preserve">kontinuerlig </w:t>
      </w:r>
      <w:r w:rsidRPr="009D56B8">
        <w:rPr>
          <w:szCs w:val="22"/>
          <w:lang w:val="nb-NO"/>
        </w:rPr>
        <w:t>behandling to ganger daglig ble behandlet i opptil 12 år.</w:t>
      </w:r>
    </w:p>
    <w:p w14:paraId="1294BEDF" w14:textId="77777777" w:rsidR="00B93218" w:rsidRPr="009D56B8" w:rsidRDefault="00B93218" w:rsidP="00B93218">
      <w:pPr>
        <w:pStyle w:val="Standard2"/>
        <w:keepNext/>
        <w:rPr>
          <w:szCs w:val="22"/>
          <w:lang w:val="nb-NO"/>
        </w:rPr>
      </w:pPr>
    </w:p>
    <w:p w14:paraId="6F6B3E8F" w14:textId="3AFF8E88" w:rsidR="00B93218" w:rsidRPr="009D56B8" w:rsidRDefault="004A1AC2" w:rsidP="00B93218">
      <w:pPr>
        <w:pStyle w:val="Standard2"/>
        <w:keepNext/>
        <w:rPr>
          <w:bCs/>
          <w:szCs w:val="22"/>
          <w:lang w:val="nb-NO"/>
        </w:rPr>
      </w:pPr>
      <w:r w:rsidRPr="009D56B8">
        <w:rPr>
          <w:szCs w:val="22"/>
          <w:lang w:val="nb-NO"/>
        </w:rPr>
        <w:t>O</w:t>
      </w:r>
      <w:r w:rsidR="00820FD2" w:rsidRPr="009D56B8">
        <w:rPr>
          <w:szCs w:val="22"/>
          <w:lang w:val="nb-NO"/>
        </w:rPr>
        <w:t>ver</w:t>
      </w:r>
      <w:r w:rsidR="00B93218" w:rsidRPr="009D56B8">
        <w:rPr>
          <w:szCs w:val="22"/>
          <w:lang w:val="nb-NO"/>
        </w:rPr>
        <w:t xml:space="preserve"> halvparten av alle pasiente</w:t>
      </w:r>
      <w:r w:rsidR="002507E7" w:rsidRPr="009D56B8">
        <w:rPr>
          <w:szCs w:val="22"/>
          <w:lang w:val="nb-NO"/>
        </w:rPr>
        <w:t>ne som ble</w:t>
      </w:r>
      <w:r w:rsidR="00B93218" w:rsidRPr="009D56B8">
        <w:rPr>
          <w:szCs w:val="22"/>
          <w:lang w:val="nb-NO"/>
        </w:rPr>
        <w:t xml:space="preserve"> behandlet med </w:t>
      </w:r>
      <w:r w:rsidR="003A2D3C" w:rsidRPr="009D56B8">
        <w:rPr>
          <w:szCs w:val="22"/>
          <w:lang w:val="nb-NO"/>
        </w:rPr>
        <w:t>dimetylfumarat</w:t>
      </w:r>
      <w:r w:rsidR="00B93218" w:rsidRPr="009D56B8">
        <w:rPr>
          <w:szCs w:val="22"/>
          <w:lang w:val="nb-NO"/>
        </w:rPr>
        <w:t xml:space="preserve"> 240 mg to ganger daglig</w:t>
      </w:r>
      <w:r w:rsidRPr="009D56B8">
        <w:rPr>
          <w:szCs w:val="22"/>
          <w:lang w:val="nb-NO"/>
        </w:rPr>
        <w:t xml:space="preserve"> i ENDORSE-studien fikk</w:t>
      </w:r>
      <w:r w:rsidR="00B93218" w:rsidRPr="009D56B8">
        <w:rPr>
          <w:szCs w:val="22"/>
          <w:lang w:val="nb-NO"/>
        </w:rPr>
        <w:t xml:space="preserve"> ikke </w:t>
      </w:r>
      <w:r w:rsidR="002507E7" w:rsidRPr="009D56B8">
        <w:rPr>
          <w:szCs w:val="22"/>
          <w:lang w:val="nb-NO"/>
        </w:rPr>
        <w:t>an</w:t>
      </w:r>
      <w:r w:rsidR="00B93218" w:rsidRPr="009D56B8">
        <w:rPr>
          <w:szCs w:val="22"/>
          <w:lang w:val="nb-NO"/>
        </w:rPr>
        <w:t xml:space="preserve">fall. </w:t>
      </w:r>
      <w:r w:rsidR="002507E7" w:rsidRPr="009D56B8">
        <w:rPr>
          <w:szCs w:val="22"/>
          <w:lang w:val="nb-NO"/>
        </w:rPr>
        <w:t>Hos</w:t>
      </w:r>
      <w:r w:rsidR="00B93218" w:rsidRPr="009D56B8">
        <w:rPr>
          <w:szCs w:val="22"/>
          <w:lang w:val="nb-NO"/>
        </w:rPr>
        <w:t xml:space="preserve"> pasienter </w:t>
      </w:r>
      <w:r w:rsidR="002507E7" w:rsidRPr="009D56B8">
        <w:rPr>
          <w:szCs w:val="22"/>
          <w:lang w:val="nb-NO"/>
        </w:rPr>
        <w:t xml:space="preserve">fra alle de tre studiene som fikk kontinuerlig </w:t>
      </w:r>
      <w:r w:rsidR="00B93218" w:rsidRPr="009D56B8">
        <w:rPr>
          <w:szCs w:val="22"/>
          <w:lang w:val="nb-NO"/>
        </w:rPr>
        <w:t>behandl</w:t>
      </w:r>
      <w:r w:rsidR="002507E7" w:rsidRPr="009D56B8">
        <w:rPr>
          <w:szCs w:val="22"/>
          <w:lang w:val="nb-NO"/>
        </w:rPr>
        <w:t>ing</w:t>
      </w:r>
      <w:r w:rsidR="00B93218" w:rsidRPr="009D56B8">
        <w:rPr>
          <w:szCs w:val="22"/>
          <w:lang w:val="nb-NO"/>
        </w:rPr>
        <w:t xml:space="preserve"> to ganger daglig, var justert årlig anfallshyppighet 0,187</w:t>
      </w:r>
      <w:r w:rsidR="002507E7" w:rsidRPr="009D56B8">
        <w:rPr>
          <w:szCs w:val="22"/>
          <w:lang w:val="nb-NO"/>
        </w:rPr>
        <w:t> </w:t>
      </w:r>
      <w:r w:rsidR="00B93218" w:rsidRPr="009D56B8">
        <w:rPr>
          <w:szCs w:val="22"/>
          <w:lang w:val="nb-NO"/>
        </w:rPr>
        <w:t>(95 %</w:t>
      </w:r>
      <w:r w:rsidR="002507E7" w:rsidRPr="009D56B8">
        <w:rPr>
          <w:szCs w:val="22"/>
          <w:lang w:val="nb-NO"/>
        </w:rPr>
        <w:t> </w:t>
      </w:r>
      <w:r w:rsidR="00B93218" w:rsidRPr="009D56B8">
        <w:rPr>
          <w:szCs w:val="22"/>
          <w:lang w:val="nb-NO"/>
        </w:rPr>
        <w:t>KI:</w:t>
      </w:r>
      <w:r w:rsidR="00D04184" w:rsidRPr="009D56B8">
        <w:rPr>
          <w:szCs w:val="22"/>
          <w:lang w:val="nb-NO"/>
        </w:rPr>
        <w:t> </w:t>
      </w:r>
      <w:r w:rsidR="00B93218" w:rsidRPr="009D56B8">
        <w:rPr>
          <w:szCs w:val="22"/>
          <w:lang w:val="nb-NO"/>
        </w:rPr>
        <w:t>0,156,</w:t>
      </w:r>
      <w:r w:rsidR="002507E7" w:rsidRPr="009D56B8">
        <w:rPr>
          <w:szCs w:val="22"/>
          <w:lang w:val="nb-NO"/>
        </w:rPr>
        <w:t> </w:t>
      </w:r>
      <w:r w:rsidR="00B93218" w:rsidRPr="009D56B8">
        <w:rPr>
          <w:szCs w:val="22"/>
          <w:lang w:val="nb-NO"/>
        </w:rPr>
        <w:t xml:space="preserve">0,224) i studiene DEFINE og CONFIRM og 0,141 (95 % KI: 0,119, 0,167) i ENDORSE-studien. </w:t>
      </w:r>
      <w:r w:rsidR="00D04184" w:rsidRPr="009D56B8">
        <w:rPr>
          <w:szCs w:val="22"/>
          <w:lang w:val="nb-NO"/>
        </w:rPr>
        <w:t>Hos</w:t>
      </w:r>
      <w:r w:rsidR="00B93218" w:rsidRPr="009D56B8">
        <w:rPr>
          <w:szCs w:val="22"/>
          <w:lang w:val="nb-NO"/>
        </w:rPr>
        <w:t xml:space="preserve"> pasienter </w:t>
      </w:r>
      <w:r w:rsidR="00D04184" w:rsidRPr="009D56B8">
        <w:rPr>
          <w:szCs w:val="22"/>
          <w:lang w:val="nb-NO"/>
        </w:rPr>
        <w:t xml:space="preserve">som </w:t>
      </w:r>
      <w:r w:rsidR="00B93218" w:rsidRPr="009D56B8">
        <w:rPr>
          <w:szCs w:val="22"/>
          <w:lang w:val="nb-NO"/>
        </w:rPr>
        <w:t>tidligere</w:t>
      </w:r>
      <w:r w:rsidR="00D04184" w:rsidRPr="009D56B8">
        <w:rPr>
          <w:szCs w:val="22"/>
          <w:lang w:val="nb-NO"/>
        </w:rPr>
        <w:t xml:space="preserve"> hadde fått</w:t>
      </w:r>
      <w:r w:rsidR="00B93218" w:rsidRPr="009D56B8">
        <w:rPr>
          <w:szCs w:val="22"/>
          <w:lang w:val="nb-NO"/>
        </w:rPr>
        <w:t xml:space="preserve"> placebo, ble justert årlig anfallshyppighet redusert fra 0,330 (95 % KI: 0,266, 0,408) i studiene DEFINE og CONFIRM</w:t>
      </w:r>
      <w:r w:rsidR="00D04184" w:rsidRPr="009D56B8">
        <w:rPr>
          <w:szCs w:val="22"/>
          <w:lang w:val="nb-NO"/>
        </w:rPr>
        <w:t xml:space="preserve"> </w:t>
      </w:r>
      <w:r w:rsidR="00B93218" w:rsidRPr="009D56B8">
        <w:rPr>
          <w:szCs w:val="22"/>
          <w:lang w:val="nb-NO"/>
        </w:rPr>
        <w:t>til</w:t>
      </w:r>
      <w:r w:rsidR="00D04184" w:rsidRPr="009D56B8">
        <w:rPr>
          <w:szCs w:val="22"/>
          <w:lang w:val="nb-NO"/>
        </w:rPr>
        <w:t xml:space="preserve"> </w:t>
      </w:r>
      <w:r w:rsidR="00B93218" w:rsidRPr="009D56B8">
        <w:rPr>
          <w:szCs w:val="22"/>
          <w:lang w:val="nb-NO"/>
        </w:rPr>
        <w:t>0,149 (95 % KI: 0,116, 0,190) i ENDORSE-studien.</w:t>
      </w:r>
    </w:p>
    <w:p w14:paraId="004BF415" w14:textId="77777777" w:rsidR="00B93218" w:rsidRPr="009D56B8" w:rsidRDefault="00B93218" w:rsidP="00B93218">
      <w:pPr>
        <w:pStyle w:val="Standard2"/>
        <w:keepNext/>
        <w:rPr>
          <w:bCs/>
          <w:szCs w:val="22"/>
          <w:lang w:val="nb-NO"/>
        </w:rPr>
      </w:pPr>
    </w:p>
    <w:p w14:paraId="7CDF6E1E" w14:textId="790BD8A9" w:rsidR="00B93218" w:rsidRPr="009D56B8" w:rsidRDefault="00B93218" w:rsidP="00B93218">
      <w:pPr>
        <w:pStyle w:val="Standard2"/>
        <w:keepNext/>
        <w:rPr>
          <w:bCs/>
          <w:szCs w:val="22"/>
          <w:lang w:val="nb-NO"/>
        </w:rPr>
      </w:pPr>
      <w:r w:rsidRPr="009D56B8">
        <w:rPr>
          <w:szCs w:val="22"/>
          <w:lang w:val="nb-NO"/>
        </w:rPr>
        <w:t xml:space="preserve">I ENDORSE-studien hadde </w:t>
      </w:r>
      <w:r w:rsidR="00F32D1B" w:rsidRPr="009D56B8">
        <w:rPr>
          <w:szCs w:val="22"/>
          <w:lang w:val="nb-NO"/>
        </w:rPr>
        <w:t xml:space="preserve">de </w:t>
      </w:r>
      <w:r w:rsidRPr="009D56B8">
        <w:rPr>
          <w:szCs w:val="22"/>
          <w:lang w:val="nb-NO"/>
        </w:rPr>
        <w:t>fleste pasientene</w:t>
      </w:r>
      <w:r w:rsidR="00CF73DF" w:rsidRPr="009D56B8">
        <w:rPr>
          <w:szCs w:val="22"/>
          <w:lang w:val="nb-NO"/>
        </w:rPr>
        <w:t xml:space="preserve"> </w:t>
      </w:r>
      <w:r w:rsidRPr="009D56B8">
        <w:rPr>
          <w:szCs w:val="22"/>
          <w:lang w:val="nb-NO"/>
        </w:rPr>
        <w:t xml:space="preserve">(&gt; 75 %) ikke bekreftet progresjon av funksjonsnedsettelse (målt som 6 måneders vedvarende progresjon av funksjonsnedsettelse). Sammenslåtte resultater fra de tre studiene viste at pasienter </w:t>
      </w:r>
      <w:r w:rsidR="00CF73DF" w:rsidRPr="009D56B8">
        <w:rPr>
          <w:szCs w:val="22"/>
          <w:lang w:val="nb-NO"/>
        </w:rPr>
        <w:t xml:space="preserve">som var </w:t>
      </w:r>
      <w:r w:rsidRPr="009D56B8">
        <w:rPr>
          <w:szCs w:val="22"/>
          <w:lang w:val="nb-NO"/>
        </w:rPr>
        <w:t xml:space="preserve">behandlet med </w:t>
      </w:r>
      <w:r w:rsidR="00104F89" w:rsidRPr="009D56B8">
        <w:rPr>
          <w:szCs w:val="22"/>
          <w:lang w:val="nb-NO"/>
        </w:rPr>
        <w:t>dimetylfumarat</w:t>
      </w:r>
      <w:r w:rsidRPr="009D56B8">
        <w:rPr>
          <w:szCs w:val="22"/>
          <w:lang w:val="nb-NO"/>
        </w:rPr>
        <w:t xml:space="preserve"> hadde </w:t>
      </w:r>
      <w:r w:rsidR="00290387" w:rsidRPr="009D56B8">
        <w:rPr>
          <w:szCs w:val="22"/>
          <w:lang w:val="nb-NO"/>
        </w:rPr>
        <w:t>konsistent</w:t>
      </w:r>
      <w:r w:rsidRPr="009D56B8">
        <w:rPr>
          <w:szCs w:val="22"/>
          <w:lang w:val="nb-NO"/>
        </w:rPr>
        <w:t xml:space="preserve"> og lav hyppighet av bekreftet progresjon av funksjonsnedsettelse med en liten økning i gjennomsnittlig EDSS</w:t>
      </w:r>
      <w:r w:rsidRPr="009D56B8">
        <w:rPr>
          <w:szCs w:val="22"/>
          <w:lang w:val="nb-NO"/>
        </w:rPr>
        <w:noBreakHyphen/>
        <w:t>score i ENDORSE. MR</w:t>
      </w:r>
      <w:r w:rsidRPr="009D56B8">
        <w:rPr>
          <w:szCs w:val="22"/>
          <w:lang w:val="nb-NO"/>
        </w:rPr>
        <w:noBreakHyphen/>
        <w:t xml:space="preserve">undersøkelser (opptil år 6, </w:t>
      </w:r>
      <w:r w:rsidR="005E04CC" w:rsidRPr="009D56B8">
        <w:rPr>
          <w:szCs w:val="22"/>
          <w:lang w:val="nb-NO"/>
        </w:rPr>
        <w:t>omfattet</w:t>
      </w:r>
      <w:r w:rsidRPr="009D56B8">
        <w:rPr>
          <w:szCs w:val="22"/>
          <w:lang w:val="nb-NO"/>
        </w:rPr>
        <w:t xml:space="preserve"> 752 pasienter </w:t>
      </w:r>
      <w:r w:rsidR="00CF73DF" w:rsidRPr="009D56B8">
        <w:rPr>
          <w:szCs w:val="22"/>
          <w:lang w:val="nb-NO"/>
        </w:rPr>
        <w:t xml:space="preserve">som </w:t>
      </w:r>
      <w:r w:rsidRPr="009D56B8">
        <w:rPr>
          <w:szCs w:val="22"/>
          <w:lang w:val="nb-NO"/>
        </w:rPr>
        <w:t xml:space="preserve">tidligere </w:t>
      </w:r>
      <w:r w:rsidR="00CF73DF" w:rsidRPr="009D56B8">
        <w:rPr>
          <w:szCs w:val="22"/>
          <w:lang w:val="nb-NO"/>
        </w:rPr>
        <w:t xml:space="preserve">hadde vært </w:t>
      </w:r>
      <w:r w:rsidRPr="009D56B8">
        <w:rPr>
          <w:szCs w:val="22"/>
          <w:lang w:val="nb-NO"/>
        </w:rPr>
        <w:t>inkludert i MR</w:t>
      </w:r>
      <w:r w:rsidRPr="009D56B8">
        <w:rPr>
          <w:szCs w:val="22"/>
          <w:lang w:val="nb-NO"/>
        </w:rPr>
        <w:noBreakHyphen/>
        <w:t xml:space="preserve">kohorten i studiene DEFINE og CONFIRM) viste at </w:t>
      </w:r>
      <w:r w:rsidR="00CF73DF" w:rsidRPr="009D56B8">
        <w:rPr>
          <w:szCs w:val="22"/>
          <w:lang w:val="nb-NO"/>
        </w:rPr>
        <w:t xml:space="preserve">de </w:t>
      </w:r>
      <w:r w:rsidRPr="009D56B8">
        <w:rPr>
          <w:szCs w:val="22"/>
          <w:lang w:val="nb-NO"/>
        </w:rPr>
        <w:t>fleste pasientene (ca. 90 %) ikke hadde gadoliniumforsterkende lesjoner. Gjennom de 6 årene forble årlig justert gjennomsnittlig antall nye eller nylig forstørrede T2</w:t>
      </w:r>
      <w:r w:rsidRPr="009D56B8">
        <w:rPr>
          <w:szCs w:val="22"/>
          <w:lang w:val="nb-NO"/>
        </w:rPr>
        <w:noBreakHyphen/>
        <w:t>lesjoner og nye T1</w:t>
      </w:r>
      <w:r w:rsidRPr="009D56B8">
        <w:rPr>
          <w:szCs w:val="22"/>
          <w:lang w:val="nb-NO"/>
        </w:rPr>
        <w:noBreakHyphen/>
        <w:t>lesjoner lavt.</w:t>
      </w:r>
    </w:p>
    <w:p w14:paraId="6309AE8F" w14:textId="77777777" w:rsidR="00841E9A" w:rsidRPr="009D56B8" w:rsidRDefault="00841E9A">
      <w:pPr>
        <w:rPr>
          <w:szCs w:val="22"/>
          <w:lang w:val="nb-NO"/>
        </w:rPr>
      </w:pPr>
    </w:p>
    <w:p w14:paraId="7C6A46E3" w14:textId="77777777" w:rsidR="00E50867" w:rsidRPr="009D56B8" w:rsidRDefault="00C770E8">
      <w:pPr>
        <w:keepNext/>
        <w:rPr>
          <w:szCs w:val="22"/>
          <w:lang w:val="nb-NO"/>
        </w:rPr>
      </w:pPr>
      <w:r w:rsidRPr="009D56B8">
        <w:rPr>
          <w:szCs w:val="22"/>
          <w:lang w:val="nb-NO"/>
        </w:rPr>
        <w:t>Effekt hos pasienter med høy sykdomsaktivitet:</w:t>
      </w:r>
    </w:p>
    <w:p w14:paraId="142E5D3E" w14:textId="058B89DC" w:rsidR="00E50867" w:rsidRPr="009D56B8" w:rsidRDefault="00B93218">
      <w:pPr>
        <w:keepNext/>
        <w:rPr>
          <w:szCs w:val="22"/>
          <w:lang w:val="nb-NO"/>
        </w:rPr>
      </w:pPr>
      <w:r w:rsidRPr="009D56B8">
        <w:rPr>
          <w:szCs w:val="22"/>
          <w:lang w:val="nb-NO"/>
        </w:rPr>
        <w:t xml:space="preserve">I studiene DEFINE og CONFIRM ble </w:t>
      </w:r>
      <w:r w:rsidR="00290387" w:rsidRPr="009D56B8">
        <w:rPr>
          <w:szCs w:val="22"/>
          <w:lang w:val="nb-NO"/>
        </w:rPr>
        <w:t xml:space="preserve">det sett </w:t>
      </w:r>
      <w:r w:rsidR="005E04CC" w:rsidRPr="009D56B8">
        <w:rPr>
          <w:szCs w:val="22"/>
          <w:lang w:val="nb-NO"/>
        </w:rPr>
        <w:t xml:space="preserve">en </w:t>
      </w:r>
      <w:r w:rsidR="00290387" w:rsidRPr="009D56B8">
        <w:rPr>
          <w:szCs w:val="22"/>
          <w:lang w:val="nb-NO"/>
        </w:rPr>
        <w:t>konsistent</w:t>
      </w:r>
      <w:r w:rsidR="00C770E8" w:rsidRPr="009D56B8">
        <w:rPr>
          <w:szCs w:val="22"/>
          <w:lang w:val="nb-NO"/>
        </w:rPr>
        <w:t xml:space="preserve"> behandling</w:t>
      </w:r>
      <w:r w:rsidR="00B427A8" w:rsidRPr="009D56B8">
        <w:rPr>
          <w:szCs w:val="22"/>
          <w:lang w:val="nb-NO"/>
        </w:rPr>
        <w:t>seffekt</w:t>
      </w:r>
      <w:r w:rsidR="00C770E8" w:rsidRPr="009D56B8">
        <w:rPr>
          <w:szCs w:val="22"/>
          <w:lang w:val="nb-NO"/>
        </w:rPr>
        <w:t xml:space="preserve"> </w:t>
      </w:r>
      <w:r w:rsidRPr="009D56B8">
        <w:rPr>
          <w:szCs w:val="22"/>
          <w:lang w:val="nb-NO"/>
        </w:rPr>
        <w:t>på</w:t>
      </w:r>
      <w:r w:rsidR="00C770E8" w:rsidRPr="009D56B8">
        <w:rPr>
          <w:szCs w:val="22"/>
          <w:lang w:val="nb-NO"/>
        </w:rPr>
        <w:t xml:space="preserve"> anfall i en undergruppe av pasienter med høy sykdomsaktivitet, mens effekten på tiden til 3 måneders vedvarende </w:t>
      </w:r>
      <w:r w:rsidR="00C770E8" w:rsidRPr="009D56B8">
        <w:rPr>
          <w:szCs w:val="22"/>
          <w:lang w:val="nb-NO"/>
        </w:rPr>
        <w:lastRenderedPageBreak/>
        <w:t>progresjon av funksjonsnedsettelse ikke ble klarlagt. På grunn av utformingen av studiene, ble høy sykdomsaktivitet definert som følger:</w:t>
      </w:r>
    </w:p>
    <w:p w14:paraId="51BBC0DB" w14:textId="57F6C8A8" w:rsidR="00E50867" w:rsidRPr="009D56B8" w:rsidRDefault="00C770E8">
      <w:pPr>
        <w:keepNext/>
        <w:numPr>
          <w:ilvl w:val="0"/>
          <w:numId w:val="7"/>
        </w:numPr>
        <w:tabs>
          <w:tab w:val="clear" w:pos="567"/>
        </w:tabs>
        <w:ind w:left="567" w:hanging="567"/>
        <w:rPr>
          <w:szCs w:val="22"/>
          <w:lang w:val="nb-NO"/>
        </w:rPr>
      </w:pPr>
      <w:r w:rsidRPr="009D56B8">
        <w:rPr>
          <w:szCs w:val="22"/>
          <w:lang w:val="nb-NO"/>
        </w:rPr>
        <w:t>Pasienter som hadde 2 eller flere anfall i løpet av ett år, og med én eller flere gadoliniumforsterkende lesjoner påvist ved MR av hjernen (n</w:t>
      </w:r>
      <w:r w:rsidR="005E04CC" w:rsidRPr="009D56B8">
        <w:rPr>
          <w:szCs w:val="22"/>
          <w:lang w:val="nb-NO"/>
        </w:rPr>
        <w:t> </w:t>
      </w:r>
      <w:r w:rsidRPr="009D56B8">
        <w:rPr>
          <w:szCs w:val="22"/>
          <w:lang w:val="nb-NO"/>
        </w:rPr>
        <w:t>=</w:t>
      </w:r>
      <w:r w:rsidR="005E04CC" w:rsidRPr="009D56B8">
        <w:rPr>
          <w:szCs w:val="22"/>
          <w:lang w:val="nb-NO"/>
        </w:rPr>
        <w:t> </w:t>
      </w:r>
      <w:r w:rsidRPr="009D56B8">
        <w:rPr>
          <w:szCs w:val="22"/>
          <w:lang w:val="nb-NO"/>
        </w:rPr>
        <w:t>42 i DEFINE, n</w:t>
      </w:r>
      <w:r w:rsidR="005E04CC" w:rsidRPr="009D56B8">
        <w:rPr>
          <w:szCs w:val="22"/>
          <w:lang w:val="nb-NO"/>
        </w:rPr>
        <w:t> </w:t>
      </w:r>
      <w:r w:rsidRPr="009D56B8">
        <w:rPr>
          <w:szCs w:val="22"/>
          <w:lang w:val="nb-NO"/>
        </w:rPr>
        <w:t>=</w:t>
      </w:r>
      <w:r w:rsidR="005E04CC" w:rsidRPr="009D56B8">
        <w:rPr>
          <w:szCs w:val="22"/>
          <w:lang w:val="nb-NO"/>
        </w:rPr>
        <w:t> </w:t>
      </w:r>
      <w:r w:rsidRPr="009D56B8">
        <w:rPr>
          <w:szCs w:val="22"/>
          <w:lang w:val="nb-NO"/>
        </w:rPr>
        <w:t>51 i CONFIRM) eller,</w:t>
      </w:r>
    </w:p>
    <w:p w14:paraId="2AE26747" w14:textId="18DA20D7" w:rsidR="00E50867" w:rsidRPr="009D56B8" w:rsidRDefault="00C770E8">
      <w:pPr>
        <w:keepNext/>
        <w:numPr>
          <w:ilvl w:val="0"/>
          <w:numId w:val="7"/>
        </w:numPr>
        <w:tabs>
          <w:tab w:val="clear" w:pos="567"/>
        </w:tabs>
        <w:ind w:left="567" w:hanging="567"/>
        <w:rPr>
          <w:szCs w:val="22"/>
          <w:lang w:val="nb-NO"/>
        </w:rPr>
      </w:pPr>
      <w:r w:rsidRPr="009D56B8">
        <w:rPr>
          <w:szCs w:val="22"/>
          <w:lang w:val="nb-NO"/>
        </w:rPr>
        <w:t>Pasienter som ikke responderte på en fullstendig og egnet kur (minst ett års behandling) med beta</w:t>
      </w:r>
      <w:r w:rsidRPr="009D56B8">
        <w:rPr>
          <w:szCs w:val="22"/>
          <w:lang w:val="nb-NO"/>
        </w:rPr>
        <w:noBreakHyphen/>
        <w:t>interferon, med minst ett anfall i det foregående året mens de fikk behandlingen og minst 9 T2</w:t>
      </w:r>
      <w:r w:rsidRPr="009D56B8">
        <w:rPr>
          <w:szCs w:val="22"/>
          <w:lang w:val="nb-NO"/>
        </w:rPr>
        <w:noBreakHyphen/>
        <w:t>hyperintense lesjoner påvist ved kranial MR, og minst 1 gadoliniumforsterkende lesjon, eller pasienter som hadde uendret eller økt anfallshyppighet i det foregående året, sammenlignet med de 2 foregående årene (n</w:t>
      </w:r>
      <w:r w:rsidR="005E04CC" w:rsidRPr="009D56B8">
        <w:rPr>
          <w:szCs w:val="22"/>
          <w:lang w:val="nb-NO"/>
        </w:rPr>
        <w:t> </w:t>
      </w:r>
      <w:r w:rsidRPr="009D56B8">
        <w:rPr>
          <w:szCs w:val="22"/>
          <w:lang w:val="nb-NO"/>
        </w:rPr>
        <w:t>=</w:t>
      </w:r>
      <w:r w:rsidR="005E04CC" w:rsidRPr="009D56B8">
        <w:rPr>
          <w:szCs w:val="22"/>
          <w:lang w:val="nb-NO"/>
        </w:rPr>
        <w:t> </w:t>
      </w:r>
      <w:r w:rsidRPr="009D56B8">
        <w:rPr>
          <w:szCs w:val="22"/>
          <w:lang w:val="nb-NO"/>
        </w:rPr>
        <w:t>177 i DEFINE, n</w:t>
      </w:r>
      <w:r w:rsidR="005E04CC" w:rsidRPr="009D56B8">
        <w:rPr>
          <w:szCs w:val="22"/>
          <w:lang w:val="nb-NO"/>
        </w:rPr>
        <w:t> </w:t>
      </w:r>
      <w:r w:rsidRPr="009D56B8">
        <w:rPr>
          <w:szCs w:val="22"/>
          <w:lang w:val="nb-NO"/>
        </w:rPr>
        <w:t>=</w:t>
      </w:r>
      <w:r w:rsidR="005E04CC" w:rsidRPr="009D56B8">
        <w:rPr>
          <w:szCs w:val="22"/>
          <w:lang w:val="nb-NO"/>
        </w:rPr>
        <w:t> </w:t>
      </w:r>
      <w:r w:rsidRPr="009D56B8">
        <w:rPr>
          <w:szCs w:val="22"/>
          <w:lang w:val="nb-NO"/>
        </w:rPr>
        <w:t>141 i CONFIRM).</w:t>
      </w:r>
    </w:p>
    <w:p w14:paraId="4AA0E0D7" w14:textId="77777777" w:rsidR="00E50867" w:rsidRPr="009D56B8" w:rsidRDefault="00E50867">
      <w:pPr>
        <w:rPr>
          <w:szCs w:val="22"/>
          <w:lang w:val="nb-NO"/>
        </w:rPr>
      </w:pPr>
    </w:p>
    <w:p w14:paraId="18DE6DFA" w14:textId="77777777" w:rsidR="00E50867" w:rsidRPr="009D56B8" w:rsidRDefault="00C770E8" w:rsidP="00513CD0">
      <w:pPr>
        <w:keepNext/>
        <w:widowControl w:val="0"/>
        <w:suppressLineNumbers/>
        <w:rPr>
          <w:szCs w:val="22"/>
          <w:u w:val="single"/>
          <w:lang w:val="nb-NO"/>
        </w:rPr>
      </w:pPr>
      <w:r w:rsidRPr="009D56B8">
        <w:rPr>
          <w:szCs w:val="22"/>
          <w:u w:val="single"/>
          <w:lang w:val="nb-NO"/>
        </w:rPr>
        <w:t>Pediatrisk populasjon</w:t>
      </w:r>
    </w:p>
    <w:p w14:paraId="282DC971" w14:textId="77777777" w:rsidR="00E50867" w:rsidRPr="009D56B8" w:rsidRDefault="00E50867" w:rsidP="00513CD0">
      <w:pPr>
        <w:keepNext/>
        <w:rPr>
          <w:szCs w:val="22"/>
          <w:lang w:val="nb-NO"/>
        </w:rPr>
      </w:pPr>
    </w:p>
    <w:p w14:paraId="11861586" w14:textId="20546DC7" w:rsidR="00A02DCC" w:rsidRPr="009D56B8" w:rsidRDefault="00A02DCC" w:rsidP="00513CD0">
      <w:pPr>
        <w:keepLines/>
        <w:widowControl w:val="0"/>
        <w:suppressAutoHyphens w:val="0"/>
        <w:rPr>
          <w:szCs w:val="22"/>
          <w:lang w:val="nb-NO"/>
        </w:rPr>
      </w:pPr>
      <w:r w:rsidRPr="009D56B8">
        <w:rPr>
          <w:szCs w:val="22"/>
          <w:lang w:val="nb-NO"/>
        </w:rPr>
        <w:t xml:space="preserve">Sikkerhet og effekt av </w:t>
      </w:r>
      <w:r w:rsidR="00111370" w:rsidRPr="009D56B8">
        <w:rPr>
          <w:szCs w:val="22"/>
          <w:lang w:val="nb-NO"/>
        </w:rPr>
        <w:t>dimetylfumarat</w:t>
      </w:r>
      <w:r w:rsidRPr="009D56B8">
        <w:rPr>
          <w:szCs w:val="22"/>
          <w:lang w:val="nb-NO"/>
        </w:rPr>
        <w:t xml:space="preserve"> hos pediatriske pasienter med RRMS ble evaluert i en randomisert, åpen paral</w:t>
      </w:r>
      <w:r w:rsidR="00472C86" w:rsidRPr="009D56B8">
        <w:rPr>
          <w:szCs w:val="22"/>
          <w:lang w:val="nb-NO"/>
        </w:rPr>
        <w:t>l</w:t>
      </w:r>
      <w:r w:rsidRPr="009D56B8">
        <w:rPr>
          <w:szCs w:val="22"/>
          <w:lang w:val="nb-NO"/>
        </w:rPr>
        <w:t>ellgruppestudie med aktiv kontroll (interferon beta-1a) hos pasienter med RRMS i alderen</w:t>
      </w:r>
      <w:r w:rsidR="00D72157" w:rsidRPr="009D56B8">
        <w:rPr>
          <w:szCs w:val="22"/>
          <w:lang w:val="nb-NO"/>
        </w:rPr>
        <w:t xml:space="preserve"> </w:t>
      </w:r>
      <w:r w:rsidRPr="009D56B8">
        <w:rPr>
          <w:szCs w:val="22"/>
          <w:lang w:val="nb-NO"/>
        </w:rPr>
        <w:t xml:space="preserve">10 </w:t>
      </w:r>
      <w:r w:rsidR="00D72157" w:rsidRPr="009D56B8">
        <w:rPr>
          <w:szCs w:val="22"/>
          <w:lang w:val="nb-NO"/>
        </w:rPr>
        <w:t>opp</w:t>
      </w:r>
      <w:r w:rsidRPr="009D56B8">
        <w:rPr>
          <w:szCs w:val="22"/>
          <w:lang w:val="nb-NO"/>
        </w:rPr>
        <w:t>til 18 år. Hundre</w:t>
      </w:r>
      <w:r w:rsidR="00881687" w:rsidRPr="009D56B8">
        <w:rPr>
          <w:szCs w:val="22"/>
          <w:lang w:val="nb-NO"/>
        </w:rPr>
        <w:t xml:space="preserve"> </w:t>
      </w:r>
      <w:r w:rsidRPr="009D56B8">
        <w:rPr>
          <w:szCs w:val="22"/>
          <w:lang w:val="nb-NO"/>
        </w:rPr>
        <w:t>og</w:t>
      </w:r>
      <w:r w:rsidR="00881687" w:rsidRPr="009D56B8">
        <w:rPr>
          <w:szCs w:val="22"/>
          <w:lang w:val="nb-NO"/>
        </w:rPr>
        <w:t xml:space="preserve"> </w:t>
      </w:r>
      <w:r w:rsidRPr="009D56B8">
        <w:rPr>
          <w:szCs w:val="22"/>
          <w:lang w:val="nb-NO"/>
        </w:rPr>
        <w:t xml:space="preserve">femti pasienter ble randomisert til dimetylfumarat (240 mg </w:t>
      </w:r>
      <w:r w:rsidR="00FE76DD" w:rsidRPr="009D56B8">
        <w:rPr>
          <w:szCs w:val="22"/>
          <w:lang w:val="nb-NO"/>
        </w:rPr>
        <w:t xml:space="preserve">oralt </w:t>
      </w:r>
      <w:r w:rsidRPr="009D56B8">
        <w:rPr>
          <w:szCs w:val="22"/>
          <w:lang w:val="nb-NO"/>
        </w:rPr>
        <w:t>to ganger daglig) eller interferon beta-1a (30 mikrog</w:t>
      </w:r>
      <w:r w:rsidR="00E377BF" w:rsidRPr="009D56B8">
        <w:rPr>
          <w:szCs w:val="22"/>
          <w:lang w:val="nb-NO"/>
        </w:rPr>
        <w:t>ram</w:t>
      </w:r>
      <w:r w:rsidRPr="009D56B8">
        <w:rPr>
          <w:szCs w:val="22"/>
          <w:lang w:val="nb-NO"/>
        </w:rPr>
        <w:t xml:space="preserve"> intramuskulært én gang i uken) i 96 uker. Det primære endepunktet var andelen av pasienter uten nye eller nylig forstørrede T2-hyperintense lesjoner påvist ved MR av hjernen i uke 96. Det viktigste sekundære endepunktet var antall nye eller nylig forstørrede T2-hyperintense lesjoner påvist ved MR av hjernen i uke 96. Deskriptiv statistikk </w:t>
      </w:r>
      <w:r w:rsidR="00C32BCA" w:rsidRPr="009D56B8">
        <w:rPr>
          <w:szCs w:val="22"/>
          <w:lang w:val="nb-NO"/>
        </w:rPr>
        <w:t xml:space="preserve">er </w:t>
      </w:r>
      <w:r w:rsidRPr="009D56B8">
        <w:rPr>
          <w:szCs w:val="22"/>
          <w:lang w:val="nb-NO"/>
        </w:rPr>
        <w:t>presenter</w:t>
      </w:r>
      <w:r w:rsidR="00C32BCA" w:rsidRPr="009D56B8">
        <w:rPr>
          <w:szCs w:val="22"/>
          <w:lang w:val="nb-NO"/>
        </w:rPr>
        <w:t>t</w:t>
      </w:r>
      <w:r w:rsidRPr="009D56B8">
        <w:rPr>
          <w:szCs w:val="22"/>
          <w:lang w:val="nb-NO"/>
        </w:rPr>
        <w:t xml:space="preserve"> </w:t>
      </w:r>
      <w:r w:rsidR="00D72157" w:rsidRPr="009D56B8">
        <w:rPr>
          <w:szCs w:val="22"/>
          <w:lang w:val="nb-NO"/>
        </w:rPr>
        <w:t>fordi</w:t>
      </w:r>
      <w:r w:rsidRPr="009D56B8">
        <w:rPr>
          <w:szCs w:val="22"/>
          <w:lang w:val="nb-NO"/>
        </w:rPr>
        <w:t xml:space="preserve"> ingen bekreftende hypotese var planlagt på forhånd for det primære endepunktet.</w:t>
      </w:r>
    </w:p>
    <w:p w14:paraId="5FF4633C" w14:textId="77777777" w:rsidR="00A02DCC" w:rsidRPr="009D56B8" w:rsidRDefault="00A02DCC" w:rsidP="00A02DCC">
      <w:pPr>
        <w:widowControl w:val="0"/>
        <w:suppressAutoHyphens w:val="0"/>
        <w:rPr>
          <w:szCs w:val="22"/>
          <w:lang w:val="nb-NO"/>
        </w:rPr>
      </w:pPr>
    </w:p>
    <w:p w14:paraId="044B4D51" w14:textId="215FCE0F" w:rsidR="00A6088C" w:rsidRPr="009D56B8" w:rsidRDefault="00A02DCC" w:rsidP="00A6088C">
      <w:pPr>
        <w:widowControl w:val="0"/>
        <w:suppressAutoHyphens w:val="0"/>
        <w:rPr>
          <w:szCs w:val="22"/>
          <w:lang w:val="nb-NO"/>
        </w:rPr>
      </w:pPr>
      <w:r w:rsidRPr="009D56B8">
        <w:rPr>
          <w:szCs w:val="22"/>
          <w:lang w:val="nb-NO"/>
        </w:rPr>
        <w:t>Andelen av pasienter i ITT-populasjonen uten nye eller nylig forstørrede T2-lesjoner påvist ved MR i uke 96 sammenlignet med baseline var 1</w:t>
      </w:r>
      <w:r w:rsidR="00CD0292" w:rsidRPr="009D56B8">
        <w:rPr>
          <w:szCs w:val="22"/>
          <w:lang w:val="nb-NO"/>
        </w:rPr>
        <w:t>2</w:t>
      </w:r>
      <w:r w:rsidRPr="009D56B8">
        <w:rPr>
          <w:szCs w:val="22"/>
          <w:lang w:val="nb-NO"/>
        </w:rPr>
        <w:t>,</w:t>
      </w:r>
      <w:r w:rsidR="00CD0292" w:rsidRPr="009D56B8">
        <w:rPr>
          <w:szCs w:val="22"/>
          <w:lang w:val="nb-NO"/>
        </w:rPr>
        <w:t>8</w:t>
      </w:r>
      <w:r w:rsidRPr="009D56B8">
        <w:rPr>
          <w:szCs w:val="22"/>
          <w:lang w:val="nb-NO"/>
        </w:rPr>
        <w:t xml:space="preserve"> % for dimetylfumarat </w:t>
      </w:r>
      <w:r w:rsidR="00C32BCA" w:rsidRPr="009D56B8">
        <w:rPr>
          <w:szCs w:val="22"/>
          <w:lang w:val="nb-NO"/>
        </w:rPr>
        <w:t>versus</w:t>
      </w:r>
      <w:r w:rsidRPr="009D56B8">
        <w:rPr>
          <w:szCs w:val="22"/>
          <w:lang w:val="nb-NO"/>
        </w:rPr>
        <w:t xml:space="preserve"> </w:t>
      </w:r>
      <w:r w:rsidR="00CD0292" w:rsidRPr="009D56B8">
        <w:rPr>
          <w:szCs w:val="22"/>
          <w:lang w:val="nb-NO"/>
        </w:rPr>
        <w:t>2,8</w:t>
      </w:r>
      <w:r w:rsidRPr="009D56B8">
        <w:rPr>
          <w:szCs w:val="22"/>
          <w:lang w:val="nb-NO"/>
        </w:rPr>
        <w:t> % i gruppen med interferon beta-1a. Gjennomsnittlig antall nye eller nylig forstørrede T2-lesjoner i uke 96 sammenlignet med baseline, justert for antall T2-lesjoner ved baseline</w:t>
      </w:r>
      <w:r w:rsidR="00542660" w:rsidRPr="009D56B8">
        <w:rPr>
          <w:szCs w:val="22"/>
          <w:lang w:val="nb-NO"/>
        </w:rPr>
        <w:t xml:space="preserve"> og alder</w:t>
      </w:r>
      <w:r w:rsidRPr="009D56B8">
        <w:rPr>
          <w:szCs w:val="22"/>
          <w:lang w:val="nb-NO"/>
        </w:rPr>
        <w:t xml:space="preserve"> (ITT-populasjon</w:t>
      </w:r>
      <w:r w:rsidR="00391D89" w:rsidRPr="009D56B8">
        <w:rPr>
          <w:szCs w:val="22"/>
          <w:lang w:val="nb-NO"/>
        </w:rPr>
        <w:t>en</w:t>
      </w:r>
      <w:r w:rsidR="00EF3FA9" w:rsidRPr="009D56B8">
        <w:rPr>
          <w:szCs w:val="22"/>
          <w:lang w:val="nb-NO"/>
        </w:rPr>
        <w:t xml:space="preserve"> der</w:t>
      </w:r>
      <w:r w:rsidR="00D72157" w:rsidRPr="009D56B8">
        <w:rPr>
          <w:szCs w:val="22"/>
          <w:lang w:val="nb-NO"/>
        </w:rPr>
        <w:t xml:space="preserve"> pasienter uten målinger fra MR var utelatt</w:t>
      </w:r>
      <w:r w:rsidRPr="009D56B8">
        <w:rPr>
          <w:szCs w:val="22"/>
          <w:lang w:val="nb-NO"/>
        </w:rPr>
        <w:t>), var 12,</w:t>
      </w:r>
      <w:r w:rsidR="00CD0292" w:rsidRPr="009D56B8">
        <w:rPr>
          <w:szCs w:val="22"/>
          <w:lang w:val="nb-NO"/>
        </w:rPr>
        <w:t>4</w:t>
      </w:r>
      <w:r w:rsidRPr="009D56B8">
        <w:rPr>
          <w:szCs w:val="22"/>
          <w:lang w:val="nb-NO"/>
        </w:rPr>
        <w:t xml:space="preserve"> for dimetylfumarat og 32,</w:t>
      </w:r>
      <w:r w:rsidR="00CD0292" w:rsidRPr="009D56B8">
        <w:rPr>
          <w:szCs w:val="22"/>
          <w:lang w:val="nb-NO"/>
        </w:rPr>
        <w:t>6</w:t>
      </w:r>
      <w:r w:rsidRPr="009D56B8">
        <w:rPr>
          <w:szCs w:val="22"/>
          <w:lang w:val="nb-NO"/>
        </w:rPr>
        <w:t xml:space="preserve"> for interferon beta-1a.</w:t>
      </w:r>
    </w:p>
    <w:p w14:paraId="70382DDD" w14:textId="77777777" w:rsidR="00A6088C" w:rsidRPr="009D56B8" w:rsidRDefault="00A6088C" w:rsidP="00A6088C">
      <w:pPr>
        <w:widowControl w:val="0"/>
        <w:suppressAutoHyphens w:val="0"/>
        <w:rPr>
          <w:szCs w:val="22"/>
          <w:lang w:val="nb-NO"/>
        </w:rPr>
      </w:pPr>
    </w:p>
    <w:p w14:paraId="537AF7EB" w14:textId="7370EADD" w:rsidR="00A02DCC" w:rsidRPr="009D56B8" w:rsidRDefault="00A02DCC" w:rsidP="00A02DCC">
      <w:pPr>
        <w:widowControl w:val="0"/>
        <w:suppressAutoHyphens w:val="0"/>
        <w:rPr>
          <w:szCs w:val="22"/>
          <w:lang w:val="nb-NO"/>
        </w:rPr>
      </w:pPr>
      <w:r w:rsidRPr="009D56B8">
        <w:rPr>
          <w:szCs w:val="22"/>
          <w:lang w:val="nb-NO"/>
        </w:rPr>
        <w:t xml:space="preserve">Sannsynligheten for kliniske anfall var 34 % i dimetylfumaratgruppen og 48 % i gruppen med interferon beta-1a </w:t>
      </w:r>
      <w:r w:rsidR="00D72157" w:rsidRPr="009D56B8">
        <w:rPr>
          <w:szCs w:val="22"/>
          <w:lang w:val="nb-NO"/>
        </w:rPr>
        <w:t>ved slutten</w:t>
      </w:r>
      <w:r w:rsidRPr="009D56B8">
        <w:rPr>
          <w:szCs w:val="22"/>
          <w:lang w:val="nb-NO"/>
        </w:rPr>
        <w:t xml:space="preserve"> av den åpne studieperioden på 96 uker.</w:t>
      </w:r>
    </w:p>
    <w:p w14:paraId="2F85C95D" w14:textId="77777777" w:rsidR="00A02DCC" w:rsidRPr="009D56B8" w:rsidRDefault="00A02DCC" w:rsidP="00A02DCC">
      <w:pPr>
        <w:widowControl w:val="0"/>
        <w:suppressAutoHyphens w:val="0"/>
        <w:rPr>
          <w:szCs w:val="22"/>
          <w:lang w:val="nb-NO"/>
        </w:rPr>
      </w:pPr>
    </w:p>
    <w:p w14:paraId="3A8ACA34" w14:textId="6EAAB93C" w:rsidR="00A02DCC" w:rsidRPr="009D56B8" w:rsidRDefault="00A02DCC" w:rsidP="00A02DCC">
      <w:pPr>
        <w:widowControl w:val="0"/>
        <w:suppressAutoHyphens w:val="0"/>
        <w:rPr>
          <w:szCs w:val="22"/>
          <w:lang w:val="nb-NO"/>
        </w:rPr>
      </w:pPr>
      <w:r w:rsidRPr="009D56B8">
        <w:rPr>
          <w:szCs w:val="22"/>
          <w:lang w:val="nb-NO"/>
        </w:rPr>
        <w:t>Sikkerhetsprofilen hos pediatriske pasienter (i alderen</w:t>
      </w:r>
      <w:r w:rsidR="007E72ED" w:rsidRPr="009D56B8">
        <w:rPr>
          <w:szCs w:val="22"/>
          <w:lang w:val="nb-NO"/>
        </w:rPr>
        <w:t xml:space="preserve"> </w:t>
      </w:r>
      <w:r w:rsidRPr="009D56B8">
        <w:rPr>
          <w:szCs w:val="22"/>
          <w:lang w:val="nb-NO"/>
        </w:rPr>
        <w:t xml:space="preserve">13 </w:t>
      </w:r>
      <w:r w:rsidR="00D72157" w:rsidRPr="009D56B8">
        <w:rPr>
          <w:szCs w:val="22"/>
          <w:lang w:val="nb-NO"/>
        </w:rPr>
        <w:t>opp</w:t>
      </w:r>
      <w:r w:rsidRPr="009D56B8">
        <w:rPr>
          <w:szCs w:val="22"/>
          <w:lang w:val="nb-NO"/>
        </w:rPr>
        <w:t xml:space="preserve">til 18 år) som fikk </w:t>
      </w:r>
      <w:r w:rsidR="00111370" w:rsidRPr="009D56B8">
        <w:rPr>
          <w:szCs w:val="22"/>
          <w:lang w:val="nb-NO"/>
        </w:rPr>
        <w:t>dimetylfumarat</w:t>
      </w:r>
      <w:r w:rsidRPr="009D56B8">
        <w:rPr>
          <w:szCs w:val="22"/>
          <w:lang w:val="nb-NO"/>
        </w:rPr>
        <w:t xml:space="preserve"> var kvalitativt </w:t>
      </w:r>
      <w:r w:rsidR="00113748" w:rsidRPr="009D56B8">
        <w:rPr>
          <w:szCs w:val="22"/>
          <w:lang w:val="nb-NO"/>
        </w:rPr>
        <w:t>i samsvar</w:t>
      </w:r>
      <w:r w:rsidRPr="009D56B8">
        <w:rPr>
          <w:szCs w:val="22"/>
          <w:lang w:val="nb-NO"/>
        </w:rPr>
        <w:t xml:space="preserve"> med den som tidligere er sett hos voksne pasienter (se pkt. 4.8).</w:t>
      </w:r>
    </w:p>
    <w:p w14:paraId="2F33EA95" w14:textId="77777777" w:rsidR="00E50867" w:rsidRPr="009D56B8" w:rsidRDefault="00E50867">
      <w:pPr>
        <w:rPr>
          <w:szCs w:val="22"/>
          <w:lang w:val="nb-NO"/>
        </w:rPr>
      </w:pPr>
    </w:p>
    <w:p w14:paraId="75BB1CC9" w14:textId="77777777" w:rsidR="00E50867" w:rsidRPr="009D56B8" w:rsidRDefault="00C770E8">
      <w:pPr>
        <w:keepNext/>
        <w:keepLines/>
        <w:rPr>
          <w:b/>
          <w:szCs w:val="22"/>
          <w:lang w:val="nb-NO"/>
        </w:rPr>
      </w:pPr>
      <w:r w:rsidRPr="009D56B8">
        <w:rPr>
          <w:b/>
          <w:szCs w:val="22"/>
          <w:lang w:val="nb-NO"/>
        </w:rPr>
        <w:t>5.2</w:t>
      </w:r>
      <w:r w:rsidRPr="009D56B8">
        <w:rPr>
          <w:b/>
          <w:szCs w:val="22"/>
          <w:lang w:val="nb-NO"/>
        </w:rPr>
        <w:tab/>
        <w:t>Farmakokinetiske egenskaper</w:t>
      </w:r>
    </w:p>
    <w:p w14:paraId="264C2FE0" w14:textId="77777777" w:rsidR="00E50867" w:rsidRPr="009D56B8" w:rsidRDefault="00E50867">
      <w:pPr>
        <w:keepNext/>
        <w:keepLines/>
        <w:rPr>
          <w:szCs w:val="22"/>
          <w:lang w:val="nb-NO"/>
        </w:rPr>
      </w:pPr>
    </w:p>
    <w:p w14:paraId="53D56ABB" w14:textId="2F224B1B" w:rsidR="00E50867" w:rsidRPr="009D56B8" w:rsidRDefault="00C770E8">
      <w:pPr>
        <w:keepNext/>
        <w:keepLines/>
        <w:rPr>
          <w:szCs w:val="22"/>
          <w:lang w:val="nb-NO"/>
        </w:rPr>
      </w:pPr>
      <w:r w:rsidRPr="009D56B8">
        <w:rPr>
          <w:szCs w:val="22"/>
          <w:lang w:val="nb-NO"/>
        </w:rPr>
        <w:t xml:space="preserve">Dimetylfumarat administrert peroralt gjennomgår rask presystemisk hydrolyse vha. esteraser og omdannes til den primære metabolitten monometylfumarat, som også er aktiv. Dimetylfumarat er ikke målbar i plasma etter peroral administrering av </w:t>
      </w:r>
      <w:r w:rsidR="00111370" w:rsidRPr="009D56B8">
        <w:rPr>
          <w:szCs w:val="22"/>
          <w:lang w:val="nb-NO"/>
        </w:rPr>
        <w:t>dimetylfumarat</w:t>
      </w:r>
      <w:r w:rsidRPr="009D56B8">
        <w:rPr>
          <w:szCs w:val="22"/>
          <w:lang w:val="nb-NO"/>
        </w:rPr>
        <w:t>. Alle farmakokinetiske analyser knyttet til dimetylfumarat ble derfor utført ved måling av monometylfumaratkonsentrasjoner i plasma. Farmakokinetiske data ble innhentet hos personer med multippel sklerose og hos friske frivillige.</w:t>
      </w:r>
    </w:p>
    <w:p w14:paraId="3D6C7747" w14:textId="77777777" w:rsidR="00E50867" w:rsidRPr="009D56B8" w:rsidRDefault="00E50867">
      <w:pPr>
        <w:rPr>
          <w:szCs w:val="22"/>
          <w:lang w:val="nb-NO"/>
        </w:rPr>
      </w:pPr>
    </w:p>
    <w:p w14:paraId="0528B57D" w14:textId="77777777" w:rsidR="00E50867" w:rsidRPr="009D56B8" w:rsidRDefault="00C770E8" w:rsidP="00513CD0">
      <w:pPr>
        <w:keepNext/>
        <w:rPr>
          <w:szCs w:val="22"/>
          <w:u w:val="single"/>
          <w:lang w:val="nb-NO"/>
        </w:rPr>
      </w:pPr>
      <w:r w:rsidRPr="009D56B8">
        <w:rPr>
          <w:szCs w:val="22"/>
          <w:u w:val="single"/>
          <w:lang w:val="nb-NO"/>
        </w:rPr>
        <w:t>Absorpsjon</w:t>
      </w:r>
    </w:p>
    <w:p w14:paraId="05C735F5" w14:textId="77777777" w:rsidR="00E50867" w:rsidRPr="009D56B8" w:rsidRDefault="00E50867" w:rsidP="00513CD0">
      <w:pPr>
        <w:keepNext/>
        <w:rPr>
          <w:szCs w:val="22"/>
          <w:lang w:val="nb-NO"/>
        </w:rPr>
      </w:pPr>
    </w:p>
    <w:p w14:paraId="466DBEA9" w14:textId="51DF5189" w:rsidR="00E50867" w:rsidRPr="009D56B8" w:rsidRDefault="00C770E8">
      <w:pPr>
        <w:rPr>
          <w:szCs w:val="22"/>
          <w:lang w:val="nb-NO"/>
        </w:rPr>
      </w:pPr>
      <w:r w:rsidRPr="009D56B8">
        <w:rPr>
          <w:szCs w:val="22"/>
          <w:lang w:val="nb-NO"/>
        </w:rPr>
        <w:t>T</w:t>
      </w:r>
      <w:r w:rsidRPr="009D56B8">
        <w:rPr>
          <w:szCs w:val="22"/>
          <w:vertAlign w:val="subscript"/>
          <w:lang w:val="nb-NO"/>
        </w:rPr>
        <w:t>max</w:t>
      </w:r>
      <w:r w:rsidRPr="009D56B8">
        <w:rPr>
          <w:szCs w:val="22"/>
          <w:lang w:val="nb-NO"/>
        </w:rPr>
        <w:t xml:space="preserve"> for monometylfumarat er 2 - 2,5 timer. Ettersom </w:t>
      </w:r>
      <w:r w:rsidR="00111370" w:rsidRPr="009D56B8">
        <w:rPr>
          <w:szCs w:val="22"/>
          <w:lang w:val="nb-NO"/>
        </w:rPr>
        <w:t>dimetylfumarat</w:t>
      </w:r>
      <w:r w:rsidRPr="009D56B8">
        <w:rPr>
          <w:szCs w:val="22"/>
          <w:lang w:val="nb-NO"/>
        </w:rPr>
        <w:t xml:space="preserve"> harde enterokapsler inneholder </w:t>
      </w:r>
      <w:r w:rsidR="00111370" w:rsidRPr="009D56B8">
        <w:rPr>
          <w:szCs w:val="22"/>
          <w:lang w:val="nb-NO"/>
        </w:rPr>
        <w:t xml:space="preserve">minitabletter </w:t>
      </w:r>
      <w:r w:rsidRPr="009D56B8">
        <w:rPr>
          <w:szCs w:val="22"/>
          <w:lang w:val="nb-NO"/>
        </w:rPr>
        <w:t>som er beskyttet med enterodrasjering, begynner ikke absorpsjonen før de forlater magesekken (som regel &lt;</w:t>
      </w:r>
      <w:r w:rsidR="0057098E" w:rsidRPr="009D56B8">
        <w:rPr>
          <w:szCs w:val="22"/>
          <w:lang w:val="nb-NO"/>
        </w:rPr>
        <w:t> </w:t>
      </w:r>
      <w:r w:rsidRPr="009D56B8">
        <w:rPr>
          <w:szCs w:val="22"/>
          <w:lang w:val="nb-NO"/>
        </w:rPr>
        <w:t>1 time). Etter at 240 mg ble gitt to ganger daglig sammen med mat, var median toppkonsentrasjon (C</w:t>
      </w:r>
      <w:r w:rsidRPr="009D56B8">
        <w:rPr>
          <w:szCs w:val="22"/>
          <w:vertAlign w:val="subscript"/>
          <w:lang w:val="nb-NO"/>
        </w:rPr>
        <w:t>max</w:t>
      </w:r>
      <w:r w:rsidRPr="009D56B8">
        <w:rPr>
          <w:szCs w:val="22"/>
          <w:lang w:val="nb-NO"/>
        </w:rPr>
        <w:t>) 1,72 mg/liter og total areal under kurven (AUC)-eksponering var 8,02 timer.mg/liter hos pasienter med multippel sklerose. Samlet økte C</w:t>
      </w:r>
      <w:r w:rsidRPr="009D56B8">
        <w:rPr>
          <w:szCs w:val="22"/>
          <w:vertAlign w:val="subscript"/>
          <w:lang w:val="nb-NO"/>
        </w:rPr>
        <w:t>max</w:t>
      </w:r>
      <w:r w:rsidRPr="009D56B8">
        <w:rPr>
          <w:szCs w:val="22"/>
          <w:lang w:val="nb-NO"/>
        </w:rPr>
        <w:t xml:space="preserve"> og AUC tilnærmet doseproporsjonalt i doseområdet som ble undersøkt (120 mg - 360 mg). Forsøkspersoner med multippel sklerose fikk to doser på 240 mg med 4 timers mellomrom som en del av et regime med dosering tre ganger daglig. Dette resulterte i en minimal akkumulering av eksponering som ga en økning i median C</w:t>
      </w:r>
      <w:r w:rsidRPr="009D56B8">
        <w:rPr>
          <w:szCs w:val="22"/>
          <w:vertAlign w:val="subscript"/>
          <w:lang w:val="nb-NO"/>
        </w:rPr>
        <w:t>max</w:t>
      </w:r>
      <w:r w:rsidRPr="009D56B8">
        <w:rPr>
          <w:szCs w:val="22"/>
          <w:lang w:val="nb-NO"/>
        </w:rPr>
        <w:t xml:space="preserve"> på 12 % i forhold til dosering to ganger daglig (1,72 mg/liter ved dosering to ganger daglig, sammenlignet med 1,93 mg/liter ved dosering tre ganger daglig) uten noen betydning for sikkerheten.</w:t>
      </w:r>
    </w:p>
    <w:p w14:paraId="7B383E3F" w14:textId="77777777" w:rsidR="00E50867" w:rsidRPr="009D56B8" w:rsidRDefault="00E50867">
      <w:pPr>
        <w:rPr>
          <w:szCs w:val="22"/>
          <w:lang w:val="nb-NO"/>
        </w:rPr>
      </w:pPr>
    </w:p>
    <w:p w14:paraId="37B8E375" w14:textId="10479C92" w:rsidR="00E50867" w:rsidRPr="009D56B8" w:rsidRDefault="00C770E8">
      <w:pPr>
        <w:rPr>
          <w:szCs w:val="22"/>
          <w:lang w:val="nb-NO"/>
        </w:rPr>
      </w:pPr>
      <w:r w:rsidRPr="009D56B8">
        <w:rPr>
          <w:szCs w:val="22"/>
          <w:lang w:val="nb-NO"/>
        </w:rPr>
        <w:lastRenderedPageBreak/>
        <w:t xml:space="preserve">Mat har ikke noen klinisk signifikant effekt på eksponering for dimetylfumarat. </w:t>
      </w:r>
      <w:r w:rsidR="00111370" w:rsidRPr="009D56B8">
        <w:rPr>
          <w:szCs w:val="22"/>
          <w:lang w:val="nb-NO"/>
        </w:rPr>
        <w:t>Dimetylfumarat</w:t>
      </w:r>
      <w:r w:rsidRPr="009D56B8">
        <w:rPr>
          <w:szCs w:val="22"/>
          <w:lang w:val="nb-NO"/>
        </w:rPr>
        <w:t xml:space="preserve"> bør imidlertid tas sammen med mat på grunn av forbedret tolerabilitet med hensyn til flushing og gastrointestinale bivirkninger (se pkt. 4.2).</w:t>
      </w:r>
    </w:p>
    <w:p w14:paraId="4AFAE0FC" w14:textId="77777777" w:rsidR="00E50867" w:rsidRPr="009D56B8" w:rsidRDefault="00E50867">
      <w:pPr>
        <w:rPr>
          <w:szCs w:val="22"/>
          <w:lang w:val="nb-NO"/>
        </w:rPr>
      </w:pPr>
    </w:p>
    <w:p w14:paraId="15960974" w14:textId="77777777" w:rsidR="00E50867" w:rsidRPr="009D56B8" w:rsidRDefault="00C770E8">
      <w:pPr>
        <w:keepNext/>
        <w:rPr>
          <w:szCs w:val="22"/>
          <w:u w:val="single"/>
          <w:lang w:val="nb-NO"/>
        </w:rPr>
      </w:pPr>
      <w:r w:rsidRPr="009D56B8">
        <w:rPr>
          <w:szCs w:val="22"/>
          <w:u w:val="single"/>
          <w:lang w:val="nb-NO"/>
        </w:rPr>
        <w:t>Distribusjon</w:t>
      </w:r>
    </w:p>
    <w:p w14:paraId="37F55BD1" w14:textId="77777777" w:rsidR="00E50867" w:rsidRPr="009D56B8" w:rsidRDefault="00E50867">
      <w:pPr>
        <w:keepNext/>
        <w:rPr>
          <w:szCs w:val="22"/>
          <w:lang w:val="nb-NO"/>
        </w:rPr>
      </w:pPr>
    </w:p>
    <w:p w14:paraId="5AD02F00" w14:textId="77777777" w:rsidR="00E50867" w:rsidRPr="009D56B8" w:rsidRDefault="00C770E8">
      <w:pPr>
        <w:keepNext/>
        <w:rPr>
          <w:szCs w:val="22"/>
          <w:lang w:val="nb-NO"/>
        </w:rPr>
      </w:pPr>
      <w:r w:rsidRPr="009D56B8">
        <w:rPr>
          <w:szCs w:val="22"/>
          <w:lang w:val="nb-NO"/>
        </w:rPr>
        <w:t>Tilsynelatende distribusjonsvolum etter peroral administrering av 240 mg dimetylfumarat varierer mellom 60 liter og 90 liter. Human plasmaproteinbinding av monometylfumarat varierer vanligvis mellom 27 % og 40 %.</w:t>
      </w:r>
    </w:p>
    <w:p w14:paraId="7FA7F72D" w14:textId="77777777" w:rsidR="00E50867" w:rsidRPr="009D56B8" w:rsidRDefault="00E50867">
      <w:pPr>
        <w:rPr>
          <w:szCs w:val="22"/>
          <w:lang w:val="nb-NO"/>
        </w:rPr>
      </w:pPr>
    </w:p>
    <w:p w14:paraId="69C273EE" w14:textId="77777777" w:rsidR="00E50867" w:rsidRPr="009D56B8" w:rsidRDefault="00C770E8">
      <w:pPr>
        <w:keepNext/>
        <w:rPr>
          <w:szCs w:val="22"/>
          <w:u w:val="single"/>
          <w:lang w:val="nb-NO"/>
        </w:rPr>
      </w:pPr>
      <w:r w:rsidRPr="009D56B8">
        <w:rPr>
          <w:szCs w:val="22"/>
          <w:u w:val="single"/>
          <w:lang w:val="nb-NO"/>
        </w:rPr>
        <w:t>Biotransformasjon</w:t>
      </w:r>
    </w:p>
    <w:p w14:paraId="63E65198" w14:textId="77777777" w:rsidR="00E50867" w:rsidRPr="009D56B8" w:rsidRDefault="00E50867">
      <w:pPr>
        <w:keepNext/>
        <w:rPr>
          <w:szCs w:val="22"/>
          <w:lang w:val="nb-NO"/>
        </w:rPr>
      </w:pPr>
    </w:p>
    <w:p w14:paraId="15D50FC9" w14:textId="41D530E3" w:rsidR="00E50867" w:rsidRPr="009D56B8" w:rsidRDefault="00C770E8">
      <w:pPr>
        <w:rPr>
          <w:szCs w:val="22"/>
          <w:lang w:val="nb-NO"/>
        </w:rPr>
      </w:pPr>
      <w:r w:rsidRPr="009D56B8">
        <w:rPr>
          <w:szCs w:val="22"/>
          <w:lang w:val="nb-NO"/>
        </w:rPr>
        <w:t>Hos mennesker metaboliseres dimetylfumarat i stor grad, og &lt;</w:t>
      </w:r>
      <w:r w:rsidR="0057098E" w:rsidRPr="009D56B8">
        <w:rPr>
          <w:szCs w:val="22"/>
          <w:lang w:val="nb-NO"/>
        </w:rPr>
        <w:t> </w:t>
      </w:r>
      <w:r w:rsidRPr="009D56B8">
        <w:rPr>
          <w:szCs w:val="22"/>
          <w:lang w:val="nb-NO"/>
        </w:rPr>
        <w:t xml:space="preserve">0,1 % av dosen utskilles som uforandret dimetylfumarat i urin. I utgangspunktet metaboliseres det av esteraser, som er utbredt i magetarmkanalen, blod og vev, før det når den systemiske sirkulasjonen. Videre metabolisme skjer gjennom trikarboksylsyresyklusen, uten medvirkning fra cytokrom P450 (CYP)-systemet. I en studie med en enkeltdose av 240 mg </w:t>
      </w:r>
      <w:r w:rsidRPr="009D56B8">
        <w:rPr>
          <w:szCs w:val="22"/>
          <w:vertAlign w:val="superscript"/>
          <w:lang w:val="nb-NO"/>
        </w:rPr>
        <w:t>14</w:t>
      </w:r>
      <w:r w:rsidRPr="009D56B8">
        <w:rPr>
          <w:szCs w:val="22"/>
          <w:lang w:val="nb-NO"/>
        </w:rPr>
        <w:t>C-dimetylfumarat ble glukose identifisert som den dominerende metabolitten i humant plasma. Andre sirkulerende metabolitter var fumarsyre, sitronsyre og monometylfumarat. Metabolismen av fumarsyre nedstrøms skjer gjennom trikarboksylsyresyklusen, med ekspirasjon av CO</w:t>
      </w:r>
      <w:r w:rsidRPr="009D56B8">
        <w:rPr>
          <w:szCs w:val="22"/>
          <w:vertAlign w:val="subscript"/>
          <w:lang w:val="nb-NO"/>
        </w:rPr>
        <w:t>2</w:t>
      </w:r>
      <w:r w:rsidRPr="009D56B8">
        <w:rPr>
          <w:szCs w:val="22"/>
          <w:lang w:val="nb-NO"/>
        </w:rPr>
        <w:t xml:space="preserve"> som den viktigste eliminasjonsveien.</w:t>
      </w:r>
    </w:p>
    <w:p w14:paraId="29CB4426" w14:textId="77777777" w:rsidR="00E50867" w:rsidRPr="009D56B8" w:rsidRDefault="00E50867">
      <w:pPr>
        <w:rPr>
          <w:szCs w:val="22"/>
          <w:lang w:val="nb-NO"/>
        </w:rPr>
      </w:pPr>
    </w:p>
    <w:p w14:paraId="76022D22" w14:textId="77777777" w:rsidR="00E50867" w:rsidRPr="009D56B8" w:rsidRDefault="00C770E8">
      <w:pPr>
        <w:keepNext/>
        <w:rPr>
          <w:szCs w:val="22"/>
          <w:u w:val="single"/>
          <w:lang w:val="nb-NO"/>
        </w:rPr>
      </w:pPr>
      <w:r w:rsidRPr="009D56B8">
        <w:rPr>
          <w:szCs w:val="22"/>
          <w:u w:val="single"/>
          <w:lang w:val="nb-NO"/>
        </w:rPr>
        <w:t>Eliminasjon</w:t>
      </w:r>
    </w:p>
    <w:p w14:paraId="4C8A6E8E" w14:textId="77777777" w:rsidR="00E50867" w:rsidRPr="009D56B8" w:rsidRDefault="00E50867">
      <w:pPr>
        <w:keepNext/>
        <w:rPr>
          <w:szCs w:val="22"/>
          <w:lang w:val="nb-NO"/>
        </w:rPr>
      </w:pPr>
    </w:p>
    <w:p w14:paraId="75C02B81" w14:textId="77777777" w:rsidR="00E50867" w:rsidRPr="009D56B8" w:rsidRDefault="00C770E8">
      <w:pPr>
        <w:rPr>
          <w:szCs w:val="22"/>
          <w:lang w:val="nb-NO"/>
        </w:rPr>
      </w:pPr>
      <w:r w:rsidRPr="009D56B8">
        <w:rPr>
          <w:szCs w:val="22"/>
          <w:lang w:val="nb-NO"/>
        </w:rPr>
        <w:t>Ekspirasjon av CO</w:t>
      </w:r>
      <w:r w:rsidRPr="009D56B8">
        <w:rPr>
          <w:szCs w:val="22"/>
          <w:vertAlign w:val="subscript"/>
          <w:lang w:val="nb-NO"/>
        </w:rPr>
        <w:t>2</w:t>
      </w:r>
      <w:r w:rsidRPr="009D56B8">
        <w:rPr>
          <w:szCs w:val="22"/>
          <w:lang w:val="nb-NO"/>
        </w:rPr>
        <w:t xml:space="preserve"> er den viktigste eliminasjonsveien for dimetylfumarat og utgjør 60 % av dosen. Renal og fekal eliminasjon er sekundære eliminasjonsveier og utgjør henholdsvis 15,5 % og 0,9 % av dosen.</w:t>
      </w:r>
    </w:p>
    <w:p w14:paraId="6851DF9C" w14:textId="77777777" w:rsidR="00E50867" w:rsidRPr="009D56B8" w:rsidRDefault="00E50867">
      <w:pPr>
        <w:rPr>
          <w:szCs w:val="22"/>
          <w:lang w:val="nb-NO"/>
        </w:rPr>
      </w:pPr>
    </w:p>
    <w:p w14:paraId="27FC454E" w14:textId="2A35970B" w:rsidR="00E50867" w:rsidRPr="009D56B8" w:rsidRDefault="00C770E8">
      <w:pPr>
        <w:rPr>
          <w:szCs w:val="22"/>
          <w:lang w:val="nb-NO"/>
        </w:rPr>
      </w:pPr>
      <w:r w:rsidRPr="009D56B8">
        <w:rPr>
          <w:szCs w:val="22"/>
          <w:lang w:val="nb-NO"/>
        </w:rPr>
        <w:t xml:space="preserve">Den terminale halveringstiden for monometylfumarat er kort (ca. 1 time), og ikke noe sirkulerende monometylfumarat er til stede etter 24 timer hos de fleste individer. Akkumulering av </w:t>
      </w:r>
      <w:r w:rsidR="006A78D5" w:rsidRPr="009D56B8">
        <w:rPr>
          <w:szCs w:val="22"/>
          <w:lang w:val="nb-NO"/>
        </w:rPr>
        <w:t>dimetylfumarat</w:t>
      </w:r>
      <w:r w:rsidRPr="009D56B8">
        <w:rPr>
          <w:szCs w:val="22"/>
          <w:lang w:val="nb-NO"/>
        </w:rPr>
        <w:t xml:space="preserve"> og monometylfumarat forekommer ikke med gjentatte doser dimetylfumarat ved terapeutisk regime.</w:t>
      </w:r>
    </w:p>
    <w:p w14:paraId="13FB8ED1" w14:textId="77777777" w:rsidR="00E50867" w:rsidRPr="009D56B8" w:rsidRDefault="00E50867">
      <w:pPr>
        <w:rPr>
          <w:szCs w:val="22"/>
          <w:lang w:val="nb-NO"/>
        </w:rPr>
      </w:pPr>
    </w:p>
    <w:p w14:paraId="34A2945C" w14:textId="77777777" w:rsidR="00E50867" w:rsidRPr="009D56B8" w:rsidRDefault="00C770E8">
      <w:pPr>
        <w:rPr>
          <w:szCs w:val="22"/>
          <w:u w:val="single"/>
          <w:lang w:val="nb-NO"/>
        </w:rPr>
      </w:pPr>
      <w:r w:rsidRPr="009D56B8">
        <w:rPr>
          <w:szCs w:val="22"/>
          <w:u w:val="single"/>
          <w:lang w:val="nb-NO"/>
        </w:rPr>
        <w:t>Linearitet</w:t>
      </w:r>
    </w:p>
    <w:p w14:paraId="5C225C3F" w14:textId="77777777" w:rsidR="00E50867" w:rsidRPr="009D56B8" w:rsidRDefault="00E50867">
      <w:pPr>
        <w:rPr>
          <w:szCs w:val="22"/>
          <w:lang w:val="nb-NO"/>
        </w:rPr>
      </w:pPr>
    </w:p>
    <w:p w14:paraId="2D39BA06" w14:textId="77777777" w:rsidR="00E50867" w:rsidRPr="009D56B8" w:rsidRDefault="00C770E8">
      <w:pPr>
        <w:rPr>
          <w:szCs w:val="22"/>
          <w:lang w:val="nb-NO"/>
        </w:rPr>
      </w:pPr>
      <w:r w:rsidRPr="009D56B8">
        <w:rPr>
          <w:szCs w:val="22"/>
          <w:lang w:val="nb-NO"/>
        </w:rPr>
        <w:t>Eksponering for dimetylfumarat øker omtrent doseproporsjonalt med enkeltdoser og gjentatte doser i doseområdet som ble undersøkt, 120 mg - 360 mg.</w:t>
      </w:r>
    </w:p>
    <w:p w14:paraId="1AA2498E" w14:textId="77777777" w:rsidR="00E50867" w:rsidRPr="009D56B8" w:rsidRDefault="00E50867">
      <w:pPr>
        <w:rPr>
          <w:szCs w:val="22"/>
          <w:lang w:val="nb-NO"/>
        </w:rPr>
      </w:pPr>
    </w:p>
    <w:p w14:paraId="5EEC8A1A" w14:textId="77777777" w:rsidR="00E50867" w:rsidRPr="009D56B8" w:rsidRDefault="00C770E8">
      <w:pPr>
        <w:rPr>
          <w:szCs w:val="22"/>
          <w:u w:val="single"/>
          <w:lang w:val="nb-NO"/>
        </w:rPr>
      </w:pPr>
      <w:r w:rsidRPr="009D56B8">
        <w:rPr>
          <w:szCs w:val="22"/>
          <w:u w:val="single"/>
          <w:lang w:val="nb-NO"/>
        </w:rPr>
        <w:t>Farmakokinetikk i spesielle pasientgrupper</w:t>
      </w:r>
    </w:p>
    <w:p w14:paraId="337AE628" w14:textId="77777777" w:rsidR="00E50867" w:rsidRPr="009D56B8" w:rsidRDefault="00E50867">
      <w:pPr>
        <w:rPr>
          <w:szCs w:val="22"/>
          <w:lang w:val="nb-NO"/>
        </w:rPr>
      </w:pPr>
    </w:p>
    <w:p w14:paraId="0CDC56CA" w14:textId="77777777" w:rsidR="00E50867" w:rsidRPr="009D56B8" w:rsidRDefault="00C770E8">
      <w:pPr>
        <w:rPr>
          <w:szCs w:val="22"/>
          <w:lang w:val="nb-NO"/>
        </w:rPr>
      </w:pPr>
      <w:r w:rsidRPr="009D56B8">
        <w:rPr>
          <w:szCs w:val="22"/>
          <w:lang w:val="nb-NO"/>
        </w:rPr>
        <w:t>Basert på resultatene av variansanalyse (ANOVA), er kroppsvekt den viktigste kovariaten av eksponering (C</w:t>
      </w:r>
      <w:r w:rsidRPr="009D56B8">
        <w:rPr>
          <w:szCs w:val="22"/>
          <w:vertAlign w:val="subscript"/>
          <w:lang w:val="nb-NO"/>
        </w:rPr>
        <w:t>max</w:t>
      </w:r>
      <w:r w:rsidRPr="009D56B8">
        <w:rPr>
          <w:szCs w:val="22"/>
          <w:lang w:val="nb-NO"/>
        </w:rPr>
        <w:t xml:space="preserve"> og AUC) hos forsøkspersoner med RRMS, men dette påvirket ikke sikkerhets- og effektmålene som ble vurdert i de kliniske studiene.</w:t>
      </w:r>
    </w:p>
    <w:p w14:paraId="7BFA3714" w14:textId="77777777" w:rsidR="00E50867" w:rsidRPr="009D56B8" w:rsidRDefault="00E50867">
      <w:pPr>
        <w:rPr>
          <w:szCs w:val="22"/>
          <w:lang w:val="nb-NO"/>
        </w:rPr>
      </w:pPr>
    </w:p>
    <w:p w14:paraId="49200735" w14:textId="76F15E1D" w:rsidR="00E50867" w:rsidRPr="009D56B8" w:rsidRDefault="00C770E8">
      <w:pPr>
        <w:rPr>
          <w:szCs w:val="22"/>
          <w:lang w:val="nb-NO"/>
        </w:rPr>
      </w:pPr>
      <w:r w:rsidRPr="009D56B8">
        <w:rPr>
          <w:szCs w:val="22"/>
          <w:lang w:val="nb-NO"/>
        </w:rPr>
        <w:t>Kjønn og alder hadde ikke noen klinisk signifikant effekt på farmakokinetikken til dimetylfumarat. Farmakokinetikken hos pasienter i alderen ≥</w:t>
      </w:r>
      <w:r w:rsidR="0057098E" w:rsidRPr="009D56B8">
        <w:rPr>
          <w:szCs w:val="22"/>
          <w:lang w:val="nb-NO"/>
        </w:rPr>
        <w:t> </w:t>
      </w:r>
      <w:r w:rsidRPr="009D56B8">
        <w:rPr>
          <w:szCs w:val="22"/>
          <w:lang w:val="nb-NO"/>
        </w:rPr>
        <w:t>65 år er ikke undersøkt.</w:t>
      </w:r>
    </w:p>
    <w:p w14:paraId="6CC1495A" w14:textId="77777777" w:rsidR="00E50867" w:rsidRPr="009D56B8" w:rsidRDefault="00E50867">
      <w:pPr>
        <w:rPr>
          <w:szCs w:val="22"/>
          <w:lang w:val="nb-NO"/>
        </w:rPr>
      </w:pPr>
    </w:p>
    <w:p w14:paraId="5C003BB6" w14:textId="77777777" w:rsidR="00E50867" w:rsidRPr="009D56B8" w:rsidRDefault="00C770E8">
      <w:pPr>
        <w:keepNext/>
        <w:rPr>
          <w:i/>
          <w:szCs w:val="22"/>
          <w:lang w:val="nb-NO"/>
        </w:rPr>
      </w:pPr>
      <w:r w:rsidRPr="009D56B8">
        <w:rPr>
          <w:i/>
          <w:szCs w:val="22"/>
          <w:lang w:val="nb-NO"/>
        </w:rPr>
        <w:t>Nedsatt nyrefunksjon</w:t>
      </w:r>
    </w:p>
    <w:p w14:paraId="4E7EE718" w14:textId="77777777" w:rsidR="00415728" w:rsidRPr="009D56B8" w:rsidRDefault="00415728">
      <w:pPr>
        <w:rPr>
          <w:szCs w:val="22"/>
          <w:lang w:val="nb-NO"/>
        </w:rPr>
      </w:pPr>
    </w:p>
    <w:p w14:paraId="0FFF9AE0" w14:textId="02AC818C" w:rsidR="00E50867" w:rsidRPr="009D56B8" w:rsidRDefault="00C770E8">
      <w:pPr>
        <w:rPr>
          <w:szCs w:val="22"/>
          <w:lang w:val="nb-NO"/>
        </w:rPr>
      </w:pPr>
      <w:r w:rsidRPr="009D56B8">
        <w:rPr>
          <w:szCs w:val="22"/>
          <w:lang w:val="nb-NO"/>
        </w:rPr>
        <w:t>Siden nyrene er en sekundær eliminasjonsvei for dimetylfumarat (&lt;</w:t>
      </w:r>
      <w:r w:rsidR="0057098E" w:rsidRPr="009D56B8">
        <w:rPr>
          <w:szCs w:val="22"/>
          <w:lang w:val="nb-NO"/>
        </w:rPr>
        <w:t> </w:t>
      </w:r>
      <w:r w:rsidRPr="009D56B8">
        <w:rPr>
          <w:szCs w:val="22"/>
          <w:lang w:val="nb-NO"/>
        </w:rPr>
        <w:t>16 % av administrert dose), ble det ikke utført evaluering av farmakokinetikken hos personer med nedsatt nyrefunksjon.</w:t>
      </w:r>
    </w:p>
    <w:p w14:paraId="5BE52A1D" w14:textId="77777777" w:rsidR="00E50867" w:rsidRPr="009D56B8" w:rsidRDefault="00E50867">
      <w:pPr>
        <w:rPr>
          <w:szCs w:val="22"/>
          <w:lang w:val="nb-NO"/>
        </w:rPr>
      </w:pPr>
    </w:p>
    <w:p w14:paraId="018D70DB" w14:textId="77777777" w:rsidR="00E50867" w:rsidRPr="009D56B8" w:rsidRDefault="00C770E8" w:rsidP="008E40D3">
      <w:pPr>
        <w:rPr>
          <w:i/>
          <w:szCs w:val="22"/>
          <w:lang w:val="nb-NO"/>
        </w:rPr>
      </w:pPr>
      <w:r w:rsidRPr="009D56B8">
        <w:rPr>
          <w:i/>
          <w:szCs w:val="22"/>
          <w:lang w:val="nb-NO"/>
        </w:rPr>
        <w:t>Nedsatt leverfunksjon</w:t>
      </w:r>
    </w:p>
    <w:p w14:paraId="103161BB" w14:textId="77777777" w:rsidR="00415728" w:rsidRPr="009D56B8" w:rsidRDefault="00415728">
      <w:pPr>
        <w:rPr>
          <w:szCs w:val="22"/>
          <w:lang w:val="nb-NO"/>
        </w:rPr>
      </w:pPr>
    </w:p>
    <w:p w14:paraId="2A2F3EA0" w14:textId="431B7A58" w:rsidR="00E50867" w:rsidRPr="009D56B8" w:rsidRDefault="00C770E8">
      <w:pPr>
        <w:rPr>
          <w:szCs w:val="22"/>
          <w:lang w:val="nb-NO"/>
        </w:rPr>
      </w:pPr>
      <w:r w:rsidRPr="009D56B8">
        <w:rPr>
          <w:szCs w:val="22"/>
          <w:lang w:val="nb-NO"/>
        </w:rPr>
        <w:t>Ettersom dimetylfumarat og monometylfumarat metaboliseres av esteraser, uten medvirkning fra CYP450-systemet, ble det ikke utført noen evaluering av farmakokinetikken hos personer med nedsatt leverfunksjon.</w:t>
      </w:r>
    </w:p>
    <w:p w14:paraId="079F566A" w14:textId="77777777" w:rsidR="00B12DB7" w:rsidRPr="009D56B8" w:rsidRDefault="00B12DB7">
      <w:pPr>
        <w:rPr>
          <w:szCs w:val="22"/>
          <w:lang w:val="nb-NO"/>
        </w:rPr>
      </w:pPr>
    </w:p>
    <w:p w14:paraId="7D02ED21" w14:textId="77777777" w:rsidR="00B12DB7" w:rsidRPr="009D56B8" w:rsidRDefault="00B12DB7" w:rsidP="00B12DB7">
      <w:pPr>
        <w:keepNext/>
        <w:rPr>
          <w:i/>
          <w:szCs w:val="22"/>
          <w:lang w:val="nb-NO"/>
        </w:rPr>
      </w:pPr>
      <w:r w:rsidRPr="009D56B8">
        <w:rPr>
          <w:i/>
          <w:szCs w:val="22"/>
          <w:lang w:val="nb-NO"/>
        </w:rPr>
        <w:lastRenderedPageBreak/>
        <w:t>Pediatrisk populasjon</w:t>
      </w:r>
    </w:p>
    <w:p w14:paraId="74501946" w14:textId="77777777" w:rsidR="00B12DB7" w:rsidRPr="009D56B8" w:rsidRDefault="00B12DB7" w:rsidP="00B12DB7">
      <w:pPr>
        <w:keepNext/>
        <w:rPr>
          <w:lang w:val="nb-NO"/>
        </w:rPr>
      </w:pPr>
    </w:p>
    <w:p w14:paraId="3FE6903C" w14:textId="77777777" w:rsidR="00B12DB7" w:rsidRPr="009D56B8" w:rsidRDefault="00B12DB7" w:rsidP="00B12DB7">
      <w:pPr>
        <w:rPr>
          <w:szCs w:val="22"/>
          <w:lang w:val="nb-NO"/>
        </w:rPr>
      </w:pPr>
      <w:r w:rsidRPr="009D56B8">
        <w:rPr>
          <w:szCs w:val="22"/>
          <w:lang w:val="nb-NO" w:eastAsia="en-US"/>
        </w:rPr>
        <w:t>Den f</w:t>
      </w:r>
      <w:r w:rsidRPr="009D56B8">
        <w:rPr>
          <w:szCs w:val="22"/>
          <w:lang w:val="nb-NO"/>
        </w:rPr>
        <w:t>armakokinetiske profilen til 240 mg dimetylfumarat to ganger daglig ble evaluert i en liten, åpen, ikke-kontrollert studie med pasienter i alderen 13 til 17 år med RRMS (n = 21). Farmakokinetikken til dimetylfumarat hos disse ungdommene var sammenfallende med den som tidligere er sett hos voksne pasienter (C</w:t>
      </w:r>
      <w:r w:rsidRPr="009D56B8">
        <w:rPr>
          <w:szCs w:val="22"/>
          <w:vertAlign w:val="subscript"/>
          <w:lang w:val="nb-NO"/>
        </w:rPr>
        <w:t>max</w:t>
      </w:r>
      <w:r w:rsidRPr="009D56B8">
        <w:rPr>
          <w:szCs w:val="22"/>
          <w:lang w:val="nb-NO"/>
        </w:rPr>
        <w:t>: 2,00±1,29 mg/liter, AUC</w:t>
      </w:r>
      <w:r w:rsidRPr="009D56B8">
        <w:rPr>
          <w:szCs w:val="22"/>
          <w:vertAlign w:val="subscript"/>
          <w:lang w:val="nb-NO"/>
        </w:rPr>
        <w:t>0-12t</w:t>
      </w:r>
      <w:r w:rsidRPr="009D56B8">
        <w:rPr>
          <w:szCs w:val="22"/>
          <w:lang w:val="nb-NO"/>
        </w:rPr>
        <w:t>: 3,62±1,16 timer.mg/liter, som tilsvarer samlet daglig AUC på 7,24 timer.mg/liter).</w:t>
      </w:r>
    </w:p>
    <w:p w14:paraId="71825B63" w14:textId="77777777" w:rsidR="00E50867" w:rsidRPr="009D56B8" w:rsidRDefault="00E50867">
      <w:pPr>
        <w:rPr>
          <w:szCs w:val="22"/>
          <w:lang w:val="nb-NO"/>
        </w:rPr>
      </w:pPr>
    </w:p>
    <w:p w14:paraId="30F8D373" w14:textId="77777777" w:rsidR="00E50867" w:rsidRPr="009D56B8" w:rsidRDefault="00C770E8">
      <w:pPr>
        <w:keepNext/>
        <w:widowControl w:val="0"/>
        <w:suppressLineNumbers/>
        <w:ind w:left="567" w:hanging="567"/>
        <w:rPr>
          <w:b/>
          <w:szCs w:val="22"/>
          <w:lang w:val="nb-NO"/>
        </w:rPr>
      </w:pPr>
      <w:r w:rsidRPr="009D56B8">
        <w:rPr>
          <w:b/>
          <w:szCs w:val="22"/>
          <w:lang w:val="nb-NO"/>
        </w:rPr>
        <w:t>5.3</w:t>
      </w:r>
      <w:r w:rsidRPr="009D56B8">
        <w:rPr>
          <w:b/>
          <w:szCs w:val="22"/>
          <w:lang w:val="nb-NO"/>
        </w:rPr>
        <w:tab/>
        <w:t>Prekliniske sikkerhetsdata</w:t>
      </w:r>
    </w:p>
    <w:p w14:paraId="54D4A2FD" w14:textId="77777777" w:rsidR="00E50867" w:rsidRPr="009D56B8" w:rsidRDefault="00E50867">
      <w:pPr>
        <w:keepNext/>
        <w:rPr>
          <w:szCs w:val="22"/>
          <w:lang w:val="nb-NO"/>
        </w:rPr>
      </w:pPr>
    </w:p>
    <w:p w14:paraId="7C7DB74C" w14:textId="1DFC90A5" w:rsidR="00E50867" w:rsidRPr="009D56B8" w:rsidRDefault="00C770E8">
      <w:pPr>
        <w:suppressLineNumbers/>
        <w:rPr>
          <w:szCs w:val="22"/>
          <w:lang w:val="nb-NO"/>
        </w:rPr>
      </w:pPr>
      <w:r w:rsidRPr="009D56B8">
        <w:rPr>
          <w:szCs w:val="22"/>
          <w:lang w:val="nb-NO"/>
        </w:rPr>
        <w:t>Bivirkningene som er beskrevet i avsnittene Toksikologi og Reproduksjons</w:t>
      </w:r>
      <w:r w:rsidR="009921DB" w:rsidRPr="009D56B8">
        <w:rPr>
          <w:szCs w:val="22"/>
          <w:lang w:val="nb-NO"/>
        </w:rPr>
        <w:t>- og utviklings</w:t>
      </w:r>
      <w:r w:rsidRPr="009D56B8">
        <w:rPr>
          <w:szCs w:val="22"/>
          <w:lang w:val="nb-NO"/>
        </w:rPr>
        <w:t>toksisitet nedenfor, er ikke observert i kliniske studier, men er sett hos dyr ved eksponeringsnivåer som tilsvarer kliniske eksponeringsnivåer.</w:t>
      </w:r>
    </w:p>
    <w:p w14:paraId="7DEDD451" w14:textId="77777777" w:rsidR="00E50867" w:rsidRPr="009D56B8" w:rsidRDefault="00E50867">
      <w:pPr>
        <w:widowControl w:val="0"/>
        <w:suppressLineNumbers/>
        <w:rPr>
          <w:szCs w:val="22"/>
          <w:u w:val="single"/>
          <w:lang w:val="nb-NO"/>
        </w:rPr>
      </w:pPr>
    </w:p>
    <w:p w14:paraId="27F7356B" w14:textId="37F8D778" w:rsidR="00E50867" w:rsidRPr="009D56B8" w:rsidRDefault="0044490B">
      <w:pPr>
        <w:keepNext/>
        <w:widowControl w:val="0"/>
        <w:suppressLineNumbers/>
        <w:rPr>
          <w:szCs w:val="22"/>
          <w:lang w:val="nb-NO"/>
        </w:rPr>
      </w:pPr>
      <w:r w:rsidRPr="009D56B8">
        <w:rPr>
          <w:szCs w:val="22"/>
          <w:u w:val="single"/>
          <w:lang w:val="nb-NO"/>
        </w:rPr>
        <w:t>Gentoksisitet</w:t>
      </w:r>
    </w:p>
    <w:p w14:paraId="51C90570" w14:textId="77777777" w:rsidR="00E50867" w:rsidRPr="009D56B8" w:rsidRDefault="00E50867">
      <w:pPr>
        <w:rPr>
          <w:szCs w:val="22"/>
          <w:lang w:val="nb-NO"/>
        </w:rPr>
      </w:pPr>
    </w:p>
    <w:p w14:paraId="27E2830A" w14:textId="77777777" w:rsidR="00E50867" w:rsidRPr="009D56B8" w:rsidRDefault="00C770E8">
      <w:pPr>
        <w:widowControl w:val="0"/>
        <w:suppressLineNumbers/>
        <w:rPr>
          <w:szCs w:val="22"/>
          <w:lang w:val="nb-NO"/>
        </w:rPr>
      </w:pPr>
      <w:r w:rsidRPr="009D56B8">
        <w:rPr>
          <w:szCs w:val="22"/>
          <w:lang w:val="nb-NO"/>
        </w:rPr>
        <w:t xml:space="preserve">Dimetylfumarat og monometylfumarat var negative i en serie </w:t>
      </w:r>
      <w:r w:rsidRPr="009D56B8">
        <w:rPr>
          <w:i/>
          <w:szCs w:val="22"/>
          <w:lang w:val="nb-NO"/>
        </w:rPr>
        <w:t>in vitro</w:t>
      </w:r>
      <w:r w:rsidRPr="009D56B8">
        <w:rPr>
          <w:szCs w:val="22"/>
          <w:lang w:val="nb-NO"/>
        </w:rPr>
        <w:t xml:space="preserve">-analyser (Ames, kromosomaberrasjon i mammalske celler). Dimetylfumarat var negativ i </w:t>
      </w:r>
      <w:r w:rsidRPr="009D56B8">
        <w:rPr>
          <w:i/>
          <w:szCs w:val="22"/>
          <w:lang w:val="nb-NO"/>
        </w:rPr>
        <w:t>in vivo</w:t>
      </w:r>
      <w:r w:rsidRPr="009D56B8">
        <w:rPr>
          <w:szCs w:val="22"/>
          <w:lang w:val="nb-NO"/>
        </w:rPr>
        <w:t>-analysen av mikronukleus hos rotter.</w:t>
      </w:r>
    </w:p>
    <w:p w14:paraId="37C9D8F2" w14:textId="77777777" w:rsidR="00E50867" w:rsidRPr="009D56B8" w:rsidRDefault="00E50867">
      <w:pPr>
        <w:rPr>
          <w:szCs w:val="22"/>
          <w:lang w:val="nb-NO"/>
        </w:rPr>
      </w:pPr>
    </w:p>
    <w:p w14:paraId="55948C3C" w14:textId="77777777" w:rsidR="00E50867" w:rsidRPr="009D56B8" w:rsidRDefault="00C770E8">
      <w:pPr>
        <w:widowControl w:val="0"/>
        <w:suppressLineNumbers/>
        <w:rPr>
          <w:szCs w:val="22"/>
          <w:u w:val="single"/>
          <w:lang w:val="nb-NO"/>
        </w:rPr>
      </w:pPr>
      <w:r w:rsidRPr="009D56B8">
        <w:rPr>
          <w:szCs w:val="22"/>
          <w:u w:val="single"/>
          <w:lang w:val="nb-NO"/>
        </w:rPr>
        <w:t>Karsinogenese</w:t>
      </w:r>
    </w:p>
    <w:p w14:paraId="3ED4CF36" w14:textId="77777777" w:rsidR="00E50867" w:rsidRPr="009D56B8" w:rsidRDefault="00E50867">
      <w:pPr>
        <w:rPr>
          <w:szCs w:val="22"/>
          <w:lang w:val="nb-NO"/>
        </w:rPr>
      </w:pPr>
    </w:p>
    <w:p w14:paraId="1F815F99" w14:textId="244FCB24" w:rsidR="00A02DCC" w:rsidRPr="009D56B8" w:rsidRDefault="00C770E8">
      <w:pPr>
        <w:widowControl w:val="0"/>
        <w:suppressLineNumbers/>
        <w:rPr>
          <w:szCs w:val="22"/>
          <w:lang w:val="nb-NO"/>
        </w:rPr>
      </w:pPr>
      <w:r w:rsidRPr="009D56B8">
        <w:rPr>
          <w:szCs w:val="22"/>
          <w:lang w:val="nb-NO"/>
        </w:rPr>
        <w:t>Karsinogenitetsstudier med dimetylfumarat ble gjennomført i opptil 2 år på mus og rotte. Dimetylfumarat ble administrert peroralt med doser på 25, 75, 200 og 400 mg/kg/dag hos mus og i doser på 25, 50, 100, og 150 mg/kg/dag hos rotte.</w:t>
      </w:r>
    </w:p>
    <w:p w14:paraId="413D4121" w14:textId="77777777" w:rsidR="00A02DCC" w:rsidRPr="009D56B8" w:rsidRDefault="00A02DCC">
      <w:pPr>
        <w:widowControl w:val="0"/>
        <w:suppressLineNumbers/>
        <w:rPr>
          <w:szCs w:val="22"/>
          <w:lang w:val="nb-NO"/>
        </w:rPr>
      </w:pPr>
    </w:p>
    <w:p w14:paraId="051E164C" w14:textId="075E6D3B" w:rsidR="00E50867" w:rsidRPr="009D56B8" w:rsidRDefault="00C770E8">
      <w:pPr>
        <w:widowControl w:val="0"/>
        <w:suppressLineNumbers/>
        <w:rPr>
          <w:szCs w:val="22"/>
          <w:lang w:val="nb-NO"/>
        </w:rPr>
      </w:pPr>
      <w:r w:rsidRPr="009D56B8">
        <w:rPr>
          <w:szCs w:val="22"/>
          <w:lang w:val="nb-NO"/>
        </w:rPr>
        <w:t xml:space="preserve">Hos mus økte insidensen av karsinom i nyretubuli ved 75 mg/kg/dag, ved eksponering (AUC) som tilsvarte den anbefalte dosen for mennesker. Hos rotte økte insidensen av karsinom i nyretubuli </w:t>
      </w:r>
      <w:r w:rsidR="00D537C9" w:rsidRPr="009D56B8">
        <w:rPr>
          <w:szCs w:val="22"/>
          <w:lang w:val="nb-NO"/>
        </w:rPr>
        <w:t xml:space="preserve">og Leydigcelleadenom i testiklene </w:t>
      </w:r>
      <w:r w:rsidRPr="009D56B8">
        <w:rPr>
          <w:szCs w:val="22"/>
          <w:lang w:val="nb-NO"/>
        </w:rPr>
        <w:t>ved 100 mg/kg/dag, ved eksponering som var ca. 2 ganger høyere enn den anbefalte dosen for mennesker. Relevansen av disse funnene for mennesker er ukjent.</w:t>
      </w:r>
    </w:p>
    <w:p w14:paraId="6E4A269E" w14:textId="77777777" w:rsidR="00E50867" w:rsidRPr="009D56B8" w:rsidRDefault="00E50867">
      <w:pPr>
        <w:rPr>
          <w:szCs w:val="22"/>
          <w:lang w:val="nb-NO"/>
        </w:rPr>
      </w:pPr>
    </w:p>
    <w:p w14:paraId="2DB86067" w14:textId="77777777" w:rsidR="00E50867" w:rsidRPr="009D56B8" w:rsidRDefault="00C770E8">
      <w:pPr>
        <w:widowControl w:val="0"/>
        <w:suppressLineNumbers/>
        <w:rPr>
          <w:szCs w:val="22"/>
          <w:lang w:val="nb-NO"/>
        </w:rPr>
      </w:pPr>
      <w:r w:rsidRPr="009D56B8">
        <w:rPr>
          <w:szCs w:val="22"/>
          <w:lang w:val="nb-NO"/>
        </w:rPr>
        <w:t>Insidensen av plateepitelpapillom og -karsinom i den ikke-glandulære delen av magesekken (formagen) økte hos mus ved eksponering som tilsvarte den anbefalte dosen for mennesker, og hos rotte ved eksponering som tilsvarte den anbefalte dosen for mennesker (basert på AUC). Mennesker har ikke noe som tilsvarer formagen hos gnagere.</w:t>
      </w:r>
    </w:p>
    <w:p w14:paraId="15572391" w14:textId="77777777" w:rsidR="00E50867" w:rsidRPr="009D56B8" w:rsidRDefault="00E50867">
      <w:pPr>
        <w:rPr>
          <w:szCs w:val="22"/>
          <w:lang w:val="nb-NO"/>
        </w:rPr>
      </w:pPr>
    </w:p>
    <w:p w14:paraId="4AFC247A" w14:textId="77777777" w:rsidR="00E50867" w:rsidRPr="009D56B8" w:rsidRDefault="00C770E8" w:rsidP="00513CD0">
      <w:pPr>
        <w:keepNext/>
        <w:widowControl w:val="0"/>
        <w:suppressLineNumbers/>
        <w:rPr>
          <w:szCs w:val="22"/>
          <w:u w:val="single"/>
          <w:lang w:val="nb-NO"/>
        </w:rPr>
      </w:pPr>
      <w:r w:rsidRPr="009D56B8">
        <w:rPr>
          <w:szCs w:val="22"/>
          <w:u w:val="single"/>
          <w:lang w:val="nb-NO"/>
        </w:rPr>
        <w:t>Toksikologi</w:t>
      </w:r>
    </w:p>
    <w:p w14:paraId="46103C01" w14:textId="77777777" w:rsidR="00E50867" w:rsidRPr="009D56B8" w:rsidRDefault="00E50867" w:rsidP="00513CD0">
      <w:pPr>
        <w:keepNext/>
        <w:rPr>
          <w:szCs w:val="22"/>
          <w:lang w:val="nb-NO"/>
        </w:rPr>
      </w:pPr>
    </w:p>
    <w:p w14:paraId="77DACA7A" w14:textId="606ED5E8" w:rsidR="00E50867" w:rsidRPr="009D56B8" w:rsidRDefault="00C770E8">
      <w:pPr>
        <w:widowControl w:val="0"/>
        <w:suppressLineNumbers/>
        <w:rPr>
          <w:szCs w:val="22"/>
          <w:lang w:val="nb-NO"/>
        </w:rPr>
      </w:pPr>
      <w:r w:rsidRPr="009D56B8">
        <w:rPr>
          <w:szCs w:val="22"/>
          <w:lang w:val="nb-NO"/>
        </w:rPr>
        <w:t xml:space="preserve">Prekliniske studier med gnagere, kanin og ape ble gjennomført med en dimetylfumaratsuspensjon (dimetylfumarat i 0,8 % hydroksypropylmetylcellulose) administrert via oral sonde. </w:t>
      </w:r>
      <w:r w:rsidR="00B94DBC" w:rsidRPr="009D56B8">
        <w:rPr>
          <w:szCs w:val="22"/>
          <w:lang w:val="nb-NO"/>
        </w:rPr>
        <w:t>S</w:t>
      </w:r>
      <w:r w:rsidRPr="009D56B8">
        <w:rPr>
          <w:szCs w:val="22"/>
          <w:lang w:val="nb-NO"/>
        </w:rPr>
        <w:t xml:space="preserve">tudien </w:t>
      </w:r>
      <w:r w:rsidR="00B94DBC" w:rsidRPr="009D56B8">
        <w:rPr>
          <w:szCs w:val="22"/>
          <w:lang w:val="nb-NO"/>
        </w:rPr>
        <w:t xml:space="preserve">av kronisk toksisitet </w:t>
      </w:r>
      <w:r w:rsidRPr="009D56B8">
        <w:rPr>
          <w:szCs w:val="22"/>
          <w:lang w:val="nb-NO"/>
        </w:rPr>
        <w:t>hos hund ble utført med oral administrering av dimetylfumaratkapselen.</w:t>
      </w:r>
    </w:p>
    <w:p w14:paraId="1F969B8A" w14:textId="77777777" w:rsidR="00E50867" w:rsidRPr="009D56B8" w:rsidRDefault="00E50867">
      <w:pPr>
        <w:rPr>
          <w:szCs w:val="22"/>
          <w:lang w:val="nb-NO"/>
        </w:rPr>
      </w:pPr>
    </w:p>
    <w:p w14:paraId="6FD9C24A" w14:textId="77777777" w:rsidR="00E50867" w:rsidRPr="009D56B8" w:rsidRDefault="00C770E8">
      <w:pPr>
        <w:widowControl w:val="0"/>
        <w:suppressLineNumbers/>
        <w:rPr>
          <w:szCs w:val="22"/>
          <w:lang w:val="nb-NO"/>
        </w:rPr>
      </w:pPr>
      <w:r w:rsidRPr="009D56B8">
        <w:rPr>
          <w:szCs w:val="22"/>
          <w:lang w:val="nb-NO"/>
        </w:rPr>
        <w:t>Endringer i nyrene ble observert etter gjentatt peroral administrering av dimetylfumarat hos mus, rotte, hund og ape. Regenerering av epitel i nyretubuli, som tydet på skade, ble sett hos alle dyrearter. Renal tubulær hyperplasi ble observert hos rotte ved livslang dosering (2-årig studie). Hos hunder som fikk daglige perorale doser med dimetylfumarat i 11 måneder, ble marginen beregnet for kortikal atrofi observert ved 3 ganger anbefalt dose basert på AUC. Hos aper som fikk daglige perorale doser med dimetylfumarat i 12 måneder, ble enkeltcellenekrose observert ved 2 ganger anbefalt dose basert på AUC. Interstitiell fibrose og kortikal atrofi ble observert ved 6 ganger anbefalt dose basert på AUC. Betydningen av disse funnene for mennesker er ikke kjent.</w:t>
      </w:r>
    </w:p>
    <w:p w14:paraId="0FFF83D3" w14:textId="77777777" w:rsidR="00E50867" w:rsidRPr="009D56B8" w:rsidRDefault="00E50867">
      <w:pPr>
        <w:rPr>
          <w:szCs w:val="22"/>
          <w:lang w:val="nb-NO"/>
        </w:rPr>
      </w:pPr>
    </w:p>
    <w:p w14:paraId="587101B4" w14:textId="77777777" w:rsidR="00E50867" w:rsidRPr="009D56B8" w:rsidRDefault="00C770E8">
      <w:pPr>
        <w:widowControl w:val="0"/>
        <w:suppressLineNumbers/>
        <w:rPr>
          <w:szCs w:val="22"/>
          <w:lang w:val="nb-NO"/>
        </w:rPr>
      </w:pPr>
      <w:r w:rsidRPr="009D56B8">
        <w:rPr>
          <w:szCs w:val="22"/>
          <w:lang w:val="nb-NO"/>
        </w:rPr>
        <w:t>Det ble sett degenerasjon av seminiferøst epitel i testiklene hos rotte og hund. Funnene ble observert ved omtrent anbefalt dose hos rotte og 3 ganger den anbefalte dosen hos hund (basert på AUC). Betydningen av disse funnene for mennesker er ikke kjent.</w:t>
      </w:r>
    </w:p>
    <w:p w14:paraId="025B3E3F" w14:textId="77777777" w:rsidR="00E50867" w:rsidRPr="009D56B8" w:rsidRDefault="00E50867">
      <w:pPr>
        <w:rPr>
          <w:szCs w:val="22"/>
          <w:lang w:val="nb-NO"/>
        </w:rPr>
      </w:pPr>
    </w:p>
    <w:p w14:paraId="016FA0ED" w14:textId="77777777" w:rsidR="00E50867" w:rsidRPr="009D56B8" w:rsidRDefault="00C770E8">
      <w:pPr>
        <w:widowControl w:val="0"/>
        <w:suppressLineNumbers/>
        <w:rPr>
          <w:szCs w:val="22"/>
          <w:lang w:val="nb-NO"/>
        </w:rPr>
      </w:pPr>
      <w:r w:rsidRPr="009D56B8">
        <w:rPr>
          <w:szCs w:val="22"/>
          <w:lang w:val="nb-NO"/>
        </w:rPr>
        <w:t xml:space="preserve">Funn i formagen hos mus og rotte besto av plateepitelhyperplasi og hyperkeratose, betennelse og plateepitelpapillom og -karsinom i studier på 3 måneder eller lengre. Mennesker har ikke noe som </w:t>
      </w:r>
      <w:r w:rsidRPr="009D56B8">
        <w:rPr>
          <w:szCs w:val="22"/>
          <w:lang w:val="nb-NO"/>
        </w:rPr>
        <w:lastRenderedPageBreak/>
        <w:t>tilsvarer formagen hos mus og rotte.</w:t>
      </w:r>
    </w:p>
    <w:p w14:paraId="327D53C1" w14:textId="77777777" w:rsidR="00E50867" w:rsidRPr="009D56B8" w:rsidRDefault="00E50867">
      <w:pPr>
        <w:rPr>
          <w:szCs w:val="22"/>
          <w:lang w:val="nb-NO"/>
        </w:rPr>
      </w:pPr>
    </w:p>
    <w:p w14:paraId="0D02F1AC" w14:textId="1CAF5FA2" w:rsidR="00E50867" w:rsidRPr="009D56B8" w:rsidRDefault="00C770E8">
      <w:pPr>
        <w:keepNext/>
        <w:widowControl w:val="0"/>
        <w:suppressLineNumbers/>
        <w:rPr>
          <w:szCs w:val="22"/>
          <w:u w:val="single"/>
          <w:lang w:val="nb-NO"/>
        </w:rPr>
      </w:pPr>
      <w:r w:rsidRPr="009D56B8">
        <w:rPr>
          <w:szCs w:val="22"/>
          <w:u w:val="single"/>
          <w:lang w:val="nb-NO"/>
        </w:rPr>
        <w:t>Reproduksjons</w:t>
      </w:r>
      <w:r w:rsidR="009D6900" w:rsidRPr="009D56B8">
        <w:rPr>
          <w:szCs w:val="22"/>
          <w:u w:val="single"/>
          <w:lang w:val="nb-NO"/>
        </w:rPr>
        <w:t>-</w:t>
      </w:r>
      <w:r w:rsidR="009921DB" w:rsidRPr="009D56B8">
        <w:rPr>
          <w:szCs w:val="22"/>
          <w:u w:val="single"/>
          <w:lang w:val="nb-NO"/>
        </w:rPr>
        <w:t xml:space="preserve"> og </w:t>
      </w:r>
      <w:r w:rsidR="009D6900" w:rsidRPr="009D56B8">
        <w:rPr>
          <w:szCs w:val="22"/>
          <w:u w:val="single"/>
          <w:lang w:val="nb-NO"/>
        </w:rPr>
        <w:t>utviklings</w:t>
      </w:r>
      <w:r w:rsidRPr="009D56B8">
        <w:rPr>
          <w:szCs w:val="22"/>
          <w:u w:val="single"/>
          <w:lang w:val="nb-NO"/>
        </w:rPr>
        <w:t>toksisitet</w:t>
      </w:r>
    </w:p>
    <w:p w14:paraId="44FDFCA8" w14:textId="77777777" w:rsidR="00E50867" w:rsidRPr="009D56B8" w:rsidRDefault="00E50867">
      <w:pPr>
        <w:keepNext/>
        <w:widowControl w:val="0"/>
        <w:suppressLineNumbers/>
        <w:rPr>
          <w:szCs w:val="22"/>
          <w:lang w:val="nb-NO"/>
        </w:rPr>
      </w:pPr>
    </w:p>
    <w:p w14:paraId="5ED29ED2" w14:textId="77777777" w:rsidR="00E50867" w:rsidRPr="009D56B8" w:rsidRDefault="00C770E8">
      <w:pPr>
        <w:suppressLineNumbers/>
        <w:rPr>
          <w:szCs w:val="22"/>
          <w:lang w:val="nb-NO"/>
        </w:rPr>
      </w:pPr>
      <w:r w:rsidRPr="009D56B8">
        <w:rPr>
          <w:szCs w:val="22"/>
          <w:lang w:val="nb-NO"/>
        </w:rPr>
        <w:t>Peroral administrering av dimetylfumarat til hannrotter ved 75, 250 og 375 mg/kg/dag før og under paringen hadde ingen effekt på fertilitet hos hanndyr opp til den høyeste dosen som ble testet (minst 2 ganger anbefalt dose basert på AUC). Peroral administrering av dimetylfumarat til hunnrotter ved 25, 100 og 250 mg/kg/dag før og under paringen, og med fortsettelse til 7. dag av drektigheten, induserte reduksjon i antall østrus-faser per 14 dager og økte antall dyr med lengre diøstrus ved den høyeste dosen som ble testet (11 ganger den anbefalte dosen basert på AUC). Disse endringene påvirket imidlertid ikke fertiliteten eller antall levedyktige fostre som ble født.</w:t>
      </w:r>
    </w:p>
    <w:p w14:paraId="5123C218" w14:textId="77777777" w:rsidR="00E50867" w:rsidRPr="009D56B8" w:rsidRDefault="00E50867">
      <w:pPr>
        <w:widowControl w:val="0"/>
        <w:suppressLineNumbers/>
        <w:rPr>
          <w:szCs w:val="22"/>
          <w:lang w:val="nb-NO"/>
        </w:rPr>
      </w:pPr>
    </w:p>
    <w:p w14:paraId="63D9EA75" w14:textId="77777777" w:rsidR="00E50867" w:rsidRPr="009D56B8" w:rsidRDefault="00C770E8">
      <w:pPr>
        <w:widowControl w:val="0"/>
        <w:suppressLineNumbers/>
        <w:rPr>
          <w:szCs w:val="22"/>
          <w:lang w:val="nb-NO"/>
        </w:rPr>
      </w:pPr>
      <w:r w:rsidRPr="009D56B8">
        <w:rPr>
          <w:szCs w:val="22"/>
          <w:lang w:val="nb-NO"/>
        </w:rPr>
        <w:t>Det er vist at dimetylfumarat krysser placentabarrieren og går over i fosterets blod hos rotte og kanin, med forholdstall mellom føtale og maternale plasmakonsentrasjoner på henholdsvis 0,48 til 0,64 hos rotte og 0,1 hos kanin. Det ble ikke observert noen misdannelser hos rotte og kanin ved noen av dosene med dimetylfumarat. Administrering av dimetylfumarat med perorale doser på 25, 100 og 250 mg/kg/dag til drektige rotter under organogenesen, førte til maternale bivirkninger ved 4 ganger den anbefalte dosen basert på AUC, og lav fostervekt og forsinket ossifikasjon (metatarsalbein og falangene i bakbeina) ved 11 ganger den anbefalte dosen basert på AUC. Redusert fostervekt og forsinket ossifikasjon ble vurdert som sekundært til maternell toksisitet (redusert kroppsvekt og matforbruk).</w:t>
      </w:r>
    </w:p>
    <w:p w14:paraId="3A047F3E" w14:textId="77777777" w:rsidR="00E50867" w:rsidRPr="009D56B8" w:rsidRDefault="00E50867">
      <w:pPr>
        <w:rPr>
          <w:szCs w:val="22"/>
          <w:lang w:val="nb-NO"/>
        </w:rPr>
      </w:pPr>
    </w:p>
    <w:p w14:paraId="59924736" w14:textId="77777777" w:rsidR="00E50867" w:rsidRPr="009D56B8" w:rsidRDefault="00C770E8">
      <w:pPr>
        <w:widowControl w:val="0"/>
        <w:suppressLineNumbers/>
        <w:rPr>
          <w:szCs w:val="22"/>
          <w:lang w:val="nb-NO"/>
        </w:rPr>
      </w:pPr>
      <w:r w:rsidRPr="009D56B8">
        <w:rPr>
          <w:szCs w:val="22"/>
          <w:lang w:val="nb-NO"/>
        </w:rPr>
        <w:t>Peroral administrering av dimetylfumarat ved 25, 75 og 150 mg/kg/dag til drektige kaniner under organogenesen hadde ingen effekt på embryoføtal utvikling og resulterte i redusert maternal kroppsvekt ved 7 ganger anbefalt dose og økt antall aborter ved 16 ganger anbefalt dose, basert på AUC.</w:t>
      </w:r>
    </w:p>
    <w:p w14:paraId="5BC2CCB7" w14:textId="77777777" w:rsidR="00E50867" w:rsidRPr="009D56B8" w:rsidRDefault="00E50867">
      <w:pPr>
        <w:rPr>
          <w:szCs w:val="22"/>
          <w:lang w:val="nb-NO"/>
        </w:rPr>
      </w:pPr>
    </w:p>
    <w:p w14:paraId="5B346A1C" w14:textId="77777777" w:rsidR="00E50867" w:rsidRPr="009D56B8" w:rsidRDefault="00C770E8">
      <w:pPr>
        <w:widowControl w:val="0"/>
        <w:suppressLineNumbers/>
        <w:rPr>
          <w:szCs w:val="22"/>
          <w:lang w:val="nb-NO"/>
        </w:rPr>
      </w:pPr>
      <w:r w:rsidRPr="009D56B8">
        <w:rPr>
          <w:szCs w:val="22"/>
          <w:lang w:val="nb-NO"/>
        </w:rPr>
        <w:t>Peroral administrering av dimetylfumarat ved 25, 100 og 250 mg/kg/dag til rotter under drektighet og laktasjon resulterte i lavere kroppsvekt hos F1-avkom, og forsinkelser i kjønnsmodning hos F1-hanner ved 11 ganger anbefalt dose, basert på AUC. Det var ingen effekt på fertiliteten hos F1-avkom. Den reduserte kroppsvekten hos avkommet ble vurdert som sekundært til maternell toksisitet.</w:t>
      </w:r>
    </w:p>
    <w:p w14:paraId="4A5E7DBB" w14:textId="77777777" w:rsidR="00734DA4" w:rsidRPr="009D56B8" w:rsidRDefault="00734DA4">
      <w:pPr>
        <w:widowControl w:val="0"/>
        <w:suppressLineNumbers/>
        <w:rPr>
          <w:szCs w:val="22"/>
          <w:lang w:val="nb-NO"/>
        </w:rPr>
      </w:pPr>
    </w:p>
    <w:p w14:paraId="16F0B371" w14:textId="41B662A1" w:rsidR="00734DA4" w:rsidRPr="009D56B8" w:rsidRDefault="00734DA4">
      <w:pPr>
        <w:widowControl w:val="0"/>
        <w:suppressLineNumbers/>
        <w:rPr>
          <w:szCs w:val="22"/>
          <w:u w:val="single"/>
          <w:lang w:val="nb-NO"/>
        </w:rPr>
      </w:pPr>
      <w:r w:rsidRPr="009D56B8">
        <w:rPr>
          <w:szCs w:val="22"/>
          <w:u w:val="single"/>
          <w:lang w:val="nb-NO"/>
        </w:rPr>
        <w:t>Toksisitet hos juvenile dyr</w:t>
      </w:r>
    </w:p>
    <w:p w14:paraId="04D7A804" w14:textId="77777777" w:rsidR="00E50867" w:rsidRPr="009D56B8" w:rsidRDefault="00E50867">
      <w:pPr>
        <w:rPr>
          <w:szCs w:val="22"/>
          <w:lang w:val="nb-NO"/>
        </w:rPr>
      </w:pPr>
    </w:p>
    <w:p w14:paraId="35A0C297" w14:textId="7E3BDA89" w:rsidR="00A02DCC" w:rsidRPr="009D56B8" w:rsidRDefault="001A4422" w:rsidP="00A02DCC">
      <w:pPr>
        <w:pStyle w:val="Standard1"/>
        <w:rPr>
          <w:szCs w:val="22"/>
          <w:lang w:val="nb-NO"/>
        </w:rPr>
      </w:pPr>
      <w:r w:rsidRPr="009D56B8">
        <w:rPr>
          <w:szCs w:val="22"/>
          <w:lang w:val="nb-NO"/>
        </w:rPr>
        <w:t>I t</w:t>
      </w:r>
      <w:r w:rsidR="00A02DCC" w:rsidRPr="009D56B8">
        <w:rPr>
          <w:szCs w:val="22"/>
          <w:lang w:val="nb-NO"/>
        </w:rPr>
        <w:t xml:space="preserve">o toksisitetsstudier med juvenile rotter med daglig oral administrering av </w:t>
      </w:r>
      <w:r w:rsidR="00A02DCC" w:rsidRPr="009D56B8">
        <w:rPr>
          <w:lang w:val="nb-NO"/>
        </w:rPr>
        <w:t>dimetylfumarat fra postnatal dag (PND) 28 til og med PND 90-93 (tilsvarende ca.</w:t>
      </w:r>
      <w:r w:rsidR="00A02DCC" w:rsidRPr="009D56B8">
        <w:rPr>
          <w:noProof/>
          <w:szCs w:val="22"/>
          <w:lang w:val="nb-NO"/>
        </w:rPr>
        <w:t xml:space="preserve"> 3 år og eldre hos mennesker) </w:t>
      </w:r>
      <w:r w:rsidRPr="009D56B8">
        <w:rPr>
          <w:noProof/>
          <w:szCs w:val="22"/>
          <w:lang w:val="nb-NO"/>
        </w:rPr>
        <w:t xml:space="preserve">ble det </w:t>
      </w:r>
      <w:r w:rsidR="00A02DCC" w:rsidRPr="009D56B8">
        <w:rPr>
          <w:noProof/>
          <w:szCs w:val="22"/>
          <w:lang w:val="nb-NO"/>
        </w:rPr>
        <w:t xml:space="preserve">vist </w:t>
      </w:r>
      <w:r w:rsidRPr="009D56B8">
        <w:rPr>
          <w:noProof/>
          <w:szCs w:val="22"/>
          <w:lang w:val="nb-NO"/>
        </w:rPr>
        <w:t>omtrent samme</w:t>
      </w:r>
      <w:r w:rsidR="00A02DCC" w:rsidRPr="009D56B8">
        <w:rPr>
          <w:noProof/>
          <w:szCs w:val="22"/>
          <w:lang w:val="nb-NO"/>
        </w:rPr>
        <w:t xml:space="preserve"> mål</w:t>
      </w:r>
      <w:r w:rsidR="00A02DCC" w:rsidRPr="009D56B8">
        <w:rPr>
          <w:lang w:val="nb-NO"/>
        </w:rPr>
        <w:t xml:space="preserve">organtoksisitet i nyrene og formagen som </w:t>
      </w:r>
      <w:r w:rsidR="00E91F02" w:rsidRPr="009D56B8">
        <w:rPr>
          <w:lang w:val="nb-NO"/>
        </w:rPr>
        <w:t xml:space="preserve">det som er </w:t>
      </w:r>
      <w:r w:rsidR="00A02DCC" w:rsidRPr="009D56B8">
        <w:rPr>
          <w:lang w:val="nb-NO"/>
        </w:rPr>
        <w:t xml:space="preserve">observert hos voksne dyr. I den første studien påvirket ikke dimetylfumarat utvikling, nevroatferd eller fertilitet hos hanndyr </w:t>
      </w:r>
      <w:r w:rsidR="00E91F02" w:rsidRPr="009D56B8">
        <w:rPr>
          <w:lang w:val="nb-NO"/>
        </w:rPr>
        <w:t>eller</w:t>
      </w:r>
      <w:r w:rsidR="00A02DCC" w:rsidRPr="009D56B8">
        <w:rPr>
          <w:lang w:val="nb-NO"/>
        </w:rPr>
        <w:t xml:space="preserve"> hunndyr </w:t>
      </w:r>
      <w:r w:rsidR="00A02DCC" w:rsidRPr="009D56B8">
        <w:rPr>
          <w:szCs w:val="22"/>
          <w:lang w:val="nb-NO"/>
        </w:rPr>
        <w:t xml:space="preserve">opp til den </w:t>
      </w:r>
      <w:r w:rsidR="00A02DCC" w:rsidRPr="009D56B8">
        <w:rPr>
          <w:lang w:val="nb-NO"/>
        </w:rPr>
        <w:t xml:space="preserve">høyeste dosen på 140 mg/kg/dag (ca. </w:t>
      </w:r>
      <w:r w:rsidR="00D537C9" w:rsidRPr="009D56B8">
        <w:rPr>
          <w:lang w:val="nb-NO"/>
        </w:rPr>
        <w:t>4,</w:t>
      </w:r>
      <w:r w:rsidR="00A02DCC" w:rsidRPr="009D56B8">
        <w:rPr>
          <w:lang w:val="nb-NO"/>
        </w:rPr>
        <w:t>6 ganger</w:t>
      </w:r>
      <w:r w:rsidR="00EA5905" w:rsidRPr="009D56B8">
        <w:rPr>
          <w:lang w:val="nb-NO"/>
        </w:rPr>
        <w:t xml:space="preserve"> den</w:t>
      </w:r>
      <w:r w:rsidR="00A02DCC" w:rsidRPr="009D56B8">
        <w:rPr>
          <w:lang w:val="nb-NO"/>
        </w:rPr>
        <w:t xml:space="preserve"> anbefalt</w:t>
      </w:r>
      <w:r w:rsidR="00EA5905" w:rsidRPr="009D56B8">
        <w:rPr>
          <w:lang w:val="nb-NO"/>
        </w:rPr>
        <w:t>e</w:t>
      </w:r>
      <w:r w:rsidR="00A02DCC" w:rsidRPr="009D56B8">
        <w:rPr>
          <w:lang w:val="nb-NO"/>
        </w:rPr>
        <w:t xml:space="preserve"> dose</w:t>
      </w:r>
      <w:r w:rsidR="00EA5905" w:rsidRPr="009D56B8">
        <w:rPr>
          <w:lang w:val="nb-NO"/>
        </w:rPr>
        <w:t>n hos mennesker</w:t>
      </w:r>
      <w:r w:rsidR="00A02DCC" w:rsidRPr="009D56B8">
        <w:rPr>
          <w:lang w:val="nb-NO"/>
        </w:rPr>
        <w:t xml:space="preserve"> basert på begrensede AUC</w:t>
      </w:r>
      <w:r w:rsidR="004E0D9E" w:rsidRPr="009D56B8">
        <w:rPr>
          <w:lang w:val="nb-NO"/>
        </w:rPr>
        <w:noBreakHyphen/>
      </w:r>
      <w:r w:rsidR="00A02DCC" w:rsidRPr="009D56B8">
        <w:rPr>
          <w:lang w:val="nb-NO"/>
        </w:rPr>
        <w:t xml:space="preserve">data hos pediatriske pasienter). Tilsvarende ble det ikke observert effekter på hanndyrs reproduksjons- og tilhørende organer </w:t>
      </w:r>
      <w:r w:rsidR="00A02DCC" w:rsidRPr="009D56B8">
        <w:rPr>
          <w:szCs w:val="22"/>
          <w:lang w:val="nb-NO"/>
        </w:rPr>
        <w:t xml:space="preserve">opp til den </w:t>
      </w:r>
      <w:r w:rsidR="00A02DCC" w:rsidRPr="009D56B8">
        <w:rPr>
          <w:lang w:val="nb-NO"/>
        </w:rPr>
        <w:t>høyeste dimetylfumaratdosen på 375 mg/kg/dag i den andre studien med juvenile hannrotter (ca. 15 ganger forventet AUC ved den anbefalte pediatriske dosen). Redusert beinmineralinnhold og -tetthet i femur og lumbalvirvler forekom imidlertid hos juvenile hannrotter</w:t>
      </w:r>
      <w:r w:rsidR="00805C1F" w:rsidRPr="009D56B8">
        <w:rPr>
          <w:lang w:val="nb-NO"/>
        </w:rPr>
        <w:t>.</w:t>
      </w:r>
      <w:r w:rsidR="00A02DCC" w:rsidRPr="009D56B8">
        <w:rPr>
          <w:lang w:val="nb-NO"/>
        </w:rPr>
        <w:t xml:space="preserve"> </w:t>
      </w:r>
      <w:r w:rsidR="001A0208" w:rsidRPr="009D56B8">
        <w:rPr>
          <w:lang w:val="nb-NO"/>
        </w:rPr>
        <w:t>Endringer i b</w:t>
      </w:r>
      <w:r w:rsidR="00805C1F" w:rsidRPr="009D56B8">
        <w:rPr>
          <w:lang w:val="nb-NO"/>
        </w:rPr>
        <w:t xml:space="preserve">eintetthet ble også </w:t>
      </w:r>
      <w:r w:rsidR="001A0208" w:rsidRPr="009D56B8">
        <w:rPr>
          <w:lang w:val="nb-NO"/>
        </w:rPr>
        <w:t>målt</w:t>
      </w:r>
      <w:r w:rsidR="00805C1F" w:rsidRPr="009D56B8">
        <w:rPr>
          <w:lang w:val="nb-NO"/>
        </w:rPr>
        <w:t xml:space="preserve"> hos juvenile rotter etter peroral administrering av diroksimelfumarat, en annen fumarsyreester som metaboliseres til den samme aktive metabolitten monometylfumarat </w:t>
      </w:r>
      <w:r w:rsidR="00805C1F" w:rsidRPr="009D56B8">
        <w:rPr>
          <w:i/>
          <w:iCs/>
          <w:lang w:val="nb-NO"/>
        </w:rPr>
        <w:t>in vivo</w:t>
      </w:r>
      <w:r w:rsidR="00805C1F" w:rsidRPr="009D56B8">
        <w:rPr>
          <w:lang w:val="nb-NO"/>
        </w:rPr>
        <w:t>.</w:t>
      </w:r>
      <w:r w:rsidR="00A02DCC" w:rsidRPr="009D56B8">
        <w:rPr>
          <w:lang w:val="nb-NO"/>
        </w:rPr>
        <w:t xml:space="preserve"> NO</w:t>
      </w:r>
      <w:r w:rsidR="00805C1F" w:rsidRPr="009D56B8">
        <w:rPr>
          <w:lang w:val="nb-NO"/>
        </w:rPr>
        <w:t>A</w:t>
      </w:r>
      <w:r w:rsidR="00A02DCC" w:rsidRPr="009D56B8">
        <w:rPr>
          <w:lang w:val="nb-NO"/>
        </w:rPr>
        <w:t>EL</w:t>
      </w:r>
      <w:r w:rsidR="00642861" w:rsidRPr="009D56B8">
        <w:rPr>
          <w:lang w:val="nb-NO"/>
        </w:rPr>
        <w:t xml:space="preserve"> (no observed </w:t>
      </w:r>
      <w:r w:rsidR="00805C1F" w:rsidRPr="009D56B8">
        <w:rPr>
          <w:lang w:val="nb-NO"/>
        </w:rPr>
        <w:t xml:space="preserve">adverse </w:t>
      </w:r>
      <w:r w:rsidR="00642861" w:rsidRPr="009D56B8">
        <w:rPr>
          <w:lang w:val="nb-NO"/>
        </w:rPr>
        <w:t>effect level)</w:t>
      </w:r>
      <w:r w:rsidR="00805C1F" w:rsidRPr="009D56B8">
        <w:rPr>
          <w:lang w:val="nb-NO"/>
        </w:rPr>
        <w:t xml:space="preserve"> for </w:t>
      </w:r>
      <w:r w:rsidR="001A0208" w:rsidRPr="009D56B8">
        <w:rPr>
          <w:lang w:val="nb-NO"/>
        </w:rPr>
        <w:t xml:space="preserve">endringene i </w:t>
      </w:r>
      <w:r w:rsidR="00805C1F" w:rsidRPr="009D56B8">
        <w:rPr>
          <w:lang w:val="nb-NO"/>
        </w:rPr>
        <w:t>beintetthet</w:t>
      </w:r>
      <w:r w:rsidR="001A0208" w:rsidRPr="009D56B8">
        <w:rPr>
          <w:lang w:val="nb-NO"/>
        </w:rPr>
        <w:t xml:space="preserve"> som ble målt</w:t>
      </w:r>
      <w:r w:rsidR="00805C1F" w:rsidRPr="009D56B8">
        <w:rPr>
          <w:lang w:val="nb-NO"/>
        </w:rPr>
        <w:t xml:space="preserve"> hos juvenile rotter er</w:t>
      </w:r>
      <w:r w:rsidR="00A02DCC" w:rsidRPr="009D56B8">
        <w:rPr>
          <w:lang w:val="nb-NO"/>
        </w:rPr>
        <w:t xml:space="preserve"> ca. 1,5 ganger forventet AUC ved den anbefalte pediatriske dosen. En sammenheng mellom </w:t>
      </w:r>
      <w:r w:rsidR="00A02DCC" w:rsidRPr="009D56B8">
        <w:rPr>
          <w:noProof/>
          <w:szCs w:val="22"/>
          <w:lang w:val="nb-NO"/>
        </w:rPr>
        <w:t>beineffektene og lavere kroppsvekt er mulig, men det kan ikke utelukkes at en direkte effekt er involvert. Beinfunnene er av begrenset relevans for voksne pasienter. Relevansen for pediatriske pasienter er ikke kjent.</w:t>
      </w:r>
    </w:p>
    <w:p w14:paraId="7355F9C9" w14:textId="77777777" w:rsidR="00A02DCC" w:rsidRPr="009D56B8" w:rsidRDefault="00A02DCC">
      <w:pPr>
        <w:rPr>
          <w:szCs w:val="22"/>
          <w:lang w:val="nb-NO"/>
        </w:rPr>
      </w:pPr>
    </w:p>
    <w:p w14:paraId="60554DE2" w14:textId="0CA96351" w:rsidR="00E50867" w:rsidRPr="009D56B8" w:rsidRDefault="00E50867" w:rsidP="008E40D3">
      <w:pPr>
        <w:rPr>
          <w:szCs w:val="22"/>
          <w:lang w:val="nb-NO"/>
        </w:rPr>
      </w:pPr>
    </w:p>
    <w:p w14:paraId="4399CC4A" w14:textId="77777777" w:rsidR="00E50867" w:rsidRPr="009D56B8" w:rsidRDefault="00C770E8">
      <w:pPr>
        <w:keepNext/>
        <w:rPr>
          <w:b/>
          <w:szCs w:val="22"/>
          <w:lang w:val="nb-NO"/>
        </w:rPr>
      </w:pPr>
      <w:r w:rsidRPr="009D56B8">
        <w:rPr>
          <w:b/>
          <w:szCs w:val="22"/>
          <w:lang w:val="nb-NO"/>
        </w:rPr>
        <w:lastRenderedPageBreak/>
        <w:t>6.</w:t>
      </w:r>
      <w:r w:rsidRPr="009D56B8">
        <w:rPr>
          <w:b/>
          <w:szCs w:val="22"/>
          <w:lang w:val="nb-NO"/>
        </w:rPr>
        <w:tab/>
        <w:t>FARMASØYTISKE OPPLYSNINGER</w:t>
      </w:r>
    </w:p>
    <w:p w14:paraId="7E3F1004" w14:textId="77777777" w:rsidR="00E50867" w:rsidRPr="009D56B8" w:rsidRDefault="00E50867">
      <w:pPr>
        <w:keepNext/>
        <w:rPr>
          <w:szCs w:val="22"/>
          <w:lang w:val="nb-NO"/>
        </w:rPr>
      </w:pPr>
    </w:p>
    <w:p w14:paraId="54566130" w14:textId="77777777" w:rsidR="00E50867" w:rsidRPr="009D56B8" w:rsidRDefault="00C770E8">
      <w:pPr>
        <w:keepNext/>
        <w:widowControl w:val="0"/>
        <w:suppressLineNumbers/>
        <w:ind w:left="567" w:hanging="567"/>
        <w:rPr>
          <w:b/>
          <w:szCs w:val="22"/>
          <w:lang w:val="nb-NO"/>
        </w:rPr>
      </w:pPr>
      <w:bookmarkStart w:id="17" w:name="OLE_LINK1"/>
      <w:bookmarkStart w:id="18" w:name="OLE_LINK2"/>
      <w:r w:rsidRPr="009D56B8">
        <w:rPr>
          <w:b/>
          <w:szCs w:val="22"/>
          <w:lang w:val="nb-NO"/>
        </w:rPr>
        <w:t>6.1</w:t>
      </w:r>
      <w:r w:rsidRPr="009D56B8">
        <w:rPr>
          <w:b/>
          <w:szCs w:val="22"/>
          <w:lang w:val="nb-NO"/>
        </w:rPr>
        <w:tab/>
        <w:t>Hjelpestoffer</w:t>
      </w:r>
    </w:p>
    <w:bookmarkEnd w:id="17"/>
    <w:bookmarkEnd w:id="18"/>
    <w:p w14:paraId="10DB5278" w14:textId="77777777" w:rsidR="00E50867" w:rsidRPr="009D56B8" w:rsidRDefault="00E50867">
      <w:pPr>
        <w:keepNext/>
        <w:rPr>
          <w:szCs w:val="22"/>
          <w:lang w:val="nb-NO"/>
        </w:rPr>
      </w:pPr>
    </w:p>
    <w:p w14:paraId="48F78BE0" w14:textId="476BFECD" w:rsidR="00E50867" w:rsidRPr="009D56B8" w:rsidRDefault="00C770E8">
      <w:pPr>
        <w:keepNext/>
        <w:widowControl w:val="0"/>
        <w:rPr>
          <w:szCs w:val="22"/>
          <w:u w:val="single"/>
          <w:lang w:val="nb-NO"/>
        </w:rPr>
      </w:pPr>
      <w:r w:rsidRPr="009D56B8">
        <w:rPr>
          <w:szCs w:val="22"/>
          <w:u w:val="single"/>
          <w:lang w:val="nb-NO"/>
        </w:rPr>
        <w:t xml:space="preserve">Kapselinnhold (enterodrasjerte </w:t>
      </w:r>
      <w:r w:rsidR="00F5055B" w:rsidRPr="009D56B8">
        <w:rPr>
          <w:szCs w:val="22"/>
          <w:u w:val="single"/>
          <w:lang w:val="nb-NO"/>
        </w:rPr>
        <w:t>minitabletter</w:t>
      </w:r>
      <w:r w:rsidRPr="009D56B8">
        <w:rPr>
          <w:szCs w:val="22"/>
          <w:u w:val="single"/>
          <w:lang w:val="nb-NO"/>
        </w:rPr>
        <w:t>)</w:t>
      </w:r>
    </w:p>
    <w:p w14:paraId="5BBDF8C0" w14:textId="77777777" w:rsidR="00E50867" w:rsidRPr="009D56B8" w:rsidRDefault="00E50867">
      <w:pPr>
        <w:keepNext/>
        <w:widowControl w:val="0"/>
        <w:rPr>
          <w:szCs w:val="22"/>
          <w:u w:val="single"/>
          <w:lang w:val="nb-NO"/>
        </w:rPr>
      </w:pPr>
    </w:p>
    <w:p w14:paraId="21FCB891" w14:textId="151ADA7D" w:rsidR="00E50867" w:rsidRPr="009D56B8" w:rsidRDefault="00EF67F0">
      <w:pPr>
        <w:keepNext/>
        <w:widowControl w:val="0"/>
        <w:rPr>
          <w:szCs w:val="22"/>
          <w:lang w:val="nb-NO"/>
        </w:rPr>
      </w:pPr>
      <w:r w:rsidRPr="009D56B8">
        <w:rPr>
          <w:szCs w:val="22"/>
          <w:lang w:val="nb-NO"/>
        </w:rPr>
        <w:t>Silifisert</w:t>
      </w:r>
      <w:r w:rsidR="00210067" w:rsidRPr="009D56B8">
        <w:rPr>
          <w:szCs w:val="22"/>
          <w:lang w:val="nb-NO"/>
        </w:rPr>
        <w:t xml:space="preserve"> c</w:t>
      </w:r>
      <w:r w:rsidR="00C770E8" w:rsidRPr="009D56B8">
        <w:rPr>
          <w:szCs w:val="22"/>
          <w:lang w:val="nb-NO"/>
        </w:rPr>
        <w:t>ellulose, mikrokrystallinsk</w:t>
      </w:r>
    </w:p>
    <w:p w14:paraId="5389A173" w14:textId="69D980ED" w:rsidR="00210067" w:rsidRPr="009D56B8" w:rsidRDefault="00210067">
      <w:pPr>
        <w:keepNext/>
        <w:widowControl w:val="0"/>
        <w:rPr>
          <w:szCs w:val="22"/>
          <w:lang w:val="nb-NO"/>
        </w:rPr>
      </w:pPr>
      <w:r w:rsidRPr="009D56B8">
        <w:rPr>
          <w:szCs w:val="22"/>
          <w:lang w:val="nb-NO"/>
        </w:rPr>
        <w:t>Talkum</w:t>
      </w:r>
    </w:p>
    <w:p w14:paraId="77414BD8" w14:textId="77777777" w:rsidR="00E50867" w:rsidRPr="009D56B8" w:rsidRDefault="00C770E8">
      <w:pPr>
        <w:keepNext/>
        <w:widowControl w:val="0"/>
        <w:rPr>
          <w:szCs w:val="22"/>
          <w:lang w:val="nb-NO"/>
        </w:rPr>
      </w:pPr>
      <w:r w:rsidRPr="009D56B8">
        <w:rPr>
          <w:szCs w:val="22"/>
          <w:lang w:val="nb-NO"/>
        </w:rPr>
        <w:t>Krysskarmellosenatrium</w:t>
      </w:r>
    </w:p>
    <w:p w14:paraId="7FDFDC55" w14:textId="77777777" w:rsidR="00E50867" w:rsidRPr="009D56B8" w:rsidRDefault="00C770E8">
      <w:pPr>
        <w:keepNext/>
        <w:widowControl w:val="0"/>
        <w:rPr>
          <w:szCs w:val="22"/>
          <w:lang w:val="nb-NO"/>
        </w:rPr>
      </w:pPr>
      <w:r w:rsidRPr="009D56B8">
        <w:rPr>
          <w:szCs w:val="22"/>
          <w:lang w:val="nb-NO"/>
        </w:rPr>
        <w:t>Silika (kolloidal vannfri)</w:t>
      </w:r>
    </w:p>
    <w:p w14:paraId="4A14A183" w14:textId="77777777" w:rsidR="00E50867" w:rsidRPr="009D56B8" w:rsidRDefault="00C770E8">
      <w:pPr>
        <w:keepNext/>
        <w:widowControl w:val="0"/>
        <w:rPr>
          <w:szCs w:val="22"/>
          <w:lang w:val="nb-NO"/>
        </w:rPr>
      </w:pPr>
      <w:r w:rsidRPr="009D56B8">
        <w:rPr>
          <w:szCs w:val="22"/>
          <w:lang w:val="nb-NO"/>
        </w:rPr>
        <w:t>Magnesiumstearat</w:t>
      </w:r>
    </w:p>
    <w:p w14:paraId="4ECAC825" w14:textId="52F746EB" w:rsidR="00E50867" w:rsidRPr="009D56B8" w:rsidRDefault="00C770E8">
      <w:pPr>
        <w:keepNext/>
        <w:widowControl w:val="0"/>
        <w:rPr>
          <w:szCs w:val="22"/>
          <w:lang w:val="nb-NO"/>
        </w:rPr>
      </w:pPr>
      <w:r w:rsidRPr="009D56B8">
        <w:rPr>
          <w:szCs w:val="22"/>
          <w:lang w:val="nb-NO"/>
        </w:rPr>
        <w:t>Metakrylsyremetylmetakrylatkopolymer (1:1)</w:t>
      </w:r>
    </w:p>
    <w:p w14:paraId="326F8185" w14:textId="77777777" w:rsidR="0074059B" w:rsidRPr="009D56B8" w:rsidRDefault="0074059B" w:rsidP="0074059B">
      <w:pPr>
        <w:keepNext/>
        <w:widowControl w:val="0"/>
        <w:rPr>
          <w:szCs w:val="22"/>
          <w:lang w:val="nb-NO"/>
        </w:rPr>
      </w:pPr>
      <w:r w:rsidRPr="009D56B8">
        <w:rPr>
          <w:szCs w:val="22"/>
          <w:lang w:val="nb-NO"/>
        </w:rPr>
        <w:t>Trietylsitrat</w:t>
      </w:r>
    </w:p>
    <w:p w14:paraId="546D2050" w14:textId="6408959C" w:rsidR="00E50867" w:rsidRPr="009D56B8" w:rsidRDefault="00C770E8">
      <w:pPr>
        <w:keepNext/>
        <w:widowControl w:val="0"/>
        <w:rPr>
          <w:szCs w:val="22"/>
          <w:lang w:val="nb-NO"/>
        </w:rPr>
      </w:pPr>
      <w:r w:rsidRPr="009D56B8">
        <w:rPr>
          <w:szCs w:val="22"/>
          <w:lang w:val="nb-NO"/>
        </w:rPr>
        <w:t>Metakrylsyreetylakrylatkopolymer (1:1) dispersjon 30 %</w:t>
      </w:r>
    </w:p>
    <w:p w14:paraId="0E4CAE14" w14:textId="77777777" w:rsidR="00E50867" w:rsidRPr="009D56B8" w:rsidRDefault="00E50867">
      <w:pPr>
        <w:widowControl w:val="0"/>
        <w:rPr>
          <w:szCs w:val="22"/>
          <w:lang w:val="nb-NO"/>
        </w:rPr>
      </w:pPr>
    </w:p>
    <w:p w14:paraId="2EBEECCA" w14:textId="77777777" w:rsidR="00E50867" w:rsidRPr="009D56B8" w:rsidRDefault="00C770E8">
      <w:pPr>
        <w:widowControl w:val="0"/>
        <w:rPr>
          <w:szCs w:val="22"/>
          <w:u w:val="single"/>
          <w:lang w:val="nb-NO"/>
        </w:rPr>
      </w:pPr>
      <w:r w:rsidRPr="009D56B8">
        <w:rPr>
          <w:szCs w:val="22"/>
          <w:u w:val="single"/>
          <w:lang w:val="nb-NO"/>
        </w:rPr>
        <w:t>Kapselskall</w:t>
      </w:r>
    </w:p>
    <w:p w14:paraId="6D8ECBB6" w14:textId="77777777" w:rsidR="00E50867" w:rsidRPr="009D56B8" w:rsidRDefault="00E50867">
      <w:pPr>
        <w:widowControl w:val="0"/>
        <w:rPr>
          <w:szCs w:val="22"/>
          <w:u w:val="single"/>
          <w:lang w:val="nb-NO"/>
        </w:rPr>
      </w:pPr>
    </w:p>
    <w:p w14:paraId="1A29E627" w14:textId="77777777" w:rsidR="00E50867" w:rsidRPr="009D56B8" w:rsidRDefault="00C770E8">
      <w:pPr>
        <w:widowControl w:val="0"/>
        <w:rPr>
          <w:szCs w:val="22"/>
          <w:lang w:val="nb-NO"/>
        </w:rPr>
      </w:pPr>
      <w:r w:rsidRPr="009D56B8">
        <w:rPr>
          <w:szCs w:val="22"/>
          <w:lang w:val="nb-NO"/>
        </w:rPr>
        <w:t>Gelatin</w:t>
      </w:r>
    </w:p>
    <w:p w14:paraId="546F2256" w14:textId="77777777" w:rsidR="00E50867" w:rsidRPr="009D56B8" w:rsidRDefault="00C770E8">
      <w:pPr>
        <w:widowControl w:val="0"/>
        <w:rPr>
          <w:szCs w:val="22"/>
          <w:lang w:val="nb-NO"/>
        </w:rPr>
      </w:pPr>
      <w:r w:rsidRPr="009D56B8">
        <w:rPr>
          <w:szCs w:val="22"/>
          <w:lang w:val="nb-NO"/>
        </w:rPr>
        <w:t>Titandioksid (E 171)</w:t>
      </w:r>
    </w:p>
    <w:p w14:paraId="4685119D" w14:textId="77777777" w:rsidR="00E50867" w:rsidRPr="009D56B8" w:rsidRDefault="00C770E8">
      <w:pPr>
        <w:widowControl w:val="0"/>
        <w:rPr>
          <w:szCs w:val="22"/>
          <w:lang w:val="nb-NO"/>
        </w:rPr>
      </w:pPr>
      <w:r w:rsidRPr="009D56B8">
        <w:rPr>
          <w:szCs w:val="22"/>
          <w:lang w:val="nb-NO"/>
        </w:rPr>
        <w:t>Briljantblå FCF (E 133)</w:t>
      </w:r>
    </w:p>
    <w:p w14:paraId="601FD02A" w14:textId="37FE70FC" w:rsidR="00612FF3" w:rsidRPr="009D56B8" w:rsidRDefault="00612FF3">
      <w:pPr>
        <w:widowControl w:val="0"/>
        <w:rPr>
          <w:szCs w:val="22"/>
          <w:lang w:val="nb-NO"/>
        </w:rPr>
      </w:pPr>
      <w:r w:rsidRPr="009D56B8">
        <w:rPr>
          <w:szCs w:val="22"/>
          <w:lang w:val="nb-NO"/>
        </w:rPr>
        <w:t>Jernoksid, svart (E 172)</w:t>
      </w:r>
    </w:p>
    <w:p w14:paraId="7A017BBD" w14:textId="27CC3527" w:rsidR="00E50867" w:rsidRPr="009D56B8" w:rsidRDefault="00C770E8">
      <w:pPr>
        <w:widowControl w:val="0"/>
        <w:rPr>
          <w:szCs w:val="22"/>
          <w:lang w:val="nb-NO"/>
        </w:rPr>
      </w:pPr>
      <w:r w:rsidRPr="009D56B8">
        <w:rPr>
          <w:szCs w:val="22"/>
          <w:lang w:val="nb-NO"/>
        </w:rPr>
        <w:t>Jernoksid, gult (E 172)</w:t>
      </w:r>
    </w:p>
    <w:p w14:paraId="25F4FB58" w14:textId="77777777" w:rsidR="00E50867" w:rsidRPr="009D56B8" w:rsidRDefault="00E50867">
      <w:pPr>
        <w:widowControl w:val="0"/>
        <w:rPr>
          <w:szCs w:val="22"/>
          <w:lang w:val="nb-NO"/>
        </w:rPr>
      </w:pPr>
    </w:p>
    <w:p w14:paraId="425B3835" w14:textId="77777777" w:rsidR="00E50867" w:rsidRPr="009D56B8" w:rsidRDefault="00C770E8">
      <w:pPr>
        <w:keepNext/>
        <w:widowControl w:val="0"/>
        <w:rPr>
          <w:szCs w:val="22"/>
          <w:u w:val="single"/>
          <w:lang w:val="nb-NO"/>
        </w:rPr>
      </w:pPr>
      <w:r w:rsidRPr="009D56B8">
        <w:rPr>
          <w:szCs w:val="22"/>
          <w:u w:val="single"/>
          <w:lang w:val="nb-NO"/>
        </w:rPr>
        <w:t>Trykkfarge på kapselen (svart trykksverte)</w:t>
      </w:r>
    </w:p>
    <w:p w14:paraId="40882FE8" w14:textId="77777777" w:rsidR="00E50867" w:rsidRPr="009D56B8" w:rsidRDefault="00E50867">
      <w:pPr>
        <w:widowControl w:val="0"/>
        <w:rPr>
          <w:szCs w:val="22"/>
          <w:u w:val="single"/>
          <w:lang w:val="nb-NO"/>
        </w:rPr>
      </w:pPr>
    </w:p>
    <w:p w14:paraId="43A2AB47" w14:textId="04B390B3" w:rsidR="00E50867" w:rsidRPr="009D56B8" w:rsidRDefault="00C770E8">
      <w:pPr>
        <w:widowControl w:val="0"/>
        <w:rPr>
          <w:szCs w:val="22"/>
          <w:lang w:val="nb-NO"/>
        </w:rPr>
      </w:pPr>
      <w:r w:rsidRPr="009D56B8">
        <w:rPr>
          <w:szCs w:val="22"/>
          <w:lang w:val="nb-NO"/>
        </w:rPr>
        <w:t>Skjellakk</w:t>
      </w:r>
      <w:r w:rsidR="00475128" w:rsidRPr="009D56B8">
        <w:rPr>
          <w:szCs w:val="22"/>
          <w:lang w:val="nb-NO"/>
        </w:rPr>
        <w:t xml:space="preserve"> (E 904)</w:t>
      </w:r>
    </w:p>
    <w:p w14:paraId="465DCD2D" w14:textId="6E6AF184" w:rsidR="00475128" w:rsidRPr="009D56B8" w:rsidRDefault="00475128">
      <w:pPr>
        <w:widowControl w:val="0"/>
        <w:rPr>
          <w:szCs w:val="22"/>
          <w:lang w:val="nb-NO"/>
        </w:rPr>
      </w:pPr>
      <w:r w:rsidRPr="009D56B8">
        <w:rPr>
          <w:szCs w:val="22"/>
          <w:lang w:val="nb-NO"/>
        </w:rPr>
        <w:t>Jernoksid, svart (E 172)</w:t>
      </w:r>
    </w:p>
    <w:p w14:paraId="52918E05" w14:textId="49D96841" w:rsidR="00E50867" w:rsidRPr="009D56B8" w:rsidRDefault="00C770E8">
      <w:pPr>
        <w:widowControl w:val="0"/>
        <w:rPr>
          <w:szCs w:val="22"/>
          <w:lang w:val="nb-NO"/>
        </w:rPr>
      </w:pPr>
      <w:r w:rsidRPr="009D56B8">
        <w:rPr>
          <w:szCs w:val="22"/>
          <w:lang w:val="nb-NO"/>
        </w:rPr>
        <w:t>Kaliumhydroksid</w:t>
      </w:r>
      <w:r w:rsidR="00475128" w:rsidRPr="009D56B8">
        <w:rPr>
          <w:szCs w:val="22"/>
          <w:lang w:val="nb-NO"/>
        </w:rPr>
        <w:t xml:space="preserve"> (E 525)</w:t>
      </w:r>
    </w:p>
    <w:p w14:paraId="32077964" w14:textId="77777777" w:rsidR="00E50867" w:rsidRPr="009D56B8" w:rsidRDefault="00E50867">
      <w:pPr>
        <w:widowControl w:val="0"/>
        <w:rPr>
          <w:szCs w:val="22"/>
          <w:lang w:val="nb-NO"/>
        </w:rPr>
      </w:pPr>
    </w:p>
    <w:p w14:paraId="63C8C339" w14:textId="77777777" w:rsidR="00E50867" w:rsidRPr="009D56B8" w:rsidRDefault="00C770E8">
      <w:pPr>
        <w:keepNext/>
        <w:widowControl w:val="0"/>
        <w:suppressLineNumbers/>
        <w:ind w:left="567" w:hanging="567"/>
        <w:rPr>
          <w:b/>
          <w:szCs w:val="22"/>
          <w:lang w:val="nb-NO"/>
        </w:rPr>
      </w:pPr>
      <w:r w:rsidRPr="009D56B8">
        <w:rPr>
          <w:b/>
          <w:szCs w:val="22"/>
          <w:lang w:val="nb-NO"/>
        </w:rPr>
        <w:t>6.2</w:t>
      </w:r>
      <w:r w:rsidRPr="009D56B8">
        <w:rPr>
          <w:b/>
          <w:szCs w:val="22"/>
          <w:lang w:val="nb-NO"/>
        </w:rPr>
        <w:tab/>
        <w:t>Uforlikeligheter</w:t>
      </w:r>
    </w:p>
    <w:p w14:paraId="27F65001" w14:textId="77777777" w:rsidR="00E50867" w:rsidRPr="009D56B8" w:rsidRDefault="00E50867">
      <w:pPr>
        <w:keepNext/>
        <w:rPr>
          <w:szCs w:val="22"/>
          <w:lang w:val="nb-NO"/>
        </w:rPr>
      </w:pPr>
    </w:p>
    <w:p w14:paraId="2F67F83A" w14:textId="77777777" w:rsidR="00E50867" w:rsidRPr="009D56B8" w:rsidRDefault="00C770E8">
      <w:pPr>
        <w:widowControl w:val="0"/>
        <w:suppressLineNumbers/>
        <w:rPr>
          <w:szCs w:val="22"/>
          <w:lang w:val="nb-NO"/>
        </w:rPr>
      </w:pPr>
      <w:r w:rsidRPr="009D56B8">
        <w:rPr>
          <w:szCs w:val="22"/>
          <w:lang w:val="nb-NO"/>
        </w:rPr>
        <w:t>Ikke relevant.</w:t>
      </w:r>
    </w:p>
    <w:p w14:paraId="42AA95F2" w14:textId="77777777" w:rsidR="00E50867" w:rsidRPr="009D56B8" w:rsidRDefault="00E50867">
      <w:pPr>
        <w:rPr>
          <w:szCs w:val="22"/>
          <w:lang w:val="nb-NO"/>
        </w:rPr>
      </w:pPr>
    </w:p>
    <w:p w14:paraId="25474CB1" w14:textId="77777777" w:rsidR="00E50867" w:rsidRPr="009D56B8" w:rsidRDefault="00C770E8">
      <w:pPr>
        <w:keepNext/>
        <w:widowControl w:val="0"/>
        <w:suppressLineNumbers/>
        <w:ind w:left="567" w:hanging="567"/>
        <w:rPr>
          <w:b/>
          <w:szCs w:val="22"/>
          <w:lang w:val="nb-NO"/>
        </w:rPr>
      </w:pPr>
      <w:r w:rsidRPr="009D56B8">
        <w:rPr>
          <w:b/>
          <w:szCs w:val="22"/>
          <w:lang w:val="nb-NO"/>
        </w:rPr>
        <w:t>6.3</w:t>
      </w:r>
      <w:r w:rsidRPr="009D56B8">
        <w:rPr>
          <w:b/>
          <w:szCs w:val="22"/>
          <w:lang w:val="nb-NO"/>
        </w:rPr>
        <w:tab/>
        <w:t>Holdbarhet</w:t>
      </w:r>
    </w:p>
    <w:p w14:paraId="3B55EBBB" w14:textId="77777777" w:rsidR="00E50867" w:rsidRPr="009D56B8" w:rsidRDefault="00E50867">
      <w:pPr>
        <w:keepNext/>
        <w:rPr>
          <w:szCs w:val="22"/>
          <w:lang w:val="nb-NO"/>
        </w:rPr>
      </w:pPr>
    </w:p>
    <w:p w14:paraId="6A413F12" w14:textId="00C656E1" w:rsidR="00E50867" w:rsidRPr="009D56B8" w:rsidRDefault="00025029">
      <w:pPr>
        <w:keepNext/>
        <w:widowControl w:val="0"/>
        <w:suppressLineNumbers/>
        <w:rPr>
          <w:szCs w:val="22"/>
          <w:lang w:val="nb-NO"/>
        </w:rPr>
      </w:pPr>
      <w:r w:rsidRPr="009D56B8">
        <w:rPr>
          <w:szCs w:val="22"/>
          <w:lang w:val="nb-NO"/>
        </w:rPr>
        <w:t>3</w:t>
      </w:r>
      <w:r w:rsidR="00C770E8" w:rsidRPr="009D56B8">
        <w:rPr>
          <w:szCs w:val="22"/>
          <w:lang w:val="nb-NO"/>
        </w:rPr>
        <w:t xml:space="preserve"> år</w:t>
      </w:r>
    </w:p>
    <w:p w14:paraId="641D8315" w14:textId="77777777" w:rsidR="00E50867" w:rsidRPr="009D56B8" w:rsidRDefault="00E50867">
      <w:pPr>
        <w:rPr>
          <w:szCs w:val="22"/>
          <w:lang w:val="nb-NO"/>
        </w:rPr>
      </w:pPr>
    </w:p>
    <w:p w14:paraId="5B3AABE5" w14:textId="77777777" w:rsidR="00E50867" w:rsidRPr="009D56B8" w:rsidRDefault="00C770E8">
      <w:pPr>
        <w:keepNext/>
        <w:rPr>
          <w:b/>
          <w:szCs w:val="22"/>
          <w:lang w:val="nb-NO"/>
        </w:rPr>
      </w:pPr>
      <w:r w:rsidRPr="009D56B8">
        <w:rPr>
          <w:b/>
          <w:szCs w:val="22"/>
          <w:lang w:val="nb-NO"/>
        </w:rPr>
        <w:t>6.4</w:t>
      </w:r>
      <w:r w:rsidRPr="009D56B8">
        <w:rPr>
          <w:b/>
          <w:szCs w:val="22"/>
          <w:lang w:val="nb-NO"/>
        </w:rPr>
        <w:tab/>
        <w:t>Oppbevaringsbetingelser</w:t>
      </w:r>
    </w:p>
    <w:p w14:paraId="74E16647" w14:textId="77777777" w:rsidR="00E50867" w:rsidRPr="009D56B8" w:rsidRDefault="00E50867">
      <w:pPr>
        <w:keepNext/>
        <w:rPr>
          <w:szCs w:val="22"/>
          <w:lang w:val="nb-NO"/>
        </w:rPr>
      </w:pPr>
    </w:p>
    <w:p w14:paraId="7F72ECE4" w14:textId="104B08D5" w:rsidR="004B4470" w:rsidRPr="009D56B8" w:rsidRDefault="004B4470">
      <w:pPr>
        <w:widowControl w:val="0"/>
        <w:suppressLineNumbers/>
        <w:rPr>
          <w:szCs w:val="22"/>
          <w:lang w:val="nb-NO"/>
        </w:rPr>
      </w:pPr>
      <w:r w:rsidRPr="009D56B8">
        <w:rPr>
          <w:lang w:val="nb-NO"/>
        </w:rPr>
        <w:t>Dette legemidlet krever ingen spesielle oppbevaringsbetingelser.</w:t>
      </w:r>
    </w:p>
    <w:p w14:paraId="6066EA11" w14:textId="77777777" w:rsidR="00E50867" w:rsidRPr="009D56B8" w:rsidRDefault="00E50867">
      <w:pPr>
        <w:rPr>
          <w:szCs w:val="22"/>
          <w:lang w:val="nb-NO"/>
        </w:rPr>
      </w:pPr>
    </w:p>
    <w:p w14:paraId="672E8B3B" w14:textId="77777777" w:rsidR="00E50867" w:rsidRPr="009D56B8" w:rsidRDefault="00C770E8">
      <w:pPr>
        <w:widowControl w:val="0"/>
        <w:suppressLineNumbers/>
        <w:rPr>
          <w:b/>
          <w:szCs w:val="22"/>
          <w:lang w:val="nb-NO"/>
        </w:rPr>
      </w:pPr>
      <w:r w:rsidRPr="009D56B8">
        <w:rPr>
          <w:b/>
          <w:szCs w:val="22"/>
          <w:lang w:val="nb-NO"/>
        </w:rPr>
        <w:t>6.5</w:t>
      </w:r>
      <w:r w:rsidRPr="009D56B8">
        <w:rPr>
          <w:b/>
          <w:szCs w:val="22"/>
          <w:lang w:val="nb-NO"/>
        </w:rPr>
        <w:tab/>
        <w:t>Emballasje (type og innhold)</w:t>
      </w:r>
    </w:p>
    <w:p w14:paraId="7FA03657" w14:textId="77777777" w:rsidR="00E50867" w:rsidRPr="009D56B8" w:rsidRDefault="00E50867">
      <w:pPr>
        <w:rPr>
          <w:szCs w:val="22"/>
          <w:lang w:val="nb-NO"/>
        </w:rPr>
      </w:pPr>
    </w:p>
    <w:p w14:paraId="78C0D612" w14:textId="77777777" w:rsidR="00713DF6" w:rsidRPr="009D56B8" w:rsidRDefault="00C770E8">
      <w:pPr>
        <w:widowControl w:val="0"/>
        <w:suppressLineNumbers/>
        <w:rPr>
          <w:szCs w:val="22"/>
          <w:lang w:val="nb-NO"/>
        </w:rPr>
      </w:pPr>
      <w:r w:rsidRPr="009D56B8">
        <w:rPr>
          <w:szCs w:val="22"/>
          <w:lang w:val="nb-NO"/>
        </w:rPr>
        <w:t xml:space="preserve">120 mg kapsler: </w:t>
      </w:r>
    </w:p>
    <w:p w14:paraId="405194A0" w14:textId="7EAAC7D3" w:rsidR="00E50867" w:rsidRPr="009D56B8" w:rsidRDefault="00C770E8">
      <w:pPr>
        <w:widowControl w:val="0"/>
        <w:suppressLineNumbers/>
        <w:rPr>
          <w:szCs w:val="22"/>
          <w:lang w:val="nb-NO"/>
        </w:rPr>
      </w:pPr>
      <w:r w:rsidRPr="009D56B8">
        <w:rPr>
          <w:szCs w:val="22"/>
          <w:lang w:val="nb-NO"/>
        </w:rPr>
        <w:t>14 kapsler i blisterpakninger av PVC/PE/PVDC-aluminium.</w:t>
      </w:r>
    </w:p>
    <w:p w14:paraId="352217A2" w14:textId="1252B577" w:rsidR="00C27DC1" w:rsidRPr="009D56B8" w:rsidRDefault="00C27DC1">
      <w:pPr>
        <w:widowControl w:val="0"/>
        <w:suppressLineNumbers/>
        <w:rPr>
          <w:rFonts w:eastAsia="Times New Roman"/>
          <w:szCs w:val="22"/>
          <w:lang w:val="nb-NO" w:eastAsia="nb-NO"/>
        </w:rPr>
      </w:pPr>
      <w:r w:rsidRPr="009D56B8">
        <w:rPr>
          <w:szCs w:val="22"/>
          <w:lang w:val="nb-NO"/>
        </w:rPr>
        <w:t xml:space="preserve">14x1 kapsler i </w:t>
      </w:r>
      <w:r w:rsidR="00713DF6" w:rsidRPr="009D56B8">
        <w:rPr>
          <w:rFonts w:eastAsia="Times New Roman"/>
          <w:szCs w:val="22"/>
          <w:lang w:val="nb-NO" w:eastAsia="nb-NO"/>
        </w:rPr>
        <w:t xml:space="preserve">perforerte </w:t>
      </w:r>
      <w:r w:rsidR="00973618" w:rsidRPr="009D56B8">
        <w:rPr>
          <w:rFonts w:eastAsia="Times New Roman"/>
          <w:szCs w:val="22"/>
          <w:lang w:val="nb-NO" w:eastAsia="nb-NO"/>
        </w:rPr>
        <w:t>endose</w:t>
      </w:r>
      <w:r w:rsidR="00713DF6" w:rsidRPr="009D56B8">
        <w:rPr>
          <w:rFonts w:eastAsia="Times New Roman"/>
          <w:szCs w:val="22"/>
          <w:lang w:val="nb-NO" w:eastAsia="nb-NO"/>
        </w:rPr>
        <w:t xml:space="preserve">blisterpakninger </w:t>
      </w:r>
      <w:r w:rsidR="00973618" w:rsidRPr="009D56B8">
        <w:rPr>
          <w:rFonts w:eastAsia="Times New Roman"/>
          <w:szCs w:val="22"/>
          <w:lang w:val="nb-NO" w:eastAsia="nb-NO"/>
        </w:rPr>
        <w:t xml:space="preserve">av </w:t>
      </w:r>
      <w:r w:rsidR="00973618" w:rsidRPr="009D56B8">
        <w:rPr>
          <w:szCs w:val="22"/>
          <w:lang w:val="nb-NO"/>
        </w:rPr>
        <w:t>PVC/PE/PVDC-aluminium</w:t>
      </w:r>
      <w:r w:rsidR="00713DF6" w:rsidRPr="009D56B8">
        <w:rPr>
          <w:rFonts w:eastAsia="Times New Roman"/>
          <w:szCs w:val="22"/>
          <w:lang w:val="nb-NO" w:eastAsia="nb-NO"/>
        </w:rPr>
        <w:t>.</w:t>
      </w:r>
    </w:p>
    <w:p w14:paraId="629F732C" w14:textId="77777777" w:rsidR="00713DF6" w:rsidRPr="009D56B8" w:rsidRDefault="00713DF6">
      <w:pPr>
        <w:widowControl w:val="0"/>
        <w:suppressLineNumbers/>
        <w:rPr>
          <w:szCs w:val="22"/>
          <w:lang w:val="nb-NO"/>
        </w:rPr>
      </w:pPr>
    </w:p>
    <w:p w14:paraId="73E12EC3" w14:textId="77777777" w:rsidR="00713DF6" w:rsidRPr="009D56B8" w:rsidRDefault="00C770E8">
      <w:pPr>
        <w:widowControl w:val="0"/>
        <w:suppressLineNumbers/>
        <w:rPr>
          <w:szCs w:val="22"/>
          <w:lang w:val="nb-NO"/>
        </w:rPr>
      </w:pPr>
      <w:r w:rsidRPr="009D56B8">
        <w:rPr>
          <w:szCs w:val="22"/>
          <w:lang w:val="nb-NO"/>
        </w:rPr>
        <w:t xml:space="preserve">240 mg kapsler: </w:t>
      </w:r>
    </w:p>
    <w:p w14:paraId="14BFA30E" w14:textId="3521FC84" w:rsidR="00E50867" w:rsidRPr="009D56B8" w:rsidRDefault="00C770E8">
      <w:pPr>
        <w:widowControl w:val="0"/>
        <w:suppressLineNumbers/>
        <w:rPr>
          <w:szCs w:val="22"/>
          <w:lang w:val="nb-NO"/>
        </w:rPr>
      </w:pPr>
      <w:r w:rsidRPr="009D56B8">
        <w:rPr>
          <w:szCs w:val="22"/>
          <w:lang w:val="nb-NO"/>
        </w:rPr>
        <w:t>56 eller 168 kapsler i blisterpakninger av PVC/PE/PVDC-aluminium.</w:t>
      </w:r>
    </w:p>
    <w:p w14:paraId="0C4021D3" w14:textId="79AA65D0" w:rsidR="00713DF6" w:rsidRPr="009D56B8" w:rsidRDefault="00713DF6">
      <w:pPr>
        <w:widowControl w:val="0"/>
        <w:suppressLineNumbers/>
        <w:rPr>
          <w:szCs w:val="22"/>
          <w:lang w:val="nb-NO"/>
        </w:rPr>
      </w:pPr>
      <w:r w:rsidRPr="009D56B8">
        <w:rPr>
          <w:szCs w:val="22"/>
          <w:lang w:val="nb-NO"/>
        </w:rPr>
        <w:t xml:space="preserve">56x1 eller 168x1 kapsler i </w:t>
      </w:r>
      <w:r w:rsidR="00973618" w:rsidRPr="009D56B8">
        <w:rPr>
          <w:rFonts w:eastAsia="Times New Roman"/>
          <w:szCs w:val="22"/>
          <w:lang w:val="nb-NO" w:eastAsia="nb-NO"/>
        </w:rPr>
        <w:t xml:space="preserve">perforerte endoseblisterpakninger av </w:t>
      </w:r>
      <w:r w:rsidR="00973618" w:rsidRPr="009D56B8">
        <w:rPr>
          <w:szCs w:val="22"/>
          <w:lang w:val="nb-NO"/>
        </w:rPr>
        <w:t>PVC/PE/PVDC-aluminium</w:t>
      </w:r>
      <w:r w:rsidR="00973618" w:rsidRPr="009D56B8">
        <w:rPr>
          <w:rFonts w:eastAsia="Times New Roman"/>
          <w:szCs w:val="22"/>
          <w:lang w:val="nb-NO" w:eastAsia="nb-NO"/>
        </w:rPr>
        <w:t>.</w:t>
      </w:r>
    </w:p>
    <w:p w14:paraId="16DF1D44" w14:textId="77777777" w:rsidR="00E50867" w:rsidRPr="009D56B8" w:rsidRDefault="00E50867">
      <w:pPr>
        <w:rPr>
          <w:szCs w:val="22"/>
          <w:lang w:val="nb-NO"/>
        </w:rPr>
      </w:pPr>
    </w:p>
    <w:p w14:paraId="087270A1" w14:textId="77777777" w:rsidR="00E50867" w:rsidRPr="009D56B8" w:rsidRDefault="00C770E8">
      <w:pPr>
        <w:widowControl w:val="0"/>
        <w:suppressLineNumbers/>
        <w:rPr>
          <w:szCs w:val="22"/>
          <w:lang w:val="nb-NO"/>
        </w:rPr>
      </w:pPr>
      <w:r w:rsidRPr="009D56B8">
        <w:rPr>
          <w:szCs w:val="22"/>
          <w:lang w:val="nb-NO"/>
        </w:rPr>
        <w:t>Ikke alle pakningsstørrelser vil nødvendigvis bli markedsført.</w:t>
      </w:r>
    </w:p>
    <w:p w14:paraId="2957896F" w14:textId="77777777" w:rsidR="00E50867" w:rsidRPr="009D56B8" w:rsidRDefault="00E50867">
      <w:pPr>
        <w:rPr>
          <w:szCs w:val="22"/>
          <w:lang w:val="nb-NO"/>
        </w:rPr>
      </w:pPr>
    </w:p>
    <w:p w14:paraId="1E4042F7" w14:textId="77777777" w:rsidR="00E50867" w:rsidRPr="009D56B8" w:rsidRDefault="00C770E8">
      <w:pPr>
        <w:keepNext/>
        <w:widowControl w:val="0"/>
        <w:suppressLineNumbers/>
        <w:ind w:left="567" w:hanging="567"/>
        <w:rPr>
          <w:b/>
          <w:szCs w:val="22"/>
          <w:lang w:val="nb-NO"/>
        </w:rPr>
      </w:pPr>
      <w:r w:rsidRPr="009D56B8">
        <w:rPr>
          <w:b/>
          <w:szCs w:val="22"/>
          <w:lang w:val="nb-NO"/>
        </w:rPr>
        <w:t>6.6</w:t>
      </w:r>
      <w:r w:rsidRPr="009D56B8">
        <w:rPr>
          <w:b/>
          <w:szCs w:val="22"/>
          <w:lang w:val="nb-NO"/>
        </w:rPr>
        <w:tab/>
        <w:t>Spesielle forholdsregler for destruksjon</w:t>
      </w:r>
    </w:p>
    <w:p w14:paraId="2255B6D4" w14:textId="77777777" w:rsidR="00E50867" w:rsidRPr="009D56B8" w:rsidRDefault="00E50867">
      <w:pPr>
        <w:rPr>
          <w:szCs w:val="22"/>
          <w:lang w:val="nb-NO"/>
        </w:rPr>
      </w:pPr>
    </w:p>
    <w:p w14:paraId="4D53A63A" w14:textId="5994A14F" w:rsidR="00E50867" w:rsidRPr="009D56B8" w:rsidRDefault="00A02DCC">
      <w:pPr>
        <w:keepNext/>
        <w:widowControl w:val="0"/>
        <w:suppressLineNumbers/>
        <w:rPr>
          <w:szCs w:val="22"/>
          <w:lang w:val="nb-NO"/>
        </w:rPr>
      </w:pPr>
      <w:r w:rsidRPr="009D56B8">
        <w:rPr>
          <w:szCs w:val="22"/>
          <w:lang w:val="nb-NO"/>
        </w:rPr>
        <w:t>Ikke anvendt legemiddel samt avfall bør destrueres i overensstemmelse med lokale krav.</w:t>
      </w:r>
    </w:p>
    <w:p w14:paraId="1D1CD64A" w14:textId="03BB11E2" w:rsidR="00E50867" w:rsidRPr="009D56B8" w:rsidRDefault="00E50867">
      <w:pPr>
        <w:rPr>
          <w:szCs w:val="22"/>
          <w:lang w:val="nb-NO"/>
        </w:rPr>
      </w:pPr>
    </w:p>
    <w:p w14:paraId="3AA9CBD7" w14:textId="77777777" w:rsidR="002B578B" w:rsidRPr="009D56B8" w:rsidRDefault="002B578B">
      <w:pPr>
        <w:rPr>
          <w:szCs w:val="22"/>
          <w:lang w:val="nb-NO"/>
        </w:rPr>
      </w:pPr>
    </w:p>
    <w:p w14:paraId="4CD566A4" w14:textId="77777777" w:rsidR="00E50867" w:rsidRPr="009D56B8" w:rsidRDefault="00C770E8" w:rsidP="008E40D3">
      <w:pPr>
        <w:keepNext/>
        <w:widowControl w:val="0"/>
        <w:suppressLineNumbers/>
        <w:ind w:left="567" w:hanging="567"/>
        <w:rPr>
          <w:b/>
          <w:szCs w:val="22"/>
          <w:lang w:val="nb-NO"/>
        </w:rPr>
      </w:pPr>
      <w:r w:rsidRPr="009D56B8">
        <w:rPr>
          <w:b/>
          <w:szCs w:val="22"/>
          <w:lang w:val="nb-NO"/>
        </w:rPr>
        <w:t>7.</w:t>
      </w:r>
      <w:r w:rsidRPr="009D56B8">
        <w:rPr>
          <w:b/>
          <w:szCs w:val="22"/>
          <w:lang w:val="nb-NO"/>
        </w:rPr>
        <w:tab/>
        <w:t>INNEHAVER AV MARKEDSFØRINGSTILLATELSEN</w:t>
      </w:r>
    </w:p>
    <w:p w14:paraId="31CF8935" w14:textId="77777777" w:rsidR="00E50867" w:rsidRPr="009D56B8" w:rsidRDefault="00E50867" w:rsidP="008E40D3">
      <w:pPr>
        <w:keepNext/>
        <w:rPr>
          <w:szCs w:val="22"/>
          <w:lang w:val="nb-NO"/>
        </w:rPr>
      </w:pPr>
    </w:p>
    <w:p w14:paraId="7D44C720" w14:textId="6E775B99" w:rsidR="00073CCD" w:rsidRPr="009D56B8" w:rsidRDefault="00073CCD" w:rsidP="00073CCD">
      <w:pPr>
        <w:rPr>
          <w:szCs w:val="22"/>
          <w:lang w:val="nb-NO"/>
        </w:rPr>
      </w:pPr>
      <w:r w:rsidRPr="009D56B8">
        <w:rPr>
          <w:szCs w:val="22"/>
          <w:lang w:val="nb-NO"/>
        </w:rPr>
        <w:t>Accord Healthcare S.L.U.</w:t>
      </w:r>
    </w:p>
    <w:p w14:paraId="52980F55" w14:textId="77777777" w:rsidR="00073CCD" w:rsidRPr="009D56B8" w:rsidRDefault="00073CCD" w:rsidP="00073CCD">
      <w:pPr>
        <w:rPr>
          <w:szCs w:val="22"/>
        </w:rPr>
      </w:pPr>
      <w:r w:rsidRPr="009D56B8">
        <w:rPr>
          <w:szCs w:val="22"/>
        </w:rPr>
        <w:t>World Trade Center, Moll de Barcelona, s/n,</w:t>
      </w:r>
    </w:p>
    <w:p w14:paraId="2E9121B2" w14:textId="77777777" w:rsidR="00073CCD" w:rsidRPr="009D56B8" w:rsidRDefault="00073CCD" w:rsidP="00073CCD">
      <w:pPr>
        <w:rPr>
          <w:szCs w:val="22"/>
          <w:lang w:val="fr-FR"/>
        </w:rPr>
      </w:pPr>
      <w:r w:rsidRPr="009D56B8">
        <w:rPr>
          <w:szCs w:val="22"/>
          <w:lang w:val="fr-FR"/>
        </w:rPr>
        <w:t>Edifici Est, 6</w:t>
      </w:r>
      <w:r w:rsidRPr="009D56B8">
        <w:rPr>
          <w:szCs w:val="22"/>
          <w:vertAlign w:val="superscript"/>
          <w:lang w:val="fr-FR"/>
        </w:rPr>
        <w:t>a</w:t>
      </w:r>
      <w:r w:rsidRPr="009D56B8">
        <w:rPr>
          <w:szCs w:val="22"/>
          <w:lang w:val="fr-FR"/>
        </w:rPr>
        <w:t xml:space="preserve"> Planta,</w:t>
      </w:r>
    </w:p>
    <w:p w14:paraId="10C68022" w14:textId="77777777" w:rsidR="00073CCD" w:rsidRPr="009D56B8" w:rsidRDefault="00073CCD" w:rsidP="00073CCD">
      <w:pPr>
        <w:rPr>
          <w:szCs w:val="22"/>
          <w:lang w:val="fr-FR"/>
        </w:rPr>
      </w:pPr>
      <w:r w:rsidRPr="009D56B8">
        <w:rPr>
          <w:szCs w:val="22"/>
          <w:lang w:val="fr-FR"/>
        </w:rPr>
        <w:t>08039 Barcelona,</w:t>
      </w:r>
    </w:p>
    <w:p w14:paraId="2A2E635B" w14:textId="275ADAFB" w:rsidR="00073CCD" w:rsidRPr="009D56B8" w:rsidRDefault="00073CCD" w:rsidP="00073CCD">
      <w:pPr>
        <w:rPr>
          <w:szCs w:val="22"/>
          <w:lang w:val="nb-NO"/>
        </w:rPr>
      </w:pPr>
      <w:r w:rsidRPr="009D56B8">
        <w:rPr>
          <w:szCs w:val="22"/>
          <w:lang w:val="nb-NO"/>
        </w:rPr>
        <w:t>Spania</w:t>
      </w:r>
    </w:p>
    <w:p w14:paraId="73C05A24" w14:textId="77777777" w:rsidR="00E50867" w:rsidRPr="009D56B8" w:rsidRDefault="00E50867">
      <w:pPr>
        <w:rPr>
          <w:szCs w:val="22"/>
          <w:lang w:val="nb-NO"/>
        </w:rPr>
      </w:pPr>
    </w:p>
    <w:p w14:paraId="354F1E8D" w14:textId="77777777" w:rsidR="00E50867" w:rsidRPr="009D56B8" w:rsidRDefault="00E50867">
      <w:pPr>
        <w:rPr>
          <w:szCs w:val="22"/>
          <w:lang w:val="nb-NO"/>
        </w:rPr>
      </w:pPr>
    </w:p>
    <w:p w14:paraId="3753CA49" w14:textId="77777777" w:rsidR="00E50867" w:rsidRPr="009D56B8" w:rsidRDefault="00C770E8">
      <w:pPr>
        <w:rPr>
          <w:b/>
          <w:szCs w:val="22"/>
          <w:lang w:val="nb-NO"/>
        </w:rPr>
      </w:pPr>
      <w:r w:rsidRPr="009D56B8">
        <w:rPr>
          <w:b/>
          <w:szCs w:val="22"/>
          <w:lang w:val="nb-NO"/>
        </w:rPr>
        <w:t>8.</w:t>
      </w:r>
      <w:r w:rsidRPr="009D56B8">
        <w:rPr>
          <w:b/>
          <w:szCs w:val="22"/>
          <w:lang w:val="nb-NO"/>
        </w:rPr>
        <w:tab/>
        <w:t>MARKEDSFØRINGSTILLATELSESNUMMER (NUMRE)</w:t>
      </w:r>
    </w:p>
    <w:p w14:paraId="24841BCD" w14:textId="77777777" w:rsidR="00E50867" w:rsidRPr="009D56B8" w:rsidRDefault="00E50867">
      <w:pPr>
        <w:rPr>
          <w:szCs w:val="22"/>
          <w:lang w:val="nb-NO"/>
        </w:rPr>
      </w:pPr>
    </w:p>
    <w:p w14:paraId="7863E5C3" w14:textId="77777777" w:rsidR="00713DF6" w:rsidRPr="009D56B8" w:rsidRDefault="00713DF6">
      <w:pPr>
        <w:widowControl w:val="0"/>
        <w:tabs>
          <w:tab w:val="clear" w:pos="567"/>
          <w:tab w:val="left" w:pos="720"/>
        </w:tabs>
        <w:rPr>
          <w:szCs w:val="22"/>
          <w:lang w:val="nb-NO"/>
        </w:rPr>
      </w:pPr>
      <w:r w:rsidRPr="009D56B8">
        <w:rPr>
          <w:szCs w:val="22"/>
          <w:lang w:val="nb-NO"/>
        </w:rPr>
        <w:t>120 mg kapsler:</w:t>
      </w:r>
    </w:p>
    <w:p w14:paraId="239AD289" w14:textId="77777777" w:rsidR="00713DF6" w:rsidRPr="009D56B8" w:rsidRDefault="00AB09D7">
      <w:pPr>
        <w:widowControl w:val="0"/>
        <w:tabs>
          <w:tab w:val="clear" w:pos="567"/>
          <w:tab w:val="left" w:pos="720"/>
        </w:tabs>
        <w:rPr>
          <w:szCs w:val="22"/>
          <w:lang w:val="nb-NO"/>
        </w:rPr>
      </w:pPr>
      <w:r w:rsidRPr="009D56B8">
        <w:rPr>
          <w:szCs w:val="22"/>
          <w:lang w:val="nb-NO"/>
        </w:rPr>
        <w:t>EU/1/</w:t>
      </w:r>
      <w:r w:rsidR="00713DF6" w:rsidRPr="009D56B8">
        <w:rPr>
          <w:szCs w:val="22"/>
          <w:lang w:val="nb-NO"/>
        </w:rPr>
        <w:t>24/1811/001</w:t>
      </w:r>
    </w:p>
    <w:p w14:paraId="04EF2BF4" w14:textId="77777777" w:rsidR="00713DF6" w:rsidRPr="009D56B8" w:rsidRDefault="00713DF6">
      <w:pPr>
        <w:widowControl w:val="0"/>
        <w:tabs>
          <w:tab w:val="clear" w:pos="567"/>
          <w:tab w:val="left" w:pos="720"/>
        </w:tabs>
        <w:rPr>
          <w:szCs w:val="22"/>
          <w:lang w:val="nb-NO"/>
        </w:rPr>
      </w:pPr>
      <w:r w:rsidRPr="009D56B8">
        <w:rPr>
          <w:szCs w:val="22"/>
          <w:lang w:val="nb-NO"/>
        </w:rPr>
        <w:t>EU/1/24/1811/002</w:t>
      </w:r>
    </w:p>
    <w:p w14:paraId="09238026" w14:textId="77777777" w:rsidR="00713DF6" w:rsidRPr="009D56B8" w:rsidRDefault="00713DF6">
      <w:pPr>
        <w:widowControl w:val="0"/>
        <w:tabs>
          <w:tab w:val="clear" w:pos="567"/>
          <w:tab w:val="left" w:pos="720"/>
        </w:tabs>
        <w:rPr>
          <w:szCs w:val="22"/>
          <w:lang w:val="nb-NO"/>
        </w:rPr>
      </w:pPr>
    </w:p>
    <w:p w14:paraId="6522834B" w14:textId="77777777" w:rsidR="00713DF6" w:rsidRPr="009D56B8" w:rsidRDefault="00713DF6">
      <w:pPr>
        <w:widowControl w:val="0"/>
        <w:tabs>
          <w:tab w:val="clear" w:pos="567"/>
          <w:tab w:val="left" w:pos="720"/>
        </w:tabs>
        <w:rPr>
          <w:szCs w:val="22"/>
          <w:lang w:val="nb-NO"/>
        </w:rPr>
      </w:pPr>
      <w:r w:rsidRPr="009D56B8">
        <w:rPr>
          <w:szCs w:val="22"/>
          <w:lang w:val="nb-NO"/>
        </w:rPr>
        <w:t>240 mg kapsler:</w:t>
      </w:r>
    </w:p>
    <w:p w14:paraId="565CBC96" w14:textId="20FA77C2" w:rsidR="00E50867" w:rsidRPr="009D56B8" w:rsidRDefault="00713DF6">
      <w:pPr>
        <w:widowControl w:val="0"/>
        <w:tabs>
          <w:tab w:val="clear" w:pos="567"/>
          <w:tab w:val="left" w:pos="720"/>
        </w:tabs>
        <w:rPr>
          <w:szCs w:val="22"/>
          <w:lang w:val="nb-NO"/>
        </w:rPr>
      </w:pPr>
      <w:r w:rsidRPr="009D56B8">
        <w:rPr>
          <w:szCs w:val="22"/>
          <w:lang w:val="nb-NO"/>
        </w:rPr>
        <w:t>EU/1/24/1811/</w:t>
      </w:r>
      <w:r w:rsidR="00AB09D7" w:rsidRPr="009D56B8">
        <w:rPr>
          <w:szCs w:val="22"/>
          <w:lang w:val="nb-NO"/>
        </w:rPr>
        <w:t>003</w:t>
      </w:r>
    </w:p>
    <w:p w14:paraId="2E6A8479" w14:textId="77777777" w:rsidR="00713DF6" w:rsidRPr="009D56B8" w:rsidRDefault="00713DF6">
      <w:pPr>
        <w:widowControl w:val="0"/>
        <w:tabs>
          <w:tab w:val="clear" w:pos="567"/>
          <w:tab w:val="left" w:pos="720"/>
        </w:tabs>
        <w:rPr>
          <w:szCs w:val="22"/>
          <w:lang w:val="nb-NO"/>
        </w:rPr>
      </w:pPr>
    </w:p>
    <w:p w14:paraId="55B88671" w14:textId="792EBA5F" w:rsidR="00713DF6" w:rsidRPr="009D56B8" w:rsidRDefault="00713DF6">
      <w:pPr>
        <w:widowControl w:val="0"/>
        <w:tabs>
          <w:tab w:val="clear" w:pos="567"/>
          <w:tab w:val="left" w:pos="720"/>
        </w:tabs>
        <w:rPr>
          <w:szCs w:val="22"/>
          <w:lang w:val="nb-NO"/>
        </w:rPr>
      </w:pPr>
      <w:r w:rsidRPr="009D56B8">
        <w:rPr>
          <w:szCs w:val="22"/>
          <w:lang w:val="nb-NO"/>
        </w:rPr>
        <w:t>EU/1/24/1811/004</w:t>
      </w:r>
    </w:p>
    <w:p w14:paraId="20FE1681" w14:textId="42974DAD" w:rsidR="00713DF6" w:rsidRPr="009D56B8" w:rsidRDefault="00713DF6">
      <w:pPr>
        <w:widowControl w:val="0"/>
        <w:tabs>
          <w:tab w:val="clear" w:pos="567"/>
          <w:tab w:val="left" w:pos="720"/>
        </w:tabs>
        <w:rPr>
          <w:szCs w:val="22"/>
          <w:lang w:val="nb-NO"/>
        </w:rPr>
      </w:pPr>
      <w:r w:rsidRPr="009D56B8">
        <w:rPr>
          <w:szCs w:val="22"/>
          <w:lang w:val="nb-NO"/>
        </w:rPr>
        <w:t>EU/1/24/1811/005</w:t>
      </w:r>
    </w:p>
    <w:p w14:paraId="61CC5F56" w14:textId="6D198175" w:rsidR="00713DF6" w:rsidRPr="009D56B8" w:rsidRDefault="00713DF6">
      <w:pPr>
        <w:widowControl w:val="0"/>
        <w:tabs>
          <w:tab w:val="clear" w:pos="567"/>
          <w:tab w:val="left" w:pos="720"/>
        </w:tabs>
        <w:rPr>
          <w:szCs w:val="22"/>
          <w:lang w:val="nb-NO" w:eastAsia="en-GB"/>
        </w:rPr>
      </w:pPr>
      <w:r w:rsidRPr="009D56B8">
        <w:rPr>
          <w:szCs w:val="22"/>
          <w:lang w:val="nb-NO"/>
        </w:rPr>
        <w:t>EU/1/24/1811/006</w:t>
      </w:r>
    </w:p>
    <w:p w14:paraId="3EBB9D42" w14:textId="77777777" w:rsidR="00E50867" w:rsidRPr="009D56B8" w:rsidRDefault="00E50867">
      <w:pPr>
        <w:widowControl w:val="0"/>
        <w:tabs>
          <w:tab w:val="clear" w:pos="567"/>
          <w:tab w:val="left" w:pos="720"/>
        </w:tabs>
        <w:rPr>
          <w:szCs w:val="22"/>
          <w:lang w:val="nb-NO" w:eastAsia="en-GB"/>
        </w:rPr>
      </w:pPr>
    </w:p>
    <w:p w14:paraId="3E8CD3DB" w14:textId="77777777" w:rsidR="00E50867" w:rsidRPr="009D56B8" w:rsidRDefault="00E50867">
      <w:pPr>
        <w:rPr>
          <w:szCs w:val="22"/>
          <w:lang w:val="nb-NO"/>
        </w:rPr>
      </w:pPr>
    </w:p>
    <w:p w14:paraId="3BA83B18" w14:textId="77777777" w:rsidR="00E50867" w:rsidRPr="009D56B8" w:rsidRDefault="00C770E8">
      <w:pPr>
        <w:widowControl w:val="0"/>
        <w:suppressLineNumbers/>
        <w:ind w:left="567" w:hanging="567"/>
        <w:rPr>
          <w:b/>
          <w:szCs w:val="22"/>
          <w:lang w:val="nb-NO"/>
        </w:rPr>
      </w:pPr>
      <w:r w:rsidRPr="009D56B8">
        <w:rPr>
          <w:b/>
          <w:szCs w:val="22"/>
          <w:lang w:val="nb-NO"/>
        </w:rPr>
        <w:t>9.</w:t>
      </w:r>
      <w:r w:rsidRPr="009D56B8">
        <w:rPr>
          <w:b/>
          <w:szCs w:val="22"/>
          <w:lang w:val="nb-NO"/>
        </w:rPr>
        <w:tab/>
        <w:t>DATO FOR FØRSTE MARKEDSFØRINGSTILLATELSE / SISTE FORNYELSE</w:t>
      </w:r>
    </w:p>
    <w:p w14:paraId="3FEFECF2" w14:textId="77777777" w:rsidR="00E50867" w:rsidRPr="009D56B8" w:rsidRDefault="00E50867">
      <w:pPr>
        <w:rPr>
          <w:szCs w:val="22"/>
          <w:lang w:val="nb-NO"/>
        </w:rPr>
      </w:pPr>
    </w:p>
    <w:p w14:paraId="31331889" w14:textId="5EE9ABBF" w:rsidR="00E50867" w:rsidRPr="009D56B8" w:rsidRDefault="00C770E8" w:rsidP="00513CD0">
      <w:pPr>
        <w:widowControl w:val="0"/>
        <w:suppressLineNumbers/>
        <w:rPr>
          <w:lang w:val="nb-NO"/>
        </w:rPr>
      </w:pPr>
      <w:r w:rsidRPr="009D56B8">
        <w:rPr>
          <w:szCs w:val="22"/>
          <w:lang w:val="nb-NO"/>
        </w:rPr>
        <w:t>Dato for første markedsføringstillatelse:</w:t>
      </w:r>
      <w:r w:rsidR="0055099D" w:rsidRPr="009D56B8">
        <w:rPr>
          <w:szCs w:val="22"/>
          <w:lang w:val="nb-NO"/>
        </w:rPr>
        <w:t xml:space="preserve"> </w:t>
      </w:r>
      <w:r w:rsidR="002E520E" w:rsidRPr="009D56B8">
        <w:rPr>
          <w:szCs w:val="22"/>
          <w:lang w:val="nn-NO"/>
        </w:rPr>
        <w:t>22. april 2024</w:t>
      </w:r>
    </w:p>
    <w:p w14:paraId="1040FA4B" w14:textId="77777777" w:rsidR="00E50867" w:rsidRPr="009D56B8" w:rsidRDefault="00E50867">
      <w:pPr>
        <w:rPr>
          <w:szCs w:val="22"/>
          <w:lang w:val="nb-NO"/>
        </w:rPr>
      </w:pPr>
    </w:p>
    <w:p w14:paraId="27CEBD67" w14:textId="77777777" w:rsidR="00E50867" w:rsidRPr="009D56B8" w:rsidRDefault="00E50867">
      <w:pPr>
        <w:rPr>
          <w:szCs w:val="22"/>
          <w:lang w:val="nb-NO"/>
        </w:rPr>
      </w:pPr>
    </w:p>
    <w:p w14:paraId="4144EE10" w14:textId="7FAAE086" w:rsidR="00E50867" w:rsidRPr="009D56B8" w:rsidRDefault="00C770E8">
      <w:pPr>
        <w:keepNext/>
        <w:rPr>
          <w:b/>
          <w:szCs w:val="22"/>
          <w:lang w:val="nb-NO"/>
        </w:rPr>
      </w:pPr>
      <w:r w:rsidRPr="009D56B8">
        <w:rPr>
          <w:b/>
          <w:szCs w:val="22"/>
          <w:lang w:val="nb-NO"/>
        </w:rPr>
        <w:t>10.</w:t>
      </w:r>
      <w:r w:rsidRPr="009D56B8">
        <w:rPr>
          <w:b/>
          <w:szCs w:val="22"/>
          <w:lang w:val="nb-NO"/>
        </w:rPr>
        <w:tab/>
        <w:t>OPPDATERINGSDATO</w:t>
      </w:r>
    </w:p>
    <w:p w14:paraId="59747A80" w14:textId="6A324FD1" w:rsidR="002E520E" w:rsidRPr="009D56B8" w:rsidRDefault="002E520E">
      <w:pPr>
        <w:keepNext/>
        <w:rPr>
          <w:b/>
          <w:szCs w:val="22"/>
          <w:lang w:val="nb-NO"/>
        </w:rPr>
      </w:pPr>
    </w:p>
    <w:p w14:paraId="3248053B" w14:textId="77777777" w:rsidR="00050A70" w:rsidRPr="009D56B8" w:rsidRDefault="00050A70">
      <w:pPr>
        <w:keepNext/>
        <w:rPr>
          <w:szCs w:val="22"/>
          <w:lang w:val="nb-NO"/>
        </w:rPr>
      </w:pPr>
    </w:p>
    <w:p w14:paraId="65A852D1" w14:textId="40611DD6" w:rsidR="00E50867" w:rsidRPr="009D56B8" w:rsidRDefault="00C770E8">
      <w:pPr>
        <w:widowControl w:val="0"/>
        <w:suppressLineNumbers/>
        <w:ind w:right="-2"/>
        <w:rPr>
          <w:lang w:val="nb-NO"/>
        </w:rPr>
      </w:pPr>
      <w:r w:rsidRPr="009D56B8">
        <w:rPr>
          <w:szCs w:val="22"/>
          <w:lang w:val="nb-NO"/>
        </w:rPr>
        <w:t xml:space="preserve">Detaljert informasjon om dette legemidlet er tilgjengelig på nettstedet til Det europeiske legemiddelkontoret (the European Medicines Agency) </w:t>
      </w:r>
      <w:r w:rsidR="0037082E" w:rsidRPr="009D56B8">
        <w:rPr>
          <w:lang w:val="nb-NO"/>
        </w:rPr>
        <w:fldChar w:fldCharType="begin"/>
      </w:r>
      <w:r w:rsidR="0037082E" w:rsidRPr="009D56B8">
        <w:rPr>
          <w:lang w:val="nb-NO"/>
        </w:rPr>
        <w:instrText>HYPERLINK "</w:instrText>
      </w:r>
      <w:r w:rsidR="0037082E" w:rsidRPr="009D56B8">
        <w:rPr>
          <w:lang w:val="nn-NO"/>
        </w:rPr>
        <w:instrText>https://www.ema.europa.eu</w:instrText>
      </w:r>
      <w:r w:rsidR="0037082E" w:rsidRPr="009D56B8">
        <w:rPr>
          <w:lang w:val="nb-NO"/>
        </w:rPr>
        <w:instrText>"</w:instrText>
      </w:r>
      <w:r w:rsidR="0037082E" w:rsidRPr="009D56B8">
        <w:rPr>
          <w:lang w:val="nb-NO"/>
        </w:rPr>
      </w:r>
      <w:r w:rsidR="0037082E" w:rsidRPr="009D56B8">
        <w:rPr>
          <w:lang w:val="nb-NO"/>
        </w:rPr>
        <w:fldChar w:fldCharType="separate"/>
      </w:r>
      <w:r w:rsidR="0037082E" w:rsidRPr="009D56B8">
        <w:rPr>
          <w:rStyle w:val="Hyperlink"/>
          <w:color w:val="auto"/>
          <w:lang w:val="nb-NO"/>
        </w:rPr>
        <w:t>https://www.ema.europa.eu</w:t>
      </w:r>
      <w:r w:rsidR="0037082E" w:rsidRPr="009D56B8">
        <w:rPr>
          <w:lang w:val="nb-NO"/>
        </w:rPr>
        <w:fldChar w:fldCharType="end"/>
      </w:r>
      <w:r w:rsidRPr="009D56B8">
        <w:rPr>
          <w:lang w:val="nb-NO"/>
        </w:rPr>
        <w:t>.</w:t>
      </w:r>
    </w:p>
    <w:p w14:paraId="057DFB8A" w14:textId="77777777" w:rsidR="00E50867" w:rsidRPr="009D56B8" w:rsidRDefault="00C770E8">
      <w:pPr>
        <w:rPr>
          <w:lang w:val="nb-NO"/>
        </w:rPr>
      </w:pPr>
      <w:r w:rsidRPr="009D56B8">
        <w:rPr>
          <w:lang w:val="nb-NO"/>
        </w:rPr>
        <w:br w:type="page"/>
      </w:r>
    </w:p>
    <w:p w14:paraId="4D2787EB" w14:textId="77777777" w:rsidR="00E50867" w:rsidRPr="009D56B8" w:rsidRDefault="00E50867">
      <w:pPr>
        <w:rPr>
          <w:szCs w:val="22"/>
          <w:lang w:val="nb-NO"/>
        </w:rPr>
      </w:pPr>
    </w:p>
    <w:p w14:paraId="0096115A" w14:textId="77777777" w:rsidR="00E50867" w:rsidRPr="009D56B8" w:rsidRDefault="00E50867">
      <w:pPr>
        <w:rPr>
          <w:szCs w:val="22"/>
          <w:lang w:val="nb-NO"/>
        </w:rPr>
      </w:pPr>
    </w:p>
    <w:p w14:paraId="1824480B" w14:textId="77777777" w:rsidR="00E50867" w:rsidRPr="009D56B8" w:rsidRDefault="00E50867">
      <w:pPr>
        <w:rPr>
          <w:szCs w:val="22"/>
          <w:lang w:val="nb-NO"/>
        </w:rPr>
      </w:pPr>
    </w:p>
    <w:p w14:paraId="42EC9721" w14:textId="77777777" w:rsidR="00E50867" w:rsidRPr="009D56B8" w:rsidRDefault="00E50867">
      <w:pPr>
        <w:rPr>
          <w:szCs w:val="22"/>
          <w:lang w:val="nb-NO"/>
        </w:rPr>
      </w:pPr>
    </w:p>
    <w:p w14:paraId="096E96C2" w14:textId="77777777" w:rsidR="00E50867" w:rsidRPr="009D56B8" w:rsidRDefault="00E50867">
      <w:pPr>
        <w:rPr>
          <w:szCs w:val="22"/>
          <w:lang w:val="nb-NO"/>
        </w:rPr>
      </w:pPr>
    </w:p>
    <w:p w14:paraId="729A5076" w14:textId="77777777" w:rsidR="00E50867" w:rsidRPr="009D56B8" w:rsidRDefault="00E50867">
      <w:pPr>
        <w:rPr>
          <w:szCs w:val="22"/>
          <w:lang w:val="nb-NO"/>
        </w:rPr>
      </w:pPr>
    </w:p>
    <w:p w14:paraId="250DC3B8" w14:textId="77777777" w:rsidR="00E50867" w:rsidRPr="009D56B8" w:rsidRDefault="00E50867">
      <w:pPr>
        <w:rPr>
          <w:szCs w:val="22"/>
          <w:lang w:val="nb-NO"/>
        </w:rPr>
      </w:pPr>
    </w:p>
    <w:p w14:paraId="1C1A1F45" w14:textId="77777777" w:rsidR="00E50867" w:rsidRPr="009D56B8" w:rsidRDefault="00E50867">
      <w:pPr>
        <w:rPr>
          <w:szCs w:val="22"/>
          <w:lang w:val="nb-NO"/>
        </w:rPr>
      </w:pPr>
    </w:p>
    <w:p w14:paraId="312E611A" w14:textId="77777777" w:rsidR="00E50867" w:rsidRPr="009D56B8" w:rsidRDefault="00E50867">
      <w:pPr>
        <w:rPr>
          <w:szCs w:val="22"/>
          <w:lang w:val="nb-NO"/>
        </w:rPr>
      </w:pPr>
    </w:p>
    <w:p w14:paraId="5B4FDD6A" w14:textId="77777777" w:rsidR="00E50867" w:rsidRPr="009D56B8" w:rsidRDefault="00E50867">
      <w:pPr>
        <w:rPr>
          <w:szCs w:val="22"/>
          <w:lang w:val="nb-NO"/>
        </w:rPr>
      </w:pPr>
    </w:p>
    <w:p w14:paraId="21EE037A" w14:textId="77777777" w:rsidR="00E50867" w:rsidRPr="009D56B8" w:rsidRDefault="00E50867">
      <w:pPr>
        <w:rPr>
          <w:szCs w:val="22"/>
          <w:lang w:val="nb-NO"/>
        </w:rPr>
      </w:pPr>
    </w:p>
    <w:p w14:paraId="43081C3D" w14:textId="77777777" w:rsidR="00E50867" w:rsidRPr="009D56B8" w:rsidRDefault="00E50867">
      <w:pPr>
        <w:rPr>
          <w:szCs w:val="22"/>
          <w:lang w:val="nb-NO"/>
        </w:rPr>
      </w:pPr>
    </w:p>
    <w:p w14:paraId="29301D7D" w14:textId="77777777" w:rsidR="00E50867" w:rsidRPr="009D56B8" w:rsidRDefault="00E50867">
      <w:pPr>
        <w:rPr>
          <w:szCs w:val="22"/>
          <w:lang w:val="nb-NO"/>
        </w:rPr>
      </w:pPr>
    </w:p>
    <w:p w14:paraId="35E80945" w14:textId="77777777" w:rsidR="00E50867" w:rsidRPr="009D56B8" w:rsidRDefault="00E50867">
      <w:pPr>
        <w:rPr>
          <w:szCs w:val="22"/>
          <w:lang w:val="nb-NO"/>
        </w:rPr>
      </w:pPr>
    </w:p>
    <w:p w14:paraId="21B87323" w14:textId="77777777" w:rsidR="00E50867" w:rsidRPr="009D56B8" w:rsidRDefault="00E50867">
      <w:pPr>
        <w:rPr>
          <w:szCs w:val="22"/>
          <w:lang w:val="nb-NO"/>
        </w:rPr>
      </w:pPr>
    </w:p>
    <w:p w14:paraId="3C25BBBD" w14:textId="77777777" w:rsidR="00E50867" w:rsidRPr="009D56B8" w:rsidRDefault="00E50867">
      <w:pPr>
        <w:rPr>
          <w:szCs w:val="22"/>
          <w:lang w:val="nb-NO"/>
        </w:rPr>
      </w:pPr>
    </w:p>
    <w:p w14:paraId="0EA01A14" w14:textId="77777777" w:rsidR="00E50867" w:rsidRPr="009D56B8" w:rsidRDefault="00E50867">
      <w:pPr>
        <w:rPr>
          <w:szCs w:val="22"/>
          <w:lang w:val="nb-NO"/>
        </w:rPr>
      </w:pPr>
    </w:p>
    <w:p w14:paraId="2F1531A1" w14:textId="77777777" w:rsidR="00E50867" w:rsidRPr="009D56B8" w:rsidRDefault="00E50867">
      <w:pPr>
        <w:rPr>
          <w:szCs w:val="22"/>
          <w:lang w:val="nb-NO"/>
        </w:rPr>
      </w:pPr>
    </w:p>
    <w:p w14:paraId="5B1DC873" w14:textId="77777777" w:rsidR="00E50867" w:rsidRPr="009D56B8" w:rsidRDefault="00E50867">
      <w:pPr>
        <w:rPr>
          <w:szCs w:val="22"/>
          <w:lang w:val="nb-NO"/>
        </w:rPr>
      </w:pPr>
    </w:p>
    <w:p w14:paraId="209FD140" w14:textId="77777777" w:rsidR="00E50867" w:rsidRPr="009D56B8" w:rsidRDefault="00E50867">
      <w:pPr>
        <w:rPr>
          <w:szCs w:val="22"/>
          <w:lang w:val="nb-NO"/>
        </w:rPr>
      </w:pPr>
    </w:p>
    <w:p w14:paraId="2E2B4630" w14:textId="77777777" w:rsidR="00E50867" w:rsidRPr="009D56B8" w:rsidRDefault="00E50867">
      <w:pPr>
        <w:rPr>
          <w:szCs w:val="22"/>
          <w:lang w:val="nb-NO"/>
        </w:rPr>
      </w:pPr>
    </w:p>
    <w:p w14:paraId="4D307348" w14:textId="5AAB7F5A" w:rsidR="00E50867" w:rsidRPr="009D56B8" w:rsidRDefault="00E50867">
      <w:pPr>
        <w:rPr>
          <w:szCs w:val="22"/>
          <w:lang w:val="nb-NO"/>
        </w:rPr>
      </w:pPr>
    </w:p>
    <w:p w14:paraId="00418D3F" w14:textId="77777777" w:rsidR="00562CF9" w:rsidRPr="009D56B8" w:rsidRDefault="00562CF9">
      <w:pPr>
        <w:rPr>
          <w:szCs w:val="22"/>
          <w:lang w:val="nb-NO"/>
        </w:rPr>
      </w:pPr>
    </w:p>
    <w:p w14:paraId="56C374CF" w14:textId="77777777" w:rsidR="00E50867" w:rsidRPr="009D56B8" w:rsidRDefault="00C770E8">
      <w:pPr>
        <w:widowControl w:val="0"/>
        <w:suppressLineNumbers/>
        <w:jc w:val="center"/>
        <w:rPr>
          <w:b/>
          <w:szCs w:val="22"/>
          <w:lang w:val="nb-NO"/>
        </w:rPr>
      </w:pPr>
      <w:r w:rsidRPr="009D56B8">
        <w:rPr>
          <w:b/>
          <w:szCs w:val="22"/>
          <w:lang w:val="nb-NO"/>
        </w:rPr>
        <w:t>VEDLEGG II</w:t>
      </w:r>
    </w:p>
    <w:p w14:paraId="2365195E" w14:textId="77777777" w:rsidR="00E50867" w:rsidRPr="009D56B8" w:rsidRDefault="00E50867">
      <w:pPr>
        <w:rPr>
          <w:szCs w:val="22"/>
          <w:lang w:val="nb-NO"/>
        </w:rPr>
      </w:pPr>
    </w:p>
    <w:p w14:paraId="788B01C3" w14:textId="44C729DB" w:rsidR="00E50867" w:rsidRPr="009D56B8" w:rsidRDefault="00C770E8">
      <w:pPr>
        <w:widowControl w:val="0"/>
        <w:suppressLineNumbers/>
        <w:ind w:left="1701" w:right="1416" w:hanging="708"/>
        <w:rPr>
          <w:b/>
          <w:szCs w:val="22"/>
          <w:lang w:val="nb-NO"/>
        </w:rPr>
      </w:pPr>
      <w:r w:rsidRPr="009D56B8">
        <w:rPr>
          <w:b/>
          <w:szCs w:val="22"/>
          <w:lang w:val="nb-NO"/>
        </w:rPr>
        <w:t>A</w:t>
      </w:r>
      <w:r w:rsidRPr="009D56B8">
        <w:rPr>
          <w:b/>
          <w:szCs w:val="22"/>
          <w:lang w:val="nb-NO"/>
        </w:rPr>
        <w:tab/>
        <w:t>TILVIRKER</w:t>
      </w:r>
      <w:r w:rsidR="00B90E68" w:rsidRPr="009D56B8">
        <w:rPr>
          <w:b/>
          <w:szCs w:val="22"/>
          <w:lang w:val="nb-NO"/>
        </w:rPr>
        <w:t>(E)</w:t>
      </w:r>
      <w:r w:rsidRPr="009D56B8">
        <w:rPr>
          <w:b/>
          <w:szCs w:val="22"/>
          <w:lang w:val="nb-NO"/>
        </w:rPr>
        <w:t xml:space="preserve"> ANSVARLIG FOR BATCH RELEASE</w:t>
      </w:r>
    </w:p>
    <w:p w14:paraId="07CF9526" w14:textId="77777777" w:rsidR="00E50867" w:rsidRPr="009D56B8" w:rsidRDefault="00E50867">
      <w:pPr>
        <w:rPr>
          <w:szCs w:val="22"/>
          <w:lang w:val="nb-NO"/>
        </w:rPr>
      </w:pPr>
    </w:p>
    <w:p w14:paraId="4199774C" w14:textId="77777777" w:rsidR="00E50867" w:rsidRPr="009D56B8" w:rsidRDefault="00C770E8">
      <w:pPr>
        <w:widowControl w:val="0"/>
        <w:suppressLineNumbers/>
        <w:ind w:left="1701" w:right="1416" w:hanging="708"/>
        <w:rPr>
          <w:b/>
          <w:szCs w:val="22"/>
          <w:lang w:val="nb-NO"/>
        </w:rPr>
      </w:pPr>
      <w:r w:rsidRPr="009D56B8">
        <w:rPr>
          <w:b/>
          <w:szCs w:val="22"/>
          <w:lang w:val="nb-NO"/>
        </w:rPr>
        <w:t>B.</w:t>
      </w:r>
      <w:r w:rsidRPr="009D56B8">
        <w:rPr>
          <w:b/>
          <w:szCs w:val="22"/>
          <w:lang w:val="nb-NO"/>
        </w:rPr>
        <w:tab/>
        <w:t>VILKÅR ELLER RESTRIKSJONER VEDRØRENDE LEVERANSE OG BRUK</w:t>
      </w:r>
    </w:p>
    <w:p w14:paraId="378263B2" w14:textId="77777777" w:rsidR="00E50867" w:rsidRPr="009D56B8" w:rsidRDefault="00E50867">
      <w:pPr>
        <w:rPr>
          <w:szCs w:val="22"/>
          <w:lang w:val="nb-NO"/>
        </w:rPr>
      </w:pPr>
    </w:p>
    <w:p w14:paraId="20376946" w14:textId="77777777" w:rsidR="00E50867" w:rsidRPr="009D56B8" w:rsidRDefault="00C770E8">
      <w:pPr>
        <w:ind w:left="1701" w:right="1416" w:hanging="708"/>
        <w:rPr>
          <w:b/>
          <w:caps/>
          <w:szCs w:val="22"/>
          <w:lang w:val="nb-NO"/>
        </w:rPr>
      </w:pPr>
      <w:r w:rsidRPr="009D56B8">
        <w:rPr>
          <w:b/>
          <w:szCs w:val="22"/>
          <w:lang w:val="nb-NO"/>
        </w:rPr>
        <w:t>C.</w:t>
      </w:r>
      <w:r w:rsidRPr="009D56B8">
        <w:rPr>
          <w:b/>
          <w:szCs w:val="22"/>
          <w:lang w:val="nb-NO"/>
        </w:rPr>
        <w:tab/>
        <w:t xml:space="preserve">ANDRE </w:t>
      </w:r>
      <w:r w:rsidRPr="009D56B8">
        <w:rPr>
          <w:b/>
          <w:caps/>
          <w:szCs w:val="22"/>
          <w:lang w:val="nb-NO"/>
        </w:rPr>
        <w:t>VILKÅR OG KRAV TIL MARKEDSFØRINGSTILLATELSEN</w:t>
      </w:r>
    </w:p>
    <w:p w14:paraId="08CE7275" w14:textId="77777777" w:rsidR="00E50867" w:rsidRPr="009D56B8" w:rsidRDefault="00E50867">
      <w:pPr>
        <w:ind w:left="1701" w:right="1416" w:hanging="708"/>
        <w:rPr>
          <w:b/>
          <w:caps/>
          <w:szCs w:val="22"/>
          <w:lang w:val="nb-NO"/>
        </w:rPr>
      </w:pPr>
    </w:p>
    <w:p w14:paraId="7309A5AD" w14:textId="77777777" w:rsidR="00E50867" w:rsidRPr="009D56B8" w:rsidRDefault="00C770E8">
      <w:pPr>
        <w:ind w:left="1701" w:right="1416" w:hanging="708"/>
        <w:rPr>
          <w:b/>
          <w:szCs w:val="22"/>
          <w:lang w:val="nb-NO"/>
        </w:rPr>
      </w:pPr>
      <w:r w:rsidRPr="009D56B8">
        <w:rPr>
          <w:b/>
          <w:szCs w:val="22"/>
          <w:lang w:val="nb-NO"/>
        </w:rPr>
        <w:t>D.</w:t>
      </w:r>
      <w:r w:rsidRPr="009D56B8">
        <w:rPr>
          <w:b/>
          <w:szCs w:val="22"/>
          <w:lang w:val="nb-NO"/>
        </w:rPr>
        <w:tab/>
        <w:t>VILKÅR ELLER RESTRIKSJONER VEDRØRENDE SIKKER OG EFFEKTIV BRUK AV LEGEMIDLET</w:t>
      </w:r>
    </w:p>
    <w:p w14:paraId="5425E05F" w14:textId="77777777" w:rsidR="00E50867" w:rsidRPr="009D56B8" w:rsidRDefault="00E50867">
      <w:pPr>
        <w:ind w:left="1701" w:right="1416" w:hanging="708"/>
        <w:rPr>
          <w:b/>
          <w:caps/>
          <w:szCs w:val="22"/>
          <w:lang w:val="nb-NO"/>
        </w:rPr>
      </w:pPr>
    </w:p>
    <w:p w14:paraId="23BF106F" w14:textId="72BB2F0C" w:rsidR="00E50867" w:rsidRPr="009D56B8" w:rsidRDefault="00C770E8">
      <w:pPr>
        <w:pStyle w:val="TitleB"/>
        <w:numPr>
          <w:ilvl w:val="0"/>
          <w:numId w:val="0"/>
        </w:numPr>
        <w:ind w:left="567" w:hanging="567"/>
        <w:rPr>
          <w:lang w:val="lv-LV"/>
        </w:rPr>
      </w:pPr>
      <w:r w:rsidRPr="009D56B8">
        <w:br w:type="page"/>
      </w:r>
      <w:r w:rsidRPr="009D56B8">
        <w:rPr>
          <w:lang w:val="lv-LV"/>
        </w:rPr>
        <w:lastRenderedPageBreak/>
        <w:t>A.</w:t>
      </w:r>
      <w:r w:rsidRPr="009D56B8">
        <w:rPr>
          <w:lang w:val="lv-LV"/>
        </w:rPr>
        <w:tab/>
        <w:t>TILVIRKER</w:t>
      </w:r>
      <w:r w:rsidR="005C31FB" w:rsidRPr="009D56B8">
        <w:rPr>
          <w:lang w:val="lv-LV"/>
        </w:rPr>
        <w:t>(E)</w:t>
      </w:r>
      <w:r w:rsidRPr="009D56B8">
        <w:rPr>
          <w:lang w:val="lv-LV"/>
        </w:rPr>
        <w:t xml:space="preserve"> ANSVARLIG FOR BATCH RELEASE</w:t>
      </w:r>
    </w:p>
    <w:p w14:paraId="73E643EB" w14:textId="77777777" w:rsidR="00E50867" w:rsidRPr="009D56B8" w:rsidRDefault="00E50867">
      <w:pPr>
        <w:rPr>
          <w:szCs w:val="22"/>
          <w:lang w:val="nb-NO"/>
        </w:rPr>
      </w:pPr>
    </w:p>
    <w:p w14:paraId="63C88727" w14:textId="77777777" w:rsidR="00E50867" w:rsidRPr="009D56B8" w:rsidRDefault="00C770E8">
      <w:pPr>
        <w:rPr>
          <w:szCs w:val="22"/>
          <w:u w:val="single"/>
          <w:lang w:val="nb-NO"/>
        </w:rPr>
      </w:pPr>
      <w:r w:rsidRPr="009D56B8">
        <w:rPr>
          <w:szCs w:val="22"/>
          <w:u w:val="single"/>
          <w:lang w:val="nb-NO"/>
        </w:rPr>
        <w:t>Navn og adresse til tilvirker ansvarlig for batch release</w:t>
      </w:r>
    </w:p>
    <w:p w14:paraId="1EF5DBE1" w14:textId="77777777" w:rsidR="00E50867" w:rsidRPr="009D56B8" w:rsidRDefault="00E50867">
      <w:pPr>
        <w:rPr>
          <w:szCs w:val="22"/>
          <w:u w:val="single"/>
          <w:lang w:val="nb-NO"/>
        </w:rPr>
      </w:pPr>
    </w:p>
    <w:p w14:paraId="06766E9C" w14:textId="77777777" w:rsidR="00BB1873" w:rsidRPr="009D56B8" w:rsidRDefault="00BB1873" w:rsidP="00BB1873">
      <w:pPr>
        <w:rPr>
          <w:szCs w:val="22"/>
          <w:lang w:val="en-US"/>
        </w:rPr>
      </w:pPr>
      <w:r w:rsidRPr="009D56B8">
        <w:rPr>
          <w:szCs w:val="22"/>
          <w:lang w:val="en-US"/>
        </w:rPr>
        <w:t>Accord Healthcare Polska Sp. z.o.o.</w:t>
      </w:r>
    </w:p>
    <w:p w14:paraId="087E0D39" w14:textId="77777777" w:rsidR="00BB1873" w:rsidRPr="009D56B8" w:rsidRDefault="00BB1873" w:rsidP="00BB1873">
      <w:pPr>
        <w:rPr>
          <w:szCs w:val="22"/>
        </w:rPr>
      </w:pPr>
      <w:r w:rsidRPr="009D56B8">
        <w:rPr>
          <w:szCs w:val="22"/>
        </w:rPr>
        <w:t>ul.Lutomierska 50,</w:t>
      </w:r>
    </w:p>
    <w:p w14:paraId="66CE002C" w14:textId="03453C9D" w:rsidR="00BB1873" w:rsidRPr="009D56B8" w:rsidRDefault="00BB1873" w:rsidP="00BB1873">
      <w:pPr>
        <w:rPr>
          <w:szCs w:val="22"/>
        </w:rPr>
      </w:pPr>
      <w:r w:rsidRPr="009D56B8">
        <w:rPr>
          <w:szCs w:val="22"/>
        </w:rPr>
        <w:t>95-200, Pabianice, Polen</w:t>
      </w:r>
    </w:p>
    <w:p w14:paraId="07E9883B" w14:textId="77777777" w:rsidR="00BB1873" w:rsidRPr="009D56B8" w:rsidRDefault="00BB1873" w:rsidP="00BB1873">
      <w:pPr>
        <w:rPr>
          <w:szCs w:val="22"/>
        </w:rPr>
      </w:pPr>
    </w:p>
    <w:p w14:paraId="251BF6A8" w14:textId="77777777" w:rsidR="00BB1873" w:rsidRPr="009D56B8" w:rsidRDefault="00BB1873" w:rsidP="00BB1873">
      <w:pPr>
        <w:rPr>
          <w:szCs w:val="22"/>
        </w:rPr>
      </w:pPr>
      <w:r w:rsidRPr="009D56B8">
        <w:rPr>
          <w:szCs w:val="22"/>
        </w:rPr>
        <w:t>Pharmadox Healthcare Limited</w:t>
      </w:r>
    </w:p>
    <w:p w14:paraId="3CD25FDA" w14:textId="77777777" w:rsidR="00BB1873" w:rsidRPr="009D56B8" w:rsidRDefault="00BB1873" w:rsidP="00BB1873">
      <w:pPr>
        <w:rPr>
          <w:szCs w:val="22"/>
        </w:rPr>
      </w:pPr>
      <w:r w:rsidRPr="009D56B8">
        <w:rPr>
          <w:szCs w:val="22"/>
        </w:rPr>
        <w:t xml:space="preserve">KW20A </w:t>
      </w:r>
      <w:proofErr w:type="spellStart"/>
      <w:r w:rsidRPr="009D56B8">
        <w:rPr>
          <w:szCs w:val="22"/>
        </w:rPr>
        <w:t>Kordin</w:t>
      </w:r>
      <w:proofErr w:type="spellEnd"/>
      <w:r w:rsidRPr="009D56B8">
        <w:rPr>
          <w:szCs w:val="22"/>
        </w:rPr>
        <w:t xml:space="preserve"> Industrial Park,</w:t>
      </w:r>
    </w:p>
    <w:p w14:paraId="6DB3F959" w14:textId="77777777" w:rsidR="00BB1873" w:rsidRPr="009D56B8" w:rsidRDefault="00BB1873" w:rsidP="00BB1873">
      <w:pPr>
        <w:rPr>
          <w:szCs w:val="22"/>
        </w:rPr>
      </w:pPr>
      <w:r w:rsidRPr="009D56B8">
        <w:rPr>
          <w:szCs w:val="22"/>
        </w:rPr>
        <w:t>Paola PLA 3000, Malta</w:t>
      </w:r>
    </w:p>
    <w:p w14:paraId="2C71AC4A" w14:textId="77777777" w:rsidR="00BB1873" w:rsidRPr="009D56B8" w:rsidRDefault="00BB1873" w:rsidP="00BB1873">
      <w:pPr>
        <w:rPr>
          <w:szCs w:val="22"/>
        </w:rPr>
      </w:pPr>
    </w:p>
    <w:p w14:paraId="1FEB6E86" w14:textId="77777777" w:rsidR="00BB1873" w:rsidRPr="009D56B8" w:rsidRDefault="00BB1873" w:rsidP="00BB1873">
      <w:pPr>
        <w:rPr>
          <w:szCs w:val="22"/>
        </w:rPr>
      </w:pPr>
      <w:r w:rsidRPr="009D56B8">
        <w:rPr>
          <w:szCs w:val="22"/>
        </w:rPr>
        <w:t>Accord Healthcare B.V.</w:t>
      </w:r>
    </w:p>
    <w:p w14:paraId="25FBC3C7" w14:textId="77777777" w:rsidR="00BB1873" w:rsidRPr="009D56B8" w:rsidRDefault="00BB1873" w:rsidP="00BB1873">
      <w:pPr>
        <w:rPr>
          <w:szCs w:val="22"/>
          <w:lang w:val="nb-NO"/>
        </w:rPr>
      </w:pPr>
      <w:r w:rsidRPr="009D56B8">
        <w:rPr>
          <w:szCs w:val="22"/>
          <w:lang w:val="nb-NO"/>
        </w:rPr>
        <w:t xml:space="preserve">Winthontlaan 200, </w:t>
      </w:r>
    </w:p>
    <w:p w14:paraId="2C5F3FF9" w14:textId="5E4999D1" w:rsidR="00677549" w:rsidRDefault="00BB1873" w:rsidP="00BB1873">
      <w:pPr>
        <w:widowControl w:val="0"/>
        <w:autoSpaceDE w:val="0"/>
        <w:autoSpaceDN w:val="0"/>
        <w:adjustRightInd w:val="0"/>
        <w:rPr>
          <w:ins w:id="19" w:author="Gita Baryalai" w:date="2025-08-01T11:07:00Z" w16du:dateUtc="2025-08-01T09:07:00Z"/>
          <w:szCs w:val="22"/>
          <w:lang w:val="nb-NO"/>
        </w:rPr>
      </w:pPr>
      <w:r w:rsidRPr="009D56B8">
        <w:rPr>
          <w:szCs w:val="22"/>
          <w:lang w:val="nb-NO"/>
        </w:rPr>
        <w:t>3526 KV Utrecht, Nederland</w:t>
      </w:r>
    </w:p>
    <w:p w14:paraId="5E92A849" w14:textId="77777777" w:rsidR="002D4FB2" w:rsidRDefault="002D4FB2" w:rsidP="00BB1873">
      <w:pPr>
        <w:widowControl w:val="0"/>
        <w:autoSpaceDE w:val="0"/>
        <w:autoSpaceDN w:val="0"/>
        <w:adjustRightInd w:val="0"/>
        <w:rPr>
          <w:ins w:id="20" w:author="Gita Baryalai" w:date="2025-08-01T11:07:00Z" w16du:dateUtc="2025-08-01T09:07:00Z"/>
          <w:szCs w:val="22"/>
          <w:lang w:val="nb-NO"/>
        </w:rPr>
      </w:pPr>
    </w:p>
    <w:p w14:paraId="3FB20B18" w14:textId="77777777" w:rsidR="002D4FB2" w:rsidRPr="00BB3B76" w:rsidRDefault="002D4FB2" w:rsidP="002D4FB2">
      <w:pPr>
        <w:keepNext/>
        <w:widowControl w:val="0"/>
        <w:tabs>
          <w:tab w:val="clear" w:pos="567"/>
        </w:tabs>
        <w:ind w:right="-2"/>
        <w:rPr>
          <w:ins w:id="21" w:author="Gita Baryalai" w:date="2025-08-01T11:07:00Z" w16du:dateUtc="2025-08-01T09:07:00Z"/>
          <w:rFonts w:eastAsia="Times New Roman"/>
          <w:lang w:eastAsia="en-US"/>
        </w:rPr>
      </w:pPr>
      <w:ins w:id="22" w:author="Gita Baryalai" w:date="2025-08-01T11:07:00Z" w16du:dateUtc="2025-08-01T09:07:00Z">
        <w:r w:rsidRPr="00BB3B76">
          <w:rPr>
            <w:rFonts w:eastAsia="Times New Roman"/>
            <w:lang w:eastAsia="en-US"/>
          </w:rPr>
          <w:t xml:space="preserve">Accord Healthcare single member S.A. </w:t>
        </w:r>
      </w:ins>
    </w:p>
    <w:p w14:paraId="2C6060ED" w14:textId="77777777" w:rsidR="002D4FB2" w:rsidRPr="00BB3B76" w:rsidRDefault="002D4FB2" w:rsidP="002D4FB2">
      <w:pPr>
        <w:keepNext/>
        <w:widowControl w:val="0"/>
        <w:tabs>
          <w:tab w:val="clear" w:pos="567"/>
        </w:tabs>
        <w:ind w:right="-2"/>
        <w:rPr>
          <w:ins w:id="23" w:author="Gita Baryalai" w:date="2025-08-01T11:07:00Z" w16du:dateUtc="2025-08-01T09:07:00Z"/>
          <w:rFonts w:eastAsia="Times New Roman"/>
          <w:lang w:eastAsia="en-US"/>
        </w:rPr>
      </w:pPr>
      <w:ins w:id="24" w:author="Gita Baryalai" w:date="2025-08-01T11:07:00Z" w16du:dateUtc="2025-08-01T09:07:00Z">
        <w:r w:rsidRPr="00BB3B76">
          <w:rPr>
            <w:rFonts w:eastAsia="Times New Roman"/>
            <w:lang w:eastAsia="en-US"/>
          </w:rPr>
          <w:t>64th Km National Road Athens Lamia,</w:t>
        </w:r>
      </w:ins>
    </w:p>
    <w:p w14:paraId="08732956" w14:textId="77777777" w:rsidR="002D4FB2" w:rsidRPr="00BB3B76" w:rsidRDefault="002D4FB2" w:rsidP="002D4FB2">
      <w:pPr>
        <w:keepNext/>
        <w:widowControl w:val="0"/>
        <w:tabs>
          <w:tab w:val="clear" w:pos="567"/>
        </w:tabs>
        <w:ind w:right="-2"/>
        <w:rPr>
          <w:ins w:id="25" w:author="Gita Baryalai" w:date="2025-08-01T11:07:00Z" w16du:dateUtc="2025-08-01T09:07:00Z"/>
          <w:rFonts w:eastAsia="Times New Roman"/>
          <w:lang w:eastAsia="en-US"/>
        </w:rPr>
      </w:pPr>
      <w:proofErr w:type="spellStart"/>
      <w:ins w:id="26" w:author="Gita Baryalai" w:date="2025-08-01T11:07:00Z" w16du:dateUtc="2025-08-01T09:07:00Z">
        <w:r w:rsidRPr="00BB3B76">
          <w:rPr>
            <w:rFonts w:eastAsia="Times New Roman"/>
            <w:lang w:eastAsia="en-US"/>
          </w:rPr>
          <w:t>Schimatari</w:t>
        </w:r>
        <w:proofErr w:type="spellEnd"/>
        <w:r w:rsidRPr="00BB3B76">
          <w:rPr>
            <w:rFonts w:eastAsia="Times New Roman"/>
            <w:lang w:eastAsia="en-US"/>
          </w:rPr>
          <w:t xml:space="preserve">, 32009, </w:t>
        </w:r>
        <w:r w:rsidRPr="00BB3B76">
          <w:rPr>
            <w:rFonts w:eastAsia="Times New Roman"/>
            <w:lang w:val="sv-SE" w:eastAsia="en-US"/>
          </w:rPr>
          <w:t>Hellas</w:t>
        </w:r>
      </w:ins>
    </w:p>
    <w:p w14:paraId="1A1D168E" w14:textId="77777777" w:rsidR="002D4FB2" w:rsidRPr="009D56B8" w:rsidRDefault="002D4FB2" w:rsidP="00BB1873">
      <w:pPr>
        <w:widowControl w:val="0"/>
        <w:autoSpaceDE w:val="0"/>
        <w:autoSpaceDN w:val="0"/>
        <w:adjustRightInd w:val="0"/>
        <w:rPr>
          <w:szCs w:val="22"/>
          <w:lang w:val="nb-NO"/>
        </w:rPr>
      </w:pPr>
    </w:p>
    <w:p w14:paraId="1C6FD8B7" w14:textId="77777777" w:rsidR="00677549" w:rsidRPr="009D56B8" w:rsidRDefault="00677549" w:rsidP="00BB1873">
      <w:pPr>
        <w:widowControl w:val="0"/>
        <w:autoSpaceDE w:val="0"/>
        <w:autoSpaceDN w:val="0"/>
        <w:adjustRightInd w:val="0"/>
        <w:rPr>
          <w:szCs w:val="22"/>
          <w:lang w:val="nb-NO"/>
        </w:rPr>
      </w:pPr>
    </w:p>
    <w:p w14:paraId="79032323" w14:textId="1637354D" w:rsidR="00677549" w:rsidRPr="009D56B8" w:rsidRDefault="00677549" w:rsidP="00BB1873">
      <w:pPr>
        <w:widowControl w:val="0"/>
        <w:autoSpaceDE w:val="0"/>
        <w:autoSpaceDN w:val="0"/>
        <w:adjustRightInd w:val="0"/>
        <w:rPr>
          <w:szCs w:val="22"/>
          <w:lang w:val="nb-NO"/>
        </w:rPr>
      </w:pPr>
      <w:r w:rsidRPr="009D56B8">
        <w:rPr>
          <w:szCs w:val="22"/>
          <w:lang w:val="nb-NO"/>
        </w:rPr>
        <w:t>I pakningsvedlegget skal det stå navn og adresse til tilvirkeren som er ansvarlig for batch release for gjeldende batch.</w:t>
      </w:r>
    </w:p>
    <w:p w14:paraId="59A698F6" w14:textId="77777777" w:rsidR="0005763B" w:rsidRPr="009D56B8" w:rsidRDefault="0005763B" w:rsidP="0005763B">
      <w:pPr>
        <w:rPr>
          <w:szCs w:val="22"/>
          <w:lang w:val="lv-LV"/>
        </w:rPr>
      </w:pPr>
    </w:p>
    <w:p w14:paraId="67470742" w14:textId="77777777" w:rsidR="00E50867" w:rsidRPr="009D56B8" w:rsidRDefault="00E50867">
      <w:pPr>
        <w:rPr>
          <w:szCs w:val="22"/>
          <w:lang w:val="lv-LV"/>
        </w:rPr>
      </w:pPr>
    </w:p>
    <w:p w14:paraId="2AEE4C6A" w14:textId="77777777" w:rsidR="00E50867" w:rsidRPr="009D56B8" w:rsidRDefault="00C770E8">
      <w:pPr>
        <w:pStyle w:val="TitleB"/>
        <w:numPr>
          <w:ilvl w:val="0"/>
          <w:numId w:val="0"/>
        </w:numPr>
        <w:ind w:left="567" w:hanging="567"/>
        <w:rPr>
          <w:lang w:val="lv-LV"/>
        </w:rPr>
      </w:pPr>
      <w:r w:rsidRPr="009D56B8">
        <w:rPr>
          <w:lang w:val="lv-LV"/>
        </w:rPr>
        <w:t>B.</w:t>
      </w:r>
      <w:r w:rsidRPr="009D56B8">
        <w:rPr>
          <w:lang w:val="lv-LV"/>
        </w:rPr>
        <w:tab/>
        <w:t>VILKÅR ELLER RESTRIKSJONER VEDRØRENDE LEVERANSE OG BRUK</w:t>
      </w:r>
    </w:p>
    <w:p w14:paraId="12F64565" w14:textId="77777777" w:rsidR="00E50867" w:rsidRPr="009D56B8" w:rsidRDefault="00E50867">
      <w:pPr>
        <w:rPr>
          <w:szCs w:val="22"/>
          <w:lang w:val="lv-LV"/>
        </w:rPr>
      </w:pPr>
    </w:p>
    <w:p w14:paraId="0CD0E0BA" w14:textId="77777777" w:rsidR="00E50867" w:rsidRPr="009D56B8" w:rsidRDefault="00C770E8">
      <w:pPr>
        <w:rPr>
          <w:snapToGrid w:val="0"/>
          <w:szCs w:val="22"/>
          <w:lang w:val="lv-LV"/>
        </w:rPr>
      </w:pPr>
      <w:r w:rsidRPr="009D56B8">
        <w:rPr>
          <w:szCs w:val="22"/>
          <w:lang w:val="lv-LV"/>
        </w:rPr>
        <w:t>Legemiddel underlagt begrenset forskrivning (s</w:t>
      </w:r>
      <w:r w:rsidRPr="009D56B8">
        <w:rPr>
          <w:snapToGrid w:val="0"/>
          <w:szCs w:val="22"/>
          <w:lang w:val="lv-LV"/>
        </w:rPr>
        <w:t>e Vedlegg I, Preparatomtale, pkt. 4.2).</w:t>
      </w:r>
    </w:p>
    <w:p w14:paraId="4449F96A" w14:textId="77777777" w:rsidR="00E50867" w:rsidRPr="009D56B8" w:rsidRDefault="00E50867">
      <w:pPr>
        <w:rPr>
          <w:b/>
          <w:szCs w:val="22"/>
          <w:lang w:val="lv-LV"/>
        </w:rPr>
      </w:pPr>
    </w:p>
    <w:p w14:paraId="64F23A09" w14:textId="77777777" w:rsidR="00E50867" w:rsidRPr="009D56B8" w:rsidRDefault="00E50867">
      <w:pPr>
        <w:rPr>
          <w:b/>
          <w:szCs w:val="22"/>
          <w:lang w:val="lv-LV"/>
        </w:rPr>
      </w:pPr>
    </w:p>
    <w:p w14:paraId="3BA96601" w14:textId="77777777" w:rsidR="00E50867" w:rsidRPr="009D56B8" w:rsidRDefault="00C770E8">
      <w:pPr>
        <w:pStyle w:val="TitleB"/>
      </w:pPr>
      <w:r w:rsidRPr="009D56B8">
        <w:t>ANDRE VILKÅR OG KRAV TIL MARKEDSFØRINGSTILLATELSEN</w:t>
      </w:r>
    </w:p>
    <w:p w14:paraId="6CBAFC11" w14:textId="77777777" w:rsidR="00E50867" w:rsidRPr="009D56B8" w:rsidRDefault="00E50867">
      <w:pPr>
        <w:rPr>
          <w:b/>
          <w:szCs w:val="22"/>
          <w:lang w:val="nb-NO"/>
        </w:rPr>
      </w:pPr>
    </w:p>
    <w:p w14:paraId="5C6511DC" w14:textId="77777777" w:rsidR="00E50867" w:rsidRPr="009D56B8" w:rsidRDefault="00C770E8">
      <w:pPr>
        <w:numPr>
          <w:ilvl w:val="0"/>
          <w:numId w:val="12"/>
        </w:numPr>
        <w:suppressLineNumbers/>
        <w:suppressAutoHyphens w:val="0"/>
        <w:spacing w:line="260" w:lineRule="exact"/>
        <w:ind w:right="-1" w:hanging="720"/>
        <w:rPr>
          <w:b/>
          <w:szCs w:val="22"/>
          <w:lang w:val="nb-NO"/>
        </w:rPr>
      </w:pPr>
      <w:r w:rsidRPr="009D56B8">
        <w:rPr>
          <w:b/>
          <w:szCs w:val="22"/>
          <w:lang w:val="nb-NO"/>
        </w:rPr>
        <w:t>Periodiske sikkerhetsoppdateringsrapporter (PSUR-er)</w:t>
      </w:r>
    </w:p>
    <w:p w14:paraId="2C6AFE2A" w14:textId="77777777" w:rsidR="00E50867" w:rsidRPr="009D56B8" w:rsidRDefault="00E50867">
      <w:pPr>
        <w:suppressLineNumbers/>
        <w:tabs>
          <w:tab w:val="left" w:pos="0"/>
        </w:tabs>
        <w:ind w:right="567"/>
        <w:rPr>
          <w:szCs w:val="22"/>
          <w:lang w:val="nb-NO"/>
        </w:rPr>
      </w:pPr>
    </w:p>
    <w:p w14:paraId="1FA5518C" w14:textId="77777777" w:rsidR="00E50867" w:rsidRPr="009D56B8" w:rsidRDefault="00C770E8">
      <w:pPr>
        <w:rPr>
          <w:szCs w:val="22"/>
          <w:lang w:val="nb-NO"/>
        </w:rPr>
      </w:pPr>
      <w:r w:rsidRPr="009D56B8">
        <w:rPr>
          <w:szCs w:val="22"/>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24363BDB" w14:textId="77777777" w:rsidR="00E50867" w:rsidRPr="009D56B8" w:rsidRDefault="00E50867">
      <w:pPr>
        <w:suppressLineNumbers/>
        <w:ind w:right="-1"/>
        <w:rPr>
          <w:szCs w:val="22"/>
          <w:u w:val="single"/>
          <w:lang w:val="nb-NO"/>
        </w:rPr>
      </w:pPr>
    </w:p>
    <w:p w14:paraId="4FA30BC9" w14:textId="77777777" w:rsidR="00E50867" w:rsidRPr="009D56B8" w:rsidRDefault="00E50867">
      <w:pPr>
        <w:suppressLineNumbers/>
        <w:ind w:right="-1"/>
        <w:rPr>
          <w:szCs w:val="22"/>
          <w:u w:val="single"/>
          <w:lang w:val="nb-NO"/>
        </w:rPr>
      </w:pPr>
    </w:p>
    <w:p w14:paraId="3D0805F2" w14:textId="77777777" w:rsidR="00E50867" w:rsidRPr="009D56B8" w:rsidRDefault="00C770E8">
      <w:pPr>
        <w:pStyle w:val="TitleB"/>
        <w:numPr>
          <w:ilvl w:val="0"/>
          <w:numId w:val="0"/>
        </w:numPr>
        <w:ind w:left="567" w:hanging="567"/>
      </w:pPr>
      <w:r w:rsidRPr="009D56B8">
        <w:t>D.</w:t>
      </w:r>
      <w:r w:rsidRPr="009D56B8">
        <w:tab/>
        <w:t>VILKÅR ELLER RESTRIKSJONER VEDRØRENDE SIKKER OG EFFEKTIV BRUK AV LEGEMIDLET</w:t>
      </w:r>
    </w:p>
    <w:p w14:paraId="77D8EC47" w14:textId="77777777" w:rsidR="00E50867" w:rsidRPr="009D56B8" w:rsidRDefault="00E50867">
      <w:pPr>
        <w:suppressLineNumbers/>
        <w:ind w:right="-1"/>
        <w:rPr>
          <w:szCs w:val="22"/>
          <w:u w:val="single"/>
          <w:lang w:val="nb-NO"/>
        </w:rPr>
      </w:pPr>
    </w:p>
    <w:p w14:paraId="57ED580D" w14:textId="77777777" w:rsidR="00E50867" w:rsidRPr="009D56B8" w:rsidRDefault="00C770E8">
      <w:pPr>
        <w:numPr>
          <w:ilvl w:val="0"/>
          <w:numId w:val="12"/>
        </w:numPr>
        <w:suppressLineNumbers/>
        <w:suppressAutoHyphens w:val="0"/>
        <w:spacing w:line="260" w:lineRule="exact"/>
        <w:ind w:right="-1" w:hanging="720"/>
        <w:rPr>
          <w:b/>
          <w:szCs w:val="22"/>
          <w:lang w:val="nb-NO"/>
        </w:rPr>
      </w:pPr>
      <w:r w:rsidRPr="009D56B8">
        <w:rPr>
          <w:b/>
          <w:szCs w:val="22"/>
          <w:lang w:val="nb-NO"/>
        </w:rPr>
        <w:t>Risikohåndteringsplan (RMP)</w:t>
      </w:r>
    </w:p>
    <w:p w14:paraId="4757D918" w14:textId="77777777" w:rsidR="00E50867" w:rsidRPr="009D56B8" w:rsidRDefault="00E50867">
      <w:pPr>
        <w:suppressLineNumbers/>
        <w:ind w:left="720" w:right="-1"/>
        <w:rPr>
          <w:b/>
          <w:szCs w:val="22"/>
          <w:lang w:val="nb-NO"/>
        </w:rPr>
      </w:pPr>
    </w:p>
    <w:p w14:paraId="1030368D" w14:textId="77777777" w:rsidR="00E50867" w:rsidRPr="009D56B8" w:rsidRDefault="00C770E8">
      <w:pPr>
        <w:rPr>
          <w:szCs w:val="22"/>
          <w:lang w:val="nb-NO"/>
        </w:rPr>
      </w:pPr>
      <w:r w:rsidRPr="009D56B8">
        <w:rPr>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24A987FB" w14:textId="77777777" w:rsidR="00E50867" w:rsidRPr="009D56B8" w:rsidRDefault="00E50867">
      <w:pPr>
        <w:rPr>
          <w:szCs w:val="22"/>
          <w:lang w:val="nb-NO"/>
        </w:rPr>
      </w:pPr>
    </w:p>
    <w:p w14:paraId="16D269F9" w14:textId="77777777" w:rsidR="00E50867" w:rsidRPr="009D56B8" w:rsidRDefault="00C770E8">
      <w:pPr>
        <w:ind w:right="-1"/>
        <w:rPr>
          <w:szCs w:val="22"/>
          <w:lang w:val="nb-NO"/>
        </w:rPr>
      </w:pPr>
      <w:r w:rsidRPr="009D56B8">
        <w:rPr>
          <w:szCs w:val="22"/>
          <w:lang w:val="nb-NO"/>
        </w:rPr>
        <w:t>En oppdatert RMP skal sendes inn:</w:t>
      </w:r>
    </w:p>
    <w:p w14:paraId="21383B5E" w14:textId="77777777" w:rsidR="00E50867" w:rsidRPr="009D56B8" w:rsidRDefault="00C770E8">
      <w:pPr>
        <w:numPr>
          <w:ilvl w:val="0"/>
          <w:numId w:val="9"/>
        </w:numPr>
        <w:tabs>
          <w:tab w:val="clear" w:pos="567"/>
          <w:tab w:val="clear" w:pos="720"/>
        </w:tabs>
        <w:suppressAutoHyphens w:val="0"/>
        <w:rPr>
          <w:szCs w:val="22"/>
          <w:lang w:val="nb-NO"/>
        </w:rPr>
      </w:pPr>
      <w:r w:rsidRPr="009D56B8">
        <w:rPr>
          <w:szCs w:val="22"/>
          <w:lang w:val="nb-NO"/>
        </w:rPr>
        <w:t xml:space="preserve">på forespørsel fra </w:t>
      </w:r>
      <w:r w:rsidRPr="009D56B8">
        <w:rPr>
          <w:szCs w:val="22"/>
          <w:lang w:val="nb-NO" w:eastAsia="zh-CN"/>
        </w:rPr>
        <w:t xml:space="preserve">Det europeiske legemiddelkontoret </w:t>
      </w:r>
      <w:r w:rsidRPr="009D56B8">
        <w:rPr>
          <w:szCs w:val="22"/>
          <w:lang w:val="nb-NO"/>
        </w:rPr>
        <w:t>(the European Medicines Agency)</w:t>
      </w:r>
      <w:r w:rsidRPr="009D56B8">
        <w:rPr>
          <w:szCs w:val="22"/>
          <w:lang w:val="nb-NO" w:eastAsia="zh-CN"/>
        </w:rPr>
        <w:t>;</w:t>
      </w:r>
    </w:p>
    <w:p w14:paraId="054A4AB0" w14:textId="77777777" w:rsidR="00E50867" w:rsidRPr="009D56B8" w:rsidRDefault="00C770E8">
      <w:pPr>
        <w:numPr>
          <w:ilvl w:val="0"/>
          <w:numId w:val="9"/>
        </w:numPr>
        <w:tabs>
          <w:tab w:val="clear" w:pos="567"/>
          <w:tab w:val="clear" w:pos="720"/>
        </w:tabs>
        <w:suppressAutoHyphens w:val="0"/>
        <w:rPr>
          <w:szCs w:val="22"/>
          <w:lang w:val="nb-NO"/>
        </w:rPr>
      </w:pPr>
      <w:r w:rsidRPr="009D56B8">
        <w:rPr>
          <w:szCs w:val="22"/>
          <w:lang w:val="nb-NO"/>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0E1FE4A2" w14:textId="77777777" w:rsidR="00E50867" w:rsidRPr="009D56B8" w:rsidRDefault="00E50867">
      <w:pPr>
        <w:ind w:right="-1"/>
        <w:rPr>
          <w:szCs w:val="22"/>
          <w:lang w:val="nb-NO"/>
        </w:rPr>
      </w:pPr>
    </w:p>
    <w:p w14:paraId="7892D225" w14:textId="77777777" w:rsidR="00E50867" w:rsidRPr="009D56B8" w:rsidRDefault="00C770E8">
      <w:pPr>
        <w:rPr>
          <w:szCs w:val="22"/>
          <w:lang w:val="nb-NO"/>
        </w:rPr>
      </w:pPr>
      <w:r w:rsidRPr="009D56B8">
        <w:rPr>
          <w:szCs w:val="22"/>
          <w:lang w:val="nb-NO"/>
        </w:rPr>
        <w:br w:type="page"/>
      </w:r>
    </w:p>
    <w:p w14:paraId="3394D798" w14:textId="77777777" w:rsidR="00E50867" w:rsidRPr="009D56B8" w:rsidRDefault="00E50867">
      <w:pPr>
        <w:rPr>
          <w:szCs w:val="22"/>
          <w:lang w:val="nb-NO"/>
        </w:rPr>
      </w:pPr>
    </w:p>
    <w:p w14:paraId="701FA953" w14:textId="77777777" w:rsidR="00E50867" w:rsidRPr="009D56B8" w:rsidRDefault="00E50867">
      <w:pPr>
        <w:rPr>
          <w:szCs w:val="22"/>
          <w:lang w:val="nb-NO"/>
        </w:rPr>
      </w:pPr>
    </w:p>
    <w:p w14:paraId="09AFBD75" w14:textId="77777777" w:rsidR="00E50867" w:rsidRPr="009D56B8" w:rsidRDefault="00E50867">
      <w:pPr>
        <w:rPr>
          <w:szCs w:val="22"/>
          <w:lang w:val="nb-NO"/>
        </w:rPr>
      </w:pPr>
    </w:p>
    <w:p w14:paraId="3603DEFC" w14:textId="77777777" w:rsidR="00E50867" w:rsidRPr="009D56B8" w:rsidRDefault="00E50867">
      <w:pPr>
        <w:rPr>
          <w:szCs w:val="22"/>
          <w:lang w:val="nb-NO"/>
        </w:rPr>
      </w:pPr>
    </w:p>
    <w:p w14:paraId="4D8E4D33" w14:textId="77777777" w:rsidR="00E50867" w:rsidRPr="009D56B8" w:rsidRDefault="00E50867">
      <w:pPr>
        <w:rPr>
          <w:szCs w:val="22"/>
          <w:lang w:val="nb-NO"/>
        </w:rPr>
      </w:pPr>
    </w:p>
    <w:p w14:paraId="67348DB1" w14:textId="77777777" w:rsidR="00E50867" w:rsidRPr="009D56B8" w:rsidRDefault="00E50867">
      <w:pPr>
        <w:rPr>
          <w:szCs w:val="22"/>
          <w:lang w:val="nb-NO"/>
        </w:rPr>
      </w:pPr>
    </w:p>
    <w:p w14:paraId="662CBC47" w14:textId="77777777" w:rsidR="00E50867" w:rsidRPr="009D56B8" w:rsidRDefault="00E50867">
      <w:pPr>
        <w:rPr>
          <w:szCs w:val="22"/>
          <w:lang w:val="nb-NO"/>
        </w:rPr>
      </w:pPr>
    </w:p>
    <w:p w14:paraId="5D3FEF18" w14:textId="77777777" w:rsidR="00E50867" w:rsidRPr="009D56B8" w:rsidRDefault="00E50867">
      <w:pPr>
        <w:rPr>
          <w:szCs w:val="22"/>
          <w:lang w:val="nb-NO"/>
        </w:rPr>
      </w:pPr>
    </w:p>
    <w:p w14:paraId="78C45CDB" w14:textId="77777777" w:rsidR="00E50867" w:rsidRPr="009D56B8" w:rsidRDefault="00E50867">
      <w:pPr>
        <w:rPr>
          <w:szCs w:val="22"/>
          <w:lang w:val="nb-NO"/>
        </w:rPr>
      </w:pPr>
    </w:p>
    <w:p w14:paraId="202B4867" w14:textId="77777777" w:rsidR="00E50867" w:rsidRPr="009D56B8" w:rsidRDefault="00E50867">
      <w:pPr>
        <w:rPr>
          <w:szCs w:val="22"/>
          <w:lang w:val="nb-NO"/>
        </w:rPr>
      </w:pPr>
    </w:p>
    <w:p w14:paraId="37856139" w14:textId="77777777" w:rsidR="00E50867" w:rsidRPr="009D56B8" w:rsidRDefault="00E50867">
      <w:pPr>
        <w:rPr>
          <w:szCs w:val="22"/>
          <w:lang w:val="nb-NO"/>
        </w:rPr>
      </w:pPr>
    </w:p>
    <w:p w14:paraId="12EF9E54" w14:textId="77777777" w:rsidR="00E50867" w:rsidRPr="009D56B8" w:rsidRDefault="00E50867">
      <w:pPr>
        <w:rPr>
          <w:szCs w:val="22"/>
          <w:lang w:val="nb-NO"/>
        </w:rPr>
      </w:pPr>
    </w:p>
    <w:p w14:paraId="0D99AF18" w14:textId="77777777" w:rsidR="00E50867" w:rsidRPr="009D56B8" w:rsidRDefault="00E50867">
      <w:pPr>
        <w:rPr>
          <w:szCs w:val="22"/>
          <w:lang w:val="nb-NO"/>
        </w:rPr>
      </w:pPr>
    </w:p>
    <w:p w14:paraId="5BDEF67F" w14:textId="77777777" w:rsidR="00E50867" w:rsidRPr="009D56B8" w:rsidRDefault="00E50867">
      <w:pPr>
        <w:rPr>
          <w:szCs w:val="22"/>
          <w:lang w:val="nb-NO"/>
        </w:rPr>
      </w:pPr>
    </w:p>
    <w:p w14:paraId="13A34A9E" w14:textId="77777777" w:rsidR="00E50867" w:rsidRPr="009D56B8" w:rsidRDefault="00E50867">
      <w:pPr>
        <w:rPr>
          <w:szCs w:val="22"/>
          <w:lang w:val="nb-NO"/>
        </w:rPr>
      </w:pPr>
    </w:p>
    <w:p w14:paraId="7A725920" w14:textId="77777777" w:rsidR="00E50867" w:rsidRPr="009D56B8" w:rsidRDefault="00E50867">
      <w:pPr>
        <w:rPr>
          <w:szCs w:val="22"/>
          <w:lang w:val="nb-NO"/>
        </w:rPr>
      </w:pPr>
    </w:p>
    <w:p w14:paraId="0FD216A4" w14:textId="77777777" w:rsidR="00E50867" w:rsidRPr="009D56B8" w:rsidRDefault="00E50867">
      <w:pPr>
        <w:rPr>
          <w:b/>
          <w:szCs w:val="22"/>
          <w:lang w:val="nb-NO"/>
        </w:rPr>
      </w:pPr>
    </w:p>
    <w:p w14:paraId="09BB485B" w14:textId="77777777" w:rsidR="00E50867" w:rsidRPr="009D56B8" w:rsidRDefault="00E50867">
      <w:pPr>
        <w:rPr>
          <w:b/>
          <w:szCs w:val="22"/>
          <w:lang w:val="nb-NO"/>
        </w:rPr>
      </w:pPr>
    </w:p>
    <w:p w14:paraId="70D37611" w14:textId="77777777" w:rsidR="00E50867" w:rsidRPr="009D56B8" w:rsidRDefault="00E50867">
      <w:pPr>
        <w:rPr>
          <w:b/>
          <w:szCs w:val="22"/>
          <w:lang w:val="nb-NO"/>
        </w:rPr>
      </w:pPr>
    </w:p>
    <w:p w14:paraId="7B654E0D" w14:textId="77777777" w:rsidR="00E50867" w:rsidRPr="009D56B8" w:rsidRDefault="00E50867">
      <w:pPr>
        <w:rPr>
          <w:b/>
          <w:szCs w:val="22"/>
          <w:lang w:val="nb-NO"/>
        </w:rPr>
      </w:pPr>
    </w:p>
    <w:p w14:paraId="78704DDE" w14:textId="77777777" w:rsidR="00E50867" w:rsidRPr="009D56B8" w:rsidRDefault="00E50867">
      <w:pPr>
        <w:rPr>
          <w:b/>
          <w:szCs w:val="22"/>
          <w:lang w:val="nb-NO"/>
        </w:rPr>
      </w:pPr>
    </w:p>
    <w:p w14:paraId="07683550" w14:textId="6DD44C6D" w:rsidR="00E50867" w:rsidRPr="009D56B8" w:rsidRDefault="00E50867">
      <w:pPr>
        <w:rPr>
          <w:b/>
          <w:szCs w:val="22"/>
          <w:lang w:val="nb-NO"/>
        </w:rPr>
      </w:pPr>
    </w:p>
    <w:p w14:paraId="0484E7B1" w14:textId="77777777" w:rsidR="00562CF9" w:rsidRPr="009D56B8" w:rsidRDefault="00562CF9">
      <w:pPr>
        <w:rPr>
          <w:b/>
          <w:szCs w:val="22"/>
          <w:lang w:val="nb-NO"/>
        </w:rPr>
      </w:pPr>
    </w:p>
    <w:p w14:paraId="43D1F4AF" w14:textId="77777777" w:rsidR="00E50867" w:rsidRPr="009D56B8" w:rsidRDefault="00C770E8">
      <w:pPr>
        <w:widowControl w:val="0"/>
        <w:suppressLineNumbers/>
        <w:jc w:val="center"/>
        <w:rPr>
          <w:b/>
          <w:szCs w:val="22"/>
          <w:lang w:val="nb-NO"/>
        </w:rPr>
      </w:pPr>
      <w:r w:rsidRPr="009D56B8">
        <w:rPr>
          <w:b/>
          <w:szCs w:val="22"/>
          <w:lang w:val="nb-NO"/>
        </w:rPr>
        <w:t>VEDLEGG III</w:t>
      </w:r>
    </w:p>
    <w:p w14:paraId="68A4C75F" w14:textId="77777777" w:rsidR="00E50867" w:rsidRPr="009D56B8" w:rsidRDefault="00E50867">
      <w:pPr>
        <w:rPr>
          <w:szCs w:val="22"/>
          <w:lang w:val="nb-NO"/>
        </w:rPr>
      </w:pPr>
    </w:p>
    <w:p w14:paraId="148173A3" w14:textId="77777777" w:rsidR="00E50867" w:rsidRPr="009D56B8" w:rsidRDefault="00C770E8">
      <w:pPr>
        <w:widowControl w:val="0"/>
        <w:suppressLineNumbers/>
        <w:jc w:val="center"/>
        <w:rPr>
          <w:b/>
          <w:szCs w:val="22"/>
          <w:lang w:val="nb-NO"/>
        </w:rPr>
      </w:pPr>
      <w:r w:rsidRPr="009D56B8">
        <w:rPr>
          <w:b/>
          <w:szCs w:val="22"/>
          <w:lang w:val="nb-NO"/>
        </w:rPr>
        <w:t>MERKING OG PAKNINGSVEDLEGG</w:t>
      </w:r>
    </w:p>
    <w:p w14:paraId="453DEBD0" w14:textId="77777777" w:rsidR="00E50867" w:rsidRPr="009D56B8" w:rsidRDefault="00E50867">
      <w:pPr>
        <w:widowControl w:val="0"/>
        <w:suppressLineNumbers/>
        <w:jc w:val="center"/>
        <w:rPr>
          <w:b/>
          <w:szCs w:val="22"/>
          <w:lang w:val="nb-NO"/>
        </w:rPr>
      </w:pPr>
    </w:p>
    <w:p w14:paraId="6AACE3D5" w14:textId="168D9C8A" w:rsidR="00E50867" w:rsidRPr="009D56B8" w:rsidRDefault="00C770E8">
      <w:pPr>
        <w:rPr>
          <w:szCs w:val="22"/>
          <w:lang w:val="nb-NO"/>
        </w:rPr>
      </w:pPr>
      <w:r w:rsidRPr="009D56B8">
        <w:rPr>
          <w:szCs w:val="22"/>
          <w:lang w:val="nb-NO"/>
        </w:rPr>
        <w:br w:type="page"/>
      </w:r>
    </w:p>
    <w:p w14:paraId="05AD4537" w14:textId="77777777" w:rsidR="00E50867" w:rsidRPr="009D56B8" w:rsidRDefault="00E50867">
      <w:pPr>
        <w:rPr>
          <w:szCs w:val="22"/>
          <w:lang w:val="nb-NO"/>
        </w:rPr>
      </w:pPr>
    </w:p>
    <w:p w14:paraId="6344F27F" w14:textId="77777777" w:rsidR="00E50867" w:rsidRPr="009D56B8" w:rsidRDefault="00E50867">
      <w:pPr>
        <w:rPr>
          <w:szCs w:val="22"/>
          <w:lang w:val="nb-NO"/>
        </w:rPr>
      </w:pPr>
    </w:p>
    <w:p w14:paraId="6717CFB8" w14:textId="77777777" w:rsidR="00E50867" w:rsidRPr="009D56B8" w:rsidRDefault="00E50867">
      <w:pPr>
        <w:rPr>
          <w:szCs w:val="22"/>
          <w:lang w:val="nb-NO"/>
        </w:rPr>
      </w:pPr>
    </w:p>
    <w:p w14:paraId="1788C107" w14:textId="77777777" w:rsidR="00E50867" w:rsidRPr="009D56B8" w:rsidRDefault="00E50867">
      <w:pPr>
        <w:rPr>
          <w:szCs w:val="22"/>
          <w:lang w:val="nb-NO"/>
        </w:rPr>
      </w:pPr>
    </w:p>
    <w:p w14:paraId="7461F4B1" w14:textId="77777777" w:rsidR="00E50867" w:rsidRPr="009D56B8" w:rsidRDefault="00E50867">
      <w:pPr>
        <w:rPr>
          <w:szCs w:val="22"/>
          <w:lang w:val="nb-NO"/>
        </w:rPr>
      </w:pPr>
    </w:p>
    <w:p w14:paraId="6CF5319E" w14:textId="77777777" w:rsidR="00E50867" w:rsidRPr="009D56B8" w:rsidRDefault="00E50867">
      <w:pPr>
        <w:rPr>
          <w:szCs w:val="22"/>
          <w:lang w:val="nb-NO"/>
        </w:rPr>
      </w:pPr>
    </w:p>
    <w:p w14:paraId="157D7C67" w14:textId="77777777" w:rsidR="00E50867" w:rsidRPr="009D56B8" w:rsidRDefault="00E50867">
      <w:pPr>
        <w:rPr>
          <w:szCs w:val="22"/>
          <w:lang w:val="nb-NO"/>
        </w:rPr>
      </w:pPr>
    </w:p>
    <w:p w14:paraId="0A1A3498" w14:textId="77777777" w:rsidR="00E50867" w:rsidRPr="009D56B8" w:rsidRDefault="00E50867">
      <w:pPr>
        <w:rPr>
          <w:szCs w:val="22"/>
          <w:lang w:val="nb-NO"/>
        </w:rPr>
      </w:pPr>
    </w:p>
    <w:p w14:paraId="2A604F09" w14:textId="77777777" w:rsidR="00E50867" w:rsidRPr="009D56B8" w:rsidRDefault="00E50867">
      <w:pPr>
        <w:rPr>
          <w:szCs w:val="22"/>
          <w:lang w:val="nb-NO"/>
        </w:rPr>
      </w:pPr>
    </w:p>
    <w:p w14:paraId="4BC4DF5D" w14:textId="77777777" w:rsidR="00E50867" w:rsidRPr="009D56B8" w:rsidRDefault="00E50867">
      <w:pPr>
        <w:rPr>
          <w:szCs w:val="22"/>
          <w:lang w:val="nb-NO"/>
        </w:rPr>
      </w:pPr>
    </w:p>
    <w:p w14:paraId="5AB9DD7B" w14:textId="77777777" w:rsidR="00E50867" w:rsidRPr="009D56B8" w:rsidRDefault="00E50867">
      <w:pPr>
        <w:rPr>
          <w:szCs w:val="22"/>
          <w:lang w:val="nb-NO"/>
        </w:rPr>
      </w:pPr>
    </w:p>
    <w:p w14:paraId="2772AAB3" w14:textId="77777777" w:rsidR="00E50867" w:rsidRPr="009D56B8" w:rsidRDefault="00E50867">
      <w:pPr>
        <w:rPr>
          <w:szCs w:val="22"/>
          <w:lang w:val="nb-NO"/>
        </w:rPr>
      </w:pPr>
    </w:p>
    <w:p w14:paraId="750B67E5" w14:textId="77777777" w:rsidR="00E50867" w:rsidRPr="009D56B8" w:rsidRDefault="00E50867">
      <w:pPr>
        <w:rPr>
          <w:szCs w:val="22"/>
          <w:lang w:val="nb-NO"/>
        </w:rPr>
      </w:pPr>
    </w:p>
    <w:p w14:paraId="519DB859" w14:textId="77777777" w:rsidR="00E50867" w:rsidRPr="009D56B8" w:rsidRDefault="00E50867">
      <w:pPr>
        <w:rPr>
          <w:szCs w:val="22"/>
          <w:lang w:val="nb-NO"/>
        </w:rPr>
      </w:pPr>
    </w:p>
    <w:p w14:paraId="2AB6076C" w14:textId="77777777" w:rsidR="00E50867" w:rsidRPr="009D56B8" w:rsidRDefault="00E50867">
      <w:pPr>
        <w:rPr>
          <w:szCs w:val="22"/>
          <w:lang w:val="nb-NO"/>
        </w:rPr>
      </w:pPr>
    </w:p>
    <w:p w14:paraId="244792F4" w14:textId="77777777" w:rsidR="00E50867" w:rsidRPr="009D56B8" w:rsidRDefault="00E50867">
      <w:pPr>
        <w:rPr>
          <w:szCs w:val="22"/>
          <w:lang w:val="nb-NO"/>
        </w:rPr>
      </w:pPr>
    </w:p>
    <w:p w14:paraId="68DD5083" w14:textId="77777777" w:rsidR="00E50867" w:rsidRPr="009D56B8" w:rsidRDefault="00E50867">
      <w:pPr>
        <w:rPr>
          <w:szCs w:val="22"/>
          <w:lang w:val="nb-NO"/>
        </w:rPr>
      </w:pPr>
    </w:p>
    <w:p w14:paraId="0D66A26F" w14:textId="77777777" w:rsidR="00E50867" w:rsidRPr="009D56B8" w:rsidRDefault="00E50867">
      <w:pPr>
        <w:rPr>
          <w:szCs w:val="22"/>
          <w:lang w:val="nb-NO"/>
        </w:rPr>
      </w:pPr>
    </w:p>
    <w:p w14:paraId="357244EE" w14:textId="77777777" w:rsidR="00E50867" w:rsidRPr="009D56B8" w:rsidRDefault="00E50867">
      <w:pPr>
        <w:rPr>
          <w:szCs w:val="22"/>
          <w:lang w:val="nb-NO"/>
        </w:rPr>
      </w:pPr>
    </w:p>
    <w:p w14:paraId="7BCB38AC" w14:textId="7D49A050" w:rsidR="00E50867" w:rsidRPr="009D56B8" w:rsidRDefault="00E50867">
      <w:pPr>
        <w:rPr>
          <w:szCs w:val="22"/>
          <w:lang w:val="nb-NO"/>
        </w:rPr>
      </w:pPr>
    </w:p>
    <w:p w14:paraId="0C98158D" w14:textId="77777777" w:rsidR="00513CD0" w:rsidRPr="009D56B8" w:rsidRDefault="00513CD0">
      <w:pPr>
        <w:rPr>
          <w:szCs w:val="22"/>
          <w:lang w:val="nb-NO"/>
        </w:rPr>
      </w:pPr>
    </w:p>
    <w:p w14:paraId="3E4A1300" w14:textId="79B916FD" w:rsidR="00E50867" w:rsidRPr="009D56B8" w:rsidRDefault="00E50867">
      <w:pPr>
        <w:rPr>
          <w:szCs w:val="22"/>
          <w:lang w:val="nb-NO"/>
        </w:rPr>
      </w:pPr>
    </w:p>
    <w:p w14:paraId="4CB3CFC3" w14:textId="77777777" w:rsidR="00562CF9" w:rsidRPr="009D56B8" w:rsidRDefault="00562CF9">
      <w:pPr>
        <w:rPr>
          <w:szCs w:val="22"/>
          <w:lang w:val="nb-NO"/>
        </w:rPr>
      </w:pPr>
    </w:p>
    <w:p w14:paraId="3AC7ABDC" w14:textId="77777777" w:rsidR="00E50867" w:rsidRPr="009D56B8" w:rsidRDefault="00C770E8">
      <w:pPr>
        <w:pStyle w:val="TitleA"/>
      </w:pPr>
      <w:r w:rsidRPr="009D56B8">
        <w:t>A. MERKING</w:t>
      </w:r>
    </w:p>
    <w:p w14:paraId="1918EDFE" w14:textId="77777777" w:rsidR="00E50867" w:rsidRPr="009D56B8" w:rsidRDefault="00E50867">
      <w:pPr>
        <w:pStyle w:val="TitleA"/>
        <w:numPr>
          <w:ilvl w:val="0"/>
          <w:numId w:val="0"/>
        </w:numPr>
        <w:ind w:left="432" w:hanging="432"/>
      </w:pPr>
    </w:p>
    <w:p w14:paraId="6C6EDF4B" w14:textId="77777777" w:rsidR="00E50867" w:rsidRPr="009D56B8" w:rsidRDefault="00C770E8">
      <w:pPr>
        <w:widowControl w:val="0"/>
        <w:suppressLineNumbers/>
        <w:pBdr>
          <w:top w:val="single" w:sz="4" w:space="1" w:color="auto"/>
          <w:left w:val="single" w:sz="4" w:space="1" w:color="auto"/>
          <w:bottom w:val="single" w:sz="4" w:space="1" w:color="auto"/>
          <w:right w:val="single" w:sz="4" w:space="1" w:color="auto"/>
        </w:pBdr>
        <w:rPr>
          <w:lang w:val="nb-NO"/>
        </w:rPr>
      </w:pPr>
      <w:r w:rsidRPr="009D56B8">
        <w:rPr>
          <w:lang w:val="nb-NO"/>
        </w:rPr>
        <w:br w:type="page"/>
      </w:r>
      <w:r w:rsidRPr="009D56B8">
        <w:rPr>
          <w:b/>
          <w:szCs w:val="22"/>
          <w:lang w:val="nb-NO"/>
        </w:rPr>
        <w:lastRenderedPageBreak/>
        <w:t>OPPLYSNINGER SOM SKAL ANGIS PÅ YTRE EMBALLASJE</w:t>
      </w:r>
    </w:p>
    <w:p w14:paraId="74793F06" w14:textId="77777777" w:rsidR="00E50867" w:rsidRPr="009D56B8" w:rsidRDefault="00E50867">
      <w:pPr>
        <w:widowControl w:val="0"/>
        <w:suppressLineNumbers/>
        <w:pBdr>
          <w:top w:val="single" w:sz="4" w:space="1" w:color="auto"/>
          <w:left w:val="single" w:sz="4" w:space="1" w:color="auto"/>
          <w:bottom w:val="single" w:sz="4" w:space="1" w:color="auto"/>
          <w:right w:val="single" w:sz="4" w:space="1" w:color="auto"/>
        </w:pBdr>
        <w:ind w:left="567" w:hanging="567"/>
        <w:rPr>
          <w:b/>
          <w:szCs w:val="22"/>
          <w:lang w:val="nb-NO"/>
        </w:rPr>
      </w:pPr>
    </w:p>
    <w:p w14:paraId="6A73AFE7" w14:textId="77777777" w:rsidR="00E50867" w:rsidRPr="009D56B8" w:rsidRDefault="00C770E8">
      <w:pPr>
        <w:widowControl w:val="0"/>
        <w:suppressLineNumbers/>
        <w:pBdr>
          <w:top w:val="single" w:sz="4" w:space="1" w:color="auto"/>
          <w:left w:val="single" w:sz="4" w:space="1" w:color="auto"/>
          <w:bottom w:val="single" w:sz="4" w:space="1" w:color="auto"/>
          <w:right w:val="single" w:sz="4" w:space="1" w:color="auto"/>
        </w:pBdr>
        <w:rPr>
          <w:b/>
          <w:szCs w:val="22"/>
          <w:lang w:val="nb-NO"/>
        </w:rPr>
      </w:pPr>
      <w:r w:rsidRPr="009D56B8">
        <w:rPr>
          <w:b/>
          <w:szCs w:val="22"/>
          <w:lang w:val="nb-NO"/>
        </w:rPr>
        <w:t>YTRE ESKE</w:t>
      </w:r>
    </w:p>
    <w:p w14:paraId="73303251" w14:textId="77777777" w:rsidR="00E50867" w:rsidRPr="009D56B8" w:rsidRDefault="00E50867">
      <w:pPr>
        <w:rPr>
          <w:szCs w:val="22"/>
          <w:lang w:val="nb-NO"/>
        </w:rPr>
      </w:pPr>
    </w:p>
    <w:p w14:paraId="1B0741DE" w14:textId="77777777" w:rsidR="00E50867" w:rsidRPr="009D56B8" w:rsidRDefault="00E50867">
      <w:pPr>
        <w:rPr>
          <w:szCs w:val="22"/>
          <w:lang w:val="nb-NO"/>
        </w:rPr>
      </w:pPr>
    </w:p>
    <w:p w14:paraId="00769F9E"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w:t>
      </w:r>
      <w:r w:rsidRPr="009D56B8">
        <w:rPr>
          <w:b/>
          <w:szCs w:val="22"/>
          <w:lang w:val="nb-NO"/>
        </w:rPr>
        <w:tab/>
        <w:t>LEGEMIDLETS NAVN</w:t>
      </w:r>
    </w:p>
    <w:p w14:paraId="61D62C31" w14:textId="77777777" w:rsidR="00E50867" w:rsidRPr="009D56B8" w:rsidRDefault="00E50867">
      <w:pPr>
        <w:rPr>
          <w:szCs w:val="22"/>
          <w:lang w:val="nb-NO"/>
        </w:rPr>
      </w:pPr>
    </w:p>
    <w:p w14:paraId="706A2BB1" w14:textId="6F689B29" w:rsidR="00E50867" w:rsidRPr="009D56B8" w:rsidRDefault="00D172C2">
      <w:pPr>
        <w:widowControl w:val="0"/>
        <w:suppressLineNumbers/>
        <w:rPr>
          <w:szCs w:val="22"/>
          <w:lang w:val="nb-NO"/>
        </w:rPr>
      </w:pPr>
      <w:r w:rsidRPr="009D56B8">
        <w:rPr>
          <w:szCs w:val="22"/>
          <w:lang w:val="nb-NO"/>
        </w:rPr>
        <w:t>Dimethyl fumarate Accord</w:t>
      </w:r>
      <w:r w:rsidR="00C770E8" w:rsidRPr="009D56B8">
        <w:rPr>
          <w:szCs w:val="22"/>
          <w:lang w:val="nb-NO"/>
        </w:rPr>
        <w:t xml:space="preserve"> 120 mg enterokapsler, harde</w:t>
      </w:r>
    </w:p>
    <w:p w14:paraId="3504136F" w14:textId="77777777" w:rsidR="00513CD0" w:rsidRPr="009D56B8" w:rsidRDefault="00513CD0">
      <w:pPr>
        <w:widowControl w:val="0"/>
        <w:suppressLineNumbers/>
        <w:rPr>
          <w:szCs w:val="22"/>
          <w:lang w:val="nb-NO"/>
        </w:rPr>
      </w:pPr>
    </w:p>
    <w:p w14:paraId="341B0D14" w14:textId="543CA147" w:rsidR="00E50867" w:rsidRPr="009D56B8" w:rsidRDefault="00C770E8">
      <w:pPr>
        <w:widowControl w:val="0"/>
        <w:suppressLineNumbers/>
        <w:rPr>
          <w:szCs w:val="22"/>
          <w:lang w:val="nb-NO"/>
        </w:rPr>
      </w:pPr>
      <w:r w:rsidRPr="009D56B8">
        <w:rPr>
          <w:szCs w:val="22"/>
          <w:lang w:val="nb-NO"/>
        </w:rPr>
        <w:t>dimetylfumarat</w:t>
      </w:r>
    </w:p>
    <w:p w14:paraId="0CD181C6" w14:textId="77777777" w:rsidR="00E50867" w:rsidRPr="009D56B8" w:rsidRDefault="00E50867">
      <w:pPr>
        <w:rPr>
          <w:szCs w:val="22"/>
          <w:lang w:val="nb-NO"/>
        </w:rPr>
      </w:pPr>
    </w:p>
    <w:p w14:paraId="5C6C43AC" w14:textId="77777777" w:rsidR="00E50867" w:rsidRPr="009D56B8" w:rsidRDefault="00E50867">
      <w:pPr>
        <w:rPr>
          <w:szCs w:val="22"/>
          <w:lang w:val="nb-NO"/>
        </w:rPr>
      </w:pPr>
    </w:p>
    <w:p w14:paraId="406D06E9"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2.</w:t>
      </w:r>
      <w:r w:rsidRPr="009D56B8">
        <w:rPr>
          <w:b/>
          <w:szCs w:val="22"/>
          <w:lang w:val="nb-NO"/>
        </w:rPr>
        <w:tab/>
        <w:t>DEKLARASJON AV VIRKESTOFF(ER)</w:t>
      </w:r>
    </w:p>
    <w:p w14:paraId="31AEE1ED" w14:textId="77777777" w:rsidR="00E50867" w:rsidRPr="009D56B8" w:rsidRDefault="00E50867">
      <w:pPr>
        <w:rPr>
          <w:szCs w:val="22"/>
          <w:lang w:val="nb-NO"/>
        </w:rPr>
      </w:pPr>
    </w:p>
    <w:p w14:paraId="1D1E0D4D" w14:textId="77777777" w:rsidR="00E50867" w:rsidRPr="009D56B8" w:rsidRDefault="00C770E8">
      <w:pPr>
        <w:widowControl w:val="0"/>
        <w:suppressLineNumbers/>
        <w:rPr>
          <w:szCs w:val="22"/>
          <w:lang w:val="nb-NO"/>
        </w:rPr>
      </w:pPr>
      <w:r w:rsidRPr="009D56B8">
        <w:rPr>
          <w:szCs w:val="22"/>
          <w:lang w:val="nb-NO"/>
        </w:rPr>
        <w:t>Hver harde enterokapsel inneholder 120 mg dimetylfumarat</w:t>
      </w:r>
    </w:p>
    <w:p w14:paraId="24F11266" w14:textId="77777777" w:rsidR="00E50867" w:rsidRPr="009D56B8" w:rsidRDefault="00E50867">
      <w:pPr>
        <w:rPr>
          <w:szCs w:val="22"/>
          <w:lang w:val="nb-NO"/>
        </w:rPr>
      </w:pPr>
    </w:p>
    <w:p w14:paraId="4F5B9B36" w14:textId="77777777" w:rsidR="00E50867" w:rsidRPr="009D56B8" w:rsidRDefault="00E50867">
      <w:pPr>
        <w:rPr>
          <w:szCs w:val="22"/>
          <w:lang w:val="nb-NO"/>
        </w:rPr>
      </w:pPr>
    </w:p>
    <w:p w14:paraId="085E3D63"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3.</w:t>
      </w:r>
      <w:r w:rsidRPr="009D56B8">
        <w:rPr>
          <w:b/>
          <w:szCs w:val="22"/>
          <w:lang w:val="nb-NO"/>
        </w:rPr>
        <w:tab/>
        <w:t>LISTE OVER HJELPESTOFFER</w:t>
      </w:r>
    </w:p>
    <w:p w14:paraId="2265BF7B" w14:textId="77777777" w:rsidR="00E50867" w:rsidRPr="009D56B8" w:rsidRDefault="00E50867">
      <w:pPr>
        <w:rPr>
          <w:szCs w:val="22"/>
          <w:lang w:val="nb-NO"/>
        </w:rPr>
      </w:pPr>
    </w:p>
    <w:p w14:paraId="346F9439" w14:textId="77777777" w:rsidR="00E50867" w:rsidRPr="009D56B8" w:rsidRDefault="00E50867">
      <w:pPr>
        <w:rPr>
          <w:szCs w:val="22"/>
          <w:lang w:val="nb-NO"/>
        </w:rPr>
      </w:pPr>
    </w:p>
    <w:p w14:paraId="37960D93"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4.</w:t>
      </w:r>
      <w:r w:rsidRPr="009D56B8">
        <w:rPr>
          <w:b/>
          <w:szCs w:val="22"/>
          <w:lang w:val="nb-NO"/>
        </w:rPr>
        <w:tab/>
        <w:t>LEGEMIDDELFORM OG INNHOLD (PAKNINGSSTØRRELSE)</w:t>
      </w:r>
    </w:p>
    <w:p w14:paraId="12938317" w14:textId="77777777" w:rsidR="00E50867" w:rsidRPr="009D56B8" w:rsidRDefault="00E50867">
      <w:pPr>
        <w:rPr>
          <w:szCs w:val="22"/>
          <w:lang w:val="nb-NO"/>
        </w:rPr>
      </w:pPr>
    </w:p>
    <w:p w14:paraId="03B37E36" w14:textId="6EB4E07A" w:rsidR="007956B7" w:rsidRPr="009D56B8" w:rsidRDefault="00E77924">
      <w:pPr>
        <w:widowControl w:val="0"/>
        <w:suppressLineNumbers/>
        <w:rPr>
          <w:szCs w:val="22"/>
          <w:lang w:val="nb-NO"/>
        </w:rPr>
      </w:pPr>
      <w:r w:rsidRPr="009D56B8">
        <w:rPr>
          <w:szCs w:val="22"/>
          <w:highlight w:val="lightGray"/>
          <w:lang w:val="nb-NO"/>
        </w:rPr>
        <w:t>E</w:t>
      </w:r>
      <w:r w:rsidR="007956B7" w:rsidRPr="009D56B8">
        <w:rPr>
          <w:szCs w:val="22"/>
          <w:highlight w:val="lightGray"/>
          <w:lang w:val="nb-NO"/>
        </w:rPr>
        <w:t>nterokapsel</w:t>
      </w:r>
      <w:r w:rsidRPr="009D56B8">
        <w:rPr>
          <w:szCs w:val="22"/>
          <w:highlight w:val="lightGray"/>
          <w:lang w:val="nb-NO"/>
        </w:rPr>
        <w:t>, hard</w:t>
      </w:r>
    </w:p>
    <w:p w14:paraId="58EB6F5C" w14:textId="77777777" w:rsidR="007956B7" w:rsidRPr="009D56B8" w:rsidRDefault="007956B7">
      <w:pPr>
        <w:widowControl w:val="0"/>
        <w:suppressLineNumbers/>
        <w:rPr>
          <w:szCs w:val="22"/>
          <w:lang w:val="nb-NO"/>
        </w:rPr>
      </w:pPr>
    </w:p>
    <w:p w14:paraId="4018D628" w14:textId="38CAD8C9" w:rsidR="00E50867" w:rsidRPr="009D56B8" w:rsidRDefault="00C770E8">
      <w:pPr>
        <w:widowControl w:val="0"/>
        <w:suppressLineNumbers/>
        <w:rPr>
          <w:szCs w:val="22"/>
          <w:lang w:val="nb-NO"/>
        </w:rPr>
      </w:pPr>
      <w:r w:rsidRPr="009D56B8">
        <w:rPr>
          <w:szCs w:val="22"/>
          <w:lang w:val="nb-NO"/>
        </w:rPr>
        <w:t>14 enterokapsler, harde</w:t>
      </w:r>
    </w:p>
    <w:p w14:paraId="706E1FD9" w14:textId="1F276F64" w:rsidR="00713DF6" w:rsidRPr="009D56B8" w:rsidRDefault="00713DF6">
      <w:pPr>
        <w:widowControl w:val="0"/>
        <w:suppressLineNumbers/>
        <w:rPr>
          <w:szCs w:val="22"/>
          <w:lang w:val="nb-NO"/>
        </w:rPr>
      </w:pPr>
      <w:r w:rsidRPr="009D56B8">
        <w:rPr>
          <w:szCs w:val="22"/>
          <w:highlight w:val="lightGray"/>
          <w:lang w:val="nb-NO"/>
        </w:rPr>
        <w:t>14x1 enterokapsler, harde</w:t>
      </w:r>
    </w:p>
    <w:p w14:paraId="13DC9D57" w14:textId="77777777" w:rsidR="00E50867" w:rsidRPr="009D56B8" w:rsidRDefault="00E50867">
      <w:pPr>
        <w:widowControl w:val="0"/>
        <w:suppressLineNumbers/>
        <w:rPr>
          <w:szCs w:val="22"/>
          <w:shd w:val="clear" w:color="auto" w:fill="C0C0C0"/>
          <w:lang w:val="nb-NO"/>
        </w:rPr>
      </w:pPr>
    </w:p>
    <w:p w14:paraId="118CE029" w14:textId="77777777" w:rsidR="00E50867" w:rsidRPr="009D56B8" w:rsidRDefault="00E50867">
      <w:pPr>
        <w:rPr>
          <w:szCs w:val="22"/>
          <w:lang w:val="nb-NO"/>
        </w:rPr>
      </w:pPr>
    </w:p>
    <w:p w14:paraId="6480384B"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5.</w:t>
      </w:r>
      <w:r w:rsidRPr="009D56B8">
        <w:rPr>
          <w:b/>
          <w:szCs w:val="22"/>
          <w:lang w:val="nb-NO"/>
        </w:rPr>
        <w:tab/>
        <w:t>ADMINISTRASJONSMÅTE OG -VEI(ER)</w:t>
      </w:r>
    </w:p>
    <w:p w14:paraId="25FC8651" w14:textId="77777777" w:rsidR="00E50867" w:rsidRPr="009D56B8" w:rsidRDefault="00E50867">
      <w:pPr>
        <w:rPr>
          <w:szCs w:val="22"/>
          <w:lang w:val="nb-NO"/>
        </w:rPr>
      </w:pPr>
    </w:p>
    <w:p w14:paraId="57E0567C" w14:textId="2A19BFEF" w:rsidR="00492305" w:rsidRPr="009D56B8" w:rsidRDefault="00492305">
      <w:pPr>
        <w:rPr>
          <w:szCs w:val="22"/>
          <w:lang w:val="nb-NO"/>
        </w:rPr>
      </w:pPr>
      <w:r w:rsidRPr="009D56B8">
        <w:rPr>
          <w:szCs w:val="22"/>
          <w:lang w:val="nb-NO"/>
        </w:rPr>
        <w:t>Oral bruk</w:t>
      </w:r>
      <w:r w:rsidR="00F02CDB" w:rsidRPr="009D56B8">
        <w:rPr>
          <w:szCs w:val="22"/>
          <w:lang w:val="nb-NO"/>
        </w:rPr>
        <w:t>.</w:t>
      </w:r>
    </w:p>
    <w:p w14:paraId="5FB93D40" w14:textId="65AAC9CB" w:rsidR="00E50867" w:rsidRPr="009D56B8" w:rsidRDefault="00C770E8" w:rsidP="00513CD0">
      <w:pPr>
        <w:rPr>
          <w:szCs w:val="22"/>
          <w:lang w:val="nb-NO"/>
        </w:rPr>
      </w:pPr>
      <w:r w:rsidRPr="009D56B8">
        <w:rPr>
          <w:szCs w:val="22"/>
          <w:lang w:val="nb-NO"/>
        </w:rPr>
        <w:t>Les pakningsvedlegget før bruk</w:t>
      </w:r>
      <w:r w:rsidR="00F02CDB" w:rsidRPr="009D56B8">
        <w:rPr>
          <w:szCs w:val="22"/>
          <w:lang w:val="nb-NO"/>
        </w:rPr>
        <w:t>.</w:t>
      </w:r>
    </w:p>
    <w:p w14:paraId="606FB5E3" w14:textId="1FD7830F" w:rsidR="00E50867" w:rsidRPr="009D56B8" w:rsidRDefault="00492305">
      <w:pPr>
        <w:rPr>
          <w:szCs w:val="22"/>
          <w:lang w:val="nb-NO"/>
        </w:rPr>
      </w:pPr>
      <w:r w:rsidRPr="009D56B8">
        <w:rPr>
          <w:szCs w:val="22"/>
          <w:lang w:val="nb-NO"/>
        </w:rPr>
        <w:t>Svelg kapselen hel.</w:t>
      </w:r>
    </w:p>
    <w:p w14:paraId="38A1A60C" w14:textId="77777777" w:rsidR="00E50867" w:rsidRPr="009D56B8" w:rsidRDefault="00E50867">
      <w:pPr>
        <w:rPr>
          <w:szCs w:val="22"/>
          <w:lang w:val="nb-NO"/>
        </w:rPr>
      </w:pPr>
    </w:p>
    <w:p w14:paraId="2C6BF95F" w14:textId="77777777" w:rsidR="00E50867" w:rsidRPr="009D56B8" w:rsidRDefault="00E50867">
      <w:pPr>
        <w:rPr>
          <w:szCs w:val="22"/>
          <w:lang w:val="nb-NO"/>
        </w:rPr>
      </w:pPr>
    </w:p>
    <w:p w14:paraId="454A7147"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6.</w:t>
      </w:r>
      <w:r w:rsidRPr="009D56B8">
        <w:rPr>
          <w:b/>
          <w:szCs w:val="22"/>
          <w:lang w:val="nb-NO"/>
        </w:rPr>
        <w:tab/>
        <w:t>ADVARSEL OM AT LEGEMIDLET SKAL OPPBEVARES UTILGJENGELIG FOR BARN</w:t>
      </w:r>
    </w:p>
    <w:p w14:paraId="53E87A5F" w14:textId="77777777" w:rsidR="00E50867" w:rsidRPr="009D56B8" w:rsidRDefault="00E50867">
      <w:pPr>
        <w:rPr>
          <w:szCs w:val="22"/>
          <w:lang w:val="nb-NO"/>
        </w:rPr>
      </w:pPr>
    </w:p>
    <w:p w14:paraId="18AB7697" w14:textId="3D315580" w:rsidR="00E50867" w:rsidRPr="009D56B8" w:rsidRDefault="00C770E8">
      <w:pPr>
        <w:widowControl w:val="0"/>
        <w:suppressLineNumbers/>
        <w:rPr>
          <w:szCs w:val="22"/>
          <w:lang w:val="nb-NO"/>
        </w:rPr>
      </w:pPr>
      <w:r w:rsidRPr="009D56B8">
        <w:rPr>
          <w:szCs w:val="22"/>
          <w:lang w:val="nb-NO"/>
        </w:rPr>
        <w:t>Oppbevares utilgjengelig for barn</w:t>
      </w:r>
      <w:r w:rsidR="00F02CDB" w:rsidRPr="009D56B8">
        <w:rPr>
          <w:szCs w:val="22"/>
          <w:lang w:val="nb-NO"/>
        </w:rPr>
        <w:t>.</w:t>
      </w:r>
    </w:p>
    <w:p w14:paraId="04F13DCD" w14:textId="77777777" w:rsidR="00E50867" w:rsidRPr="009D56B8" w:rsidRDefault="00E50867">
      <w:pPr>
        <w:rPr>
          <w:szCs w:val="22"/>
          <w:lang w:val="nb-NO"/>
        </w:rPr>
      </w:pPr>
    </w:p>
    <w:p w14:paraId="35DC84C4" w14:textId="77777777" w:rsidR="00E50867" w:rsidRPr="009D56B8" w:rsidRDefault="00E50867">
      <w:pPr>
        <w:rPr>
          <w:szCs w:val="22"/>
          <w:lang w:val="nb-NO"/>
        </w:rPr>
      </w:pPr>
    </w:p>
    <w:p w14:paraId="67DE1BE2"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7.</w:t>
      </w:r>
      <w:r w:rsidRPr="009D56B8">
        <w:rPr>
          <w:b/>
          <w:szCs w:val="22"/>
          <w:lang w:val="nb-NO"/>
        </w:rPr>
        <w:tab/>
        <w:t>EVENTUELLE ANDRE SPESIELLE ADVARSLER</w:t>
      </w:r>
    </w:p>
    <w:p w14:paraId="4EE08E48" w14:textId="77777777" w:rsidR="00E50867" w:rsidRPr="009D56B8" w:rsidRDefault="00E50867">
      <w:pPr>
        <w:rPr>
          <w:szCs w:val="22"/>
          <w:lang w:val="nb-NO"/>
        </w:rPr>
      </w:pPr>
    </w:p>
    <w:p w14:paraId="17BF508D" w14:textId="77777777" w:rsidR="00E50867" w:rsidRPr="009D56B8" w:rsidRDefault="00E50867">
      <w:pPr>
        <w:rPr>
          <w:szCs w:val="22"/>
          <w:lang w:val="nb-NO"/>
        </w:rPr>
      </w:pPr>
    </w:p>
    <w:p w14:paraId="2181F662"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8.</w:t>
      </w:r>
      <w:r w:rsidRPr="009D56B8">
        <w:rPr>
          <w:b/>
          <w:szCs w:val="22"/>
          <w:lang w:val="nb-NO"/>
        </w:rPr>
        <w:tab/>
        <w:t>UTLØPSDATO</w:t>
      </w:r>
    </w:p>
    <w:p w14:paraId="11D5DA2E" w14:textId="77777777" w:rsidR="00E50867" w:rsidRPr="009D56B8" w:rsidRDefault="00E50867">
      <w:pPr>
        <w:rPr>
          <w:szCs w:val="22"/>
          <w:lang w:val="nb-NO"/>
        </w:rPr>
      </w:pPr>
    </w:p>
    <w:p w14:paraId="541FE29D" w14:textId="77777777" w:rsidR="00E50867" w:rsidRPr="009D56B8" w:rsidRDefault="00C770E8">
      <w:pPr>
        <w:widowControl w:val="0"/>
        <w:suppressLineNumbers/>
        <w:rPr>
          <w:szCs w:val="22"/>
          <w:lang w:val="nb-NO"/>
        </w:rPr>
      </w:pPr>
      <w:r w:rsidRPr="009D56B8">
        <w:rPr>
          <w:szCs w:val="22"/>
          <w:lang w:val="nb-NO"/>
        </w:rPr>
        <w:t>EXP</w:t>
      </w:r>
    </w:p>
    <w:p w14:paraId="66457AF2" w14:textId="77777777" w:rsidR="00E50867" w:rsidRPr="009D56B8" w:rsidRDefault="00E50867">
      <w:pPr>
        <w:widowControl w:val="0"/>
        <w:suppressLineNumbers/>
        <w:rPr>
          <w:szCs w:val="22"/>
          <w:lang w:val="nb-NO"/>
        </w:rPr>
      </w:pPr>
    </w:p>
    <w:p w14:paraId="128A94EC" w14:textId="77777777" w:rsidR="00E50867" w:rsidRPr="009D56B8" w:rsidRDefault="00E50867">
      <w:pPr>
        <w:rPr>
          <w:szCs w:val="22"/>
          <w:lang w:val="nb-NO"/>
        </w:rPr>
      </w:pPr>
    </w:p>
    <w:p w14:paraId="697FD0A3"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9.</w:t>
      </w:r>
      <w:r w:rsidRPr="009D56B8">
        <w:rPr>
          <w:b/>
          <w:szCs w:val="22"/>
          <w:lang w:val="nb-NO"/>
        </w:rPr>
        <w:tab/>
        <w:t>OPPBEVARINGSBETINGELSER</w:t>
      </w:r>
    </w:p>
    <w:p w14:paraId="6DE6C846" w14:textId="77777777" w:rsidR="00E50867" w:rsidRPr="009D56B8" w:rsidRDefault="00E50867" w:rsidP="00513CD0">
      <w:pPr>
        <w:widowControl w:val="0"/>
        <w:suppressLineNumbers/>
        <w:rPr>
          <w:szCs w:val="22"/>
          <w:lang w:val="nb-NO"/>
        </w:rPr>
      </w:pPr>
    </w:p>
    <w:p w14:paraId="499E0EB4" w14:textId="77777777" w:rsidR="00E50867" w:rsidRPr="009D56B8" w:rsidRDefault="00E50867">
      <w:pPr>
        <w:rPr>
          <w:szCs w:val="22"/>
          <w:lang w:val="nb-NO"/>
        </w:rPr>
      </w:pPr>
    </w:p>
    <w:p w14:paraId="4FA6F12C" w14:textId="43FBE3DD" w:rsidR="00E50867" w:rsidRPr="009D56B8" w:rsidRDefault="00C770E8" w:rsidP="008E40D3">
      <w:pPr>
        <w:keepNext/>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lastRenderedPageBreak/>
        <w:t>10.</w:t>
      </w:r>
      <w:r w:rsidRPr="009D56B8">
        <w:rPr>
          <w:b/>
          <w:szCs w:val="22"/>
          <w:lang w:val="nb-NO"/>
        </w:rPr>
        <w:tab/>
        <w:t>EVENTUELLE SPESIELLE FORHOLDSREGLER VED DESTRUKSJON AV UBRUKTE LEGEMIDLER ELLER AVFALL</w:t>
      </w:r>
    </w:p>
    <w:p w14:paraId="527F0065" w14:textId="77777777" w:rsidR="00E50867" w:rsidRPr="009D56B8" w:rsidRDefault="00E50867" w:rsidP="008E40D3">
      <w:pPr>
        <w:keepNext/>
        <w:rPr>
          <w:szCs w:val="22"/>
          <w:lang w:val="nb-NO"/>
        </w:rPr>
      </w:pPr>
    </w:p>
    <w:p w14:paraId="6D3F139B" w14:textId="77777777" w:rsidR="00E50867" w:rsidRPr="009D56B8" w:rsidRDefault="00E50867">
      <w:pPr>
        <w:rPr>
          <w:szCs w:val="22"/>
          <w:lang w:val="nb-NO"/>
        </w:rPr>
      </w:pPr>
    </w:p>
    <w:p w14:paraId="27E0173F"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11.</w:t>
      </w:r>
      <w:r w:rsidRPr="009D56B8">
        <w:rPr>
          <w:b/>
          <w:szCs w:val="22"/>
          <w:lang w:val="nb-NO"/>
        </w:rPr>
        <w:tab/>
        <w:t>NAVN OG ADRESSE PÅ INNEHAVEREN AV MARKEDSFØRINGSTILLATELSEN</w:t>
      </w:r>
    </w:p>
    <w:p w14:paraId="5AE8A221" w14:textId="77777777" w:rsidR="00E50867" w:rsidRPr="009D56B8" w:rsidRDefault="00E50867">
      <w:pPr>
        <w:rPr>
          <w:szCs w:val="22"/>
          <w:lang w:val="nb-NO"/>
        </w:rPr>
      </w:pPr>
    </w:p>
    <w:p w14:paraId="165DA5E3" w14:textId="77777777" w:rsidR="00F14443" w:rsidRPr="009D56B8" w:rsidRDefault="00F14443" w:rsidP="00F14443">
      <w:pPr>
        <w:keepNext/>
      </w:pPr>
      <w:r w:rsidRPr="009D56B8">
        <w:t>Accord Healthcare S.L.U.</w:t>
      </w:r>
    </w:p>
    <w:p w14:paraId="21B1A0A0" w14:textId="77777777" w:rsidR="00F14443" w:rsidRPr="009D56B8" w:rsidRDefault="00F14443" w:rsidP="00F14443">
      <w:pPr>
        <w:keepNext/>
      </w:pPr>
      <w:r w:rsidRPr="009D56B8">
        <w:t>World Trade Center, Moll de Barcelona, s/n,</w:t>
      </w:r>
    </w:p>
    <w:p w14:paraId="366BE594" w14:textId="77777777" w:rsidR="00F14443" w:rsidRPr="009D56B8" w:rsidRDefault="00F14443" w:rsidP="00F14443">
      <w:pPr>
        <w:keepNext/>
        <w:rPr>
          <w:lang w:val="fr-FR"/>
        </w:rPr>
      </w:pPr>
      <w:r w:rsidRPr="009D56B8">
        <w:rPr>
          <w:lang w:val="fr-FR"/>
        </w:rPr>
        <w:t>Edifici Est, 6a Planta,</w:t>
      </w:r>
    </w:p>
    <w:p w14:paraId="6453353B" w14:textId="77777777" w:rsidR="00F14443" w:rsidRPr="009D56B8" w:rsidRDefault="00F14443" w:rsidP="00F14443">
      <w:pPr>
        <w:keepNext/>
        <w:rPr>
          <w:lang w:val="fr-FR"/>
        </w:rPr>
      </w:pPr>
      <w:r w:rsidRPr="009D56B8">
        <w:rPr>
          <w:lang w:val="fr-FR"/>
        </w:rPr>
        <w:t>08039 Barcelona,</w:t>
      </w:r>
    </w:p>
    <w:p w14:paraId="39090FD7" w14:textId="6E8C6FF9" w:rsidR="00E50867" w:rsidRPr="009D56B8" w:rsidRDefault="00F14443">
      <w:pPr>
        <w:tabs>
          <w:tab w:val="clear" w:pos="567"/>
          <w:tab w:val="left" w:pos="720"/>
        </w:tabs>
        <w:rPr>
          <w:szCs w:val="22"/>
          <w:lang w:val="nb-NO" w:eastAsia="en-US"/>
        </w:rPr>
      </w:pPr>
      <w:r w:rsidRPr="009D56B8">
        <w:rPr>
          <w:lang w:val="nb-NO"/>
        </w:rPr>
        <w:t>Spania</w:t>
      </w:r>
    </w:p>
    <w:p w14:paraId="2BB16EB1" w14:textId="77777777" w:rsidR="00E50867" w:rsidRPr="009D56B8" w:rsidRDefault="00E50867">
      <w:pPr>
        <w:rPr>
          <w:szCs w:val="22"/>
          <w:lang w:val="nb-NO"/>
        </w:rPr>
      </w:pPr>
    </w:p>
    <w:p w14:paraId="50F04FFF" w14:textId="77777777" w:rsidR="00E50867" w:rsidRPr="009D56B8" w:rsidRDefault="00E50867">
      <w:pPr>
        <w:rPr>
          <w:szCs w:val="22"/>
          <w:lang w:val="nb-NO"/>
        </w:rPr>
      </w:pPr>
    </w:p>
    <w:p w14:paraId="2E39BF5B"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12.</w:t>
      </w:r>
      <w:r w:rsidRPr="009D56B8">
        <w:rPr>
          <w:b/>
          <w:szCs w:val="22"/>
          <w:lang w:val="nb-NO"/>
        </w:rPr>
        <w:tab/>
        <w:t>MARKEDSFØRINGSTILLATELSESNUMMER (NUMRE)</w:t>
      </w:r>
    </w:p>
    <w:p w14:paraId="7E2E21FA" w14:textId="77777777" w:rsidR="00E50867" w:rsidRPr="009D56B8" w:rsidRDefault="00E50867" w:rsidP="00513CD0">
      <w:pPr>
        <w:widowControl w:val="0"/>
        <w:suppressLineNumbers/>
        <w:rPr>
          <w:szCs w:val="22"/>
          <w:lang w:val="nb-NO"/>
        </w:rPr>
      </w:pPr>
    </w:p>
    <w:p w14:paraId="407E53CF" w14:textId="316179C4" w:rsidR="00513CD0" w:rsidRPr="009D56B8" w:rsidRDefault="00513CD0" w:rsidP="00513CD0">
      <w:pPr>
        <w:rPr>
          <w:lang w:val="nb-NO"/>
        </w:rPr>
      </w:pPr>
      <w:r w:rsidRPr="009D56B8">
        <w:rPr>
          <w:lang w:val="nb-NO"/>
        </w:rPr>
        <w:t>EU/1/</w:t>
      </w:r>
      <w:r w:rsidR="00713DF6" w:rsidRPr="009D56B8">
        <w:rPr>
          <w:lang w:val="nb-NO"/>
        </w:rPr>
        <w:t>24/1811</w:t>
      </w:r>
      <w:r w:rsidRPr="009D56B8">
        <w:rPr>
          <w:lang w:val="nb-NO"/>
        </w:rPr>
        <w:t>/001</w:t>
      </w:r>
    </w:p>
    <w:p w14:paraId="03AE65A5" w14:textId="172BFF47" w:rsidR="00713DF6" w:rsidRPr="009D56B8" w:rsidRDefault="00713DF6" w:rsidP="00513CD0">
      <w:pPr>
        <w:rPr>
          <w:lang w:val="nb-NO"/>
        </w:rPr>
      </w:pPr>
      <w:r w:rsidRPr="009D56B8">
        <w:rPr>
          <w:lang w:val="nb-NO"/>
        </w:rPr>
        <w:t>EU/1/24/1811/002</w:t>
      </w:r>
    </w:p>
    <w:p w14:paraId="4ADA75BF" w14:textId="4FDA904F" w:rsidR="00E50867" w:rsidRPr="009D56B8" w:rsidRDefault="00E50867">
      <w:pPr>
        <w:rPr>
          <w:szCs w:val="22"/>
          <w:lang w:val="nb-NO"/>
        </w:rPr>
      </w:pPr>
    </w:p>
    <w:p w14:paraId="0EDF0410" w14:textId="77777777" w:rsidR="00513CD0" w:rsidRPr="009D56B8" w:rsidRDefault="00513CD0">
      <w:pPr>
        <w:rPr>
          <w:szCs w:val="22"/>
          <w:lang w:val="nb-NO"/>
        </w:rPr>
      </w:pPr>
    </w:p>
    <w:p w14:paraId="39E3F907"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13.</w:t>
      </w:r>
      <w:r w:rsidRPr="009D56B8">
        <w:rPr>
          <w:b/>
          <w:szCs w:val="22"/>
          <w:lang w:val="nb-NO"/>
        </w:rPr>
        <w:tab/>
        <w:t>PRODUKSJONSNUMMER</w:t>
      </w:r>
    </w:p>
    <w:p w14:paraId="79D556CF" w14:textId="77777777" w:rsidR="00E50867" w:rsidRPr="009D56B8" w:rsidRDefault="00E50867">
      <w:pPr>
        <w:rPr>
          <w:szCs w:val="22"/>
          <w:lang w:val="nb-NO"/>
        </w:rPr>
      </w:pPr>
    </w:p>
    <w:p w14:paraId="0870382A" w14:textId="77777777" w:rsidR="00E50867" w:rsidRPr="009D56B8" w:rsidRDefault="00C770E8">
      <w:pPr>
        <w:widowControl w:val="0"/>
        <w:suppressLineNumbers/>
        <w:rPr>
          <w:szCs w:val="22"/>
          <w:lang w:val="nb-NO"/>
        </w:rPr>
      </w:pPr>
      <w:r w:rsidRPr="009D56B8">
        <w:rPr>
          <w:szCs w:val="22"/>
          <w:lang w:val="nb-NO"/>
        </w:rPr>
        <w:t>Lot</w:t>
      </w:r>
    </w:p>
    <w:p w14:paraId="54276B90" w14:textId="77777777" w:rsidR="00E50867" w:rsidRPr="009D56B8" w:rsidRDefault="00E50867">
      <w:pPr>
        <w:rPr>
          <w:szCs w:val="22"/>
          <w:lang w:val="nb-NO"/>
        </w:rPr>
      </w:pPr>
    </w:p>
    <w:p w14:paraId="07565805" w14:textId="77777777" w:rsidR="00E50867" w:rsidRPr="009D56B8" w:rsidRDefault="00E50867">
      <w:pPr>
        <w:rPr>
          <w:szCs w:val="22"/>
          <w:lang w:val="nb-NO"/>
        </w:rPr>
      </w:pPr>
    </w:p>
    <w:p w14:paraId="167B7017"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14.</w:t>
      </w:r>
      <w:r w:rsidRPr="009D56B8">
        <w:rPr>
          <w:b/>
          <w:szCs w:val="22"/>
          <w:lang w:val="nb-NO"/>
        </w:rPr>
        <w:tab/>
        <w:t>GENERELL KLASSIFIKASJON FOR UTLEVERING</w:t>
      </w:r>
    </w:p>
    <w:p w14:paraId="1887E5A5" w14:textId="77777777" w:rsidR="00E50867" w:rsidRPr="009D56B8" w:rsidRDefault="00E50867">
      <w:pPr>
        <w:rPr>
          <w:szCs w:val="22"/>
          <w:lang w:val="nb-NO"/>
        </w:rPr>
      </w:pPr>
    </w:p>
    <w:p w14:paraId="3081A2C4" w14:textId="77777777" w:rsidR="00E50867" w:rsidRPr="009D56B8" w:rsidRDefault="00E50867">
      <w:pPr>
        <w:rPr>
          <w:szCs w:val="22"/>
          <w:lang w:val="nb-NO"/>
        </w:rPr>
      </w:pPr>
    </w:p>
    <w:p w14:paraId="784DF90A"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15.</w:t>
      </w:r>
      <w:r w:rsidRPr="009D56B8">
        <w:rPr>
          <w:b/>
          <w:szCs w:val="22"/>
          <w:lang w:val="nb-NO"/>
        </w:rPr>
        <w:tab/>
        <w:t>BRUKSANVISNING</w:t>
      </w:r>
    </w:p>
    <w:p w14:paraId="6257EB8B" w14:textId="77777777" w:rsidR="00E50867" w:rsidRPr="009D56B8" w:rsidRDefault="00E50867">
      <w:pPr>
        <w:rPr>
          <w:szCs w:val="22"/>
          <w:lang w:val="nb-NO"/>
        </w:rPr>
      </w:pPr>
    </w:p>
    <w:p w14:paraId="61F41786" w14:textId="77777777" w:rsidR="00E50867" w:rsidRPr="009D56B8" w:rsidRDefault="00E50867">
      <w:pPr>
        <w:rPr>
          <w:szCs w:val="22"/>
          <w:lang w:val="nb-NO"/>
        </w:rPr>
      </w:pPr>
    </w:p>
    <w:p w14:paraId="6C375C53"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16.</w:t>
      </w:r>
      <w:r w:rsidRPr="009D56B8">
        <w:rPr>
          <w:b/>
          <w:szCs w:val="22"/>
          <w:lang w:val="nb-NO"/>
        </w:rPr>
        <w:tab/>
        <w:t>INFORMASJON PÅ BLINDESKRIFT</w:t>
      </w:r>
    </w:p>
    <w:p w14:paraId="22DDC488" w14:textId="77777777" w:rsidR="00E50867" w:rsidRPr="009D56B8" w:rsidRDefault="00E50867">
      <w:pPr>
        <w:rPr>
          <w:szCs w:val="22"/>
          <w:lang w:val="nb-NO"/>
        </w:rPr>
      </w:pPr>
    </w:p>
    <w:p w14:paraId="30C949EF" w14:textId="405252D5" w:rsidR="00E50867" w:rsidRPr="009D56B8" w:rsidRDefault="00D172C2">
      <w:pPr>
        <w:rPr>
          <w:szCs w:val="22"/>
          <w:lang w:val="nb-NO"/>
        </w:rPr>
      </w:pPr>
      <w:r w:rsidRPr="009D56B8">
        <w:rPr>
          <w:szCs w:val="22"/>
          <w:lang w:val="nb-NO"/>
        </w:rPr>
        <w:t>Dimethyl fumarate Accord</w:t>
      </w:r>
      <w:r w:rsidR="00C770E8" w:rsidRPr="009D56B8">
        <w:rPr>
          <w:szCs w:val="22"/>
          <w:lang w:val="nb-NO"/>
        </w:rPr>
        <w:t xml:space="preserve"> 120 mg</w:t>
      </w:r>
    </w:p>
    <w:p w14:paraId="352615F7" w14:textId="77777777" w:rsidR="00E50867" w:rsidRPr="009D56B8" w:rsidRDefault="00E50867">
      <w:pPr>
        <w:rPr>
          <w:szCs w:val="22"/>
          <w:shd w:val="clear" w:color="auto" w:fill="CCCCCC"/>
          <w:lang w:val="nb-NO"/>
        </w:rPr>
      </w:pPr>
    </w:p>
    <w:p w14:paraId="11256ACB" w14:textId="77777777" w:rsidR="00E50867" w:rsidRPr="009D56B8" w:rsidRDefault="00E50867">
      <w:pPr>
        <w:rPr>
          <w:szCs w:val="22"/>
          <w:lang w:val="nb-NO"/>
        </w:rPr>
      </w:pPr>
    </w:p>
    <w:p w14:paraId="637E9ADA" w14:textId="77777777" w:rsidR="00E50867" w:rsidRPr="009D56B8" w:rsidRDefault="00C770E8">
      <w:pPr>
        <w:pBdr>
          <w:top w:val="single" w:sz="4" w:space="1" w:color="auto"/>
          <w:left w:val="single" w:sz="4" w:space="4" w:color="auto"/>
          <w:bottom w:val="single" w:sz="4" w:space="1" w:color="auto"/>
          <w:right w:val="single" w:sz="4" w:space="4" w:color="auto"/>
        </w:pBdr>
        <w:rPr>
          <w:b/>
          <w:szCs w:val="22"/>
          <w:u w:val="single"/>
          <w:lang w:val="nb-NO"/>
        </w:rPr>
      </w:pPr>
      <w:r w:rsidRPr="009D56B8">
        <w:rPr>
          <w:b/>
          <w:szCs w:val="22"/>
          <w:lang w:val="nb-NO"/>
        </w:rPr>
        <w:t>17.</w:t>
      </w:r>
      <w:r w:rsidRPr="009D56B8">
        <w:rPr>
          <w:b/>
          <w:szCs w:val="22"/>
          <w:lang w:val="nb-NO"/>
        </w:rPr>
        <w:tab/>
        <w:t>SIKKERHETSANORDNING (UNIK IDENTITET) – TODIMENSJONAL STREKKODE</w:t>
      </w:r>
    </w:p>
    <w:p w14:paraId="0B078460" w14:textId="77777777" w:rsidR="00E50867" w:rsidRPr="009D56B8" w:rsidRDefault="00E50867">
      <w:pPr>
        <w:rPr>
          <w:szCs w:val="22"/>
          <w:lang w:val="bg-BG"/>
        </w:rPr>
      </w:pPr>
    </w:p>
    <w:p w14:paraId="3A6E0EEC" w14:textId="77777777" w:rsidR="00E50867" w:rsidRPr="009D56B8" w:rsidRDefault="00C770E8">
      <w:pPr>
        <w:rPr>
          <w:szCs w:val="22"/>
          <w:highlight w:val="lightGray"/>
          <w:lang w:val="bg-BG"/>
        </w:rPr>
      </w:pPr>
      <w:r w:rsidRPr="009D56B8">
        <w:rPr>
          <w:szCs w:val="22"/>
          <w:highlight w:val="lightGray"/>
          <w:lang w:val="bg-BG"/>
        </w:rPr>
        <w:t>Todimensjonal strekkode, inkludert unik identitet</w:t>
      </w:r>
      <w:r w:rsidRPr="009D56B8">
        <w:rPr>
          <w:szCs w:val="22"/>
          <w:highlight w:val="lightGray"/>
          <w:lang w:val="nb-NO"/>
        </w:rPr>
        <w:t>.</w:t>
      </w:r>
    </w:p>
    <w:p w14:paraId="2B3F487B" w14:textId="77777777" w:rsidR="00E50867" w:rsidRPr="009D56B8" w:rsidRDefault="00E50867">
      <w:pPr>
        <w:rPr>
          <w:szCs w:val="22"/>
          <w:highlight w:val="lightGray"/>
          <w:lang w:val="bg-BG"/>
        </w:rPr>
      </w:pPr>
    </w:p>
    <w:p w14:paraId="35CC5ADF" w14:textId="77777777" w:rsidR="00E50867" w:rsidRPr="009D56B8" w:rsidRDefault="00E50867">
      <w:pPr>
        <w:rPr>
          <w:szCs w:val="22"/>
          <w:lang w:val="nb-NO"/>
        </w:rPr>
      </w:pPr>
    </w:p>
    <w:p w14:paraId="7BC6DBB9" w14:textId="77777777" w:rsidR="00E50867" w:rsidRPr="009D56B8" w:rsidRDefault="00C770E8">
      <w:pPr>
        <w:pBdr>
          <w:top w:val="single" w:sz="4" w:space="1" w:color="auto"/>
          <w:left w:val="single" w:sz="4" w:space="4" w:color="auto"/>
          <w:bottom w:val="single" w:sz="4" w:space="1" w:color="auto"/>
          <w:right w:val="single" w:sz="4" w:space="4" w:color="auto"/>
        </w:pBdr>
        <w:ind w:left="567" w:hanging="567"/>
        <w:rPr>
          <w:b/>
          <w:szCs w:val="22"/>
          <w:lang w:val="nb-NO"/>
        </w:rPr>
      </w:pPr>
      <w:r w:rsidRPr="009D56B8">
        <w:rPr>
          <w:b/>
          <w:szCs w:val="22"/>
          <w:lang w:val="nb-NO"/>
        </w:rPr>
        <w:t>18.</w:t>
      </w:r>
      <w:r w:rsidRPr="009D56B8">
        <w:rPr>
          <w:b/>
          <w:szCs w:val="22"/>
          <w:lang w:val="nb-NO"/>
        </w:rPr>
        <w:tab/>
        <w:t>SIKKERHETSANORDNING (UNIK IDENTITET) – I ET FORMAT LESBART FOR MENNESKER</w:t>
      </w:r>
    </w:p>
    <w:p w14:paraId="16E849B0" w14:textId="77777777" w:rsidR="00E50867" w:rsidRPr="009D56B8" w:rsidRDefault="00E50867">
      <w:pPr>
        <w:rPr>
          <w:szCs w:val="22"/>
          <w:lang w:val="bg-BG"/>
        </w:rPr>
      </w:pPr>
    </w:p>
    <w:p w14:paraId="685F939E" w14:textId="77777777" w:rsidR="00E50867" w:rsidRPr="009D56B8" w:rsidRDefault="00C770E8">
      <w:pPr>
        <w:tabs>
          <w:tab w:val="clear" w:pos="567"/>
          <w:tab w:val="left" w:pos="720"/>
        </w:tabs>
        <w:autoSpaceDE w:val="0"/>
        <w:autoSpaceDN w:val="0"/>
        <w:adjustRightInd w:val="0"/>
        <w:rPr>
          <w:szCs w:val="22"/>
          <w:lang w:val="nb-NO"/>
        </w:rPr>
      </w:pPr>
      <w:r w:rsidRPr="009D56B8">
        <w:rPr>
          <w:szCs w:val="22"/>
          <w:lang w:val="nb-NO"/>
        </w:rPr>
        <w:t>PC</w:t>
      </w:r>
    </w:p>
    <w:p w14:paraId="35AEF475" w14:textId="77777777" w:rsidR="00E50867" w:rsidRPr="009D56B8" w:rsidRDefault="00C770E8">
      <w:pPr>
        <w:tabs>
          <w:tab w:val="clear" w:pos="567"/>
          <w:tab w:val="left" w:pos="720"/>
        </w:tabs>
        <w:autoSpaceDE w:val="0"/>
        <w:autoSpaceDN w:val="0"/>
        <w:adjustRightInd w:val="0"/>
        <w:rPr>
          <w:szCs w:val="22"/>
          <w:lang w:val="nb-NO"/>
        </w:rPr>
      </w:pPr>
      <w:r w:rsidRPr="009D56B8">
        <w:rPr>
          <w:szCs w:val="22"/>
          <w:lang w:val="nb-NO"/>
        </w:rPr>
        <w:t>SN</w:t>
      </w:r>
    </w:p>
    <w:p w14:paraId="13E5011A" w14:textId="77777777" w:rsidR="00E50867" w:rsidRPr="009D56B8" w:rsidRDefault="00C770E8" w:rsidP="00B540F6">
      <w:pPr>
        <w:tabs>
          <w:tab w:val="clear" w:pos="567"/>
          <w:tab w:val="left" w:pos="720"/>
        </w:tabs>
        <w:autoSpaceDE w:val="0"/>
        <w:autoSpaceDN w:val="0"/>
        <w:adjustRightInd w:val="0"/>
        <w:rPr>
          <w:szCs w:val="22"/>
          <w:lang w:val="nb-NO"/>
        </w:rPr>
      </w:pPr>
      <w:r w:rsidRPr="009D56B8">
        <w:rPr>
          <w:szCs w:val="22"/>
          <w:lang w:val="nb-NO"/>
        </w:rPr>
        <w:t>NN</w:t>
      </w:r>
    </w:p>
    <w:p w14:paraId="56BC8B9F" w14:textId="31407991" w:rsidR="00E50867" w:rsidRPr="009D56B8" w:rsidRDefault="00C770E8" w:rsidP="00513CD0">
      <w:pPr>
        <w:widowControl w:val="0"/>
        <w:suppressLineNumbers/>
        <w:pBdr>
          <w:top w:val="single" w:sz="4" w:space="1" w:color="000000"/>
          <w:left w:val="single" w:sz="4" w:space="4" w:color="000000"/>
          <w:bottom w:val="single" w:sz="4" w:space="1" w:color="000000"/>
          <w:right w:val="single" w:sz="4" w:space="4" w:color="000000"/>
        </w:pBdr>
        <w:tabs>
          <w:tab w:val="clear" w:pos="567"/>
          <w:tab w:val="left" w:pos="0"/>
        </w:tabs>
        <w:rPr>
          <w:b/>
          <w:szCs w:val="22"/>
          <w:lang w:val="nb-NO"/>
        </w:rPr>
      </w:pPr>
      <w:r w:rsidRPr="009D56B8">
        <w:rPr>
          <w:szCs w:val="22"/>
          <w:shd w:val="clear" w:color="auto" w:fill="CCCCCC"/>
          <w:lang w:val="nb-NO"/>
        </w:rPr>
        <w:br w:type="page"/>
      </w:r>
      <w:r w:rsidRPr="009D56B8">
        <w:rPr>
          <w:b/>
          <w:szCs w:val="22"/>
          <w:lang w:val="nb-NO"/>
        </w:rPr>
        <w:lastRenderedPageBreak/>
        <w:t>MINSTEKRAV TIL OPPLYSNINGER SOM SKAL ANGIS PÅ BLISTER ELLER STRIP</w:t>
      </w:r>
    </w:p>
    <w:p w14:paraId="1A452D21" w14:textId="77777777" w:rsidR="00E50867" w:rsidRPr="009D56B8" w:rsidRDefault="00E50867" w:rsidP="00513C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p>
    <w:p w14:paraId="6AE100B6" w14:textId="208BCD71" w:rsidR="00E50867" w:rsidRPr="009D56B8" w:rsidRDefault="00C770E8" w:rsidP="008E40D3">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BLISTER</w:t>
      </w:r>
      <w:r w:rsidR="00DA77F2" w:rsidRPr="009D56B8">
        <w:rPr>
          <w:b/>
          <w:szCs w:val="22"/>
          <w:lang w:val="nb-NO"/>
        </w:rPr>
        <w:t>PAKNING AV PVC/PE/PVDC-ALUMINIUM</w:t>
      </w:r>
    </w:p>
    <w:p w14:paraId="54E52906" w14:textId="17AFB707" w:rsidR="00E50867" w:rsidRPr="009D56B8" w:rsidRDefault="00E50867">
      <w:pPr>
        <w:rPr>
          <w:szCs w:val="22"/>
          <w:lang w:val="nb-NO"/>
        </w:rPr>
      </w:pPr>
    </w:p>
    <w:p w14:paraId="4B0D583E" w14:textId="77777777" w:rsidR="004973B6" w:rsidRPr="009D56B8" w:rsidRDefault="004973B6">
      <w:pPr>
        <w:rPr>
          <w:szCs w:val="22"/>
          <w:lang w:val="nb-NO"/>
        </w:rPr>
      </w:pPr>
    </w:p>
    <w:p w14:paraId="76639C06"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1.</w:t>
      </w:r>
      <w:r w:rsidRPr="009D56B8">
        <w:rPr>
          <w:b/>
          <w:szCs w:val="22"/>
          <w:lang w:val="nb-NO"/>
        </w:rPr>
        <w:tab/>
        <w:t>LEGEMIDLETS NAVN</w:t>
      </w:r>
    </w:p>
    <w:p w14:paraId="66659201" w14:textId="77777777" w:rsidR="00E50867" w:rsidRPr="009D56B8" w:rsidRDefault="00E50867">
      <w:pPr>
        <w:rPr>
          <w:szCs w:val="22"/>
          <w:lang w:val="nb-NO"/>
        </w:rPr>
      </w:pPr>
    </w:p>
    <w:p w14:paraId="619F2C11" w14:textId="1715A1C8" w:rsidR="00E50867" w:rsidRPr="009D56B8" w:rsidRDefault="00D172C2">
      <w:pPr>
        <w:widowControl w:val="0"/>
        <w:suppressLineNumbers/>
        <w:rPr>
          <w:szCs w:val="22"/>
          <w:lang w:val="nb-NO"/>
        </w:rPr>
      </w:pPr>
      <w:r w:rsidRPr="009D56B8">
        <w:rPr>
          <w:szCs w:val="22"/>
          <w:lang w:val="nb-NO"/>
        </w:rPr>
        <w:t>Dimethyl fumarate Accord</w:t>
      </w:r>
      <w:r w:rsidR="00C770E8" w:rsidRPr="009D56B8">
        <w:rPr>
          <w:szCs w:val="22"/>
          <w:lang w:val="nb-NO"/>
        </w:rPr>
        <w:t xml:space="preserve"> 120 mg enterokapsler</w:t>
      </w:r>
    </w:p>
    <w:p w14:paraId="65C1F9E3" w14:textId="77777777" w:rsidR="00513CD0" w:rsidRPr="009D56B8" w:rsidRDefault="00513CD0">
      <w:pPr>
        <w:widowControl w:val="0"/>
        <w:suppressLineNumbers/>
        <w:rPr>
          <w:szCs w:val="22"/>
          <w:lang w:val="nb-NO"/>
        </w:rPr>
      </w:pPr>
    </w:p>
    <w:p w14:paraId="326A841C" w14:textId="4F575E1A" w:rsidR="00E50867" w:rsidRPr="009D56B8" w:rsidRDefault="00C770E8">
      <w:pPr>
        <w:widowControl w:val="0"/>
        <w:suppressLineNumbers/>
        <w:rPr>
          <w:szCs w:val="22"/>
          <w:lang w:val="nb-NO"/>
        </w:rPr>
      </w:pPr>
      <w:r w:rsidRPr="009D56B8">
        <w:rPr>
          <w:szCs w:val="22"/>
          <w:highlight w:val="lightGray"/>
          <w:lang w:val="nb-NO"/>
        </w:rPr>
        <w:t>dimetylfumarat</w:t>
      </w:r>
    </w:p>
    <w:p w14:paraId="3B5AEA48" w14:textId="77777777" w:rsidR="00E50867" w:rsidRPr="009D56B8" w:rsidRDefault="00E50867">
      <w:pPr>
        <w:rPr>
          <w:szCs w:val="22"/>
          <w:lang w:val="nb-NO"/>
        </w:rPr>
      </w:pPr>
    </w:p>
    <w:p w14:paraId="29DAAA45" w14:textId="77777777" w:rsidR="00E50867" w:rsidRPr="009D56B8" w:rsidRDefault="00E50867">
      <w:pPr>
        <w:rPr>
          <w:szCs w:val="22"/>
          <w:lang w:val="nb-NO"/>
        </w:rPr>
      </w:pPr>
    </w:p>
    <w:p w14:paraId="44C2D1F0"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2.</w:t>
      </w:r>
      <w:r w:rsidRPr="009D56B8">
        <w:rPr>
          <w:b/>
          <w:szCs w:val="22"/>
          <w:lang w:val="nb-NO"/>
        </w:rPr>
        <w:tab/>
        <w:t>NAVN PÅ INNEHAVEREN AV MARKEDSFØRINGSTILLATELSEN</w:t>
      </w:r>
    </w:p>
    <w:p w14:paraId="00FCB8DC" w14:textId="77777777" w:rsidR="00E50867" w:rsidRPr="009D56B8" w:rsidRDefault="00E50867">
      <w:pPr>
        <w:rPr>
          <w:szCs w:val="22"/>
          <w:lang w:val="nb-NO"/>
        </w:rPr>
      </w:pPr>
    </w:p>
    <w:p w14:paraId="7A4C8D23" w14:textId="33EC23E3" w:rsidR="00E50867" w:rsidRPr="009D56B8" w:rsidRDefault="00515DA3">
      <w:pPr>
        <w:keepNext/>
        <w:rPr>
          <w:lang w:val="nb-NO" w:eastAsia="en-US"/>
        </w:rPr>
      </w:pPr>
      <w:r w:rsidRPr="009D56B8">
        <w:rPr>
          <w:highlight w:val="lightGray"/>
          <w:lang w:val="nb-NO"/>
        </w:rPr>
        <w:t>Accord</w:t>
      </w:r>
    </w:p>
    <w:p w14:paraId="65CF60EA" w14:textId="77777777" w:rsidR="00E50867" w:rsidRPr="009D56B8" w:rsidRDefault="00E50867">
      <w:pPr>
        <w:rPr>
          <w:szCs w:val="22"/>
          <w:lang w:val="nb-NO"/>
        </w:rPr>
      </w:pPr>
    </w:p>
    <w:p w14:paraId="5FC5D749" w14:textId="77777777" w:rsidR="00E50867" w:rsidRPr="009D56B8" w:rsidRDefault="00E50867">
      <w:pPr>
        <w:rPr>
          <w:szCs w:val="22"/>
          <w:lang w:val="nb-NO"/>
        </w:rPr>
      </w:pPr>
    </w:p>
    <w:p w14:paraId="43E0E309" w14:textId="77777777" w:rsidR="00E50867" w:rsidRPr="009D56B8" w:rsidRDefault="00C770E8">
      <w:pPr>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3.</w:t>
      </w:r>
      <w:r w:rsidRPr="009D56B8">
        <w:rPr>
          <w:b/>
          <w:szCs w:val="22"/>
          <w:lang w:val="nb-NO"/>
        </w:rPr>
        <w:tab/>
        <w:t>UTLØPSDATO</w:t>
      </w:r>
    </w:p>
    <w:p w14:paraId="2572B01B" w14:textId="77777777" w:rsidR="00E50867" w:rsidRPr="009D56B8" w:rsidRDefault="00E50867">
      <w:pPr>
        <w:rPr>
          <w:szCs w:val="22"/>
          <w:lang w:val="nb-NO"/>
        </w:rPr>
      </w:pPr>
    </w:p>
    <w:p w14:paraId="3BDABB80" w14:textId="77777777" w:rsidR="00E50867" w:rsidRPr="009D56B8" w:rsidRDefault="00C770E8">
      <w:pPr>
        <w:widowControl w:val="0"/>
        <w:suppressLineNumbers/>
        <w:rPr>
          <w:szCs w:val="22"/>
          <w:lang w:val="nb-NO"/>
        </w:rPr>
      </w:pPr>
      <w:r w:rsidRPr="009D56B8">
        <w:rPr>
          <w:szCs w:val="22"/>
          <w:lang w:val="nb-NO"/>
        </w:rPr>
        <w:t>EXP</w:t>
      </w:r>
    </w:p>
    <w:p w14:paraId="5157E01C" w14:textId="77777777" w:rsidR="00E50867" w:rsidRPr="009D56B8" w:rsidRDefault="00E50867">
      <w:pPr>
        <w:rPr>
          <w:szCs w:val="22"/>
          <w:lang w:val="nb-NO"/>
        </w:rPr>
      </w:pPr>
    </w:p>
    <w:p w14:paraId="333D7E5F" w14:textId="77777777" w:rsidR="00E50867" w:rsidRPr="009D56B8" w:rsidRDefault="00E50867">
      <w:pPr>
        <w:rPr>
          <w:szCs w:val="22"/>
          <w:lang w:val="nb-NO"/>
        </w:rPr>
      </w:pPr>
    </w:p>
    <w:p w14:paraId="5925C113"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4.</w:t>
      </w:r>
      <w:r w:rsidRPr="009D56B8">
        <w:rPr>
          <w:b/>
          <w:szCs w:val="22"/>
          <w:lang w:val="nb-NO"/>
        </w:rPr>
        <w:tab/>
        <w:t>PRODUKSJONSNUMMER</w:t>
      </w:r>
    </w:p>
    <w:p w14:paraId="186CE972" w14:textId="77777777" w:rsidR="00E50867" w:rsidRPr="009D56B8" w:rsidRDefault="00E50867">
      <w:pPr>
        <w:rPr>
          <w:szCs w:val="22"/>
          <w:lang w:val="nb-NO"/>
        </w:rPr>
      </w:pPr>
    </w:p>
    <w:p w14:paraId="25447157" w14:textId="77777777" w:rsidR="00E50867" w:rsidRPr="009D56B8" w:rsidRDefault="00C770E8">
      <w:pPr>
        <w:widowControl w:val="0"/>
        <w:suppressLineNumbers/>
        <w:rPr>
          <w:szCs w:val="22"/>
          <w:lang w:val="nb-NO"/>
        </w:rPr>
      </w:pPr>
      <w:r w:rsidRPr="009D56B8">
        <w:rPr>
          <w:szCs w:val="22"/>
          <w:lang w:val="nb-NO"/>
        </w:rPr>
        <w:t>Lot</w:t>
      </w:r>
    </w:p>
    <w:p w14:paraId="4DBCCF8D" w14:textId="77777777" w:rsidR="00E50867" w:rsidRPr="009D56B8" w:rsidRDefault="00E50867">
      <w:pPr>
        <w:rPr>
          <w:szCs w:val="22"/>
          <w:lang w:val="nb-NO"/>
        </w:rPr>
      </w:pPr>
    </w:p>
    <w:p w14:paraId="5F732FDC" w14:textId="77777777" w:rsidR="00E50867" w:rsidRPr="009D56B8" w:rsidRDefault="00E50867">
      <w:pPr>
        <w:rPr>
          <w:szCs w:val="22"/>
          <w:lang w:val="nb-NO"/>
        </w:rPr>
      </w:pPr>
    </w:p>
    <w:p w14:paraId="60FFEA61"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5.</w:t>
      </w:r>
      <w:r w:rsidRPr="009D56B8">
        <w:rPr>
          <w:b/>
          <w:szCs w:val="22"/>
          <w:lang w:val="nb-NO"/>
        </w:rPr>
        <w:tab/>
        <w:t>ANNET</w:t>
      </w:r>
    </w:p>
    <w:p w14:paraId="54CF74D0" w14:textId="77777777" w:rsidR="00E50867" w:rsidRPr="009D56B8" w:rsidRDefault="00E50867">
      <w:pPr>
        <w:widowControl w:val="0"/>
        <w:tabs>
          <w:tab w:val="clear" w:pos="567"/>
        </w:tabs>
        <w:rPr>
          <w:szCs w:val="22"/>
          <w:lang w:val="nb-NO"/>
        </w:rPr>
      </w:pPr>
    </w:p>
    <w:p w14:paraId="29402DCC" w14:textId="0E88868A" w:rsidR="00E50867" w:rsidRPr="009D56B8" w:rsidRDefault="00713DF6">
      <w:pPr>
        <w:rPr>
          <w:bCs/>
          <w:szCs w:val="22"/>
          <w:lang w:val="nb-NO"/>
        </w:rPr>
      </w:pPr>
      <w:r w:rsidRPr="009D56B8">
        <w:rPr>
          <w:bCs/>
          <w:szCs w:val="22"/>
          <w:highlight w:val="lightGray"/>
          <w:lang w:val="nb-NO"/>
        </w:rPr>
        <w:t>Oral bruk.</w:t>
      </w:r>
    </w:p>
    <w:p w14:paraId="1E29C2A1" w14:textId="0074BC27" w:rsidR="00E50867" w:rsidRPr="009D56B8" w:rsidRDefault="00E50867">
      <w:pPr>
        <w:rPr>
          <w:b/>
          <w:szCs w:val="22"/>
          <w:lang w:val="nb-NO"/>
        </w:rPr>
      </w:pPr>
    </w:p>
    <w:p w14:paraId="6F71C62F" w14:textId="77777777" w:rsidR="00E50867" w:rsidRPr="009D56B8" w:rsidRDefault="00E50867">
      <w:pPr>
        <w:suppressLineNumbers/>
        <w:rPr>
          <w:szCs w:val="22"/>
          <w:lang w:val="nb-NO"/>
        </w:rPr>
      </w:pPr>
    </w:p>
    <w:p w14:paraId="2441CD71" w14:textId="751C7127" w:rsidR="00E50867" w:rsidRPr="009D56B8" w:rsidRDefault="00C770E8" w:rsidP="00513CD0">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szCs w:val="22"/>
          <w:lang w:val="nb-NO"/>
        </w:rPr>
        <w:br w:type="page"/>
      </w:r>
      <w:r w:rsidRPr="009D56B8">
        <w:rPr>
          <w:b/>
          <w:szCs w:val="22"/>
          <w:lang w:val="nb-NO"/>
        </w:rPr>
        <w:lastRenderedPageBreak/>
        <w:t>OPPLYSNINGER SOM SKAL ANGIS PÅ YTRE EMBALLASJE</w:t>
      </w:r>
    </w:p>
    <w:p w14:paraId="0B732D37" w14:textId="77777777" w:rsidR="00E50867" w:rsidRPr="009D56B8" w:rsidRDefault="00E508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p>
    <w:p w14:paraId="5C9A3D31" w14:textId="77777777" w:rsidR="00E50867" w:rsidRPr="009D56B8" w:rsidRDefault="00C770E8" w:rsidP="00513CD0">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YTRE ESKE</w:t>
      </w:r>
    </w:p>
    <w:p w14:paraId="242A7312" w14:textId="77777777" w:rsidR="00E50867" w:rsidRPr="009D56B8" w:rsidRDefault="00E50867">
      <w:pPr>
        <w:rPr>
          <w:szCs w:val="22"/>
          <w:lang w:val="nb-NO"/>
        </w:rPr>
      </w:pPr>
    </w:p>
    <w:p w14:paraId="0B8D2D18" w14:textId="77777777" w:rsidR="00E50867" w:rsidRPr="009D56B8" w:rsidRDefault="00E50867">
      <w:pPr>
        <w:rPr>
          <w:szCs w:val="22"/>
          <w:lang w:val="nb-NO"/>
        </w:rPr>
      </w:pPr>
    </w:p>
    <w:p w14:paraId="4207A3FF"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w:t>
      </w:r>
      <w:r w:rsidRPr="009D56B8">
        <w:rPr>
          <w:b/>
          <w:szCs w:val="22"/>
          <w:lang w:val="nb-NO"/>
        </w:rPr>
        <w:tab/>
        <w:t>LEGEMIDLETS NAVN</w:t>
      </w:r>
    </w:p>
    <w:p w14:paraId="3A2B42E8" w14:textId="77777777" w:rsidR="00E50867" w:rsidRPr="009D56B8" w:rsidRDefault="00E50867">
      <w:pPr>
        <w:rPr>
          <w:szCs w:val="22"/>
          <w:lang w:val="nb-NO"/>
        </w:rPr>
      </w:pPr>
    </w:p>
    <w:p w14:paraId="28B28CE2" w14:textId="5F2DE4D8" w:rsidR="00E50867" w:rsidRPr="009D56B8" w:rsidRDefault="00D172C2">
      <w:pPr>
        <w:rPr>
          <w:lang w:val="nb-NO"/>
        </w:rPr>
      </w:pPr>
      <w:r w:rsidRPr="009D56B8">
        <w:rPr>
          <w:lang w:val="nb-NO"/>
        </w:rPr>
        <w:t>Dimethyl fumarate Accord</w:t>
      </w:r>
      <w:r w:rsidR="00C770E8" w:rsidRPr="009D56B8">
        <w:rPr>
          <w:lang w:val="nb-NO"/>
        </w:rPr>
        <w:t xml:space="preserve"> 240 mg enterokapsler, harde</w:t>
      </w:r>
    </w:p>
    <w:p w14:paraId="20CBABB8" w14:textId="77777777" w:rsidR="00513CD0" w:rsidRPr="009D56B8" w:rsidRDefault="00513CD0">
      <w:pPr>
        <w:widowControl w:val="0"/>
        <w:suppressLineNumbers/>
        <w:rPr>
          <w:szCs w:val="22"/>
          <w:lang w:val="nb-NO"/>
        </w:rPr>
      </w:pPr>
    </w:p>
    <w:p w14:paraId="64D38255" w14:textId="7379C01A" w:rsidR="00E50867" w:rsidRPr="009D56B8" w:rsidRDefault="00C770E8">
      <w:pPr>
        <w:widowControl w:val="0"/>
        <w:suppressLineNumbers/>
        <w:rPr>
          <w:szCs w:val="22"/>
          <w:lang w:val="nb-NO"/>
        </w:rPr>
      </w:pPr>
      <w:r w:rsidRPr="009D56B8">
        <w:rPr>
          <w:szCs w:val="22"/>
          <w:lang w:val="nb-NO"/>
        </w:rPr>
        <w:t>dimetylfumarat</w:t>
      </w:r>
    </w:p>
    <w:p w14:paraId="213BD49E" w14:textId="77777777" w:rsidR="00E50867" w:rsidRPr="009D56B8" w:rsidRDefault="00E50867">
      <w:pPr>
        <w:rPr>
          <w:szCs w:val="22"/>
          <w:lang w:val="nb-NO"/>
        </w:rPr>
      </w:pPr>
    </w:p>
    <w:p w14:paraId="0F586DCB" w14:textId="77777777" w:rsidR="00E50867" w:rsidRPr="009D56B8" w:rsidRDefault="00E50867">
      <w:pPr>
        <w:rPr>
          <w:szCs w:val="22"/>
          <w:lang w:val="nb-NO"/>
        </w:rPr>
      </w:pPr>
    </w:p>
    <w:p w14:paraId="4E78C7A8"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2.</w:t>
      </w:r>
      <w:r w:rsidRPr="009D56B8">
        <w:rPr>
          <w:b/>
          <w:szCs w:val="22"/>
          <w:lang w:val="nb-NO"/>
        </w:rPr>
        <w:tab/>
        <w:t>DEKLARASJON AV VIRKESTOFF(ER)</w:t>
      </w:r>
    </w:p>
    <w:p w14:paraId="0A9059BE" w14:textId="77777777" w:rsidR="00E50867" w:rsidRPr="009D56B8" w:rsidRDefault="00E50867">
      <w:pPr>
        <w:rPr>
          <w:szCs w:val="22"/>
          <w:lang w:val="nb-NO"/>
        </w:rPr>
      </w:pPr>
    </w:p>
    <w:p w14:paraId="5ECF7C1A" w14:textId="77777777" w:rsidR="00E50867" w:rsidRPr="009D56B8" w:rsidRDefault="00C770E8">
      <w:pPr>
        <w:rPr>
          <w:lang w:val="nb-NO"/>
        </w:rPr>
      </w:pPr>
      <w:r w:rsidRPr="009D56B8">
        <w:rPr>
          <w:lang w:val="nb-NO"/>
        </w:rPr>
        <w:t>Hver harde enterokapsel inneholder 240 mg dimetylfumarat</w:t>
      </w:r>
    </w:p>
    <w:p w14:paraId="58D8E67B" w14:textId="77777777" w:rsidR="00E50867" w:rsidRPr="009D56B8" w:rsidRDefault="00E50867">
      <w:pPr>
        <w:rPr>
          <w:szCs w:val="22"/>
          <w:lang w:val="nb-NO"/>
        </w:rPr>
      </w:pPr>
    </w:p>
    <w:p w14:paraId="140EF240" w14:textId="77777777" w:rsidR="00E50867" w:rsidRPr="009D56B8" w:rsidRDefault="00E50867">
      <w:pPr>
        <w:rPr>
          <w:szCs w:val="22"/>
          <w:lang w:val="nb-NO"/>
        </w:rPr>
      </w:pPr>
    </w:p>
    <w:p w14:paraId="1C703481"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3.</w:t>
      </w:r>
      <w:r w:rsidRPr="009D56B8">
        <w:rPr>
          <w:b/>
          <w:szCs w:val="22"/>
          <w:lang w:val="nb-NO"/>
        </w:rPr>
        <w:tab/>
        <w:t>LISTE OVER HJELPESTOFFER</w:t>
      </w:r>
    </w:p>
    <w:p w14:paraId="179AF5A2" w14:textId="77777777" w:rsidR="00E50867" w:rsidRPr="009D56B8" w:rsidRDefault="00E50867">
      <w:pPr>
        <w:rPr>
          <w:szCs w:val="22"/>
          <w:lang w:val="nb-NO"/>
        </w:rPr>
      </w:pPr>
    </w:p>
    <w:p w14:paraId="2ECE073E" w14:textId="77777777" w:rsidR="00E50867" w:rsidRPr="009D56B8" w:rsidRDefault="00E50867">
      <w:pPr>
        <w:rPr>
          <w:szCs w:val="22"/>
          <w:lang w:val="nb-NO"/>
        </w:rPr>
      </w:pPr>
    </w:p>
    <w:p w14:paraId="30F8A2A0"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4.</w:t>
      </w:r>
      <w:r w:rsidRPr="009D56B8">
        <w:rPr>
          <w:b/>
          <w:szCs w:val="22"/>
          <w:lang w:val="nb-NO"/>
        </w:rPr>
        <w:tab/>
        <w:t>LEGEMIDDELFORM OG INNHOLD (PAKNINGSSTØRRELSE)</w:t>
      </w:r>
    </w:p>
    <w:p w14:paraId="4D83AA71" w14:textId="77777777" w:rsidR="00E50867" w:rsidRPr="009D56B8" w:rsidRDefault="00E50867">
      <w:pPr>
        <w:widowControl w:val="0"/>
        <w:suppressLineNumbers/>
        <w:rPr>
          <w:szCs w:val="22"/>
          <w:shd w:val="clear" w:color="auto" w:fill="C0C0C0"/>
          <w:lang w:val="nb-NO"/>
        </w:rPr>
      </w:pPr>
    </w:p>
    <w:p w14:paraId="53DA5103" w14:textId="4D84BD44" w:rsidR="00515DA3" w:rsidRPr="009D56B8" w:rsidRDefault="00E77924">
      <w:pPr>
        <w:rPr>
          <w:lang w:val="nb-NO"/>
        </w:rPr>
      </w:pPr>
      <w:r w:rsidRPr="009D56B8">
        <w:rPr>
          <w:highlight w:val="lightGray"/>
          <w:lang w:val="nb-NO"/>
        </w:rPr>
        <w:t>E</w:t>
      </w:r>
      <w:r w:rsidR="00515DA3" w:rsidRPr="009D56B8">
        <w:rPr>
          <w:highlight w:val="lightGray"/>
          <w:lang w:val="nb-NO"/>
        </w:rPr>
        <w:t>nterokapsel</w:t>
      </w:r>
      <w:r w:rsidRPr="009D56B8">
        <w:rPr>
          <w:highlight w:val="lightGray"/>
          <w:lang w:val="nb-NO"/>
        </w:rPr>
        <w:t>, hard</w:t>
      </w:r>
    </w:p>
    <w:p w14:paraId="5529ED03" w14:textId="77777777" w:rsidR="00515DA3" w:rsidRPr="009D56B8" w:rsidRDefault="00515DA3">
      <w:pPr>
        <w:rPr>
          <w:lang w:val="nb-NO"/>
        </w:rPr>
      </w:pPr>
    </w:p>
    <w:p w14:paraId="4F2E947B" w14:textId="0A78BE51" w:rsidR="00E50867" w:rsidRPr="009D56B8" w:rsidRDefault="00C770E8">
      <w:pPr>
        <w:rPr>
          <w:lang w:val="nb-NO"/>
        </w:rPr>
      </w:pPr>
      <w:r w:rsidRPr="009D56B8">
        <w:rPr>
          <w:lang w:val="nb-NO"/>
        </w:rPr>
        <w:t>56 enterokapsler, harde</w:t>
      </w:r>
    </w:p>
    <w:p w14:paraId="49030DF2" w14:textId="77777777" w:rsidR="00E50867" w:rsidRPr="009D56B8" w:rsidRDefault="00C770E8">
      <w:pPr>
        <w:rPr>
          <w:lang w:val="nb-NO"/>
        </w:rPr>
      </w:pPr>
      <w:r w:rsidRPr="009D56B8">
        <w:rPr>
          <w:highlight w:val="lightGray"/>
          <w:lang w:val="nb-NO"/>
        </w:rPr>
        <w:t>168 enterokapsler, harde</w:t>
      </w:r>
    </w:p>
    <w:p w14:paraId="20E0710D" w14:textId="235352D5" w:rsidR="00713DF6" w:rsidRPr="009D56B8" w:rsidRDefault="00713DF6">
      <w:pPr>
        <w:rPr>
          <w:highlight w:val="lightGray"/>
          <w:lang w:val="nb-NO"/>
        </w:rPr>
      </w:pPr>
      <w:r w:rsidRPr="009D56B8">
        <w:rPr>
          <w:highlight w:val="lightGray"/>
          <w:lang w:val="nb-NO"/>
        </w:rPr>
        <w:t>56x1 enterokapsler, harde</w:t>
      </w:r>
    </w:p>
    <w:p w14:paraId="4963CC40" w14:textId="491C1F7F" w:rsidR="00713DF6" w:rsidRPr="009D56B8" w:rsidRDefault="00713DF6">
      <w:pPr>
        <w:rPr>
          <w:lang w:val="nb-NO"/>
        </w:rPr>
      </w:pPr>
      <w:r w:rsidRPr="009D56B8">
        <w:rPr>
          <w:highlight w:val="lightGray"/>
          <w:lang w:val="nb-NO"/>
        </w:rPr>
        <w:t>168x1 enterokapsler, harde</w:t>
      </w:r>
    </w:p>
    <w:p w14:paraId="153ADFE6" w14:textId="77777777" w:rsidR="00E50867" w:rsidRPr="009D56B8" w:rsidRDefault="00E50867">
      <w:pPr>
        <w:rPr>
          <w:szCs w:val="22"/>
          <w:lang w:val="nb-NO"/>
        </w:rPr>
      </w:pPr>
    </w:p>
    <w:p w14:paraId="0EAC2C03" w14:textId="77777777" w:rsidR="00E50867" w:rsidRPr="009D56B8" w:rsidRDefault="00E50867">
      <w:pPr>
        <w:rPr>
          <w:szCs w:val="22"/>
          <w:lang w:val="nb-NO"/>
        </w:rPr>
      </w:pPr>
    </w:p>
    <w:p w14:paraId="7E211E11"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5.</w:t>
      </w:r>
      <w:r w:rsidRPr="009D56B8">
        <w:rPr>
          <w:b/>
          <w:szCs w:val="22"/>
          <w:lang w:val="nb-NO"/>
        </w:rPr>
        <w:tab/>
        <w:t>ADMINISTRASJONSMÅTE OG -VEI(ER)</w:t>
      </w:r>
    </w:p>
    <w:p w14:paraId="578B6E1B" w14:textId="77777777" w:rsidR="00E50867" w:rsidRPr="009D56B8" w:rsidRDefault="00E50867">
      <w:pPr>
        <w:rPr>
          <w:szCs w:val="22"/>
          <w:lang w:val="nb-NO"/>
        </w:rPr>
      </w:pPr>
    </w:p>
    <w:p w14:paraId="4A20D2AD" w14:textId="6DF3BDEF" w:rsidR="00206779" w:rsidRPr="009D56B8" w:rsidRDefault="00206779">
      <w:pPr>
        <w:rPr>
          <w:szCs w:val="22"/>
          <w:lang w:val="nb-NO"/>
        </w:rPr>
      </w:pPr>
      <w:r w:rsidRPr="009D56B8">
        <w:rPr>
          <w:szCs w:val="22"/>
          <w:lang w:val="nb-NO"/>
        </w:rPr>
        <w:t>Oral bruk.</w:t>
      </w:r>
    </w:p>
    <w:p w14:paraId="337A2402" w14:textId="12872F33" w:rsidR="00E50867" w:rsidRPr="009D56B8" w:rsidRDefault="00C770E8" w:rsidP="00513CD0">
      <w:pPr>
        <w:rPr>
          <w:szCs w:val="22"/>
          <w:lang w:val="nb-NO"/>
        </w:rPr>
      </w:pPr>
      <w:r w:rsidRPr="009D56B8">
        <w:rPr>
          <w:szCs w:val="22"/>
          <w:lang w:val="nb-NO"/>
        </w:rPr>
        <w:t>Les pakningsvedlegget før bruk</w:t>
      </w:r>
      <w:r w:rsidR="00F02CDB" w:rsidRPr="009D56B8">
        <w:rPr>
          <w:szCs w:val="22"/>
          <w:lang w:val="nb-NO"/>
        </w:rPr>
        <w:t>.</w:t>
      </w:r>
    </w:p>
    <w:p w14:paraId="6FC437B7" w14:textId="6C28E23A" w:rsidR="00E50867" w:rsidRPr="009D56B8" w:rsidRDefault="00206779">
      <w:pPr>
        <w:rPr>
          <w:szCs w:val="22"/>
          <w:lang w:val="nb-NO"/>
        </w:rPr>
      </w:pPr>
      <w:r w:rsidRPr="009D56B8">
        <w:rPr>
          <w:szCs w:val="22"/>
          <w:lang w:val="nb-NO"/>
        </w:rPr>
        <w:t>Svelg kapselen hel.</w:t>
      </w:r>
    </w:p>
    <w:p w14:paraId="559A6343" w14:textId="77777777" w:rsidR="00E50867" w:rsidRPr="009D56B8" w:rsidRDefault="00E50867">
      <w:pPr>
        <w:rPr>
          <w:szCs w:val="22"/>
          <w:lang w:val="nb-NO"/>
        </w:rPr>
      </w:pPr>
    </w:p>
    <w:p w14:paraId="1EDEDDE1" w14:textId="77777777" w:rsidR="00E50867" w:rsidRPr="009D56B8" w:rsidRDefault="00E50867">
      <w:pPr>
        <w:rPr>
          <w:szCs w:val="22"/>
          <w:lang w:val="nb-NO"/>
        </w:rPr>
      </w:pPr>
    </w:p>
    <w:p w14:paraId="66F2C0BA"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6.</w:t>
      </w:r>
      <w:r w:rsidRPr="009D56B8">
        <w:rPr>
          <w:b/>
          <w:szCs w:val="22"/>
          <w:lang w:val="nb-NO"/>
        </w:rPr>
        <w:tab/>
        <w:t>ADVARSEL OM AT LEGEMIDLET SKAL OPPBEVARES UTILGJENGELIG FOR BARN</w:t>
      </w:r>
    </w:p>
    <w:p w14:paraId="09D87E0F" w14:textId="77777777" w:rsidR="00E50867" w:rsidRPr="009D56B8" w:rsidRDefault="00E50867">
      <w:pPr>
        <w:rPr>
          <w:szCs w:val="22"/>
          <w:lang w:val="nb-NO"/>
        </w:rPr>
      </w:pPr>
    </w:p>
    <w:p w14:paraId="5168BACC" w14:textId="3A4C2EE7" w:rsidR="00E50867" w:rsidRPr="009D56B8" w:rsidRDefault="00C770E8">
      <w:pPr>
        <w:widowControl w:val="0"/>
        <w:suppressLineNumbers/>
        <w:rPr>
          <w:szCs w:val="22"/>
          <w:lang w:val="nb-NO"/>
        </w:rPr>
      </w:pPr>
      <w:r w:rsidRPr="009D56B8">
        <w:rPr>
          <w:szCs w:val="22"/>
          <w:lang w:val="nb-NO"/>
        </w:rPr>
        <w:t>Oppbevares utilgjengelig for barn</w:t>
      </w:r>
      <w:r w:rsidR="00F02CDB" w:rsidRPr="009D56B8">
        <w:rPr>
          <w:szCs w:val="22"/>
          <w:lang w:val="nb-NO"/>
        </w:rPr>
        <w:t>.</w:t>
      </w:r>
    </w:p>
    <w:p w14:paraId="39D30A89" w14:textId="77777777" w:rsidR="00E50867" w:rsidRPr="009D56B8" w:rsidRDefault="00E50867">
      <w:pPr>
        <w:rPr>
          <w:szCs w:val="22"/>
          <w:lang w:val="nb-NO"/>
        </w:rPr>
      </w:pPr>
    </w:p>
    <w:p w14:paraId="70480F38" w14:textId="77777777" w:rsidR="00E50867" w:rsidRPr="009D56B8" w:rsidRDefault="00E50867">
      <w:pPr>
        <w:rPr>
          <w:szCs w:val="22"/>
          <w:lang w:val="nb-NO"/>
        </w:rPr>
      </w:pPr>
    </w:p>
    <w:p w14:paraId="177CD54D"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7.</w:t>
      </w:r>
      <w:r w:rsidRPr="009D56B8">
        <w:rPr>
          <w:b/>
          <w:szCs w:val="22"/>
          <w:lang w:val="nb-NO"/>
        </w:rPr>
        <w:tab/>
        <w:t>EVENTUELLE ANDRE SPESIELLE ADVARSLER</w:t>
      </w:r>
    </w:p>
    <w:p w14:paraId="2B0FAB7D" w14:textId="77777777" w:rsidR="00E50867" w:rsidRPr="009D56B8" w:rsidRDefault="00E50867">
      <w:pPr>
        <w:rPr>
          <w:szCs w:val="22"/>
          <w:lang w:val="nb-NO"/>
        </w:rPr>
      </w:pPr>
    </w:p>
    <w:p w14:paraId="13329CF3" w14:textId="77777777" w:rsidR="00E50867" w:rsidRPr="009D56B8" w:rsidRDefault="00E50867">
      <w:pPr>
        <w:rPr>
          <w:szCs w:val="22"/>
          <w:lang w:val="nb-NO"/>
        </w:rPr>
      </w:pPr>
    </w:p>
    <w:p w14:paraId="17BBD525"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8.</w:t>
      </w:r>
      <w:r w:rsidRPr="009D56B8">
        <w:rPr>
          <w:b/>
          <w:szCs w:val="22"/>
          <w:lang w:val="nb-NO"/>
        </w:rPr>
        <w:tab/>
        <w:t>UTLØPSDATO</w:t>
      </w:r>
    </w:p>
    <w:p w14:paraId="1BECAF21" w14:textId="77777777" w:rsidR="00E50867" w:rsidRPr="009D56B8" w:rsidRDefault="00E50867">
      <w:pPr>
        <w:rPr>
          <w:szCs w:val="22"/>
          <w:lang w:val="nb-NO"/>
        </w:rPr>
      </w:pPr>
    </w:p>
    <w:p w14:paraId="620751CA" w14:textId="77777777" w:rsidR="00E50867" w:rsidRPr="009D56B8" w:rsidRDefault="00C770E8">
      <w:pPr>
        <w:widowControl w:val="0"/>
        <w:suppressLineNumbers/>
        <w:rPr>
          <w:szCs w:val="22"/>
          <w:lang w:val="nb-NO"/>
        </w:rPr>
      </w:pPr>
      <w:r w:rsidRPr="009D56B8">
        <w:rPr>
          <w:szCs w:val="22"/>
          <w:lang w:val="nb-NO"/>
        </w:rPr>
        <w:t>EXP</w:t>
      </w:r>
    </w:p>
    <w:p w14:paraId="4DD99331" w14:textId="77777777" w:rsidR="00E50867" w:rsidRPr="009D56B8" w:rsidRDefault="00E50867">
      <w:pPr>
        <w:widowControl w:val="0"/>
        <w:suppressLineNumbers/>
        <w:rPr>
          <w:szCs w:val="22"/>
          <w:lang w:val="nb-NO"/>
        </w:rPr>
      </w:pPr>
    </w:p>
    <w:p w14:paraId="2EF08C5A" w14:textId="77777777" w:rsidR="00E50867" w:rsidRPr="009D56B8" w:rsidRDefault="00E50867">
      <w:pPr>
        <w:rPr>
          <w:szCs w:val="22"/>
          <w:lang w:val="nb-NO"/>
        </w:rPr>
      </w:pPr>
    </w:p>
    <w:p w14:paraId="5D453275"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9.</w:t>
      </w:r>
      <w:r w:rsidRPr="009D56B8">
        <w:rPr>
          <w:b/>
          <w:szCs w:val="22"/>
          <w:lang w:val="nb-NO"/>
        </w:rPr>
        <w:tab/>
        <w:t>OPPBEVARINGSBETINGELSER</w:t>
      </w:r>
    </w:p>
    <w:p w14:paraId="47A0F013" w14:textId="6115A67D" w:rsidR="00E50867" w:rsidRPr="009D56B8" w:rsidRDefault="00E50867">
      <w:pPr>
        <w:widowControl w:val="0"/>
        <w:suppressLineNumbers/>
        <w:rPr>
          <w:szCs w:val="22"/>
          <w:lang w:val="nb-NO"/>
        </w:rPr>
      </w:pPr>
    </w:p>
    <w:p w14:paraId="0426D82E" w14:textId="77777777" w:rsidR="00E50867" w:rsidRPr="009D56B8" w:rsidRDefault="00E50867">
      <w:pPr>
        <w:rPr>
          <w:szCs w:val="22"/>
          <w:lang w:val="nb-NO"/>
        </w:rPr>
      </w:pPr>
    </w:p>
    <w:p w14:paraId="614016EE" w14:textId="77777777" w:rsidR="00E50867" w:rsidRPr="009D56B8" w:rsidRDefault="00E50867">
      <w:pPr>
        <w:rPr>
          <w:szCs w:val="22"/>
          <w:lang w:val="nb-NO"/>
        </w:rPr>
      </w:pPr>
    </w:p>
    <w:p w14:paraId="72BC8778" w14:textId="3E4E2979" w:rsidR="00E50867" w:rsidRPr="009D56B8" w:rsidRDefault="00C770E8">
      <w:pPr>
        <w:keepNext/>
        <w:keepLines/>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lastRenderedPageBreak/>
        <w:t>10.</w:t>
      </w:r>
      <w:r w:rsidRPr="009D56B8">
        <w:rPr>
          <w:b/>
          <w:szCs w:val="22"/>
          <w:lang w:val="nb-NO"/>
        </w:rPr>
        <w:tab/>
        <w:t>EVENTUELLE SPESIELLE FORHOLDSREGLER VED DESTRUKSJON AV UBRUKTE LEGEMIDLER ELLER AVFALL</w:t>
      </w:r>
    </w:p>
    <w:p w14:paraId="45A5ECB9" w14:textId="77777777" w:rsidR="00E50867" w:rsidRPr="009D56B8" w:rsidRDefault="00E50867">
      <w:pPr>
        <w:rPr>
          <w:szCs w:val="22"/>
          <w:lang w:val="nb-NO"/>
        </w:rPr>
      </w:pPr>
    </w:p>
    <w:p w14:paraId="09773EDD" w14:textId="77777777" w:rsidR="00E50867" w:rsidRPr="009D56B8" w:rsidRDefault="00E50867">
      <w:pPr>
        <w:rPr>
          <w:szCs w:val="22"/>
          <w:lang w:val="nb-NO"/>
        </w:rPr>
      </w:pPr>
    </w:p>
    <w:p w14:paraId="3EB36CF7"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11.</w:t>
      </w:r>
      <w:r w:rsidRPr="009D56B8">
        <w:rPr>
          <w:b/>
          <w:szCs w:val="22"/>
          <w:lang w:val="nb-NO"/>
        </w:rPr>
        <w:tab/>
        <w:t>NAVN OG ADRESSE PÅ INNEHAVEREN AV MARKEDSFØRINGSTILLATELSEN</w:t>
      </w:r>
    </w:p>
    <w:p w14:paraId="046820EB" w14:textId="77777777" w:rsidR="00E50867" w:rsidRPr="009D56B8" w:rsidRDefault="00E50867">
      <w:pPr>
        <w:rPr>
          <w:szCs w:val="22"/>
          <w:lang w:val="nb-NO"/>
        </w:rPr>
      </w:pPr>
    </w:p>
    <w:p w14:paraId="0C2B12BB" w14:textId="77777777" w:rsidR="00380620" w:rsidRPr="009D56B8" w:rsidRDefault="00380620" w:rsidP="00380620">
      <w:r w:rsidRPr="009D56B8">
        <w:t>Accord Healthcare S.L.U.</w:t>
      </w:r>
    </w:p>
    <w:p w14:paraId="6B7A3CBD" w14:textId="77777777" w:rsidR="00380620" w:rsidRPr="009D56B8" w:rsidRDefault="00380620" w:rsidP="00380620">
      <w:r w:rsidRPr="009D56B8">
        <w:t>World Trade Center, Moll de Barcelona, s/n,</w:t>
      </w:r>
    </w:p>
    <w:p w14:paraId="4B791053" w14:textId="77777777" w:rsidR="00380620" w:rsidRPr="009D56B8" w:rsidRDefault="00380620" w:rsidP="00380620">
      <w:pPr>
        <w:rPr>
          <w:lang w:val="fr-FR"/>
        </w:rPr>
      </w:pPr>
      <w:r w:rsidRPr="009D56B8">
        <w:rPr>
          <w:lang w:val="fr-FR"/>
        </w:rPr>
        <w:t>Edifici Est, 6a Planta,</w:t>
      </w:r>
    </w:p>
    <w:p w14:paraId="7E742F1E" w14:textId="77777777" w:rsidR="00380620" w:rsidRPr="009D56B8" w:rsidRDefault="00380620" w:rsidP="00380620">
      <w:pPr>
        <w:rPr>
          <w:lang w:val="fr-FR"/>
        </w:rPr>
      </w:pPr>
      <w:r w:rsidRPr="009D56B8">
        <w:rPr>
          <w:lang w:val="fr-FR"/>
        </w:rPr>
        <w:t>08039 Barcelona,</w:t>
      </w:r>
    </w:p>
    <w:p w14:paraId="506D5F0E" w14:textId="0DAA5689" w:rsidR="00E50867" w:rsidRPr="009D56B8" w:rsidRDefault="00380620">
      <w:pPr>
        <w:tabs>
          <w:tab w:val="clear" w:pos="567"/>
          <w:tab w:val="left" w:pos="720"/>
        </w:tabs>
        <w:rPr>
          <w:szCs w:val="22"/>
          <w:lang w:val="nb-NO" w:eastAsia="en-US"/>
        </w:rPr>
      </w:pPr>
      <w:r w:rsidRPr="009D56B8">
        <w:rPr>
          <w:lang w:val="nb-NO"/>
        </w:rPr>
        <w:t>Spania</w:t>
      </w:r>
    </w:p>
    <w:p w14:paraId="0EE47614" w14:textId="77777777" w:rsidR="00E50867" w:rsidRPr="009D56B8" w:rsidRDefault="00E50867">
      <w:pPr>
        <w:rPr>
          <w:szCs w:val="22"/>
          <w:lang w:val="nb-NO"/>
        </w:rPr>
      </w:pPr>
    </w:p>
    <w:p w14:paraId="6D929682" w14:textId="77777777" w:rsidR="00E50867" w:rsidRPr="009D56B8" w:rsidRDefault="00E50867">
      <w:pPr>
        <w:rPr>
          <w:szCs w:val="22"/>
          <w:lang w:val="nb-NO"/>
        </w:rPr>
      </w:pPr>
    </w:p>
    <w:p w14:paraId="2BA4F0BD"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12.</w:t>
      </w:r>
      <w:r w:rsidRPr="009D56B8">
        <w:rPr>
          <w:b/>
          <w:szCs w:val="22"/>
          <w:lang w:val="nb-NO"/>
        </w:rPr>
        <w:tab/>
        <w:t>MARKEDSFØRINGSTILLATELSESNUMMER (NUMRE)</w:t>
      </w:r>
    </w:p>
    <w:p w14:paraId="598FACA4" w14:textId="77777777" w:rsidR="00E50867" w:rsidRPr="009D56B8" w:rsidRDefault="00E50867">
      <w:pPr>
        <w:rPr>
          <w:szCs w:val="22"/>
          <w:lang w:val="nb-NO"/>
        </w:rPr>
      </w:pPr>
    </w:p>
    <w:p w14:paraId="054A2F3E" w14:textId="5799E404" w:rsidR="00713DF6" w:rsidRPr="009D56B8" w:rsidRDefault="00513CD0" w:rsidP="00513CD0">
      <w:pPr>
        <w:rPr>
          <w:lang w:val="nb-NO"/>
        </w:rPr>
      </w:pPr>
      <w:r w:rsidRPr="009D56B8">
        <w:rPr>
          <w:lang w:val="nb-NO"/>
        </w:rPr>
        <w:t>EU/1/</w:t>
      </w:r>
      <w:r w:rsidR="00713DF6" w:rsidRPr="009D56B8">
        <w:rPr>
          <w:lang w:val="nb-NO"/>
        </w:rPr>
        <w:t>24/1811/003</w:t>
      </w:r>
    </w:p>
    <w:p w14:paraId="649F021B" w14:textId="45CD5E38" w:rsidR="00713DF6" w:rsidRPr="009D56B8" w:rsidRDefault="00513CD0" w:rsidP="001A25ED">
      <w:pPr>
        <w:rPr>
          <w:lang w:val="nb-NO"/>
        </w:rPr>
      </w:pPr>
      <w:r w:rsidRPr="009D56B8">
        <w:rPr>
          <w:lang w:val="nb-NO"/>
        </w:rPr>
        <w:t>EU/1/</w:t>
      </w:r>
      <w:r w:rsidR="00713DF6" w:rsidRPr="009D56B8">
        <w:rPr>
          <w:lang w:val="nb-NO"/>
        </w:rPr>
        <w:t>24/1811/004</w:t>
      </w:r>
    </w:p>
    <w:p w14:paraId="546434E8" w14:textId="750BEC14" w:rsidR="00713DF6" w:rsidRPr="009D56B8" w:rsidRDefault="00713DF6" w:rsidP="00513CD0">
      <w:pPr>
        <w:rPr>
          <w:lang w:val="nb-NO"/>
        </w:rPr>
      </w:pPr>
      <w:r w:rsidRPr="009D56B8">
        <w:rPr>
          <w:lang w:val="nb-NO"/>
        </w:rPr>
        <w:t>EU/1/24/1811/005</w:t>
      </w:r>
    </w:p>
    <w:p w14:paraId="33D3D94F" w14:textId="6B3FB861" w:rsidR="00713DF6" w:rsidRPr="009D56B8" w:rsidRDefault="00713DF6" w:rsidP="00713DF6">
      <w:pPr>
        <w:rPr>
          <w:lang w:val="nb-NO"/>
        </w:rPr>
      </w:pPr>
      <w:r w:rsidRPr="009D56B8">
        <w:rPr>
          <w:lang w:val="nb-NO"/>
        </w:rPr>
        <w:t>EU/1/24/1811/006</w:t>
      </w:r>
    </w:p>
    <w:p w14:paraId="77DF01D7" w14:textId="02379077" w:rsidR="00E50867" w:rsidRPr="009D56B8" w:rsidRDefault="00E50867">
      <w:pPr>
        <w:rPr>
          <w:szCs w:val="22"/>
          <w:lang w:val="nb-NO"/>
        </w:rPr>
      </w:pPr>
    </w:p>
    <w:p w14:paraId="28ADE778" w14:textId="77777777" w:rsidR="00513CD0" w:rsidRPr="009D56B8" w:rsidRDefault="00513CD0">
      <w:pPr>
        <w:rPr>
          <w:szCs w:val="22"/>
          <w:lang w:val="nb-NO"/>
        </w:rPr>
      </w:pPr>
    </w:p>
    <w:p w14:paraId="41569562"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13.</w:t>
      </w:r>
      <w:r w:rsidRPr="009D56B8">
        <w:rPr>
          <w:b/>
          <w:szCs w:val="22"/>
          <w:lang w:val="nb-NO"/>
        </w:rPr>
        <w:tab/>
        <w:t>PRODUKSJONSNUMMER</w:t>
      </w:r>
    </w:p>
    <w:p w14:paraId="31ADA93E" w14:textId="77777777" w:rsidR="00E50867" w:rsidRPr="009D56B8" w:rsidRDefault="00E50867">
      <w:pPr>
        <w:rPr>
          <w:szCs w:val="22"/>
          <w:lang w:val="nb-NO"/>
        </w:rPr>
      </w:pPr>
    </w:p>
    <w:p w14:paraId="6E4284CA" w14:textId="77777777" w:rsidR="00E50867" w:rsidRPr="009D56B8" w:rsidRDefault="00C770E8">
      <w:pPr>
        <w:widowControl w:val="0"/>
        <w:suppressLineNumbers/>
        <w:rPr>
          <w:szCs w:val="22"/>
          <w:lang w:val="nb-NO"/>
        </w:rPr>
      </w:pPr>
      <w:r w:rsidRPr="009D56B8">
        <w:rPr>
          <w:szCs w:val="22"/>
          <w:lang w:val="nb-NO"/>
        </w:rPr>
        <w:t>Lot</w:t>
      </w:r>
    </w:p>
    <w:p w14:paraId="08ED2E59" w14:textId="77777777" w:rsidR="00E50867" w:rsidRPr="009D56B8" w:rsidRDefault="00E50867">
      <w:pPr>
        <w:rPr>
          <w:szCs w:val="22"/>
          <w:lang w:val="nb-NO"/>
        </w:rPr>
      </w:pPr>
    </w:p>
    <w:p w14:paraId="0E17D4A4" w14:textId="77777777" w:rsidR="00E50867" w:rsidRPr="009D56B8" w:rsidRDefault="00E50867">
      <w:pPr>
        <w:rPr>
          <w:szCs w:val="22"/>
          <w:lang w:val="nb-NO"/>
        </w:rPr>
      </w:pPr>
    </w:p>
    <w:p w14:paraId="434555EB"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14.</w:t>
      </w:r>
      <w:r w:rsidRPr="009D56B8">
        <w:rPr>
          <w:b/>
          <w:szCs w:val="22"/>
          <w:lang w:val="nb-NO"/>
        </w:rPr>
        <w:tab/>
        <w:t>GENERELL KLASSIFIKASJON FOR UTLEVERING</w:t>
      </w:r>
    </w:p>
    <w:p w14:paraId="0AF9CB04" w14:textId="77777777" w:rsidR="00E50867" w:rsidRPr="009D56B8" w:rsidRDefault="00E50867">
      <w:pPr>
        <w:rPr>
          <w:szCs w:val="22"/>
          <w:lang w:val="nb-NO"/>
        </w:rPr>
      </w:pPr>
    </w:p>
    <w:p w14:paraId="2BEE1047" w14:textId="77777777" w:rsidR="00E50867" w:rsidRPr="009D56B8" w:rsidRDefault="00E50867">
      <w:pPr>
        <w:rPr>
          <w:szCs w:val="22"/>
          <w:lang w:val="nb-NO"/>
        </w:rPr>
      </w:pPr>
    </w:p>
    <w:p w14:paraId="66F333A1"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15.</w:t>
      </w:r>
      <w:r w:rsidRPr="009D56B8">
        <w:rPr>
          <w:b/>
          <w:szCs w:val="22"/>
          <w:lang w:val="nb-NO"/>
        </w:rPr>
        <w:tab/>
        <w:t>BRUKSANVISNING</w:t>
      </w:r>
    </w:p>
    <w:p w14:paraId="1B109E67" w14:textId="77777777" w:rsidR="00E50867" w:rsidRPr="009D56B8" w:rsidRDefault="00E50867">
      <w:pPr>
        <w:rPr>
          <w:szCs w:val="22"/>
          <w:lang w:val="nb-NO"/>
        </w:rPr>
      </w:pPr>
    </w:p>
    <w:p w14:paraId="67999302" w14:textId="77777777" w:rsidR="00E50867" w:rsidRPr="009D56B8" w:rsidRDefault="00E50867">
      <w:pPr>
        <w:rPr>
          <w:szCs w:val="22"/>
          <w:lang w:val="nb-NO"/>
        </w:rPr>
      </w:pPr>
    </w:p>
    <w:p w14:paraId="09A99968" w14:textId="77777777" w:rsidR="00E50867" w:rsidRPr="009D56B8" w:rsidRDefault="00C770E8">
      <w:pPr>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16.</w:t>
      </w:r>
      <w:r w:rsidRPr="009D56B8">
        <w:rPr>
          <w:b/>
          <w:szCs w:val="22"/>
          <w:lang w:val="nb-NO"/>
        </w:rPr>
        <w:tab/>
        <w:t>INFORMASJON PÅ BLINDESKRIFT</w:t>
      </w:r>
    </w:p>
    <w:p w14:paraId="4A6EF0EA" w14:textId="77777777" w:rsidR="00E50867" w:rsidRPr="009D56B8" w:rsidRDefault="00E50867">
      <w:pPr>
        <w:rPr>
          <w:szCs w:val="22"/>
          <w:lang w:val="nb-NO"/>
        </w:rPr>
      </w:pPr>
    </w:p>
    <w:p w14:paraId="1D1D1B73" w14:textId="0AC5744E" w:rsidR="00E50867" w:rsidRPr="009D56B8" w:rsidRDefault="00D172C2">
      <w:pPr>
        <w:rPr>
          <w:lang w:val="nb-NO"/>
        </w:rPr>
      </w:pPr>
      <w:r w:rsidRPr="009D56B8">
        <w:rPr>
          <w:lang w:val="nb-NO"/>
        </w:rPr>
        <w:t>Dimethyl fumarate Accord</w:t>
      </w:r>
      <w:r w:rsidR="00C770E8" w:rsidRPr="009D56B8">
        <w:rPr>
          <w:lang w:val="nb-NO"/>
        </w:rPr>
        <w:t xml:space="preserve"> 240 mg</w:t>
      </w:r>
    </w:p>
    <w:p w14:paraId="00B2C779" w14:textId="77777777" w:rsidR="00E50867" w:rsidRPr="009D56B8" w:rsidRDefault="00E50867">
      <w:pPr>
        <w:rPr>
          <w:szCs w:val="22"/>
          <w:shd w:val="clear" w:color="auto" w:fill="CCCCCC"/>
          <w:lang w:val="nb-NO"/>
        </w:rPr>
      </w:pPr>
    </w:p>
    <w:p w14:paraId="659B2560" w14:textId="77777777" w:rsidR="00E50867" w:rsidRPr="009D56B8" w:rsidRDefault="00E50867">
      <w:pPr>
        <w:rPr>
          <w:szCs w:val="22"/>
          <w:lang w:val="nb-NO"/>
        </w:rPr>
      </w:pPr>
    </w:p>
    <w:p w14:paraId="0BF5CB77" w14:textId="77777777" w:rsidR="00E50867" w:rsidRPr="009D56B8" w:rsidRDefault="00C770E8">
      <w:pPr>
        <w:pBdr>
          <w:top w:val="single" w:sz="4" w:space="1" w:color="auto"/>
          <w:left w:val="single" w:sz="4" w:space="4" w:color="auto"/>
          <w:bottom w:val="single" w:sz="4" w:space="1" w:color="auto"/>
          <w:right w:val="single" w:sz="4" w:space="4" w:color="auto"/>
        </w:pBdr>
        <w:rPr>
          <w:b/>
          <w:szCs w:val="22"/>
          <w:u w:val="single"/>
          <w:lang w:val="nb-NO"/>
        </w:rPr>
      </w:pPr>
      <w:r w:rsidRPr="009D56B8">
        <w:rPr>
          <w:b/>
          <w:szCs w:val="22"/>
          <w:lang w:val="nb-NO"/>
        </w:rPr>
        <w:t>17.</w:t>
      </w:r>
      <w:r w:rsidRPr="009D56B8">
        <w:rPr>
          <w:b/>
          <w:szCs w:val="22"/>
          <w:lang w:val="nb-NO"/>
        </w:rPr>
        <w:tab/>
        <w:t>SIKKERHETSANORDNING (UNIK IDENTITET) – TODIMENSJONAL STREKKODE</w:t>
      </w:r>
    </w:p>
    <w:p w14:paraId="6F8B4F45" w14:textId="77777777" w:rsidR="00E50867" w:rsidRPr="009D56B8" w:rsidRDefault="00E50867">
      <w:pPr>
        <w:rPr>
          <w:szCs w:val="22"/>
          <w:lang w:val="bg-BG"/>
        </w:rPr>
      </w:pPr>
    </w:p>
    <w:p w14:paraId="4E6D0F5D" w14:textId="77777777" w:rsidR="00E50867" w:rsidRPr="009D56B8" w:rsidRDefault="00C770E8">
      <w:pPr>
        <w:rPr>
          <w:szCs w:val="22"/>
          <w:highlight w:val="lightGray"/>
          <w:lang w:val="bg-BG"/>
        </w:rPr>
      </w:pPr>
      <w:r w:rsidRPr="009D56B8">
        <w:rPr>
          <w:szCs w:val="22"/>
          <w:highlight w:val="lightGray"/>
          <w:lang w:val="bg-BG"/>
        </w:rPr>
        <w:t>Todimensjonal strekkode, inkludert unik identitet</w:t>
      </w:r>
      <w:r w:rsidRPr="009D56B8">
        <w:rPr>
          <w:szCs w:val="22"/>
          <w:highlight w:val="lightGray"/>
          <w:lang w:val="nb-NO"/>
        </w:rPr>
        <w:t>.</w:t>
      </w:r>
    </w:p>
    <w:p w14:paraId="48F34205" w14:textId="77777777" w:rsidR="00E50867" w:rsidRPr="009D56B8" w:rsidRDefault="00E50867">
      <w:pPr>
        <w:rPr>
          <w:szCs w:val="22"/>
          <w:highlight w:val="lightGray"/>
          <w:lang w:val="bg-BG"/>
        </w:rPr>
      </w:pPr>
    </w:p>
    <w:p w14:paraId="37388E7C" w14:textId="77777777" w:rsidR="00E50867" w:rsidRPr="009D56B8" w:rsidRDefault="00E50867">
      <w:pPr>
        <w:rPr>
          <w:szCs w:val="22"/>
          <w:lang w:val="nb-NO"/>
        </w:rPr>
      </w:pPr>
    </w:p>
    <w:p w14:paraId="0FBF0EA1" w14:textId="77777777" w:rsidR="00E50867" w:rsidRPr="009D56B8" w:rsidRDefault="00C770E8">
      <w:pPr>
        <w:pBdr>
          <w:top w:val="single" w:sz="4" w:space="1" w:color="auto"/>
          <w:left w:val="single" w:sz="4" w:space="4" w:color="auto"/>
          <w:bottom w:val="single" w:sz="4" w:space="1" w:color="auto"/>
          <w:right w:val="single" w:sz="4" w:space="4" w:color="auto"/>
        </w:pBdr>
        <w:ind w:left="567" w:hanging="567"/>
        <w:rPr>
          <w:b/>
          <w:szCs w:val="22"/>
          <w:lang w:val="nb-NO"/>
        </w:rPr>
      </w:pPr>
      <w:r w:rsidRPr="009D56B8">
        <w:rPr>
          <w:b/>
          <w:szCs w:val="22"/>
          <w:lang w:val="nb-NO"/>
        </w:rPr>
        <w:t>18.</w:t>
      </w:r>
      <w:r w:rsidRPr="009D56B8">
        <w:rPr>
          <w:b/>
          <w:szCs w:val="22"/>
          <w:lang w:val="nb-NO"/>
        </w:rPr>
        <w:tab/>
        <w:t>SIKKERHETSANORDNING (UNIK IDENTITET) – I ET FORMAT LESBART FOR MENNESKER</w:t>
      </w:r>
    </w:p>
    <w:p w14:paraId="2FA0F953" w14:textId="77777777" w:rsidR="00E50867" w:rsidRPr="009D56B8" w:rsidRDefault="00E50867">
      <w:pPr>
        <w:rPr>
          <w:szCs w:val="22"/>
          <w:lang w:val="bg-BG"/>
        </w:rPr>
      </w:pPr>
    </w:p>
    <w:p w14:paraId="4D89BFE4" w14:textId="77777777" w:rsidR="00E50867" w:rsidRPr="009D56B8" w:rsidRDefault="00C770E8">
      <w:pPr>
        <w:tabs>
          <w:tab w:val="clear" w:pos="567"/>
          <w:tab w:val="left" w:pos="720"/>
        </w:tabs>
        <w:autoSpaceDE w:val="0"/>
        <w:autoSpaceDN w:val="0"/>
        <w:adjustRightInd w:val="0"/>
        <w:rPr>
          <w:szCs w:val="22"/>
          <w:lang w:val="nb-NO"/>
        </w:rPr>
      </w:pPr>
      <w:r w:rsidRPr="009D56B8">
        <w:rPr>
          <w:szCs w:val="22"/>
          <w:lang w:val="nb-NO"/>
        </w:rPr>
        <w:t>PC</w:t>
      </w:r>
    </w:p>
    <w:p w14:paraId="38936665" w14:textId="77777777" w:rsidR="00E50867" w:rsidRPr="009D56B8" w:rsidRDefault="00C770E8">
      <w:pPr>
        <w:tabs>
          <w:tab w:val="clear" w:pos="567"/>
          <w:tab w:val="left" w:pos="720"/>
        </w:tabs>
        <w:autoSpaceDE w:val="0"/>
        <w:autoSpaceDN w:val="0"/>
        <w:adjustRightInd w:val="0"/>
        <w:rPr>
          <w:szCs w:val="22"/>
          <w:lang w:val="nb-NO"/>
        </w:rPr>
      </w:pPr>
      <w:r w:rsidRPr="009D56B8">
        <w:rPr>
          <w:szCs w:val="22"/>
          <w:lang w:val="nb-NO"/>
        </w:rPr>
        <w:t>SN</w:t>
      </w:r>
    </w:p>
    <w:p w14:paraId="09CBFEFF" w14:textId="77777777" w:rsidR="00E50867" w:rsidRPr="009D56B8" w:rsidRDefault="00C770E8" w:rsidP="00B540F6">
      <w:pPr>
        <w:tabs>
          <w:tab w:val="clear" w:pos="567"/>
          <w:tab w:val="left" w:pos="720"/>
        </w:tabs>
        <w:autoSpaceDE w:val="0"/>
        <w:autoSpaceDN w:val="0"/>
        <w:adjustRightInd w:val="0"/>
        <w:rPr>
          <w:szCs w:val="22"/>
          <w:lang w:val="nb-NO"/>
        </w:rPr>
      </w:pPr>
      <w:r w:rsidRPr="009D56B8">
        <w:rPr>
          <w:szCs w:val="22"/>
          <w:lang w:val="nb-NO"/>
        </w:rPr>
        <w:t>NN</w:t>
      </w:r>
    </w:p>
    <w:p w14:paraId="57EB867E" w14:textId="540B9D3E" w:rsidR="00E50867" w:rsidRPr="009D56B8" w:rsidRDefault="00C770E8" w:rsidP="00513CD0">
      <w:pPr>
        <w:widowControl w:val="0"/>
        <w:suppressLineNumbers/>
        <w:pBdr>
          <w:top w:val="single" w:sz="4" w:space="1" w:color="000000"/>
          <w:left w:val="single" w:sz="4" w:space="4" w:color="000000"/>
          <w:bottom w:val="single" w:sz="4" w:space="1" w:color="000000"/>
          <w:right w:val="single" w:sz="4" w:space="4" w:color="000000"/>
        </w:pBdr>
        <w:tabs>
          <w:tab w:val="clear" w:pos="567"/>
          <w:tab w:val="left" w:pos="0"/>
        </w:tabs>
        <w:rPr>
          <w:b/>
          <w:szCs w:val="22"/>
          <w:lang w:val="nb-NO"/>
        </w:rPr>
      </w:pPr>
      <w:r w:rsidRPr="009D56B8">
        <w:rPr>
          <w:szCs w:val="22"/>
          <w:shd w:val="clear" w:color="auto" w:fill="CCCCCC"/>
          <w:lang w:val="nb-NO"/>
        </w:rPr>
        <w:br w:type="page"/>
      </w:r>
      <w:r w:rsidRPr="009D56B8">
        <w:rPr>
          <w:b/>
          <w:szCs w:val="22"/>
          <w:lang w:val="nb-NO"/>
        </w:rPr>
        <w:lastRenderedPageBreak/>
        <w:t>MINSTEKRAV TIL OPPLYSNINGER SOM SKAL ANGIS PÅ BLISTER ELLER STRIP</w:t>
      </w:r>
    </w:p>
    <w:p w14:paraId="0193711C" w14:textId="77777777" w:rsidR="00E50867" w:rsidRPr="009D56B8" w:rsidRDefault="00E50867" w:rsidP="00513C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p>
    <w:p w14:paraId="1066F0C7" w14:textId="6D010BEA" w:rsidR="00E50867" w:rsidRPr="009D56B8" w:rsidRDefault="00C770E8" w:rsidP="00513C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nb-NO"/>
        </w:rPr>
      </w:pPr>
      <w:r w:rsidRPr="009D56B8">
        <w:rPr>
          <w:b/>
          <w:szCs w:val="22"/>
          <w:lang w:val="nb-NO"/>
        </w:rPr>
        <w:t>BLISTER</w:t>
      </w:r>
      <w:r w:rsidR="00DF01F6" w:rsidRPr="009D56B8">
        <w:rPr>
          <w:b/>
          <w:szCs w:val="22"/>
          <w:lang w:val="nb-NO"/>
        </w:rPr>
        <w:t>PAKNING AV PVC/PE/PVDC-ALUMINIUM</w:t>
      </w:r>
    </w:p>
    <w:p w14:paraId="582FBF36" w14:textId="77777777" w:rsidR="00E50867" w:rsidRPr="009D56B8" w:rsidRDefault="00E50867">
      <w:pPr>
        <w:rPr>
          <w:szCs w:val="22"/>
          <w:lang w:val="nb-NO"/>
        </w:rPr>
      </w:pPr>
    </w:p>
    <w:p w14:paraId="3AC75372" w14:textId="77777777" w:rsidR="00E50867" w:rsidRPr="009D56B8" w:rsidRDefault="00E50867">
      <w:pPr>
        <w:rPr>
          <w:szCs w:val="22"/>
          <w:lang w:val="nb-NO"/>
        </w:rPr>
      </w:pPr>
    </w:p>
    <w:p w14:paraId="0BD90FE3"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1.</w:t>
      </w:r>
      <w:r w:rsidRPr="009D56B8">
        <w:rPr>
          <w:b/>
          <w:szCs w:val="22"/>
          <w:lang w:val="nb-NO"/>
        </w:rPr>
        <w:tab/>
        <w:t>LEGEMIDLETS NAVN</w:t>
      </w:r>
    </w:p>
    <w:p w14:paraId="21433848" w14:textId="77777777" w:rsidR="00E50867" w:rsidRPr="009D56B8" w:rsidRDefault="00E50867">
      <w:pPr>
        <w:rPr>
          <w:szCs w:val="22"/>
          <w:lang w:val="nb-NO"/>
        </w:rPr>
      </w:pPr>
    </w:p>
    <w:p w14:paraId="2AD2DA34" w14:textId="2569EF8D" w:rsidR="00E50867" w:rsidRPr="009D56B8" w:rsidRDefault="00D172C2">
      <w:pPr>
        <w:rPr>
          <w:lang w:val="nb-NO"/>
        </w:rPr>
      </w:pPr>
      <w:r w:rsidRPr="009D56B8">
        <w:rPr>
          <w:lang w:val="nb-NO"/>
        </w:rPr>
        <w:t>Dimethyl fumarate Accord</w:t>
      </w:r>
      <w:r w:rsidR="00C770E8" w:rsidRPr="009D56B8">
        <w:rPr>
          <w:lang w:val="nb-NO"/>
        </w:rPr>
        <w:t xml:space="preserve"> 240 mg enterokapsler</w:t>
      </w:r>
    </w:p>
    <w:p w14:paraId="74A61521" w14:textId="77777777" w:rsidR="00513CD0" w:rsidRPr="009D56B8" w:rsidRDefault="00513CD0">
      <w:pPr>
        <w:widowControl w:val="0"/>
        <w:suppressLineNumbers/>
        <w:rPr>
          <w:szCs w:val="22"/>
          <w:lang w:val="nb-NO"/>
        </w:rPr>
      </w:pPr>
    </w:p>
    <w:p w14:paraId="7609D1A2" w14:textId="7E288C94" w:rsidR="00E50867" w:rsidRPr="009D56B8" w:rsidRDefault="00C770E8">
      <w:pPr>
        <w:widowControl w:val="0"/>
        <w:suppressLineNumbers/>
        <w:rPr>
          <w:szCs w:val="22"/>
          <w:lang w:val="nb-NO"/>
        </w:rPr>
      </w:pPr>
      <w:r w:rsidRPr="009D56B8">
        <w:rPr>
          <w:szCs w:val="22"/>
          <w:highlight w:val="lightGray"/>
          <w:lang w:val="nb-NO"/>
        </w:rPr>
        <w:t>dimetylfumarat</w:t>
      </w:r>
    </w:p>
    <w:p w14:paraId="71BC1E66" w14:textId="77777777" w:rsidR="00E50867" w:rsidRPr="009D56B8" w:rsidRDefault="00E50867">
      <w:pPr>
        <w:rPr>
          <w:szCs w:val="22"/>
          <w:lang w:val="nb-NO"/>
        </w:rPr>
      </w:pPr>
    </w:p>
    <w:p w14:paraId="58E71448" w14:textId="77777777" w:rsidR="00E50867" w:rsidRPr="009D56B8" w:rsidRDefault="00E50867">
      <w:pPr>
        <w:rPr>
          <w:szCs w:val="22"/>
          <w:lang w:val="nb-NO"/>
        </w:rPr>
      </w:pPr>
    </w:p>
    <w:p w14:paraId="3401F748"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2.</w:t>
      </w:r>
      <w:r w:rsidRPr="009D56B8">
        <w:rPr>
          <w:b/>
          <w:szCs w:val="22"/>
          <w:lang w:val="nb-NO"/>
        </w:rPr>
        <w:tab/>
        <w:t>NAVN PÅ INNEHAVEREN AV MARKEDSFØRINGSTILLATELSEN</w:t>
      </w:r>
    </w:p>
    <w:p w14:paraId="4A7858ED" w14:textId="4DEAC438" w:rsidR="00E50867" w:rsidRPr="009D56B8" w:rsidRDefault="00E50867">
      <w:pPr>
        <w:rPr>
          <w:szCs w:val="22"/>
          <w:lang w:val="nb-NO"/>
        </w:rPr>
      </w:pPr>
    </w:p>
    <w:p w14:paraId="3AC7A146" w14:textId="77777777" w:rsidR="00513CD0" w:rsidRPr="009D56B8" w:rsidRDefault="00513CD0" w:rsidP="00513CD0">
      <w:pPr>
        <w:keepNext/>
        <w:rPr>
          <w:lang w:val="nb-NO" w:eastAsia="en-US"/>
        </w:rPr>
      </w:pPr>
      <w:r w:rsidRPr="009D56B8">
        <w:rPr>
          <w:highlight w:val="lightGray"/>
          <w:lang w:val="nb-NO"/>
        </w:rPr>
        <w:t>Accord</w:t>
      </w:r>
    </w:p>
    <w:p w14:paraId="42767C86" w14:textId="77777777" w:rsidR="00513CD0" w:rsidRPr="009D56B8" w:rsidRDefault="00513CD0">
      <w:pPr>
        <w:rPr>
          <w:szCs w:val="22"/>
          <w:lang w:val="nb-NO"/>
        </w:rPr>
      </w:pPr>
    </w:p>
    <w:p w14:paraId="09C5EE29" w14:textId="77777777" w:rsidR="00E50867" w:rsidRPr="009D56B8" w:rsidRDefault="00E50867">
      <w:pPr>
        <w:rPr>
          <w:szCs w:val="22"/>
          <w:lang w:val="nb-NO"/>
        </w:rPr>
      </w:pPr>
    </w:p>
    <w:p w14:paraId="094E50FF" w14:textId="77777777" w:rsidR="00E50867" w:rsidRPr="009D56B8" w:rsidRDefault="00C770E8">
      <w:pPr>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3.</w:t>
      </w:r>
      <w:r w:rsidRPr="009D56B8">
        <w:rPr>
          <w:b/>
          <w:szCs w:val="22"/>
          <w:lang w:val="nb-NO"/>
        </w:rPr>
        <w:tab/>
        <w:t>UTLØPSDATO</w:t>
      </w:r>
    </w:p>
    <w:p w14:paraId="1C85FFA9" w14:textId="77777777" w:rsidR="00E50867" w:rsidRPr="009D56B8" w:rsidRDefault="00E50867">
      <w:pPr>
        <w:rPr>
          <w:szCs w:val="22"/>
          <w:lang w:val="nb-NO"/>
        </w:rPr>
      </w:pPr>
    </w:p>
    <w:p w14:paraId="5BADB2A3" w14:textId="77777777" w:rsidR="00E50867" w:rsidRPr="009D56B8" w:rsidRDefault="00C770E8">
      <w:pPr>
        <w:widowControl w:val="0"/>
        <w:suppressLineNumbers/>
        <w:rPr>
          <w:szCs w:val="22"/>
          <w:lang w:val="nb-NO"/>
        </w:rPr>
      </w:pPr>
      <w:r w:rsidRPr="009D56B8">
        <w:rPr>
          <w:szCs w:val="22"/>
          <w:lang w:val="nb-NO"/>
        </w:rPr>
        <w:t>EXP</w:t>
      </w:r>
    </w:p>
    <w:p w14:paraId="31AAF28E" w14:textId="77777777" w:rsidR="00E50867" w:rsidRPr="009D56B8" w:rsidRDefault="00E50867">
      <w:pPr>
        <w:rPr>
          <w:szCs w:val="22"/>
          <w:lang w:val="nb-NO"/>
        </w:rPr>
      </w:pPr>
    </w:p>
    <w:p w14:paraId="0627F52D" w14:textId="77777777" w:rsidR="00E50867" w:rsidRPr="009D56B8" w:rsidRDefault="00E50867">
      <w:pPr>
        <w:rPr>
          <w:szCs w:val="22"/>
          <w:lang w:val="nb-NO"/>
        </w:rPr>
      </w:pPr>
    </w:p>
    <w:p w14:paraId="45F56CAE"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4.</w:t>
      </w:r>
      <w:r w:rsidRPr="009D56B8">
        <w:rPr>
          <w:b/>
          <w:szCs w:val="22"/>
          <w:lang w:val="nb-NO"/>
        </w:rPr>
        <w:tab/>
        <w:t>PRODUKSJONSNUMMER</w:t>
      </w:r>
    </w:p>
    <w:p w14:paraId="735724ED" w14:textId="77777777" w:rsidR="00E50867" w:rsidRPr="009D56B8" w:rsidRDefault="00E50867">
      <w:pPr>
        <w:rPr>
          <w:szCs w:val="22"/>
          <w:lang w:val="nb-NO"/>
        </w:rPr>
      </w:pPr>
    </w:p>
    <w:p w14:paraId="71309081" w14:textId="77777777" w:rsidR="00E50867" w:rsidRPr="009D56B8" w:rsidRDefault="00C770E8">
      <w:pPr>
        <w:widowControl w:val="0"/>
        <w:suppressLineNumbers/>
        <w:rPr>
          <w:szCs w:val="22"/>
          <w:lang w:val="nb-NO"/>
        </w:rPr>
      </w:pPr>
      <w:r w:rsidRPr="009D56B8">
        <w:rPr>
          <w:szCs w:val="22"/>
          <w:lang w:val="nb-NO"/>
        </w:rPr>
        <w:t>Lot</w:t>
      </w:r>
    </w:p>
    <w:p w14:paraId="6F24A12B" w14:textId="77777777" w:rsidR="00E50867" w:rsidRPr="009D56B8" w:rsidRDefault="00E50867">
      <w:pPr>
        <w:rPr>
          <w:szCs w:val="22"/>
          <w:lang w:val="nb-NO"/>
        </w:rPr>
      </w:pPr>
    </w:p>
    <w:p w14:paraId="6B47D5A5" w14:textId="77777777" w:rsidR="00E50867" w:rsidRPr="009D56B8" w:rsidRDefault="00E50867">
      <w:pPr>
        <w:rPr>
          <w:szCs w:val="22"/>
          <w:lang w:val="nb-NO"/>
        </w:rPr>
      </w:pPr>
    </w:p>
    <w:p w14:paraId="3DDC11DA" w14:textId="77777777" w:rsidR="00E50867" w:rsidRPr="009D56B8" w:rsidRDefault="00C770E8">
      <w:pPr>
        <w:widowControl w:val="0"/>
        <w:suppressLineNumbers/>
        <w:pBdr>
          <w:top w:val="single" w:sz="4" w:space="1" w:color="000000"/>
          <w:left w:val="single" w:sz="4" w:space="4" w:color="000000"/>
          <w:bottom w:val="single" w:sz="4" w:space="1" w:color="000000"/>
          <w:right w:val="single" w:sz="4" w:space="4" w:color="000000"/>
        </w:pBdr>
        <w:rPr>
          <w:b/>
          <w:szCs w:val="22"/>
          <w:lang w:val="nb-NO"/>
        </w:rPr>
      </w:pPr>
      <w:r w:rsidRPr="009D56B8">
        <w:rPr>
          <w:b/>
          <w:szCs w:val="22"/>
          <w:lang w:val="nb-NO"/>
        </w:rPr>
        <w:t>5.</w:t>
      </w:r>
      <w:r w:rsidRPr="009D56B8">
        <w:rPr>
          <w:b/>
          <w:szCs w:val="22"/>
          <w:lang w:val="nb-NO"/>
        </w:rPr>
        <w:tab/>
        <w:t>ANNET</w:t>
      </w:r>
    </w:p>
    <w:p w14:paraId="6DF2DCB7" w14:textId="77777777" w:rsidR="00E50867" w:rsidRPr="009D56B8" w:rsidRDefault="00E50867">
      <w:pPr>
        <w:widowControl w:val="0"/>
        <w:tabs>
          <w:tab w:val="clear" w:pos="567"/>
        </w:tabs>
        <w:rPr>
          <w:szCs w:val="22"/>
          <w:lang w:val="nb-NO"/>
        </w:rPr>
      </w:pPr>
    </w:p>
    <w:p w14:paraId="190A5A2F" w14:textId="6CB1786E" w:rsidR="00E50867" w:rsidRPr="009D56B8" w:rsidRDefault="00713DF6">
      <w:pPr>
        <w:widowControl w:val="0"/>
        <w:tabs>
          <w:tab w:val="clear" w:pos="567"/>
        </w:tabs>
        <w:rPr>
          <w:szCs w:val="22"/>
          <w:lang w:val="nb-NO"/>
        </w:rPr>
      </w:pPr>
      <w:r w:rsidRPr="009D56B8">
        <w:rPr>
          <w:szCs w:val="22"/>
          <w:highlight w:val="lightGray"/>
          <w:lang w:val="nb-NO"/>
        </w:rPr>
        <w:t>Oral bruk.</w:t>
      </w:r>
    </w:p>
    <w:p w14:paraId="074B5797" w14:textId="48617868" w:rsidR="00E50867" w:rsidRPr="009D56B8" w:rsidRDefault="00C770E8" w:rsidP="00513CD0">
      <w:pPr>
        <w:rPr>
          <w:szCs w:val="22"/>
          <w:lang w:val="nb-NO"/>
        </w:rPr>
      </w:pPr>
      <w:r w:rsidRPr="009D56B8">
        <w:rPr>
          <w:b/>
          <w:szCs w:val="22"/>
          <w:lang w:val="nb-NO"/>
        </w:rPr>
        <w:br w:type="page"/>
      </w:r>
    </w:p>
    <w:p w14:paraId="706BF03A" w14:textId="77777777" w:rsidR="00E50867" w:rsidRPr="009D56B8" w:rsidRDefault="00E50867">
      <w:pPr>
        <w:rPr>
          <w:szCs w:val="22"/>
          <w:lang w:val="nb-NO"/>
        </w:rPr>
      </w:pPr>
    </w:p>
    <w:p w14:paraId="77EBDFFF" w14:textId="77777777" w:rsidR="00E50867" w:rsidRPr="009D56B8" w:rsidRDefault="00E50867">
      <w:pPr>
        <w:rPr>
          <w:szCs w:val="22"/>
          <w:lang w:val="nb-NO"/>
        </w:rPr>
      </w:pPr>
    </w:p>
    <w:p w14:paraId="2EFD2E74" w14:textId="77777777" w:rsidR="00E50867" w:rsidRPr="009D56B8" w:rsidRDefault="00E50867">
      <w:pPr>
        <w:rPr>
          <w:szCs w:val="22"/>
          <w:lang w:val="nb-NO"/>
        </w:rPr>
      </w:pPr>
    </w:p>
    <w:p w14:paraId="41EBD283" w14:textId="77777777" w:rsidR="00E50867" w:rsidRPr="009D56B8" w:rsidRDefault="00E50867">
      <w:pPr>
        <w:rPr>
          <w:szCs w:val="22"/>
          <w:lang w:val="nb-NO"/>
        </w:rPr>
      </w:pPr>
    </w:p>
    <w:p w14:paraId="0EF7B22D" w14:textId="77777777" w:rsidR="00E50867" w:rsidRPr="009D56B8" w:rsidRDefault="00E50867">
      <w:pPr>
        <w:rPr>
          <w:szCs w:val="22"/>
          <w:lang w:val="nb-NO"/>
        </w:rPr>
      </w:pPr>
    </w:p>
    <w:p w14:paraId="4F7B1FDE" w14:textId="77777777" w:rsidR="00E50867" w:rsidRPr="009D56B8" w:rsidRDefault="00E50867">
      <w:pPr>
        <w:rPr>
          <w:szCs w:val="22"/>
          <w:lang w:val="nb-NO"/>
        </w:rPr>
      </w:pPr>
    </w:p>
    <w:p w14:paraId="41827857" w14:textId="77777777" w:rsidR="00E50867" w:rsidRPr="009D56B8" w:rsidRDefault="00E50867">
      <w:pPr>
        <w:rPr>
          <w:szCs w:val="22"/>
          <w:lang w:val="nb-NO"/>
        </w:rPr>
      </w:pPr>
    </w:p>
    <w:p w14:paraId="454F82A3" w14:textId="77777777" w:rsidR="00E50867" w:rsidRPr="009D56B8" w:rsidRDefault="00E50867">
      <w:pPr>
        <w:rPr>
          <w:szCs w:val="22"/>
          <w:lang w:val="nb-NO"/>
        </w:rPr>
      </w:pPr>
    </w:p>
    <w:p w14:paraId="165389AC" w14:textId="77777777" w:rsidR="00E50867" w:rsidRPr="009D56B8" w:rsidRDefault="00E50867">
      <w:pPr>
        <w:rPr>
          <w:szCs w:val="22"/>
          <w:lang w:val="nb-NO"/>
        </w:rPr>
      </w:pPr>
    </w:p>
    <w:p w14:paraId="1DD558E3" w14:textId="77777777" w:rsidR="00E50867" w:rsidRPr="009D56B8" w:rsidRDefault="00E50867">
      <w:pPr>
        <w:rPr>
          <w:szCs w:val="22"/>
          <w:lang w:val="nb-NO"/>
        </w:rPr>
      </w:pPr>
    </w:p>
    <w:p w14:paraId="1CBFC84B" w14:textId="77777777" w:rsidR="00E50867" w:rsidRPr="009D56B8" w:rsidRDefault="00E50867">
      <w:pPr>
        <w:rPr>
          <w:szCs w:val="22"/>
          <w:lang w:val="nb-NO"/>
        </w:rPr>
      </w:pPr>
    </w:p>
    <w:p w14:paraId="0473B832" w14:textId="77777777" w:rsidR="00E50867" w:rsidRPr="009D56B8" w:rsidRDefault="00E50867">
      <w:pPr>
        <w:rPr>
          <w:szCs w:val="22"/>
          <w:lang w:val="nb-NO"/>
        </w:rPr>
      </w:pPr>
    </w:p>
    <w:p w14:paraId="666E0C8F" w14:textId="77777777" w:rsidR="00E50867" w:rsidRPr="009D56B8" w:rsidRDefault="00E50867">
      <w:pPr>
        <w:rPr>
          <w:szCs w:val="22"/>
          <w:lang w:val="nb-NO"/>
        </w:rPr>
      </w:pPr>
    </w:p>
    <w:p w14:paraId="26E4C535" w14:textId="77777777" w:rsidR="00E50867" w:rsidRPr="009D56B8" w:rsidRDefault="00E50867">
      <w:pPr>
        <w:rPr>
          <w:szCs w:val="22"/>
          <w:lang w:val="nb-NO"/>
        </w:rPr>
      </w:pPr>
    </w:p>
    <w:p w14:paraId="316E5460" w14:textId="77777777" w:rsidR="00E50867" w:rsidRPr="009D56B8" w:rsidRDefault="00E50867">
      <w:pPr>
        <w:rPr>
          <w:szCs w:val="22"/>
          <w:lang w:val="nb-NO"/>
        </w:rPr>
      </w:pPr>
    </w:p>
    <w:p w14:paraId="70A7C3B5" w14:textId="77777777" w:rsidR="00E50867" w:rsidRPr="009D56B8" w:rsidRDefault="00E50867">
      <w:pPr>
        <w:rPr>
          <w:szCs w:val="22"/>
          <w:lang w:val="nb-NO"/>
        </w:rPr>
      </w:pPr>
    </w:p>
    <w:p w14:paraId="6F0BF8FA" w14:textId="01E2F8BA" w:rsidR="00E50867" w:rsidRPr="009D56B8" w:rsidRDefault="00E50867">
      <w:pPr>
        <w:rPr>
          <w:szCs w:val="22"/>
          <w:lang w:val="nb-NO"/>
        </w:rPr>
      </w:pPr>
    </w:p>
    <w:p w14:paraId="7B6CBBC0" w14:textId="77777777" w:rsidR="001A22B7" w:rsidRPr="009D56B8" w:rsidRDefault="001A22B7">
      <w:pPr>
        <w:rPr>
          <w:szCs w:val="22"/>
          <w:lang w:val="nb-NO"/>
        </w:rPr>
      </w:pPr>
    </w:p>
    <w:p w14:paraId="395B8356" w14:textId="77777777" w:rsidR="00E50867" w:rsidRPr="009D56B8" w:rsidRDefault="00E50867">
      <w:pPr>
        <w:rPr>
          <w:szCs w:val="22"/>
          <w:lang w:val="nb-NO"/>
        </w:rPr>
      </w:pPr>
    </w:p>
    <w:p w14:paraId="06CA3F1B" w14:textId="77777777" w:rsidR="00E50867" w:rsidRPr="009D56B8" w:rsidRDefault="00E50867">
      <w:pPr>
        <w:rPr>
          <w:szCs w:val="22"/>
          <w:lang w:val="nb-NO"/>
        </w:rPr>
      </w:pPr>
    </w:p>
    <w:p w14:paraId="17E39F84" w14:textId="77777777" w:rsidR="00E50867" w:rsidRPr="009D56B8" w:rsidRDefault="00E50867">
      <w:pPr>
        <w:rPr>
          <w:szCs w:val="22"/>
          <w:lang w:val="nb-NO"/>
        </w:rPr>
      </w:pPr>
    </w:p>
    <w:p w14:paraId="126B40FB" w14:textId="29363C64" w:rsidR="00E50867" w:rsidRPr="009D56B8" w:rsidRDefault="00E50867">
      <w:pPr>
        <w:rPr>
          <w:szCs w:val="22"/>
          <w:lang w:val="nb-NO"/>
        </w:rPr>
      </w:pPr>
    </w:p>
    <w:p w14:paraId="20B785EC" w14:textId="77777777" w:rsidR="00562CF9" w:rsidRPr="009D56B8" w:rsidRDefault="00562CF9">
      <w:pPr>
        <w:rPr>
          <w:szCs w:val="22"/>
          <w:lang w:val="nb-NO"/>
        </w:rPr>
      </w:pPr>
    </w:p>
    <w:p w14:paraId="37A88F3D" w14:textId="77777777" w:rsidR="00E50867" w:rsidRPr="009D56B8" w:rsidRDefault="00C770E8">
      <w:pPr>
        <w:pStyle w:val="TitleA"/>
      </w:pPr>
      <w:r w:rsidRPr="009D56B8">
        <w:t>B. PAKNINGSVEDLEGG</w:t>
      </w:r>
    </w:p>
    <w:p w14:paraId="588BD786" w14:textId="77777777" w:rsidR="00E50867" w:rsidRPr="009D56B8" w:rsidRDefault="00E50867">
      <w:pPr>
        <w:pStyle w:val="TitleA"/>
        <w:numPr>
          <w:ilvl w:val="0"/>
          <w:numId w:val="0"/>
        </w:numPr>
        <w:ind w:left="432" w:hanging="432"/>
      </w:pPr>
    </w:p>
    <w:p w14:paraId="07D80AA5" w14:textId="77777777" w:rsidR="00E50867" w:rsidRPr="009D56B8" w:rsidRDefault="00E50867">
      <w:pPr>
        <w:pStyle w:val="TitleA"/>
        <w:numPr>
          <w:ilvl w:val="0"/>
          <w:numId w:val="0"/>
        </w:numPr>
        <w:ind w:left="432" w:hanging="432"/>
      </w:pPr>
    </w:p>
    <w:p w14:paraId="26D66BA9" w14:textId="64D75D30" w:rsidR="00E50867" w:rsidRPr="009D56B8" w:rsidRDefault="00C770E8" w:rsidP="008E40D3">
      <w:pPr>
        <w:rPr>
          <w:lang w:val="nb-NO"/>
        </w:rPr>
      </w:pPr>
      <w:r w:rsidRPr="009D56B8">
        <w:br w:type="page"/>
      </w:r>
    </w:p>
    <w:p w14:paraId="0AED063E" w14:textId="77777777" w:rsidR="00E50867" w:rsidRPr="009D56B8" w:rsidRDefault="00C770E8">
      <w:pPr>
        <w:widowControl w:val="0"/>
        <w:tabs>
          <w:tab w:val="clear" w:pos="567"/>
        </w:tabs>
        <w:jc w:val="center"/>
        <w:rPr>
          <w:b/>
          <w:szCs w:val="22"/>
          <w:lang w:val="nb-NO"/>
        </w:rPr>
      </w:pPr>
      <w:r w:rsidRPr="009D56B8">
        <w:rPr>
          <w:b/>
          <w:szCs w:val="22"/>
          <w:lang w:val="nb-NO"/>
        </w:rPr>
        <w:lastRenderedPageBreak/>
        <w:t>Pakningsvedlegg: Informasjon til pasienten</w:t>
      </w:r>
    </w:p>
    <w:p w14:paraId="421535D1" w14:textId="77777777" w:rsidR="00E50867" w:rsidRPr="009D56B8" w:rsidRDefault="00E50867">
      <w:pPr>
        <w:rPr>
          <w:szCs w:val="22"/>
          <w:lang w:val="nb-NO"/>
        </w:rPr>
      </w:pPr>
    </w:p>
    <w:p w14:paraId="42BE5CBB" w14:textId="5E54FB41" w:rsidR="00E50867" w:rsidRPr="009D56B8" w:rsidRDefault="00D172C2">
      <w:pPr>
        <w:widowControl w:val="0"/>
        <w:tabs>
          <w:tab w:val="left" w:pos="993"/>
        </w:tabs>
        <w:jc w:val="center"/>
        <w:rPr>
          <w:b/>
          <w:szCs w:val="22"/>
          <w:lang w:val="nb-NO"/>
        </w:rPr>
      </w:pPr>
      <w:r w:rsidRPr="009D56B8">
        <w:rPr>
          <w:b/>
          <w:szCs w:val="22"/>
          <w:lang w:val="nb-NO"/>
        </w:rPr>
        <w:t>Dimethyl fumarate Accord</w:t>
      </w:r>
      <w:r w:rsidR="00C770E8" w:rsidRPr="009D56B8">
        <w:rPr>
          <w:b/>
          <w:szCs w:val="22"/>
          <w:lang w:val="nb-NO"/>
        </w:rPr>
        <w:t xml:space="preserve"> 120 mg enterokapsler, harde</w:t>
      </w:r>
    </w:p>
    <w:p w14:paraId="1BF8488E" w14:textId="7D37E5C5" w:rsidR="00E50867" w:rsidRPr="009D56B8" w:rsidRDefault="00D172C2">
      <w:pPr>
        <w:widowControl w:val="0"/>
        <w:tabs>
          <w:tab w:val="left" w:pos="993"/>
        </w:tabs>
        <w:jc w:val="center"/>
        <w:rPr>
          <w:b/>
          <w:szCs w:val="22"/>
          <w:lang w:val="nb-NO"/>
        </w:rPr>
      </w:pPr>
      <w:r w:rsidRPr="009D56B8">
        <w:rPr>
          <w:b/>
          <w:szCs w:val="22"/>
          <w:lang w:val="nb-NO"/>
        </w:rPr>
        <w:t>Dimethyl fumarate Accord</w:t>
      </w:r>
      <w:r w:rsidR="00C770E8" w:rsidRPr="009D56B8">
        <w:rPr>
          <w:b/>
          <w:szCs w:val="22"/>
          <w:lang w:val="nb-NO"/>
        </w:rPr>
        <w:t xml:space="preserve"> 240 mg enterokapsler, harde</w:t>
      </w:r>
    </w:p>
    <w:p w14:paraId="7C9F7008" w14:textId="61BD0DF0" w:rsidR="00E50867" w:rsidRPr="009D56B8" w:rsidRDefault="00C770E8">
      <w:pPr>
        <w:widowControl w:val="0"/>
        <w:tabs>
          <w:tab w:val="clear" w:pos="567"/>
        </w:tabs>
        <w:jc w:val="center"/>
        <w:rPr>
          <w:szCs w:val="22"/>
          <w:lang w:val="nb-NO"/>
        </w:rPr>
      </w:pPr>
      <w:r w:rsidRPr="009D56B8">
        <w:rPr>
          <w:szCs w:val="22"/>
          <w:lang w:val="nb-NO"/>
        </w:rPr>
        <w:t>dimetylfumarat (dimethyl fumarate)</w:t>
      </w:r>
    </w:p>
    <w:p w14:paraId="0B99EDC0" w14:textId="77777777" w:rsidR="00E50867" w:rsidRPr="009D56B8" w:rsidRDefault="00E50867">
      <w:pPr>
        <w:widowControl w:val="0"/>
        <w:tabs>
          <w:tab w:val="clear" w:pos="567"/>
        </w:tabs>
        <w:rPr>
          <w:szCs w:val="22"/>
          <w:lang w:val="nb-NO"/>
        </w:rPr>
      </w:pPr>
    </w:p>
    <w:p w14:paraId="2B42A88E" w14:textId="77777777" w:rsidR="00E50867" w:rsidRPr="009D56B8" w:rsidRDefault="00E50867">
      <w:pPr>
        <w:widowControl w:val="0"/>
        <w:tabs>
          <w:tab w:val="clear" w:pos="567"/>
        </w:tabs>
        <w:rPr>
          <w:szCs w:val="22"/>
          <w:lang w:val="nb-NO"/>
        </w:rPr>
      </w:pPr>
    </w:p>
    <w:p w14:paraId="37492634" w14:textId="77777777" w:rsidR="00E50867" w:rsidRPr="009D56B8" w:rsidRDefault="00C770E8">
      <w:pPr>
        <w:widowControl w:val="0"/>
        <w:tabs>
          <w:tab w:val="clear" w:pos="567"/>
        </w:tabs>
        <w:rPr>
          <w:b/>
          <w:szCs w:val="22"/>
          <w:lang w:val="nb-NO"/>
        </w:rPr>
      </w:pPr>
      <w:r w:rsidRPr="009D56B8">
        <w:rPr>
          <w:b/>
          <w:szCs w:val="22"/>
          <w:lang w:val="nb-NO"/>
        </w:rPr>
        <w:t>Les nøye gjennom dette pakningsvedlegget før du begynner å bruke dette legemidlet. Det inneholder informasjon som er viktig for deg.</w:t>
      </w:r>
    </w:p>
    <w:p w14:paraId="0C4B71D6" w14:textId="77777777" w:rsidR="00E50867" w:rsidRPr="009D56B8" w:rsidRDefault="00C770E8">
      <w:pPr>
        <w:widowControl w:val="0"/>
        <w:numPr>
          <w:ilvl w:val="0"/>
          <w:numId w:val="14"/>
        </w:numPr>
        <w:tabs>
          <w:tab w:val="clear" w:pos="567"/>
        </w:tabs>
        <w:ind w:left="567" w:hanging="567"/>
        <w:rPr>
          <w:szCs w:val="22"/>
          <w:lang w:val="nb-NO"/>
        </w:rPr>
      </w:pPr>
      <w:r w:rsidRPr="009D56B8">
        <w:rPr>
          <w:szCs w:val="22"/>
          <w:lang w:val="nb-NO"/>
        </w:rPr>
        <w:t>Ta vare på dette pakningsvedlegget. Du kan få behov for å lese det igjen.</w:t>
      </w:r>
    </w:p>
    <w:p w14:paraId="455AC328" w14:textId="77777777" w:rsidR="00E50867" w:rsidRPr="009D56B8" w:rsidRDefault="00C770E8">
      <w:pPr>
        <w:widowControl w:val="0"/>
        <w:numPr>
          <w:ilvl w:val="0"/>
          <w:numId w:val="14"/>
        </w:numPr>
        <w:ind w:left="567" w:hanging="567"/>
        <w:rPr>
          <w:szCs w:val="22"/>
          <w:lang w:val="nb-NO"/>
        </w:rPr>
      </w:pPr>
      <w:r w:rsidRPr="009D56B8">
        <w:rPr>
          <w:szCs w:val="22"/>
          <w:lang w:val="nb-NO"/>
        </w:rPr>
        <w:t>Spør lege eller apotek hvis du har flere spørsmål eller trenger mer informasjon.</w:t>
      </w:r>
    </w:p>
    <w:p w14:paraId="45FDBA03" w14:textId="77777777" w:rsidR="00E50867" w:rsidRPr="009D56B8" w:rsidRDefault="00C770E8">
      <w:pPr>
        <w:widowControl w:val="0"/>
        <w:numPr>
          <w:ilvl w:val="0"/>
          <w:numId w:val="14"/>
        </w:numPr>
        <w:ind w:left="567" w:hanging="567"/>
        <w:rPr>
          <w:szCs w:val="22"/>
          <w:lang w:val="nb-NO"/>
        </w:rPr>
      </w:pPr>
      <w:r w:rsidRPr="009D56B8">
        <w:rPr>
          <w:szCs w:val="22"/>
          <w:lang w:val="nb-NO"/>
        </w:rPr>
        <w:t>Dette legemidlet er skrevet ut kun til deg. Ikke gi det videre til andre. Det kan skade dem, selv om de har symptomer på sykdom som ligner dine.</w:t>
      </w:r>
    </w:p>
    <w:p w14:paraId="31D5CED2" w14:textId="77777777" w:rsidR="00E50867" w:rsidRPr="009D56B8" w:rsidRDefault="00C770E8">
      <w:pPr>
        <w:widowControl w:val="0"/>
        <w:numPr>
          <w:ilvl w:val="0"/>
          <w:numId w:val="14"/>
        </w:numPr>
        <w:ind w:left="567" w:hanging="567"/>
        <w:rPr>
          <w:szCs w:val="22"/>
          <w:lang w:val="nb-NO"/>
        </w:rPr>
      </w:pPr>
      <w:r w:rsidRPr="009D56B8">
        <w:rPr>
          <w:szCs w:val="22"/>
          <w:lang w:val="nb-NO"/>
        </w:rPr>
        <w:t>Kontakt lege eller apotek dersom du opplever bivirkninger, inkludert mulige bivirkninger som ikke er nevnt i dette pakningsvedlegget.</w:t>
      </w:r>
      <w:r w:rsidRPr="009D56B8">
        <w:rPr>
          <w:lang w:val="nb-NO"/>
        </w:rPr>
        <w:t xml:space="preserve"> Se avsnitt 4.</w:t>
      </w:r>
    </w:p>
    <w:p w14:paraId="726C1DEF" w14:textId="77777777" w:rsidR="00E50867" w:rsidRPr="009D56B8" w:rsidRDefault="00E50867">
      <w:pPr>
        <w:widowControl w:val="0"/>
        <w:ind w:right="-2"/>
        <w:rPr>
          <w:szCs w:val="22"/>
          <w:lang w:val="nb-NO"/>
        </w:rPr>
      </w:pPr>
    </w:p>
    <w:p w14:paraId="38C55D40" w14:textId="77777777" w:rsidR="00E50867" w:rsidRPr="009D56B8" w:rsidRDefault="00C770E8">
      <w:pPr>
        <w:widowControl w:val="0"/>
        <w:tabs>
          <w:tab w:val="clear" w:pos="567"/>
        </w:tabs>
        <w:ind w:right="-2"/>
        <w:rPr>
          <w:szCs w:val="22"/>
          <w:lang w:val="nb-NO"/>
        </w:rPr>
      </w:pPr>
      <w:r w:rsidRPr="009D56B8">
        <w:rPr>
          <w:b/>
          <w:szCs w:val="22"/>
          <w:lang w:val="nb-NO"/>
        </w:rPr>
        <w:t>I dette pakningsvedlegget finner du informasjon om:</w:t>
      </w:r>
    </w:p>
    <w:p w14:paraId="06972ACF" w14:textId="77777777" w:rsidR="00E50867" w:rsidRPr="009D56B8" w:rsidRDefault="00E50867">
      <w:pPr>
        <w:widowControl w:val="0"/>
        <w:tabs>
          <w:tab w:val="clear" w:pos="567"/>
        </w:tabs>
        <w:ind w:right="-2"/>
        <w:rPr>
          <w:szCs w:val="22"/>
          <w:lang w:val="nb-NO"/>
        </w:rPr>
      </w:pPr>
    </w:p>
    <w:p w14:paraId="7051F068" w14:textId="6476ABC1" w:rsidR="00E50867" w:rsidRPr="009D56B8" w:rsidRDefault="00C770E8">
      <w:pPr>
        <w:rPr>
          <w:szCs w:val="22"/>
          <w:lang w:val="nb-NO"/>
        </w:rPr>
      </w:pPr>
      <w:r w:rsidRPr="009D56B8">
        <w:rPr>
          <w:szCs w:val="22"/>
          <w:lang w:val="nb-NO"/>
        </w:rPr>
        <w:t>1.</w:t>
      </w:r>
      <w:r w:rsidRPr="009D56B8">
        <w:rPr>
          <w:szCs w:val="22"/>
          <w:lang w:val="nb-NO"/>
        </w:rPr>
        <w:tab/>
        <w:t xml:space="preserve">Hva </w:t>
      </w:r>
      <w:r w:rsidR="00D172C2" w:rsidRPr="009D56B8">
        <w:rPr>
          <w:szCs w:val="22"/>
          <w:lang w:val="nb-NO"/>
        </w:rPr>
        <w:t>Dimethyl fumarate Accord</w:t>
      </w:r>
      <w:r w:rsidRPr="009D56B8">
        <w:rPr>
          <w:szCs w:val="22"/>
          <w:lang w:val="nb-NO"/>
        </w:rPr>
        <w:t xml:space="preserve"> er og hva det brukes mot</w:t>
      </w:r>
    </w:p>
    <w:p w14:paraId="1280C23E" w14:textId="37A7E840" w:rsidR="00E50867" w:rsidRPr="009D56B8" w:rsidRDefault="00C770E8">
      <w:pPr>
        <w:rPr>
          <w:szCs w:val="22"/>
          <w:lang w:val="nb-NO"/>
        </w:rPr>
      </w:pPr>
      <w:r w:rsidRPr="009D56B8">
        <w:rPr>
          <w:szCs w:val="22"/>
          <w:lang w:val="nb-NO"/>
        </w:rPr>
        <w:t>2.</w:t>
      </w:r>
      <w:r w:rsidRPr="009D56B8">
        <w:rPr>
          <w:szCs w:val="22"/>
          <w:lang w:val="nb-NO"/>
        </w:rPr>
        <w:tab/>
        <w:t xml:space="preserve">Hva du må vite før du bruker </w:t>
      </w:r>
      <w:r w:rsidR="00D172C2" w:rsidRPr="009D56B8">
        <w:rPr>
          <w:szCs w:val="22"/>
          <w:lang w:val="nb-NO"/>
        </w:rPr>
        <w:t>Dimethyl fumarate Accord</w:t>
      </w:r>
    </w:p>
    <w:p w14:paraId="70A86CC2" w14:textId="3F85B09F" w:rsidR="00E50867" w:rsidRPr="009D56B8" w:rsidRDefault="00C770E8">
      <w:pPr>
        <w:rPr>
          <w:szCs w:val="22"/>
          <w:lang w:val="nb-NO"/>
        </w:rPr>
      </w:pPr>
      <w:r w:rsidRPr="009D56B8">
        <w:rPr>
          <w:szCs w:val="22"/>
          <w:lang w:val="nb-NO"/>
        </w:rPr>
        <w:t>3.</w:t>
      </w:r>
      <w:r w:rsidRPr="009D56B8">
        <w:rPr>
          <w:szCs w:val="22"/>
          <w:lang w:val="nb-NO"/>
        </w:rPr>
        <w:tab/>
        <w:t xml:space="preserve">Hvordan du bruker </w:t>
      </w:r>
      <w:r w:rsidR="00D172C2" w:rsidRPr="009D56B8">
        <w:rPr>
          <w:szCs w:val="22"/>
          <w:lang w:val="nb-NO"/>
        </w:rPr>
        <w:t>Dimethyl fumarate Accord</w:t>
      </w:r>
    </w:p>
    <w:p w14:paraId="08613D13" w14:textId="77777777" w:rsidR="00E50867" w:rsidRPr="009D56B8" w:rsidRDefault="00C770E8">
      <w:pPr>
        <w:rPr>
          <w:szCs w:val="22"/>
          <w:lang w:val="nb-NO"/>
        </w:rPr>
      </w:pPr>
      <w:r w:rsidRPr="009D56B8">
        <w:rPr>
          <w:szCs w:val="22"/>
          <w:lang w:val="nb-NO"/>
        </w:rPr>
        <w:t>4.</w:t>
      </w:r>
      <w:r w:rsidRPr="009D56B8">
        <w:rPr>
          <w:szCs w:val="22"/>
          <w:lang w:val="nb-NO"/>
        </w:rPr>
        <w:tab/>
        <w:t>Mulige bivirkninger</w:t>
      </w:r>
    </w:p>
    <w:p w14:paraId="1570B947" w14:textId="06D5A7A5" w:rsidR="00E50867" w:rsidRPr="009D56B8" w:rsidRDefault="00C770E8">
      <w:pPr>
        <w:rPr>
          <w:szCs w:val="22"/>
          <w:lang w:val="nb-NO"/>
        </w:rPr>
      </w:pPr>
      <w:r w:rsidRPr="009D56B8">
        <w:rPr>
          <w:szCs w:val="22"/>
          <w:lang w:val="nb-NO"/>
        </w:rPr>
        <w:t>5.</w:t>
      </w:r>
      <w:r w:rsidRPr="009D56B8">
        <w:rPr>
          <w:szCs w:val="22"/>
          <w:lang w:val="nb-NO"/>
        </w:rPr>
        <w:tab/>
        <w:t xml:space="preserve">Hvordan du oppbevarer </w:t>
      </w:r>
      <w:r w:rsidR="00D172C2" w:rsidRPr="009D56B8">
        <w:rPr>
          <w:szCs w:val="22"/>
          <w:lang w:val="nb-NO"/>
        </w:rPr>
        <w:t>Dimethyl fumarate Accord</w:t>
      </w:r>
    </w:p>
    <w:p w14:paraId="20809530" w14:textId="77777777" w:rsidR="00E50867" w:rsidRPr="009D56B8" w:rsidRDefault="00C770E8">
      <w:pPr>
        <w:rPr>
          <w:szCs w:val="22"/>
          <w:lang w:val="nb-NO"/>
        </w:rPr>
      </w:pPr>
      <w:r w:rsidRPr="009D56B8">
        <w:rPr>
          <w:szCs w:val="22"/>
          <w:lang w:val="nb-NO"/>
        </w:rPr>
        <w:t>6.</w:t>
      </w:r>
      <w:r w:rsidRPr="009D56B8">
        <w:rPr>
          <w:szCs w:val="22"/>
          <w:lang w:val="nb-NO"/>
        </w:rPr>
        <w:tab/>
        <w:t>Innholdet i pakningen og ytterligere informasjon</w:t>
      </w:r>
    </w:p>
    <w:p w14:paraId="7FE81558" w14:textId="77777777" w:rsidR="00E50867" w:rsidRPr="009D56B8" w:rsidRDefault="00E50867">
      <w:pPr>
        <w:rPr>
          <w:szCs w:val="22"/>
          <w:lang w:val="nb-NO"/>
        </w:rPr>
      </w:pPr>
    </w:p>
    <w:p w14:paraId="0587D90B" w14:textId="77777777" w:rsidR="00E50867" w:rsidRPr="009D56B8" w:rsidRDefault="00E50867">
      <w:pPr>
        <w:widowControl w:val="0"/>
        <w:tabs>
          <w:tab w:val="clear" w:pos="567"/>
        </w:tabs>
        <w:rPr>
          <w:szCs w:val="22"/>
          <w:lang w:val="nb-NO"/>
        </w:rPr>
      </w:pPr>
    </w:p>
    <w:p w14:paraId="479E2914" w14:textId="4D8D1D49" w:rsidR="00E50867" w:rsidRPr="009D56B8" w:rsidRDefault="00C770E8">
      <w:pPr>
        <w:widowControl w:val="0"/>
        <w:ind w:right="-2"/>
        <w:rPr>
          <w:b/>
          <w:szCs w:val="22"/>
          <w:lang w:val="nb-NO"/>
        </w:rPr>
      </w:pPr>
      <w:r w:rsidRPr="009D56B8">
        <w:rPr>
          <w:b/>
          <w:szCs w:val="22"/>
          <w:lang w:val="nb-NO"/>
        </w:rPr>
        <w:t>1.</w:t>
      </w:r>
      <w:r w:rsidRPr="009D56B8">
        <w:rPr>
          <w:b/>
          <w:szCs w:val="22"/>
          <w:lang w:val="nb-NO"/>
        </w:rPr>
        <w:tab/>
        <w:t xml:space="preserve">Hva </w:t>
      </w:r>
      <w:r w:rsidR="00D172C2" w:rsidRPr="009D56B8">
        <w:rPr>
          <w:b/>
          <w:szCs w:val="22"/>
          <w:lang w:val="nb-NO"/>
        </w:rPr>
        <w:t>Dimethyl fumarate Accord</w:t>
      </w:r>
      <w:r w:rsidRPr="009D56B8">
        <w:rPr>
          <w:b/>
          <w:szCs w:val="22"/>
          <w:lang w:val="nb-NO"/>
        </w:rPr>
        <w:t xml:space="preserve"> er og hva det brukes mot</w:t>
      </w:r>
    </w:p>
    <w:p w14:paraId="199AB2F1" w14:textId="77777777" w:rsidR="00E50867" w:rsidRPr="009D56B8" w:rsidRDefault="00E50867">
      <w:pPr>
        <w:widowControl w:val="0"/>
        <w:tabs>
          <w:tab w:val="clear" w:pos="567"/>
        </w:tabs>
        <w:rPr>
          <w:szCs w:val="22"/>
          <w:lang w:val="nb-NO"/>
        </w:rPr>
      </w:pPr>
    </w:p>
    <w:p w14:paraId="5ECF96C0" w14:textId="39A96A23" w:rsidR="00E50867" w:rsidRPr="009D56B8" w:rsidRDefault="00C770E8">
      <w:pPr>
        <w:widowControl w:val="0"/>
        <w:tabs>
          <w:tab w:val="clear" w:pos="567"/>
        </w:tabs>
        <w:ind w:right="-2"/>
        <w:rPr>
          <w:b/>
          <w:szCs w:val="22"/>
          <w:lang w:val="nb-NO"/>
        </w:rPr>
      </w:pPr>
      <w:r w:rsidRPr="009D56B8">
        <w:rPr>
          <w:b/>
          <w:szCs w:val="22"/>
          <w:lang w:val="nb-NO"/>
        </w:rPr>
        <w:t xml:space="preserve">Hva </w:t>
      </w:r>
      <w:r w:rsidR="00D172C2" w:rsidRPr="009D56B8">
        <w:rPr>
          <w:b/>
          <w:szCs w:val="22"/>
          <w:lang w:val="nb-NO"/>
        </w:rPr>
        <w:t>Dimethyl fumarate Accord</w:t>
      </w:r>
      <w:r w:rsidRPr="009D56B8">
        <w:rPr>
          <w:b/>
          <w:szCs w:val="22"/>
          <w:lang w:val="nb-NO"/>
        </w:rPr>
        <w:t xml:space="preserve"> er</w:t>
      </w:r>
    </w:p>
    <w:p w14:paraId="5CD71D5D" w14:textId="77777777" w:rsidR="00E50867" w:rsidRPr="009D56B8" w:rsidRDefault="00E50867">
      <w:pPr>
        <w:widowControl w:val="0"/>
        <w:tabs>
          <w:tab w:val="clear" w:pos="567"/>
        </w:tabs>
        <w:ind w:right="-2"/>
        <w:rPr>
          <w:szCs w:val="22"/>
          <w:lang w:val="nb-NO"/>
        </w:rPr>
      </w:pPr>
    </w:p>
    <w:p w14:paraId="438E5BEA" w14:textId="33599AC8" w:rsidR="00E50867" w:rsidRPr="009D56B8" w:rsidRDefault="00D172C2">
      <w:pPr>
        <w:widowControl w:val="0"/>
        <w:tabs>
          <w:tab w:val="clear" w:pos="567"/>
        </w:tabs>
        <w:ind w:right="-2"/>
        <w:rPr>
          <w:szCs w:val="22"/>
          <w:lang w:val="nb-NO"/>
        </w:rPr>
      </w:pPr>
      <w:r w:rsidRPr="009D56B8">
        <w:rPr>
          <w:szCs w:val="22"/>
          <w:lang w:val="nb-NO"/>
        </w:rPr>
        <w:t>Dimethyl fumarate Accord</w:t>
      </w:r>
      <w:r w:rsidR="00C770E8" w:rsidRPr="009D56B8">
        <w:rPr>
          <w:szCs w:val="22"/>
          <w:lang w:val="nb-NO"/>
        </w:rPr>
        <w:t xml:space="preserve"> er et legemiddel som inneholder virkestoffet </w:t>
      </w:r>
      <w:r w:rsidR="00C770E8" w:rsidRPr="009D56B8">
        <w:rPr>
          <w:b/>
          <w:szCs w:val="22"/>
          <w:lang w:val="nb-NO"/>
        </w:rPr>
        <w:t>dimetylfumarat</w:t>
      </w:r>
      <w:r w:rsidR="00C770E8" w:rsidRPr="009D56B8">
        <w:rPr>
          <w:szCs w:val="22"/>
          <w:lang w:val="nb-NO"/>
        </w:rPr>
        <w:t>.</w:t>
      </w:r>
    </w:p>
    <w:p w14:paraId="476905C3" w14:textId="77777777" w:rsidR="00E50867" w:rsidRPr="009D56B8" w:rsidRDefault="00E50867">
      <w:pPr>
        <w:widowControl w:val="0"/>
        <w:tabs>
          <w:tab w:val="clear" w:pos="567"/>
        </w:tabs>
        <w:ind w:right="-2"/>
        <w:rPr>
          <w:szCs w:val="22"/>
          <w:lang w:val="nb-NO"/>
        </w:rPr>
      </w:pPr>
    </w:p>
    <w:p w14:paraId="230ED6F1" w14:textId="0F93AAE0" w:rsidR="00E50867" w:rsidRPr="009D56B8" w:rsidRDefault="00C770E8">
      <w:pPr>
        <w:widowControl w:val="0"/>
        <w:tabs>
          <w:tab w:val="clear" w:pos="567"/>
        </w:tabs>
        <w:ind w:right="-2"/>
        <w:rPr>
          <w:b/>
          <w:szCs w:val="22"/>
          <w:lang w:val="nb-NO"/>
        </w:rPr>
      </w:pPr>
      <w:r w:rsidRPr="009D56B8">
        <w:rPr>
          <w:b/>
          <w:szCs w:val="22"/>
          <w:lang w:val="nb-NO"/>
        </w:rPr>
        <w:t xml:space="preserve">Hva </w:t>
      </w:r>
      <w:r w:rsidR="00D172C2" w:rsidRPr="009D56B8">
        <w:rPr>
          <w:b/>
          <w:szCs w:val="22"/>
          <w:lang w:val="nb-NO"/>
        </w:rPr>
        <w:t>Dimethyl fumarate Accord</w:t>
      </w:r>
      <w:r w:rsidRPr="009D56B8">
        <w:rPr>
          <w:b/>
          <w:szCs w:val="22"/>
          <w:lang w:val="nb-NO"/>
        </w:rPr>
        <w:t xml:space="preserve"> brukes mot</w:t>
      </w:r>
    </w:p>
    <w:p w14:paraId="0B58B1DF" w14:textId="77777777" w:rsidR="00E50867" w:rsidRPr="009D56B8" w:rsidRDefault="00E50867">
      <w:pPr>
        <w:widowControl w:val="0"/>
        <w:tabs>
          <w:tab w:val="clear" w:pos="567"/>
        </w:tabs>
        <w:ind w:right="-2"/>
        <w:rPr>
          <w:b/>
          <w:szCs w:val="22"/>
          <w:lang w:val="nb-NO"/>
        </w:rPr>
      </w:pPr>
    </w:p>
    <w:p w14:paraId="64AC7514" w14:textId="28871B56" w:rsidR="00E50867" w:rsidRPr="009D56B8" w:rsidRDefault="00D172C2">
      <w:pPr>
        <w:widowControl w:val="0"/>
        <w:tabs>
          <w:tab w:val="clear" w:pos="567"/>
        </w:tabs>
        <w:ind w:right="-2"/>
        <w:rPr>
          <w:szCs w:val="22"/>
          <w:lang w:val="nb-NO"/>
        </w:rPr>
      </w:pPr>
      <w:r w:rsidRPr="009D56B8">
        <w:rPr>
          <w:b/>
          <w:szCs w:val="22"/>
          <w:lang w:val="nb-NO"/>
        </w:rPr>
        <w:t>Dimethyl fumarate Accord</w:t>
      </w:r>
      <w:r w:rsidR="00C770E8" w:rsidRPr="009D56B8">
        <w:rPr>
          <w:b/>
          <w:szCs w:val="22"/>
          <w:lang w:val="nb-NO"/>
        </w:rPr>
        <w:t xml:space="preserve"> brukes til å behandle attakkvis multippel sklerose (relapserende-remitterende MS) hos pasienter</w:t>
      </w:r>
      <w:r w:rsidR="00A02DCC" w:rsidRPr="009D56B8">
        <w:rPr>
          <w:b/>
          <w:szCs w:val="22"/>
          <w:lang w:val="nb-NO"/>
        </w:rPr>
        <w:t xml:space="preserve"> fra </w:t>
      </w:r>
      <w:r w:rsidR="00642861" w:rsidRPr="009D56B8">
        <w:rPr>
          <w:b/>
          <w:szCs w:val="22"/>
          <w:lang w:val="nb-NO"/>
        </w:rPr>
        <w:t xml:space="preserve">og med </w:t>
      </w:r>
      <w:r w:rsidR="00A02DCC" w:rsidRPr="009D56B8">
        <w:rPr>
          <w:b/>
          <w:szCs w:val="22"/>
          <w:lang w:val="nb-NO"/>
        </w:rPr>
        <w:t>13 år.</w:t>
      </w:r>
    </w:p>
    <w:p w14:paraId="3276A298" w14:textId="77777777" w:rsidR="00A02DCC" w:rsidRPr="009D56B8" w:rsidRDefault="00A02DCC">
      <w:pPr>
        <w:widowControl w:val="0"/>
        <w:tabs>
          <w:tab w:val="clear" w:pos="567"/>
        </w:tabs>
        <w:ind w:right="-2"/>
        <w:rPr>
          <w:szCs w:val="22"/>
          <w:lang w:val="nb-NO"/>
        </w:rPr>
      </w:pPr>
    </w:p>
    <w:p w14:paraId="47145B87" w14:textId="77777777" w:rsidR="00E50867" w:rsidRPr="009D56B8" w:rsidRDefault="00C770E8">
      <w:pPr>
        <w:widowControl w:val="0"/>
        <w:tabs>
          <w:tab w:val="clear" w:pos="567"/>
        </w:tabs>
        <w:ind w:right="-2"/>
        <w:rPr>
          <w:szCs w:val="22"/>
          <w:lang w:val="nb-NO"/>
        </w:rPr>
      </w:pPr>
      <w:r w:rsidRPr="009D56B8">
        <w:rPr>
          <w:szCs w:val="22"/>
          <w:lang w:val="nb-NO"/>
        </w:rPr>
        <w:t>MS er en kronisk sykdom som påvirker sentralnervesystemet (CNS), inkludert hjernen og ryggmargen. Attakkvis MS kjennetegnes ved gjentatte anfall (attakk) med symptomer i nervesystemet. Symptomene varierer fra pasient til pasient, men omfatter vanligvis vanskeligheter med å gå, følelsen av manglende balanse og synsforstyrrelser (f.eks. tåke- eller dobbeltsyn). Disse symptomene kan forsvinne helt når anfallet er over, men enkelte problemer kan bli værende.</w:t>
      </w:r>
    </w:p>
    <w:p w14:paraId="73082D05" w14:textId="77777777" w:rsidR="00E50867" w:rsidRPr="009D56B8" w:rsidRDefault="00E50867">
      <w:pPr>
        <w:widowControl w:val="0"/>
        <w:tabs>
          <w:tab w:val="clear" w:pos="567"/>
        </w:tabs>
        <w:ind w:right="-2"/>
        <w:rPr>
          <w:b/>
          <w:szCs w:val="22"/>
          <w:lang w:val="nb-NO"/>
        </w:rPr>
      </w:pPr>
    </w:p>
    <w:p w14:paraId="1BB41700" w14:textId="62308051" w:rsidR="00E50867" w:rsidRPr="009D56B8" w:rsidRDefault="00C770E8">
      <w:pPr>
        <w:widowControl w:val="0"/>
        <w:tabs>
          <w:tab w:val="clear" w:pos="567"/>
        </w:tabs>
        <w:ind w:right="-2"/>
        <w:rPr>
          <w:szCs w:val="22"/>
          <w:lang w:val="nb-NO"/>
        </w:rPr>
      </w:pPr>
      <w:r w:rsidRPr="009D56B8">
        <w:rPr>
          <w:b/>
          <w:szCs w:val="22"/>
          <w:lang w:val="nb-NO"/>
        </w:rPr>
        <w:t xml:space="preserve">Hvordan </w:t>
      </w:r>
      <w:r w:rsidR="00D172C2" w:rsidRPr="009D56B8">
        <w:rPr>
          <w:b/>
          <w:szCs w:val="22"/>
          <w:lang w:val="nb-NO"/>
        </w:rPr>
        <w:t>Dimethyl fumarate Accord</w:t>
      </w:r>
      <w:r w:rsidRPr="009D56B8">
        <w:rPr>
          <w:b/>
          <w:szCs w:val="22"/>
          <w:lang w:val="nb-NO"/>
        </w:rPr>
        <w:t xml:space="preserve"> virker</w:t>
      </w:r>
    </w:p>
    <w:p w14:paraId="66E309FA" w14:textId="77777777" w:rsidR="00E50867" w:rsidRPr="009D56B8" w:rsidRDefault="00E50867">
      <w:pPr>
        <w:widowControl w:val="0"/>
        <w:tabs>
          <w:tab w:val="clear" w:pos="567"/>
        </w:tabs>
        <w:ind w:right="-2"/>
        <w:rPr>
          <w:szCs w:val="22"/>
          <w:lang w:val="nb-NO"/>
        </w:rPr>
      </w:pPr>
    </w:p>
    <w:p w14:paraId="2F02B7C1" w14:textId="79B7879A" w:rsidR="00E50867" w:rsidRPr="009D56B8" w:rsidRDefault="00D172C2">
      <w:pPr>
        <w:widowControl w:val="0"/>
        <w:tabs>
          <w:tab w:val="clear" w:pos="567"/>
        </w:tabs>
        <w:ind w:right="-2"/>
        <w:rPr>
          <w:szCs w:val="22"/>
          <w:lang w:val="nb-NO"/>
        </w:rPr>
      </w:pPr>
      <w:r w:rsidRPr="009D56B8">
        <w:rPr>
          <w:szCs w:val="22"/>
          <w:lang w:val="nb-NO"/>
        </w:rPr>
        <w:t>Dimethyl fumarate Accord</w:t>
      </w:r>
      <w:r w:rsidR="00C770E8" w:rsidRPr="009D56B8">
        <w:rPr>
          <w:szCs w:val="22"/>
          <w:lang w:val="nb-NO"/>
        </w:rPr>
        <w:t xml:space="preserve"> ser ut til å virke ved å stoppe kroppens forsvarssystem i å skade hjernen og ryggmargen. Dette kan også bidra til å forsinke fremtidig forverring av MS.</w:t>
      </w:r>
    </w:p>
    <w:p w14:paraId="16502B3A" w14:textId="77777777" w:rsidR="00E50867" w:rsidRPr="009D56B8" w:rsidRDefault="00E50867">
      <w:pPr>
        <w:widowControl w:val="0"/>
        <w:tabs>
          <w:tab w:val="clear" w:pos="567"/>
        </w:tabs>
        <w:ind w:right="-2"/>
        <w:rPr>
          <w:szCs w:val="22"/>
          <w:lang w:val="nb-NO"/>
        </w:rPr>
      </w:pPr>
    </w:p>
    <w:p w14:paraId="1C9707D2" w14:textId="77777777" w:rsidR="00E50867" w:rsidRPr="009D56B8" w:rsidRDefault="00E50867">
      <w:pPr>
        <w:widowControl w:val="0"/>
        <w:tabs>
          <w:tab w:val="clear" w:pos="567"/>
        </w:tabs>
        <w:ind w:right="-2"/>
        <w:rPr>
          <w:szCs w:val="22"/>
          <w:lang w:val="nb-NO"/>
        </w:rPr>
      </w:pPr>
    </w:p>
    <w:p w14:paraId="6913BC28" w14:textId="10DA1988" w:rsidR="00E50867" w:rsidRPr="009D56B8" w:rsidRDefault="00C770E8">
      <w:pPr>
        <w:keepNext/>
        <w:widowControl w:val="0"/>
        <w:ind w:right="-2"/>
        <w:rPr>
          <w:szCs w:val="22"/>
          <w:lang w:val="nb-NO"/>
        </w:rPr>
      </w:pPr>
      <w:r w:rsidRPr="009D56B8">
        <w:rPr>
          <w:b/>
          <w:szCs w:val="22"/>
          <w:lang w:val="nb-NO"/>
        </w:rPr>
        <w:lastRenderedPageBreak/>
        <w:t>2.</w:t>
      </w:r>
      <w:r w:rsidRPr="009D56B8">
        <w:rPr>
          <w:b/>
          <w:szCs w:val="22"/>
          <w:lang w:val="nb-NO"/>
        </w:rPr>
        <w:tab/>
        <w:t xml:space="preserve">Hva du må vite før du bruker </w:t>
      </w:r>
      <w:r w:rsidR="00D172C2" w:rsidRPr="009D56B8">
        <w:rPr>
          <w:b/>
          <w:szCs w:val="22"/>
          <w:lang w:val="nb-NO"/>
        </w:rPr>
        <w:t>Dimethyl fumarate Accord</w:t>
      </w:r>
    </w:p>
    <w:p w14:paraId="35264591" w14:textId="77777777" w:rsidR="00E50867" w:rsidRPr="009D56B8" w:rsidRDefault="00E50867">
      <w:pPr>
        <w:keepNext/>
        <w:rPr>
          <w:szCs w:val="22"/>
          <w:lang w:val="nb-NO"/>
        </w:rPr>
      </w:pPr>
    </w:p>
    <w:p w14:paraId="184788E5" w14:textId="1A12302E" w:rsidR="00E50867" w:rsidRPr="009D56B8" w:rsidRDefault="00C770E8">
      <w:pPr>
        <w:keepNext/>
        <w:widowControl w:val="0"/>
        <w:tabs>
          <w:tab w:val="clear" w:pos="567"/>
        </w:tabs>
        <w:rPr>
          <w:b/>
          <w:szCs w:val="22"/>
          <w:lang w:val="nb-NO"/>
        </w:rPr>
      </w:pPr>
      <w:r w:rsidRPr="009D56B8">
        <w:rPr>
          <w:b/>
          <w:szCs w:val="22"/>
          <w:lang w:val="nb-NO"/>
        </w:rPr>
        <w:t xml:space="preserve">Bruk ikke </w:t>
      </w:r>
      <w:r w:rsidR="00D172C2" w:rsidRPr="009D56B8">
        <w:rPr>
          <w:b/>
          <w:szCs w:val="22"/>
          <w:lang w:val="nb-NO"/>
        </w:rPr>
        <w:t>Dimethyl fumarate Accord</w:t>
      </w:r>
    </w:p>
    <w:p w14:paraId="0B5B7C08" w14:textId="77777777" w:rsidR="00E50867" w:rsidRPr="009D56B8" w:rsidRDefault="00E50867">
      <w:pPr>
        <w:keepNext/>
        <w:rPr>
          <w:szCs w:val="22"/>
          <w:lang w:val="nb-NO"/>
        </w:rPr>
      </w:pPr>
    </w:p>
    <w:p w14:paraId="4FB1F348" w14:textId="77777777" w:rsidR="00E50867" w:rsidRPr="009D56B8" w:rsidRDefault="00C770E8">
      <w:pPr>
        <w:keepNext/>
        <w:numPr>
          <w:ilvl w:val="0"/>
          <w:numId w:val="3"/>
        </w:numPr>
        <w:tabs>
          <w:tab w:val="clear" w:pos="567"/>
        </w:tabs>
        <w:ind w:left="567" w:hanging="567"/>
        <w:rPr>
          <w:szCs w:val="22"/>
          <w:lang w:val="nb-NO"/>
        </w:rPr>
      </w:pPr>
      <w:r w:rsidRPr="009D56B8">
        <w:rPr>
          <w:b/>
          <w:szCs w:val="22"/>
          <w:lang w:val="nb-NO"/>
        </w:rPr>
        <w:t>dersom du er allergisk overfor</w:t>
      </w:r>
      <w:r w:rsidRPr="009D56B8">
        <w:rPr>
          <w:szCs w:val="22"/>
          <w:lang w:val="nb-NO"/>
        </w:rPr>
        <w:t xml:space="preserve"> </w:t>
      </w:r>
      <w:r w:rsidRPr="009D56B8">
        <w:rPr>
          <w:b/>
          <w:szCs w:val="22"/>
          <w:lang w:val="nb-NO"/>
        </w:rPr>
        <w:t>dimetylfumarat</w:t>
      </w:r>
      <w:r w:rsidRPr="009D56B8">
        <w:rPr>
          <w:szCs w:val="22"/>
          <w:lang w:val="nb-NO"/>
        </w:rPr>
        <w:t xml:space="preserve"> eller noen av de andre innholdsstoffene i dette legemidlet (listet opp i avsnitt 6)</w:t>
      </w:r>
    </w:p>
    <w:p w14:paraId="78CEE9B8" w14:textId="77777777" w:rsidR="00E50867" w:rsidRPr="009D56B8" w:rsidRDefault="00C770E8">
      <w:pPr>
        <w:keepNext/>
        <w:numPr>
          <w:ilvl w:val="0"/>
          <w:numId w:val="3"/>
        </w:numPr>
        <w:tabs>
          <w:tab w:val="clear" w:pos="567"/>
        </w:tabs>
        <w:ind w:left="567" w:hanging="567"/>
        <w:rPr>
          <w:lang w:val="nb-NO"/>
        </w:rPr>
      </w:pPr>
      <w:r w:rsidRPr="009D56B8">
        <w:rPr>
          <w:b/>
          <w:szCs w:val="22"/>
          <w:lang w:val="nb-NO"/>
        </w:rPr>
        <w:t xml:space="preserve">dersom </w:t>
      </w:r>
      <w:r w:rsidRPr="009D56B8">
        <w:rPr>
          <w:b/>
          <w:lang w:val="nb-NO"/>
        </w:rPr>
        <w:t>det er mistanke om at du har en sjelden infeksjon i hjernen som kalles progressiv multifokal leukoencefalopati (PML) eller hvis det er fastslått at du har PML.</w:t>
      </w:r>
    </w:p>
    <w:p w14:paraId="34E92C82" w14:textId="77777777" w:rsidR="00E50867" w:rsidRPr="009D56B8" w:rsidRDefault="00E50867">
      <w:pPr>
        <w:keepNext/>
        <w:widowControl w:val="0"/>
        <w:tabs>
          <w:tab w:val="clear" w:pos="567"/>
        </w:tabs>
        <w:rPr>
          <w:szCs w:val="22"/>
          <w:lang w:val="nb-NO"/>
        </w:rPr>
      </w:pPr>
    </w:p>
    <w:p w14:paraId="705D4A05" w14:textId="77777777" w:rsidR="00E50867" w:rsidRPr="009D56B8" w:rsidRDefault="00C770E8">
      <w:pPr>
        <w:keepNext/>
        <w:widowControl w:val="0"/>
        <w:tabs>
          <w:tab w:val="clear" w:pos="567"/>
        </w:tabs>
        <w:rPr>
          <w:b/>
          <w:szCs w:val="22"/>
          <w:lang w:val="nb-NO"/>
        </w:rPr>
      </w:pPr>
      <w:r w:rsidRPr="009D56B8">
        <w:rPr>
          <w:b/>
          <w:szCs w:val="22"/>
          <w:lang w:val="nb-NO"/>
        </w:rPr>
        <w:t>Advarsler og forsiktighetsregler</w:t>
      </w:r>
    </w:p>
    <w:p w14:paraId="45ED9701" w14:textId="77777777" w:rsidR="00E50867" w:rsidRPr="009D56B8" w:rsidRDefault="00E50867">
      <w:pPr>
        <w:widowControl w:val="0"/>
        <w:tabs>
          <w:tab w:val="clear" w:pos="567"/>
        </w:tabs>
        <w:rPr>
          <w:b/>
          <w:szCs w:val="22"/>
          <w:lang w:val="nb-NO"/>
        </w:rPr>
      </w:pPr>
    </w:p>
    <w:p w14:paraId="46C6DE80" w14:textId="0FBC0823" w:rsidR="00E50867" w:rsidRPr="009D56B8" w:rsidRDefault="00D172C2">
      <w:pPr>
        <w:widowControl w:val="0"/>
        <w:tabs>
          <w:tab w:val="clear" w:pos="567"/>
        </w:tabs>
        <w:rPr>
          <w:szCs w:val="22"/>
          <w:lang w:val="nb-NO"/>
        </w:rPr>
      </w:pPr>
      <w:r w:rsidRPr="009D56B8">
        <w:rPr>
          <w:szCs w:val="22"/>
          <w:lang w:val="nb-NO"/>
        </w:rPr>
        <w:t>Dimethyl fumarate Accord</w:t>
      </w:r>
      <w:r w:rsidR="00C770E8" w:rsidRPr="009D56B8">
        <w:rPr>
          <w:szCs w:val="22"/>
          <w:lang w:val="nb-NO"/>
        </w:rPr>
        <w:t xml:space="preserve"> kan påvirke </w:t>
      </w:r>
      <w:r w:rsidR="00C770E8" w:rsidRPr="009D56B8">
        <w:rPr>
          <w:b/>
          <w:szCs w:val="22"/>
          <w:lang w:val="nb-NO"/>
        </w:rPr>
        <w:t xml:space="preserve">antallet hvite blodceller, nyrer </w:t>
      </w:r>
      <w:r w:rsidR="00C770E8" w:rsidRPr="009D56B8">
        <w:rPr>
          <w:szCs w:val="22"/>
          <w:lang w:val="nb-NO"/>
        </w:rPr>
        <w:t>og</w:t>
      </w:r>
      <w:r w:rsidR="00C770E8" w:rsidRPr="009D56B8">
        <w:rPr>
          <w:b/>
          <w:szCs w:val="22"/>
          <w:lang w:val="nb-NO"/>
        </w:rPr>
        <w:t xml:space="preserve"> lever</w:t>
      </w:r>
      <w:r w:rsidR="00C770E8" w:rsidRPr="009D56B8">
        <w:rPr>
          <w:szCs w:val="22"/>
          <w:lang w:val="nb-NO"/>
        </w:rPr>
        <w:t xml:space="preserve">. Før du begynner å ta </w:t>
      </w:r>
      <w:r w:rsidRPr="009D56B8">
        <w:rPr>
          <w:szCs w:val="22"/>
          <w:lang w:val="nb-NO"/>
        </w:rPr>
        <w:t>Dimethyl fumarate Accord</w:t>
      </w:r>
      <w:r w:rsidR="00C770E8" w:rsidRPr="009D56B8">
        <w:rPr>
          <w:szCs w:val="22"/>
          <w:lang w:val="nb-NO"/>
        </w:rPr>
        <w:t>, vil legen ta blodprøver for å sjekke antall hvite blodceller og sjekke at nyrene og leveren fungerer som de skal. Legen vil sjekke dette med jevne mellomrom under behandlingen. Hvis antall hvite blodceller går ned under behandlingen, kan legen vurdere å gjøre ytterligere undersøkelser eller avslutte behandlingen.</w:t>
      </w:r>
    </w:p>
    <w:p w14:paraId="5652A5DF" w14:textId="77777777" w:rsidR="00E50867" w:rsidRPr="009D56B8" w:rsidRDefault="00E50867">
      <w:pPr>
        <w:rPr>
          <w:szCs w:val="22"/>
          <w:lang w:val="nb-NO"/>
        </w:rPr>
      </w:pPr>
    </w:p>
    <w:p w14:paraId="3BB23FE4" w14:textId="3B90EE0C" w:rsidR="00E50867" w:rsidRPr="009D56B8" w:rsidRDefault="00C770E8">
      <w:pPr>
        <w:rPr>
          <w:szCs w:val="22"/>
          <w:lang w:val="nb-NO"/>
        </w:rPr>
      </w:pPr>
      <w:r w:rsidRPr="009D56B8">
        <w:rPr>
          <w:b/>
          <w:szCs w:val="22"/>
          <w:lang w:val="nb-NO"/>
        </w:rPr>
        <w:t>Snakk med lege</w:t>
      </w:r>
      <w:r w:rsidRPr="009D56B8">
        <w:rPr>
          <w:szCs w:val="22"/>
          <w:lang w:val="nb-NO"/>
        </w:rPr>
        <w:t xml:space="preserve"> før du bruker </w:t>
      </w:r>
      <w:r w:rsidR="00D172C2" w:rsidRPr="009D56B8">
        <w:rPr>
          <w:szCs w:val="22"/>
          <w:lang w:val="nb-NO"/>
        </w:rPr>
        <w:t>Dimethyl fumarate Accord</w:t>
      </w:r>
      <w:r w:rsidRPr="009D56B8">
        <w:rPr>
          <w:szCs w:val="22"/>
          <w:lang w:val="nb-NO"/>
        </w:rPr>
        <w:t xml:space="preserve"> dersom du har:</w:t>
      </w:r>
    </w:p>
    <w:p w14:paraId="4049EC8A" w14:textId="77777777" w:rsidR="00E50867" w:rsidRPr="009D56B8" w:rsidRDefault="00C770E8">
      <w:pPr>
        <w:numPr>
          <w:ilvl w:val="0"/>
          <w:numId w:val="3"/>
        </w:numPr>
        <w:tabs>
          <w:tab w:val="clear" w:pos="567"/>
        </w:tabs>
        <w:ind w:left="567" w:hanging="567"/>
        <w:rPr>
          <w:szCs w:val="22"/>
          <w:lang w:val="nb-NO"/>
        </w:rPr>
      </w:pPr>
      <w:r w:rsidRPr="009D56B8">
        <w:rPr>
          <w:szCs w:val="22"/>
          <w:lang w:val="nb-NO"/>
        </w:rPr>
        <w:t xml:space="preserve">alvorlig </w:t>
      </w:r>
      <w:r w:rsidRPr="009D56B8">
        <w:rPr>
          <w:b/>
          <w:szCs w:val="22"/>
          <w:lang w:val="nb-NO"/>
        </w:rPr>
        <w:t>nyresykdom</w:t>
      </w:r>
    </w:p>
    <w:p w14:paraId="6F043462" w14:textId="77777777" w:rsidR="00E50867" w:rsidRPr="009D56B8" w:rsidRDefault="00C770E8">
      <w:pPr>
        <w:numPr>
          <w:ilvl w:val="0"/>
          <w:numId w:val="3"/>
        </w:numPr>
        <w:tabs>
          <w:tab w:val="clear" w:pos="567"/>
        </w:tabs>
        <w:ind w:left="567" w:hanging="567"/>
        <w:rPr>
          <w:szCs w:val="22"/>
          <w:lang w:val="nb-NO"/>
        </w:rPr>
      </w:pPr>
      <w:r w:rsidRPr="009D56B8">
        <w:rPr>
          <w:szCs w:val="22"/>
          <w:lang w:val="nb-NO"/>
        </w:rPr>
        <w:t xml:space="preserve">alvorlig </w:t>
      </w:r>
      <w:r w:rsidRPr="009D56B8">
        <w:rPr>
          <w:b/>
          <w:szCs w:val="22"/>
          <w:lang w:val="nb-NO"/>
        </w:rPr>
        <w:t>leversykdom</w:t>
      </w:r>
    </w:p>
    <w:p w14:paraId="0F5A9408" w14:textId="77777777" w:rsidR="00E50867" w:rsidRPr="009D56B8" w:rsidRDefault="00C770E8">
      <w:pPr>
        <w:numPr>
          <w:ilvl w:val="0"/>
          <w:numId w:val="3"/>
        </w:numPr>
        <w:tabs>
          <w:tab w:val="clear" w:pos="567"/>
        </w:tabs>
        <w:ind w:left="567" w:hanging="567"/>
        <w:rPr>
          <w:b/>
          <w:szCs w:val="22"/>
          <w:lang w:val="nb-NO"/>
        </w:rPr>
      </w:pPr>
      <w:r w:rsidRPr="009D56B8">
        <w:rPr>
          <w:szCs w:val="22"/>
          <w:lang w:val="nb-NO"/>
        </w:rPr>
        <w:t xml:space="preserve">en sykdom i </w:t>
      </w:r>
      <w:r w:rsidRPr="009D56B8">
        <w:rPr>
          <w:b/>
          <w:szCs w:val="22"/>
          <w:lang w:val="nb-NO"/>
        </w:rPr>
        <w:t>mage</w:t>
      </w:r>
      <w:r w:rsidRPr="009D56B8">
        <w:rPr>
          <w:szCs w:val="22"/>
          <w:lang w:val="nb-NO"/>
        </w:rPr>
        <w:t xml:space="preserve"> eller </w:t>
      </w:r>
      <w:r w:rsidRPr="009D56B8">
        <w:rPr>
          <w:b/>
          <w:szCs w:val="22"/>
          <w:lang w:val="nb-NO"/>
        </w:rPr>
        <w:t>tarm</w:t>
      </w:r>
    </w:p>
    <w:p w14:paraId="20EDB746" w14:textId="77777777" w:rsidR="00E50867" w:rsidRPr="009D56B8" w:rsidRDefault="00C770E8">
      <w:pPr>
        <w:numPr>
          <w:ilvl w:val="0"/>
          <w:numId w:val="3"/>
        </w:numPr>
        <w:tabs>
          <w:tab w:val="clear" w:pos="567"/>
        </w:tabs>
        <w:ind w:left="567" w:hanging="567"/>
        <w:rPr>
          <w:szCs w:val="22"/>
          <w:lang w:val="nb-NO"/>
        </w:rPr>
      </w:pPr>
      <w:r w:rsidRPr="009D56B8">
        <w:rPr>
          <w:szCs w:val="22"/>
          <w:lang w:val="nb-NO"/>
        </w:rPr>
        <w:t xml:space="preserve">alvorlig </w:t>
      </w:r>
      <w:r w:rsidRPr="009D56B8">
        <w:rPr>
          <w:b/>
          <w:szCs w:val="22"/>
          <w:lang w:val="nb-NO"/>
        </w:rPr>
        <w:t xml:space="preserve">infeksjon </w:t>
      </w:r>
      <w:r w:rsidRPr="009D56B8">
        <w:rPr>
          <w:szCs w:val="22"/>
          <w:lang w:val="nb-NO"/>
        </w:rPr>
        <w:t>(slik som lungebetennelse)</w:t>
      </w:r>
    </w:p>
    <w:p w14:paraId="5A9CAD07" w14:textId="77777777" w:rsidR="00E50867" w:rsidRPr="009D56B8" w:rsidRDefault="00E50867">
      <w:pPr>
        <w:widowControl w:val="0"/>
        <w:tabs>
          <w:tab w:val="clear" w:pos="567"/>
        </w:tabs>
        <w:rPr>
          <w:szCs w:val="22"/>
          <w:lang w:val="nb-NO"/>
        </w:rPr>
      </w:pPr>
    </w:p>
    <w:p w14:paraId="47A6D303" w14:textId="42091934" w:rsidR="00E50867" w:rsidRPr="009D56B8" w:rsidRDefault="00C770E8">
      <w:pPr>
        <w:rPr>
          <w:lang w:val="nb-NO"/>
        </w:rPr>
      </w:pPr>
      <w:r w:rsidRPr="009D56B8">
        <w:rPr>
          <w:lang w:val="nb-NO"/>
        </w:rPr>
        <w:t xml:space="preserve">Herpes zoster (helvetesild) kan forekomme ved behandling med </w:t>
      </w:r>
      <w:r w:rsidR="00D172C2" w:rsidRPr="009D56B8">
        <w:rPr>
          <w:lang w:val="nb-NO"/>
        </w:rPr>
        <w:t>Dimethyl fumarate Accord</w:t>
      </w:r>
      <w:r w:rsidRPr="009D56B8">
        <w:rPr>
          <w:lang w:val="nb-NO"/>
        </w:rPr>
        <w:t xml:space="preserve">. I noen tilfeller har det oppstått alvorlige komplikasjoner. </w:t>
      </w:r>
      <w:r w:rsidRPr="009D56B8">
        <w:rPr>
          <w:rStyle w:val="Strong"/>
          <w:lang w:val="nb-NO"/>
        </w:rPr>
        <w:t>Snakk med lege</w:t>
      </w:r>
      <w:r w:rsidRPr="009D56B8">
        <w:rPr>
          <w:lang w:val="nb-NO"/>
        </w:rPr>
        <w:t xml:space="preserve"> umiddelbart hvis du mistenker at du har symptomer på helvetesild.</w:t>
      </w:r>
    </w:p>
    <w:p w14:paraId="65FA0263" w14:textId="77777777" w:rsidR="00E50867" w:rsidRPr="009D56B8" w:rsidRDefault="00E50867">
      <w:pPr>
        <w:rPr>
          <w:lang w:val="nb-NO"/>
        </w:rPr>
      </w:pPr>
    </w:p>
    <w:p w14:paraId="433A8A2C" w14:textId="29C3784E" w:rsidR="00E50867" w:rsidRPr="009D56B8" w:rsidRDefault="00C770E8">
      <w:pPr>
        <w:pStyle w:val="Standard"/>
        <w:rPr>
          <w:szCs w:val="22"/>
          <w:lang w:val="nb-NO"/>
        </w:rPr>
      </w:pPr>
      <w:r w:rsidRPr="009D56B8">
        <w:rPr>
          <w:szCs w:val="22"/>
          <w:lang w:val="nb-NO"/>
        </w:rPr>
        <w:t xml:space="preserve">Hvis du tror at MS-sykdommen er i ferd med å bli verre (f.eks. svekkelser eller synsforstyrrelser) eller hvis du merker nye symptomer, må du snakke med lege umiddelbart, fordi dette kan være symptomer på en sjelden infeksjon i hjernen som kalles PML. </w:t>
      </w:r>
      <w:r w:rsidRPr="009D56B8">
        <w:rPr>
          <w:lang w:val="nb-NO"/>
        </w:rPr>
        <w:t>PML er en alvorlig tilstand som kan føre til alvorlig nedsatt funksjonsevne eller død.</w:t>
      </w:r>
    </w:p>
    <w:p w14:paraId="37D39DA4" w14:textId="77777777" w:rsidR="00E50867" w:rsidRPr="009D56B8" w:rsidRDefault="00E50867">
      <w:pPr>
        <w:pStyle w:val="Standard"/>
        <w:rPr>
          <w:lang w:val="nb-NO"/>
        </w:rPr>
      </w:pPr>
    </w:p>
    <w:p w14:paraId="4C536662" w14:textId="03F7E244" w:rsidR="00E50867" w:rsidRPr="009D56B8" w:rsidRDefault="00C770E8">
      <w:pPr>
        <w:rPr>
          <w:lang w:val="nb-NO"/>
        </w:rPr>
      </w:pPr>
      <w:r w:rsidRPr="009D56B8">
        <w:rPr>
          <w:lang w:val="nb-NO"/>
        </w:rPr>
        <w:t>Det er rapportert en sjelden, men alvorlig nyresykdom</w:t>
      </w:r>
      <w:r w:rsidR="00327BDD" w:rsidRPr="009D56B8">
        <w:rPr>
          <w:lang w:val="nb-NO"/>
        </w:rPr>
        <w:t xml:space="preserve"> som kalles</w:t>
      </w:r>
      <w:r w:rsidRPr="009D56B8">
        <w:rPr>
          <w:lang w:val="nb-NO"/>
        </w:rPr>
        <w:t xml:space="preserve"> Fanconis syndrom</w:t>
      </w:r>
      <w:r w:rsidR="00E16E3D" w:rsidRPr="009D56B8">
        <w:rPr>
          <w:lang w:val="nb-NO"/>
        </w:rPr>
        <w:t xml:space="preserve"> med</w:t>
      </w:r>
      <w:r w:rsidRPr="009D56B8">
        <w:rPr>
          <w:lang w:val="nb-NO"/>
        </w:rPr>
        <w:t xml:space="preserve"> et legemiddel som inneholder dimetylfumarat i kombinasjon med andre fumarsyreestere, som brukes til å behandle psoriasis (en hudsykdom). Snakk med lege umiddelbart hvis du har økt vannlating, er tørst</w:t>
      </w:r>
      <w:r w:rsidR="00E16E3D" w:rsidRPr="009D56B8">
        <w:rPr>
          <w:lang w:val="nb-NO"/>
        </w:rPr>
        <w:t>ere</w:t>
      </w:r>
      <w:r w:rsidRPr="009D56B8">
        <w:rPr>
          <w:lang w:val="nb-NO"/>
        </w:rPr>
        <w:t xml:space="preserve"> og drikker mer enn normalt, hvis musklene dine virker svakere, hvis du brekker et bein eller har smerter. Legen kan vurdere å undersøke dette nærmere.</w:t>
      </w:r>
    </w:p>
    <w:p w14:paraId="368B9438" w14:textId="77777777" w:rsidR="00E50867" w:rsidRPr="009D56B8" w:rsidRDefault="00E50867">
      <w:pPr>
        <w:widowControl w:val="0"/>
        <w:tabs>
          <w:tab w:val="clear" w:pos="567"/>
        </w:tabs>
        <w:rPr>
          <w:szCs w:val="22"/>
          <w:lang w:val="nb-NO"/>
        </w:rPr>
      </w:pPr>
    </w:p>
    <w:p w14:paraId="23C20149" w14:textId="77777777" w:rsidR="00E50867" w:rsidRPr="009D56B8" w:rsidRDefault="00C770E8">
      <w:pPr>
        <w:widowControl w:val="0"/>
        <w:tabs>
          <w:tab w:val="clear" w:pos="567"/>
        </w:tabs>
        <w:rPr>
          <w:b/>
          <w:szCs w:val="22"/>
          <w:lang w:val="nb-NO"/>
        </w:rPr>
      </w:pPr>
      <w:r w:rsidRPr="009D56B8">
        <w:rPr>
          <w:b/>
          <w:szCs w:val="22"/>
          <w:lang w:val="nb-NO"/>
        </w:rPr>
        <w:t>Barn og ungdom</w:t>
      </w:r>
    </w:p>
    <w:p w14:paraId="64B8184C" w14:textId="77777777" w:rsidR="00E50867" w:rsidRPr="009D56B8" w:rsidRDefault="00E50867">
      <w:pPr>
        <w:widowControl w:val="0"/>
        <w:tabs>
          <w:tab w:val="clear" w:pos="567"/>
        </w:tabs>
        <w:rPr>
          <w:b/>
          <w:szCs w:val="22"/>
          <w:lang w:val="nb-NO"/>
        </w:rPr>
      </w:pPr>
    </w:p>
    <w:p w14:paraId="05890018" w14:textId="62404139" w:rsidR="00E50867" w:rsidRPr="009D56B8" w:rsidRDefault="00327BDD">
      <w:pPr>
        <w:widowControl w:val="0"/>
        <w:tabs>
          <w:tab w:val="clear" w:pos="567"/>
        </w:tabs>
        <w:rPr>
          <w:b/>
          <w:szCs w:val="22"/>
          <w:lang w:val="nb-NO"/>
        </w:rPr>
      </w:pPr>
      <w:r w:rsidRPr="009D56B8">
        <w:rPr>
          <w:szCs w:val="22"/>
          <w:lang w:val="nb-NO"/>
        </w:rPr>
        <w:t>D</w:t>
      </w:r>
      <w:r w:rsidR="002D7177" w:rsidRPr="009D56B8">
        <w:rPr>
          <w:szCs w:val="22"/>
          <w:lang w:val="nb-NO"/>
        </w:rPr>
        <w:t>ette legemidlet</w:t>
      </w:r>
      <w:r w:rsidRPr="009D56B8">
        <w:rPr>
          <w:szCs w:val="22"/>
          <w:lang w:val="nb-NO"/>
        </w:rPr>
        <w:t xml:space="preserve"> skal ikke gis</w:t>
      </w:r>
      <w:r w:rsidR="002D7177" w:rsidRPr="009D56B8">
        <w:rPr>
          <w:szCs w:val="22"/>
          <w:lang w:val="nb-NO"/>
        </w:rPr>
        <w:t xml:space="preserve"> til barn under 10 år, </w:t>
      </w:r>
      <w:r w:rsidRPr="009D56B8">
        <w:rPr>
          <w:szCs w:val="22"/>
          <w:lang w:val="nb-NO"/>
        </w:rPr>
        <w:t>fordi</w:t>
      </w:r>
      <w:r w:rsidR="002D7177" w:rsidRPr="009D56B8">
        <w:rPr>
          <w:szCs w:val="22"/>
          <w:lang w:val="nb-NO"/>
        </w:rPr>
        <w:t xml:space="preserve"> d</w:t>
      </w:r>
      <w:r w:rsidR="00F876A5" w:rsidRPr="009D56B8">
        <w:rPr>
          <w:szCs w:val="22"/>
          <w:lang w:val="nb-NO"/>
        </w:rPr>
        <w:t>et</w:t>
      </w:r>
      <w:r w:rsidR="002D7177" w:rsidRPr="009D56B8">
        <w:rPr>
          <w:szCs w:val="22"/>
          <w:lang w:val="nb-NO"/>
        </w:rPr>
        <w:t xml:space="preserve"> ikke</w:t>
      </w:r>
      <w:r w:rsidR="00F876A5" w:rsidRPr="009D56B8">
        <w:rPr>
          <w:szCs w:val="22"/>
          <w:lang w:val="nb-NO"/>
        </w:rPr>
        <w:t xml:space="preserve"> finnes </w:t>
      </w:r>
      <w:r w:rsidRPr="009D56B8">
        <w:rPr>
          <w:szCs w:val="22"/>
          <w:lang w:val="nb-NO"/>
        </w:rPr>
        <w:t xml:space="preserve">noen tilgjengelig </w:t>
      </w:r>
      <w:r w:rsidR="007C61C0" w:rsidRPr="009D56B8">
        <w:rPr>
          <w:szCs w:val="22"/>
          <w:lang w:val="nb-NO"/>
        </w:rPr>
        <w:t xml:space="preserve">informasjon </w:t>
      </w:r>
      <w:r w:rsidRPr="009D56B8">
        <w:rPr>
          <w:szCs w:val="22"/>
          <w:lang w:val="nb-NO"/>
        </w:rPr>
        <w:t>for</w:t>
      </w:r>
      <w:r w:rsidR="00A02DCC" w:rsidRPr="009D56B8">
        <w:rPr>
          <w:szCs w:val="22"/>
          <w:lang w:val="nb-NO"/>
        </w:rPr>
        <w:t xml:space="preserve"> </w:t>
      </w:r>
      <w:r w:rsidR="00937028" w:rsidRPr="009D56B8">
        <w:rPr>
          <w:szCs w:val="22"/>
          <w:lang w:val="nb-NO"/>
        </w:rPr>
        <w:t>denne aldersgruppen</w:t>
      </w:r>
      <w:r w:rsidR="00A02DCC" w:rsidRPr="009D56B8">
        <w:rPr>
          <w:szCs w:val="22"/>
          <w:lang w:val="nb-NO"/>
        </w:rPr>
        <w:t>.</w:t>
      </w:r>
    </w:p>
    <w:p w14:paraId="73D53C15" w14:textId="77777777" w:rsidR="00E50867" w:rsidRPr="009D56B8" w:rsidRDefault="00E50867">
      <w:pPr>
        <w:widowControl w:val="0"/>
        <w:tabs>
          <w:tab w:val="clear" w:pos="567"/>
        </w:tabs>
        <w:rPr>
          <w:lang w:val="nb-NO"/>
        </w:rPr>
      </w:pPr>
    </w:p>
    <w:p w14:paraId="566EE7A4" w14:textId="7D0EA9D6" w:rsidR="00E50867" w:rsidRPr="009D56B8" w:rsidRDefault="00C770E8">
      <w:pPr>
        <w:widowControl w:val="0"/>
        <w:tabs>
          <w:tab w:val="clear" w:pos="567"/>
        </w:tabs>
        <w:rPr>
          <w:b/>
          <w:szCs w:val="22"/>
          <w:lang w:val="nb-NO"/>
        </w:rPr>
      </w:pPr>
      <w:r w:rsidRPr="009D56B8">
        <w:rPr>
          <w:b/>
          <w:szCs w:val="22"/>
          <w:lang w:val="nb-NO"/>
        </w:rPr>
        <w:t xml:space="preserve">Andre legemidler og </w:t>
      </w:r>
      <w:r w:rsidR="00D172C2" w:rsidRPr="009D56B8">
        <w:rPr>
          <w:b/>
          <w:szCs w:val="22"/>
          <w:lang w:val="nb-NO"/>
        </w:rPr>
        <w:t>Dimethyl fumarate Accord</w:t>
      </w:r>
    </w:p>
    <w:p w14:paraId="77B95BB6" w14:textId="77777777" w:rsidR="00E50867" w:rsidRPr="009D56B8" w:rsidRDefault="00E50867">
      <w:pPr>
        <w:widowControl w:val="0"/>
        <w:tabs>
          <w:tab w:val="clear" w:pos="567"/>
        </w:tabs>
        <w:ind w:right="-2"/>
        <w:rPr>
          <w:szCs w:val="22"/>
          <w:lang w:val="nb-NO"/>
        </w:rPr>
      </w:pPr>
    </w:p>
    <w:p w14:paraId="1D004CDB" w14:textId="77777777" w:rsidR="00E50867" w:rsidRPr="009D56B8" w:rsidRDefault="00C770E8">
      <w:pPr>
        <w:widowControl w:val="0"/>
        <w:tabs>
          <w:tab w:val="clear" w:pos="567"/>
        </w:tabs>
        <w:ind w:right="-2"/>
        <w:rPr>
          <w:szCs w:val="22"/>
          <w:lang w:val="nb-NO"/>
        </w:rPr>
      </w:pPr>
      <w:r w:rsidRPr="009D56B8">
        <w:rPr>
          <w:b/>
          <w:szCs w:val="22"/>
          <w:lang w:val="nb-NO"/>
        </w:rPr>
        <w:t>Snakk med lege eller apotek</w:t>
      </w:r>
      <w:r w:rsidRPr="009D56B8">
        <w:rPr>
          <w:szCs w:val="22"/>
          <w:lang w:val="nb-NO"/>
        </w:rPr>
        <w:t xml:space="preserve"> dersom du bruker, nylig har brukt eller planlegger å bruke andre legemidler, spesielt:</w:t>
      </w:r>
    </w:p>
    <w:p w14:paraId="2F912B3A" w14:textId="77777777" w:rsidR="00E50867" w:rsidRPr="009D56B8" w:rsidRDefault="00C770E8">
      <w:pPr>
        <w:widowControl w:val="0"/>
        <w:numPr>
          <w:ilvl w:val="0"/>
          <w:numId w:val="2"/>
        </w:numPr>
        <w:tabs>
          <w:tab w:val="clear" w:pos="567"/>
        </w:tabs>
        <w:autoSpaceDE w:val="0"/>
        <w:ind w:left="567" w:hanging="567"/>
        <w:rPr>
          <w:szCs w:val="22"/>
          <w:lang w:val="nb-NO"/>
        </w:rPr>
      </w:pPr>
      <w:r w:rsidRPr="009D56B8">
        <w:rPr>
          <w:szCs w:val="22"/>
          <w:lang w:val="nb-NO"/>
        </w:rPr>
        <w:t xml:space="preserve">legemidler som inneholder </w:t>
      </w:r>
      <w:r w:rsidRPr="009D56B8">
        <w:rPr>
          <w:b/>
          <w:szCs w:val="22"/>
          <w:lang w:val="nb-NO"/>
        </w:rPr>
        <w:t>fumarsyreestere</w:t>
      </w:r>
      <w:r w:rsidRPr="009D56B8">
        <w:rPr>
          <w:szCs w:val="22"/>
          <w:lang w:val="nb-NO"/>
        </w:rPr>
        <w:t xml:space="preserve"> (fumarater) som brukes til å behandle psoriasis</w:t>
      </w:r>
    </w:p>
    <w:p w14:paraId="6F34165A" w14:textId="36DCEE0A" w:rsidR="00E50867" w:rsidRPr="009D56B8" w:rsidRDefault="00C770E8">
      <w:pPr>
        <w:widowControl w:val="0"/>
        <w:numPr>
          <w:ilvl w:val="0"/>
          <w:numId w:val="2"/>
        </w:numPr>
        <w:tabs>
          <w:tab w:val="clear" w:pos="567"/>
        </w:tabs>
        <w:autoSpaceDE w:val="0"/>
        <w:ind w:left="567" w:hanging="567"/>
        <w:rPr>
          <w:szCs w:val="22"/>
          <w:lang w:val="nb-NO"/>
        </w:rPr>
      </w:pPr>
      <w:r w:rsidRPr="009D56B8">
        <w:rPr>
          <w:b/>
          <w:szCs w:val="22"/>
          <w:lang w:val="nb-NO"/>
        </w:rPr>
        <w:t xml:space="preserve">legemidler som påvirker kroppens immunsystem, </w:t>
      </w:r>
      <w:r w:rsidRPr="009D56B8">
        <w:rPr>
          <w:szCs w:val="22"/>
          <w:lang w:val="nb-NO"/>
        </w:rPr>
        <w:t>inkludert</w:t>
      </w:r>
      <w:r w:rsidRPr="009D56B8">
        <w:rPr>
          <w:b/>
          <w:szCs w:val="22"/>
          <w:lang w:val="nb-NO"/>
        </w:rPr>
        <w:t xml:space="preserve"> </w:t>
      </w:r>
      <w:r w:rsidR="00713DF6" w:rsidRPr="009D56B8">
        <w:rPr>
          <w:bCs/>
          <w:szCs w:val="22"/>
          <w:lang w:val="nb-NO"/>
        </w:rPr>
        <w:t>kjemoterapi (cellegift), immundempende midler, eller</w:t>
      </w:r>
      <w:r w:rsidR="00713DF6" w:rsidRPr="009D56B8">
        <w:rPr>
          <w:b/>
          <w:szCs w:val="22"/>
          <w:lang w:val="nb-NO"/>
        </w:rPr>
        <w:t xml:space="preserve"> </w:t>
      </w:r>
      <w:r w:rsidRPr="009D56B8">
        <w:rPr>
          <w:b/>
          <w:szCs w:val="22"/>
          <w:lang w:val="nb-NO"/>
        </w:rPr>
        <w:t>andre legemidler som brukes til å behandle MS</w:t>
      </w:r>
    </w:p>
    <w:p w14:paraId="3C4A6312" w14:textId="77777777" w:rsidR="00E50867" w:rsidRPr="009D56B8" w:rsidRDefault="00C770E8">
      <w:pPr>
        <w:pStyle w:val="ListParagraph"/>
        <w:widowControl w:val="0"/>
        <w:numPr>
          <w:ilvl w:val="0"/>
          <w:numId w:val="2"/>
        </w:numPr>
        <w:tabs>
          <w:tab w:val="clear" w:pos="567"/>
        </w:tabs>
        <w:ind w:left="567" w:hanging="567"/>
        <w:rPr>
          <w:b/>
          <w:szCs w:val="22"/>
          <w:lang w:val="nb-NO"/>
        </w:rPr>
      </w:pPr>
      <w:r w:rsidRPr="009D56B8">
        <w:rPr>
          <w:b/>
          <w:szCs w:val="22"/>
          <w:lang w:val="nb-NO"/>
        </w:rPr>
        <w:t xml:space="preserve">legemidler som påvirker nyrene, inkludert </w:t>
      </w:r>
      <w:r w:rsidRPr="009D56B8">
        <w:rPr>
          <w:szCs w:val="22"/>
          <w:lang w:val="nb-NO"/>
        </w:rPr>
        <w:t xml:space="preserve">enkelte </w:t>
      </w:r>
      <w:r w:rsidRPr="009D56B8">
        <w:rPr>
          <w:b/>
          <w:szCs w:val="22"/>
          <w:lang w:val="nb-NO"/>
        </w:rPr>
        <w:t xml:space="preserve">antibiotika </w:t>
      </w:r>
      <w:r w:rsidRPr="009D56B8">
        <w:rPr>
          <w:szCs w:val="22"/>
          <w:lang w:val="nb-NO"/>
        </w:rPr>
        <w:t>(brukes til å behandle infeksjoner),</w:t>
      </w:r>
      <w:r w:rsidRPr="009D56B8">
        <w:rPr>
          <w:b/>
          <w:szCs w:val="22"/>
          <w:lang w:val="nb-NO"/>
        </w:rPr>
        <w:t xml:space="preserve"> </w:t>
      </w:r>
      <w:r w:rsidRPr="009D56B8">
        <w:rPr>
          <w:szCs w:val="22"/>
          <w:lang w:val="nb-NO"/>
        </w:rPr>
        <w:t>“</w:t>
      </w:r>
      <w:r w:rsidRPr="009D56B8">
        <w:rPr>
          <w:b/>
          <w:szCs w:val="22"/>
          <w:lang w:val="nb-NO"/>
        </w:rPr>
        <w:t>vanndrivende midler</w:t>
      </w:r>
      <w:r w:rsidRPr="009D56B8">
        <w:rPr>
          <w:szCs w:val="22"/>
          <w:lang w:val="nb-NO"/>
        </w:rPr>
        <w:t>”</w:t>
      </w:r>
      <w:r w:rsidRPr="009D56B8">
        <w:rPr>
          <w:b/>
          <w:szCs w:val="22"/>
          <w:lang w:val="nb-NO"/>
        </w:rPr>
        <w:t xml:space="preserve"> </w:t>
      </w:r>
      <w:r w:rsidRPr="009D56B8">
        <w:rPr>
          <w:i/>
          <w:szCs w:val="22"/>
          <w:lang w:val="nb-NO"/>
        </w:rPr>
        <w:t>(diuretika)</w:t>
      </w:r>
      <w:r w:rsidRPr="009D56B8">
        <w:rPr>
          <w:szCs w:val="22"/>
          <w:lang w:val="nb-NO"/>
        </w:rPr>
        <w:t>,</w:t>
      </w:r>
      <w:r w:rsidRPr="009D56B8">
        <w:rPr>
          <w:b/>
          <w:szCs w:val="22"/>
          <w:lang w:val="nb-NO"/>
        </w:rPr>
        <w:t xml:space="preserve"> visse typer smertestillende legemidler </w:t>
      </w:r>
      <w:r w:rsidRPr="009D56B8">
        <w:rPr>
          <w:szCs w:val="22"/>
          <w:lang w:val="nb-NO"/>
        </w:rPr>
        <w:t xml:space="preserve">(slik som ibuprofen og andre tilsvarende betennelsesdempende legemidler kjøpt uten resept) og legemidler som inneholder </w:t>
      </w:r>
      <w:r w:rsidRPr="009D56B8">
        <w:rPr>
          <w:b/>
          <w:szCs w:val="22"/>
          <w:lang w:val="nb-NO"/>
        </w:rPr>
        <w:t>litium</w:t>
      </w:r>
    </w:p>
    <w:p w14:paraId="0CC7846E" w14:textId="56130212" w:rsidR="00E50867" w:rsidRPr="009D56B8" w:rsidRDefault="00D541F4">
      <w:pPr>
        <w:pStyle w:val="ListParagraph"/>
        <w:widowControl w:val="0"/>
        <w:numPr>
          <w:ilvl w:val="0"/>
          <w:numId w:val="2"/>
        </w:numPr>
        <w:tabs>
          <w:tab w:val="clear" w:pos="567"/>
        </w:tabs>
        <w:autoSpaceDE w:val="0"/>
        <w:ind w:left="567" w:hanging="567"/>
        <w:rPr>
          <w:szCs w:val="22"/>
          <w:lang w:val="nb-NO"/>
        </w:rPr>
      </w:pPr>
      <w:r w:rsidRPr="009D56B8">
        <w:rPr>
          <w:szCs w:val="22"/>
          <w:lang w:val="nb-NO"/>
        </w:rPr>
        <w:t xml:space="preserve">hvis </w:t>
      </w:r>
      <w:r w:rsidR="00C770E8" w:rsidRPr="009D56B8">
        <w:rPr>
          <w:szCs w:val="22"/>
          <w:lang w:val="nb-NO"/>
        </w:rPr>
        <w:t xml:space="preserve">du bruker </w:t>
      </w:r>
      <w:r w:rsidR="00D172C2" w:rsidRPr="009D56B8">
        <w:rPr>
          <w:szCs w:val="22"/>
          <w:lang w:val="nb-NO"/>
        </w:rPr>
        <w:t>Dimethyl fumarate Accord</w:t>
      </w:r>
      <w:r w:rsidR="00C770E8" w:rsidRPr="009D56B8">
        <w:rPr>
          <w:szCs w:val="22"/>
          <w:lang w:val="nb-NO"/>
        </w:rPr>
        <w:t xml:space="preserve"> samtidig med enkelte former for </w:t>
      </w:r>
      <w:r w:rsidR="00C770E8" w:rsidRPr="009D56B8">
        <w:rPr>
          <w:b/>
          <w:szCs w:val="22"/>
          <w:lang w:val="nb-NO"/>
        </w:rPr>
        <w:t>vaksiner</w:t>
      </w:r>
      <w:r w:rsidR="00C770E8" w:rsidRPr="009D56B8">
        <w:rPr>
          <w:szCs w:val="22"/>
          <w:lang w:val="nb-NO"/>
        </w:rPr>
        <w:t xml:space="preserve"> (</w:t>
      </w:r>
      <w:r w:rsidR="00C770E8" w:rsidRPr="009D56B8">
        <w:rPr>
          <w:i/>
          <w:szCs w:val="22"/>
          <w:lang w:val="nb-NO"/>
        </w:rPr>
        <w:t>levende vaksiner</w:t>
      </w:r>
      <w:r w:rsidR="00C770E8" w:rsidRPr="009D56B8">
        <w:rPr>
          <w:szCs w:val="22"/>
          <w:lang w:val="nb-NO"/>
        </w:rPr>
        <w:t>), kan du få en infeksjon. Dette bør derfor unngås. Legen vil gi råd om andre former for vaksiner (</w:t>
      </w:r>
      <w:r w:rsidR="00C770E8" w:rsidRPr="009D56B8">
        <w:rPr>
          <w:i/>
          <w:szCs w:val="22"/>
          <w:lang w:val="nb-NO"/>
        </w:rPr>
        <w:t>ikke-levende vaksiner</w:t>
      </w:r>
      <w:r w:rsidR="00C770E8" w:rsidRPr="009D56B8">
        <w:rPr>
          <w:szCs w:val="22"/>
          <w:lang w:val="nb-NO"/>
        </w:rPr>
        <w:t>) bør gis.</w:t>
      </w:r>
    </w:p>
    <w:p w14:paraId="5D303019" w14:textId="77777777" w:rsidR="00E50867" w:rsidRPr="009D56B8" w:rsidRDefault="00E50867">
      <w:pPr>
        <w:widowControl w:val="0"/>
        <w:tabs>
          <w:tab w:val="clear" w:pos="567"/>
        </w:tabs>
        <w:rPr>
          <w:szCs w:val="22"/>
          <w:lang w:val="nb-NO"/>
        </w:rPr>
      </w:pPr>
    </w:p>
    <w:p w14:paraId="1CB21B81" w14:textId="41DD1C03" w:rsidR="00E50867" w:rsidRPr="009D56B8" w:rsidRDefault="00C770E8">
      <w:pPr>
        <w:widowControl w:val="0"/>
        <w:tabs>
          <w:tab w:val="clear" w:pos="567"/>
        </w:tabs>
        <w:rPr>
          <w:szCs w:val="22"/>
          <w:lang w:val="nb-NO"/>
        </w:rPr>
      </w:pPr>
      <w:r w:rsidRPr="009D56B8">
        <w:rPr>
          <w:b/>
          <w:szCs w:val="22"/>
          <w:lang w:val="nb-NO"/>
        </w:rPr>
        <w:t xml:space="preserve">Inntak av </w:t>
      </w:r>
      <w:r w:rsidR="00D172C2" w:rsidRPr="009D56B8">
        <w:rPr>
          <w:b/>
          <w:szCs w:val="22"/>
          <w:lang w:val="nb-NO"/>
        </w:rPr>
        <w:t>Dimethyl fumarate Accord</w:t>
      </w:r>
      <w:r w:rsidRPr="009D56B8">
        <w:rPr>
          <w:b/>
          <w:szCs w:val="22"/>
          <w:lang w:val="nb-NO"/>
        </w:rPr>
        <w:t xml:space="preserve"> sammen med alkohol</w:t>
      </w:r>
    </w:p>
    <w:p w14:paraId="77D5F755" w14:textId="77777777" w:rsidR="00E50867" w:rsidRPr="009D56B8" w:rsidRDefault="00E50867">
      <w:pPr>
        <w:widowControl w:val="0"/>
        <w:tabs>
          <w:tab w:val="clear" w:pos="567"/>
        </w:tabs>
        <w:rPr>
          <w:szCs w:val="22"/>
          <w:lang w:val="nb-NO"/>
        </w:rPr>
      </w:pPr>
    </w:p>
    <w:p w14:paraId="667E5F0E" w14:textId="5A886CDD" w:rsidR="00E50867" w:rsidRPr="009D56B8" w:rsidRDefault="00C770E8">
      <w:pPr>
        <w:widowControl w:val="0"/>
        <w:tabs>
          <w:tab w:val="clear" w:pos="567"/>
        </w:tabs>
        <w:rPr>
          <w:b/>
          <w:szCs w:val="22"/>
          <w:lang w:val="nb-NO"/>
        </w:rPr>
      </w:pPr>
      <w:r w:rsidRPr="009D56B8">
        <w:rPr>
          <w:szCs w:val="22"/>
          <w:lang w:val="nb-NO"/>
        </w:rPr>
        <w:t xml:space="preserve">Inntak av mer enn små mengder (mer enn 50 ml) sterk alkoholholdig drikke (over 30 volum% alkohol, f.eks. brennevin) bør unngås i én time før og én time etter at du har tatt </w:t>
      </w:r>
      <w:r w:rsidR="00D172C2" w:rsidRPr="009D56B8">
        <w:rPr>
          <w:szCs w:val="22"/>
          <w:lang w:val="nb-NO"/>
        </w:rPr>
        <w:t>Dimethyl fumarate Accord</w:t>
      </w:r>
      <w:r w:rsidRPr="009D56B8">
        <w:rPr>
          <w:szCs w:val="22"/>
          <w:lang w:val="nb-NO"/>
        </w:rPr>
        <w:t>, da alkohol kan påvirke dette legemidlet. Dette kan føre til betennelse i magesekken (</w:t>
      </w:r>
      <w:r w:rsidRPr="009D56B8">
        <w:rPr>
          <w:i/>
          <w:szCs w:val="22"/>
          <w:lang w:val="nb-NO"/>
        </w:rPr>
        <w:t>gastritt</w:t>
      </w:r>
      <w:r w:rsidRPr="009D56B8">
        <w:rPr>
          <w:szCs w:val="22"/>
          <w:lang w:val="nb-NO"/>
        </w:rPr>
        <w:t>), spesielt hos personer som er utsatt for å få gastritt.</w:t>
      </w:r>
    </w:p>
    <w:p w14:paraId="19117A93" w14:textId="77777777" w:rsidR="00E50867" w:rsidRPr="009D56B8" w:rsidRDefault="00E50867">
      <w:pPr>
        <w:widowControl w:val="0"/>
        <w:tabs>
          <w:tab w:val="clear" w:pos="567"/>
        </w:tabs>
        <w:rPr>
          <w:szCs w:val="22"/>
          <w:lang w:val="nb-NO"/>
        </w:rPr>
      </w:pPr>
    </w:p>
    <w:p w14:paraId="4E980EC0" w14:textId="77777777" w:rsidR="00E50867" w:rsidRPr="009D56B8" w:rsidRDefault="00C770E8">
      <w:pPr>
        <w:widowControl w:val="0"/>
        <w:tabs>
          <w:tab w:val="clear" w:pos="567"/>
        </w:tabs>
        <w:rPr>
          <w:b/>
          <w:szCs w:val="22"/>
          <w:lang w:val="nb-NO"/>
        </w:rPr>
      </w:pPr>
      <w:r w:rsidRPr="009D56B8">
        <w:rPr>
          <w:b/>
          <w:szCs w:val="22"/>
          <w:lang w:val="nb-NO"/>
        </w:rPr>
        <w:t>Graviditet og amming</w:t>
      </w:r>
    </w:p>
    <w:p w14:paraId="3A7AC22D" w14:textId="77777777" w:rsidR="00E50867" w:rsidRPr="009D56B8" w:rsidRDefault="00E50867">
      <w:pPr>
        <w:widowControl w:val="0"/>
        <w:tabs>
          <w:tab w:val="clear" w:pos="567"/>
        </w:tabs>
        <w:rPr>
          <w:szCs w:val="22"/>
          <w:lang w:val="nb-NO"/>
        </w:rPr>
      </w:pPr>
    </w:p>
    <w:p w14:paraId="12781DCE" w14:textId="77777777" w:rsidR="00E50867" w:rsidRPr="009D56B8" w:rsidRDefault="00C770E8">
      <w:pPr>
        <w:widowControl w:val="0"/>
        <w:tabs>
          <w:tab w:val="clear" w:pos="567"/>
        </w:tabs>
        <w:rPr>
          <w:szCs w:val="22"/>
          <w:lang w:val="nb-NO"/>
        </w:rPr>
      </w:pPr>
      <w:r w:rsidRPr="009D56B8">
        <w:rPr>
          <w:szCs w:val="22"/>
          <w:lang w:val="nb-NO"/>
        </w:rPr>
        <w:t>Snakk med lege eller apotek før du tar dette legemidlet dersom du er gravid eller ammer, tror at du kan være gravid eller planlegger å bli gravid.</w:t>
      </w:r>
    </w:p>
    <w:p w14:paraId="251C1911" w14:textId="77777777" w:rsidR="00E50867" w:rsidRPr="009D56B8" w:rsidRDefault="00E50867">
      <w:pPr>
        <w:widowControl w:val="0"/>
        <w:tabs>
          <w:tab w:val="clear" w:pos="567"/>
        </w:tabs>
        <w:rPr>
          <w:szCs w:val="22"/>
          <w:lang w:val="nb-NO"/>
        </w:rPr>
      </w:pPr>
    </w:p>
    <w:p w14:paraId="41FA619D" w14:textId="77777777" w:rsidR="00E50867" w:rsidRPr="009D56B8" w:rsidRDefault="00C770E8">
      <w:pPr>
        <w:widowControl w:val="0"/>
        <w:tabs>
          <w:tab w:val="clear" w:pos="567"/>
        </w:tabs>
        <w:rPr>
          <w:szCs w:val="22"/>
          <w:u w:val="single"/>
          <w:lang w:val="nb-NO"/>
        </w:rPr>
      </w:pPr>
      <w:r w:rsidRPr="009D56B8">
        <w:rPr>
          <w:szCs w:val="22"/>
          <w:u w:val="single"/>
          <w:lang w:val="nb-NO"/>
        </w:rPr>
        <w:t>Graviditet</w:t>
      </w:r>
    </w:p>
    <w:p w14:paraId="3D7FA5F8" w14:textId="77777777" w:rsidR="00E50867" w:rsidRPr="009D56B8" w:rsidRDefault="00E50867">
      <w:pPr>
        <w:widowControl w:val="0"/>
        <w:tabs>
          <w:tab w:val="clear" w:pos="567"/>
        </w:tabs>
        <w:rPr>
          <w:szCs w:val="22"/>
          <w:lang w:val="nb-NO"/>
        </w:rPr>
      </w:pPr>
    </w:p>
    <w:p w14:paraId="650EDE14" w14:textId="059F6E8C" w:rsidR="00E50867" w:rsidRPr="009D56B8" w:rsidRDefault="00E9023F">
      <w:pPr>
        <w:widowControl w:val="0"/>
        <w:tabs>
          <w:tab w:val="clear" w:pos="567"/>
        </w:tabs>
        <w:rPr>
          <w:szCs w:val="22"/>
          <w:lang w:val="nb-NO"/>
        </w:rPr>
      </w:pPr>
      <w:r w:rsidRPr="009D56B8">
        <w:rPr>
          <w:szCs w:val="22"/>
          <w:lang w:val="nb-NO"/>
        </w:rPr>
        <w:t xml:space="preserve">Det er begrenset informasjon om virkningen av dette legemidlet på det ufødte barnet, hvis det brukes under graviditet. </w:t>
      </w:r>
      <w:r w:rsidR="00C770E8" w:rsidRPr="009D56B8">
        <w:rPr>
          <w:szCs w:val="22"/>
          <w:lang w:val="nb-NO"/>
        </w:rPr>
        <w:t xml:space="preserve">Ikke bruk </w:t>
      </w:r>
      <w:r w:rsidR="00D172C2" w:rsidRPr="009D56B8">
        <w:rPr>
          <w:szCs w:val="22"/>
          <w:lang w:val="nb-NO"/>
        </w:rPr>
        <w:t>Dimethyl fumarate Accord</w:t>
      </w:r>
      <w:r w:rsidR="00C770E8" w:rsidRPr="009D56B8">
        <w:rPr>
          <w:szCs w:val="22"/>
          <w:lang w:val="nb-NO"/>
        </w:rPr>
        <w:t xml:space="preserve"> hvis du er gravid uten at du først har snakket med legen din</w:t>
      </w:r>
      <w:r w:rsidRPr="009D56B8">
        <w:rPr>
          <w:szCs w:val="22"/>
          <w:lang w:val="nb-NO"/>
        </w:rPr>
        <w:t xml:space="preserve"> og dette legemidlet er helt nødvendig for deg</w:t>
      </w:r>
      <w:r w:rsidR="00C770E8" w:rsidRPr="009D56B8">
        <w:rPr>
          <w:szCs w:val="22"/>
          <w:lang w:val="nb-NO"/>
        </w:rPr>
        <w:t>.</w:t>
      </w:r>
    </w:p>
    <w:p w14:paraId="066A8DF2" w14:textId="77777777" w:rsidR="00E50867" w:rsidRPr="009D56B8" w:rsidRDefault="00E50867">
      <w:pPr>
        <w:widowControl w:val="0"/>
        <w:tabs>
          <w:tab w:val="clear" w:pos="567"/>
        </w:tabs>
        <w:rPr>
          <w:szCs w:val="22"/>
          <w:lang w:val="nb-NO"/>
        </w:rPr>
      </w:pPr>
    </w:p>
    <w:p w14:paraId="40D426E0" w14:textId="77777777" w:rsidR="00E50867" w:rsidRPr="009D56B8" w:rsidRDefault="00C770E8">
      <w:pPr>
        <w:widowControl w:val="0"/>
        <w:tabs>
          <w:tab w:val="clear" w:pos="567"/>
        </w:tabs>
        <w:rPr>
          <w:szCs w:val="22"/>
          <w:u w:val="single"/>
          <w:lang w:val="nb-NO"/>
        </w:rPr>
      </w:pPr>
      <w:r w:rsidRPr="009D56B8">
        <w:rPr>
          <w:szCs w:val="22"/>
          <w:u w:val="single"/>
          <w:lang w:val="nb-NO"/>
        </w:rPr>
        <w:t>Amming</w:t>
      </w:r>
    </w:p>
    <w:p w14:paraId="25E42E6D" w14:textId="77777777" w:rsidR="00E50867" w:rsidRPr="009D56B8" w:rsidRDefault="00E50867">
      <w:pPr>
        <w:widowControl w:val="0"/>
        <w:tabs>
          <w:tab w:val="clear" w:pos="567"/>
        </w:tabs>
        <w:rPr>
          <w:szCs w:val="22"/>
          <w:lang w:val="nb-NO"/>
        </w:rPr>
      </w:pPr>
    </w:p>
    <w:p w14:paraId="3DD5D747" w14:textId="5A460507" w:rsidR="00E50867" w:rsidRPr="009D56B8" w:rsidRDefault="00C770E8">
      <w:pPr>
        <w:widowControl w:val="0"/>
        <w:tabs>
          <w:tab w:val="clear" w:pos="567"/>
        </w:tabs>
        <w:rPr>
          <w:szCs w:val="22"/>
          <w:lang w:val="nb-NO"/>
        </w:rPr>
      </w:pPr>
      <w:r w:rsidRPr="009D56B8">
        <w:rPr>
          <w:szCs w:val="22"/>
          <w:lang w:val="nb-NO"/>
        </w:rPr>
        <w:t xml:space="preserve">Det er ikke kjent om virkestoffet i </w:t>
      </w:r>
      <w:r w:rsidR="00D172C2" w:rsidRPr="009D56B8">
        <w:rPr>
          <w:szCs w:val="22"/>
          <w:lang w:val="nb-NO"/>
        </w:rPr>
        <w:t>Dimethyl fumarate Accord</w:t>
      </w:r>
      <w:r w:rsidRPr="009D56B8">
        <w:rPr>
          <w:szCs w:val="22"/>
          <w:lang w:val="nb-NO"/>
        </w:rPr>
        <w:t xml:space="preserve"> går over i morsmelk. Legen vil </w:t>
      </w:r>
      <w:r w:rsidR="00C277B4" w:rsidRPr="009D56B8">
        <w:rPr>
          <w:szCs w:val="22"/>
          <w:lang w:val="nb-NO"/>
        </w:rPr>
        <w:t xml:space="preserve">gi deg </w:t>
      </w:r>
      <w:r w:rsidR="00C24FC8" w:rsidRPr="009D56B8">
        <w:rPr>
          <w:szCs w:val="22"/>
          <w:lang w:val="nb-NO"/>
        </w:rPr>
        <w:t>råd</w:t>
      </w:r>
      <w:r w:rsidRPr="009D56B8">
        <w:rPr>
          <w:szCs w:val="22"/>
          <w:lang w:val="nb-NO"/>
        </w:rPr>
        <w:t xml:space="preserve"> om</w:t>
      </w:r>
      <w:r w:rsidR="00C24FC8" w:rsidRPr="009D56B8">
        <w:rPr>
          <w:szCs w:val="22"/>
          <w:lang w:val="nb-NO"/>
        </w:rPr>
        <w:t xml:space="preserve"> </w:t>
      </w:r>
      <w:r w:rsidRPr="009D56B8">
        <w:rPr>
          <w:szCs w:val="22"/>
          <w:lang w:val="nb-NO"/>
        </w:rPr>
        <w:t xml:space="preserve">du bør slutte å amme eller slutte å bruke </w:t>
      </w:r>
      <w:r w:rsidR="00D172C2" w:rsidRPr="009D56B8">
        <w:rPr>
          <w:szCs w:val="22"/>
          <w:lang w:val="nb-NO"/>
        </w:rPr>
        <w:t>Dimethyl fumarate Accord</w:t>
      </w:r>
      <w:r w:rsidRPr="009D56B8">
        <w:rPr>
          <w:szCs w:val="22"/>
          <w:lang w:val="nb-NO"/>
        </w:rPr>
        <w:t>. Dette innebærer en balansegang mellom fordelene av amming for barnet og fordelene av behandling for moren.</w:t>
      </w:r>
    </w:p>
    <w:p w14:paraId="4FB083CD" w14:textId="77777777" w:rsidR="00E50867" w:rsidRPr="009D56B8" w:rsidRDefault="00E50867">
      <w:pPr>
        <w:widowControl w:val="0"/>
        <w:tabs>
          <w:tab w:val="clear" w:pos="567"/>
        </w:tabs>
        <w:rPr>
          <w:szCs w:val="22"/>
          <w:lang w:val="nb-NO"/>
        </w:rPr>
      </w:pPr>
    </w:p>
    <w:p w14:paraId="41BD347A" w14:textId="77777777" w:rsidR="00E50867" w:rsidRPr="009D56B8" w:rsidRDefault="00C770E8">
      <w:pPr>
        <w:keepNext/>
        <w:widowControl w:val="0"/>
        <w:tabs>
          <w:tab w:val="clear" w:pos="567"/>
        </w:tabs>
        <w:rPr>
          <w:b/>
          <w:szCs w:val="22"/>
          <w:lang w:val="nb-NO"/>
        </w:rPr>
      </w:pPr>
      <w:r w:rsidRPr="009D56B8">
        <w:rPr>
          <w:b/>
          <w:szCs w:val="22"/>
          <w:lang w:val="nb-NO"/>
        </w:rPr>
        <w:t>Kjøring og bruk av maskiner</w:t>
      </w:r>
    </w:p>
    <w:p w14:paraId="12930078" w14:textId="77777777" w:rsidR="00E50867" w:rsidRPr="009D56B8" w:rsidRDefault="00E50867">
      <w:pPr>
        <w:keepNext/>
        <w:widowControl w:val="0"/>
        <w:tabs>
          <w:tab w:val="clear" w:pos="567"/>
        </w:tabs>
        <w:rPr>
          <w:szCs w:val="22"/>
          <w:lang w:val="nb-NO"/>
        </w:rPr>
      </w:pPr>
    </w:p>
    <w:p w14:paraId="2C85AE66" w14:textId="1487F0A9" w:rsidR="00E50867" w:rsidRPr="009D56B8" w:rsidRDefault="00C770E8">
      <w:pPr>
        <w:widowControl w:val="0"/>
        <w:tabs>
          <w:tab w:val="clear" w:pos="567"/>
        </w:tabs>
        <w:ind w:right="-2"/>
        <w:rPr>
          <w:szCs w:val="22"/>
          <w:lang w:val="nb-NO"/>
        </w:rPr>
      </w:pPr>
      <w:r w:rsidRPr="009D56B8">
        <w:rPr>
          <w:szCs w:val="22"/>
          <w:lang w:val="nb-NO"/>
        </w:rPr>
        <w:t xml:space="preserve">Det forventes ikke at </w:t>
      </w:r>
      <w:r w:rsidR="00D172C2" w:rsidRPr="009D56B8">
        <w:rPr>
          <w:szCs w:val="22"/>
          <w:lang w:val="nb-NO"/>
        </w:rPr>
        <w:t>Dimethyl fumarate Accord</w:t>
      </w:r>
      <w:r w:rsidRPr="009D56B8">
        <w:rPr>
          <w:szCs w:val="22"/>
          <w:lang w:val="nb-NO"/>
        </w:rPr>
        <w:t xml:space="preserve"> vil påvirke din evne til å kjøre bil eller bruke maskiner.</w:t>
      </w:r>
    </w:p>
    <w:p w14:paraId="2E896173" w14:textId="77777777" w:rsidR="00E9023F" w:rsidRPr="009D56B8" w:rsidRDefault="00E9023F">
      <w:pPr>
        <w:widowControl w:val="0"/>
        <w:tabs>
          <w:tab w:val="clear" w:pos="567"/>
        </w:tabs>
        <w:ind w:right="-2"/>
        <w:rPr>
          <w:szCs w:val="22"/>
          <w:lang w:val="nb-NO"/>
        </w:rPr>
      </w:pPr>
    </w:p>
    <w:p w14:paraId="3D03C883" w14:textId="14DF92DC" w:rsidR="00E9023F" w:rsidRPr="009D56B8" w:rsidRDefault="00E9023F">
      <w:pPr>
        <w:widowControl w:val="0"/>
        <w:tabs>
          <w:tab w:val="clear" w:pos="567"/>
        </w:tabs>
        <w:ind w:right="-2"/>
        <w:rPr>
          <w:b/>
          <w:bCs/>
          <w:szCs w:val="22"/>
          <w:lang w:val="nb-NO"/>
        </w:rPr>
      </w:pPr>
      <w:r w:rsidRPr="009D56B8">
        <w:rPr>
          <w:b/>
          <w:bCs/>
          <w:szCs w:val="22"/>
          <w:lang w:val="nb-NO"/>
        </w:rPr>
        <w:t>Dimethyl fumarate Accord inneholder natrium</w:t>
      </w:r>
    </w:p>
    <w:p w14:paraId="103F747D" w14:textId="77777777" w:rsidR="00E9023F" w:rsidRPr="009D56B8" w:rsidRDefault="00E9023F">
      <w:pPr>
        <w:widowControl w:val="0"/>
        <w:tabs>
          <w:tab w:val="clear" w:pos="567"/>
        </w:tabs>
        <w:ind w:right="-2"/>
        <w:rPr>
          <w:szCs w:val="22"/>
          <w:lang w:val="nb-NO"/>
        </w:rPr>
      </w:pPr>
    </w:p>
    <w:p w14:paraId="5D3891AF" w14:textId="2A15D9CC" w:rsidR="00E9023F" w:rsidRPr="009D56B8" w:rsidRDefault="00E9023F">
      <w:pPr>
        <w:widowControl w:val="0"/>
        <w:tabs>
          <w:tab w:val="clear" w:pos="567"/>
        </w:tabs>
        <w:ind w:right="-2"/>
        <w:rPr>
          <w:szCs w:val="22"/>
          <w:lang w:val="nb-NO"/>
        </w:rPr>
      </w:pPr>
      <w:r w:rsidRPr="009D56B8">
        <w:rPr>
          <w:szCs w:val="22"/>
          <w:lang w:val="nb-NO"/>
        </w:rPr>
        <w:t>Dette legemidlet inneholder mindre enn 1 mmol natrium (23 mg) i hver kapsel, og er så godt som "natriumfritt".</w:t>
      </w:r>
    </w:p>
    <w:p w14:paraId="1F803861" w14:textId="77777777" w:rsidR="00E50867" w:rsidRPr="009D56B8" w:rsidRDefault="00E50867">
      <w:pPr>
        <w:widowControl w:val="0"/>
        <w:tabs>
          <w:tab w:val="clear" w:pos="567"/>
        </w:tabs>
        <w:ind w:right="-2"/>
        <w:rPr>
          <w:szCs w:val="22"/>
          <w:lang w:val="nb-NO"/>
        </w:rPr>
      </w:pPr>
    </w:p>
    <w:p w14:paraId="14FF92FE" w14:textId="77777777" w:rsidR="00E50867" w:rsidRPr="009D56B8" w:rsidRDefault="00E50867">
      <w:pPr>
        <w:widowControl w:val="0"/>
        <w:tabs>
          <w:tab w:val="clear" w:pos="567"/>
        </w:tabs>
        <w:ind w:right="-2"/>
        <w:rPr>
          <w:szCs w:val="22"/>
          <w:lang w:val="nb-NO"/>
        </w:rPr>
      </w:pPr>
    </w:p>
    <w:p w14:paraId="2BB6E521" w14:textId="21249E3E" w:rsidR="00E50867" w:rsidRPr="009D56B8" w:rsidRDefault="00C770E8">
      <w:pPr>
        <w:rPr>
          <w:b/>
          <w:szCs w:val="22"/>
          <w:lang w:val="nb-NO"/>
        </w:rPr>
      </w:pPr>
      <w:r w:rsidRPr="009D56B8">
        <w:rPr>
          <w:b/>
          <w:szCs w:val="22"/>
          <w:lang w:val="nb-NO"/>
        </w:rPr>
        <w:t>3.</w:t>
      </w:r>
      <w:r w:rsidRPr="009D56B8">
        <w:rPr>
          <w:b/>
          <w:szCs w:val="22"/>
          <w:lang w:val="nb-NO"/>
        </w:rPr>
        <w:tab/>
        <w:t xml:space="preserve">Hvordan du bruker </w:t>
      </w:r>
      <w:r w:rsidR="00D172C2" w:rsidRPr="009D56B8">
        <w:rPr>
          <w:b/>
          <w:szCs w:val="22"/>
          <w:lang w:val="nb-NO"/>
        </w:rPr>
        <w:t>Dimethyl fumarate Accord</w:t>
      </w:r>
    </w:p>
    <w:p w14:paraId="2280E813" w14:textId="77777777" w:rsidR="00E50867" w:rsidRPr="009D56B8" w:rsidRDefault="00E50867">
      <w:pPr>
        <w:widowControl w:val="0"/>
        <w:tabs>
          <w:tab w:val="clear" w:pos="567"/>
        </w:tabs>
        <w:ind w:right="-2"/>
        <w:rPr>
          <w:i/>
          <w:szCs w:val="22"/>
          <w:lang w:val="nb-NO"/>
        </w:rPr>
      </w:pPr>
    </w:p>
    <w:p w14:paraId="4653E683" w14:textId="77777777" w:rsidR="00E50867" w:rsidRPr="009D56B8" w:rsidRDefault="00C770E8">
      <w:pPr>
        <w:widowControl w:val="0"/>
        <w:tabs>
          <w:tab w:val="clear" w:pos="567"/>
        </w:tabs>
        <w:ind w:right="-2"/>
        <w:rPr>
          <w:szCs w:val="22"/>
          <w:lang w:val="nb-NO"/>
        </w:rPr>
      </w:pPr>
      <w:r w:rsidRPr="009D56B8">
        <w:rPr>
          <w:szCs w:val="22"/>
          <w:lang w:val="nb-NO"/>
        </w:rPr>
        <w:t>Bruk alltid dette legemidlet nøyaktig slik legen har fortalt deg. Kontakt lege hvis du er usikker.</w:t>
      </w:r>
    </w:p>
    <w:p w14:paraId="1BBEFF9E" w14:textId="77777777" w:rsidR="00E50867" w:rsidRPr="009D56B8" w:rsidRDefault="00E50867">
      <w:pPr>
        <w:widowControl w:val="0"/>
        <w:tabs>
          <w:tab w:val="clear" w:pos="567"/>
        </w:tabs>
        <w:ind w:right="-2"/>
        <w:rPr>
          <w:szCs w:val="22"/>
          <w:lang w:val="nb-NO"/>
        </w:rPr>
      </w:pPr>
    </w:p>
    <w:p w14:paraId="09610394" w14:textId="397A829D" w:rsidR="00E50867" w:rsidRPr="009D56B8" w:rsidRDefault="00C770E8">
      <w:pPr>
        <w:widowControl w:val="0"/>
        <w:tabs>
          <w:tab w:val="clear" w:pos="567"/>
        </w:tabs>
        <w:ind w:right="-2"/>
        <w:rPr>
          <w:b/>
          <w:szCs w:val="22"/>
          <w:lang w:val="nb-NO"/>
        </w:rPr>
      </w:pPr>
      <w:r w:rsidRPr="009D56B8">
        <w:rPr>
          <w:b/>
          <w:szCs w:val="22"/>
          <w:lang w:val="nb-NO"/>
        </w:rPr>
        <w:t>Startdose</w:t>
      </w:r>
      <w:r w:rsidR="006640DA" w:rsidRPr="009D56B8">
        <w:rPr>
          <w:b/>
          <w:szCs w:val="22"/>
          <w:lang w:val="nb-NO"/>
        </w:rPr>
        <w:t>:</w:t>
      </w:r>
    </w:p>
    <w:p w14:paraId="69D2FA90" w14:textId="77777777" w:rsidR="00E50867" w:rsidRPr="009D56B8" w:rsidRDefault="00E50867">
      <w:pPr>
        <w:widowControl w:val="0"/>
        <w:tabs>
          <w:tab w:val="clear" w:pos="567"/>
        </w:tabs>
        <w:ind w:right="-2"/>
        <w:rPr>
          <w:b/>
          <w:szCs w:val="22"/>
          <w:lang w:val="nb-NO"/>
        </w:rPr>
      </w:pPr>
    </w:p>
    <w:p w14:paraId="5DE3502F" w14:textId="77777777" w:rsidR="00E50867" w:rsidRPr="009D56B8" w:rsidRDefault="00C770E8">
      <w:pPr>
        <w:widowControl w:val="0"/>
        <w:tabs>
          <w:tab w:val="clear" w:pos="567"/>
        </w:tabs>
        <w:ind w:right="-2"/>
        <w:rPr>
          <w:b/>
          <w:szCs w:val="22"/>
          <w:lang w:val="nb-NO"/>
        </w:rPr>
      </w:pPr>
      <w:r w:rsidRPr="009D56B8">
        <w:rPr>
          <w:b/>
          <w:szCs w:val="22"/>
          <w:lang w:val="nb-NO"/>
        </w:rPr>
        <w:t>120 mg to ganger daglig.</w:t>
      </w:r>
    </w:p>
    <w:p w14:paraId="74880E29" w14:textId="77777777" w:rsidR="00E50867" w:rsidRPr="009D56B8" w:rsidRDefault="00C770E8">
      <w:pPr>
        <w:widowControl w:val="0"/>
        <w:tabs>
          <w:tab w:val="clear" w:pos="567"/>
        </w:tabs>
        <w:ind w:right="-2"/>
        <w:rPr>
          <w:szCs w:val="22"/>
          <w:lang w:val="nb-NO"/>
        </w:rPr>
      </w:pPr>
      <w:r w:rsidRPr="009D56B8">
        <w:rPr>
          <w:szCs w:val="22"/>
          <w:lang w:val="nb-NO"/>
        </w:rPr>
        <w:t>Ta denne startdosen de første 7 dagene, ta deretter den vanlige dosen.</w:t>
      </w:r>
    </w:p>
    <w:p w14:paraId="22943B19" w14:textId="77777777" w:rsidR="00E50867" w:rsidRPr="009D56B8" w:rsidRDefault="00E50867">
      <w:pPr>
        <w:widowControl w:val="0"/>
        <w:tabs>
          <w:tab w:val="clear" w:pos="567"/>
        </w:tabs>
        <w:ind w:right="-2"/>
        <w:rPr>
          <w:szCs w:val="22"/>
          <w:lang w:val="nb-NO"/>
        </w:rPr>
      </w:pPr>
    </w:p>
    <w:p w14:paraId="2BABFFD5" w14:textId="6780F3B2" w:rsidR="00E50867" w:rsidRPr="009D56B8" w:rsidRDefault="00C770E8">
      <w:pPr>
        <w:widowControl w:val="0"/>
        <w:tabs>
          <w:tab w:val="clear" w:pos="567"/>
        </w:tabs>
        <w:ind w:right="-2"/>
        <w:rPr>
          <w:b/>
          <w:szCs w:val="22"/>
          <w:lang w:val="nb-NO"/>
        </w:rPr>
      </w:pPr>
      <w:r w:rsidRPr="009D56B8">
        <w:rPr>
          <w:b/>
          <w:szCs w:val="22"/>
          <w:lang w:val="nb-NO"/>
        </w:rPr>
        <w:t>Vanlig dose</w:t>
      </w:r>
      <w:r w:rsidR="006640DA" w:rsidRPr="009D56B8">
        <w:rPr>
          <w:b/>
          <w:szCs w:val="22"/>
          <w:lang w:val="nb-NO"/>
        </w:rPr>
        <w:t>:</w:t>
      </w:r>
    </w:p>
    <w:p w14:paraId="00824861" w14:textId="77777777" w:rsidR="00E50867" w:rsidRPr="009D56B8" w:rsidRDefault="00E50867">
      <w:pPr>
        <w:widowControl w:val="0"/>
        <w:tabs>
          <w:tab w:val="clear" w:pos="567"/>
        </w:tabs>
        <w:ind w:right="-2"/>
        <w:rPr>
          <w:b/>
          <w:szCs w:val="22"/>
          <w:lang w:val="nb-NO"/>
        </w:rPr>
      </w:pPr>
    </w:p>
    <w:p w14:paraId="211F54FB" w14:textId="77777777" w:rsidR="00E50867" w:rsidRPr="009D56B8" w:rsidRDefault="00C770E8">
      <w:pPr>
        <w:widowControl w:val="0"/>
        <w:tabs>
          <w:tab w:val="clear" w:pos="567"/>
        </w:tabs>
        <w:ind w:right="-2"/>
        <w:rPr>
          <w:b/>
          <w:szCs w:val="22"/>
          <w:lang w:val="nb-NO"/>
        </w:rPr>
      </w:pPr>
      <w:r w:rsidRPr="009D56B8">
        <w:rPr>
          <w:b/>
          <w:szCs w:val="22"/>
          <w:lang w:val="nb-NO"/>
        </w:rPr>
        <w:t>240 mg to ganger daglig.</w:t>
      </w:r>
    </w:p>
    <w:p w14:paraId="4A0BED50" w14:textId="77777777" w:rsidR="00E50867" w:rsidRPr="009D56B8" w:rsidRDefault="00E50867">
      <w:pPr>
        <w:widowControl w:val="0"/>
        <w:tabs>
          <w:tab w:val="clear" w:pos="567"/>
        </w:tabs>
        <w:ind w:right="-2"/>
        <w:rPr>
          <w:szCs w:val="22"/>
          <w:lang w:val="nb-NO"/>
        </w:rPr>
      </w:pPr>
    </w:p>
    <w:p w14:paraId="469BEA05" w14:textId="14D77CE1" w:rsidR="00E50867" w:rsidRPr="009D56B8" w:rsidRDefault="00D172C2">
      <w:pPr>
        <w:widowControl w:val="0"/>
        <w:tabs>
          <w:tab w:val="clear" w:pos="567"/>
        </w:tabs>
        <w:ind w:right="-2"/>
        <w:rPr>
          <w:szCs w:val="22"/>
          <w:lang w:val="nb-NO"/>
        </w:rPr>
      </w:pPr>
      <w:r w:rsidRPr="009D56B8">
        <w:rPr>
          <w:szCs w:val="22"/>
          <w:lang w:val="nb-NO"/>
        </w:rPr>
        <w:t>Dimethyl fumarate Accord</w:t>
      </w:r>
      <w:r w:rsidR="00C770E8" w:rsidRPr="009D56B8">
        <w:rPr>
          <w:szCs w:val="22"/>
          <w:lang w:val="nb-NO"/>
        </w:rPr>
        <w:t xml:space="preserve"> skal inntas via munnen.</w:t>
      </w:r>
    </w:p>
    <w:p w14:paraId="666D9CC7" w14:textId="77777777" w:rsidR="00E50867" w:rsidRPr="009D56B8" w:rsidRDefault="00E50867">
      <w:pPr>
        <w:widowControl w:val="0"/>
        <w:tabs>
          <w:tab w:val="clear" w:pos="567"/>
        </w:tabs>
        <w:ind w:right="-2"/>
        <w:rPr>
          <w:szCs w:val="22"/>
          <w:lang w:val="nb-NO"/>
        </w:rPr>
      </w:pPr>
    </w:p>
    <w:p w14:paraId="16246BC4" w14:textId="77777777" w:rsidR="00E50867" w:rsidRPr="009D56B8" w:rsidRDefault="00C770E8">
      <w:pPr>
        <w:widowControl w:val="0"/>
        <w:tabs>
          <w:tab w:val="clear" w:pos="567"/>
        </w:tabs>
        <w:ind w:right="-2"/>
        <w:rPr>
          <w:szCs w:val="22"/>
          <w:lang w:val="nb-NO"/>
        </w:rPr>
      </w:pPr>
      <w:r w:rsidRPr="009D56B8">
        <w:rPr>
          <w:b/>
          <w:szCs w:val="22"/>
          <w:lang w:val="nb-NO"/>
        </w:rPr>
        <w:t>Svelg kapselen hel</w:t>
      </w:r>
      <w:r w:rsidRPr="009D56B8">
        <w:rPr>
          <w:szCs w:val="22"/>
          <w:lang w:val="nb-NO"/>
        </w:rPr>
        <w:t xml:space="preserve"> med litt vann. Kapselen skal ikke deles, knuses, løses opp, suges eller tygges, da dette kan forverre enkelte bivirkninger.</w:t>
      </w:r>
    </w:p>
    <w:p w14:paraId="0E470025" w14:textId="77777777" w:rsidR="00E50867" w:rsidRPr="009D56B8" w:rsidRDefault="00E50867">
      <w:pPr>
        <w:widowControl w:val="0"/>
        <w:tabs>
          <w:tab w:val="clear" w:pos="567"/>
        </w:tabs>
        <w:ind w:right="-2"/>
        <w:rPr>
          <w:szCs w:val="22"/>
          <w:lang w:val="nb-NO"/>
        </w:rPr>
      </w:pPr>
    </w:p>
    <w:p w14:paraId="54DD38EC" w14:textId="29DE7ABD" w:rsidR="00E50867" w:rsidRPr="009D56B8" w:rsidRDefault="00C770E8">
      <w:pPr>
        <w:widowControl w:val="0"/>
        <w:tabs>
          <w:tab w:val="clear" w:pos="567"/>
        </w:tabs>
        <w:ind w:right="-2"/>
        <w:rPr>
          <w:b/>
          <w:szCs w:val="22"/>
          <w:lang w:val="nb-NO"/>
        </w:rPr>
      </w:pPr>
      <w:r w:rsidRPr="009D56B8">
        <w:rPr>
          <w:b/>
          <w:szCs w:val="22"/>
          <w:lang w:val="nb-NO"/>
        </w:rPr>
        <w:t xml:space="preserve">Ta </w:t>
      </w:r>
      <w:r w:rsidR="00D172C2" w:rsidRPr="009D56B8">
        <w:rPr>
          <w:b/>
          <w:szCs w:val="22"/>
          <w:lang w:val="nb-NO"/>
        </w:rPr>
        <w:t>Dimethyl fumarate Accord</w:t>
      </w:r>
      <w:r w:rsidRPr="009D56B8">
        <w:rPr>
          <w:b/>
          <w:szCs w:val="22"/>
          <w:lang w:val="nb-NO"/>
        </w:rPr>
        <w:t xml:space="preserve"> med mat </w:t>
      </w:r>
      <w:r w:rsidRPr="009D56B8">
        <w:rPr>
          <w:szCs w:val="22"/>
          <w:lang w:val="nb-NO"/>
        </w:rPr>
        <w:t>– det kan bidra til å redusere noen av de svært vanlige bivirkningene (listet opp i avsnitt 4).</w:t>
      </w:r>
    </w:p>
    <w:p w14:paraId="61525B21" w14:textId="57176493" w:rsidR="00E50867" w:rsidRPr="009D56B8" w:rsidRDefault="00C770E8" w:rsidP="002F2D0D">
      <w:pPr>
        <w:keepNext/>
        <w:rPr>
          <w:b/>
          <w:szCs w:val="22"/>
          <w:lang w:val="nb-NO"/>
        </w:rPr>
      </w:pPr>
      <w:r w:rsidRPr="009D56B8">
        <w:rPr>
          <w:b/>
          <w:szCs w:val="22"/>
          <w:lang w:val="nb-NO"/>
        </w:rPr>
        <w:lastRenderedPageBreak/>
        <w:t xml:space="preserve">Dersom du tar for mye av </w:t>
      </w:r>
      <w:r w:rsidR="00D172C2" w:rsidRPr="009D56B8">
        <w:rPr>
          <w:b/>
          <w:szCs w:val="22"/>
          <w:lang w:val="nb-NO"/>
        </w:rPr>
        <w:t>Dimethyl fumarate Accord</w:t>
      </w:r>
    </w:p>
    <w:p w14:paraId="2F7EFDF8" w14:textId="77777777" w:rsidR="00E50867" w:rsidRPr="009D56B8" w:rsidRDefault="00E50867" w:rsidP="002F2D0D">
      <w:pPr>
        <w:keepNext/>
        <w:rPr>
          <w:b/>
          <w:szCs w:val="22"/>
          <w:lang w:val="nb-NO"/>
        </w:rPr>
      </w:pPr>
    </w:p>
    <w:p w14:paraId="35E1EC09" w14:textId="77777777" w:rsidR="00E50867" w:rsidRPr="009D56B8" w:rsidRDefault="00C770E8">
      <w:pPr>
        <w:tabs>
          <w:tab w:val="clear" w:pos="567"/>
        </w:tabs>
        <w:ind w:right="-2"/>
        <w:rPr>
          <w:b/>
          <w:szCs w:val="22"/>
          <w:lang w:val="nb-NO"/>
        </w:rPr>
      </w:pPr>
      <w:r w:rsidRPr="009D56B8">
        <w:rPr>
          <w:b/>
          <w:szCs w:val="22"/>
          <w:lang w:val="nb-NO"/>
        </w:rPr>
        <w:t xml:space="preserve">Kontakt legen umiddelbart </w:t>
      </w:r>
      <w:r w:rsidRPr="009D56B8">
        <w:rPr>
          <w:szCs w:val="22"/>
          <w:lang w:val="nb-NO"/>
        </w:rPr>
        <w:t>dersom du har tatt for mange kapsler. Du kan oppleve bivirkninger som ligner dem som er beskrevet i avsnitt 4 nedenfor.</w:t>
      </w:r>
    </w:p>
    <w:p w14:paraId="3728E00D" w14:textId="77777777" w:rsidR="00E50867" w:rsidRPr="009D56B8" w:rsidRDefault="00E50867">
      <w:pPr>
        <w:rPr>
          <w:b/>
          <w:szCs w:val="22"/>
          <w:lang w:val="nb-NO"/>
        </w:rPr>
      </w:pPr>
    </w:p>
    <w:p w14:paraId="362810D7" w14:textId="377A32EB" w:rsidR="00E50867" w:rsidRPr="009D56B8" w:rsidRDefault="00C770E8">
      <w:pPr>
        <w:rPr>
          <w:b/>
          <w:szCs w:val="22"/>
          <w:lang w:val="nb-NO"/>
        </w:rPr>
      </w:pPr>
      <w:r w:rsidRPr="009D56B8">
        <w:rPr>
          <w:b/>
          <w:szCs w:val="22"/>
          <w:lang w:val="nb-NO"/>
        </w:rPr>
        <w:t xml:space="preserve">Dersom du har glemt å ta </w:t>
      </w:r>
      <w:r w:rsidR="00D172C2" w:rsidRPr="009D56B8">
        <w:rPr>
          <w:b/>
          <w:szCs w:val="22"/>
          <w:lang w:val="nb-NO"/>
        </w:rPr>
        <w:t>Dimethyl fumarate Accord</w:t>
      </w:r>
    </w:p>
    <w:p w14:paraId="3A1AD1D6" w14:textId="77777777" w:rsidR="00E50867" w:rsidRPr="009D56B8" w:rsidRDefault="00E50867">
      <w:pPr>
        <w:rPr>
          <w:b/>
          <w:szCs w:val="22"/>
          <w:lang w:val="nb-NO"/>
        </w:rPr>
      </w:pPr>
    </w:p>
    <w:p w14:paraId="31F0CE64" w14:textId="77777777" w:rsidR="00E50867" w:rsidRPr="009D56B8" w:rsidRDefault="00C770E8">
      <w:pPr>
        <w:widowControl w:val="0"/>
        <w:tabs>
          <w:tab w:val="clear" w:pos="567"/>
        </w:tabs>
        <w:ind w:right="-2"/>
        <w:rPr>
          <w:szCs w:val="22"/>
          <w:lang w:val="nb-NO"/>
        </w:rPr>
      </w:pPr>
      <w:r w:rsidRPr="009D56B8">
        <w:rPr>
          <w:b/>
          <w:szCs w:val="22"/>
          <w:lang w:val="nb-NO"/>
        </w:rPr>
        <w:t xml:space="preserve">Du skal ikke ta dobbel dose </w:t>
      </w:r>
      <w:r w:rsidRPr="009D56B8">
        <w:rPr>
          <w:szCs w:val="22"/>
          <w:lang w:val="nb-NO"/>
        </w:rPr>
        <w:t>som erstatning for en glemt dose.</w:t>
      </w:r>
    </w:p>
    <w:p w14:paraId="7E2AAF63" w14:textId="77777777" w:rsidR="00E50867" w:rsidRPr="009D56B8" w:rsidRDefault="00E50867">
      <w:pPr>
        <w:widowControl w:val="0"/>
        <w:tabs>
          <w:tab w:val="clear" w:pos="567"/>
        </w:tabs>
        <w:ind w:right="-2"/>
        <w:rPr>
          <w:szCs w:val="22"/>
          <w:lang w:val="nb-NO"/>
        </w:rPr>
      </w:pPr>
    </w:p>
    <w:p w14:paraId="469759BB" w14:textId="77777777" w:rsidR="00E50867" w:rsidRPr="009D56B8" w:rsidRDefault="00C770E8">
      <w:pPr>
        <w:widowControl w:val="0"/>
        <w:tabs>
          <w:tab w:val="clear" w:pos="567"/>
        </w:tabs>
        <w:ind w:right="-2"/>
        <w:rPr>
          <w:szCs w:val="22"/>
          <w:lang w:val="nb-NO"/>
        </w:rPr>
      </w:pPr>
      <w:r w:rsidRPr="009D56B8">
        <w:rPr>
          <w:szCs w:val="22"/>
          <w:lang w:val="nb-NO"/>
        </w:rPr>
        <w:t>Du kan ta den glemte dosen hvis du lar det gå minst 4 timer mellom dosene. Ellers skal du vente til den neste planlagte dosen.</w:t>
      </w:r>
    </w:p>
    <w:p w14:paraId="375A4303" w14:textId="77777777" w:rsidR="00E50867" w:rsidRPr="009D56B8" w:rsidRDefault="00E50867">
      <w:pPr>
        <w:widowControl w:val="0"/>
        <w:tabs>
          <w:tab w:val="clear" w:pos="567"/>
        </w:tabs>
        <w:rPr>
          <w:szCs w:val="22"/>
          <w:lang w:val="nb-NO"/>
        </w:rPr>
      </w:pPr>
    </w:p>
    <w:p w14:paraId="1CC98908" w14:textId="77777777" w:rsidR="00E50867" w:rsidRPr="009D56B8" w:rsidRDefault="00C770E8">
      <w:pPr>
        <w:widowControl w:val="0"/>
        <w:tabs>
          <w:tab w:val="clear" w:pos="567"/>
        </w:tabs>
        <w:rPr>
          <w:szCs w:val="22"/>
          <w:lang w:val="nb-NO"/>
        </w:rPr>
      </w:pPr>
      <w:r w:rsidRPr="009D56B8">
        <w:rPr>
          <w:szCs w:val="22"/>
          <w:lang w:val="nb-NO"/>
        </w:rPr>
        <w:t>Spør lege eller apotek dersom du har noen spørsmål om bruken av dette legemidlet.</w:t>
      </w:r>
    </w:p>
    <w:p w14:paraId="7A9AC18F" w14:textId="77777777" w:rsidR="00E50867" w:rsidRPr="009D56B8" w:rsidRDefault="00E50867">
      <w:pPr>
        <w:widowControl w:val="0"/>
        <w:tabs>
          <w:tab w:val="clear" w:pos="567"/>
        </w:tabs>
        <w:rPr>
          <w:szCs w:val="22"/>
          <w:lang w:val="nb-NO"/>
        </w:rPr>
      </w:pPr>
    </w:p>
    <w:p w14:paraId="1E0079FF" w14:textId="77777777" w:rsidR="00E50867" w:rsidRPr="009D56B8" w:rsidRDefault="00E50867">
      <w:pPr>
        <w:widowControl w:val="0"/>
        <w:tabs>
          <w:tab w:val="clear" w:pos="567"/>
        </w:tabs>
        <w:rPr>
          <w:szCs w:val="22"/>
          <w:lang w:val="nb-NO"/>
        </w:rPr>
      </w:pPr>
    </w:p>
    <w:p w14:paraId="1354E69C" w14:textId="77777777" w:rsidR="00E50867" w:rsidRPr="009D56B8" w:rsidRDefault="00C770E8">
      <w:pPr>
        <w:keepNext/>
        <w:keepLines/>
        <w:rPr>
          <w:b/>
          <w:szCs w:val="22"/>
          <w:lang w:val="nb-NO"/>
        </w:rPr>
      </w:pPr>
      <w:r w:rsidRPr="009D56B8">
        <w:rPr>
          <w:b/>
          <w:szCs w:val="22"/>
          <w:lang w:val="nb-NO"/>
        </w:rPr>
        <w:t>4.</w:t>
      </w:r>
      <w:r w:rsidRPr="009D56B8">
        <w:rPr>
          <w:b/>
          <w:szCs w:val="22"/>
          <w:lang w:val="nb-NO"/>
        </w:rPr>
        <w:tab/>
        <w:t>Mulige bivirkninger</w:t>
      </w:r>
    </w:p>
    <w:p w14:paraId="3B1FA046" w14:textId="77777777" w:rsidR="00E50867" w:rsidRPr="009D56B8" w:rsidRDefault="00E50867">
      <w:pPr>
        <w:keepNext/>
        <w:keepLines/>
        <w:tabs>
          <w:tab w:val="clear" w:pos="567"/>
        </w:tabs>
        <w:rPr>
          <w:szCs w:val="22"/>
          <w:lang w:val="nb-NO"/>
        </w:rPr>
      </w:pPr>
    </w:p>
    <w:p w14:paraId="475480B6" w14:textId="77777777" w:rsidR="00E50867" w:rsidRPr="009D56B8" w:rsidRDefault="00C770E8">
      <w:pPr>
        <w:keepNext/>
        <w:keepLines/>
        <w:rPr>
          <w:szCs w:val="22"/>
          <w:lang w:val="nb-NO"/>
        </w:rPr>
      </w:pPr>
      <w:r w:rsidRPr="009D56B8">
        <w:rPr>
          <w:szCs w:val="22"/>
          <w:lang w:val="nb-NO"/>
        </w:rPr>
        <w:t>Som alle legemidler kan dette legemidlet forårsake bivirkninger, men ikke alle får det.</w:t>
      </w:r>
    </w:p>
    <w:p w14:paraId="0FDA9372" w14:textId="77777777" w:rsidR="00E50867" w:rsidRPr="009D56B8" w:rsidRDefault="00E50867">
      <w:pPr>
        <w:keepNext/>
        <w:keepLines/>
        <w:rPr>
          <w:szCs w:val="22"/>
          <w:lang w:val="nb-NO"/>
        </w:rPr>
      </w:pPr>
    </w:p>
    <w:p w14:paraId="4F574146" w14:textId="77777777" w:rsidR="00E50867" w:rsidRPr="009D56B8" w:rsidRDefault="00C770E8">
      <w:pPr>
        <w:keepNext/>
        <w:keepLines/>
        <w:ind w:right="-2"/>
        <w:rPr>
          <w:b/>
          <w:szCs w:val="22"/>
          <w:lang w:val="nb-NO"/>
        </w:rPr>
      </w:pPr>
      <w:r w:rsidRPr="009D56B8">
        <w:rPr>
          <w:b/>
          <w:szCs w:val="22"/>
          <w:lang w:val="nb-NO"/>
        </w:rPr>
        <w:t>Alvorlige bivirkninger</w:t>
      </w:r>
    </w:p>
    <w:p w14:paraId="616FF17F" w14:textId="77777777" w:rsidR="00E50867" w:rsidRPr="009D56B8" w:rsidRDefault="00E50867">
      <w:pPr>
        <w:keepNext/>
        <w:keepLines/>
        <w:ind w:right="-2"/>
        <w:rPr>
          <w:szCs w:val="22"/>
          <w:lang w:val="nb-NO"/>
        </w:rPr>
      </w:pPr>
    </w:p>
    <w:p w14:paraId="1E907187" w14:textId="66004134" w:rsidR="00E50867" w:rsidRPr="009D56B8" w:rsidRDefault="00D172C2">
      <w:pPr>
        <w:rPr>
          <w:szCs w:val="22"/>
          <w:lang w:val="nb-NO"/>
        </w:rPr>
      </w:pPr>
      <w:r w:rsidRPr="009D56B8">
        <w:rPr>
          <w:szCs w:val="22"/>
          <w:lang w:val="nb-NO"/>
        </w:rPr>
        <w:t>Dimethyl fumarate Accord</w:t>
      </w:r>
      <w:r w:rsidR="00C770E8" w:rsidRPr="009D56B8">
        <w:rPr>
          <w:szCs w:val="22"/>
          <w:lang w:val="nb-NO"/>
        </w:rPr>
        <w:t xml:space="preserve"> kan</w:t>
      </w:r>
      <w:r w:rsidR="003A02ED" w:rsidRPr="009D56B8">
        <w:rPr>
          <w:szCs w:val="22"/>
          <w:lang w:val="nb-NO"/>
        </w:rPr>
        <w:t xml:space="preserve"> føre til lavere </w:t>
      </w:r>
      <w:r w:rsidR="00C770E8" w:rsidRPr="009D56B8">
        <w:rPr>
          <w:szCs w:val="22"/>
          <w:lang w:val="nb-NO"/>
        </w:rPr>
        <w:t xml:space="preserve">antall lymfocytter (en type hvite blodceller). Å ha et lavt antall hvite blodceller kan øke risikoen for infeksjon, også risikoen for en sjelden hjerneinfeksjon som kalles progressiv multifokal leukoencefalopati (PML). PML kan føre til alvorlig nedsatt funksjonsevne eller død. </w:t>
      </w:r>
      <w:r w:rsidR="00C770E8" w:rsidRPr="009D56B8">
        <w:rPr>
          <w:szCs w:val="22"/>
          <w:lang w:val="nb-NO" w:eastAsia="en-US"/>
        </w:rPr>
        <w:t xml:space="preserve">PML har forekommet etter 1 til 5 års behandling, og legen bør derfor fortsette å følge med på de hvite blodcellene gjennom behandlingen. Du må også være oppmerksom på mulige symptomer på PML, slik det er beskrevet nedenfor. </w:t>
      </w:r>
      <w:r w:rsidR="00C770E8" w:rsidRPr="009D56B8">
        <w:rPr>
          <w:lang w:val="nb-NO"/>
        </w:rPr>
        <w:t>Risikoen for PML kan være høyere hvis du tidligere har tatt et legemiddel som svekker kroppens immunforsvar.</w:t>
      </w:r>
    </w:p>
    <w:p w14:paraId="265FFA19" w14:textId="77777777" w:rsidR="00E50867" w:rsidRPr="009D56B8" w:rsidRDefault="00E50867">
      <w:pPr>
        <w:pStyle w:val="C-Bullet"/>
        <w:keepNext/>
        <w:keepLines/>
        <w:numPr>
          <w:ilvl w:val="0"/>
          <w:numId w:val="0"/>
        </w:numPr>
        <w:tabs>
          <w:tab w:val="left" w:pos="720"/>
        </w:tabs>
        <w:spacing w:before="0" w:after="0" w:line="240" w:lineRule="auto"/>
        <w:rPr>
          <w:sz w:val="22"/>
          <w:szCs w:val="22"/>
          <w:lang w:val="nb-NO"/>
        </w:rPr>
      </w:pPr>
    </w:p>
    <w:p w14:paraId="4B0A5172" w14:textId="32D24DF2" w:rsidR="00E50867" w:rsidRPr="009D56B8" w:rsidRDefault="00C770E8">
      <w:pPr>
        <w:pStyle w:val="C-Bullet"/>
        <w:keepNext/>
        <w:keepLines/>
        <w:numPr>
          <w:ilvl w:val="0"/>
          <w:numId w:val="0"/>
        </w:numPr>
        <w:tabs>
          <w:tab w:val="left" w:pos="720"/>
        </w:tabs>
        <w:spacing w:before="0" w:after="0" w:line="240" w:lineRule="auto"/>
        <w:rPr>
          <w:sz w:val="22"/>
          <w:szCs w:val="22"/>
          <w:lang w:val="nb-NO"/>
        </w:rPr>
      </w:pPr>
      <w:r w:rsidRPr="009D56B8">
        <w:rPr>
          <w:sz w:val="22"/>
          <w:szCs w:val="22"/>
          <w:lang w:val="nb-NO"/>
        </w:rPr>
        <w:t>Symptomene på PML kan ligne et MS-anfall (tilbakefall). Symptomene kan være ny eller forverret svekkelse i én side av kroppen, klossethet, endringer i synet, endringer i tanker eller hukommelse, forvirring eller personlighetsforandringer</w:t>
      </w:r>
      <w:r w:rsidRPr="009D56B8">
        <w:rPr>
          <w:szCs w:val="22"/>
          <w:lang w:val="nb-NO"/>
        </w:rPr>
        <w:t xml:space="preserve"> </w:t>
      </w:r>
      <w:r w:rsidRPr="009D56B8">
        <w:rPr>
          <w:sz w:val="22"/>
          <w:szCs w:val="22"/>
          <w:lang w:val="nb-NO" w:eastAsia="zh-CN"/>
        </w:rPr>
        <w:t xml:space="preserve">eller vanskeligheter med å snakke og kommunisere som varer i mer enn noen dager. Hvis du mener at MS-sykdommen blir forverret eller hvis du merker noen nye symptomer mens du får behandling med </w:t>
      </w:r>
      <w:r w:rsidR="00D172C2" w:rsidRPr="009D56B8">
        <w:rPr>
          <w:sz w:val="22"/>
          <w:szCs w:val="22"/>
          <w:lang w:val="nb-NO" w:eastAsia="zh-CN"/>
        </w:rPr>
        <w:t>Dimethyl fumarate Accord</w:t>
      </w:r>
      <w:r w:rsidRPr="009D56B8">
        <w:rPr>
          <w:sz w:val="22"/>
          <w:szCs w:val="22"/>
          <w:lang w:val="nb-NO" w:eastAsia="zh-CN"/>
        </w:rPr>
        <w:t>, er det derfor svært viktig at du snakker med legen så snart som mulig. Snakk også med partneren din eller dine omsorgspersoner, og informer dem om behandlingen. Det kan oppstå symptomer som du selv kanskje ikke er klar over.</w:t>
      </w:r>
    </w:p>
    <w:p w14:paraId="65E35D60" w14:textId="77777777" w:rsidR="00E50867" w:rsidRPr="009D56B8" w:rsidRDefault="00E50867">
      <w:pPr>
        <w:pStyle w:val="C-Bullet"/>
        <w:numPr>
          <w:ilvl w:val="0"/>
          <w:numId w:val="0"/>
        </w:numPr>
        <w:tabs>
          <w:tab w:val="left" w:pos="720"/>
        </w:tabs>
        <w:spacing w:before="0" w:after="0" w:line="240" w:lineRule="auto"/>
        <w:ind w:left="360" w:hanging="360"/>
        <w:rPr>
          <w:sz w:val="22"/>
          <w:szCs w:val="22"/>
          <w:lang w:val="nb-NO"/>
        </w:rPr>
      </w:pPr>
    </w:p>
    <w:p w14:paraId="5E821958" w14:textId="77777777" w:rsidR="00E50867" w:rsidRPr="009D56B8" w:rsidRDefault="00C770E8">
      <w:pPr>
        <w:keepNext/>
        <w:widowControl w:val="0"/>
        <w:ind w:right="-2"/>
        <w:rPr>
          <w:szCs w:val="22"/>
          <w:lang w:val="nb-NO"/>
        </w:rPr>
      </w:pPr>
      <w:r w:rsidRPr="009D56B8">
        <w:rPr>
          <w:szCs w:val="22"/>
          <w:lang w:val="nb-NO"/>
        </w:rPr>
        <w:sym w:font="Wingdings" w:char="F0E0"/>
      </w:r>
      <w:r w:rsidRPr="009D56B8">
        <w:rPr>
          <w:szCs w:val="22"/>
          <w:lang w:val="nb-NO"/>
        </w:rPr>
        <w:tab/>
      </w:r>
      <w:r w:rsidRPr="009D56B8">
        <w:rPr>
          <w:b/>
          <w:szCs w:val="22"/>
          <w:lang w:val="nb-NO"/>
        </w:rPr>
        <w:t>Kontakt legen din umiddelbart hvis du opplever noen av disse symptomene</w:t>
      </w:r>
    </w:p>
    <w:p w14:paraId="40132D45" w14:textId="77777777" w:rsidR="00E50867" w:rsidRPr="009D56B8" w:rsidRDefault="00E50867">
      <w:pPr>
        <w:widowControl w:val="0"/>
        <w:ind w:right="-2"/>
        <w:rPr>
          <w:szCs w:val="22"/>
          <w:lang w:val="nb-NO"/>
        </w:rPr>
      </w:pPr>
    </w:p>
    <w:p w14:paraId="3ABC83E9" w14:textId="77777777" w:rsidR="00E50867" w:rsidRPr="009D56B8" w:rsidRDefault="00C770E8">
      <w:pPr>
        <w:widowControl w:val="0"/>
        <w:ind w:right="-2"/>
        <w:rPr>
          <w:b/>
          <w:szCs w:val="22"/>
          <w:lang w:val="nb-NO"/>
        </w:rPr>
      </w:pPr>
      <w:r w:rsidRPr="009D56B8">
        <w:rPr>
          <w:b/>
          <w:szCs w:val="22"/>
          <w:lang w:val="nb-NO"/>
        </w:rPr>
        <w:t>Alvorlige allergiske reaksjoner</w:t>
      </w:r>
    </w:p>
    <w:p w14:paraId="6D1D654C" w14:textId="77777777" w:rsidR="00E50867" w:rsidRPr="009D56B8" w:rsidRDefault="00E50867">
      <w:pPr>
        <w:widowControl w:val="0"/>
        <w:ind w:right="-2"/>
        <w:rPr>
          <w:szCs w:val="22"/>
          <w:lang w:val="nb-NO"/>
        </w:rPr>
      </w:pPr>
    </w:p>
    <w:p w14:paraId="1BC404C8" w14:textId="1334891C" w:rsidR="00E50867" w:rsidRPr="009D56B8" w:rsidRDefault="00C770E8">
      <w:pPr>
        <w:widowControl w:val="0"/>
        <w:ind w:right="-2"/>
        <w:rPr>
          <w:szCs w:val="22"/>
          <w:lang w:val="nb-NO"/>
        </w:rPr>
      </w:pPr>
      <w:r w:rsidRPr="009D56B8">
        <w:rPr>
          <w:szCs w:val="22"/>
          <w:lang w:val="nb-NO"/>
        </w:rPr>
        <w:t>Hyppigheten av alvorlige allergiske reaksjoner kan ikke anslås ut fra tilgjengelig</w:t>
      </w:r>
      <w:r w:rsidR="009817D7" w:rsidRPr="009D56B8">
        <w:rPr>
          <w:szCs w:val="22"/>
          <w:lang w:val="nb-NO"/>
        </w:rPr>
        <w:t>e</w:t>
      </w:r>
      <w:r w:rsidRPr="009D56B8">
        <w:rPr>
          <w:szCs w:val="22"/>
          <w:lang w:val="nb-NO"/>
        </w:rPr>
        <w:t xml:space="preserve"> </w:t>
      </w:r>
      <w:r w:rsidR="009817D7" w:rsidRPr="009D56B8">
        <w:rPr>
          <w:szCs w:val="22"/>
          <w:lang w:val="nb-NO"/>
        </w:rPr>
        <w:t>data</w:t>
      </w:r>
      <w:r w:rsidRPr="009D56B8">
        <w:rPr>
          <w:szCs w:val="22"/>
          <w:lang w:val="nb-NO"/>
        </w:rPr>
        <w:t xml:space="preserve"> (ikke kjent).</w:t>
      </w:r>
    </w:p>
    <w:p w14:paraId="49F81CFC" w14:textId="77777777" w:rsidR="00E50867" w:rsidRPr="009D56B8" w:rsidRDefault="00C770E8">
      <w:pPr>
        <w:widowControl w:val="0"/>
        <w:ind w:right="-2"/>
        <w:rPr>
          <w:szCs w:val="22"/>
          <w:lang w:val="nb-NO"/>
        </w:rPr>
      </w:pPr>
      <w:r w:rsidRPr="009D56B8">
        <w:rPr>
          <w:szCs w:val="22"/>
          <w:lang w:val="nb-NO"/>
        </w:rPr>
        <w:t xml:space="preserve">Rødme i huden i ansiktet eller på kroppen </w:t>
      </w:r>
      <w:r w:rsidRPr="009D56B8">
        <w:rPr>
          <w:i/>
          <w:szCs w:val="22"/>
          <w:lang w:val="nb-NO"/>
        </w:rPr>
        <w:t>(hudrødme)</w:t>
      </w:r>
      <w:r w:rsidRPr="009D56B8">
        <w:rPr>
          <w:szCs w:val="22"/>
          <w:lang w:val="nb-NO"/>
        </w:rPr>
        <w:t xml:space="preserve"> er en svært vanlig bivirkning. Hvis du imidlertid får hudrødme sammen med et rødt utslett eller elveblest </w:t>
      </w:r>
      <w:r w:rsidRPr="009D56B8">
        <w:rPr>
          <w:b/>
          <w:szCs w:val="22"/>
          <w:lang w:val="nb-NO"/>
        </w:rPr>
        <w:t xml:space="preserve">og </w:t>
      </w:r>
      <w:r w:rsidRPr="009D56B8">
        <w:rPr>
          <w:szCs w:val="22"/>
          <w:lang w:val="nb-NO"/>
        </w:rPr>
        <w:t>du får noen av disse symptomene:</w:t>
      </w:r>
    </w:p>
    <w:p w14:paraId="4E7CCF74" w14:textId="77777777" w:rsidR="00E50867" w:rsidRPr="009D56B8" w:rsidRDefault="00E50867">
      <w:pPr>
        <w:widowControl w:val="0"/>
        <w:ind w:right="-2"/>
        <w:rPr>
          <w:szCs w:val="22"/>
          <w:lang w:val="nb-NO"/>
        </w:rPr>
      </w:pPr>
    </w:p>
    <w:p w14:paraId="252F822A" w14:textId="77777777" w:rsidR="00E50867" w:rsidRPr="009D56B8" w:rsidRDefault="00C770E8">
      <w:pPr>
        <w:widowControl w:val="0"/>
        <w:numPr>
          <w:ilvl w:val="0"/>
          <w:numId w:val="15"/>
        </w:numPr>
        <w:tabs>
          <w:tab w:val="clear" w:pos="567"/>
        </w:tabs>
        <w:ind w:left="567" w:right="-2" w:hanging="567"/>
        <w:rPr>
          <w:szCs w:val="22"/>
          <w:lang w:val="nb-NO"/>
        </w:rPr>
      </w:pPr>
      <w:r w:rsidRPr="009D56B8">
        <w:rPr>
          <w:szCs w:val="22"/>
          <w:lang w:val="nb-NO"/>
        </w:rPr>
        <w:t xml:space="preserve">hevelse i ansiktet, leppene, munnen eller tunga </w:t>
      </w:r>
      <w:r w:rsidRPr="009D56B8">
        <w:rPr>
          <w:i/>
          <w:szCs w:val="22"/>
          <w:lang w:val="nb-NO"/>
        </w:rPr>
        <w:t>(angioødem)</w:t>
      </w:r>
    </w:p>
    <w:p w14:paraId="2AA143C0" w14:textId="77777777" w:rsidR="00E50867" w:rsidRPr="009D56B8" w:rsidRDefault="00C770E8">
      <w:pPr>
        <w:widowControl w:val="0"/>
        <w:numPr>
          <w:ilvl w:val="0"/>
          <w:numId w:val="15"/>
        </w:numPr>
        <w:tabs>
          <w:tab w:val="clear" w:pos="567"/>
        </w:tabs>
        <w:ind w:left="567" w:right="-2" w:hanging="567"/>
        <w:rPr>
          <w:szCs w:val="22"/>
          <w:lang w:val="nb-NO"/>
        </w:rPr>
      </w:pPr>
      <w:r w:rsidRPr="009D56B8">
        <w:rPr>
          <w:szCs w:val="22"/>
          <w:lang w:val="nb-NO"/>
        </w:rPr>
        <w:t xml:space="preserve">pipende pust, pustevansker eller kortpustethet </w:t>
      </w:r>
      <w:r w:rsidRPr="009D56B8">
        <w:rPr>
          <w:i/>
          <w:szCs w:val="22"/>
          <w:lang w:val="nb-NO"/>
        </w:rPr>
        <w:t>(dyspné, hypoksi)</w:t>
      </w:r>
    </w:p>
    <w:p w14:paraId="07B0E2F6" w14:textId="77777777" w:rsidR="00E50867" w:rsidRPr="009D56B8" w:rsidRDefault="00C770E8">
      <w:pPr>
        <w:widowControl w:val="0"/>
        <w:numPr>
          <w:ilvl w:val="0"/>
          <w:numId w:val="15"/>
        </w:numPr>
        <w:tabs>
          <w:tab w:val="clear" w:pos="567"/>
        </w:tabs>
        <w:ind w:left="567" w:right="-2" w:hanging="567"/>
        <w:rPr>
          <w:szCs w:val="22"/>
          <w:lang w:val="nb-NO"/>
        </w:rPr>
      </w:pPr>
      <w:r w:rsidRPr="009D56B8">
        <w:rPr>
          <w:szCs w:val="22"/>
          <w:lang w:val="nb-NO"/>
        </w:rPr>
        <w:t xml:space="preserve">svimmelhet eller tap av bevissthet </w:t>
      </w:r>
      <w:r w:rsidRPr="009D56B8">
        <w:rPr>
          <w:i/>
          <w:szCs w:val="22"/>
          <w:lang w:val="nb-NO"/>
        </w:rPr>
        <w:t>(hypotensjon)</w:t>
      </w:r>
    </w:p>
    <w:p w14:paraId="27FFB26A" w14:textId="77777777" w:rsidR="00E50867" w:rsidRPr="009D56B8" w:rsidRDefault="00E50867">
      <w:pPr>
        <w:widowControl w:val="0"/>
        <w:ind w:right="-2"/>
        <w:rPr>
          <w:szCs w:val="22"/>
          <w:lang w:val="nb-NO"/>
        </w:rPr>
      </w:pPr>
    </w:p>
    <w:p w14:paraId="176C4515" w14:textId="77777777" w:rsidR="00E50867" w:rsidRPr="009D56B8" w:rsidRDefault="00C770E8">
      <w:pPr>
        <w:widowControl w:val="0"/>
        <w:ind w:right="-2"/>
        <w:rPr>
          <w:szCs w:val="22"/>
          <w:lang w:val="nb-NO"/>
        </w:rPr>
      </w:pPr>
      <w:r w:rsidRPr="009D56B8">
        <w:rPr>
          <w:szCs w:val="22"/>
          <w:lang w:val="nb-NO"/>
        </w:rPr>
        <w:t xml:space="preserve">kan dette være en alvorlig allergisk reaksjon </w:t>
      </w:r>
      <w:r w:rsidRPr="009D56B8">
        <w:rPr>
          <w:i/>
          <w:szCs w:val="22"/>
          <w:lang w:val="nb-NO"/>
        </w:rPr>
        <w:t>(anafylaksi)</w:t>
      </w:r>
    </w:p>
    <w:p w14:paraId="2FA2EF6D" w14:textId="77777777" w:rsidR="00E50867" w:rsidRPr="009D56B8" w:rsidRDefault="00E50867">
      <w:pPr>
        <w:widowControl w:val="0"/>
        <w:ind w:right="-2"/>
        <w:rPr>
          <w:szCs w:val="22"/>
          <w:lang w:val="nb-NO"/>
        </w:rPr>
      </w:pPr>
    </w:p>
    <w:p w14:paraId="18C7F64D" w14:textId="4904FF86" w:rsidR="00E50867" w:rsidRPr="009D56B8" w:rsidRDefault="00C770E8">
      <w:pPr>
        <w:widowControl w:val="0"/>
        <w:ind w:right="-2"/>
        <w:rPr>
          <w:szCs w:val="22"/>
          <w:lang w:val="nb-NO"/>
        </w:rPr>
      </w:pPr>
      <w:r w:rsidRPr="009D56B8">
        <w:rPr>
          <w:szCs w:val="22"/>
          <w:lang w:val="nb-NO"/>
        </w:rPr>
        <w:sym w:font="Wingdings" w:char="F0E0"/>
      </w:r>
      <w:r w:rsidRPr="009D56B8">
        <w:rPr>
          <w:szCs w:val="22"/>
          <w:lang w:val="nb-NO"/>
        </w:rPr>
        <w:tab/>
      </w:r>
      <w:r w:rsidRPr="009D56B8">
        <w:rPr>
          <w:b/>
          <w:szCs w:val="22"/>
          <w:lang w:val="nb-NO"/>
        </w:rPr>
        <w:t xml:space="preserve">Slutt å ta </w:t>
      </w:r>
      <w:r w:rsidR="00D172C2" w:rsidRPr="009D56B8">
        <w:rPr>
          <w:b/>
          <w:szCs w:val="22"/>
          <w:lang w:val="nb-NO"/>
        </w:rPr>
        <w:t>Dimethyl fumarate Accord</w:t>
      </w:r>
      <w:r w:rsidRPr="009D56B8">
        <w:rPr>
          <w:b/>
          <w:szCs w:val="22"/>
          <w:lang w:val="nb-NO"/>
        </w:rPr>
        <w:t xml:space="preserve"> og kontakt lege umiddelbart</w:t>
      </w:r>
    </w:p>
    <w:p w14:paraId="4A40A94F" w14:textId="77777777" w:rsidR="00E50867" w:rsidRPr="009D56B8" w:rsidRDefault="00E50867">
      <w:pPr>
        <w:keepNext/>
        <w:rPr>
          <w:b/>
          <w:szCs w:val="22"/>
          <w:lang w:val="nb-NO"/>
        </w:rPr>
      </w:pPr>
    </w:p>
    <w:p w14:paraId="2DAC2486" w14:textId="5FCBA3E0" w:rsidR="00E50867" w:rsidRPr="009D56B8" w:rsidRDefault="00C3688E">
      <w:pPr>
        <w:keepNext/>
        <w:rPr>
          <w:b/>
          <w:szCs w:val="22"/>
          <w:lang w:val="nb-NO"/>
        </w:rPr>
      </w:pPr>
      <w:r w:rsidRPr="009D56B8">
        <w:rPr>
          <w:b/>
          <w:szCs w:val="22"/>
          <w:lang w:val="nb-NO"/>
        </w:rPr>
        <w:t>Andre</w:t>
      </w:r>
      <w:r w:rsidR="00C770E8" w:rsidRPr="009D56B8">
        <w:rPr>
          <w:b/>
          <w:szCs w:val="22"/>
          <w:lang w:val="nb-NO"/>
        </w:rPr>
        <w:t xml:space="preserve"> bivirkninger</w:t>
      </w:r>
    </w:p>
    <w:p w14:paraId="400206F1" w14:textId="77777777" w:rsidR="00E50867" w:rsidRPr="009D56B8" w:rsidRDefault="00E50867">
      <w:pPr>
        <w:keepNext/>
        <w:rPr>
          <w:szCs w:val="22"/>
          <w:lang w:val="nb-NO"/>
        </w:rPr>
      </w:pPr>
    </w:p>
    <w:p w14:paraId="28D1125C" w14:textId="137EBCE1" w:rsidR="00E50867" w:rsidRPr="009D56B8" w:rsidRDefault="002D0925">
      <w:pPr>
        <w:widowControl w:val="0"/>
        <w:tabs>
          <w:tab w:val="clear" w:pos="567"/>
        </w:tabs>
        <w:ind w:right="-2"/>
        <w:rPr>
          <w:i/>
          <w:szCs w:val="22"/>
          <w:lang w:val="nb-NO"/>
        </w:rPr>
      </w:pPr>
      <w:r w:rsidRPr="009D56B8">
        <w:rPr>
          <w:b/>
          <w:bCs/>
          <w:szCs w:val="22"/>
          <w:lang w:val="nb-NO"/>
        </w:rPr>
        <w:t>Svært vanlige</w:t>
      </w:r>
      <w:r w:rsidRPr="009D56B8">
        <w:rPr>
          <w:szCs w:val="22"/>
          <w:lang w:val="nb-NO"/>
        </w:rPr>
        <w:t xml:space="preserve"> (kan </w:t>
      </w:r>
      <w:r w:rsidR="00C770E8" w:rsidRPr="009D56B8">
        <w:rPr>
          <w:szCs w:val="22"/>
          <w:lang w:val="nb-NO"/>
        </w:rPr>
        <w:t xml:space="preserve">forekomme hos </w:t>
      </w:r>
      <w:r w:rsidR="00C770E8" w:rsidRPr="009D56B8">
        <w:rPr>
          <w:iCs/>
          <w:szCs w:val="22"/>
          <w:lang w:val="nb-NO"/>
        </w:rPr>
        <w:t>flere enn 1 av 10 personer</w:t>
      </w:r>
      <w:r w:rsidR="00580836" w:rsidRPr="009D56B8">
        <w:rPr>
          <w:iCs/>
          <w:szCs w:val="22"/>
          <w:lang w:val="nb-NO"/>
        </w:rPr>
        <w:t>)</w:t>
      </w:r>
    </w:p>
    <w:p w14:paraId="77BA1FD8" w14:textId="77777777" w:rsidR="00E50867" w:rsidRPr="009D56B8" w:rsidRDefault="00C770E8">
      <w:pPr>
        <w:widowControl w:val="0"/>
        <w:numPr>
          <w:ilvl w:val="0"/>
          <w:numId w:val="16"/>
        </w:numPr>
        <w:tabs>
          <w:tab w:val="clear" w:pos="567"/>
        </w:tabs>
        <w:ind w:left="567" w:right="-2" w:hanging="567"/>
        <w:rPr>
          <w:szCs w:val="22"/>
          <w:lang w:val="nb-NO"/>
        </w:rPr>
      </w:pPr>
      <w:r w:rsidRPr="009D56B8">
        <w:rPr>
          <w:szCs w:val="22"/>
          <w:lang w:val="nb-NO"/>
        </w:rPr>
        <w:lastRenderedPageBreak/>
        <w:t>rødme i huden i ansiktet eller på kroppen, følelse av varme, hete eller svie</w:t>
      </w:r>
      <w:r w:rsidRPr="009D56B8">
        <w:rPr>
          <w:i/>
          <w:szCs w:val="22"/>
          <w:lang w:val="nb-NO"/>
        </w:rPr>
        <w:t xml:space="preserve"> (hudrødme)</w:t>
      </w:r>
    </w:p>
    <w:p w14:paraId="3A64AC29" w14:textId="77777777" w:rsidR="00E50867" w:rsidRPr="009D56B8" w:rsidRDefault="00C770E8">
      <w:pPr>
        <w:widowControl w:val="0"/>
        <w:numPr>
          <w:ilvl w:val="0"/>
          <w:numId w:val="16"/>
        </w:numPr>
        <w:tabs>
          <w:tab w:val="clear" w:pos="567"/>
        </w:tabs>
        <w:ind w:left="567" w:right="-2" w:hanging="567"/>
        <w:rPr>
          <w:i/>
          <w:szCs w:val="22"/>
          <w:lang w:val="nb-NO"/>
        </w:rPr>
      </w:pPr>
      <w:r w:rsidRPr="009D56B8">
        <w:rPr>
          <w:szCs w:val="22"/>
          <w:lang w:val="nb-NO"/>
        </w:rPr>
        <w:t xml:space="preserve">løs avføring </w:t>
      </w:r>
      <w:r w:rsidRPr="009D56B8">
        <w:rPr>
          <w:i/>
          <w:szCs w:val="22"/>
          <w:lang w:val="nb-NO"/>
        </w:rPr>
        <w:t>(diaré)</w:t>
      </w:r>
    </w:p>
    <w:p w14:paraId="432D8320" w14:textId="77777777" w:rsidR="00E50867" w:rsidRPr="009D56B8" w:rsidRDefault="00C770E8">
      <w:pPr>
        <w:widowControl w:val="0"/>
        <w:numPr>
          <w:ilvl w:val="0"/>
          <w:numId w:val="16"/>
        </w:numPr>
        <w:tabs>
          <w:tab w:val="clear" w:pos="567"/>
        </w:tabs>
        <w:ind w:left="567" w:right="-2" w:hanging="567"/>
        <w:rPr>
          <w:szCs w:val="22"/>
          <w:lang w:val="nb-NO"/>
        </w:rPr>
      </w:pPr>
      <w:r w:rsidRPr="009D56B8">
        <w:rPr>
          <w:szCs w:val="22"/>
          <w:lang w:val="nb-NO"/>
        </w:rPr>
        <w:t>kvalme</w:t>
      </w:r>
    </w:p>
    <w:p w14:paraId="440C417C" w14:textId="77777777" w:rsidR="00E50867" w:rsidRPr="009D56B8" w:rsidRDefault="00C770E8">
      <w:pPr>
        <w:widowControl w:val="0"/>
        <w:numPr>
          <w:ilvl w:val="0"/>
          <w:numId w:val="16"/>
        </w:numPr>
        <w:tabs>
          <w:tab w:val="clear" w:pos="567"/>
        </w:tabs>
        <w:ind w:left="567" w:right="-2" w:hanging="567"/>
        <w:rPr>
          <w:szCs w:val="22"/>
          <w:lang w:val="nb-NO"/>
        </w:rPr>
      </w:pPr>
      <w:r w:rsidRPr="009D56B8">
        <w:rPr>
          <w:szCs w:val="22"/>
          <w:lang w:val="nb-NO"/>
        </w:rPr>
        <w:t>magesmerter eller magekramper</w:t>
      </w:r>
    </w:p>
    <w:p w14:paraId="25390A3D" w14:textId="77777777" w:rsidR="00E50867" w:rsidRPr="009D56B8" w:rsidRDefault="00E50867">
      <w:pPr>
        <w:widowControl w:val="0"/>
        <w:ind w:right="-2"/>
        <w:rPr>
          <w:szCs w:val="22"/>
          <w:lang w:val="nb-NO"/>
        </w:rPr>
      </w:pPr>
    </w:p>
    <w:p w14:paraId="184A97FC" w14:textId="77777777" w:rsidR="00E50867" w:rsidRPr="009D56B8" w:rsidRDefault="00C770E8">
      <w:pPr>
        <w:widowControl w:val="0"/>
        <w:ind w:right="-2"/>
        <w:rPr>
          <w:szCs w:val="22"/>
          <w:lang w:val="nb-NO"/>
        </w:rPr>
      </w:pPr>
      <w:r w:rsidRPr="009D56B8">
        <w:rPr>
          <w:szCs w:val="22"/>
          <w:lang w:val="nb-NO"/>
        </w:rPr>
        <w:sym w:font="Wingdings" w:char="F0E0"/>
      </w:r>
      <w:r w:rsidRPr="009D56B8">
        <w:rPr>
          <w:szCs w:val="22"/>
          <w:lang w:val="nb-NO"/>
        </w:rPr>
        <w:tab/>
      </w:r>
      <w:r w:rsidRPr="009D56B8">
        <w:rPr>
          <w:b/>
          <w:szCs w:val="22"/>
          <w:lang w:val="nb-NO"/>
        </w:rPr>
        <w:t>Å</w:t>
      </w:r>
      <w:r w:rsidRPr="009D56B8">
        <w:rPr>
          <w:szCs w:val="22"/>
          <w:lang w:val="nb-NO"/>
        </w:rPr>
        <w:t xml:space="preserve"> </w:t>
      </w:r>
      <w:r w:rsidRPr="009D56B8">
        <w:rPr>
          <w:b/>
          <w:szCs w:val="22"/>
          <w:lang w:val="nb-NO"/>
        </w:rPr>
        <w:t xml:space="preserve">ta legemidlet med mat kan </w:t>
      </w:r>
      <w:r w:rsidRPr="009D56B8">
        <w:rPr>
          <w:szCs w:val="22"/>
          <w:lang w:val="nb-NO"/>
        </w:rPr>
        <w:t>bidra til å redusere bivirkningene som er nevnt ovenfor</w:t>
      </w:r>
    </w:p>
    <w:p w14:paraId="00B55F84" w14:textId="77777777" w:rsidR="00E50867" w:rsidRPr="009D56B8" w:rsidRDefault="00E50867">
      <w:pPr>
        <w:widowControl w:val="0"/>
        <w:ind w:right="-2"/>
        <w:rPr>
          <w:szCs w:val="22"/>
          <w:lang w:val="nb-NO"/>
        </w:rPr>
      </w:pPr>
    </w:p>
    <w:p w14:paraId="491DEA93" w14:textId="0020BCB0" w:rsidR="00E50867" w:rsidRPr="009D56B8" w:rsidRDefault="00C770E8">
      <w:pPr>
        <w:widowControl w:val="0"/>
        <w:ind w:right="-2"/>
        <w:rPr>
          <w:b/>
          <w:szCs w:val="22"/>
          <w:lang w:val="nb-NO"/>
        </w:rPr>
      </w:pPr>
      <w:r w:rsidRPr="009D56B8">
        <w:rPr>
          <w:szCs w:val="22"/>
          <w:lang w:val="nb-NO"/>
        </w:rPr>
        <w:t xml:space="preserve">Mens du bruker </w:t>
      </w:r>
      <w:r w:rsidR="00D172C2" w:rsidRPr="009D56B8">
        <w:rPr>
          <w:szCs w:val="22"/>
          <w:lang w:val="nb-NO"/>
        </w:rPr>
        <w:t>Dimethyl fumarate Accord</w:t>
      </w:r>
      <w:r w:rsidRPr="009D56B8">
        <w:rPr>
          <w:szCs w:val="22"/>
          <w:lang w:val="nb-NO"/>
        </w:rPr>
        <w:t xml:space="preserve"> er det svært vanlig at det i urinprøver påvises stoffer som kalles ketoner. Disse dannes naturlig i kroppen.</w:t>
      </w:r>
    </w:p>
    <w:p w14:paraId="1BBCD5E8" w14:textId="77777777" w:rsidR="00E50867" w:rsidRPr="009D56B8" w:rsidRDefault="00E50867">
      <w:pPr>
        <w:widowControl w:val="0"/>
        <w:ind w:right="-2"/>
        <w:rPr>
          <w:szCs w:val="22"/>
          <w:lang w:val="nb-NO"/>
        </w:rPr>
      </w:pPr>
    </w:p>
    <w:p w14:paraId="3666F5AE" w14:textId="77777777" w:rsidR="00E50867" w:rsidRPr="009D56B8" w:rsidRDefault="00C770E8">
      <w:pPr>
        <w:widowControl w:val="0"/>
        <w:ind w:right="-2"/>
        <w:rPr>
          <w:szCs w:val="22"/>
          <w:lang w:val="nb-NO"/>
        </w:rPr>
      </w:pPr>
      <w:r w:rsidRPr="009D56B8">
        <w:rPr>
          <w:b/>
          <w:szCs w:val="22"/>
          <w:lang w:val="nb-NO"/>
        </w:rPr>
        <w:t xml:space="preserve">Snakk med legen </w:t>
      </w:r>
      <w:r w:rsidRPr="009D56B8">
        <w:rPr>
          <w:szCs w:val="22"/>
          <w:lang w:val="nb-NO"/>
        </w:rPr>
        <w:t>om hvordan du kan håndtere disse bivirkningene. Legen kan redusere dosen du får. Du skal ikke redusere dosen med mindre legen har gitt deg beskjed om det.</w:t>
      </w:r>
    </w:p>
    <w:p w14:paraId="26EBEA3B" w14:textId="77777777" w:rsidR="00E50867" w:rsidRPr="009D56B8" w:rsidRDefault="00E50867">
      <w:pPr>
        <w:widowControl w:val="0"/>
        <w:ind w:right="-2"/>
        <w:rPr>
          <w:szCs w:val="22"/>
          <w:lang w:val="nb-NO"/>
        </w:rPr>
      </w:pPr>
    </w:p>
    <w:p w14:paraId="4385A0FD" w14:textId="02F36137" w:rsidR="00E50867" w:rsidRPr="009D56B8" w:rsidRDefault="00C770E8">
      <w:pPr>
        <w:keepNext/>
        <w:rPr>
          <w:b/>
          <w:szCs w:val="22"/>
          <w:lang w:val="nb-NO"/>
        </w:rPr>
      </w:pPr>
      <w:r w:rsidRPr="009D56B8">
        <w:rPr>
          <w:b/>
          <w:szCs w:val="22"/>
          <w:lang w:val="nb-NO"/>
        </w:rPr>
        <w:t xml:space="preserve">Vanlige </w:t>
      </w:r>
      <w:r w:rsidR="00C16F4A" w:rsidRPr="009D56B8">
        <w:rPr>
          <w:bCs/>
          <w:szCs w:val="22"/>
          <w:lang w:val="nb-NO"/>
        </w:rPr>
        <w:t>(kan forekomme hos opptil 1 av 10 personer)</w:t>
      </w:r>
    </w:p>
    <w:p w14:paraId="01CDFA92" w14:textId="77777777" w:rsidR="00E50867" w:rsidRPr="009D56B8" w:rsidRDefault="00C770E8">
      <w:pPr>
        <w:keepNext/>
        <w:widowControl w:val="0"/>
        <w:numPr>
          <w:ilvl w:val="0"/>
          <w:numId w:val="17"/>
        </w:numPr>
        <w:tabs>
          <w:tab w:val="clear" w:pos="567"/>
        </w:tabs>
        <w:ind w:left="567" w:right="-2" w:hanging="567"/>
        <w:rPr>
          <w:szCs w:val="22"/>
          <w:lang w:val="nb-NO"/>
        </w:rPr>
      </w:pPr>
      <w:r w:rsidRPr="009D56B8">
        <w:rPr>
          <w:szCs w:val="22"/>
          <w:lang w:val="nb-NO"/>
        </w:rPr>
        <w:t>betennelse i slimhinnen i tarmen (</w:t>
      </w:r>
      <w:r w:rsidRPr="009D56B8">
        <w:rPr>
          <w:i/>
          <w:szCs w:val="22"/>
          <w:lang w:val="nb-NO"/>
        </w:rPr>
        <w:t>gastroenteritt</w:t>
      </w:r>
      <w:r w:rsidRPr="009D56B8">
        <w:rPr>
          <w:szCs w:val="22"/>
          <w:lang w:val="nb-NO"/>
        </w:rPr>
        <w:t>)</w:t>
      </w:r>
    </w:p>
    <w:p w14:paraId="56126EAE" w14:textId="77777777" w:rsidR="00E50867" w:rsidRPr="009D56B8" w:rsidRDefault="00C770E8">
      <w:pPr>
        <w:keepNext/>
        <w:widowControl w:val="0"/>
        <w:numPr>
          <w:ilvl w:val="0"/>
          <w:numId w:val="17"/>
        </w:numPr>
        <w:tabs>
          <w:tab w:val="clear" w:pos="567"/>
        </w:tabs>
        <w:ind w:left="567" w:right="-2" w:hanging="567"/>
        <w:rPr>
          <w:szCs w:val="22"/>
          <w:lang w:val="nb-NO"/>
        </w:rPr>
      </w:pPr>
      <w:r w:rsidRPr="009D56B8">
        <w:rPr>
          <w:szCs w:val="22"/>
          <w:lang w:val="nb-NO"/>
        </w:rPr>
        <w:t>oppkast</w:t>
      </w:r>
    </w:p>
    <w:p w14:paraId="1C2CF989" w14:textId="77777777" w:rsidR="00E50867" w:rsidRPr="009D56B8" w:rsidRDefault="00C770E8">
      <w:pPr>
        <w:keepNext/>
        <w:widowControl w:val="0"/>
        <w:numPr>
          <w:ilvl w:val="0"/>
          <w:numId w:val="17"/>
        </w:numPr>
        <w:tabs>
          <w:tab w:val="clear" w:pos="567"/>
        </w:tabs>
        <w:ind w:left="567" w:right="-2" w:hanging="567"/>
        <w:rPr>
          <w:szCs w:val="22"/>
          <w:lang w:val="nb-NO"/>
        </w:rPr>
      </w:pPr>
      <w:r w:rsidRPr="009D56B8">
        <w:rPr>
          <w:szCs w:val="22"/>
          <w:lang w:val="nb-NO"/>
        </w:rPr>
        <w:t>fordøyelsesbesvær (</w:t>
      </w:r>
      <w:r w:rsidRPr="009D56B8">
        <w:rPr>
          <w:i/>
          <w:szCs w:val="22"/>
          <w:lang w:val="nb-NO"/>
        </w:rPr>
        <w:t>dyspepsi</w:t>
      </w:r>
      <w:r w:rsidRPr="009D56B8">
        <w:rPr>
          <w:szCs w:val="22"/>
          <w:lang w:val="nb-NO"/>
        </w:rPr>
        <w:t>)</w:t>
      </w:r>
    </w:p>
    <w:p w14:paraId="046DAB9B" w14:textId="77777777" w:rsidR="00E50867" w:rsidRPr="009D56B8" w:rsidRDefault="00C770E8">
      <w:pPr>
        <w:keepNext/>
        <w:widowControl w:val="0"/>
        <w:numPr>
          <w:ilvl w:val="0"/>
          <w:numId w:val="17"/>
        </w:numPr>
        <w:tabs>
          <w:tab w:val="clear" w:pos="567"/>
        </w:tabs>
        <w:ind w:left="567" w:right="-2" w:hanging="567"/>
        <w:rPr>
          <w:szCs w:val="22"/>
          <w:lang w:val="nb-NO"/>
        </w:rPr>
      </w:pPr>
      <w:r w:rsidRPr="009D56B8">
        <w:rPr>
          <w:szCs w:val="22"/>
          <w:lang w:val="nb-NO"/>
        </w:rPr>
        <w:t>betennelse i slimhinnen i magen (</w:t>
      </w:r>
      <w:r w:rsidRPr="009D56B8">
        <w:rPr>
          <w:i/>
          <w:szCs w:val="22"/>
          <w:lang w:val="nb-NO"/>
        </w:rPr>
        <w:t>gastritt</w:t>
      </w:r>
      <w:r w:rsidRPr="009D56B8">
        <w:rPr>
          <w:szCs w:val="22"/>
          <w:lang w:val="nb-NO"/>
        </w:rPr>
        <w:t>)</w:t>
      </w:r>
    </w:p>
    <w:p w14:paraId="7E5CFA93" w14:textId="77777777" w:rsidR="00E50867" w:rsidRPr="009D56B8" w:rsidRDefault="00C770E8">
      <w:pPr>
        <w:keepNext/>
        <w:widowControl w:val="0"/>
        <w:numPr>
          <w:ilvl w:val="0"/>
          <w:numId w:val="17"/>
        </w:numPr>
        <w:tabs>
          <w:tab w:val="clear" w:pos="567"/>
        </w:tabs>
        <w:ind w:left="567" w:right="-2" w:hanging="567"/>
        <w:rPr>
          <w:szCs w:val="22"/>
          <w:lang w:val="nb-NO"/>
        </w:rPr>
      </w:pPr>
      <w:r w:rsidRPr="009D56B8">
        <w:rPr>
          <w:szCs w:val="22"/>
          <w:lang w:val="nb-NO"/>
        </w:rPr>
        <w:t>sykdom i mage-tarmkanalen</w:t>
      </w:r>
    </w:p>
    <w:p w14:paraId="5005CC1E" w14:textId="77777777" w:rsidR="00E50867" w:rsidRPr="009D56B8" w:rsidRDefault="00C770E8">
      <w:pPr>
        <w:keepNext/>
        <w:widowControl w:val="0"/>
        <w:numPr>
          <w:ilvl w:val="0"/>
          <w:numId w:val="17"/>
        </w:numPr>
        <w:tabs>
          <w:tab w:val="clear" w:pos="567"/>
        </w:tabs>
        <w:ind w:left="567" w:right="-2" w:hanging="567"/>
        <w:rPr>
          <w:szCs w:val="22"/>
          <w:lang w:val="nb-NO"/>
        </w:rPr>
      </w:pPr>
      <w:r w:rsidRPr="009D56B8">
        <w:rPr>
          <w:szCs w:val="22"/>
          <w:lang w:val="nb-NO"/>
        </w:rPr>
        <w:t>svie</w:t>
      </w:r>
    </w:p>
    <w:p w14:paraId="09747856" w14:textId="77777777" w:rsidR="00E50867" w:rsidRPr="009D56B8" w:rsidRDefault="00C770E8">
      <w:pPr>
        <w:keepNext/>
        <w:widowControl w:val="0"/>
        <w:numPr>
          <w:ilvl w:val="0"/>
          <w:numId w:val="17"/>
        </w:numPr>
        <w:tabs>
          <w:tab w:val="clear" w:pos="567"/>
        </w:tabs>
        <w:ind w:left="567" w:right="-2" w:hanging="567"/>
        <w:rPr>
          <w:szCs w:val="22"/>
          <w:lang w:val="nb-NO"/>
        </w:rPr>
      </w:pPr>
      <w:r w:rsidRPr="009D56B8">
        <w:rPr>
          <w:szCs w:val="22"/>
          <w:lang w:val="nb-NO"/>
        </w:rPr>
        <w:t>hetetokter, varmefølelse</w:t>
      </w:r>
    </w:p>
    <w:p w14:paraId="54394220" w14:textId="77777777" w:rsidR="00E50867" w:rsidRPr="009D56B8" w:rsidRDefault="00C770E8">
      <w:pPr>
        <w:widowControl w:val="0"/>
        <w:numPr>
          <w:ilvl w:val="0"/>
          <w:numId w:val="17"/>
        </w:numPr>
        <w:tabs>
          <w:tab w:val="clear" w:pos="567"/>
        </w:tabs>
        <w:ind w:left="567" w:right="-2" w:hanging="567"/>
        <w:rPr>
          <w:szCs w:val="22"/>
          <w:lang w:val="nb-NO"/>
        </w:rPr>
      </w:pPr>
      <w:r w:rsidRPr="009D56B8">
        <w:rPr>
          <w:szCs w:val="22"/>
          <w:lang w:val="nb-NO"/>
        </w:rPr>
        <w:t>kløende hud (</w:t>
      </w:r>
      <w:r w:rsidRPr="009D56B8">
        <w:rPr>
          <w:i/>
          <w:szCs w:val="22"/>
          <w:lang w:val="nb-NO"/>
        </w:rPr>
        <w:t>pruritus</w:t>
      </w:r>
      <w:r w:rsidRPr="009D56B8">
        <w:rPr>
          <w:szCs w:val="22"/>
          <w:lang w:val="nb-NO"/>
        </w:rPr>
        <w:t>)</w:t>
      </w:r>
    </w:p>
    <w:p w14:paraId="33AA9905" w14:textId="77777777" w:rsidR="00E50867" w:rsidRPr="009D56B8" w:rsidRDefault="00C770E8">
      <w:pPr>
        <w:widowControl w:val="0"/>
        <w:numPr>
          <w:ilvl w:val="0"/>
          <w:numId w:val="17"/>
        </w:numPr>
        <w:tabs>
          <w:tab w:val="clear" w:pos="567"/>
        </w:tabs>
        <w:ind w:left="567" w:right="-2" w:hanging="567"/>
        <w:rPr>
          <w:szCs w:val="22"/>
          <w:lang w:val="nb-NO"/>
        </w:rPr>
      </w:pPr>
      <w:r w:rsidRPr="009D56B8">
        <w:rPr>
          <w:szCs w:val="22"/>
          <w:lang w:val="nb-NO"/>
        </w:rPr>
        <w:t>utslett</w:t>
      </w:r>
    </w:p>
    <w:p w14:paraId="32BD3507" w14:textId="77777777" w:rsidR="00E50867" w:rsidRPr="009D56B8" w:rsidRDefault="00C770E8">
      <w:pPr>
        <w:widowControl w:val="0"/>
        <w:numPr>
          <w:ilvl w:val="0"/>
          <w:numId w:val="17"/>
        </w:numPr>
        <w:tabs>
          <w:tab w:val="clear" w:pos="567"/>
        </w:tabs>
        <w:ind w:left="567" w:right="-2" w:hanging="567"/>
        <w:rPr>
          <w:szCs w:val="22"/>
          <w:lang w:val="nb-NO"/>
        </w:rPr>
      </w:pPr>
      <w:r w:rsidRPr="009D56B8">
        <w:rPr>
          <w:szCs w:val="22"/>
          <w:lang w:val="nb-NO"/>
        </w:rPr>
        <w:t>rosa eller røde flekker på huden (</w:t>
      </w:r>
      <w:r w:rsidRPr="009D56B8">
        <w:rPr>
          <w:i/>
          <w:szCs w:val="22"/>
          <w:lang w:val="nb-NO"/>
        </w:rPr>
        <w:t>erytem</w:t>
      </w:r>
      <w:r w:rsidRPr="009D56B8">
        <w:rPr>
          <w:szCs w:val="22"/>
          <w:lang w:val="nb-NO"/>
        </w:rPr>
        <w:t>)</w:t>
      </w:r>
    </w:p>
    <w:p w14:paraId="1FA809B6" w14:textId="77777777" w:rsidR="003A6E04" w:rsidRPr="009D56B8" w:rsidRDefault="003A6E04">
      <w:pPr>
        <w:widowControl w:val="0"/>
        <w:numPr>
          <w:ilvl w:val="0"/>
          <w:numId w:val="17"/>
        </w:numPr>
        <w:tabs>
          <w:tab w:val="clear" w:pos="567"/>
        </w:tabs>
        <w:ind w:left="567" w:right="-2" w:hanging="567"/>
        <w:rPr>
          <w:lang w:val="nb-NO"/>
        </w:rPr>
      </w:pPr>
      <w:r w:rsidRPr="009D56B8">
        <w:rPr>
          <w:szCs w:val="22"/>
          <w:lang w:val="nb-NO"/>
        </w:rPr>
        <w:t>hårtap (</w:t>
      </w:r>
      <w:r w:rsidRPr="009D56B8">
        <w:rPr>
          <w:i/>
          <w:lang w:val="nb-NO"/>
        </w:rPr>
        <w:t>alopesi</w:t>
      </w:r>
      <w:r w:rsidRPr="009D56B8">
        <w:rPr>
          <w:lang w:val="nb-NO"/>
        </w:rPr>
        <w:t>)</w:t>
      </w:r>
    </w:p>
    <w:p w14:paraId="0C895F7D" w14:textId="77777777" w:rsidR="00E50867" w:rsidRPr="009D56B8" w:rsidRDefault="00E50867">
      <w:pPr>
        <w:rPr>
          <w:b/>
          <w:szCs w:val="22"/>
          <w:lang w:val="nb-NO"/>
        </w:rPr>
      </w:pPr>
    </w:p>
    <w:p w14:paraId="0D21061F" w14:textId="77777777" w:rsidR="00E50867" w:rsidRPr="009D56B8" w:rsidRDefault="00C770E8">
      <w:pPr>
        <w:keepNext/>
        <w:rPr>
          <w:szCs w:val="22"/>
          <w:lang w:val="nb-NO"/>
        </w:rPr>
      </w:pPr>
      <w:r w:rsidRPr="009D56B8">
        <w:rPr>
          <w:szCs w:val="22"/>
          <w:u w:val="single"/>
          <w:lang w:val="nb-NO"/>
        </w:rPr>
        <w:t>Bivirkninger som kan påvises ved blod- eller urinprøver</w:t>
      </w:r>
    </w:p>
    <w:p w14:paraId="46F48038" w14:textId="77777777" w:rsidR="00E50867" w:rsidRPr="009D56B8" w:rsidRDefault="00C770E8">
      <w:pPr>
        <w:keepNext/>
        <w:widowControl w:val="0"/>
        <w:numPr>
          <w:ilvl w:val="0"/>
          <w:numId w:val="18"/>
        </w:numPr>
        <w:tabs>
          <w:tab w:val="clear" w:pos="567"/>
          <w:tab w:val="left" w:pos="1134"/>
        </w:tabs>
        <w:ind w:left="1134" w:right="-2" w:hanging="567"/>
        <w:rPr>
          <w:szCs w:val="22"/>
          <w:lang w:val="nb-NO"/>
        </w:rPr>
      </w:pPr>
      <w:r w:rsidRPr="009D56B8">
        <w:rPr>
          <w:szCs w:val="22"/>
          <w:lang w:val="nb-NO"/>
        </w:rPr>
        <w:t>lave nivåer av hvite blodceller i blodet (</w:t>
      </w:r>
      <w:r w:rsidRPr="009D56B8">
        <w:rPr>
          <w:i/>
          <w:szCs w:val="22"/>
          <w:lang w:val="nb-NO"/>
        </w:rPr>
        <w:t>lymfopeni, leukopeni</w:t>
      </w:r>
      <w:r w:rsidRPr="009D56B8">
        <w:rPr>
          <w:szCs w:val="22"/>
          <w:lang w:val="nb-NO"/>
        </w:rPr>
        <w:t>). Lavt antall hvite blodceller kan bety at kroppen har dårligere evne til å bekjempe en infeksjon. Kontakt legen din umiddelbart hvis du har en alvorlig infeksjon (slik som lungebetennelse)</w:t>
      </w:r>
    </w:p>
    <w:p w14:paraId="2CE7BD96" w14:textId="77777777" w:rsidR="00E50867" w:rsidRPr="009D56B8" w:rsidRDefault="00C770E8">
      <w:pPr>
        <w:keepNext/>
        <w:widowControl w:val="0"/>
        <w:numPr>
          <w:ilvl w:val="0"/>
          <w:numId w:val="18"/>
        </w:numPr>
        <w:tabs>
          <w:tab w:val="clear" w:pos="567"/>
          <w:tab w:val="left" w:pos="1134"/>
        </w:tabs>
        <w:ind w:left="1134" w:right="-2" w:hanging="567"/>
        <w:rPr>
          <w:szCs w:val="22"/>
          <w:lang w:val="nb-NO"/>
        </w:rPr>
      </w:pPr>
      <w:r w:rsidRPr="009D56B8">
        <w:rPr>
          <w:szCs w:val="22"/>
          <w:lang w:val="nb-NO"/>
        </w:rPr>
        <w:t>proteiner (</w:t>
      </w:r>
      <w:r w:rsidRPr="009D56B8">
        <w:rPr>
          <w:i/>
          <w:szCs w:val="22"/>
          <w:lang w:val="nb-NO"/>
        </w:rPr>
        <w:t>albumin</w:t>
      </w:r>
      <w:r w:rsidRPr="009D56B8">
        <w:rPr>
          <w:szCs w:val="22"/>
          <w:lang w:val="nb-NO"/>
        </w:rPr>
        <w:t>) i urinen</w:t>
      </w:r>
    </w:p>
    <w:p w14:paraId="5160E3C8" w14:textId="77777777" w:rsidR="00E50867" w:rsidRPr="009D56B8" w:rsidRDefault="00C770E8">
      <w:pPr>
        <w:keepNext/>
        <w:widowControl w:val="0"/>
        <w:numPr>
          <w:ilvl w:val="0"/>
          <w:numId w:val="18"/>
        </w:numPr>
        <w:tabs>
          <w:tab w:val="clear" w:pos="567"/>
          <w:tab w:val="left" w:pos="1134"/>
        </w:tabs>
        <w:ind w:left="1134" w:right="-2" w:hanging="567"/>
        <w:rPr>
          <w:szCs w:val="22"/>
          <w:lang w:val="nb-NO"/>
        </w:rPr>
      </w:pPr>
      <w:r w:rsidRPr="009D56B8">
        <w:rPr>
          <w:szCs w:val="22"/>
          <w:lang w:val="nb-NO"/>
        </w:rPr>
        <w:t>økte nivåer av leverenzymer (</w:t>
      </w:r>
      <w:r w:rsidRPr="009D56B8">
        <w:rPr>
          <w:i/>
          <w:szCs w:val="22"/>
          <w:lang w:val="nb-NO"/>
        </w:rPr>
        <w:t>ALAT, ASAT</w:t>
      </w:r>
      <w:r w:rsidRPr="009D56B8">
        <w:rPr>
          <w:szCs w:val="22"/>
          <w:lang w:val="nb-NO"/>
        </w:rPr>
        <w:t>) i blodet</w:t>
      </w:r>
    </w:p>
    <w:p w14:paraId="0D0F43A8" w14:textId="77777777" w:rsidR="00E50867" w:rsidRPr="009D56B8" w:rsidRDefault="00E50867">
      <w:pPr>
        <w:widowControl w:val="0"/>
        <w:tabs>
          <w:tab w:val="clear" w:pos="567"/>
        </w:tabs>
        <w:ind w:right="-2"/>
        <w:rPr>
          <w:szCs w:val="22"/>
          <w:lang w:val="nb-NO"/>
        </w:rPr>
      </w:pPr>
    </w:p>
    <w:p w14:paraId="1DA328E6" w14:textId="49501CB1" w:rsidR="00E50867" w:rsidRPr="009D56B8" w:rsidRDefault="00C770E8">
      <w:pPr>
        <w:keepNext/>
        <w:keepLines/>
        <w:suppressAutoHyphens w:val="0"/>
        <w:rPr>
          <w:b/>
          <w:szCs w:val="22"/>
          <w:lang w:val="nb-NO" w:eastAsia="en-US"/>
        </w:rPr>
      </w:pPr>
      <w:r w:rsidRPr="009D56B8">
        <w:rPr>
          <w:b/>
          <w:szCs w:val="22"/>
          <w:lang w:val="nb-NO" w:eastAsia="en-US"/>
        </w:rPr>
        <w:t>Mindre vanlige</w:t>
      </w:r>
      <w:r w:rsidR="00D508FD" w:rsidRPr="009D56B8">
        <w:rPr>
          <w:b/>
          <w:szCs w:val="22"/>
          <w:lang w:val="nb-NO" w:eastAsia="en-US"/>
        </w:rPr>
        <w:t xml:space="preserve"> </w:t>
      </w:r>
      <w:r w:rsidR="00D508FD" w:rsidRPr="009D56B8">
        <w:rPr>
          <w:bCs/>
          <w:szCs w:val="22"/>
          <w:lang w:val="nb-NO" w:eastAsia="en-US"/>
        </w:rPr>
        <w:t>(kan forekomme hos opptil 1 av 100 personer)</w:t>
      </w:r>
    </w:p>
    <w:p w14:paraId="42BFC99A" w14:textId="6AAA75FA" w:rsidR="00E50867" w:rsidRPr="009D56B8" w:rsidRDefault="008F4D79">
      <w:pPr>
        <w:keepNext/>
        <w:keepLines/>
        <w:widowControl w:val="0"/>
        <w:numPr>
          <w:ilvl w:val="0"/>
          <w:numId w:val="38"/>
        </w:numPr>
        <w:tabs>
          <w:tab w:val="clear" w:pos="567"/>
          <w:tab w:val="left" w:pos="720"/>
        </w:tabs>
        <w:suppressAutoHyphens w:val="0"/>
        <w:ind w:left="567" w:right="-2" w:hanging="567"/>
        <w:rPr>
          <w:szCs w:val="22"/>
          <w:lang w:eastAsia="en-US"/>
        </w:rPr>
      </w:pPr>
      <w:r w:rsidRPr="009D56B8">
        <w:rPr>
          <w:szCs w:val="22"/>
          <w:lang w:eastAsia="en-US"/>
        </w:rPr>
        <w:t>a</w:t>
      </w:r>
      <w:r w:rsidR="00C770E8" w:rsidRPr="009D56B8">
        <w:rPr>
          <w:szCs w:val="22"/>
          <w:lang w:eastAsia="en-US"/>
        </w:rPr>
        <w:t>llergiske reaksjoner (</w:t>
      </w:r>
      <w:r w:rsidR="00C770E8" w:rsidRPr="009D56B8">
        <w:rPr>
          <w:i/>
          <w:szCs w:val="22"/>
          <w:lang w:eastAsia="en-US"/>
        </w:rPr>
        <w:t>overfølsomhet</w:t>
      </w:r>
      <w:r w:rsidR="00C770E8" w:rsidRPr="009D56B8">
        <w:rPr>
          <w:szCs w:val="22"/>
          <w:lang w:eastAsia="en-US"/>
        </w:rPr>
        <w:t>)</w:t>
      </w:r>
    </w:p>
    <w:p w14:paraId="52A5E0E0" w14:textId="76F44763" w:rsidR="00E50867" w:rsidRPr="009D56B8" w:rsidRDefault="00C770E8" w:rsidP="002740EA">
      <w:pPr>
        <w:keepNext/>
        <w:keepLines/>
        <w:widowControl w:val="0"/>
        <w:numPr>
          <w:ilvl w:val="0"/>
          <w:numId w:val="38"/>
        </w:numPr>
        <w:suppressAutoHyphens w:val="0"/>
        <w:ind w:left="567" w:right="-2" w:hanging="567"/>
        <w:rPr>
          <w:szCs w:val="22"/>
          <w:lang w:eastAsia="en-US"/>
        </w:rPr>
      </w:pPr>
      <w:r w:rsidRPr="009D56B8">
        <w:rPr>
          <w:szCs w:val="22"/>
          <w:lang w:eastAsia="en-US"/>
        </w:rPr>
        <w:t>lav konsentrasjon av blodplater</w:t>
      </w:r>
      <w:bookmarkStart w:id="27" w:name="_Hlk95921374"/>
    </w:p>
    <w:bookmarkEnd w:id="27"/>
    <w:p w14:paraId="40B0D99A" w14:textId="77777777" w:rsidR="00E50867" w:rsidRPr="009D56B8" w:rsidRDefault="00E50867">
      <w:pPr>
        <w:widowControl w:val="0"/>
        <w:numPr>
          <w:ilvl w:val="12"/>
          <w:numId w:val="0"/>
        </w:numPr>
        <w:tabs>
          <w:tab w:val="clear" w:pos="567"/>
        </w:tabs>
        <w:suppressAutoHyphens w:val="0"/>
        <w:ind w:right="-2"/>
        <w:rPr>
          <w:b/>
          <w:szCs w:val="22"/>
          <w:lang w:eastAsia="en-US"/>
        </w:rPr>
      </w:pPr>
    </w:p>
    <w:p w14:paraId="1705405A" w14:textId="2C2A3B51" w:rsidR="007E18AC" w:rsidRPr="009D56B8" w:rsidRDefault="007E18AC" w:rsidP="007E18AC">
      <w:pPr>
        <w:keepNext/>
        <w:keepLines/>
        <w:suppressAutoHyphens w:val="0"/>
        <w:rPr>
          <w:b/>
          <w:szCs w:val="22"/>
          <w:lang w:val="nb-NO" w:eastAsia="en-US"/>
        </w:rPr>
      </w:pPr>
      <w:r w:rsidRPr="009D56B8">
        <w:rPr>
          <w:b/>
          <w:szCs w:val="22"/>
          <w:lang w:val="nb-NO" w:eastAsia="en-US"/>
        </w:rPr>
        <w:t xml:space="preserve">Sjeldne </w:t>
      </w:r>
      <w:r w:rsidRPr="009D56B8">
        <w:rPr>
          <w:bCs/>
          <w:szCs w:val="22"/>
          <w:lang w:val="nb-NO" w:eastAsia="en-US"/>
        </w:rPr>
        <w:t>(</w:t>
      </w:r>
      <w:r w:rsidR="0052119F" w:rsidRPr="009D56B8">
        <w:rPr>
          <w:bCs/>
          <w:szCs w:val="22"/>
          <w:lang w:val="nb-NO" w:eastAsia="en-US"/>
        </w:rPr>
        <w:t xml:space="preserve">kan </w:t>
      </w:r>
      <w:r w:rsidRPr="009D56B8">
        <w:rPr>
          <w:bCs/>
          <w:szCs w:val="22"/>
          <w:lang w:val="nb-NO" w:eastAsia="en-US"/>
        </w:rPr>
        <w:t>forekomme hos opptil 1 av 1000 personer)</w:t>
      </w:r>
    </w:p>
    <w:p w14:paraId="3CB3CA42" w14:textId="77777777" w:rsidR="002639F5" w:rsidRPr="009D56B8" w:rsidRDefault="002639F5" w:rsidP="002639F5">
      <w:pPr>
        <w:keepNext/>
        <w:keepLines/>
        <w:widowControl w:val="0"/>
        <w:numPr>
          <w:ilvl w:val="0"/>
          <w:numId w:val="38"/>
        </w:numPr>
        <w:tabs>
          <w:tab w:val="clear" w:pos="567"/>
          <w:tab w:val="left" w:pos="720"/>
        </w:tabs>
        <w:suppressAutoHyphens w:val="0"/>
        <w:ind w:left="567" w:right="-2" w:hanging="567"/>
        <w:rPr>
          <w:szCs w:val="22"/>
          <w:lang w:val="nn-NO" w:eastAsia="en-US"/>
        </w:rPr>
      </w:pPr>
      <w:r w:rsidRPr="009D56B8">
        <w:rPr>
          <w:szCs w:val="22"/>
          <w:lang w:val="nn-NO" w:eastAsia="en-US"/>
        </w:rPr>
        <w:t>leverbetennelse og økning i nivået av leverenzymer (</w:t>
      </w:r>
      <w:r w:rsidRPr="009D56B8">
        <w:rPr>
          <w:i/>
          <w:szCs w:val="22"/>
          <w:lang w:val="nn-NO" w:eastAsia="en-US"/>
        </w:rPr>
        <w:t>ALAT eller ASAT i kombinasjon med bilirubin</w:t>
      </w:r>
      <w:r w:rsidRPr="009D56B8">
        <w:rPr>
          <w:szCs w:val="22"/>
          <w:lang w:val="nn-NO" w:eastAsia="en-US"/>
        </w:rPr>
        <w:t>)</w:t>
      </w:r>
    </w:p>
    <w:p w14:paraId="6DB54E7E" w14:textId="77777777" w:rsidR="007E18AC" w:rsidRPr="009D56B8" w:rsidRDefault="007E18AC">
      <w:pPr>
        <w:widowControl w:val="0"/>
        <w:numPr>
          <w:ilvl w:val="12"/>
          <w:numId w:val="0"/>
        </w:numPr>
        <w:tabs>
          <w:tab w:val="clear" w:pos="567"/>
        </w:tabs>
        <w:suppressAutoHyphens w:val="0"/>
        <w:ind w:right="-2"/>
        <w:rPr>
          <w:b/>
          <w:szCs w:val="22"/>
          <w:lang w:val="nn-NO" w:eastAsia="en-US"/>
        </w:rPr>
      </w:pPr>
    </w:p>
    <w:p w14:paraId="5B98B5D2" w14:textId="617CC2D9" w:rsidR="00E50867" w:rsidRPr="009D56B8" w:rsidRDefault="00C770E8">
      <w:pPr>
        <w:widowControl w:val="0"/>
        <w:numPr>
          <w:ilvl w:val="12"/>
          <w:numId w:val="0"/>
        </w:numPr>
        <w:tabs>
          <w:tab w:val="clear" w:pos="567"/>
        </w:tabs>
        <w:ind w:right="-2"/>
        <w:rPr>
          <w:szCs w:val="22"/>
          <w:lang w:val="nb-NO"/>
        </w:rPr>
      </w:pPr>
      <w:r w:rsidRPr="009D56B8">
        <w:rPr>
          <w:b/>
          <w:szCs w:val="22"/>
          <w:lang w:val="nb-NO"/>
        </w:rPr>
        <w:t>Ikke kjent</w:t>
      </w:r>
      <w:r w:rsidRPr="009D56B8">
        <w:rPr>
          <w:szCs w:val="22"/>
          <w:lang w:val="nb-NO"/>
        </w:rPr>
        <w:t xml:space="preserve"> (hyppigheten kan ikke anslås ut ifra tilgjengelig</w:t>
      </w:r>
      <w:r w:rsidR="002E2E23" w:rsidRPr="009D56B8">
        <w:rPr>
          <w:szCs w:val="22"/>
          <w:lang w:val="nb-NO"/>
        </w:rPr>
        <w:t>e</w:t>
      </w:r>
      <w:r w:rsidRPr="009D56B8">
        <w:rPr>
          <w:szCs w:val="22"/>
          <w:lang w:val="nb-NO"/>
        </w:rPr>
        <w:t xml:space="preserve"> </w:t>
      </w:r>
      <w:r w:rsidR="002E2E23" w:rsidRPr="009D56B8">
        <w:rPr>
          <w:szCs w:val="22"/>
          <w:lang w:val="nb-NO"/>
        </w:rPr>
        <w:t>data</w:t>
      </w:r>
      <w:r w:rsidRPr="009D56B8">
        <w:rPr>
          <w:szCs w:val="22"/>
          <w:lang w:val="nb-NO"/>
        </w:rPr>
        <w:t>)</w:t>
      </w:r>
    </w:p>
    <w:p w14:paraId="15B55EC0" w14:textId="77777777" w:rsidR="00C508D0" w:rsidRPr="009D56B8" w:rsidRDefault="00C770E8" w:rsidP="00C15FBA">
      <w:pPr>
        <w:keepNext/>
        <w:keepLines/>
        <w:widowControl w:val="0"/>
        <w:numPr>
          <w:ilvl w:val="0"/>
          <w:numId w:val="37"/>
        </w:numPr>
        <w:tabs>
          <w:tab w:val="clear" w:pos="567"/>
        </w:tabs>
        <w:suppressAutoHyphens w:val="0"/>
        <w:ind w:left="567" w:right="-2" w:hanging="567"/>
        <w:rPr>
          <w:szCs w:val="22"/>
          <w:lang w:val="nb-NO"/>
        </w:rPr>
      </w:pPr>
      <w:r w:rsidRPr="009D56B8">
        <w:rPr>
          <w:lang w:val="nb-NO"/>
        </w:rPr>
        <w:t>herpes zoster (helvetesild) med symptomer som blemmer, svie, kløe eller smerter i huden, vanligvis på den ene siden av overkroppen eller ansiktet, og andre symptomer, som feber og svakhet i de tidlige stadiene av infeksjonen, etterfulgt av nummenhet, kløe eller røde flekker med kraftige smerter</w:t>
      </w:r>
    </w:p>
    <w:p w14:paraId="662FC82D" w14:textId="184477D1" w:rsidR="00C508D0" w:rsidRPr="009D56B8" w:rsidRDefault="00C508D0" w:rsidP="00C15FBA">
      <w:pPr>
        <w:keepNext/>
        <w:keepLines/>
        <w:widowControl w:val="0"/>
        <w:numPr>
          <w:ilvl w:val="0"/>
          <w:numId w:val="37"/>
        </w:numPr>
        <w:tabs>
          <w:tab w:val="clear" w:pos="567"/>
        </w:tabs>
        <w:suppressAutoHyphens w:val="0"/>
        <w:ind w:left="567" w:right="-2" w:hanging="567"/>
        <w:rPr>
          <w:szCs w:val="22"/>
          <w:lang w:val="nb-NO"/>
        </w:rPr>
      </w:pPr>
      <w:r w:rsidRPr="009D56B8">
        <w:rPr>
          <w:szCs w:val="22"/>
          <w:lang w:eastAsia="en-US"/>
        </w:rPr>
        <w:t>rennende</w:t>
      </w:r>
      <w:r w:rsidRPr="009D56B8">
        <w:rPr>
          <w:lang w:val="nb-NO"/>
        </w:rPr>
        <w:t xml:space="preserve"> nese (</w:t>
      </w:r>
      <w:r w:rsidRPr="009D56B8">
        <w:rPr>
          <w:i/>
          <w:iCs/>
          <w:lang w:val="nb-NO"/>
        </w:rPr>
        <w:t>rhinoré</w:t>
      </w:r>
      <w:r w:rsidRPr="009D56B8">
        <w:rPr>
          <w:lang w:val="nb-NO"/>
        </w:rPr>
        <w:t>)</w:t>
      </w:r>
    </w:p>
    <w:p w14:paraId="6A3343D4" w14:textId="77777777" w:rsidR="00A10EE9" w:rsidRPr="009D56B8" w:rsidRDefault="00A10EE9" w:rsidP="00513CD0">
      <w:pPr>
        <w:widowControl w:val="0"/>
        <w:tabs>
          <w:tab w:val="clear" w:pos="567"/>
        </w:tabs>
        <w:suppressAutoHyphens w:val="0"/>
        <w:ind w:right="-2"/>
        <w:rPr>
          <w:szCs w:val="22"/>
          <w:lang w:val="nb-NO"/>
        </w:rPr>
      </w:pPr>
    </w:p>
    <w:p w14:paraId="4BBE0B49" w14:textId="0CE205BC" w:rsidR="00D537C9" w:rsidRPr="009D56B8" w:rsidRDefault="00D537C9" w:rsidP="00513CD0">
      <w:pPr>
        <w:pStyle w:val="Standard1"/>
        <w:widowControl w:val="0"/>
        <w:tabs>
          <w:tab w:val="clear" w:pos="567"/>
          <w:tab w:val="left" w:pos="0"/>
        </w:tabs>
        <w:ind w:right="-2"/>
        <w:rPr>
          <w:b/>
          <w:szCs w:val="22"/>
          <w:lang w:val="nb-NO"/>
        </w:rPr>
      </w:pPr>
      <w:r w:rsidRPr="009D56B8">
        <w:rPr>
          <w:b/>
          <w:szCs w:val="22"/>
          <w:lang w:val="nb-NO"/>
        </w:rPr>
        <w:t>Barn (</w:t>
      </w:r>
      <w:r w:rsidR="00A10EE9" w:rsidRPr="009D56B8">
        <w:rPr>
          <w:b/>
          <w:szCs w:val="22"/>
          <w:lang w:val="nb-NO"/>
        </w:rPr>
        <w:t xml:space="preserve">fra og med </w:t>
      </w:r>
      <w:r w:rsidRPr="009D56B8">
        <w:rPr>
          <w:b/>
          <w:szCs w:val="22"/>
          <w:lang w:val="nb-NO"/>
        </w:rPr>
        <w:t xml:space="preserve">13 år) </w:t>
      </w:r>
      <w:r w:rsidR="00A10EE9" w:rsidRPr="009D56B8">
        <w:rPr>
          <w:b/>
          <w:szCs w:val="22"/>
          <w:lang w:val="nb-NO"/>
        </w:rPr>
        <w:t>og ungdom</w:t>
      </w:r>
    </w:p>
    <w:p w14:paraId="54C3BF3E" w14:textId="77777777" w:rsidR="00D537C9" w:rsidRPr="009D56B8" w:rsidRDefault="00A10EE9" w:rsidP="00513CD0">
      <w:pPr>
        <w:pStyle w:val="Standard1"/>
        <w:widowControl w:val="0"/>
        <w:tabs>
          <w:tab w:val="clear" w:pos="567"/>
          <w:tab w:val="left" w:pos="0"/>
        </w:tabs>
        <w:ind w:right="-2"/>
        <w:rPr>
          <w:szCs w:val="22"/>
          <w:lang w:val="nb-NO"/>
        </w:rPr>
      </w:pPr>
      <w:r w:rsidRPr="009D56B8">
        <w:rPr>
          <w:szCs w:val="22"/>
          <w:lang w:val="nb-NO"/>
        </w:rPr>
        <w:t>Bivirkningene som er listet opp ovenfor gjelder også for barn og ungdom</w:t>
      </w:r>
      <w:r w:rsidR="00D537C9" w:rsidRPr="009D56B8">
        <w:rPr>
          <w:szCs w:val="22"/>
          <w:lang w:val="nb-NO"/>
        </w:rPr>
        <w:t>.</w:t>
      </w:r>
    </w:p>
    <w:p w14:paraId="748C918D" w14:textId="429131DD" w:rsidR="00D537C9" w:rsidRPr="009D56B8" w:rsidRDefault="00A10EE9" w:rsidP="00513CD0">
      <w:pPr>
        <w:pStyle w:val="Standard1"/>
        <w:widowControl w:val="0"/>
        <w:tabs>
          <w:tab w:val="clear" w:pos="567"/>
          <w:tab w:val="left" w:pos="0"/>
        </w:tabs>
        <w:ind w:right="-2"/>
        <w:rPr>
          <w:szCs w:val="22"/>
          <w:lang w:val="nb-NO"/>
        </w:rPr>
      </w:pPr>
      <w:r w:rsidRPr="009D56B8">
        <w:rPr>
          <w:szCs w:val="22"/>
          <w:lang w:val="nb-NO"/>
        </w:rPr>
        <w:t xml:space="preserve">Noen bivirkninger ble rapportert oftere hos barn og ungdom enn hos voksne, f.eks. hodepine, magesmerter eller magekramper, oppkast, </w:t>
      </w:r>
      <w:r w:rsidR="00DD34EB" w:rsidRPr="009D56B8">
        <w:rPr>
          <w:szCs w:val="22"/>
          <w:lang w:val="nb-NO"/>
        </w:rPr>
        <w:t>vondt</w:t>
      </w:r>
      <w:r w:rsidRPr="009D56B8">
        <w:rPr>
          <w:szCs w:val="22"/>
          <w:lang w:val="nb-NO"/>
        </w:rPr>
        <w:t xml:space="preserve"> i halsen, hoste og menstruasjon</w:t>
      </w:r>
      <w:r w:rsidR="00DD34EB" w:rsidRPr="009D56B8">
        <w:rPr>
          <w:szCs w:val="22"/>
          <w:lang w:val="nb-NO"/>
        </w:rPr>
        <w:t>ssmerter</w:t>
      </w:r>
      <w:r w:rsidR="00D537C9" w:rsidRPr="009D56B8">
        <w:rPr>
          <w:szCs w:val="22"/>
          <w:lang w:val="nb-NO"/>
        </w:rPr>
        <w:t>.</w:t>
      </w:r>
    </w:p>
    <w:p w14:paraId="7958A8F5" w14:textId="77777777" w:rsidR="00E50867" w:rsidRPr="009D56B8" w:rsidRDefault="00E50867">
      <w:pPr>
        <w:widowControl w:val="0"/>
        <w:tabs>
          <w:tab w:val="clear" w:pos="567"/>
        </w:tabs>
        <w:ind w:right="-2"/>
        <w:rPr>
          <w:szCs w:val="22"/>
          <w:lang w:val="nb-NO"/>
        </w:rPr>
      </w:pPr>
    </w:p>
    <w:p w14:paraId="5956AE45" w14:textId="77777777" w:rsidR="00E50867" w:rsidRPr="009D56B8" w:rsidRDefault="00C770E8" w:rsidP="00513CD0">
      <w:pPr>
        <w:keepNext/>
        <w:numPr>
          <w:ilvl w:val="12"/>
          <w:numId w:val="0"/>
        </w:numPr>
        <w:spacing w:line="260" w:lineRule="exact"/>
        <w:outlineLvl w:val="0"/>
        <w:rPr>
          <w:lang w:val="nb-NO"/>
        </w:rPr>
      </w:pPr>
      <w:r w:rsidRPr="009D56B8">
        <w:rPr>
          <w:b/>
          <w:lang w:val="nb-NO"/>
        </w:rPr>
        <w:t>Melding av bivirkninger</w:t>
      </w:r>
    </w:p>
    <w:p w14:paraId="6D68833A" w14:textId="77777777" w:rsidR="00E50867" w:rsidRPr="009D56B8" w:rsidRDefault="00C770E8" w:rsidP="00513CD0">
      <w:pPr>
        <w:keepNext/>
        <w:widowControl w:val="0"/>
        <w:tabs>
          <w:tab w:val="clear" w:pos="567"/>
        </w:tabs>
        <w:rPr>
          <w:szCs w:val="22"/>
          <w:lang w:val="nb-NO"/>
        </w:rPr>
      </w:pPr>
      <w:r w:rsidRPr="009D56B8">
        <w:rPr>
          <w:szCs w:val="22"/>
          <w:lang w:val="nb-NO"/>
        </w:rPr>
        <w:t xml:space="preserve">Kontakt lege eller apotek dersom du opplever bivirkninger. Dette gjelder også bivirkninger som ikke er nevnt i pakningsvedlegget. Du kan også melde fra om bivirkninger direkte via </w:t>
      </w:r>
      <w:r w:rsidRPr="009D56B8">
        <w:rPr>
          <w:szCs w:val="22"/>
          <w:highlight w:val="lightGray"/>
          <w:lang w:val="nb-NO"/>
        </w:rPr>
        <w:t xml:space="preserve">det nasjonale meldesystemet som beskrevet i </w:t>
      </w:r>
      <w:hyperlink r:id="rId16" w:history="1">
        <w:r w:rsidRPr="009D56B8">
          <w:rPr>
            <w:rStyle w:val="Hyperlink"/>
            <w:color w:val="auto"/>
            <w:highlight w:val="lightGray"/>
            <w:lang w:val="nb-NO"/>
          </w:rPr>
          <w:t>Appendix V</w:t>
        </w:r>
      </w:hyperlink>
      <w:r w:rsidRPr="009D56B8">
        <w:rPr>
          <w:szCs w:val="22"/>
          <w:lang w:val="nb-NO"/>
        </w:rPr>
        <w:t xml:space="preserve">. Ved å melde fra om bivirkninger bidrar du med </w:t>
      </w:r>
      <w:r w:rsidRPr="009D56B8">
        <w:rPr>
          <w:szCs w:val="22"/>
          <w:lang w:val="nb-NO"/>
        </w:rPr>
        <w:lastRenderedPageBreak/>
        <w:t>informasjon om sikkerheten ved bruk av dette legemidlet.</w:t>
      </w:r>
    </w:p>
    <w:p w14:paraId="5D7F3311" w14:textId="77777777" w:rsidR="00E50867" w:rsidRPr="009D56B8" w:rsidRDefault="00E50867">
      <w:pPr>
        <w:widowControl w:val="0"/>
        <w:tabs>
          <w:tab w:val="clear" w:pos="567"/>
        </w:tabs>
        <w:ind w:right="-2"/>
        <w:rPr>
          <w:szCs w:val="22"/>
          <w:lang w:val="nb-NO"/>
        </w:rPr>
      </w:pPr>
    </w:p>
    <w:p w14:paraId="73D6FBB3" w14:textId="77777777" w:rsidR="00E50867" w:rsidRPr="009D56B8" w:rsidRDefault="00E50867">
      <w:pPr>
        <w:widowControl w:val="0"/>
        <w:tabs>
          <w:tab w:val="clear" w:pos="567"/>
        </w:tabs>
        <w:ind w:right="-2"/>
        <w:rPr>
          <w:szCs w:val="22"/>
          <w:lang w:val="nb-NO"/>
        </w:rPr>
      </w:pPr>
    </w:p>
    <w:p w14:paraId="1982EAC8" w14:textId="287CD914" w:rsidR="00E50867" w:rsidRPr="009D56B8" w:rsidRDefault="00C770E8" w:rsidP="00513CD0">
      <w:pPr>
        <w:keepNext/>
        <w:rPr>
          <w:b/>
          <w:szCs w:val="22"/>
          <w:lang w:val="nb-NO"/>
        </w:rPr>
      </w:pPr>
      <w:r w:rsidRPr="009D56B8">
        <w:rPr>
          <w:b/>
          <w:szCs w:val="22"/>
          <w:lang w:val="nb-NO"/>
        </w:rPr>
        <w:t>5.</w:t>
      </w:r>
      <w:r w:rsidRPr="009D56B8">
        <w:rPr>
          <w:b/>
          <w:szCs w:val="22"/>
          <w:lang w:val="nb-NO"/>
        </w:rPr>
        <w:tab/>
        <w:t xml:space="preserve">Hvordan du oppbevarer </w:t>
      </w:r>
      <w:r w:rsidR="00D172C2" w:rsidRPr="009D56B8">
        <w:rPr>
          <w:b/>
          <w:szCs w:val="22"/>
          <w:lang w:val="nb-NO"/>
        </w:rPr>
        <w:t>Dimethyl fumarate Accord</w:t>
      </w:r>
    </w:p>
    <w:p w14:paraId="4E75ABBC" w14:textId="77777777" w:rsidR="00E50867" w:rsidRPr="009D56B8" w:rsidRDefault="00E50867" w:rsidP="00513CD0">
      <w:pPr>
        <w:keepNext/>
        <w:widowControl w:val="0"/>
        <w:tabs>
          <w:tab w:val="clear" w:pos="567"/>
        </w:tabs>
        <w:ind w:right="-2"/>
        <w:rPr>
          <w:szCs w:val="22"/>
          <w:lang w:val="nb-NO"/>
        </w:rPr>
      </w:pPr>
    </w:p>
    <w:p w14:paraId="134A242A" w14:textId="77777777" w:rsidR="00E50867" w:rsidRPr="009D56B8" w:rsidRDefault="00C770E8">
      <w:pPr>
        <w:widowControl w:val="0"/>
        <w:tabs>
          <w:tab w:val="clear" w:pos="567"/>
        </w:tabs>
        <w:ind w:right="-2"/>
        <w:rPr>
          <w:szCs w:val="22"/>
          <w:lang w:val="nb-NO"/>
        </w:rPr>
      </w:pPr>
      <w:r w:rsidRPr="009D56B8">
        <w:rPr>
          <w:szCs w:val="22"/>
          <w:lang w:val="nb-NO"/>
        </w:rPr>
        <w:t>Oppbevares utilgjengelig for barn.</w:t>
      </w:r>
    </w:p>
    <w:p w14:paraId="1E5A2312" w14:textId="77777777" w:rsidR="00E50867" w:rsidRPr="009D56B8" w:rsidRDefault="00E50867">
      <w:pPr>
        <w:widowControl w:val="0"/>
        <w:tabs>
          <w:tab w:val="clear" w:pos="567"/>
        </w:tabs>
        <w:ind w:right="-2"/>
        <w:rPr>
          <w:szCs w:val="22"/>
          <w:lang w:val="nb-NO"/>
        </w:rPr>
      </w:pPr>
    </w:p>
    <w:p w14:paraId="389C3AA6" w14:textId="25375FFA" w:rsidR="00E50867" w:rsidRPr="009D56B8" w:rsidRDefault="00C770E8">
      <w:pPr>
        <w:widowControl w:val="0"/>
        <w:tabs>
          <w:tab w:val="clear" w:pos="567"/>
        </w:tabs>
        <w:ind w:right="-2"/>
        <w:rPr>
          <w:szCs w:val="22"/>
          <w:lang w:val="nb-NO"/>
        </w:rPr>
      </w:pPr>
      <w:r w:rsidRPr="009D56B8">
        <w:rPr>
          <w:szCs w:val="22"/>
          <w:lang w:val="nb-NO"/>
        </w:rPr>
        <w:t>Bruk ikke dette legemidlet etter utløpsdatoen som er angitt på esken</w:t>
      </w:r>
      <w:r w:rsidR="004663F8" w:rsidRPr="009D56B8">
        <w:rPr>
          <w:szCs w:val="22"/>
          <w:lang w:val="nb-NO"/>
        </w:rPr>
        <w:t xml:space="preserve"> og på hver blisterpakning</w:t>
      </w:r>
      <w:r w:rsidRPr="009D56B8">
        <w:rPr>
          <w:szCs w:val="22"/>
          <w:lang w:val="nb-NO"/>
        </w:rPr>
        <w:t xml:space="preserve"> etter “EXP”.</w:t>
      </w:r>
      <w:r w:rsidR="00C8507D" w:rsidRPr="009D56B8">
        <w:rPr>
          <w:szCs w:val="22"/>
          <w:lang w:val="nb-NO"/>
        </w:rPr>
        <w:t xml:space="preserve"> </w:t>
      </w:r>
      <w:r w:rsidRPr="009D56B8">
        <w:rPr>
          <w:szCs w:val="22"/>
          <w:lang w:val="nb-NO"/>
        </w:rPr>
        <w:t>Utløpsdatoen er den siste dagen i den angitte måneden.</w:t>
      </w:r>
    </w:p>
    <w:p w14:paraId="5C82C57A" w14:textId="77777777" w:rsidR="00E50867" w:rsidRPr="009D56B8" w:rsidRDefault="00E50867">
      <w:pPr>
        <w:widowControl w:val="0"/>
        <w:tabs>
          <w:tab w:val="clear" w:pos="567"/>
        </w:tabs>
        <w:ind w:right="-2"/>
        <w:rPr>
          <w:szCs w:val="22"/>
          <w:lang w:val="nb-NO"/>
        </w:rPr>
      </w:pPr>
    </w:p>
    <w:p w14:paraId="49352307" w14:textId="6C4C0A32" w:rsidR="00785195" w:rsidRPr="009D56B8" w:rsidRDefault="00785195">
      <w:pPr>
        <w:widowControl w:val="0"/>
        <w:tabs>
          <w:tab w:val="clear" w:pos="567"/>
        </w:tabs>
        <w:ind w:right="-2"/>
        <w:rPr>
          <w:szCs w:val="22"/>
          <w:lang w:val="nb-NO"/>
        </w:rPr>
      </w:pPr>
      <w:r w:rsidRPr="009D56B8">
        <w:rPr>
          <w:lang w:val="nb-NO"/>
        </w:rPr>
        <w:t>Dette legemidlet krever ingen spesielle oppbevaringsbetingelser.</w:t>
      </w:r>
    </w:p>
    <w:p w14:paraId="545A4653" w14:textId="77777777" w:rsidR="00785195" w:rsidRPr="009D56B8" w:rsidRDefault="00785195">
      <w:pPr>
        <w:widowControl w:val="0"/>
        <w:tabs>
          <w:tab w:val="clear" w:pos="567"/>
        </w:tabs>
        <w:ind w:right="-2"/>
        <w:rPr>
          <w:szCs w:val="22"/>
          <w:lang w:val="nb-NO"/>
        </w:rPr>
      </w:pPr>
    </w:p>
    <w:p w14:paraId="7CF92A4F" w14:textId="77777777" w:rsidR="00E50867" w:rsidRPr="009D56B8" w:rsidRDefault="00C770E8">
      <w:pPr>
        <w:widowControl w:val="0"/>
        <w:tabs>
          <w:tab w:val="clear" w:pos="567"/>
        </w:tabs>
        <w:ind w:right="-2"/>
        <w:rPr>
          <w:szCs w:val="22"/>
          <w:lang w:val="nb-NO"/>
        </w:rPr>
      </w:pPr>
      <w:r w:rsidRPr="009D56B8">
        <w:rPr>
          <w:szCs w:val="22"/>
          <w:lang w:val="nb-NO"/>
        </w:rPr>
        <w:t>Legemidler skal ikke kastes i avløpsvann eller sammen med husholdningsavfall. Spør på apoteket hvordan du skal kaste legemidler som du ikke lenger bruker. Disse tiltakene bidrar til å beskytte miljøet.</w:t>
      </w:r>
    </w:p>
    <w:p w14:paraId="7DD922F0" w14:textId="77777777" w:rsidR="00E50867" w:rsidRPr="009D56B8" w:rsidRDefault="00E50867">
      <w:pPr>
        <w:widowControl w:val="0"/>
        <w:tabs>
          <w:tab w:val="clear" w:pos="567"/>
        </w:tabs>
        <w:ind w:right="-2"/>
        <w:rPr>
          <w:szCs w:val="22"/>
          <w:lang w:val="nb-NO"/>
        </w:rPr>
      </w:pPr>
    </w:p>
    <w:p w14:paraId="0E1E5657" w14:textId="77777777" w:rsidR="00E50867" w:rsidRPr="009D56B8" w:rsidRDefault="00E50867">
      <w:pPr>
        <w:widowControl w:val="0"/>
        <w:tabs>
          <w:tab w:val="clear" w:pos="567"/>
        </w:tabs>
        <w:ind w:right="-2"/>
        <w:rPr>
          <w:szCs w:val="22"/>
          <w:lang w:val="nb-NO"/>
        </w:rPr>
      </w:pPr>
    </w:p>
    <w:p w14:paraId="3CE2F28A" w14:textId="77777777" w:rsidR="00E50867" w:rsidRPr="009D56B8" w:rsidRDefault="00C770E8">
      <w:pPr>
        <w:keepNext/>
        <w:rPr>
          <w:b/>
          <w:szCs w:val="22"/>
          <w:lang w:val="nb-NO"/>
        </w:rPr>
      </w:pPr>
      <w:r w:rsidRPr="009D56B8">
        <w:rPr>
          <w:b/>
          <w:szCs w:val="22"/>
          <w:lang w:val="nb-NO"/>
        </w:rPr>
        <w:t>6.</w:t>
      </w:r>
      <w:r w:rsidRPr="009D56B8">
        <w:rPr>
          <w:b/>
          <w:szCs w:val="22"/>
          <w:lang w:val="nb-NO"/>
        </w:rPr>
        <w:tab/>
        <w:t>Innholdet i pakningen og ytterligere informasjon</w:t>
      </w:r>
    </w:p>
    <w:p w14:paraId="697F750B" w14:textId="77777777" w:rsidR="00E50867" w:rsidRPr="009D56B8" w:rsidRDefault="00E50867">
      <w:pPr>
        <w:keepNext/>
        <w:widowControl w:val="0"/>
        <w:tabs>
          <w:tab w:val="clear" w:pos="567"/>
        </w:tabs>
        <w:rPr>
          <w:szCs w:val="22"/>
          <w:lang w:val="nb-NO"/>
        </w:rPr>
      </w:pPr>
    </w:p>
    <w:p w14:paraId="59BA09D3" w14:textId="1D7066A9" w:rsidR="00E50867" w:rsidRPr="009D56B8" w:rsidRDefault="00C770E8">
      <w:pPr>
        <w:keepNext/>
        <w:rPr>
          <w:b/>
          <w:szCs w:val="22"/>
          <w:lang w:val="nb-NO"/>
        </w:rPr>
      </w:pPr>
      <w:r w:rsidRPr="009D56B8">
        <w:rPr>
          <w:b/>
          <w:szCs w:val="22"/>
          <w:lang w:val="nb-NO"/>
        </w:rPr>
        <w:t xml:space="preserve">Sammensetning av </w:t>
      </w:r>
      <w:r w:rsidR="00D172C2" w:rsidRPr="009D56B8">
        <w:rPr>
          <w:b/>
          <w:szCs w:val="22"/>
          <w:lang w:val="nb-NO"/>
        </w:rPr>
        <w:t>Dimethyl fumarate Accord</w:t>
      </w:r>
    </w:p>
    <w:p w14:paraId="5117D3E5" w14:textId="77777777" w:rsidR="00E50867" w:rsidRPr="009D56B8" w:rsidRDefault="00E50867">
      <w:pPr>
        <w:keepNext/>
        <w:rPr>
          <w:szCs w:val="22"/>
          <w:lang w:val="nb-NO"/>
        </w:rPr>
      </w:pPr>
    </w:p>
    <w:p w14:paraId="1A28D5C8" w14:textId="77777777" w:rsidR="00E50867" w:rsidRPr="009D56B8" w:rsidRDefault="00C770E8">
      <w:pPr>
        <w:widowControl w:val="0"/>
        <w:tabs>
          <w:tab w:val="clear" w:pos="567"/>
        </w:tabs>
        <w:rPr>
          <w:szCs w:val="22"/>
          <w:lang w:val="nb-NO"/>
        </w:rPr>
      </w:pPr>
      <w:r w:rsidRPr="009D56B8">
        <w:rPr>
          <w:b/>
          <w:szCs w:val="22"/>
          <w:lang w:val="nb-NO"/>
        </w:rPr>
        <w:t>Virkestoff</w:t>
      </w:r>
      <w:r w:rsidRPr="009D56B8">
        <w:rPr>
          <w:szCs w:val="22"/>
          <w:lang w:val="nb-NO"/>
        </w:rPr>
        <w:t xml:space="preserve"> er dimetylfumarat.</w:t>
      </w:r>
    </w:p>
    <w:p w14:paraId="2B9E081D" w14:textId="7C1F15B1" w:rsidR="00E50867" w:rsidRPr="009D56B8" w:rsidRDefault="00D172C2">
      <w:pPr>
        <w:widowControl w:val="0"/>
        <w:tabs>
          <w:tab w:val="clear" w:pos="567"/>
        </w:tabs>
        <w:rPr>
          <w:szCs w:val="22"/>
          <w:lang w:val="nb-NO"/>
        </w:rPr>
      </w:pPr>
      <w:r w:rsidRPr="009D56B8">
        <w:rPr>
          <w:szCs w:val="22"/>
          <w:lang w:val="nb-NO"/>
        </w:rPr>
        <w:t>Dimethyl fumarate Accord</w:t>
      </w:r>
      <w:r w:rsidR="00C770E8" w:rsidRPr="009D56B8">
        <w:rPr>
          <w:szCs w:val="22"/>
          <w:lang w:val="nb-NO"/>
        </w:rPr>
        <w:t xml:space="preserve"> 120 mg: Hver kapsel inneholder 120 mg dimetylfumarat.</w:t>
      </w:r>
    </w:p>
    <w:p w14:paraId="68AA0BB0" w14:textId="4F901F43" w:rsidR="00E50867" w:rsidRPr="009D56B8" w:rsidRDefault="00D172C2">
      <w:pPr>
        <w:widowControl w:val="0"/>
        <w:tabs>
          <w:tab w:val="clear" w:pos="567"/>
        </w:tabs>
        <w:rPr>
          <w:szCs w:val="22"/>
          <w:lang w:val="nb-NO"/>
        </w:rPr>
      </w:pPr>
      <w:r w:rsidRPr="009D56B8">
        <w:rPr>
          <w:szCs w:val="22"/>
          <w:lang w:val="nb-NO"/>
        </w:rPr>
        <w:t>Dimethyl fumarate Accord</w:t>
      </w:r>
      <w:r w:rsidR="00C770E8" w:rsidRPr="009D56B8">
        <w:rPr>
          <w:szCs w:val="22"/>
          <w:lang w:val="nb-NO"/>
        </w:rPr>
        <w:t xml:space="preserve"> 240 mg: Hver kapsel inneholder 240 mg dimetylfumarat.</w:t>
      </w:r>
    </w:p>
    <w:p w14:paraId="5E8F3FE5" w14:textId="77777777" w:rsidR="00E50867" w:rsidRPr="009D56B8" w:rsidRDefault="00E50867">
      <w:pPr>
        <w:widowControl w:val="0"/>
        <w:tabs>
          <w:tab w:val="clear" w:pos="567"/>
        </w:tabs>
        <w:rPr>
          <w:b/>
          <w:szCs w:val="22"/>
          <w:lang w:val="nb-NO"/>
        </w:rPr>
      </w:pPr>
    </w:p>
    <w:p w14:paraId="40772A85" w14:textId="77777777" w:rsidR="00115D97" w:rsidRPr="009D56B8" w:rsidRDefault="00115D97">
      <w:pPr>
        <w:tabs>
          <w:tab w:val="clear" w:pos="567"/>
        </w:tabs>
        <w:rPr>
          <w:szCs w:val="22"/>
          <w:lang w:val="nb-NO"/>
        </w:rPr>
      </w:pPr>
      <w:r w:rsidRPr="009D56B8">
        <w:rPr>
          <w:b/>
          <w:szCs w:val="22"/>
          <w:lang w:val="nb-NO"/>
        </w:rPr>
        <w:t xml:space="preserve">- </w:t>
      </w:r>
      <w:r w:rsidRPr="009D56B8">
        <w:rPr>
          <w:b/>
          <w:szCs w:val="22"/>
          <w:lang w:val="nb-NO"/>
        </w:rPr>
        <w:tab/>
      </w:r>
      <w:r w:rsidR="00C770E8" w:rsidRPr="009D56B8">
        <w:rPr>
          <w:b/>
          <w:szCs w:val="22"/>
          <w:lang w:val="nb-NO"/>
        </w:rPr>
        <w:t xml:space="preserve">Andre </w:t>
      </w:r>
      <w:r w:rsidR="00C770E8" w:rsidRPr="009D56B8">
        <w:rPr>
          <w:bCs/>
          <w:szCs w:val="22"/>
          <w:lang w:val="nb-NO"/>
        </w:rPr>
        <w:t>innholdsstoffer</w:t>
      </w:r>
      <w:r w:rsidR="00C770E8" w:rsidRPr="009D56B8">
        <w:rPr>
          <w:b/>
          <w:szCs w:val="22"/>
          <w:lang w:val="nb-NO"/>
        </w:rPr>
        <w:t xml:space="preserve"> </w:t>
      </w:r>
      <w:r w:rsidR="00C770E8" w:rsidRPr="009D56B8">
        <w:rPr>
          <w:szCs w:val="22"/>
          <w:lang w:val="nb-NO"/>
        </w:rPr>
        <w:t>er</w:t>
      </w:r>
      <w:r w:rsidRPr="009D56B8">
        <w:rPr>
          <w:szCs w:val="22"/>
          <w:lang w:val="nb-NO"/>
        </w:rPr>
        <w:t>:</w:t>
      </w:r>
      <w:r w:rsidR="00C770E8" w:rsidRPr="009D56B8">
        <w:rPr>
          <w:szCs w:val="22"/>
          <w:lang w:val="nb-NO"/>
        </w:rPr>
        <w:t xml:space="preserve"> </w:t>
      </w:r>
    </w:p>
    <w:p w14:paraId="38930FAE" w14:textId="0A4BEA35" w:rsidR="00E50867" w:rsidRPr="009D56B8" w:rsidRDefault="00115D97">
      <w:pPr>
        <w:tabs>
          <w:tab w:val="clear" w:pos="567"/>
        </w:tabs>
        <w:rPr>
          <w:szCs w:val="22"/>
          <w:lang w:val="nb-NO"/>
        </w:rPr>
      </w:pPr>
      <w:r w:rsidRPr="009D56B8">
        <w:rPr>
          <w:szCs w:val="22"/>
          <w:u w:val="single"/>
          <w:lang w:val="nb-NO"/>
        </w:rPr>
        <w:t>Kapselinnhold (enter</w:t>
      </w:r>
      <w:r w:rsidR="009817D7" w:rsidRPr="009D56B8">
        <w:rPr>
          <w:szCs w:val="22"/>
          <w:u w:val="single"/>
          <w:lang w:val="nb-NO"/>
        </w:rPr>
        <w:t>o</w:t>
      </w:r>
      <w:r w:rsidRPr="009D56B8">
        <w:rPr>
          <w:szCs w:val="22"/>
          <w:u w:val="single"/>
          <w:lang w:val="nb-NO"/>
        </w:rPr>
        <w:t>drasjerte minitabletter):</w:t>
      </w:r>
      <w:r w:rsidRPr="009D56B8">
        <w:rPr>
          <w:szCs w:val="22"/>
          <w:lang w:val="nb-NO"/>
        </w:rPr>
        <w:t xml:space="preserve"> Silifisert </w:t>
      </w:r>
      <w:r w:rsidR="00C770E8" w:rsidRPr="009D56B8">
        <w:rPr>
          <w:szCs w:val="22"/>
          <w:lang w:val="nb-NO"/>
        </w:rPr>
        <w:t xml:space="preserve">mikrokrystallinsk cellulose, </w:t>
      </w:r>
      <w:r w:rsidRPr="009D56B8">
        <w:rPr>
          <w:szCs w:val="22"/>
          <w:lang w:val="nb-NO"/>
        </w:rPr>
        <w:t xml:space="preserve">talkum, </w:t>
      </w:r>
      <w:r w:rsidR="00C770E8" w:rsidRPr="009D56B8">
        <w:rPr>
          <w:szCs w:val="22"/>
          <w:lang w:val="nb-NO"/>
        </w:rPr>
        <w:t xml:space="preserve">krysskarmellosenatrium, silika (kolloidal vannfri), magnesiumstearat, metakrylsyremetylmetakrylatkopolymer (1:1), </w:t>
      </w:r>
      <w:r w:rsidR="00541B62" w:rsidRPr="009D56B8">
        <w:rPr>
          <w:szCs w:val="22"/>
          <w:lang w:val="nb-NO"/>
        </w:rPr>
        <w:t xml:space="preserve">trietylsitrat, </w:t>
      </w:r>
      <w:r w:rsidR="00C770E8" w:rsidRPr="009D56B8">
        <w:rPr>
          <w:szCs w:val="22"/>
          <w:lang w:val="nb-NO"/>
        </w:rPr>
        <w:t>metakrylsyreetylakrylatkopolymer (1:1) dispersjon 30 %.</w:t>
      </w:r>
    </w:p>
    <w:p w14:paraId="148DA065" w14:textId="77777777" w:rsidR="00AF79A5" w:rsidRPr="009D56B8" w:rsidRDefault="00AF79A5">
      <w:pPr>
        <w:tabs>
          <w:tab w:val="clear" w:pos="567"/>
        </w:tabs>
        <w:rPr>
          <w:szCs w:val="22"/>
          <w:lang w:val="nb-NO"/>
        </w:rPr>
      </w:pPr>
    </w:p>
    <w:p w14:paraId="057B19AD" w14:textId="34D21894" w:rsidR="00AF79A5" w:rsidRPr="009D56B8" w:rsidRDefault="00AF79A5">
      <w:pPr>
        <w:tabs>
          <w:tab w:val="clear" w:pos="567"/>
        </w:tabs>
        <w:rPr>
          <w:szCs w:val="22"/>
          <w:lang w:val="nb-NO"/>
        </w:rPr>
      </w:pPr>
      <w:r w:rsidRPr="009D56B8">
        <w:rPr>
          <w:szCs w:val="22"/>
          <w:u w:val="single"/>
          <w:lang w:val="nb-NO"/>
        </w:rPr>
        <w:t>Kapselskall:</w:t>
      </w:r>
      <w:r w:rsidR="00C8079E" w:rsidRPr="009D56B8">
        <w:rPr>
          <w:szCs w:val="22"/>
          <w:lang w:val="nb-NO"/>
        </w:rPr>
        <w:t xml:space="preserve"> Gelatin, titandioksid (E 171), briljantblå FCF (E 133), svart jernoksid (E 172), gult jernoksid (E 172).</w:t>
      </w:r>
    </w:p>
    <w:p w14:paraId="629D6EF2" w14:textId="77777777" w:rsidR="002C0D4B" w:rsidRPr="009D56B8" w:rsidRDefault="002C0D4B">
      <w:pPr>
        <w:tabs>
          <w:tab w:val="clear" w:pos="567"/>
        </w:tabs>
        <w:rPr>
          <w:szCs w:val="22"/>
          <w:lang w:val="nb-NO"/>
        </w:rPr>
      </w:pPr>
    </w:p>
    <w:p w14:paraId="2D100E66" w14:textId="5F3DC885" w:rsidR="002C0D4B" w:rsidRPr="009D56B8" w:rsidRDefault="006E4C08">
      <w:pPr>
        <w:tabs>
          <w:tab w:val="clear" w:pos="567"/>
        </w:tabs>
        <w:rPr>
          <w:szCs w:val="22"/>
          <w:lang w:val="nb-NO"/>
        </w:rPr>
      </w:pPr>
      <w:r w:rsidRPr="009D56B8">
        <w:rPr>
          <w:szCs w:val="22"/>
          <w:u w:val="single"/>
          <w:lang w:val="nb-NO"/>
        </w:rPr>
        <w:t>Trykkfarge på kapselen</w:t>
      </w:r>
      <w:r w:rsidR="002C0D4B" w:rsidRPr="009D56B8">
        <w:rPr>
          <w:szCs w:val="22"/>
          <w:u w:val="single"/>
          <w:lang w:val="nb-NO"/>
        </w:rPr>
        <w:t xml:space="preserve"> (svart </w:t>
      </w:r>
      <w:r w:rsidRPr="009D56B8">
        <w:rPr>
          <w:szCs w:val="22"/>
          <w:u w:val="single"/>
          <w:lang w:val="nb-NO"/>
        </w:rPr>
        <w:t>trykksverte</w:t>
      </w:r>
      <w:r w:rsidR="002C0D4B" w:rsidRPr="009D56B8">
        <w:rPr>
          <w:szCs w:val="22"/>
          <w:u w:val="single"/>
          <w:lang w:val="nb-NO"/>
        </w:rPr>
        <w:t>):</w:t>
      </w:r>
      <w:r w:rsidR="002C0D4B" w:rsidRPr="009D56B8">
        <w:rPr>
          <w:szCs w:val="22"/>
          <w:lang w:val="nb-NO"/>
        </w:rPr>
        <w:t xml:space="preserve"> Skjellakk (</w:t>
      </w:r>
      <w:r w:rsidR="00D37858" w:rsidRPr="009D56B8">
        <w:rPr>
          <w:szCs w:val="22"/>
          <w:lang w:val="nb-NO"/>
        </w:rPr>
        <w:t>E 904), svart jernoksid (E 172), kaliumhydroksid (E 525).</w:t>
      </w:r>
    </w:p>
    <w:p w14:paraId="7CCD57BB" w14:textId="77777777" w:rsidR="00E50867" w:rsidRPr="009D56B8" w:rsidRDefault="00E50867">
      <w:pPr>
        <w:widowControl w:val="0"/>
        <w:tabs>
          <w:tab w:val="clear" w:pos="567"/>
        </w:tabs>
        <w:ind w:right="-2"/>
        <w:rPr>
          <w:szCs w:val="22"/>
          <w:lang w:val="nb-NO"/>
        </w:rPr>
      </w:pPr>
    </w:p>
    <w:p w14:paraId="6CAB92BF" w14:textId="68315B17" w:rsidR="00E50867" w:rsidRPr="009D56B8" w:rsidRDefault="00C770E8">
      <w:pPr>
        <w:keepNext/>
        <w:rPr>
          <w:b/>
          <w:szCs w:val="22"/>
          <w:lang w:val="nb-NO"/>
        </w:rPr>
      </w:pPr>
      <w:r w:rsidRPr="009D56B8">
        <w:rPr>
          <w:b/>
          <w:szCs w:val="22"/>
          <w:lang w:val="nb-NO"/>
        </w:rPr>
        <w:t xml:space="preserve">Hvordan </w:t>
      </w:r>
      <w:r w:rsidR="00D172C2" w:rsidRPr="009D56B8">
        <w:rPr>
          <w:b/>
          <w:szCs w:val="22"/>
          <w:lang w:val="nb-NO"/>
        </w:rPr>
        <w:t>Dimethyl fumarate Accord</w:t>
      </w:r>
      <w:r w:rsidRPr="009D56B8">
        <w:rPr>
          <w:b/>
          <w:szCs w:val="22"/>
          <w:lang w:val="nb-NO"/>
        </w:rPr>
        <w:t xml:space="preserve"> ser ut og innholdet i pakningen</w:t>
      </w:r>
    </w:p>
    <w:p w14:paraId="0D29A64C" w14:textId="77777777" w:rsidR="00E50867" w:rsidRPr="009D56B8" w:rsidRDefault="00E50867">
      <w:pPr>
        <w:keepNext/>
        <w:widowControl w:val="0"/>
        <w:tabs>
          <w:tab w:val="clear" w:pos="567"/>
        </w:tabs>
        <w:ind w:right="-2"/>
        <w:rPr>
          <w:b/>
          <w:szCs w:val="22"/>
          <w:lang w:val="nb-NO"/>
        </w:rPr>
      </w:pPr>
    </w:p>
    <w:p w14:paraId="11DD5D4C" w14:textId="35A1CC28" w:rsidR="00E50867" w:rsidRPr="009D56B8" w:rsidRDefault="00D172C2">
      <w:pPr>
        <w:keepNext/>
        <w:widowControl w:val="0"/>
        <w:suppressLineNumbers/>
        <w:rPr>
          <w:szCs w:val="22"/>
          <w:lang w:val="nb-NO"/>
        </w:rPr>
      </w:pPr>
      <w:r w:rsidRPr="009D56B8">
        <w:rPr>
          <w:szCs w:val="22"/>
          <w:lang w:val="nb-NO"/>
        </w:rPr>
        <w:t>Dimethyl fumarate Accord</w:t>
      </w:r>
      <w:r w:rsidR="00C770E8" w:rsidRPr="009D56B8">
        <w:rPr>
          <w:szCs w:val="22"/>
          <w:lang w:val="nb-NO"/>
        </w:rPr>
        <w:t xml:space="preserve"> 120 mg enterokapsler, harde, er </w:t>
      </w:r>
      <w:r w:rsidR="00B94347" w:rsidRPr="009D56B8">
        <w:rPr>
          <w:szCs w:val="22"/>
          <w:lang w:val="nb-NO"/>
        </w:rPr>
        <w:t xml:space="preserve">harde gelatinkapsler av størrelse “0” (omtrent 21,3 x 7,5 mm) med </w:t>
      </w:r>
      <w:r w:rsidR="00C770E8" w:rsidRPr="009D56B8">
        <w:rPr>
          <w:szCs w:val="22"/>
          <w:lang w:val="nb-NO"/>
        </w:rPr>
        <w:t>grønn</w:t>
      </w:r>
      <w:r w:rsidR="0059483D" w:rsidRPr="009D56B8">
        <w:rPr>
          <w:szCs w:val="22"/>
          <w:lang w:val="nb-NO"/>
        </w:rPr>
        <w:t xml:space="preserve"> kapselhett</w:t>
      </w:r>
      <w:r w:rsidR="00C770E8" w:rsidRPr="009D56B8">
        <w:rPr>
          <w:szCs w:val="22"/>
          <w:lang w:val="nb-NO"/>
        </w:rPr>
        <w:t>e og hvit</w:t>
      </w:r>
      <w:r w:rsidR="0059483D" w:rsidRPr="009D56B8">
        <w:rPr>
          <w:szCs w:val="22"/>
          <w:lang w:val="nb-NO"/>
        </w:rPr>
        <w:t xml:space="preserve"> bunn</w:t>
      </w:r>
      <w:r w:rsidR="00A0704E" w:rsidRPr="009D56B8">
        <w:rPr>
          <w:szCs w:val="22"/>
          <w:lang w:val="nb-NO"/>
        </w:rPr>
        <w:t>,</w:t>
      </w:r>
      <w:r w:rsidR="00C770E8" w:rsidRPr="009D56B8">
        <w:rPr>
          <w:szCs w:val="22"/>
          <w:lang w:val="nb-NO"/>
        </w:rPr>
        <w:t xml:space="preserve"> påtrykt </w:t>
      </w:r>
      <w:r w:rsidR="00A0704E" w:rsidRPr="009D56B8">
        <w:rPr>
          <w:szCs w:val="22"/>
          <w:lang w:val="nb-NO"/>
        </w:rPr>
        <w:t xml:space="preserve">“HR1” i svart </w:t>
      </w:r>
      <w:r w:rsidR="00874C34" w:rsidRPr="009D56B8">
        <w:rPr>
          <w:szCs w:val="22"/>
          <w:lang w:val="nb-NO"/>
        </w:rPr>
        <w:t>trykksverte</w:t>
      </w:r>
      <w:r w:rsidR="00A0704E" w:rsidRPr="009D56B8">
        <w:rPr>
          <w:szCs w:val="22"/>
          <w:lang w:val="nb-NO"/>
        </w:rPr>
        <w:t xml:space="preserve"> på kapselbunnen, som inneholder hvite til </w:t>
      </w:r>
      <w:r w:rsidR="00C67B43" w:rsidRPr="009D56B8">
        <w:rPr>
          <w:szCs w:val="22"/>
          <w:lang w:val="nb-NO"/>
        </w:rPr>
        <w:t>off-white</w:t>
      </w:r>
      <w:r w:rsidR="00A0704E" w:rsidRPr="009D56B8">
        <w:rPr>
          <w:szCs w:val="22"/>
          <w:lang w:val="nb-NO"/>
        </w:rPr>
        <w:t xml:space="preserve">, runde, bikonvekse minitabletter </w:t>
      </w:r>
      <w:r w:rsidR="00E70478" w:rsidRPr="009D56B8">
        <w:rPr>
          <w:szCs w:val="22"/>
          <w:lang w:val="nb-NO"/>
        </w:rPr>
        <w:t xml:space="preserve">med enterodrasjering </w:t>
      </w:r>
      <w:r w:rsidR="00A0704E" w:rsidRPr="009D56B8">
        <w:rPr>
          <w:szCs w:val="22"/>
          <w:lang w:val="nb-NO"/>
        </w:rPr>
        <w:t>uten påtrykk på begge sider</w:t>
      </w:r>
      <w:r w:rsidR="00C770E8" w:rsidRPr="009D56B8">
        <w:rPr>
          <w:szCs w:val="22"/>
          <w:lang w:val="nb-NO"/>
        </w:rPr>
        <w:t>.</w:t>
      </w:r>
    </w:p>
    <w:p w14:paraId="7450DC1C" w14:textId="2EACFCEB" w:rsidR="00E50867" w:rsidRPr="009D56B8" w:rsidRDefault="00E50867">
      <w:pPr>
        <w:keepNext/>
        <w:widowControl w:val="0"/>
        <w:suppressLineNumbers/>
        <w:rPr>
          <w:szCs w:val="22"/>
          <w:lang w:val="nb-NO"/>
        </w:rPr>
      </w:pPr>
    </w:p>
    <w:p w14:paraId="5D192484" w14:textId="1A78D8FB" w:rsidR="00E50867" w:rsidRPr="009D56B8" w:rsidRDefault="00D172C2">
      <w:pPr>
        <w:keepNext/>
        <w:widowControl w:val="0"/>
        <w:suppressLineNumbers/>
        <w:rPr>
          <w:szCs w:val="22"/>
          <w:lang w:val="nb-NO"/>
        </w:rPr>
      </w:pPr>
      <w:r w:rsidRPr="009D56B8">
        <w:rPr>
          <w:szCs w:val="22"/>
          <w:lang w:val="nb-NO"/>
        </w:rPr>
        <w:t>Dimethyl fumarate Accord</w:t>
      </w:r>
      <w:r w:rsidR="00C770E8" w:rsidRPr="009D56B8">
        <w:rPr>
          <w:szCs w:val="22"/>
          <w:lang w:val="nb-NO"/>
        </w:rPr>
        <w:t xml:space="preserve"> 240 mg enterokapsler, harde, er</w:t>
      </w:r>
      <w:r w:rsidR="00A0704E" w:rsidRPr="009D56B8">
        <w:rPr>
          <w:szCs w:val="22"/>
          <w:lang w:val="nb-NO"/>
        </w:rPr>
        <w:t xml:space="preserve"> harde gelatinkapsler av størrelse “0” (omtrent 21,3 x 7,5 mm) med</w:t>
      </w:r>
      <w:r w:rsidR="00C770E8" w:rsidRPr="009D56B8">
        <w:rPr>
          <w:szCs w:val="22"/>
          <w:lang w:val="nb-NO"/>
        </w:rPr>
        <w:t xml:space="preserve"> grønn</w:t>
      </w:r>
      <w:r w:rsidR="00DF3305" w:rsidRPr="009D56B8">
        <w:rPr>
          <w:szCs w:val="22"/>
          <w:lang w:val="nb-NO"/>
        </w:rPr>
        <w:t xml:space="preserve"> kapselhett</w:t>
      </w:r>
      <w:r w:rsidR="00C770E8" w:rsidRPr="009D56B8">
        <w:rPr>
          <w:szCs w:val="22"/>
          <w:lang w:val="nb-NO"/>
        </w:rPr>
        <w:t>e</w:t>
      </w:r>
      <w:r w:rsidR="00DF3305" w:rsidRPr="009D56B8">
        <w:rPr>
          <w:szCs w:val="22"/>
          <w:lang w:val="nb-NO"/>
        </w:rPr>
        <w:t xml:space="preserve"> og hvit bunn,</w:t>
      </w:r>
      <w:r w:rsidR="00C770E8" w:rsidRPr="009D56B8">
        <w:rPr>
          <w:szCs w:val="22"/>
          <w:lang w:val="nb-NO"/>
        </w:rPr>
        <w:t xml:space="preserve"> påtrykt </w:t>
      </w:r>
      <w:r w:rsidR="0040208D" w:rsidRPr="009D56B8">
        <w:rPr>
          <w:rFonts w:eastAsia="SimSun"/>
          <w:szCs w:val="22"/>
          <w:lang w:val="nb-NO"/>
        </w:rPr>
        <w:t>“HR2”</w:t>
      </w:r>
      <w:r w:rsidR="0040208D" w:rsidRPr="009D56B8">
        <w:rPr>
          <w:szCs w:val="22"/>
          <w:lang w:val="nb-NO"/>
        </w:rPr>
        <w:t xml:space="preserve"> </w:t>
      </w:r>
      <w:r w:rsidR="00D24AF8" w:rsidRPr="009D56B8">
        <w:rPr>
          <w:szCs w:val="22"/>
          <w:lang w:val="nb-NO"/>
        </w:rPr>
        <w:t xml:space="preserve">i svart </w:t>
      </w:r>
      <w:r w:rsidR="006E4C08" w:rsidRPr="009D56B8">
        <w:rPr>
          <w:szCs w:val="22"/>
          <w:lang w:val="nb-NO"/>
        </w:rPr>
        <w:t>trykksverte</w:t>
      </w:r>
      <w:r w:rsidR="00D24AF8" w:rsidRPr="009D56B8">
        <w:rPr>
          <w:szCs w:val="22"/>
          <w:lang w:val="nb-NO"/>
        </w:rPr>
        <w:t xml:space="preserve"> på kapselbunnen, som inneholder hvite til </w:t>
      </w:r>
      <w:r w:rsidR="00C67B43" w:rsidRPr="009D56B8">
        <w:rPr>
          <w:szCs w:val="22"/>
          <w:lang w:val="nb-NO"/>
        </w:rPr>
        <w:t>off-white</w:t>
      </w:r>
      <w:r w:rsidR="00D24AF8" w:rsidRPr="009D56B8">
        <w:rPr>
          <w:szCs w:val="22"/>
          <w:lang w:val="nb-NO"/>
        </w:rPr>
        <w:t xml:space="preserve">, runde, bikonvekse </w:t>
      </w:r>
      <w:r w:rsidR="00D0122B" w:rsidRPr="009D56B8">
        <w:rPr>
          <w:szCs w:val="22"/>
          <w:lang w:val="nb-NO"/>
        </w:rPr>
        <w:t>minitabletter</w:t>
      </w:r>
      <w:r w:rsidR="00E70478" w:rsidRPr="009D56B8">
        <w:rPr>
          <w:szCs w:val="22"/>
          <w:lang w:val="nb-NO"/>
        </w:rPr>
        <w:t xml:space="preserve"> med</w:t>
      </w:r>
      <w:r w:rsidR="002B578B" w:rsidRPr="009D56B8">
        <w:rPr>
          <w:szCs w:val="22"/>
          <w:lang w:val="nb-NO"/>
        </w:rPr>
        <w:t xml:space="preserve"> </w:t>
      </w:r>
      <w:r w:rsidR="00E70478" w:rsidRPr="009D56B8">
        <w:rPr>
          <w:szCs w:val="22"/>
          <w:lang w:val="nb-NO"/>
        </w:rPr>
        <w:lastRenderedPageBreak/>
        <w:t>enterodrasjering</w:t>
      </w:r>
      <w:r w:rsidR="00D0122B" w:rsidRPr="009D56B8">
        <w:rPr>
          <w:szCs w:val="22"/>
          <w:lang w:val="nb-NO"/>
        </w:rPr>
        <w:t xml:space="preserve"> uten påtrykk på begge sider</w:t>
      </w:r>
      <w:r w:rsidR="00C770E8" w:rsidRPr="009D56B8">
        <w:rPr>
          <w:szCs w:val="22"/>
          <w:lang w:val="nb-NO"/>
        </w:rPr>
        <w:t>.</w:t>
      </w:r>
    </w:p>
    <w:p w14:paraId="3A7C9F15" w14:textId="77777777" w:rsidR="00FB241A" w:rsidRPr="009D56B8" w:rsidRDefault="00FB241A">
      <w:pPr>
        <w:keepNext/>
        <w:widowControl w:val="0"/>
        <w:suppressLineNumbers/>
        <w:rPr>
          <w:szCs w:val="22"/>
          <w:lang w:val="nb-NO"/>
        </w:rPr>
      </w:pPr>
    </w:p>
    <w:p w14:paraId="4D91D86F" w14:textId="77777777" w:rsidR="00E9023F" w:rsidRPr="009D56B8" w:rsidRDefault="00FB241A">
      <w:pPr>
        <w:keepNext/>
        <w:widowControl w:val="0"/>
        <w:suppressLineNumbers/>
        <w:rPr>
          <w:szCs w:val="22"/>
          <w:lang w:val="nb-NO"/>
        </w:rPr>
      </w:pPr>
      <w:r w:rsidRPr="009D56B8">
        <w:rPr>
          <w:szCs w:val="22"/>
          <w:lang w:val="nb-NO"/>
        </w:rPr>
        <w:t xml:space="preserve">120 mg kapsler: </w:t>
      </w:r>
    </w:p>
    <w:p w14:paraId="081254B6" w14:textId="2EC819C8" w:rsidR="00FB241A" w:rsidRPr="009D56B8" w:rsidRDefault="00FB241A">
      <w:pPr>
        <w:keepNext/>
        <w:widowControl w:val="0"/>
        <w:suppressLineNumbers/>
        <w:rPr>
          <w:szCs w:val="22"/>
          <w:lang w:val="nb-NO"/>
        </w:rPr>
      </w:pPr>
      <w:r w:rsidRPr="009D56B8">
        <w:rPr>
          <w:szCs w:val="22"/>
          <w:lang w:val="nb-NO"/>
        </w:rPr>
        <w:t>14 kapsler i blisterpakninger av PVC/PE/PVDC-aluminium.</w:t>
      </w:r>
    </w:p>
    <w:p w14:paraId="0DB2CB71" w14:textId="398198F2" w:rsidR="00E9023F" w:rsidRPr="009D56B8" w:rsidRDefault="00E9023F">
      <w:pPr>
        <w:keepNext/>
        <w:widowControl w:val="0"/>
        <w:suppressLineNumbers/>
        <w:rPr>
          <w:szCs w:val="22"/>
          <w:lang w:val="nb-NO"/>
        </w:rPr>
      </w:pPr>
      <w:r w:rsidRPr="009D56B8">
        <w:rPr>
          <w:szCs w:val="22"/>
          <w:lang w:val="nb-NO"/>
        </w:rPr>
        <w:t>14x1 kapsler i perforerte endoseblisterpakninger av PVC/PE/PVDC-aluminium</w:t>
      </w:r>
      <w:r w:rsidR="00973618" w:rsidRPr="009D56B8">
        <w:rPr>
          <w:szCs w:val="22"/>
          <w:lang w:val="nb-NO"/>
        </w:rPr>
        <w:t>.</w:t>
      </w:r>
    </w:p>
    <w:p w14:paraId="1EC2BEAE" w14:textId="77777777" w:rsidR="00973618" w:rsidRPr="009D56B8" w:rsidRDefault="00973618">
      <w:pPr>
        <w:keepNext/>
        <w:widowControl w:val="0"/>
        <w:suppressLineNumbers/>
        <w:rPr>
          <w:szCs w:val="22"/>
          <w:lang w:val="nb-NO"/>
        </w:rPr>
      </w:pPr>
    </w:p>
    <w:p w14:paraId="0FD69CE1" w14:textId="77777777" w:rsidR="00973618" w:rsidRPr="009D56B8" w:rsidRDefault="00FB241A">
      <w:pPr>
        <w:keepNext/>
        <w:widowControl w:val="0"/>
        <w:suppressLineNumbers/>
        <w:rPr>
          <w:szCs w:val="22"/>
          <w:lang w:val="nb-NO"/>
        </w:rPr>
      </w:pPr>
      <w:r w:rsidRPr="009D56B8">
        <w:rPr>
          <w:szCs w:val="22"/>
          <w:lang w:val="nb-NO"/>
        </w:rPr>
        <w:t xml:space="preserve">240 mg kapsler: </w:t>
      </w:r>
    </w:p>
    <w:p w14:paraId="3DB5A468" w14:textId="2EE12F0C" w:rsidR="00FB241A" w:rsidRPr="009D56B8" w:rsidRDefault="00FB241A">
      <w:pPr>
        <w:keepNext/>
        <w:widowControl w:val="0"/>
        <w:suppressLineNumbers/>
        <w:rPr>
          <w:szCs w:val="22"/>
          <w:lang w:val="nb-NO"/>
        </w:rPr>
      </w:pPr>
      <w:r w:rsidRPr="009D56B8">
        <w:rPr>
          <w:szCs w:val="22"/>
          <w:lang w:val="nb-NO"/>
        </w:rPr>
        <w:t>56 eller 168 kapsler i blisterpakninger av PVC/PE/PVDC-aluminium.</w:t>
      </w:r>
    </w:p>
    <w:p w14:paraId="24F89778" w14:textId="03FC9985" w:rsidR="00973618" w:rsidRPr="009D56B8" w:rsidRDefault="00973618">
      <w:pPr>
        <w:keepNext/>
        <w:widowControl w:val="0"/>
        <w:suppressLineNumbers/>
        <w:rPr>
          <w:b/>
          <w:szCs w:val="22"/>
          <w:lang w:val="nb-NO"/>
        </w:rPr>
      </w:pPr>
      <w:bookmarkStart w:id="28" w:name="_Hlk161931030"/>
      <w:r w:rsidRPr="009D56B8">
        <w:rPr>
          <w:szCs w:val="22"/>
          <w:lang w:val="nb-NO"/>
        </w:rPr>
        <w:t>56x1 eller 168x1 kapsler i perforerte endoseblisterpakninger av PVC/PE/PVDC-aluminium.</w:t>
      </w:r>
    </w:p>
    <w:bookmarkEnd w:id="28"/>
    <w:p w14:paraId="289AD005" w14:textId="77777777" w:rsidR="00E50867" w:rsidRPr="009D56B8" w:rsidRDefault="00E50867">
      <w:pPr>
        <w:keepNext/>
        <w:widowControl w:val="0"/>
        <w:suppressLineNumbers/>
        <w:rPr>
          <w:b/>
          <w:szCs w:val="22"/>
          <w:lang w:val="nb-NO"/>
        </w:rPr>
      </w:pPr>
    </w:p>
    <w:p w14:paraId="562B1127" w14:textId="77777777" w:rsidR="00E50867" w:rsidRPr="009D56B8" w:rsidRDefault="00C770E8">
      <w:pPr>
        <w:keepNext/>
        <w:widowControl w:val="0"/>
        <w:suppressLineNumbers/>
        <w:rPr>
          <w:szCs w:val="22"/>
          <w:lang w:val="nb-NO"/>
        </w:rPr>
      </w:pPr>
      <w:r w:rsidRPr="009D56B8">
        <w:rPr>
          <w:szCs w:val="22"/>
          <w:lang w:val="nb-NO"/>
        </w:rPr>
        <w:t>Ikke alle pakningsstørrelser vil nødvendigvis bli markedsført.</w:t>
      </w:r>
    </w:p>
    <w:p w14:paraId="4D3DEDFE" w14:textId="139E7D9C" w:rsidR="00E50867" w:rsidRPr="009D56B8" w:rsidRDefault="00E50867">
      <w:pPr>
        <w:widowControl w:val="0"/>
        <w:tabs>
          <w:tab w:val="clear" w:pos="567"/>
        </w:tabs>
        <w:ind w:right="-2"/>
        <w:rPr>
          <w:szCs w:val="22"/>
          <w:lang w:val="nb-NO"/>
        </w:rPr>
      </w:pPr>
    </w:p>
    <w:p w14:paraId="5BE00788" w14:textId="77777777" w:rsidR="00E50867" w:rsidRPr="009D56B8" w:rsidRDefault="00C770E8">
      <w:pPr>
        <w:rPr>
          <w:b/>
          <w:szCs w:val="22"/>
          <w:lang w:val="nb-NO"/>
        </w:rPr>
      </w:pPr>
      <w:r w:rsidRPr="009D56B8">
        <w:rPr>
          <w:b/>
          <w:szCs w:val="22"/>
          <w:lang w:val="nb-NO"/>
        </w:rPr>
        <w:t>Innehaver av markedsføringstillatelsen</w:t>
      </w:r>
    </w:p>
    <w:p w14:paraId="3C8DD994" w14:textId="77777777" w:rsidR="00E50867" w:rsidRPr="009D56B8" w:rsidRDefault="00E50867">
      <w:pPr>
        <w:widowControl w:val="0"/>
        <w:tabs>
          <w:tab w:val="clear" w:pos="567"/>
        </w:tabs>
        <w:ind w:right="-2"/>
        <w:rPr>
          <w:szCs w:val="22"/>
          <w:lang w:val="nb-NO"/>
        </w:rPr>
      </w:pPr>
    </w:p>
    <w:p w14:paraId="66701F99" w14:textId="77777777" w:rsidR="00082694" w:rsidRPr="009D56B8" w:rsidRDefault="00082694" w:rsidP="00082694">
      <w:pPr>
        <w:widowControl w:val="0"/>
        <w:tabs>
          <w:tab w:val="clear" w:pos="567"/>
        </w:tabs>
        <w:ind w:right="-2"/>
        <w:rPr>
          <w:lang w:val="nb-NO"/>
        </w:rPr>
      </w:pPr>
      <w:r w:rsidRPr="009D56B8">
        <w:rPr>
          <w:lang w:val="nb-NO"/>
        </w:rPr>
        <w:t>Accord Healthcare S.L.U.</w:t>
      </w:r>
    </w:p>
    <w:p w14:paraId="76791968" w14:textId="77777777" w:rsidR="00082694" w:rsidRPr="009D56B8" w:rsidRDefault="00082694" w:rsidP="00082694">
      <w:pPr>
        <w:widowControl w:val="0"/>
        <w:tabs>
          <w:tab w:val="clear" w:pos="567"/>
        </w:tabs>
        <w:ind w:right="-2"/>
      </w:pPr>
      <w:r w:rsidRPr="009D56B8">
        <w:t>World Trade Center, Moll de Barcelona, s/n,</w:t>
      </w:r>
    </w:p>
    <w:p w14:paraId="1ED0976E" w14:textId="77777777" w:rsidR="00082694" w:rsidRPr="009D56B8" w:rsidRDefault="00082694" w:rsidP="00082694">
      <w:pPr>
        <w:widowControl w:val="0"/>
        <w:tabs>
          <w:tab w:val="clear" w:pos="567"/>
        </w:tabs>
        <w:ind w:right="-2"/>
        <w:rPr>
          <w:lang w:val="fr-FR"/>
        </w:rPr>
      </w:pPr>
      <w:r w:rsidRPr="009D56B8">
        <w:rPr>
          <w:lang w:val="fr-FR"/>
        </w:rPr>
        <w:t>Edifici Est, 6a Planta,</w:t>
      </w:r>
    </w:p>
    <w:p w14:paraId="434E191F" w14:textId="77777777" w:rsidR="00082694" w:rsidRPr="009D56B8" w:rsidRDefault="00082694" w:rsidP="00082694">
      <w:pPr>
        <w:widowControl w:val="0"/>
        <w:tabs>
          <w:tab w:val="clear" w:pos="567"/>
        </w:tabs>
        <w:ind w:right="-2"/>
        <w:rPr>
          <w:lang w:val="fr-FR"/>
        </w:rPr>
      </w:pPr>
      <w:r w:rsidRPr="009D56B8">
        <w:rPr>
          <w:lang w:val="fr-FR"/>
        </w:rPr>
        <w:t>08039 Barcelona,</w:t>
      </w:r>
    </w:p>
    <w:p w14:paraId="184F8E56" w14:textId="57F5D529" w:rsidR="00E50867" w:rsidRPr="009D56B8" w:rsidRDefault="00082694">
      <w:pPr>
        <w:tabs>
          <w:tab w:val="clear" w:pos="567"/>
          <w:tab w:val="left" w:pos="720"/>
        </w:tabs>
        <w:rPr>
          <w:szCs w:val="22"/>
          <w:lang w:val="mt-MT" w:eastAsia="en-US"/>
        </w:rPr>
      </w:pPr>
      <w:r w:rsidRPr="009D56B8">
        <w:t>Spania</w:t>
      </w:r>
      <w:r w:rsidRPr="009D56B8" w:rsidDel="00082694">
        <w:t xml:space="preserve"> </w:t>
      </w:r>
    </w:p>
    <w:p w14:paraId="3F142F44" w14:textId="77777777" w:rsidR="00E50867" w:rsidRPr="009D56B8" w:rsidRDefault="00E50867">
      <w:pPr>
        <w:widowControl w:val="0"/>
        <w:tabs>
          <w:tab w:val="clear" w:pos="567"/>
        </w:tabs>
        <w:ind w:right="-2"/>
        <w:rPr>
          <w:szCs w:val="22"/>
          <w:lang w:val="mt-MT"/>
        </w:rPr>
      </w:pPr>
    </w:p>
    <w:p w14:paraId="04661C1F" w14:textId="77777777" w:rsidR="00E50867" w:rsidRPr="009D56B8" w:rsidRDefault="00C770E8">
      <w:pPr>
        <w:keepNext/>
        <w:rPr>
          <w:szCs w:val="22"/>
          <w:lang w:val="mt-MT"/>
        </w:rPr>
      </w:pPr>
      <w:r w:rsidRPr="009D56B8">
        <w:rPr>
          <w:b/>
          <w:szCs w:val="22"/>
          <w:lang w:val="mt-MT"/>
        </w:rPr>
        <w:t>Tilvirker</w:t>
      </w:r>
    </w:p>
    <w:p w14:paraId="5C5191A0" w14:textId="77777777" w:rsidR="00E50867" w:rsidRPr="009D56B8" w:rsidRDefault="00E50867">
      <w:pPr>
        <w:keepNext/>
        <w:widowControl w:val="0"/>
        <w:tabs>
          <w:tab w:val="clear" w:pos="567"/>
        </w:tabs>
        <w:ind w:right="-2"/>
        <w:rPr>
          <w:szCs w:val="22"/>
          <w:lang w:val="mt-MT"/>
        </w:rPr>
      </w:pPr>
    </w:p>
    <w:p w14:paraId="0EA44549" w14:textId="77777777" w:rsidR="006916AE" w:rsidRPr="009D56B8" w:rsidRDefault="006916AE" w:rsidP="006916AE">
      <w:pPr>
        <w:widowControl w:val="0"/>
        <w:autoSpaceDE w:val="0"/>
        <w:autoSpaceDN w:val="0"/>
        <w:adjustRightInd w:val="0"/>
        <w:contextualSpacing/>
      </w:pPr>
      <w:r w:rsidRPr="009D56B8">
        <w:t>Accord Healthcare Polska Sp. z.o.o.</w:t>
      </w:r>
    </w:p>
    <w:p w14:paraId="4F02B8E4" w14:textId="77777777" w:rsidR="006916AE" w:rsidRPr="009D56B8" w:rsidRDefault="006916AE" w:rsidP="006916AE">
      <w:pPr>
        <w:widowControl w:val="0"/>
        <w:autoSpaceDE w:val="0"/>
        <w:autoSpaceDN w:val="0"/>
        <w:adjustRightInd w:val="0"/>
        <w:contextualSpacing/>
      </w:pPr>
      <w:r w:rsidRPr="009D56B8">
        <w:t>ul.Lutomierska 50,</w:t>
      </w:r>
    </w:p>
    <w:p w14:paraId="367BE596" w14:textId="064C346F" w:rsidR="006916AE" w:rsidRPr="009D56B8" w:rsidRDefault="006916AE" w:rsidP="006916AE">
      <w:pPr>
        <w:widowControl w:val="0"/>
        <w:autoSpaceDE w:val="0"/>
        <w:autoSpaceDN w:val="0"/>
        <w:adjustRightInd w:val="0"/>
        <w:contextualSpacing/>
      </w:pPr>
      <w:r w:rsidRPr="009D56B8">
        <w:t>95</w:t>
      </w:r>
      <w:r w:rsidRPr="009D56B8">
        <w:noBreakHyphen/>
        <w:t>200, Pabianice, Polen</w:t>
      </w:r>
    </w:p>
    <w:p w14:paraId="4A236E67" w14:textId="77777777" w:rsidR="006916AE" w:rsidRPr="009D56B8" w:rsidRDefault="006916AE" w:rsidP="006916AE">
      <w:pPr>
        <w:widowControl w:val="0"/>
        <w:autoSpaceDE w:val="0"/>
        <w:autoSpaceDN w:val="0"/>
        <w:adjustRightInd w:val="0"/>
        <w:contextualSpacing/>
      </w:pPr>
    </w:p>
    <w:p w14:paraId="4C4F4720" w14:textId="77777777" w:rsidR="006916AE" w:rsidRPr="009D56B8" w:rsidRDefault="006916AE" w:rsidP="006916AE">
      <w:pPr>
        <w:widowControl w:val="0"/>
        <w:autoSpaceDE w:val="0"/>
        <w:autoSpaceDN w:val="0"/>
        <w:adjustRightInd w:val="0"/>
        <w:contextualSpacing/>
        <w:rPr>
          <w:highlight w:val="lightGray"/>
        </w:rPr>
      </w:pPr>
      <w:r w:rsidRPr="009D56B8">
        <w:rPr>
          <w:highlight w:val="lightGray"/>
        </w:rPr>
        <w:t>Pharmadox Healthcare Limited</w:t>
      </w:r>
    </w:p>
    <w:p w14:paraId="18686B12" w14:textId="77777777" w:rsidR="006916AE" w:rsidRPr="009D56B8" w:rsidRDefault="006916AE" w:rsidP="006916AE">
      <w:pPr>
        <w:widowControl w:val="0"/>
        <w:autoSpaceDE w:val="0"/>
        <w:autoSpaceDN w:val="0"/>
        <w:adjustRightInd w:val="0"/>
        <w:contextualSpacing/>
        <w:rPr>
          <w:highlight w:val="lightGray"/>
        </w:rPr>
      </w:pPr>
      <w:r w:rsidRPr="009D56B8">
        <w:rPr>
          <w:highlight w:val="lightGray"/>
        </w:rPr>
        <w:t xml:space="preserve">KW20A </w:t>
      </w:r>
      <w:proofErr w:type="spellStart"/>
      <w:r w:rsidRPr="009D56B8">
        <w:rPr>
          <w:highlight w:val="lightGray"/>
        </w:rPr>
        <w:t>Kordin</w:t>
      </w:r>
      <w:proofErr w:type="spellEnd"/>
      <w:r w:rsidRPr="009D56B8">
        <w:rPr>
          <w:highlight w:val="lightGray"/>
        </w:rPr>
        <w:t xml:space="preserve"> Industrial Park,</w:t>
      </w:r>
    </w:p>
    <w:p w14:paraId="78E06036" w14:textId="77777777" w:rsidR="006916AE" w:rsidRPr="009D56B8" w:rsidRDefault="006916AE" w:rsidP="006916AE">
      <w:pPr>
        <w:widowControl w:val="0"/>
        <w:rPr>
          <w:highlight w:val="lightGray"/>
        </w:rPr>
      </w:pPr>
      <w:r w:rsidRPr="009D56B8">
        <w:rPr>
          <w:highlight w:val="lightGray"/>
        </w:rPr>
        <w:t>Paola PLA 3000, Malta</w:t>
      </w:r>
    </w:p>
    <w:p w14:paraId="52D7ED2E" w14:textId="77777777" w:rsidR="006916AE" w:rsidRPr="009D56B8" w:rsidRDefault="006916AE" w:rsidP="006916AE">
      <w:pPr>
        <w:widowControl w:val="0"/>
        <w:rPr>
          <w:highlight w:val="lightGray"/>
        </w:rPr>
      </w:pPr>
    </w:p>
    <w:p w14:paraId="40B2D766" w14:textId="77777777" w:rsidR="006916AE" w:rsidRPr="009D56B8" w:rsidRDefault="006916AE" w:rsidP="006916AE">
      <w:pPr>
        <w:widowControl w:val="0"/>
        <w:rPr>
          <w:highlight w:val="lightGray"/>
        </w:rPr>
      </w:pPr>
      <w:r w:rsidRPr="009D56B8">
        <w:rPr>
          <w:highlight w:val="lightGray"/>
        </w:rPr>
        <w:t>Accord Healthcare B.V.</w:t>
      </w:r>
    </w:p>
    <w:p w14:paraId="27FE4E28" w14:textId="77777777" w:rsidR="006916AE" w:rsidRPr="009D56B8" w:rsidRDefault="006916AE" w:rsidP="006916AE">
      <w:pPr>
        <w:widowControl w:val="0"/>
        <w:rPr>
          <w:highlight w:val="lightGray"/>
          <w:lang w:val="nb-NO"/>
        </w:rPr>
      </w:pPr>
      <w:r w:rsidRPr="009D56B8">
        <w:rPr>
          <w:highlight w:val="lightGray"/>
          <w:lang w:val="nb-NO"/>
        </w:rPr>
        <w:t xml:space="preserve">Winthontlaan 200, </w:t>
      </w:r>
    </w:p>
    <w:p w14:paraId="1DE15F24" w14:textId="1C594063" w:rsidR="005265AD" w:rsidRDefault="006916AE">
      <w:pPr>
        <w:keepNext/>
        <w:widowControl w:val="0"/>
        <w:tabs>
          <w:tab w:val="clear" w:pos="567"/>
        </w:tabs>
        <w:ind w:right="-2"/>
        <w:rPr>
          <w:ins w:id="29" w:author="Gita Baryalai" w:date="2025-08-01T11:06:00Z" w16du:dateUtc="2025-08-01T09:06:00Z"/>
          <w:rFonts w:eastAsia="Times New Roman"/>
          <w:lang w:val="nb-NO" w:eastAsia="en-US"/>
        </w:rPr>
      </w:pPr>
      <w:r w:rsidRPr="009D56B8">
        <w:rPr>
          <w:highlight w:val="lightGray"/>
          <w:lang w:val="nb-NO"/>
        </w:rPr>
        <w:t>3526 KV Utrecht,</w:t>
      </w:r>
      <w:r w:rsidRPr="009D56B8">
        <w:rPr>
          <w:rFonts w:eastAsia="Times New Roman"/>
          <w:highlight w:val="lightGray"/>
          <w:lang w:val="nb-NO" w:eastAsia="en-US"/>
        </w:rPr>
        <w:t xml:space="preserve"> Nederland</w:t>
      </w:r>
    </w:p>
    <w:p w14:paraId="4569E462" w14:textId="77777777" w:rsidR="00BB3B76" w:rsidRDefault="00BB3B76">
      <w:pPr>
        <w:keepNext/>
        <w:widowControl w:val="0"/>
        <w:tabs>
          <w:tab w:val="clear" w:pos="567"/>
        </w:tabs>
        <w:ind w:right="-2"/>
        <w:rPr>
          <w:ins w:id="30" w:author="Gita Baryalai" w:date="2025-08-01T11:06:00Z" w16du:dateUtc="2025-08-01T09:06:00Z"/>
          <w:rFonts w:eastAsia="Times New Roman"/>
          <w:lang w:val="nb-NO" w:eastAsia="en-US"/>
        </w:rPr>
      </w:pPr>
    </w:p>
    <w:p w14:paraId="2219728D" w14:textId="77777777" w:rsidR="00BB3B76" w:rsidRPr="00BB3B76" w:rsidRDefault="00BB3B76" w:rsidP="00BB3B76">
      <w:pPr>
        <w:keepNext/>
        <w:widowControl w:val="0"/>
        <w:tabs>
          <w:tab w:val="clear" w:pos="567"/>
        </w:tabs>
        <w:ind w:right="-2"/>
        <w:rPr>
          <w:ins w:id="31" w:author="Gita Baryalai" w:date="2025-08-01T11:06:00Z"/>
          <w:rFonts w:eastAsia="Times New Roman"/>
          <w:lang w:eastAsia="en-US"/>
        </w:rPr>
      </w:pPr>
      <w:ins w:id="32" w:author="Gita Baryalai" w:date="2025-08-01T11:06:00Z">
        <w:r w:rsidRPr="00BB3B76">
          <w:rPr>
            <w:rFonts w:eastAsia="Times New Roman"/>
            <w:lang w:eastAsia="en-US"/>
          </w:rPr>
          <w:t xml:space="preserve">Accord Healthcare single member S.A. </w:t>
        </w:r>
      </w:ins>
    </w:p>
    <w:p w14:paraId="454C60F1" w14:textId="77777777" w:rsidR="00BB3B76" w:rsidRPr="00BB3B76" w:rsidRDefault="00BB3B76" w:rsidP="00BB3B76">
      <w:pPr>
        <w:keepNext/>
        <w:widowControl w:val="0"/>
        <w:tabs>
          <w:tab w:val="clear" w:pos="567"/>
        </w:tabs>
        <w:ind w:right="-2"/>
        <w:rPr>
          <w:ins w:id="33" w:author="Gita Baryalai" w:date="2025-08-01T11:06:00Z"/>
          <w:rFonts w:eastAsia="Times New Roman"/>
          <w:lang w:eastAsia="en-US"/>
        </w:rPr>
      </w:pPr>
      <w:ins w:id="34" w:author="Gita Baryalai" w:date="2025-08-01T11:06:00Z">
        <w:r w:rsidRPr="00BB3B76">
          <w:rPr>
            <w:rFonts w:eastAsia="Times New Roman"/>
            <w:lang w:eastAsia="en-US"/>
          </w:rPr>
          <w:t>64th Km National Road Athens Lamia,</w:t>
        </w:r>
      </w:ins>
    </w:p>
    <w:p w14:paraId="1E2FCF9A" w14:textId="6C13D624" w:rsidR="00BB3B76" w:rsidRPr="00BB3B76" w:rsidRDefault="00BB3B76" w:rsidP="00BB3B76">
      <w:pPr>
        <w:keepNext/>
        <w:widowControl w:val="0"/>
        <w:tabs>
          <w:tab w:val="clear" w:pos="567"/>
        </w:tabs>
        <w:ind w:right="-2"/>
        <w:rPr>
          <w:ins w:id="35" w:author="Gita Baryalai" w:date="2025-08-01T11:06:00Z"/>
          <w:rFonts w:eastAsia="Times New Roman"/>
          <w:lang w:eastAsia="en-US"/>
        </w:rPr>
      </w:pPr>
      <w:proofErr w:type="spellStart"/>
      <w:ins w:id="36" w:author="Gita Baryalai" w:date="2025-08-01T11:06:00Z">
        <w:r w:rsidRPr="00BB3B76">
          <w:rPr>
            <w:rFonts w:eastAsia="Times New Roman"/>
            <w:lang w:eastAsia="en-US"/>
          </w:rPr>
          <w:t>Schimatari</w:t>
        </w:r>
        <w:proofErr w:type="spellEnd"/>
        <w:r w:rsidRPr="00BB3B76">
          <w:rPr>
            <w:rFonts w:eastAsia="Times New Roman"/>
            <w:lang w:eastAsia="en-US"/>
          </w:rPr>
          <w:t xml:space="preserve">, 32009, </w:t>
        </w:r>
        <w:r w:rsidRPr="00BB3B76">
          <w:rPr>
            <w:rFonts w:eastAsia="Times New Roman"/>
            <w:lang w:val="sv-SE" w:eastAsia="en-US"/>
          </w:rPr>
          <w:t>Hellas</w:t>
        </w:r>
      </w:ins>
    </w:p>
    <w:p w14:paraId="34987BA9" w14:textId="77777777" w:rsidR="00BB3B76" w:rsidRPr="009D56B8" w:rsidRDefault="00BB3B76">
      <w:pPr>
        <w:keepNext/>
        <w:widowControl w:val="0"/>
        <w:tabs>
          <w:tab w:val="clear" w:pos="567"/>
        </w:tabs>
        <w:ind w:right="-2"/>
        <w:rPr>
          <w:rFonts w:eastAsia="Times New Roman"/>
          <w:lang w:val="nb-NO" w:eastAsia="en-US"/>
        </w:rPr>
      </w:pPr>
    </w:p>
    <w:p w14:paraId="755A5DE4" w14:textId="77777777" w:rsidR="00973618" w:rsidRPr="009D56B8" w:rsidRDefault="00973618">
      <w:pPr>
        <w:keepNext/>
        <w:widowControl w:val="0"/>
        <w:tabs>
          <w:tab w:val="clear" w:pos="567"/>
        </w:tabs>
        <w:ind w:right="-2"/>
        <w:rPr>
          <w:rFonts w:eastAsia="Times New Roman"/>
          <w:lang w:val="nb-NO" w:eastAsia="en-US"/>
        </w:rPr>
      </w:pPr>
    </w:p>
    <w:p w14:paraId="062FE784" w14:textId="67FA4EC8" w:rsidR="00973618" w:rsidRPr="009D56B8" w:rsidRDefault="00973618">
      <w:pPr>
        <w:keepNext/>
        <w:widowControl w:val="0"/>
        <w:tabs>
          <w:tab w:val="clear" w:pos="567"/>
        </w:tabs>
        <w:ind w:right="-2"/>
        <w:rPr>
          <w:szCs w:val="22"/>
          <w:lang w:val="nb-NO"/>
        </w:rPr>
      </w:pPr>
      <w:r w:rsidRPr="009D56B8">
        <w:rPr>
          <w:szCs w:val="22"/>
          <w:lang w:val="nb-NO"/>
        </w:rPr>
        <w:t>Ta kontakt med den lokale representanten for innehaveren av markedsføringstillatelsen for ytterligere informasjon om dette legemidlet:</w:t>
      </w:r>
    </w:p>
    <w:p w14:paraId="096ACA72" w14:textId="77777777" w:rsidR="00973618" w:rsidRPr="009D56B8" w:rsidRDefault="00973618">
      <w:pPr>
        <w:keepNext/>
        <w:widowControl w:val="0"/>
        <w:tabs>
          <w:tab w:val="clear" w:pos="567"/>
        </w:tabs>
        <w:ind w:right="-2"/>
        <w:rPr>
          <w:szCs w:val="22"/>
          <w:lang w:val="nb-NO"/>
        </w:rPr>
      </w:pPr>
    </w:p>
    <w:p w14:paraId="2D2042FD" w14:textId="19AB8AE4" w:rsidR="00973618" w:rsidRPr="009D56B8" w:rsidRDefault="00973618" w:rsidP="00973618">
      <w:pPr>
        <w:pStyle w:val="Default"/>
        <w:rPr>
          <w:bCs/>
          <w:color w:val="auto"/>
          <w:sz w:val="22"/>
          <w:szCs w:val="22"/>
          <w:lang w:eastAsia="en-IN"/>
        </w:rPr>
      </w:pPr>
      <w:r w:rsidRPr="009D56B8">
        <w:rPr>
          <w:bCs/>
          <w:color w:val="auto"/>
          <w:sz w:val="22"/>
          <w:szCs w:val="22"/>
        </w:rPr>
        <w:t xml:space="preserve">AT / BE / BG / CY / CZ / DE / DK / EE / ES / FI / FR / HR / HU / IE / IS / IT / LT / LV / </w:t>
      </w:r>
      <w:r w:rsidR="00F50D10" w:rsidRPr="009D56B8">
        <w:rPr>
          <w:bCs/>
          <w:color w:val="auto"/>
          <w:sz w:val="22"/>
          <w:szCs w:val="22"/>
        </w:rPr>
        <w:t xml:space="preserve">LU </w:t>
      </w:r>
      <w:r w:rsidRPr="009D56B8">
        <w:rPr>
          <w:bCs/>
          <w:color w:val="auto"/>
          <w:sz w:val="22"/>
          <w:szCs w:val="22"/>
        </w:rPr>
        <w:t>/ MT / NL / NO / PL / PT / RO / SE / SI / SK</w:t>
      </w:r>
    </w:p>
    <w:p w14:paraId="49B6B954" w14:textId="77777777" w:rsidR="00973618" w:rsidRPr="009D56B8" w:rsidRDefault="00973618" w:rsidP="00973618">
      <w:pPr>
        <w:pStyle w:val="Default"/>
        <w:rPr>
          <w:bCs/>
          <w:color w:val="auto"/>
          <w:sz w:val="22"/>
          <w:szCs w:val="22"/>
        </w:rPr>
      </w:pPr>
    </w:p>
    <w:p w14:paraId="01F0A80E" w14:textId="77777777" w:rsidR="00973618" w:rsidRPr="009D56B8" w:rsidRDefault="00973618" w:rsidP="00973618">
      <w:pPr>
        <w:pStyle w:val="Default"/>
        <w:rPr>
          <w:bCs/>
          <w:color w:val="auto"/>
          <w:sz w:val="22"/>
          <w:szCs w:val="22"/>
        </w:rPr>
      </w:pPr>
      <w:r w:rsidRPr="009D56B8">
        <w:rPr>
          <w:bCs/>
          <w:color w:val="auto"/>
          <w:sz w:val="22"/>
          <w:szCs w:val="22"/>
        </w:rPr>
        <w:t xml:space="preserve">Accord Healthcare S.L.U. </w:t>
      </w:r>
    </w:p>
    <w:p w14:paraId="086BE114" w14:textId="77777777" w:rsidR="00973618" w:rsidRPr="009D56B8" w:rsidRDefault="00973618" w:rsidP="00973618">
      <w:pPr>
        <w:pStyle w:val="Default"/>
        <w:rPr>
          <w:bCs/>
          <w:color w:val="auto"/>
          <w:sz w:val="22"/>
          <w:szCs w:val="22"/>
          <w:lang w:val="es-ES"/>
        </w:rPr>
      </w:pPr>
      <w:r w:rsidRPr="009D56B8">
        <w:rPr>
          <w:bCs/>
          <w:color w:val="auto"/>
          <w:sz w:val="22"/>
          <w:szCs w:val="22"/>
          <w:lang w:val="es-ES"/>
        </w:rPr>
        <w:t xml:space="preserve">Tel: +34 93 301 00 64 </w:t>
      </w:r>
    </w:p>
    <w:p w14:paraId="2DA67464" w14:textId="77777777" w:rsidR="00973618" w:rsidRPr="009D56B8" w:rsidRDefault="00973618" w:rsidP="00973618">
      <w:pPr>
        <w:pStyle w:val="Default"/>
        <w:rPr>
          <w:color w:val="auto"/>
          <w:sz w:val="22"/>
          <w:szCs w:val="22"/>
          <w:lang w:val="es-ES"/>
        </w:rPr>
      </w:pPr>
    </w:p>
    <w:p w14:paraId="65CBECAB" w14:textId="77777777" w:rsidR="00973618" w:rsidRPr="009D56B8" w:rsidRDefault="00973618" w:rsidP="00973618">
      <w:pPr>
        <w:pStyle w:val="Default"/>
        <w:rPr>
          <w:bCs/>
          <w:color w:val="auto"/>
          <w:sz w:val="22"/>
          <w:szCs w:val="22"/>
          <w:lang w:val="es-ES"/>
        </w:rPr>
      </w:pPr>
      <w:r w:rsidRPr="009D56B8">
        <w:rPr>
          <w:bCs/>
          <w:color w:val="auto"/>
          <w:sz w:val="22"/>
          <w:szCs w:val="22"/>
          <w:lang w:val="es-ES"/>
        </w:rPr>
        <w:t xml:space="preserve">EL </w:t>
      </w:r>
    </w:p>
    <w:p w14:paraId="5B435099" w14:textId="77777777" w:rsidR="00973618" w:rsidRPr="009D56B8" w:rsidRDefault="00973618" w:rsidP="00973618">
      <w:pPr>
        <w:rPr>
          <w:bCs/>
          <w:szCs w:val="22"/>
          <w:lang w:val="el-GR"/>
        </w:rPr>
      </w:pPr>
      <w:r w:rsidRPr="009D56B8">
        <w:rPr>
          <w:bCs/>
          <w:szCs w:val="22"/>
          <w:lang w:val="es-ES"/>
        </w:rPr>
        <w:t xml:space="preserve">Win Medica </w:t>
      </w:r>
      <w:r w:rsidRPr="009D56B8">
        <w:rPr>
          <w:bCs/>
          <w:szCs w:val="22"/>
          <w:lang w:val="el-GR"/>
        </w:rPr>
        <w:t>Α</w:t>
      </w:r>
      <w:r w:rsidRPr="009D56B8">
        <w:rPr>
          <w:bCs/>
          <w:szCs w:val="22"/>
          <w:lang w:val="es-ES_tradnl"/>
        </w:rPr>
        <w:t>.</w:t>
      </w:r>
      <w:r w:rsidRPr="009D56B8">
        <w:rPr>
          <w:bCs/>
          <w:szCs w:val="22"/>
          <w:lang w:val="el-GR"/>
        </w:rPr>
        <w:t>Ε</w:t>
      </w:r>
      <w:r w:rsidRPr="009D56B8">
        <w:rPr>
          <w:bCs/>
          <w:szCs w:val="22"/>
          <w:lang w:val="es-ES_tradnl"/>
        </w:rPr>
        <w:t>.</w:t>
      </w:r>
    </w:p>
    <w:p w14:paraId="7928A118" w14:textId="170B7FD6" w:rsidR="00973618" w:rsidRPr="009D56B8" w:rsidRDefault="00973618" w:rsidP="00447E98">
      <w:pPr>
        <w:rPr>
          <w:bCs/>
          <w:szCs w:val="22"/>
          <w:lang w:val="nb-NO"/>
        </w:rPr>
      </w:pPr>
      <w:r w:rsidRPr="009D56B8">
        <w:rPr>
          <w:bCs/>
          <w:szCs w:val="22"/>
          <w:lang w:val="el-GR"/>
        </w:rPr>
        <w:t>Τηλ</w:t>
      </w:r>
      <w:r w:rsidRPr="009D56B8">
        <w:rPr>
          <w:bCs/>
          <w:szCs w:val="22"/>
          <w:lang w:val="nb-NO"/>
        </w:rPr>
        <w:t>: +30 210 74 88 821</w:t>
      </w:r>
    </w:p>
    <w:p w14:paraId="6A0B9F26" w14:textId="77777777" w:rsidR="005265AD" w:rsidRPr="009D56B8" w:rsidRDefault="005265AD" w:rsidP="00CC6AB1">
      <w:pPr>
        <w:widowControl w:val="0"/>
        <w:tabs>
          <w:tab w:val="clear" w:pos="567"/>
        </w:tabs>
        <w:rPr>
          <w:szCs w:val="22"/>
          <w:lang w:val="nb-NO"/>
        </w:rPr>
      </w:pPr>
    </w:p>
    <w:p w14:paraId="4A451895" w14:textId="5E4D32B5" w:rsidR="00E50867" w:rsidRPr="009D56B8" w:rsidRDefault="00C770E8">
      <w:pPr>
        <w:widowControl w:val="0"/>
        <w:tabs>
          <w:tab w:val="clear" w:pos="567"/>
        </w:tabs>
        <w:ind w:right="-2"/>
        <w:rPr>
          <w:b/>
          <w:szCs w:val="22"/>
          <w:lang w:val="nb-NO"/>
        </w:rPr>
      </w:pPr>
      <w:r w:rsidRPr="009D56B8">
        <w:rPr>
          <w:b/>
          <w:szCs w:val="22"/>
          <w:lang w:val="nb-NO"/>
        </w:rPr>
        <w:t>Dette pakningsvedlegget ble sist oppdatert.</w:t>
      </w:r>
    </w:p>
    <w:p w14:paraId="35C54B68" w14:textId="77777777" w:rsidR="0014340F" w:rsidRPr="009D56B8" w:rsidRDefault="0014340F">
      <w:pPr>
        <w:widowControl w:val="0"/>
        <w:ind w:right="-2"/>
        <w:rPr>
          <w:szCs w:val="22"/>
          <w:lang w:val="nb-NO"/>
        </w:rPr>
      </w:pPr>
    </w:p>
    <w:p w14:paraId="6DAD0996" w14:textId="2B599712" w:rsidR="00E50867" w:rsidRPr="009D56B8" w:rsidDel="00F70750" w:rsidRDefault="00C770E8">
      <w:pPr>
        <w:widowControl w:val="0"/>
        <w:ind w:right="-2"/>
        <w:rPr>
          <w:del w:id="37" w:author="Gita Baryalai" w:date="2025-08-01T11:07:00Z" w16du:dateUtc="2025-08-01T09:07:00Z"/>
          <w:lang w:val="nb-NO"/>
        </w:rPr>
      </w:pPr>
      <w:r w:rsidRPr="009D56B8">
        <w:rPr>
          <w:szCs w:val="22"/>
          <w:lang w:val="nb-NO"/>
        </w:rPr>
        <w:t xml:space="preserve">Detaljert informasjon om dette legemidlet er tilgjengelig på nettstedet til Det europeiske legemiddelkontoret (the European Medicines Agency): </w:t>
      </w:r>
      <w:hyperlink r:id="rId17" w:history="1">
        <w:r w:rsidR="00BD39C9" w:rsidRPr="009D56B8">
          <w:rPr>
            <w:rStyle w:val="Hyperlink"/>
            <w:color w:val="auto"/>
            <w:lang w:val="nb-NO"/>
          </w:rPr>
          <w:t>https://www.ema.europa.eu</w:t>
        </w:r>
      </w:hyperlink>
      <w:r w:rsidRPr="009D56B8">
        <w:rPr>
          <w:lang w:val="nb-NO"/>
        </w:rPr>
        <w:t>, og på nettstedet til</w:t>
      </w:r>
      <w:r w:rsidRPr="009D56B8">
        <w:rPr>
          <w:u w:val="single"/>
          <w:lang w:val="nb-NO"/>
        </w:rPr>
        <w:t xml:space="preserve"> </w:t>
      </w:r>
      <w:r>
        <w:fldChar w:fldCharType="begin"/>
      </w:r>
      <w:r w:rsidRPr="00BB3B76">
        <w:rPr>
          <w:lang w:val="nn-NO"/>
          <w:rPrChange w:id="38" w:author="Gita Baryalai" w:date="2025-08-01T11:06:00Z" w16du:dateUtc="2025-08-01T09:06:00Z">
            <w:rPr/>
          </w:rPrChange>
        </w:rPr>
        <w:instrText>HYPERLINK "http://www.felleskatalogen.no"</w:instrText>
      </w:r>
      <w:r>
        <w:fldChar w:fldCharType="separate"/>
      </w:r>
      <w:r w:rsidRPr="009D56B8">
        <w:rPr>
          <w:rStyle w:val="Hyperlink"/>
          <w:color w:val="auto"/>
          <w:lang w:val="nb-NO"/>
        </w:rPr>
        <w:t>www.felleskatalogen.no</w:t>
      </w:r>
      <w:r>
        <w:fldChar w:fldCharType="end"/>
      </w:r>
      <w:r w:rsidRPr="009D56B8">
        <w:rPr>
          <w:lang w:val="nb-NO"/>
        </w:rPr>
        <w:t>.</w:t>
      </w:r>
    </w:p>
    <w:p w14:paraId="6C75477C" w14:textId="39C19879" w:rsidR="00E50867" w:rsidRPr="009D56B8" w:rsidRDefault="00E50867">
      <w:pPr>
        <w:widowControl w:val="0"/>
        <w:ind w:right="-2"/>
        <w:rPr>
          <w:szCs w:val="22"/>
          <w:lang w:val="nb-NO"/>
        </w:rPr>
      </w:pPr>
    </w:p>
    <w:sectPr w:rsidR="00E50867" w:rsidRPr="009D56B8" w:rsidSect="00B540F6">
      <w:headerReference w:type="even" r:id="rId18"/>
      <w:headerReference w:type="default" r:id="rId19"/>
      <w:footerReference w:type="even" r:id="rId20"/>
      <w:footerReference w:type="default" r:id="rId21"/>
      <w:headerReference w:type="first" r:id="rId22"/>
      <w:footerReference w:type="first" r:id="rId23"/>
      <w:pgSz w:w="11906" w:h="16838" w:code="9"/>
      <w:pgMar w:top="1138" w:right="1411" w:bottom="1138" w:left="1411" w:header="734" w:footer="7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2E72" w14:textId="77777777" w:rsidR="00185E60" w:rsidRDefault="00185E60">
      <w:r>
        <w:separator/>
      </w:r>
    </w:p>
  </w:endnote>
  <w:endnote w:type="continuationSeparator" w:id="0">
    <w:p w14:paraId="1A7CCC0A" w14:textId="77777777" w:rsidR="00185E60" w:rsidRDefault="00185E60">
      <w:r>
        <w:continuationSeparator/>
      </w:r>
    </w:p>
  </w:endnote>
  <w:endnote w:type="continuationNotice" w:id="1">
    <w:p w14:paraId="30C7CFCA" w14:textId="77777777" w:rsidR="00185E60" w:rsidRDefault="00185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00"/>
    <w:family w:val="swiss"/>
    <w:pitch w:val="variable"/>
    <w:sig w:usb0="E7002EFF" w:usb1="D200FDFF" w:usb2="0A246029" w:usb3="00000000" w:csb0="000001FF" w:csb1="00000000"/>
  </w:font>
  <w:font w:name="Tunga">
    <w:panose1 w:val="00000400000000000000"/>
    <w:charset w:val="00"/>
    <w:family w:val="swiss"/>
    <w:pitch w:val="variable"/>
    <w:sig w:usb0="004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EFAE" w14:textId="3E95F671" w:rsidR="003C5050" w:rsidRDefault="003C5050">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EB22F6">
      <w:rPr>
        <w:rStyle w:val="PageNumber"/>
        <w:noProof/>
        <w:szCs w:val="24"/>
      </w:rPr>
      <w:t>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6886" w14:textId="77777777" w:rsidR="003C5050" w:rsidRDefault="003C50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234E" w14:textId="0BFCAD6D" w:rsidR="003C5050" w:rsidRDefault="003C5050">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EB22F6">
      <w:rPr>
        <w:rStyle w:val="PageNumber"/>
        <w:noProof/>
        <w:szCs w:val="24"/>
      </w:rPr>
      <w:t>34</w:t>
    </w:r>
    <w:r>
      <w:rPr>
        <w:rStyle w:val="PageNumbe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8449" w14:textId="77777777" w:rsidR="003C5050" w:rsidRDefault="003C50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CA33" w14:textId="77777777" w:rsidR="00185E60" w:rsidRDefault="00185E60">
      <w:r>
        <w:separator/>
      </w:r>
    </w:p>
  </w:footnote>
  <w:footnote w:type="continuationSeparator" w:id="0">
    <w:p w14:paraId="23699376" w14:textId="77777777" w:rsidR="00185E60" w:rsidRDefault="00185E60">
      <w:r>
        <w:continuationSeparator/>
      </w:r>
    </w:p>
  </w:footnote>
  <w:footnote w:type="continuationNotice" w:id="1">
    <w:p w14:paraId="67E0DB2F" w14:textId="77777777" w:rsidR="00185E60" w:rsidRDefault="00185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EE39" w14:textId="77777777" w:rsidR="003C5050" w:rsidRDefault="003C50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507E" w14:textId="77777777" w:rsidR="003C5050" w:rsidRDefault="003C50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C784" w14:textId="77777777" w:rsidR="003C5050" w:rsidRDefault="003C50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413910571" o:spid="_x0000_i1026" type="#_x0000_t75" style="width:14.25pt;height:14.25pt;visibility:visible;mso-wrap-style:square" o:bullet="t">
        <v:imagedata r:id="rId1" o:title=""/>
      </v:shape>
    </w:pict>
  </w:numPicBullet>
  <w:abstractNum w:abstractNumId="0" w15:restartNumberingAfterBreak="0">
    <w:nsid w:val="FFFFFF7C"/>
    <w:multiLevelType w:val="singleLevel"/>
    <w:tmpl w:val="7862DF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8EE7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BCBE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2698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3ABE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4A3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3664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D867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F41B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3AB6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5290E148"/>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FFFFFFFF"/>
    <w:lvl w:ilvl="0">
      <w:start w:val="1"/>
      <w:numFmt w:val="bullet"/>
      <w:lvlText w:val="-"/>
      <w:lvlJc w:val="left"/>
      <w:pPr>
        <w:ind w:left="720" w:hanging="360"/>
      </w:pPr>
    </w:lvl>
  </w:abstractNum>
  <w:abstractNum w:abstractNumId="1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39238B8"/>
    <w:multiLevelType w:val="hybridMultilevel"/>
    <w:tmpl w:val="306C1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C44CC1"/>
    <w:multiLevelType w:val="hybridMultilevel"/>
    <w:tmpl w:val="1236E1C0"/>
    <w:lvl w:ilvl="0" w:tplc="119E32D8">
      <w:start w:val="1"/>
      <w:numFmt w:val="bullet"/>
      <w:lvlText w:val=""/>
      <w:lvlJc w:val="left"/>
      <w:pPr>
        <w:tabs>
          <w:tab w:val="num" w:pos="720"/>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535A37"/>
    <w:multiLevelType w:val="hybridMultilevel"/>
    <w:tmpl w:val="818C3A5A"/>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2783086C"/>
    <w:multiLevelType w:val="hybridMultilevel"/>
    <w:tmpl w:val="33F22F02"/>
    <w:lvl w:ilvl="0" w:tplc="5E38068A">
      <w:start w:val="1"/>
      <w:numFmt w:val="bullet"/>
      <w:lvlText w:val=""/>
      <w:lvlJc w:val="left"/>
      <w:pPr>
        <w:ind w:left="1134" w:hanging="56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9571D6A"/>
    <w:multiLevelType w:val="hybridMultilevel"/>
    <w:tmpl w:val="60565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DA4373"/>
    <w:multiLevelType w:val="hybridMultilevel"/>
    <w:tmpl w:val="862CDC7E"/>
    <w:lvl w:ilvl="0" w:tplc="9012AFB0">
      <w:start w:val="1"/>
      <w:numFmt w:val="bullet"/>
      <w:lvlText w:val=""/>
      <w:lvlPicBulletId w:val="0"/>
      <w:lvlJc w:val="left"/>
      <w:pPr>
        <w:tabs>
          <w:tab w:val="num" w:pos="720"/>
        </w:tabs>
        <w:ind w:left="720" w:hanging="360"/>
      </w:pPr>
      <w:rPr>
        <w:rFonts w:ascii="Symbol" w:hAnsi="Symbol" w:hint="default"/>
      </w:rPr>
    </w:lvl>
    <w:lvl w:ilvl="1" w:tplc="71DA2876" w:tentative="1">
      <w:start w:val="1"/>
      <w:numFmt w:val="bullet"/>
      <w:lvlText w:val=""/>
      <w:lvlJc w:val="left"/>
      <w:pPr>
        <w:tabs>
          <w:tab w:val="num" w:pos="1440"/>
        </w:tabs>
        <w:ind w:left="1440" w:hanging="360"/>
      </w:pPr>
      <w:rPr>
        <w:rFonts w:ascii="Symbol" w:hAnsi="Symbol" w:hint="default"/>
      </w:rPr>
    </w:lvl>
    <w:lvl w:ilvl="2" w:tplc="C56C369E" w:tentative="1">
      <w:start w:val="1"/>
      <w:numFmt w:val="bullet"/>
      <w:lvlText w:val=""/>
      <w:lvlJc w:val="left"/>
      <w:pPr>
        <w:tabs>
          <w:tab w:val="num" w:pos="2160"/>
        </w:tabs>
        <w:ind w:left="2160" w:hanging="360"/>
      </w:pPr>
      <w:rPr>
        <w:rFonts w:ascii="Symbol" w:hAnsi="Symbol" w:hint="default"/>
      </w:rPr>
    </w:lvl>
    <w:lvl w:ilvl="3" w:tplc="9A42843E" w:tentative="1">
      <w:start w:val="1"/>
      <w:numFmt w:val="bullet"/>
      <w:lvlText w:val=""/>
      <w:lvlJc w:val="left"/>
      <w:pPr>
        <w:tabs>
          <w:tab w:val="num" w:pos="2880"/>
        </w:tabs>
        <w:ind w:left="2880" w:hanging="360"/>
      </w:pPr>
      <w:rPr>
        <w:rFonts w:ascii="Symbol" w:hAnsi="Symbol" w:hint="default"/>
      </w:rPr>
    </w:lvl>
    <w:lvl w:ilvl="4" w:tplc="B640531C" w:tentative="1">
      <w:start w:val="1"/>
      <w:numFmt w:val="bullet"/>
      <w:lvlText w:val=""/>
      <w:lvlJc w:val="left"/>
      <w:pPr>
        <w:tabs>
          <w:tab w:val="num" w:pos="3600"/>
        </w:tabs>
        <w:ind w:left="3600" w:hanging="360"/>
      </w:pPr>
      <w:rPr>
        <w:rFonts w:ascii="Symbol" w:hAnsi="Symbol" w:hint="default"/>
      </w:rPr>
    </w:lvl>
    <w:lvl w:ilvl="5" w:tplc="F276639E" w:tentative="1">
      <w:start w:val="1"/>
      <w:numFmt w:val="bullet"/>
      <w:lvlText w:val=""/>
      <w:lvlJc w:val="left"/>
      <w:pPr>
        <w:tabs>
          <w:tab w:val="num" w:pos="4320"/>
        </w:tabs>
        <w:ind w:left="4320" w:hanging="360"/>
      </w:pPr>
      <w:rPr>
        <w:rFonts w:ascii="Symbol" w:hAnsi="Symbol" w:hint="default"/>
      </w:rPr>
    </w:lvl>
    <w:lvl w:ilvl="6" w:tplc="334AEF0C" w:tentative="1">
      <w:start w:val="1"/>
      <w:numFmt w:val="bullet"/>
      <w:lvlText w:val=""/>
      <w:lvlJc w:val="left"/>
      <w:pPr>
        <w:tabs>
          <w:tab w:val="num" w:pos="5040"/>
        </w:tabs>
        <w:ind w:left="5040" w:hanging="360"/>
      </w:pPr>
      <w:rPr>
        <w:rFonts w:ascii="Symbol" w:hAnsi="Symbol" w:hint="default"/>
      </w:rPr>
    </w:lvl>
    <w:lvl w:ilvl="7" w:tplc="60DEA7C6" w:tentative="1">
      <w:start w:val="1"/>
      <w:numFmt w:val="bullet"/>
      <w:lvlText w:val=""/>
      <w:lvlJc w:val="left"/>
      <w:pPr>
        <w:tabs>
          <w:tab w:val="num" w:pos="5760"/>
        </w:tabs>
        <w:ind w:left="5760" w:hanging="360"/>
      </w:pPr>
      <w:rPr>
        <w:rFonts w:ascii="Symbol" w:hAnsi="Symbol" w:hint="default"/>
      </w:rPr>
    </w:lvl>
    <w:lvl w:ilvl="8" w:tplc="C444D6D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314FA"/>
    <w:multiLevelType w:val="hybridMultilevel"/>
    <w:tmpl w:val="FB3E413E"/>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A0F6929"/>
    <w:multiLevelType w:val="hybridMultilevel"/>
    <w:tmpl w:val="D91EF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B567E"/>
    <w:multiLevelType w:val="hybridMultilevel"/>
    <w:tmpl w:val="B5FE5336"/>
    <w:lvl w:ilvl="0" w:tplc="10000001">
      <w:start w:val="1"/>
      <w:numFmt w:val="bullet"/>
      <w:lvlText w:val=""/>
      <w:lvlJc w:val="left"/>
      <w:pPr>
        <w:ind w:left="1077" w:hanging="360"/>
      </w:pPr>
      <w:rPr>
        <w:rFonts w:ascii="Symbol" w:hAnsi="Symbol" w:hint="default"/>
      </w:rPr>
    </w:lvl>
    <w:lvl w:ilvl="1" w:tplc="10000003" w:tentative="1">
      <w:start w:val="1"/>
      <w:numFmt w:val="bullet"/>
      <w:lvlText w:val="o"/>
      <w:lvlJc w:val="left"/>
      <w:pPr>
        <w:ind w:left="1797" w:hanging="360"/>
      </w:pPr>
      <w:rPr>
        <w:rFonts w:ascii="Courier New" w:hAnsi="Courier New" w:cs="Courier New" w:hint="default"/>
      </w:rPr>
    </w:lvl>
    <w:lvl w:ilvl="2" w:tplc="10000005" w:tentative="1">
      <w:start w:val="1"/>
      <w:numFmt w:val="bullet"/>
      <w:lvlText w:val=""/>
      <w:lvlJc w:val="left"/>
      <w:pPr>
        <w:ind w:left="2517" w:hanging="360"/>
      </w:pPr>
      <w:rPr>
        <w:rFonts w:ascii="Wingdings" w:hAnsi="Wingdings" w:hint="default"/>
      </w:rPr>
    </w:lvl>
    <w:lvl w:ilvl="3" w:tplc="10000001" w:tentative="1">
      <w:start w:val="1"/>
      <w:numFmt w:val="bullet"/>
      <w:lvlText w:val=""/>
      <w:lvlJc w:val="left"/>
      <w:pPr>
        <w:ind w:left="3237" w:hanging="360"/>
      </w:pPr>
      <w:rPr>
        <w:rFonts w:ascii="Symbol" w:hAnsi="Symbol" w:hint="default"/>
      </w:rPr>
    </w:lvl>
    <w:lvl w:ilvl="4" w:tplc="10000003" w:tentative="1">
      <w:start w:val="1"/>
      <w:numFmt w:val="bullet"/>
      <w:lvlText w:val="o"/>
      <w:lvlJc w:val="left"/>
      <w:pPr>
        <w:ind w:left="3957" w:hanging="360"/>
      </w:pPr>
      <w:rPr>
        <w:rFonts w:ascii="Courier New" w:hAnsi="Courier New" w:cs="Courier New" w:hint="default"/>
      </w:rPr>
    </w:lvl>
    <w:lvl w:ilvl="5" w:tplc="10000005" w:tentative="1">
      <w:start w:val="1"/>
      <w:numFmt w:val="bullet"/>
      <w:lvlText w:val=""/>
      <w:lvlJc w:val="left"/>
      <w:pPr>
        <w:ind w:left="4677" w:hanging="360"/>
      </w:pPr>
      <w:rPr>
        <w:rFonts w:ascii="Wingdings" w:hAnsi="Wingdings" w:hint="default"/>
      </w:rPr>
    </w:lvl>
    <w:lvl w:ilvl="6" w:tplc="10000001" w:tentative="1">
      <w:start w:val="1"/>
      <w:numFmt w:val="bullet"/>
      <w:lvlText w:val=""/>
      <w:lvlJc w:val="left"/>
      <w:pPr>
        <w:ind w:left="5397" w:hanging="360"/>
      </w:pPr>
      <w:rPr>
        <w:rFonts w:ascii="Symbol" w:hAnsi="Symbol" w:hint="default"/>
      </w:rPr>
    </w:lvl>
    <w:lvl w:ilvl="7" w:tplc="10000003" w:tentative="1">
      <w:start w:val="1"/>
      <w:numFmt w:val="bullet"/>
      <w:lvlText w:val="o"/>
      <w:lvlJc w:val="left"/>
      <w:pPr>
        <w:ind w:left="6117" w:hanging="360"/>
      </w:pPr>
      <w:rPr>
        <w:rFonts w:ascii="Courier New" w:hAnsi="Courier New" w:cs="Courier New" w:hint="default"/>
      </w:rPr>
    </w:lvl>
    <w:lvl w:ilvl="8" w:tplc="10000005" w:tentative="1">
      <w:start w:val="1"/>
      <w:numFmt w:val="bullet"/>
      <w:lvlText w:val=""/>
      <w:lvlJc w:val="left"/>
      <w:pPr>
        <w:ind w:left="6837" w:hanging="360"/>
      </w:pPr>
      <w:rPr>
        <w:rFonts w:ascii="Wingdings" w:hAnsi="Wingdings" w:hint="default"/>
      </w:rPr>
    </w:lvl>
  </w:abstractNum>
  <w:abstractNum w:abstractNumId="30"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webHidden w:val="0"/>
        <w:color w:val="000000"/>
        <w:sz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CF73D10"/>
    <w:multiLevelType w:val="hybridMultilevel"/>
    <w:tmpl w:val="C2002C6A"/>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49B4FFB"/>
    <w:multiLevelType w:val="hybridMultilevel"/>
    <w:tmpl w:val="4A3A1D08"/>
    <w:lvl w:ilvl="0" w:tplc="07660DD6">
      <w:start w:val="1"/>
      <w:numFmt w:val="bullet"/>
      <w:lvlText w:val=""/>
      <w:lvlPicBulletId w:val="0"/>
      <w:lvlJc w:val="left"/>
      <w:pPr>
        <w:tabs>
          <w:tab w:val="num" w:pos="720"/>
        </w:tabs>
        <w:ind w:left="720" w:hanging="360"/>
      </w:pPr>
      <w:rPr>
        <w:rFonts w:ascii="Symbol" w:hAnsi="Symbol" w:hint="default"/>
      </w:rPr>
    </w:lvl>
    <w:lvl w:ilvl="1" w:tplc="0ACEFF6C" w:tentative="1">
      <w:start w:val="1"/>
      <w:numFmt w:val="bullet"/>
      <w:lvlText w:val=""/>
      <w:lvlJc w:val="left"/>
      <w:pPr>
        <w:tabs>
          <w:tab w:val="num" w:pos="1440"/>
        </w:tabs>
        <w:ind w:left="1440" w:hanging="360"/>
      </w:pPr>
      <w:rPr>
        <w:rFonts w:ascii="Symbol" w:hAnsi="Symbol" w:hint="default"/>
      </w:rPr>
    </w:lvl>
    <w:lvl w:ilvl="2" w:tplc="78967306" w:tentative="1">
      <w:start w:val="1"/>
      <w:numFmt w:val="bullet"/>
      <w:lvlText w:val=""/>
      <w:lvlJc w:val="left"/>
      <w:pPr>
        <w:tabs>
          <w:tab w:val="num" w:pos="2160"/>
        </w:tabs>
        <w:ind w:left="2160" w:hanging="360"/>
      </w:pPr>
      <w:rPr>
        <w:rFonts w:ascii="Symbol" w:hAnsi="Symbol" w:hint="default"/>
      </w:rPr>
    </w:lvl>
    <w:lvl w:ilvl="3" w:tplc="512EE878" w:tentative="1">
      <w:start w:val="1"/>
      <w:numFmt w:val="bullet"/>
      <w:lvlText w:val=""/>
      <w:lvlJc w:val="left"/>
      <w:pPr>
        <w:tabs>
          <w:tab w:val="num" w:pos="2880"/>
        </w:tabs>
        <w:ind w:left="2880" w:hanging="360"/>
      </w:pPr>
      <w:rPr>
        <w:rFonts w:ascii="Symbol" w:hAnsi="Symbol" w:hint="default"/>
      </w:rPr>
    </w:lvl>
    <w:lvl w:ilvl="4" w:tplc="EBCA6334" w:tentative="1">
      <w:start w:val="1"/>
      <w:numFmt w:val="bullet"/>
      <w:lvlText w:val=""/>
      <w:lvlJc w:val="left"/>
      <w:pPr>
        <w:tabs>
          <w:tab w:val="num" w:pos="3600"/>
        </w:tabs>
        <w:ind w:left="3600" w:hanging="360"/>
      </w:pPr>
      <w:rPr>
        <w:rFonts w:ascii="Symbol" w:hAnsi="Symbol" w:hint="default"/>
      </w:rPr>
    </w:lvl>
    <w:lvl w:ilvl="5" w:tplc="1C9012FC" w:tentative="1">
      <w:start w:val="1"/>
      <w:numFmt w:val="bullet"/>
      <w:lvlText w:val=""/>
      <w:lvlJc w:val="left"/>
      <w:pPr>
        <w:tabs>
          <w:tab w:val="num" w:pos="4320"/>
        </w:tabs>
        <w:ind w:left="4320" w:hanging="360"/>
      </w:pPr>
      <w:rPr>
        <w:rFonts w:ascii="Symbol" w:hAnsi="Symbol" w:hint="default"/>
      </w:rPr>
    </w:lvl>
    <w:lvl w:ilvl="6" w:tplc="B09A9AD6" w:tentative="1">
      <w:start w:val="1"/>
      <w:numFmt w:val="bullet"/>
      <w:lvlText w:val=""/>
      <w:lvlJc w:val="left"/>
      <w:pPr>
        <w:tabs>
          <w:tab w:val="num" w:pos="5040"/>
        </w:tabs>
        <w:ind w:left="5040" w:hanging="360"/>
      </w:pPr>
      <w:rPr>
        <w:rFonts w:ascii="Symbol" w:hAnsi="Symbol" w:hint="default"/>
      </w:rPr>
    </w:lvl>
    <w:lvl w:ilvl="7" w:tplc="77DCC7E6" w:tentative="1">
      <w:start w:val="1"/>
      <w:numFmt w:val="bullet"/>
      <w:lvlText w:val=""/>
      <w:lvlJc w:val="left"/>
      <w:pPr>
        <w:tabs>
          <w:tab w:val="num" w:pos="5760"/>
        </w:tabs>
        <w:ind w:left="5760" w:hanging="360"/>
      </w:pPr>
      <w:rPr>
        <w:rFonts w:ascii="Symbol" w:hAnsi="Symbol" w:hint="default"/>
      </w:rPr>
    </w:lvl>
    <w:lvl w:ilvl="8" w:tplc="4780543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D7FF8"/>
    <w:multiLevelType w:val="hybridMultilevel"/>
    <w:tmpl w:val="81FAEBA8"/>
    <w:lvl w:ilvl="0" w:tplc="52A286E4">
      <w:numFmt w:val="bullet"/>
      <w:lvlText w:val="–"/>
      <w:lvlJc w:val="left"/>
      <w:pPr>
        <w:ind w:left="930" w:hanging="360"/>
      </w:pPr>
      <w:rPr>
        <w:rFonts w:ascii="Calibri" w:eastAsia="Times New Roman" w:hAnsi="Calibri" w:cs="Arial" w:hint="default"/>
      </w:rPr>
    </w:lvl>
    <w:lvl w:ilvl="1" w:tplc="04140003" w:tentative="1">
      <w:start w:val="1"/>
      <w:numFmt w:val="bullet"/>
      <w:lvlText w:val="o"/>
      <w:lvlJc w:val="left"/>
      <w:pPr>
        <w:ind w:left="1650" w:hanging="360"/>
      </w:pPr>
      <w:rPr>
        <w:rFonts w:ascii="Courier New" w:hAnsi="Courier New" w:cs="Courier New" w:hint="default"/>
      </w:rPr>
    </w:lvl>
    <w:lvl w:ilvl="2" w:tplc="04140005" w:tentative="1">
      <w:start w:val="1"/>
      <w:numFmt w:val="bullet"/>
      <w:lvlText w:val=""/>
      <w:lvlJc w:val="left"/>
      <w:pPr>
        <w:ind w:left="2370" w:hanging="360"/>
      </w:pPr>
      <w:rPr>
        <w:rFonts w:ascii="Wingdings" w:hAnsi="Wingdings" w:hint="default"/>
      </w:rPr>
    </w:lvl>
    <w:lvl w:ilvl="3" w:tplc="04140001" w:tentative="1">
      <w:start w:val="1"/>
      <w:numFmt w:val="bullet"/>
      <w:lvlText w:val=""/>
      <w:lvlJc w:val="left"/>
      <w:pPr>
        <w:ind w:left="3090" w:hanging="360"/>
      </w:pPr>
      <w:rPr>
        <w:rFonts w:ascii="Symbol" w:hAnsi="Symbol" w:hint="default"/>
      </w:rPr>
    </w:lvl>
    <w:lvl w:ilvl="4" w:tplc="04140003" w:tentative="1">
      <w:start w:val="1"/>
      <w:numFmt w:val="bullet"/>
      <w:lvlText w:val="o"/>
      <w:lvlJc w:val="left"/>
      <w:pPr>
        <w:ind w:left="3810" w:hanging="360"/>
      </w:pPr>
      <w:rPr>
        <w:rFonts w:ascii="Courier New" w:hAnsi="Courier New" w:cs="Courier New" w:hint="default"/>
      </w:rPr>
    </w:lvl>
    <w:lvl w:ilvl="5" w:tplc="04140005" w:tentative="1">
      <w:start w:val="1"/>
      <w:numFmt w:val="bullet"/>
      <w:lvlText w:val=""/>
      <w:lvlJc w:val="left"/>
      <w:pPr>
        <w:ind w:left="4530" w:hanging="360"/>
      </w:pPr>
      <w:rPr>
        <w:rFonts w:ascii="Wingdings" w:hAnsi="Wingdings" w:hint="default"/>
      </w:rPr>
    </w:lvl>
    <w:lvl w:ilvl="6" w:tplc="04140001" w:tentative="1">
      <w:start w:val="1"/>
      <w:numFmt w:val="bullet"/>
      <w:lvlText w:val=""/>
      <w:lvlJc w:val="left"/>
      <w:pPr>
        <w:ind w:left="5250" w:hanging="360"/>
      </w:pPr>
      <w:rPr>
        <w:rFonts w:ascii="Symbol" w:hAnsi="Symbol" w:hint="default"/>
      </w:rPr>
    </w:lvl>
    <w:lvl w:ilvl="7" w:tplc="04140003" w:tentative="1">
      <w:start w:val="1"/>
      <w:numFmt w:val="bullet"/>
      <w:lvlText w:val="o"/>
      <w:lvlJc w:val="left"/>
      <w:pPr>
        <w:ind w:left="5970" w:hanging="360"/>
      </w:pPr>
      <w:rPr>
        <w:rFonts w:ascii="Courier New" w:hAnsi="Courier New" w:cs="Courier New" w:hint="default"/>
      </w:rPr>
    </w:lvl>
    <w:lvl w:ilvl="8" w:tplc="04140005" w:tentative="1">
      <w:start w:val="1"/>
      <w:numFmt w:val="bullet"/>
      <w:lvlText w:val=""/>
      <w:lvlJc w:val="left"/>
      <w:pPr>
        <w:ind w:left="6690" w:hanging="360"/>
      </w:pPr>
      <w:rPr>
        <w:rFonts w:ascii="Wingdings" w:hAnsi="Wingdings" w:hint="default"/>
      </w:rPr>
    </w:lvl>
  </w:abstractNum>
  <w:abstractNum w:abstractNumId="35" w15:restartNumberingAfterBreak="0">
    <w:nsid w:val="6CB51816"/>
    <w:multiLevelType w:val="multilevel"/>
    <w:tmpl w:val="8138B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3C5512"/>
    <w:multiLevelType w:val="hybridMultilevel"/>
    <w:tmpl w:val="2A7AF48E"/>
    <w:lvl w:ilvl="0" w:tplc="8624A244">
      <w:start w:val="1"/>
      <w:numFmt w:val="bullet"/>
      <w:lvlText w:val=""/>
      <w:lvlPicBulletId w:val="0"/>
      <w:lvlJc w:val="left"/>
      <w:pPr>
        <w:tabs>
          <w:tab w:val="num" w:pos="720"/>
        </w:tabs>
        <w:ind w:left="720" w:hanging="360"/>
      </w:pPr>
      <w:rPr>
        <w:rFonts w:ascii="Symbol" w:hAnsi="Symbol" w:hint="default"/>
      </w:rPr>
    </w:lvl>
    <w:lvl w:ilvl="1" w:tplc="9F96E592" w:tentative="1">
      <w:start w:val="1"/>
      <w:numFmt w:val="bullet"/>
      <w:lvlText w:val=""/>
      <w:lvlJc w:val="left"/>
      <w:pPr>
        <w:tabs>
          <w:tab w:val="num" w:pos="1440"/>
        </w:tabs>
        <w:ind w:left="1440" w:hanging="360"/>
      </w:pPr>
      <w:rPr>
        <w:rFonts w:ascii="Symbol" w:hAnsi="Symbol" w:hint="default"/>
      </w:rPr>
    </w:lvl>
    <w:lvl w:ilvl="2" w:tplc="971EE968" w:tentative="1">
      <w:start w:val="1"/>
      <w:numFmt w:val="bullet"/>
      <w:lvlText w:val=""/>
      <w:lvlJc w:val="left"/>
      <w:pPr>
        <w:tabs>
          <w:tab w:val="num" w:pos="2160"/>
        </w:tabs>
        <w:ind w:left="2160" w:hanging="360"/>
      </w:pPr>
      <w:rPr>
        <w:rFonts w:ascii="Symbol" w:hAnsi="Symbol" w:hint="default"/>
      </w:rPr>
    </w:lvl>
    <w:lvl w:ilvl="3" w:tplc="E51E42A6" w:tentative="1">
      <w:start w:val="1"/>
      <w:numFmt w:val="bullet"/>
      <w:lvlText w:val=""/>
      <w:lvlJc w:val="left"/>
      <w:pPr>
        <w:tabs>
          <w:tab w:val="num" w:pos="2880"/>
        </w:tabs>
        <w:ind w:left="2880" w:hanging="360"/>
      </w:pPr>
      <w:rPr>
        <w:rFonts w:ascii="Symbol" w:hAnsi="Symbol" w:hint="default"/>
      </w:rPr>
    </w:lvl>
    <w:lvl w:ilvl="4" w:tplc="2710025E" w:tentative="1">
      <w:start w:val="1"/>
      <w:numFmt w:val="bullet"/>
      <w:lvlText w:val=""/>
      <w:lvlJc w:val="left"/>
      <w:pPr>
        <w:tabs>
          <w:tab w:val="num" w:pos="3600"/>
        </w:tabs>
        <w:ind w:left="3600" w:hanging="360"/>
      </w:pPr>
      <w:rPr>
        <w:rFonts w:ascii="Symbol" w:hAnsi="Symbol" w:hint="default"/>
      </w:rPr>
    </w:lvl>
    <w:lvl w:ilvl="5" w:tplc="3744B32E" w:tentative="1">
      <w:start w:val="1"/>
      <w:numFmt w:val="bullet"/>
      <w:lvlText w:val=""/>
      <w:lvlJc w:val="left"/>
      <w:pPr>
        <w:tabs>
          <w:tab w:val="num" w:pos="4320"/>
        </w:tabs>
        <w:ind w:left="4320" w:hanging="360"/>
      </w:pPr>
      <w:rPr>
        <w:rFonts w:ascii="Symbol" w:hAnsi="Symbol" w:hint="default"/>
      </w:rPr>
    </w:lvl>
    <w:lvl w:ilvl="6" w:tplc="8C426316" w:tentative="1">
      <w:start w:val="1"/>
      <w:numFmt w:val="bullet"/>
      <w:lvlText w:val=""/>
      <w:lvlJc w:val="left"/>
      <w:pPr>
        <w:tabs>
          <w:tab w:val="num" w:pos="5040"/>
        </w:tabs>
        <w:ind w:left="5040" w:hanging="360"/>
      </w:pPr>
      <w:rPr>
        <w:rFonts w:ascii="Symbol" w:hAnsi="Symbol" w:hint="default"/>
      </w:rPr>
    </w:lvl>
    <w:lvl w:ilvl="7" w:tplc="C8A628B2" w:tentative="1">
      <w:start w:val="1"/>
      <w:numFmt w:val="bullet"/>
      <w:lvlText w:val=""/>
      <w:lvlJc w:val="left"/>
      <w:pPr>
        <w:tabs>
          <w:tab w:val="num" w:pos="5760"/>
        </w:tabs>
        <w:ind w:left="5760" w:hanging="360"/>
      </w:pPr>
      <w:rPr>
        <w:rFonts w:ascii="Symbol" w:hAnsi="Symbol" w:hint="default"/>
      </w:rPr>
    </w:lvl>
    <w:lvl w:ilvl="8" w:tplc="B0B0D2A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D5814B3"/>
    <w:multiLevelType w:val="hybridMultilevel"/>
    <w:tmpl w:val="7A3A77E6"/>
    <w:lvl w:ilvl="0" w:tplc="169006D8">
      <w:start w:val="1"/>
      <w:numFmt w:val="bullet"/>
      <w:lvlText w:val=""/>
      <w:lvlPicBulletId w:val="0"/>
      <w:lvlJc w:val="left"/>
      <w:pPr>
        <w:tabs>
          <w:tab w:val="num" w:pos="720"/>
        </w:tabs>
        <w:ind w:left="720" w:hanging="360"/>
      </w:pPr>
      <w:rPr>
        <w:rFonts w:ascii="Symbol" w:hAnsi="Symbol" w:hint="default"/>
      </w:rPr>
    </w:lvl>
    <w:lvl w:ilvl="1" w:tplc="A5CC2CAC" w:tentative="1">
      <w:start w:val="1"/>
      <w:numFmt w:val="bullet"/>
      <w:lvlText w:val=""/>
      <w:lvlJc w:val="left"/>
      <w:pPr>
        <w:tabs>
          <w:tab w:val="num" w:pos="1440"/>
        </w:tabs>
        <w:ind w:left="1440" w:hanging="360"/>
      </w:pPr>
      <w:rPr>
        <w:rFonts w:ascii="Symbol" w:hAnsi="Symbol" w:hint="default"/>
      </w:rPr>
    </w:lvl>
    <w:lvl w:ilvl="2" w:tplc="207ED322" w:tentative="1">
      <w:start w:val="1"/>
      <w:numFmt w:val="bullet"/>
      <w:lvlText w:val=""/>
      <w:lvlJc w:val="left"/>
      <w:pPr>
        <w:tabs>
          <w:tab w:val="num" w:pos="2160"/>
        </w:tabs>
        <w:ind w:left="2160" w:hanging="360"/>
      </w:pPr>
      <w:rPr>
        <w:rFonts w:ascii="Symbol" w:hAnsi="Symbol" w:hint="default"/>
      </w:rPr>
    </w:lvl>
    <w:lvl w:ilvl="3" w:tplc="37DA28BE" w:tentative="1">
      <w:start w:val="1"/>
      <w:numFmt w:val="bullet"/>
      <w:lvlText w:val=""/>
      <w:lvlJc w:val="left"/>
      <w:pPr>
        <w:tabs>
          <w:tab w:val="num" w:pos="2880"/>
        </w:tabs>
        <w:ind w:left="2880" w:hanging="360"/>
      </w:pPr>
      <w:rPr>
        <w:rFonts w:ascii="Symbol" w:hAnsi="Symbol" w:hint="default"/>
      </w:rPr>
    </w:lvl>
    <w:lvl w:ilvl="4" w:tplc="69AC8072" w:tentative="1">
      <w:start w:val="1"/>
      <w:numFmt w:val="bullet"/>
      <w:lvlText w:val=""/>
      <w:lvlJc w:val="left"/>
      <w:pPr>
        <w:tabs>
          <w:tab w:val="num" w:pos="3600"/>
        </w:tabs>
        <w:ind w:left="3600" w:hanging="360"/>
      </w:pPr>
      <w:rPr>
        <w:rFonts w:ascii="Symbol" w:hAnsi="Symbol" w:hint="default"/>
      </w:rPr>
    </w:lvl>
    <w:lvl w:ilvl="5" w:tplc="1B3E5BD6" w:tentative="1">
      <w:start w:val="1"/>
      <w:numFmt w:val="bullet"/>
      <w:lvlText w:val=""/>
      <w:lvlJc w:val="left"/>
      <w:pPr>
        <w:tabs>
          <w:tab w:val="num" w:pos="4320"/>
        </w:tabs>
        <w:ind w:left="4320" w:hanging="360"/>
      </w:pPr>
      <w:rPr>
        <w:rFonts w:ascii="Symbol" w:hAnsi="Symbol" w:hint="default"/>
      </w:rPr>
    </w:lvl>
    <w:lvl w:ilvl="6" w:tplc="A7D89A7A" w:tentative="1">
      <w:start w:val="1"/>
      <w:numFmt w:val="bullet"/>
      <w:lvlText w:val=""/>
      <w:lvlJc w:val="left"/>
      <w:pPr>
        <w:tabs>
          <w:tab w:val="num" w:pos="5040"/>
        </w:tabs>
        <w:ind w:left="5040" w:hanging="360"/>
      </w:pPr>
      <w:rPr>
        <w:rFonts w:ascii="Symbol" w:hAnsi="Symbol" w:hint="default"/>
      </w:rPr>
    </w:lvl>
    <w:lvl w:ilvl="7" w:tplc="A5FEB236" w:tentative="1">
      <w:start w:val="1"/>
      <w:numFmt w:val="bullet"/>
      <w:lvlText w:val=""/>
      <w:lvlJc w:val="left"/>
      <w:pPr>
        <w:tabs>
          <w:tab w:val="num" w:pos="5760"/>
        </w:tabs>
        <w:ind w:left="5760" w:hanging="360"/>
      </w:pPr>
      <w:rPr>
        <w:rFonts w:ascii="Symbol" w:hAnsi="Symbol" w:hint="default"/>
      </w:rPr>
    </w:lvl>
    <w:lvl w:ilvl="8" w:tplc="2D66E7F2"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EAF041C"/>
    <w:multiLevelType w:val="hybridMultilevel"/>
    <w:tmpl w:val="9126C788"/>
    <w:lvl w:ilvl="0" w:tplc="4DF888D0">
      <w:start w:val="1"/>
      <w:numFmt w:val="bullet"/>
      <w:lvlText w:val=""/>
      <w:lvlPicBulletId w:val="0"/>
      <w:lvlJc w:val="left"/>
      <w:pPr>
        <w:tabs>
          <w:tab w:val="num" w:pos="720"/>
        </w:tabs>
        <w:ind w:left="720" w:hanging="360"/>
      </w:pPr>
      <w:rPr>
        <w:rFonts w:ascii="Symbol" w:hAnsi="Symbol" w:hint="default"/>
      </w:rPr>
    </w:lvl>
    <w:lvl w:ilvl="1" w:tplc="3AE6F91E" w:tentative="1">
      <w:start w:val="1"/>
      <w:numFmt w:val="bullet"/>
      <w:lvlText w:val=""/>
      <w:lvlJc w:val="left"/>
      <w:pPr>
        <w:tabs>
          <w:tab w:val="num" w:pos="1440"/>
        </w:tabs>
        <w:ind w:left="1440" w:hanging="360"/>
      </w:pPr>
      <w:rPr>
        <w:rFonts w:ascii="Symbol" w:hAnsi="Symbol" w:hint="default"/>
      </w:rPr>
    </w:lvl>
    <w:lvl w:ilvl="2" w:tplc="9C9EC644" w:tentative="1">
      <w:start w:val="1"/>
      <w:numFmt w:val="bullet"/>
      <w:lvlText w:val=""/>
      <w:lvlJc w:val="left"/>
      <w:pPr>
        <w:tabs>
          <w:tab w:val="num" w:pos="2160"/>
        </w:tabs>
        <w:ind w:left="2160" w:hanging="360"/>
      </w:pPr>
      <w:rPr>
        <w:rFonts w:ascii="Symbol" w:hAnsi="Symbol" w:hint="default"/>
      </w:rPr>
    </w:lvl>
    <w:lvl w:ilvl="3" w:tplc="9278884A" w:tentative="1">
      <w:start w:val="1"/>
      <w:numFmt w:val="bullet"/>
      <w:lvlText w:val=""/>
      <w:lvlJc w:val="left"/>
      <w:pPr>
        <w:tabs>
          <w:tab w:val="num" w:pos="2880"/>
        </w:tabs>
        <w:ind w:left="2880" w:hanging="360"/>
      </w:pPr>
      <w:rPr>
        <w:rFonts w:ascii="Symbol" w:hAnsi="Symbol" w:hint="default"/>
      </w:rPr>
    </w:lvl>
    <w:lvl w:ilvl="4" w:tplc="13A2901A" w:tentative="1">
      <w:start w:val="1"/>
      <w:numFmt w:val="bullet"/>
      <w:lvlText w:val=""/>
      <w:lvlJc w:val="left"/>
      <w:pPr>
        <w:tabs>
          <w:tab w:val="num" w:pos="3600"/>
        </w:tabs>
        <w:ind w:left="3600" w:hanging="360"/>
      </w:pPr>
      <w:rPr>
        <w:rFonts w:ascii="Symbol" w:hAnsi="Symbol" w:hint="default"/>
      </w:rPr>
    </w:lvl>
    <w:lvl w:ilvl="5" w:tplc="E352826C" w:tentative="1">
      <w:start w:val="1"/>
      <w:numFmt w:val="bullet"/>
      <w:lvlText w:val=""/>
      <w:lvlJc w:val="left"/>
      <w:pPr>
        <w:tabs>
          <w:tab w:val="num" w:pos="4320"/>
        </w:tabs>
        <w:ind w:left="4320" w:hanging="360"/>
      </w:pPr>
      <w:rPr>
        <w:rFonts w:ascii="Symbol" w:hAnsi="Symbol" w:hint="default"/>
      </w:rPr>
    </w:lvl>
    <w:lvl w:ilvl="6" w:tplc="080AAF7C" w:tentative="1">
      <w:start w:val="1"/>
      <w:numFmt w:val="bullet"/>
      <w:lvlText w:val=""/>
      <w:lvlJc w:val="left"/>
      <w:pPr>
        <w:tabs>
          <w:tab w:val="num" w:pos="5040"/>
        </w:tabs>
        <w:ind w:left="5040" w:hanging="360"/>
      </w:pPr>
      <w:rPr>
        <w:rFonts w:ascii="Symbol" w:hAnsi="Symbol" w:hint="default"/>
      </w:rPr>
    </w:lvl>
    <w:lvl w:ilvl="7" w:tplc="B83A3240" w:tentative="1">
      <w:start w:val="1"/>
      <w:numFmt w:val="bullet"/>
      <w:lvlText w:val=""/>
      <w:lvlJc w:val="left"/>
      <w:pPr>
        <w:tabs>
          <w:tab w:val="num" w:pos="5760"/>
        </w:tabs>
        <w:ind w:left="5760" w:hanging="360"/>
      </w:pPr>
      <w:rPr>
        <w:rFonts w:ascii="Symbol" w:hAnsi="Symbol" w:hint="default"/>
      </w:rPr>
    </w:lvl>
    <w:lvl w:ilvl="8" w:tplc="34946A5A"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F56081D"/>
    <w:multiLevelType w:val="hybridMultilevel"/>
    <w:tmpl w:val="D7044306"/>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143639"/>
    <w:multiLevelType w:val="hybridMultilevel"/>
    <w:tmpl w:val="B31CCAA2"/>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488467B"/>
    <w:multiLevelType w:val="hybridMultilevel"/>
    <w:tmpl w:val="49849FBA"/>
    <w:lvl w:ilvl="0" w:tplc="1D640B26">
      <w:start w:val="1"/>
      <w:numFmt w:val="bullet"/>
      <w:lvlText w:val=""/>
      <w:lvlPicBulletId w:val="0"/>
      <w:lvlJc w:val="left"/>
      <w:pPr>
        <w:tabs>
          <w:tab w:val="num" w:pos="720"/>
        </w:tabs>
        <w:ind w:left="720" w:hanging="360"/>
      </w:pPr>
      <w:rPr>
        <w:rFonts w:ascii="Symbol" w:hAnsi="Symbol" w:hint="default"/>
      </w:rPr>
    </w:lvl>
    <w:lvl w:ilvl="1" w:tplc="0A8E632C" w:tentative="1">
      <w:start w:val="1"/>
      <w:numFmt w:val="bullet"/>
      <w:lvlText w:val=""/>
      <w:lvlJc w:val="left"/>
      <w:pPr>
        <w:tabs>
          <w:tab w:val="num" w:pos="1440"/>
        </w:tabs>
        <w:ind w:left="1440" w:hanging="360"/>
      </w:pPr>
      <w:rPr>
        <w:rFonts w:ascii="Symbol" w:hAnsi="Symbol" w:hint="default"/>
      </w:rPr>
    </w:lvl>
    <w:lvl w:ilvl="2" w:tplc="F544C830" w:tentative="1">
      <w:start w:val="1"/>
      <w:numFmt w:val="bullet"/>
      <w:lvlText w:val=""/>
      <w:lvlJc w:val="left"/>
      <w:pPr>
        <w:tabs>
          <w:tab w:val="num" w:pos="2160"/>
        </w:tabs>
        <w:ind w:left="2160" w:hanging="360"/>
      </w:pPr>
      <w:rPr>
        <w:rFonts w:ascii="Symbol" w:hAnsi="Symbol" w:hint="default"/>
      </w:rPr>
    </w:lvl>
    <w:lvl w:ilvl="3" w:tplc="6E04EC8C" w:tentative="1">
      <w:start w:val="1"/>
      <w:numFmt w:val="bullet"/>
      <w:lvlText w:val=""/>
      <w:lvlJc w:val="left"/>
      <w:pPr>
        <w:tabs>
          <w:tab w:val="num" w:pos="2880"/>
        </w:tabs>
        <w:ind w:left="2880" w:hanging="360"/>
      </w:pPr>
      <w:rPr>
        <w:rFonts w:ascii="Symbol" w:hAnsi="Symbol" w:hint="default"/>
      </w:rPr>
    </w:lvl>
    <w:lvl w:ilvl="4" w:tplc="3B8A8EE2" w:tentative="1">
      <w:start w:val="1"/>
      <w:numFmt w:val="bullet"/>
      <w:lvlText w:val=""/>
      <w:lvlJc w:val="left"/>
      <w:pPr>
        <w:tabs>
          <w:tab w:val="num" w:pos="3600"/>
        </w:tabs>
        <w:ind w:left="3600" w:hanging="360"/>
      </w:pPr>
      <w:rPr>
        <w:rFonts w:ascii="Symbol" w:hAnsi="Symbol" w:hint="default"/>
      </w:rPr>
    </w:lvl>
    <w:lvl w:ilvl="5" w:tplc="E0B2AF24" w:tentative="1">
      <w:start w:val="1"/>
      <w:numFmt w:val="bullet"/>
      <w:lvlText w:val=""/>
      <w:lvlJc w:val="left"/>
      <w:pPr>
        <w:tabs>
          <w:tab w:val="num" w:pos="4320"/>
        </w:tabs>
        <w:ind w:left="4320" w:hanging="360"/>
      </w:pPr>
      <w:rPr>
        <w:rFonts w:ascii="Symbol" w:hAnsi="Symbol" w:hint="default"/>
      </w:rPr>
    </w:lvl>
    <w:lvl w:ilvl="6" w:tplc="798EA55A" w:tentative="1">
      <w:start w:val="1"/>
      <w:numFmt w:val="bullet"/>
      <w:lvlText w:val=""/>
      <w:lvlJc w:val="left"/>
      <w:pPr>
        <w:tabs>
          <w:tab w:val="num" w:pos="5040"/>
        </w:tabs>
        <w:ind w:left="5040" w:hanging="360"/>
      </w:pPr>
      <w:rPr>
        <w:rFonts w:ascii="Symbol" w:hAnsi="Symbol" w:hint="default"/>
      </w:rPr>
    </w:lvl>
    <w:lvl w:ilvl="7" w:tplc="0916D10A" w:tentative="1">
      <w:start w:val="1"/>
      <w:numFmt w:val="bullet"/>
      <w:lvlText w:val=""/>
      <w:lvlJc w:val="left"/>
      <w:pPr>
        <w:tabs>
          <w:tab w:val="num" w:pos="5760"/>
        </w:tabs>
        <w:ind w:left="5760" w:hanging="360"/>
      </w:pPr>
      <w:rPr>
        <w:rFonts w:ascii="Symbol" w:hAnsi="Symbol" w:hint="default"/>
      </w:rPr>
    </w:lvl>
    <w:lvl w:ilvl="8" w:tplc="E4B0E1DE"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5C13A49"/>
    <w:multiLevelType w:val="hybridMultilevel"/>
    <w:tmpl w:val="4286808A"/>
    <w:lvl w:ilvl="0" w:tplc="ACE8F058">
      <w:start w:val="1"/>
      <w:numFmt w:val="bullet"/>
      <w:lvlText w:val=""/>
      <w:lvlPicBulletId w:val="0"/>
      <w:lvlJc w:val="left"/>
      <w:pPr>
        <w:tabs>
          <w:tab w:val="num" w:pos="720"/>
        </w:tabs>
        <w:ind w:left="720" w:hanging="360"/>
      </w:pPr>
      <w:rPr>
        <w:rFonts w:ascii="Symbol" w:hAnsi="Symbol" w:hint="default"/>
      </w:rPr>
    </w:lvl>
    <w:lvl w:ilvl="1" w:tplc="F5E271CA" w:tentative="1">
      <w:start w:val="1"/>
      <w:numFmt w:val="bullet"/>
      <w:lvlText w:val=""/>
      <w:lvlJc w:val="left"/>
      <w:pPr>
        <w:tabs>
          <w:tab w:val="num" w:pos="1440"/>
        </w:tabs>
        <w:ind w:left="1440" w:hanging="360"/>
      </w:pPr>
      <w:rPr>
        <w:rFonts w:ascii="Symbol" w:hAnsi="Symbol" w:hint="default"/>
      </w:rPr>
    </w:lvl>
    <w:lvl w:ilvl="2" w:tplc="ECF878C8" w:tentative="1">
      <w:start w:val="1"/>
      <w:numFmt w:val="bullet"/>
      <w:lvlText w:val=""/>
      <w:lvlJc w:val="left"/>
      <w:pPr>
        <w:tabs>
          <w:tab w:val="num" w:pos="2160"/>
        </w:tabs>
        <w:ind w:left="2160" w:hanging="360"/>
      </w:pPr>
      <w:rPr>
        <w:rFonts w:ascii="Symbol" w:hAnsi="Symbol" w:hint="default"/>
      </w:rPr>
    </w:lvl>
    <w:lvl w:ilvl="3" w:tplc="EF48376C" w:tentative="1">
      <w:start w:val="1"/>
      <w:numFmt w:val="bullet"/>
      <w:lvlText w:val=""/>
      <w:lvlJc w:val="left"/>
      <w:pPr>
        <w:tabs>
          <w:tab w:val="num" w:pos="2880"/>
        </w:tabs>
        <w:ind w:left="2880" w:hanging="360"/>
      </w:pPr>
      <w:rPr>
        <w:rFonts w:ascii="Symbol" w:hAnsi="Symbol" w:hint="default"/>
      </w:rPr>
    </w:lvl>
    <w:lvl w:ilvl="4" w:tplc="B666DBBE" w:tentative="1">
      <w:start w:val="1"/>
      <w:numFmt w:val="bullet"/>
      <w:lvlText w:val=""/>
      <w:lvlJc w:val="left"/>
      <w:pPr>
        <w:tabs>
          <w:tab w:val="num" w:pos="3600"/>
        </w:tabs>
        <w:ind w:left="3600" w:hanging="360"/>
      </w:pPr>
      <w:rPr>
        <w:rFonts w:ascii="Symbol" w:hAnsi="Symbol" w:hint="default"/>
      </w:rPr>
    </w:lvl>
    <w:lvl w:ilvl="5" w:tplc="827085B4" w:tentative="1">
      <w:start w:val="1"/>
      <w:numFmt w:val="bullet"/>
      <w:lvlText w:val=""/>
      <w:lvlJc w:val="left"/>
      <w:pPr>
        <w:tabs>
          <w:tab w:val="num" w:pos="4320"/>
        </w:tabs>
        <w:ind w:left="4320" w:hanging="360"/>
      </w:pPr>
      <w:rPr>
        <w:rFonts w:ascii="Symbol" w:hAnsi="Symbol" w:hint="default"/>
      </w:rPr>
    </w:lvl>
    <w:lvl w:ilvl="6" w:tplc="BC50E634" w:tentative="1">
      <w:start w:val="1"/>
      <w:numFmt w:val="bullet"/>
      <w:lvlText w:val=""/>
      <w:lvlJc w:val="left"/>
      <w:pPr>
        <w:tabs>
          <w:tab w:val="num" w:pos="5040"/>
        </w:tabs>
        <w:ind w:left="5040" w:hanging="360"/>
      </w:pPr>
      <w:rPr>
        <w:rFonts w:ascii="Symbol" w:hAnsi="Symbol" w:hint="default"/>
      </w:rPr>
    </w:lvl>
    <w:lvl w:ilvl="7" w:tplc="000E5C04" w:tentative="1">
      <w:start w:val="1"/>
      <w:numFmt w:val="bullet"/>
      <w:lvlText w:val=""/>
      <w:lvlJc w:val="left"/>
      <w:pPr>
        <w:tabs>
          <w:tab w:val="num" w:pos="5760"/>
        </w:tabs>
        <w:ind w:left="5760" w:hanging="360"/>
      </w:pPr>
      <w:rPr>
        <w:rFonts w:ascii="Symbol" w:hAnsi="Symbol" w:hint="default"/>
      </w:rPr>
    </w:lvl>
    <w:lvl w:ilvl="8" w:tplc="69344C7A"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AD50B36"/>
    <w:multiLevelType w:val="hybridMultilevel"/>
    <w:tmpl w:val="C2583F28"/>
    <w:lvl w:ilvl="0" w:tplc="4DCAB248">
      <w:start w:val="3"/>
      <w:numFmt w:val="upperLetter"/>
      <w:pStyle w:val="TitleB"/>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56127021">
    <w:abstractNumId w:val="10"/>
  </w:num>
  <w:num w:numId="2" w16cid:durableId="1457483732">
    <w:abstractNumId w:val="11"/>
  </w:num>
  <w:num w:numId="3" w16cid:durableId="1372654735">
    <w:abstractNumId w:val="12"/>
  </w:num>
  <w:num w:numId="4" w16cid:durableId="1260913152">
    <w:abstractNumId w:val="13"/>
  </w:num>
  <w:num w:numId="5" w16cid:durableId="1641300878">
    <w:abstractNumId w:val="14"/>
  </w:num>
  <w:num w:numId="6" w16cid:durableId="61218113">
    <w:abstractNumId w:val="15"/>
  </w:num>
  <w:num w:numId="7" w16cid:durableId="586234480">
    <w:abstractNumId w:val="16"/>
  </w:num>
  <w:num w:numId="8" w16cid:durableId="1261797302">
    <w:abstractNumId w:val="17"/>
  </w:num>
  <w:num w:numId="9" w16cid:durableId="15695781">
    <w:abstractNumId w:val="19"/>
  </w:num>
  <w:num w:numId="10" w16cid:durableId="1158231813">
    <w:abstractNumId w:val="21"/>
  </w:num>
  <w:num w:numId="11" w16cid:durableId="2075272163">
    <w:abstractNumId w:val="44"/>
  </w:num>
  <w:num w:numId="12" w16cid:durableId="441268465">
    <w:abstractNumId w:val="40"/>
  </w:num>
  <w:num w:numId="13" w16cid:durableId="681321285">
    <w:abstractNumId w:val="35"/>
  </w:num>
  <w:num w:numId="14" w16cid:durableId="692537732">
    <w:abstractNumId w:val="26"/>
  </w:num>
  <w:num w:numId="15" w16cid:durableId="260256866">
    <w:abstractNumId w:val="31"/>
  </w:num>
  <w:num w:numId="16" w16cid:durableId="1445005131">
    <w:abstractNumId w:val="39"/>
  </w:num>
  <w:num w:numId="17" w16cid:durableId="1611429095">
    <w:abstractNumId w:val="20"/>
  </w:num>
  <w:num w:numId="18" w16cid:durableId="1164122909">
    <w:abstractNumId w:val="41"/>
  </w:num>
  <w:num w:numId="19" w16cid:durableId="1297448477">
    <w:abstractNumId w:val="9"/>
  </w:num>
  <w:num w:numId="20" w16cid:durableId="747118678">
    <w:abstractNumId w:val="7"/>
  </w:num>
  <w:num w:numId="21" w16cid:durableId="1443695142">
    <w:abstractNumId w:val="6"/>
  </w:num>
  <w:num w:numId="22" w16cid:durableId="597443507">
    <w:abstractNumId w:val="5"/>
  </w:num>
  <w:num w:numId="23" w16cid:durableId="17782597">
    <w:abstractNumId w:val="4"/>
  </w:num>
  <w:num w:numId="24" w16cid:durableId="670180875">
    <w:abstractNumId w:val="8"/>
  </w:num>
  <w:num w:numId="25" w16cid:durableId="648556672">
    <w:abstractNumId w:val="3"/>
  </w:num>
  <w:num w:numId="26" w16cid:durableId="2138714932">
    <w:abstractNumId w:val="2"/>
  </w:num>
  <w:num w:numId="27" w16cid:durableId="1896161075">
    <w:abstractNumId w:val="1"/>
  </w:num>
  <w:num w:numId="28" w16cid:durableId="28577755">
    <w:abstractNumId w:val="0"/>
  </w:num>
  <w:num w:numId="29" w16cid:durableId="1270509313">
    <w:abstractNumId w:val="24"/>
  </w:num>
  <w:num w:numId="30" w16cid:durableId="382366451">
    <w:abstractNumId w:val="36"/>
  </w:num>
  <w:num w:numId="31" w16cid:durableId="506946535">
    <w:abstractNumId w:val="43"/>
  </w:num>
  <w:num w:numId="32" w16cid:durableId="251789898">
    <w:abstractNumId w:val="37"/>
  </w:num>
  <w:num w:numId="33" w16cid:durableId="15205820">
    <w:abstractNumId w:val="32"/>
  </w:num>
  <w:num w:numId="34" w16cid:durableId="1631937545">
    <w:abstractNumId w:val="38"/>
  </w:num>
  <w:num w:numId="35" w16cid:durableId="837119511">
    <w:abstractNumId w:val="42"/>
  </w:num>
  <w:num w:numId="36" w16cid:durableId="1303584161">
    <w:abstractNumId w:val="30"/>
  </w:num>
  <w:num w:numId="37" w16cid:durableId="1130243355">
    <w:abstractNumId w:val="25"/>
  </w:num>
  <w:num w:numId="38" w16cid:durableId="188416201">
    <w:abstractNumId w:val="25"/>
  </w:num>
  <w:num w:numId="39" w16cid:durableId="790633608">
    <w:abstractNumId w:val="33"/>
  </w:num>
  <w:num w:numId="40" w16cid:durableId="480928604">
    <w:abstractNumId w:val="22"/>
  </w:num>
  <w:num w:numId="41" w16cid:durableId="1918519337">
    <w:abstractNumId w:val="34"/>
  </w:num>
  <w:num w:numId="42" w16cid:durableId="583104128">
    <w:abstractNumId w:val="27"/>
  </w:num>
  <w:num w:numId="43" w16cid:durableId="1094128449">
    <w:abstractNumId w:val="23"/>
  </w:num>
  <w:num w:numId="44" w16cid:durableId="1848713332">
    <w:abstractNumId w:val="18"/>
  </w:num>
  <w:num w:numId="45" w16cid:durableId="580405815">
    <w:abstractNumId w:val="28"/>
  </w:num>
  <w:num w:numId="46" w16cid:durableId="214252932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activeWritingStyle w:appName="MSWord" w:lang="fi-FI" w:vendorID="64" w:dllVersion="0" w:nlCheck="1" w:checkStyle="0"/>
  <w:activeWritingStyle w:appName="MSWord" w:lang="de-CH" w:vendorID="64" w:dllVersion="0" w:nlCheck="1" w:checkStyle="0"/>
  <w:activeWritingStyle w:appName="MSWord" w:lang="fr-CH" w:vendorID="64" w:dllVersion="0" w:nlCheck="1" w:checkStyle="0"/>
  <w:activeWritingStyle w:appName="MSWord" w:lang="pt-PT" w:vendorID="64" w:dllVersion="0" w:nlCheck="1" w:checkStyle="0"/>
  <w:activeWritingStyle w:appName="MSWord" w:lang="sv-SE" w:vendorID="64" w:dllVersion="0" w:nlCheck="1" w:checkStyle="0"/>
  <w:activeWritingStyle w:appName="MSWord" w:lang="es-ES" w:vendorID="64" w:dllVersion="0" w:nlCheck="1" w:checkStyle="0"/>
  <w:activeWritingStyle w:appName="MSWord" w:lang="nb-NO"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fi-FI"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s-ES" w:vendorID="64" w:dllVersion="6" w:nlCheck="1" w:checkStyle="0"/>
  <w:activeWritingStyle w:appName="MSWord" w:lang="fr-FR" w:vendorID="64" w:dllVersion="6"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67"/>
    <w:rsid w:val="00003CA7"/>
    <w:rsid w:val="00004477"/>
    <w:rsid w:val="000216FC"/>
    <w:rsid w:val="00024CB9"/>
    <w:rsid w:val="00025029"/>
    <w:rsid w:val="00027052"/>
    <w:rsid w:val="00047898"/>
    <w:rsid w:val="0005049F"/>
    <w:rsid w:val="00050A70"/>
    <w:rsid w:val="00050BFA"/>
    <w:rsid w:val="00054606"/>
    <w:rsid w:val="00055725"/>
    <w:rsid w:val="0005763B"/>
    <w:rsid w:val="00060554"/>
    <w:rsid w:val="00062933"/>
    <w:rsid w:val="00064A59"/>
    <w:rsid w:val="00064AC6"/>
    <w:rsid w:val="000650FC"/>
    <w:rsid w:val="00073CCD"/>
    <w:rsid w:val="00082694"/>
    <w:rsid w:val="000925CF"/>
    <w:rsid w:val="000930BD"/>
    <w:rsid w:val="000A4766"/>
    <w:rsid w:val="000A76E0"/>
    <w:rsid w:val="000D0B62"/>
    <w:rsid w:val="000E477E"/>
    <w:rsid w:val="000E60AE"/>
    <w:rsid w:val="000F3FF2"/>
    <w:rsid w:val="000F794D"/>
    <w:rsid w:val="00101F69"/>
    <w:rsid w:val="001025B5"/>
    <w:rsid w:val="00104C46"/>
    <w:rsid w:val="00104F89"/>
    <w:rsid w:val="001055D1"/>
    <w:rsid w:val="00111370"/>
    <w:rsid w:val="00112D5E"/>
    <w:rsid w:val="00113748"/>
    <w:rsid w:val="001141E1"/>
    <w:rsid w:val="0011511A"/>
    <w:rsid w:val="00115D97"/>
    <w:rsid w:val="001164A6"/>
    <w:rsid w:val="00127333"/>
    <w:rsid w:val="00130CB8"/>
    <w:rsid w:val="00130E37"/>
    <w:rsid w:val="00134211"/>
    <w:rsid w:val="0014340F"/>
    <w:rsid w:val="00145174"/>
    <w:rsid w:val="00147879"/>
    <w:rsid w:val="00150EB2"/>
    <w:rsid w:val="00153BAF"/>
    <w:rsid w:val="001554BB"/>
    <w:rsid w:val="00156A72"/>
    <w:rsid w:val="0016668C"/>
    <w:rsid w:val="00171569"/>
    <w:rsid w:val="001739F8"/>
    <w:rsid w:val="001753BB"/>
    <w:rsid w:val="00177229"/>
    <w:rsid w:val="00185E60"/>
    <w:rsid w:val="001871D0"/>
    <w:rsid w:val="001928B9"/>
    <w:rsid w:val="001A0208"/>
    <w:rsid w:val="001A051D"/>
    <w:rsid w:val="001A22B7"/>
    <w:rsid w:val="001A25ED"/>
    <w:rsid w:val="001A4422"/>
    <w:rsid w:val="001B205D"/>
    <w:rsid w:val="001C139B"/>
    <w:rsid w:val="001C58A1"/>
    <w:rsid w:val="001D127A"/>
    <w:rsid w:val="001D63D0"/>
    <w:rsid w:val="001D7462"/>
    <w:rsid w:val="001E0004"/>
    <w:rsid w:val="001E1A66"/>
    <w:rsid w:val="001E2F04"/>
    <w:rsid w:val="001E54BE"/>
    <w:rsid w:val="001E6A4D"/>
    <w:rsid w:val="001E7AB0"/>
    <w:rsid w:val="001F1F9A"/>
    <w:rsid w:val="001F7EEF"/>
    <w:rsid w:val="00204B80"/>
    <w:rsid w:val="00204D78"/>
    <w:rsid w:val="00206779"/>
    <w:rsid w:val="00206DDC"/>
    <w:rsid w:val="00210067"/>
    <w:rsid w:val="002108AF"/>
    <w:rsid w:val="002200DB"/>
    <w:rsid w:val="002219A2"/>
    <w:rsid w:val="00223478"/>
    <w:rsid w:val="00224BEF"/>
    <w:rsid w:val="00230263"/>
    <w:rsid w:val="00231531"/>
    <w:rsid w:val="00231540"/>
    <w:rsid w:val="002346EA"/>
    <w:rsid w:val="00234EF1"/>
    <w:rsid w:val="00242EED"/>
    <w:rsid w:val="00245AF1"/>
    <w:rsid w:val="002507E7"/>
    <w:rsid w:val="00251DF7"/>
    <w:rsid w:val="00251F3C"/>
    <w:rsid w:val="00260654"/>
    <w:rsid w:val="00260D51"/>
    <w:rsid w:val="00261B96"/>
    <w:rsid w:val="002633F7"/>
    <w:rsid w:val="002639F5"/>
    <w:rsid w:val="002648EE"/>
    <w:rsid w:val="00265D67"/>
    <w:rsid w:val="002740EA"/>
    <w:rsid w:val="00274C51"/>
    <w:rsid w:val="00277351"/>
    <w:rsid w:val="002825FB"/>
    <w:rsid w:val="00287A52"/>
    <w:rsid w:val="00290387"/>
    <w:rsid w:val="00293ABA"/>
    <w:rsid w:val="002974CD"/>
    <w:rsid w:val="002B00F2"/>
    <w:rsid w:val="002B578B"/>
    <w:rsid w:val="002B6351"/>
    <w:rsid w:val="002C0D4B"/>
    <w:rsid w:val="002C6517"/>
    <w:rsid w:val="002D0925"/>
    <w:rsid w:val="002D0FB0"/>
    <w:rsid w:val="002D3295"/>
    <w:rsid w:val="002D4946"/>
    <w:rsid w:val="002D4FB2"/>
    <w:rsid w:val="002D7177"/>
    <w:rsid w:val="002E2E23"/>
    <w:rsid w:val="002E3C43"/>
    <w:rsid w:val="002E47BA"/>
    <w:rsid w:val="002E520E"/>
    <w:rsid w:val="002F270C"/>
    <w:rsid w:val="002F2D0D"/>
    <w:rsid w:val="002F5ED9"/>
    <w:rsid w:val="00312F0D"/>
    <w:rsid w:val="003147AD"/>
    <w:rsid w:val="0031543E"/>
    <w:rsid w:val="00322AEA"/>
    <w:rsid w:val="00326511"/>
    <w:rsid w:val="00327BDD"/>
    <w:rsid w:val="003353FF"/>
    <w:rsid w:val="00335557"/>
    <w:rsid w:val="00341646"/>
    <w:rsid w:val="00344AFB"/>
    <w:rsid w:val="00344CF9"/>
    <w:rsid w:val="00347B09"/>
    <w:rsid w:val="003505BA"/>
    <w:rsid w:val="00354CD9"/>
    <w:rsid w:val="00356183"/>
    <w:rsid w:val="00362209"/>
    <w:rsid w:val="003632E5"/>
    <w:rsid w:val="00363A1F"/>
    <w:rsid w:val="00365881"/>
    <w:rsid w:val="0036760C"/>
    <w:rsid w:val="0037082E"/>
    <w:rsid w:val="003747E9"/>
    <w:rsid w:val="00374E20"/>
    <w:rsid w:val="00380620"/>
    <w:rsid w:val="00380A60"/>
    <w:rsid w:val="00381B2B"/>
    <w:rsid w:val="003820A0"/>
    <w:rsid w:val="003820FF"/>
    <w:rsid w:val="0038415E"/>
    <w:rsid w:val="00391D89"/>
    <w:rsid w:val="00394AB5"/>
    <w:rsid w:val="003A02ED"/>
    <w:rsid w:val="003A2D3C"/>
    <w:rsid w:val="003A6E04"/>
    <w:rsid w:val="003A73B0"/>
    <w:rsid w:val="003B1B00"/>
    <w:rsid w:val="003B38D7"/>
    <w:rsid w:val="003B4140"/>
    <w:rsid w:val="003C2F32"/>
    <w:rsid w:val="003C3355"/>
    <w:rsid w:val="003C5050"/>
    <w:rsid w:val="003D0768"/>
    <w:rsid w:val="003D2260"/>
    <w:rsid w:val="003D73C6"/>
    <w:rsid w:val="003E0BF4"/>
    <w:rsid w:val="003E234B"/>
    <w:rsid w:val="003E3665"/>
    <w:rsid w:val="003E6C17"/>
    <w:rsid w:val="003E74B7"/>
    <w:rsid w:val="003F607A"/>
    <w:rsid w:val="00401FE9"/>
    <w:rsid w:val="0040208D"/>
    <w:rsid w:val="0040246E"/>
    <w:rsid w:val="0040669D"/>
    <w:rsid w:val="00415728"/>
    <w:rsid w:val="00416DC0"/>
    <w:rsid w:val="004255C4"/>
    <w:rsid w:val="0042681D"/>
    <w:rsid w:val="00430249"/>
    <w:rsid w:val="004348E1"/>
    <w:rsid w:val="004410CE"/>
    <w:rsid w:val="0044490B"/>
    <w:rsid w:val="00447E98"/>
    <w:rsid w:val="0045148A"/>
    <w:rsid w:val="00451EDE"/>
    <w:rsid w:val="004521BF"/>
    <w:rsid w:val="004558BB"/>
    <w:rsid w:val="00457D08"/>
    <w:rsid w:val="004600C8"/>
    <w:rsid w:val="004663F8"/>
    <w:rsid w:val="00470F52"/>
    <w:rsid w:val="00472C86"/>
    <w:rsid w:val="00475128"/>
    <w:rsid w:val="004807CD"/>
    <w:rsid w:val="00480BE9"/>
    <w:rsid w:val="00482474"/>
    <w:rsid w:val="0048252D"/>
    <w:rsid w:val="00482729"/>
    <w:rsid w:val="00486A37"/>
    <w:rsid w:val="00490585"/>
    <w:rsid w:val="00492305"/>
    <w:rsid w:val="004925EB"/>
    <w:rsid w:val="0049334B"/>
    <w:rsid w:val="004973B6"/>
    <w:rsid w:val="004A0B30"/>
    <w:rsid w:val="004A1AC2"/>
    <w:rsid w:val="004A482B"/>
    <w:rsid w:val="004B0C61"/>
    <w:rsid w:val="004B12C6"/>
    <w:rsid w:val="004B4470"/>
    <w:rsid w:val="004B553D"/>
    <w:rsid w:val="004C4033"/>
    <w:rsid w:val="004E0D9E"/>
    <w:rsid w:val="004E61C7"/>
    <w:rsid w:val="004E687B"/>
    <w:rsid w:val="004F77A9"/>
    <w:rsid w:val="004F7D26"/>
    <w:rsid w:val="005071F6"/>
    <w:rsid w:val="00510D35"/>
    <w:rsid w:val="00513CD0"/>
    <w:rsid w:val="00514698"/>
    <w:rsid w:val="00515DA3"/>
    <w:rsid w:val="005167C5"/>
    <w:rsid w:val="005175DC"/>
    <w:rsid w:val="0052119F"/>
    <w:rsid w:val="00521D5D"/>
    <w:rsid w:val="005265AD"/>
    <w:rsid w:val="00527205"/>
    <w:rsid w:val="00540777"/>
    <w:rsid w:val="00541B62"/>
    <w:rsid w:val="005425B2"/>
    <w:rsid w:val="00542660"/>
    <w:rsid w:val="00544694"/>
    <w:rsid w:val="00546DEB"/>
    <w:rsid w:val="00547C25"/>
    <w:rsid w:val="00547F12"/>
    <w:rsid w:val="00550050"/>
    <w:rsid w:val="0055099D"/>
    <w:rsid w:val="00553711"/>
    <w:rsid w:val="00555B17"/>
    <w:rsid w:val="005571BE"/>
    <w:rsid w:val="0056161C"/>
    <w:rsid w:val="00562CF9"/>
    <w:rsid w:val="00564DAD"/>
    <w:rsid w:val="005658F9"/>
    <w:rsid w:val="0057098E"/>
    <w:rsid w:val="00571620"/>
    <w:rsid w:val="00574C99"/>
    <w:rsid w:val="005775B6"/>
    <w:rsid w:val="005779B7"/>
    <w:rsid w:val="00577F16"/>
    <w:rsid w:val="00580836"/>
    <w:rsid w:val="00580867"/>
    <w:rsid w:val="005810C7"/>
    <w:rsid w:val="00584885"/>
    <w:rsid w:val="00590E7B"/>
    <w:rsid w:val="0059483D"/>
    <w:rsid w:val="00594DFF"/>
    <w:rsid w:val="005A075C"/>
    <w:rsid w:val="005A72EA"/>
    <w:rsid w:val="005B5C92"/>
    <w:rsid w:val="005C0333"/>
    <w:rsid w:val="005C31FB"/>
    <w:rsid w:val="005C434E"/>
    <w:rsid w:val="005C495A"/>
    <w:rsid w:val="005C5263"/>
    <w:rsid w:val="005C569A"/>
    <w:rsid w:val="005C6356"/>
    <w:rsid w:val="005D6443"/>
    <w:rsid w:val="005E04CC"/>
    <w:rsid w:val="005E0F61"/>
    <w:rsid w:val="005E2904"/>
    <w:rsid w:val="005E534C"/>
    <w:rsid w:val="005E6A57"/>
    <w:rsid w:val="005E7D78"/>
    <w:rsid w:val="005F03D0"/>
    <w:rsid w:val="00605A05"/>
    <w:rsid w:val="00605BAA"/>
    <w:rsid w:val="0060714E"/>
    <w:rsid w:val="00607FBB"/>
    <w:rsid w:val="00607FE1"/>
    <w:rsid w:val="00612FF3"/>
    <w:rsid w:val="00613A36"/>
    <w:rsid w:val="0062242C"/>
    <w:rsid w:val="00623690"/>
    <w:rsid w:val="0063274D"/>
    <w:rsid w:val="00633021"/>
    <w:rsid w:val="0063318A"/>
    <w:rsid w:val="00635FB5"/>
    <w:rsid w:val="00640FA0"/>
    <w:rsid w:val="006426EC"/>
    <w:rsid w:val="00642861"/>
    <w:rsid w:val="006440FA"/>
    <w:rsid w:val="006503CC"/>
    <w:rsid w:val="00651593"/>
    <w:rsid w:val="006526DA"/>
    <w:rsid w:val="00652758"/>
    <w:rsid w:val="00652DF4"/>
    <w:rsid w:val="006530EF"/>
    <w:rsid w:val="006572F9"/>
    <w:rsid w:val="006640DA"/>
    <w:rsid w:val="00664F83"/>
    <w:rsid w:val="00665CC3"/>
    <w:rsid w:val="0067408C"/>
    <w:rsid w:val="00677549"/>
    <w:rsid w:val="00680283"/>
    <w:rsid w:val="00690137"/>
    <w:rsid w:val="006912A2"/>
    <w:rsid w:val="006916AE"/>
    <w:rsid w:val="00693CCD"/>
    <w:rsid w:val="006A2B73"/>
    <w:rsid w:val="006A3B50"/>
    <w:rsid w:val="006A6DE8"/>
    <w:rsid w:val="006A78D5"/>
    <w:rsid w:val="006B2A4F"/>
    <w:rsid w:val="006B6451"/>
    <w:rsid w:val="006C0D10"/>
    <w:rsid w:val="006C308D"/>
    <w:rsid w:val="006C3A8A"/>
    <w:rsid w:val="006D4CB5"/>
    <w:rsid w:val="006D5F5D"/>
    <w:rsid w:val="006E13A1"/>
    <w:rsid w:val="006E1FDB"/>
    <w:rsid w:val="006E48B4"/>
    <w:rsid w:val="006E4C08"/>
    <w:rsid w:val="006E55E9"/>
    <w:rsid w:val="006F45F7"/>
    <w:rsid w:val="006F6423"/>
    <w:rsid w:val="006F74E5"/>
    <w:rsid w:val="007045A8"/>
    <w:rsid w:val="007124DC"/>
    <w:rsid w:val="0071308A"/>
    <w:rsid w:val="00713DF6"/>
    <w:rsid w:val="00717280"/>
    <w:rsid w:val="00734DA4"/>
    <w:rsid w:val="007370E2"/>
    <w:rsid w:val="0074059B"/>
    <w:rsid w:val="007413DD"/>
    <w:rsid w:val="00750425"/>
    <w:rsid w:val="00764C16"/>
    <w:rsid w:val="0076584E"/>
    <w:rsid w:val="00765DD3"/>
    <w:rsid w:val="00766BA1"/>
    <w:rsid w:val="007671FB"/>
    <w:rsid w:val="007672AE"/>
    <w:rsid w:val="0077761B"/>
    <w:rsid w:val="00780D64"/>
    <w:rsid w:val="0078191F"/>
    <w:rsid w:val="00785195"/>
    <w:rsid w:val="00790F79"/>
    <w:rsid w:val="007914FC"/>
    <w:rsid w:val="00791B9A"/>
    <w:rsid w:val="007956B7"/>
    <w:rsid w:val="00797326"/>
    <w:rsid w:val="007A1563"/>
    <w:rsid w:val="007A4EBF"/>
    <w:rsid w:val="007B34AB"/>
    <w:rsid w:val="007B7E4B"/>
    <w:rsid w:val="007C52E1"/>
    <w:rsid w:val="007C54C8"/>
    <w:rsid w:val="007C61C0"/>
    <w:rsid w:val="007D502B"/>
    <w:rsid w:val="007E077C"/>
    <w:rsid w:val="007E18AC"/>
    <w:rsid w:val="007E1CBD"/>
    <w:rsid w:val="007E49F5"/>
    <w:rsid w:val="007E5DB6"/>
    <w:rsid w:val="007E72ED"/>
    <w:rsid w:val="007F0663"/>
    <w:rsid w:val="007F0BD2"/>
    <w:rsid w:val="007F1AA6"/>
    <w:rsid w:val="007F72BE"/>
    <w:rsid w:val="007F7797"/>
    <w:rsid w:val="00803389"/>
    <w:rsid w:val="008039BC"/>
    <w:rsid w:val="00805C1F"/>
    <w:rsid w:val="0080605A"/>
    <w:rsid w:val="00807001"/>
    <w:rsid w:val="00816207"/>
    <w:rsid w:val="00820FD2"/>
    <w:rsid w:val="008219E8"/>
    <w:rsid w:val="00823890"/>
    <w:rsid w:val="00831F99"/>
    <w:rsid w:val="008348CA"/>
    <w:rsid w:val="00836179"/>
    <w:rsid w:val="00841E9A"/>
    <w:rsid w:val="00844DE0"/>
    <w:rsid w:val="00853F04"/>
    <w:rsid w:val="008568B8"/>
    <w:rsid w:val="00865A54"/>
    <w:rsid w:val="008705D9"/>
    <w:rsid w:val="00874838"/>
    <w:rsid w:val="00874C34"/>
    <w:rsid w:val="00874E1E"/>
    <w:rsid w:val="008770B9"/>
    <w:rsid w:val="00880FFB"/>
    <w:rsid w:val="00881687"/>
    <w:rsid w:val="00881E11"/>
    <w:rsid w:val="00883BEE"/>
    <w:rsid w:val="00897674"/>
    <w:rsid w:val="008A0B30"/>
    <w:rsid w:val="008A26A1"/>
    <w:rsid w:val="008B03B5"/>
    <w:rsid w:val="008B281E"/>
    <w:rsid w:val="008B3EB5"/>
    <w:rsid w:val="008B42EF"/>
    <w:rsid w:val="008B51C5"/>
    <w:rsid w:val="008B6566"/>
    <w:rsid w:val="008B6AAA"/>
    <w:rsid w:val="008C1877"/>
    <w:rsid w:val="008C1E18"/>
    <w:rsid w:val="008D654D"/>
    <w:rsid w:val="008E40D3"/>
    <w:rsid w:val="008E5159"/>
    <w:rsid w:val="008F4CB0"/>
    <w:rsid w:val="008F4D79"/>
    <w:rsid w:val="00900D4F"/>
    <w:rsid w:val="00900DCA"/>
    <w:rsid w:val="0090630D"/>
    <w:rsid w:val="00912641"/>
    <w:rsid w:val="0091337E"/>
    <w:rsid w:val="00913B27"/>
    <w:rsid w:val="00915204"/>
    <w:rsid w:val="00937028"/>
    <w:rsid w:val="00937D61"/>
    <w:rsid w:val="00937DF3"/>
    <w:rsid w:val="00940EB2"/>
    <w:rsid w:val="00942D2B"/>
    <w:rsid w:val="00943A03"/>
    <w:rsid w:val="009440AC"/>
    <w:rsid w:val="0094679D"/>
    <w:rsid w:val="00951AA4"/>
    <w:rsid w:val="00952E4F"/>
    <w:rsid w:val="00956E42"/>
    <w:rsid w:val="009730D2"/>
    <w:rsid w:val="00973618"/>
    <w:rsid w:val="0097737A"/>
    <w:rsid w:val="009817D7"/>
    <w:rsid w:val="00982C75"/>
    <w:rsid w:val="00986190"/>
    <w:rsid w:val="009921DB"/>
    <w:rsid w:val="00992BB5"/>
    <w:rsid w:val="00995CC2"/>
    <w:rsid w:val="009A24C1"/>
    <w:rsid w:val="009A59FD"/>
    <w:rsid w:val="009A7C2A"/>
    <w:rsid w:val="009C56A3"/>
    <w:rsid w:val="009C5DB0"/>
    <w:rsid w:val="009D00F1"/>
    <w:rsid w:val="009D30DF"/>
    <w:rsid w:val="009D56B8"/>
    <w:rsid w:val="009D6900"/>
    <w:rsid w:val="009E03F1"/>
    <w:rsid w:val="009E351F"/>
    <w:rsid w:val="009E4645"/>
    <w:rsid w:val="009F0422"/>
    <w:rsid w:val="009F2281"/>
    <w:rsid w:val="009F34B4"/>
    <w:rsid w:val="009F3572"/>
    <w:rsid w:val="009F35F3"/>
    <w:rsid w:val="009F5CFD"/>
    <w:rsid w:val="00A02502"/>
    <w:rsid w:val="00A02DCC"/>
    <w:rsid w:val="00A0704E"/>
    <w:rsid w:val="00A10EE9"/>
    <w:rsid w:val="00A13183"/>
    <w:rsid w:val="00A13B42"/>
    <w:rsid w:val="00A1529B"/>
    <w:rsid w:val="00A15CBE"/>
    <w:rsid w:val="00A16487"/>
    <w:rsid w:val="00A17E29"/>
    <w:rsid w:val="00A218A6"/>
    <w:rsid w:val="00A33A7D"/>
    <w:rsid w:val="00A35558"/>
    <w:rsid w:val="00A35839"/>
    <w:rsid w:val="00A40866"/>
    <w:rsid w:val="00A42711"/>
    <w:rsid w:val="00A4634E"/>
    <w:rsid w:val="00A50D94"/>
    <w:rsid w:val="00A510F5"/>
    <w:rsid w:val="00A51279"/>
    <w:rsid w:val="00A521C0"/>
    <w:rsid w:val="00A533FE"/>
    <w:rsid w:val="00A53A43"/>
    <w:rsid w:val="00A556C9"/>
    <w:rsid w:val="00A605FE"/>
    <w:rsid w:val="00A6088C"/>
    <w:rsid w:val="00A62E72"/>
    <w:rsid w:val="00A70ED7"/>
    <w:rsid w:val="00A7334E"/>
    <w:rsid w:val="00A74494"/>
    <w:rsid w:val="00A760FB"/>
    <w:rsid w:val="00A765A3"/>
    <w:rsid w:val="00A76A21"/>
    <w:rsid w:val="00A83281"/>
    <w:rsid w:val="00A83934"/>
    <w:rsid w:val="00A846F4"/>
    <w:rsid w:val="00A90199"/>
    <w:rsid w:val="00A92297"/>
    <w:rsid w:val="00AA1EA4"/>
    <w:rsid w:val="00AB09D7"/>
    <w:rsid w:val="00AB0B89"/>
    <w:rsid w:val="00AB45B0"/>
    <w:rsid w:val="00AB7E30"/>
    <w:rsid w:val="00AC0CF9"/>
    <w:rsid w:val="00AC1F5F"/>
    <w:rsid w:val="00AC4569"/>
    <w:rsid w:val="00AD00DB"/>
    <w:rsid w:val="00AD3551"/>
    <w:rsid w:val="00AF79A5"/>
    <w:rsid w:val="00B00825"/>
    <w:rsid w:val="00B02144"/>
    <w:rsid w:val="00B03746"/>
    <w:rsid w:val="00B10FF6"/>
    <w:rsid w:val="00B12DB7"/>
    <w:rsid w:val="00B133EE"/>
    <w:rsid w:val="00B17C63"/>
    <w:rsid w:val="00B257EF"/>
    <w:rsid w:val="00B27A63"/>
    <w:rsid w:val="00B32ACF"/>
    <w:rsid w:val="00B40B33"/>
    <w:rsid w:val="00B427A8"/>
    <w:rsid w:val="00B429EC"/>
    <w:rsid w:val="00B442ED"/>
    <w:rsid w:val="00B45ABB"/>
    <w:rsid w:val="00B51478"/>
    <w:rsid w:val="00B51A98"/>
    <w:rsid w:val="00B540B6"/>
    <w:rsid w:val="00B540F6"/>
    <w:rsid w:val="00B771AE"/>
    <w:rsid w:val="00B77475"/>
    <w:rsid w:val="00B81E50"/>
    <w:rsid w:val="00B8709C"/>
    <w:rsid w:val="00B87C69"/>
    <w:rsid w:val="00B90E68"/>
    <w:rsid w:val="00B93218"/>
    <w:rsid w:val="00B934D4"/>
    <w:rsid w:val="00B94347"/>
    <w:rsid w:val="00B94DBC"/>
    <w:rsid w:val="00B95AAF"/>
    <w:rsid w:val="00BA36F3"/>
    <w:rsid w:val="00BA7510"/>
    <w:rsid w:val="00BB0983"/>
    <w:rsid w:val="00BB1873"/>
    <w:rsid w:val="00BB3146"/>
    <w:rsid w:val="00BB3B76"/>
    <w:rsid w:val="00BB4775"/>
    <w:rsid w:val="00BC477C"/>
    <w:rsid w:val="00BC4904"/>
    <w:rsid w:val="00BD2C32"/>
    <w:rsid w:val="00BD315F"/>
    <w:rsid w:val="00BD39C9"/>
    <w:rsid w:val="00BD5156"/>
    <w:rsid w:val="00BE2F37"/>
    <w:rsid w:val="00BE7BB2"/>
    <w:rsid w:val="00BF7CC9"/>
    <w:rsid w:val="00C04C4D"/>
    <w:rsid w:val="00C15BF7"/>
    <w:rsid w:val="00C16F4A"/>
    <w:rsid w:val="00C24FC8"/>
    <w:rsid w:val="00C277B4"/>
    <w:rsid w:val="00C27DC1"/>
    <w:rsid w:val="00C32BCA"/>
    <w:rsid w:val="00C330C7"/>
    <w:rsid w:val="00C3372C"/>
    <w:rsid w:val="00C3519E"/>
    <w:rsid w:val="00C3688E"/>
    <w:rsid w:val="00C37C8F"/>
    <w:rsid w:val="00C37F90"/>
    <w:rsid w:val="00C40990"/>
    <w:rsid w:val="00C508D0"/>
    <w:rsid w:val="00C6034F"/>
    <w:rsid w:val="00C612DE"/>
    <w:rsid w:val="00C64B1B"/>
    <w:rsid w:val="00C66918"/>
    <w:rsid w:val="00C67912"/>
    <w:rsid w:val="00C67B43"/>
    <w:rsid w:val="00C770E8"/>
    <w:rsid w:val="00C804CA"/>
    <w:rsid w:val="00C8079E"/>
    <w:rsid w:val="00C8507D"/>
    <w:rsid w:val="00C959AF"/>
    <w:rsid w:val="00C96167"/>
    <w:rsid w:val="00C965CC"/>
    <w:rsid w:val="00CA04BC"/>
    <w:rsid w:val="00CA0D6F"/>
    <w:rsid w:val="00CA2186"/>
    <w:rsid w:val="00CC344B"/>
    <w:rsid w:val="00CC5E64"/>
    <w:rsid w:val="00CC6AB1"/>
    <w:rsid w:val="00CD0292"/>
    <w:rsid w:val="00CD1DFB"/>
    <w:rsid w:val="00CD51BA"/>
    <w:rsid w:val="00CE0A8A"/>
    <w:rsid w:val="00CE12BA"/>
    <w:rsid w:val="00CE5205"/>
    <w:rsid w:val="00CE73FC"/>
    <w:rsid w:val="00CE7CF5"/>
    <w:rsid w:val="00CF152B"/>
    <w:rsid w:val="00CF73DF"/>
    <w:rsid w:val="00D0122B"/>
    <w:rsid w:val="00D04184"/>
    <w:rsid w:val="00D11F9C"/>
    <w:rsid w:val="00D12071"/>
    <w:rsid w:val="00D12256"/>
    <w:rsid w:val="00D1634A"/>
    <w:rsid w:val="00D172C2"/>
    <w:rsid w:val="00D178F8"/>
    <w:rsid w:val="00D24AF8"/>
    <w:rsid w:val="00D37858"/>
    <w:rsid w:val="00D4269B"/>
    <w:rsid w:val="00D426EB"/>
    <w:rsid w:val="00D43C00"/>
    <w:rsid w:val="00D468B6"/>
    <w:rsid w:val="00D47C1D"/>
    <w:rsid w:val="00D508FD"/>
    <w:rsid w:val="00D50D9F"/>
    <w:rsid w:val="00D527D1"/>
    <w:rsid w:val="00D537C9"/>
    <w:rsid w:val="00D541F4"/>
    <w:rsid w:val="00D55447"/>
    <w:rsid w:val="00D5668E"/>
    <w:rsid w:val="00D605E3"/>
    <w:rsid w:val="00D64043"/>
    <w:rsid w:val="00D72157"/>
    <w:rsid w:val="00D771BF"/>
    <w:rsid w:val="00D81A93"/>
    <w:rsid w:val="00D82EC1"/>
    <w:rsid w:val="00D87B00"/>
    <w:rsid w:val="00D95696"/>
    <w:rsid w:val="00DA4794"/>
    <w:rsid w:val="00DA59BD"/>
    <w:rsid w:val="00DA77F2"/>
    <w:rsid w:val="00DB0D35"/>
    <w:rsid w:val="00DB0EBE"/>
    <w:rsid w:val="00DB226B"/>
    <w:rsid w:val="00DB32BB"/>
    <w:rsid w:val="00DC2639"/>
    <w:rsid w:val="00DD34EB"/>
    <w:rsid w:val="00DE6E20"/>
    <w:rsid w:val="00DF01F6"/>
    <w:rsid w:val="00DF0FE2"/>
    <w:rsid w:val="00DF3305"/>
    <w:rsid w:val="00DF4B82"/>
    <w:rsid w:val="00DF63EB"/>
    <w:rsid w:val="00E009ED"/>
    <w:rsid w:val="00E0124B"/>
    <w:rsid w:val="00E03C6B"/>
    <w:rsid w:val="00E04A20"/>
    <w:rsid w:val="00E0533A"/>
    <w:rsid w:val="00E06D13"/>
    <w:rsid w:val="00E16E3D"/>
    <w:rsid w:val="00E17E2D"/>
    <w:rsid w:val="00E377BF"/>
    <w:rsid w:val="00E46A91"/>
    <w:rsid w:val="00E50867"/>
    <w:rsid w:val="00E51619"/>
    <w:rsid w:val="00E52268"/>
    <w:rsid w:val="00E523D3"/>
    <w:rsid w:val="00E551DB"/>
    <w:rsid w:val="00E55C1C"/>
    <w:rsid w:val="00E56507"/>
    <w:rsid w:val="00E5651A"/>
    <w:rsid w:val="00E57E81"/>
    <w:rsid w:val="00E605AC"/>
    <w:rsid w:val="00E64588"/>
    <w:rsid w:val="00E66F87"/>
    <w:rsid w:val="00E70478"/>
    <w:rsid w:val="00E715C1"/>
    <w:rsid w:val="00E72857"/>
    <w:rsid w:val="00E7587B"/>
    <w:rsid w:val="00E77924"/>
    <w:rsid w:val="00E9023F"/>
    <w:rsid w:val="00E915FD"/>
    <w:rsid w:val="00E91652"/>
    <w:rsid w:val="00E91F02"/>
    <w:rsid w:val="00E92780"/>
    <w:rsid w:val="00E931D1"/>
    <w:rsid w:val="00E93238"/>
    <w:rsid w:val="00E960BE"/>
    <w:rsid w:val="00E96C6B"/>
    <w:rsid w:val="00EA448D"/>
    <w:rsid w:val="00EA5905"/>
    <w:rsid w:val="00EB13B3"/>
    <w:rsid w:val="00EB22F6"/>
    <w:rsid w:val="00EC0A84"/>
    <w:rsid w:val="00EC4ECD"/>
    <w:rsid w:val="00EC563D"/>
    <w:rsid w:val="00EC6964"/>
    <w:rsid w:val="00ED1CBE"/>
    <w:rsid w:val="00ED326B"/>
    <w:rsid w:val="00ED360B"/>
    <w:rsid w:val="00ED5DE9"/>
    <w:rsid w:val="00EE0921"/>
    <w:rsid w:val="00EF3AFB"/>
    <w:rsid w:val="00EF3FA9"/>
    <w:rsid w:val="00EF4062"/>
    <w:rsid w:val="00EF67F0"/>
    <w:rsid w:val="00EF7E58"/>
    <w:rsid w:val="00F01438"/>
    <w:rsid w:val="00F02179"/>
    <w:rsid w:val="00F02CDB"/>
    <w:rsid w:val="00F04043"/>
    <w:rsid w:val="00F14443"/>
    <w:rsid w:val="00F16DC5"/>
    <w:rsid w:val="00F24CE6"/>
    <w:rsid w:val="00F32D1B"/>
    <w:rsid w:val="00F34B4F"/>
    <w:rsid w:val="00F36444"/>
    <w:rsid w:val="00F431E9"/>
    <w:rsid w:val="00F46600"/>
    <w:rsid w:val="00F5055B"/>
    <w:rsid w:val="00F50D10"/>
    <w:rsid w:val="00F52CE8"/>
    <w:rsid w:val="00F70750"/>
    <w:rsid w:val="00F7120A"/>
    <w:rsid w:val="00F83DC8"/>
    <w:rsid w:val="00F85FE9"/>
    <w:rsid w:val="00F876A5"/>
    <w:rsid w:val="00F87E04"/>
    <w:rsid w:val="00F932E3"/>
    <w:rsid w:val="00F94940"/>
    <w:rsid w:val="00F94C0E"/>
    <w:rsid w:val="00FA313D"/>
    <w:rsid w:val="00FA31F3"/>
    <w:rsid w:val="00FA62BE"/>
    <w:rsid w:val="00FA688A"/>
    <w:rsid w:val="00FB241A"/>
    <w:rsid w:val="00FB2D1F"/>
    <w:rsid w:val="00FB38EB"/>
    <w:rsid w:val="00FC33A7"/>
    <w:rsid w:val="00FC6AA0"/>
    <w:rsid w:val="00FC73EB"/>
    <w:rsid w:val="00FC76D4"/>
    <w:rsid w:val="00FD094D"/>
    <w:rsid w:val="00FD1B6F"/>
    <w:rsid w:val="00FD2D93"/>
    <w:rsid w:val="00FD7CD0"/>
    <w:rsid w:val="00FE3650"/>
    <w:rsid w:val="00FE76DD"/>
    <w:rsid w:val="00FF13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oNotEmbedSmartTags/>
  <w:decimalSymbol w:val="."/>
  <w:listSeparator w:val=","/>
  <w14:docId w14:val="1BD64CCD"/>
  <w15:docId w15:val="{3CDD0334-25BE-4412-96D3-C86D725C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rFonts w:eastAsia="PMingLiU"/>
      <w:sz w:val="22"/>
      <w:lang w:val="en-GB" w:eastAsia="ar-SA"/>
    </w:rPr>
  </w:style>
  <w:style w:type="paragraph" w:styleId="Heading1">
    <w:name w:val="heading 1"/>
    <w:basedOn w:val="Normal"/>
    <w:next w:val="Normal"/>
    <w:link w:val="Heading1Char"/>
    <w:qFormat/>
    <w:pPr>
      <w:keepNext/>
      <w:numPr>
        <w:numId w:val="1"/>
      </w:numPr>
      <w:outlineLvl w:val="0"/>
    </w:pPr>
    <w:rPr>
      <w:b/>
      <w:bCs/>
      <w:kern w:val="1"/>
      <w:szCs w:val="32"/>
    </w:rPr>
  </w:style>
  <w:style w:type="paragraph" w:styleId="Heading2">
    <w:name w:val="heading 2"/>
    <w:basedOn w:val="Normal"/>
    <w:next w:val="BodyText"/>
    <w:qFormat/>
    <w:pPr>
      <w:numPr>
        <w:ilvl w:val="1"/>
        <w:numId w:val="1"/>
      </w:numPr>
      <w:tabs>
        <w:tab w:val="clear" w:pos="567"/>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OpenSymbol" w:hAnsi="OpenSymbol"/>
    </w:rPr>
  </w:style>
  <w:style w:type="character" w:customStyle="1" w:styleId="WW8Num8z0">
    <w:name w:val="WW8Num8z0"/>
    <w:rPr>
      <w:rFonts w:ascii="OpenSymbol" w:hAnsi="OpenSymbol"/>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Times New Roman" w:hAnsi="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Times New Roman" w:hAnsi="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Times New Roman" w:hAnsi="Times New Roman"/>
    </w:rPr>
  </w:style>
  <w:style w:type="character" w:customStyle="1" w:styleId="WW8Num6z1">
    <w:name w:val="WW8Num6z1"/>
    <w:rPr>
      <w:rFonts w:ascii="Courier New" w:hAnsi="Courier New"/>
    </w:rPr>
  </w:style>
  <w:style w:type="character" w:customStyle="1" w:styleId="WW8Num6z3">
    <w:name w:val="WW8Num6z3"/>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Times New Roman" w:hAnsi="Times New Roman"/>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Times New Roman" w:hAnsi="Times New Roman"/>
    </w:rPr>
  </w:style>
  <w:style w:type="character" w:customStyle="1" w:styleId="WW8Num10z0">
    <w:name w:val="WW8Num10z0"/>
    <w:rPr>
      <w:rFonts w:ascii="Times New Roman" w:hAnsi="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styleId="PageNumber">
    <w:name w:val="page number"/>
    <w:rPr>
      <w:rFonts w:cs="Times New Roman"/>
    </w:rPr>
  </w:style>
  <w:style w:type="character" w:styleId="Hyperlink">
    <w:name w:val="Hyperlink"/>
    <w:rPr>
      <w:color w:val="0000FF"/>
      <w:u w:val="single"/>
    </w:rPr>
  </w:style>
  <w:style w:type="character" w:customStyle="1" w:styleId="BodytextAgencyChar">
    <w:name w:val="Body text (Agency) Char"/>
    <w:rPr>
      <w:rFonts w:ascii="Times New Roman" w:eastAsia="Times New Roman" w:hAnsi="Times New Roman"/>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Times New Roman" w:eastAsia="Times New Roman" w:hAnsi="Times New Roman"/>
      <w:sz w:val="18"/>
      <w:lang w:val="en-GB"/>
    </w:rPr>
  </w:style>
  <w:style w:type="character" w:styleId="CommentReference">
    <w:name w:val="annotation reference"/>
    <w:uiPriority w:val="99"/>
    <w:rPr>
      <w:sz w:val="16"/>
    </w:rPr>
  </w:style>
  <w:style w:type="character" w:customStyle="1" w:styleId="CharChar1">
    <w:name w:val="Char Char1"/>
    <w:rPr>
      <w:rFonts w:eastAsia="Times New Roman"/>
      <w:lang w:val="x-none"/>
    </w:rPr>
  </w:style>
  <w:style w:type="character" w:customStyle="1" w:styleId="CharChar">
    <w:name w:val="Char Char"/>
    <w:rPr>
      <w:rFonts w:eastAsia="Times New Roman"/>
      <w:b/>
      <w:lang w:val="x-none"/>
    </w:rPr>
  </w:style>
  <w:style w:type="character" w:customStyle="1" w:styleId="CharChar3">
    <w:name w:val="Char Char3"/>
    <w:rPr>
      <w:rFonts w:eastAsia="Times New Roman"/>
      <w:b/>
      <w:sz w:val="36"/>
      <w:lang w:val="en-US"/>
    </w:rPr>
  </w:style>
  <w:style w:type="character" w:customStyle="1" w:styleId="CharChar2">
    <w:name w:val="Char Char2"/>
    <w:rPr>
      <w:rFonts w:ascii="Times New Roman" w:eastAsia="Times New Roman" w:hAnsi="Times New Roman"/>
      <w:b/>
      <w:sz w:val="26"/>
      <w:lang w:val="x-none"/>
    </w:rPr>
  </w:style>
  <w:style w:type="character" w:customStyle="1" w:styleId="CharChar4">
    <w:name w:val="Char Char4"/>
    <w:rPr>
      <w:rFonts w:eastAsia="Times New Roman"/>
      <w:b/>
      <w:kern w:val="1"/>
      <w:sz w:val="32"/>
      <w:lang w:val="x-none"/>
    </w:rPr>
  </w:style>
  <w:style w:type="character" w:customStyle="1" w:styleId="tw4winMark">
    <w:name w:val="tw4winMark"/>
    <w:rPr>
      <w:rFonts w:ascii="Courier New" w:hAnsi="Courier New"/>
      <w:vanish/>
      <w:color w:val="800080"/>
      <w:sz w:val="24"/>
      <w:vertAlign w:val="subscript"/>
    </w:rPr>
  </w:style>
  <w:style w:type="character" w:customStyle="1" w:styleId="hps">
    <w:name w:val="hps"/>
  </w:style>
  <w:style w:type="character" w:customStyle="1" w:styleId="hpsalt-edited">
    <w:name w:val="hps alt-edited"/>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GB"/>
    </w:rPr>
  </w:style>
  <w:style w:type="character" w:customStyle="1" w:styleId="tw4winJump">
    <w:name w:val="tw4winJump"/>
    <w:rPr>
      <w:rFonts w:ascii="Courier New" w:hAnsi="Courier New"/>
      <w:color w:val="008080"/>
      <w:lang w:val="en-GB"/>
    </w:rPr>
  </w:style>
  <w:style w:type="character" w:customStyle="1" w:styleId="tw4winExternal">
    <w:name w:val="tw4winExternal"/>
    <w:rPr>
      <w:rFonts w:ascii="Courier New" w:hAnsi="Courier New"/>
      <w:color w:val="808080"/>
      <w:lang w:val="en-GB"/>
    </w:rPr>
  </w:style>
  <w:style w:type="character" w:customStyle="1" w:styleId="tw4winInternal">
    <w:name w:val="tw4winInternal"/>
    <w:rPr>
      <w:rFonts w:ascii="Courier New" w:hAnsi="Courier New"/>
      <w:color w:val="FF0000"/>
      <w:lang w:val="en-GB"/>
    </w:rPr>
  </w:style>
  <w:style w:type="character" w:customStyle="1" w:styleId="DONOTTRANSLATE">
    <w:name w:val="DO_NOT_TRANSLATE"/>
    <w:rPr>
      <w:rFonts w:ascii="Courier New" w:hAnsi="Courier New"/>
      <w:color w:val="800000"/>
      <w:lang w:val="en-GB"/>
    </w:rPr>
  </w:style>
  <w:style w:type="character" w:styleId="LineNumber">
    <w:name w:val="line number"/>
    <w:basedOn w:val="DefaultParagraphFont"/>
  </w:style>
  <w:style w:type="character" w:styleId="Emphasis">
    <w:name w:val="Emphasis"/>
    <w:uiPriority w:val="20"/>
    <w:qFormat/>
    <w:rPr>
      <w:b/>
      <w:bCs/>
      <w:i w:val="0"/>
      <w:iCs w:val="0"/>
    </w:rPr>
  </w:style>
  <w:style w:type="character" w:customStyle="1" w:styleId="st">
    <w:name w:val="st"/>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pPr>
    <w:rPr>
      <w:i/>
      <w:color w:val="008000"/>
    </w:rPr>
  </w:style>
  <w:style w:type="paragraph" w:styleId="List">
    <w:name w:val="List"/>
    <w:basedOn w:val="BodyText"/>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link w:val="CommentTextChar"/>
    <w:uiPriority w:val="99"/>
    <w:rPr>
      <w:rFonts w:cs="Tunga"/>
      <w:color w:val="0000FF"/>
      <w:sz w:val="20"/>
      <w:u w:val="single"/>
      <w:lang w:val="x-none" w:eastAsia="kn-IN" w:bidi="kn-IN"/>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rPr>
      <w:sz w:val="16"/>
      <w:szCs w:val="16"/>
    </w:rPr>
  </w:style>
  <w:style w:type="paragraph" w:customStyle="1" w:styleId="BodytextAgency">
    <w:name w:val="Body text (Agency)"/>
    <w:basedOn w:val="Normal"/>
    <w:pPr>
      <w:tabs>
        <w:tab w:val="clear" w:pos="567"/>
      </w:tabs>
      <w:spacing w:after="140" w:line="280" w:lineRule="atLeast"/>
    </w:pPr>
    <w:rPr>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hAnsi="Courier New"/>
      <w:i/>
      <w:color w:val="339966"/>
      <w:szCs w:val="18"/>
    </w:rPr>
  </w:style>
  <w:style w:type="paragraph" w:customStyle="1" w:styleId="NormalAgency">
    <w:name w:val="Normal (Agency)"/>
    <w:pPr>
      <w:suppressAutoHyphens/>
    </w:pPr>
    <w:rPr>
      <w:rFonts w:eastAsia="PMingLiU"/>
      <w:sz w:val="18"/>
      <w:szCs w:val="18"/>
      <w:lang w:val="en-GB" w:eastAsia="ar-SA"/>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styleId="Revision">
    <w:name w:val="Revision"/>
    <w:pPr>
      <w:suppressAutoHyphens/>
    </w:pPr>
    <w:rPr>
      <w:rFonts w:eastAsia="PMingLiU"/>
      <w:sz w:val="22"/>
      <w:lang w:val="en-GB" w:eastAsia="ar-SA"/>
    </w:rPr>
  </w:style>
  <w:style w:type="paragraph" w:customStyle="1" w:styleId="WW-Default">
    <w:name w:val="WW-Default"/>
    <w:pPr>
      <w:suppressAutoHyphens/>
      <w:autoSpaceDE w:val="0"/>
    </w:pPr>
    <w:rPr>
      <w:rFonts w:eastAsia="PMingLiU"/>
      <w:color w:val="000000"/>
      <w:sz w:val="24"/>
      <w:szCs w:val="24"/>
      <w:lang w:val="en-GB" w:eastAsia="ar-SA"/>
    </w:rPr>
  </w:style>
  <w:style w:type="paragraph" w:customStyle="1" w:styleId="HeadingUnderlined">
    <w:name w:val="Heading Underlined"/>
    <w:basedOn w:val="Normal"/>
    <w:next w:val="Normal"/>
    <w:link w:val="HeadingUnderlinedChar"/>
    <w:qFormat/>
    <w:pPr>
      <w:keepNext/>
      <w:keepLines/>
      <w:tabs>
        <w:tab w:val="clear" w:pos="567"/>
      </w:tabs>
    </w:pPr>
    <w:rPr>
      <w:rFonts w:eastAsia="SimSun"/>
      <w:szCs w:val="22"/>
      <w:u w:val="single"/>
      <w:lang w:val="nb-NO" w:eastAsia="zh-CN"/>
    </w:rPr>
  </w:style>
  <w:style w:type="paragraph" w:styleId="ListParagraph">
    <w:name w:val="List Paragraph"/>
    <w:basedOn w:val="Normal"/>
    <w:uiPriority w:val="34"/>
    <w:qFormat/>
    <w:pPr>
      <w:ind w:left="720"/>
    </w:pPr>
  </w:style>
  <w:style w:type="paragraph" w:styleId="NormalWeb">
    <w:name w:val="Normal (Web)"/>
    <w:basedOn w:val="Normal"/>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Heading1"/>
    <w:link w:val="TitleAChar"/>
    <w:qFormat/>
    <w:pPr>
      <w:jc w:val="center"/>
    </w:pPr>
    <w:rPr>
      <w:bCs w:val="0"/>
      <w:szCs w:val="22"/>
      <w:lang w:val="nb-NO"/>
    </w:rPr>
  </w:style>
  <w:style w:type="paragraph" w:customStyle="1" w:styleId="TitleB">
    <w:name w:val="Title B"/>
    <w:basedOn w:val="Normal"/>
    <w:link w:val="TitleBChar"/>
    <w:qFormat/>
    <w:rsid w:val="00CD1DFB"/>
    <w:pPr>
      <w:numPr>
        <w:numId w:val="11"/>
      </w:numPr>
      <w:tabs>
        <w:tab w:val="clear" w:pos="567"/>
      </w:tabs>
      <w:suppressAutoHyphens w:val="0"/>
      <w:ind w:left="567" w:hanging="567"/>
    </w:pPr>
    <w:rPr>
      <w:b/>
      <w:szCs w:val="22"/>
      <w:lang w:val="nb-NO"/>
    </w:rPr>
  </w:style>
  <w:style w:type="character" w:customStyle="1" w:styleId="Heading1Char">
    <w:name w:val="Heading 1 Char"/>
    <w:link w:val="Heading1"/>
    <w:rPr>
      <w:rFonts w:eastAsia="PMingLiU"/>
      <w:b/>
      <w:bCs/>
      <w:kern w:val="1"/>
      <w:sz w:val="22"/>
      <w:szCs w:val="32"/>
      <w:lang w:val="en-GB" w:eastAsia="ar-SA"/>
    </w:rPr>
  </w:style>
  <w:style w:type="character" w:customStyle="1" w:styleId="TitleAChar">
    <w:name w:val="Title A Char"/>
    <w:link w:val="TitleA"/>
    <w:rPr>
      <w:rFonts w:eastAsia="PMingLiU"/>
      <w:b/>
      <w:bCs w:val="0"/>
      <w:kern w:val="1"/>
      <w:sz w:val="22"/>
      <w:szCs w:val="22"/>
      <w:lang w:val="nb-NO" w:eastAsia="ar-SA"/>
    </w:rPr>
  </w:style>
  <w:style w:type="paragraph" w:styleId="Bibliography">
    <w:name w:val="Bibliography"/>
    <w:basedOn w:val="Normal"/>
    <w:next w:val="Normal"/>
    <w:uiPriority w:val="37"/>
    <w:semiHidden/>
    <w:unhideWhenUsed/>
  </w:style>
  <w:style w:type="character" w:customStyle="1" w:styleId="TitleBChar">
    <w:name w:val="Title B Char"/>
    <w:link w:val="TitleB"/>
    <w:rPr>
      <w:rFonts w:eastAsia="PMingLiU"/>
      <w:b/>
      <w:noProof/>
      <w:sz w:val="22"/>
      <w:szCs w:val="22"/>
      <w:lang w:eastAsia="ar-SA"/>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PMingLiU"/>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eastAsia="PMingLiU"/>
      <w:sz w:val="16"/>
      <w:szCs w:val="16"/>
      <w:lang w:val="en-GB"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rPr>
  </w:style>
  <w:style w:type="character" w:customStyle="1" w:styleId="BodyTextChar">
    <w:name w:val="Body Text Char"/>
    <w:link w:val="BodyText"/>
    <w:rPr>
      <w:rFonts w:eastAsia="PMingLiU"/>
      <w:i/>
      <w:color w:val="008000"/>
      <w:sz w:val="22"/>
      <w:lang w:val="en-GB" w:eastAsia="ar-SA"/>
    </w:rPr>
  </w:style>
  <w:style w:type="character" w:customStyle="1" w:styleId="BodyTextFirstIndentChar">
    <w:name w:val="Body Text First Indent Char"/>
    <w:link w:val="BodyTextFirstIndent"/>
    <w:uiPriority w:val="99"/>
    <w:semiHidden/>
    <w:rPr>
      <w:rFonts w:eastAsia="PMingLiU"/>
      <w:i w:val="0"/>
      <w:color w:val="008000"/>
      <w:sz w:val="22"/>
      <w:lang w:val="en-GB"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PMingLiU"/>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PMingLiU"/>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PMingLiU"/>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PMingLiU"/>
      <w:sz w:val="16"/>
      <w:szCs w:val="16"/>
      <w:lang w:val="en-GB"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PMingLiU"/>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PMingLiU"/>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eastAsia="PMingLiU"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PMingLiU"/>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eastAsia="PMingLiU"/>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PMingLiU"/>
      <w:lang w:val="en-GB"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Pr>
      <w:rFonts w:ascii="Cambria" w:eastAsia="Times New Roman" w:hAnsi="Cambria" w:cs="Times New Roman"/>
      <w:sz w:val="22"/>
      <w:szCs w:val="22"/>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PMingLiU"/>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eastAsia="PMingLiU"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Times New Roma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PMingLiU"/>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9"/>
      </w:numPr>
      <w:contextualSpacing/>
    </w:pPr>
  </w:style>
  <w:style w:type="paragraph" w:styleId="ListBullet2">
    <w:name w:val="List Bullet 2"/>
    <w:basedOn w:val="Normal"/>
    <w:uiPriority w:val="99"/>
    <w:semiHidden/>
    <w:unhideWhenUsed/>
    <w:pPr>
      <w:numPr>
        <w:numId w:val="20"/>
      </w:numPr>
      <w:contextualSpacing/>
    </w:pPr>
  </w:style>
  <w:style w:type="paragraph" w:styleId="ListBullet3">
    <w:name w:val="List Bullet 3"/>
    <w:basedOn w:val="Normal"/>
    <w:uiPriority w:val="99"/>
    <w:semiHidden/>
    <w:unhideWhenUsed/>
    <w:pPr>
      <w:numPr>
        <w:numId w:val="21"/>
      </w:numPr>
      <w:contextualSpacing/>
    </w:pPr>
  </w:style>
  <w:style w:type="paragraph" w:styleId="ListBullet4">
    <w:name w:val="List Bullet 4"/>
    <w:basedOn w:val="Normal"/>
    <w:uiPriority w:val="99"/>
    <w:semiHidden/>
    <w:unhideWhenUsed/>
    <w:pPr>
      <w:numPr>
        <w:numId w:val="22"/>
      </w:numPr>
      <w:contextualSpacing/>
    </w:pPr>
  </w:style>
  <w:style w:type="paragraph" w:styleId="ListBullet5">
    <w:name w:val="List Bullet 5"/>
    <w:basedOn w:val="Normal"/>
    <w:uiPriority w:val="99"/>
    <w:semiHidden/>
    <w:unhideWhenUsed/>
    <w:pPr>
      <w:numPr>
        <w:numId w:val="23"/>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4"/>
      </w:numPr>
      <w:contextualSpacing/>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paragraph" w:styleId="ListNumber4">
    <w:name w:val="List Number 4"/>
    <w:basedOn w:val="Normal"/>
    <w:uiPriority w:val="99"/>
    <w:semiHidden/>
    <w:unhideWhenUsed/>
    <w:pPr>
      <w:numPr>
        <w:numId w:val="27"/>
      </w:numPr>
      <w:contextualSpacing/>
    </w:pPr>
  </w:style>
  <w:style w:type="paragraph" w:styleId="ListNumber5">
    <w:name w:val="List Number 5"/>
    <w:basedOn w:val="Normal"/>
    <w:uiPriority w:val="99"/>
    <w:semiHidden/>
    <w:unhideWhenUsed/>
    <w:pPr>
      <w:numPr>
        <w:numId w:val="28"/>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PMingLiU" w:hAnsi="Courier New" w:cs="Courier New"/>
      <w:lang w:val="en-GB" w:eastAsia="ar-SA"/>
    </w:rPr>
  </w:style>
  <w:style w:type="character" w:customStyle="1" w:styleId="MacroTextChar">
    <w:name w:val="Macro Text Char"/>
    <w:link w:val="MacroText"/>
    <w:uiPriority w:val="99"/>
    <w:semiHidden/>
    <w:rPr>
      <w:rFonts w:ascii="Courier New" w:eastAsia="PMingLiU"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styleId="NoSpacing">
    <w:name w:val="No Spacing"/>
    <w:uiPriority w:val="1"/>
    <w:qFormat/>
    <w:pPr>
      <w:tabs>
        <w:tab w:val="left" w:pos="567"/>
      </w:tabs>
      <w:suppressAutoHyphens/>
    </w:pPr>
    <w:rPr>
      <w:rFonts w:eastAsia="PMingLiU"/>
      <w:sz w:val="22"/>
      <w:lang w:val="en-GB" w:eastAsia="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PMingLiU"/>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eastAsia="PMingLiU" w:hAnsi="Courier New" w:cs="Courier New"/>
      <w:lang w:val="en-GB"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PMingLiU"/>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PMingLiU"/>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PMingLiU"/>
      <w:sz w:val="22"/>
      <w:lang w:val="en-GB" w:eastAsia="ar-S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32"/>
    </w:rPr>
  </w:style>
  <w:style w:type="character" w:customStyle="1" w:styleId="TitleChar">
    <w:name w:val="Title Char"/>
    <w:link w:val="Title"/>
    <w:uiPriority w:val="10"/>
    <w:rPr>
      <w:b/>
      <w:bCs/>
      <w:noProof/>
      <w:kern w:val="28"/>
      <w:sz w:val="22"/>
      <w:szCs w:val="32"/>
      <w:lang w:eastAsia="ar-SA"/>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qFormat/>
    <w:pPr>
      <w:numPr>
        <w:numId w:val="0"/>
      </w:numPr>
      <w:spacing w:before="240" w:after="60"/>
      <w:outlineLvl w:val="9"/>
    </w:pPr>
    <w:rPr>
      <w:rFonts w:ascii="Cambria" w:eastAsia="Times New Roman" w:hAnsi="Cambria"/>
      <w:kern w:val="32"/>
      <w:sz w:val="32"/>
    </w:rPr>
  </w:style>
  <w:style w:type="paragraph" w:customStyle="1" w:styleId="C-Bullet">
    <w:name w:val="C-Bullet"/>
    <w:pPr>
      <w:numPr>
        <w:numId w:val="36"/>
      </w:numPr>
      <w:spacing w:before="120" w:after="120" w:line="280" w:lineRule="atLeast"/>
    </w:pPr>
    <w:rPr>
      <w:sz w:val="24"/>
      <w:lang w:val="en-US" w:eastAsia="en-US"/>
    </w:rPr>
  </w:style>
  <w:style w:type="paragraph" w:customStyle="1" w:styleId="GTCParagraph">
    <w:name w:val="GTC Paragraph"/>
    <w:rPr>
      <w:sz w:val="24"/>
      <w:szCs w:val="24"/>
      <w:lang w:val="en-US" w:eastAsia="en-US"/>
    </w:rPr>
  </w:style>
  <w:style w:type="character" w:customStyle="1" w:styleId="CommentTextChar">
    <w:name w:val="Comment Text Char"/>
    <w:link w:val="CommentText"/>
    <w:uiPriority w:val="99"/>
    <w:rPr>
      <w:rFonts w:eastAsia="PMingLiU" w:cs="Tunga"/>
      <w:color w:val="0000FF"/>
      <w:u w:val="single"/>
      <w:lang w:val="x-none" w:eastAsia="kn-IN" w:bidi="kn-IN"/>
    </w:rPr>
  </w:style>
  <w:style w:type="paragraph" w:customStyle="1" w:styleId="Default">
    <w:name w:val="Default"/>
    <w:pPr>
      <w:autoSpaceDE w:val="0"/>
      <w:autoSpaceDN w:val="0"/>
      <w:adjustRightInd w:val="0"/>
    </w:pPr>
    <w:rPr>
      <w:rFonts w:eastAsia="SimSun"/>
      <w:color w:val="000000"/>
      <w:sz w:val="24"/>
      <w:szCs w:val="24"/>
      <w:lang w:val="en-GB" w:eastAsia="en-GB"/>
    </w:rPr>
  </w:style>
  <w:style w:type="paragraph" w:customStyle="1" w:styleId="Standard">
    <w:name w:val="Standard"/>
    <w:qFormat/>
    <w:pPr>
      <w:tabs>
        <w:tab w:val="left" w:pos="567"/>
      </w:tabs>
    </w:pPr>
    <w:rPr>
      <w:sz w:val="22"/>
      <w:lang w:val="en-GB" w:eastAsia="en-US"/>
    </w:rPr>
  </w:style>
  <w:style w:type="character" w:customStyle="1" w:styleId="HeadingUnderlinedChar">
    <w:name w:val="Heading Underlined Char"/>
    <w:link w:val="HeadingUnderlined"/>
    <w:locked/>
    <w:rPr>
      <w:rFonts w:eastAsia="SimSun"/>
      <w:sz w:val="22"/>
      <w:szCs w:val="22"/>
      <w:u w:val="single"/>
      <w:lang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39"/>
      </w:numPr>
      <w:tabs>
        <w:tab w:val="clear" w:pos="567"/>
      </w:tabs>
    </w:pPr>
    <w:rPr>
      <w:rFonts w:eastAsia="SimSun"/>
      <w:szCs w:val="22"/>
      <w:lang w:val="nb-NO" w:eastAsia="zh-CN"/>
    </w:rPr>
  </w:style>
  <w:style w:type="character" w:customStyle="1" w:styleId="Ulstomtale1">
    <w:name w:val="Uløst omtale1"/>
    <w:uiPriority w:val="99"/>
    <w:semiHidden/>
    <w:unhideWhenUsed/>
    <w:rPr>
      <w:color w:val="605E5C"/>
      <w:shd w:val="clear" w:color="auto" w:fill="E1DFDD"/>
    </w:rPr>
  </w:style>
  <w:style w:type="paragraph" w:customStyle="1" w:styleId="HeadingStrong">
    <w:name w:val="Heading Strong"/>
    <w:basedOn w:val="Normal"/>
    <w:next w:val="Normal"/>
    <w:link w:val="HeadingStrongChar"/>
    <w:qFormat/>
    <w:pPr>
      <w:keepNext/>
      <w:keepLines/>
      <w:tabs>
        <w:tab w:val="clear" w:pos="567"/>
      </w:tabs>
    </w:pPr>
    <w:rPr>
      <w:rFonts w:eastAsia="SimSun"/>
      <w:b/>
      <w:bCs/>
      <w:szCs w:val="22"/>
      <w:lang w:val="nb-NO" w:eastAsia="zh-CN"/>
    </w:rPr>
  </w:style>
  <w:style w:type="character" w:customStyle="1" w:styleId="HeadingStrongChar">
    <w:name w:val="Heading Strong Char"/>
    <w:link w:val="HeadingStrong"/>
    <w:locked/>
    <w:rPr>
      <w:rFonts w:eastAsia="SimSun"/>
      <w:b/>
      <w:bCs/>
      <w:sz w:val="22"/>
      <w:szCs w:val="22"/>
      <w:lang w:val="nb-NO" w:eastAsia="zh-CN"/>
    </w:rPr>
  </w:style>
  <w:style w:type="paragraph" w:customStyle="1" w:styleId="Standard1">
    <w:name w:val="Standard1"/>
    <w:qFormat/>
    <w:pPr>
      <w:tabs>
        <w:tab w:val="left" w:pos="567"/>
      </w:tabs>
    </w:pPr>
    <w:rPr>
      <w:sz w:val="22"/>
      <w:lang w:val="en-GB" w:eastAsia="en-US"/>
    </w:rPr>
  </w:style>
  <w:style w:type="paragraph" w:customStyle="1" w:styleId="No-numheading3Agency">
    <w:name w:val="No-num heading 3 (Agency)"/>
    <w:basedOn w:val="Normal"/>
    <w:next w:val="BodytextAgency"/>
    <w:link w:val="No-numheading3AgencyChar"/>
    <w:rsid w:val="003A6E04"/>
    <w:pPr>
      <w:keepNext/>
      <w:tabs>
        <w:tab w:val="clear" w:pos="567"/>
      </w:tabs>
      <w:suppressAutoHyphens w:val="0"/>
      <w:spacing w:before="280" w:after="220"/>
      <w:outlineLvl w:val="2"/>
    </w:pPr>
    <w:rPr>
      <w:rFonts w:ascii="Verdana" w:eastAsia="Times New Roman" w:hAnsi="Verdana"/>
      <w:b/>
      <w:kern w:val="32"/>
      <w:lang w:eastAsia="en-GB"/>
    </w:rPr>
  </w:style>
  <w:style w:type="character" w:customStyle="1" w:styleId="No-numheading3AgencyChar">
    <w:name w:val="No-num heading 3 (Agency) Char"/>
    <w:link w:val="No-numheading3Agency"/>
    <w:rsid w:val="003A6E04"/>
    <w:rPr>
      <w:rFonts w:ascii="Verdana" w:hAnsi="Verdana"/>
      <w:b/>
      <w:kern w:val="32"/>
      <w:sz w:val="22"/>
      <w:lang w:val="en-GB" w:eastAsia="en-GB"/>
    </w:rPr>
  </w:style>
  <w:style w:type="paragraph" w:customStyle="1" w:styleId="Standard2">
    <w:name w:val="Standard2"/>
    <w:qFormat/>
    <w:rsid w:val="00841E9A"/>
    <w:pPr>
      <w:tabs>
        <w:tab w:val="left" w:pos="567"/>
      </w:tabs>
    </w:pPr>
    <w:rPr>
      <w:sz w:val="22"/>
      <w:lang w:val="en-GB" w:eastAsia="en-US"/>
    </w:rPr>
  </w:style>
  <w:style w:type="paragraph" w:customStyle="1" w:styleId="pf0">
    <w:name w:val="pf0"/>
    <w:basedOn w:val="Normal"/>
    <w:rsid w:val="00BC4904"/>
    <w:pPr>
      <w:tabs>
        <w:tab w:val="clear" w:pos="567"/>
      </w:tabs>
      <w:suppressAutoHyphens w:val="0"/>
      <w:spacing w:before="100" w:beforeAutospacing="1" w:after="100" w:afterAutospacing="1"/>
    </w:pPr>
    <w:rPr>
      <w:rFonts w:eastAsia="Times New Roman"/>
      <w:sz w:val="24"/>
      <w:szCs w:val="24"/>
      <w:lang w:val="nb-NO" w:eastAsia="nb-NO"/>
    </w:rPr>
  </w:style>
  <w:style w:type="character" w:customStyle="1" w:styleId="cf01">
    <w:name w:val="cf01"/>
    <w:basedOn w:val="DefaultParagraphFont"/>
    <w:rsid w:val="00BC4904"/>
    <w:rPr>
      <w:rFonts w:ascii="Segoe UI" w:hAnsi="Segoe UI" w:cs="Segoe UI" w:hint="default"/>
      <w:sz w:val="18"/>
      <w:szCs w:val="18"/>
    </w:rPr>
  </w:style>
  <w:style w:type="paragraph" w:customStyle="1" w:styleId="TableParagraph">
    <w:name w:val="Table Paragraph"/>
    <w:basedOn w:val="Normal"/>
    <w:uiPriority w:val="1"/>
    <w:qFormat/>
    <w:rsid w:val="006B6451"/>
    <w:pPr>
      <w:widowControl w:val="0"/>
      <w:tabs>
        <w:tab w:val="clear" w:pos="567"/>
      </w:tabs>
      <w:suppressAutoHyphens w:val="0"/>
      <w:autoSpaceDE w:val="0"/>
      <w:autoSpaceDN w:val="0"/>
      <w:ind w:left="200"/>
    </w:pPr>
    <w:rPr>
      <w:rFonts w:eastAsia="Times New Roman"/>
      <w:szCs w:val="22"/>
      <w:lang w:eastAsia="en-GB" w:bidi="en-GB"/>
    </w:rPr>
  </w:style>
  <w:style w:type="character" w:styleId="UnresolvedMention">
    <w:name w:val="Unresolved Mention"/>
    <w:basedOn w:val="DefaultParagraphFont"/>
    <w:uiPriority w:val="99"/>
    <w:semiHidden/>
    <w:unhideWhenUsed/>
    <w:rsid w:val="00370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7802">
      <w:bodyDiv w:val="1"/>
      <w:marLeft w:val="0"/>
      <w:marRight w:val="0"/>
      <w:marTop w:val="0"/>
      <w:marBottom w:val="0"/>
      <w:divBdr>
        <w:top w:val="none" w:sz="0" w:space="0" w:color="auto"/>
        <w:left w:val="none" w:sz="0" w:space="0" w:color="auto"/>
        <w:bottom w:val="none" w:sz="0" w:space="0" w:color="auto"/>
        <w:right w:val="none" w:sz="0" w:space="0" w:color="auto"/>
      </w:divBdr>
    </w:div>
    <w:div w:id="67463096">
      <w:bodyDiv w:val="1"/>
      <w:marLeft w:val="0"/>
      <w:marRight w:val="0"/>
      <w:marTop w:val="0"/>
      <w:marBottom w:val="0"/>
      <w:divBdr>
        <w:top w:val="none" w:sz="0" w:space="0" w:color="auto"/>
        <w:left w:val="none" w:sz="0" w:space="0" w:color="auto"/>
        <w:bottom w:val="none" w:sz="0" w:space="0" w:color="auto"/>
        <w:right w:val="none" w:sz="0" w:space="0" w:color="auto"/>
      </w:divBdr>
    </w:div>
    <w:div w:id="122506474">
      <w:bodyDiv w:val="1"/>
      <w:marLeft w:val="0"/>
      <w:marRight w:val="0"/>
      <w:marTop w:val="0"/>
      <w:marBottom w:val="0"/>
      <w:divBdr>
        <w:top w:val="none" w:sz="0" w:space="0" w:color="auto"/>
        <w:left w:val="none" w:sz="0" w:space="0" w:color="auto"/>
        <w:bottom w:val="none" w:sz="0" w:space="0" w:color="auto"/>
        <w:right w:val="none" w:sz="0" w:space="0" w:color="auto"/>
      </w:divBdr>
    </w:div>
    <w:div w:id="273828074">
      <w:bodyDiv w:val="1"/>
      <w:marLeft w:val="0"/>
      <w:marRight w:val="0"/>
      <w:marTop w:val="0"/>
      <w:marBottom w:val="0"/>
      <w:divBdr>
        <w:top w:val="none" w:sz="0" w:space="0" w:color="auto"/>
        <w:left w:val="none" w:sz="0" w:space="0" w:color="auto"/>
        <w:bottom w:val="none" w:sz="0" w:space="0" w:color="auto"/>
        <w:right w:val="none" w:sz="0" w:space="0" w:color="auto"/>
      </w:divBdr>
    </w:div>
    <w:div w:id="383456009">
      <w:bodyDiv w:val="1"/>
      <w:marLeft w:val="0"/>
      <w:marRight w:val="0"/>
      <w:marTop w:val="0"/>
      <w:marBottom w:val="0"/>
      <w:divBdr>
        <w:top w:val="none" w:sz="0" w:space="0" w:color="auto"/>
        <w:left w:val="none" w:sz="0" w:space="0" w:color="auto"/>
        <w:bottom w:val="none" w:sz="0" w:space="0" w:color="auto"/>
        <w:right w:val="none" w:sz="0" w:space="0" w:color="auto"/>
      </w:divBdr>
    </w:div>
    <w:div w:id="399910560">
      <w:bodyDiv w:val="1"/>
      <w:marLeft w:val="0"/>
      <w:marRight w:val="0"/>
      <w:marTop w:val="0"/>
      <w:marBottom w:val="0"/>
      <w:divBdr>
        <w:top w:val="none" w:sz="0" w:space="0" w:color="auto"/>
        <w:left w:val="none" w:sz="0" w:space="0" w:color="auto"/>
        <w:bottom w:val="none" w:sz="0" w:space="0" w:color="auto"/>
        <w:right w:val="none" w:sz="0" w:space="0" w:color="auto"/>
      </w:divBdr>
    </w:div>
    <w:div w:id="526411996">
      <w:bodyDiv w:val="1"/>
      <w:marLeft w:val="0"/>
      <w:marRight w:val="0"/>
      <w:marTop w:val="0"/>
      <w:marBottom w:val="0"/>
      <w:divBdr>
        <w:top w:val="none" w:sz="0" w:space="0" w:color="auto"/>
        <w:left w:val="none" w:sz="0" w:space="0" w:color="auto"/>
        <w:bottom w:val="none" w:sz="0" w:space="0" w:color="auto"/>
        <w:right w:val="none" w:sz="0" w:space="0" w:color="auto"/>
      </w:divBdr>
      <w:divsChild>
        <w:div w:id="1823890893">
          <w:marLeft w:val="0"/>
          <w:marRight w:val="0"/>
          <w:marTop w:val="0"/>
          <w:marBottom w:val="0"/>
          <w:divBdr>
            <w:top w:val="none" w:sz="0" w:space="0" w:color="auto"/>
            <w:left w:val="none" w:sz="0" w:space="0" w:color="auto"/>
            <w:bottom w:val="none" w:sz="0" w:space="0" w:color="auto"/>
            <w:right w:val="none" w:sz="0" w:space="0" w:color="auto"/>
          </w:divBdr>
          <w:divsChild>
            <w:div w:id="2061517595">
              <w:marLeft w:val="0"/>
              <w:marRight w:val="0"/>
              <w:marTop w:val="0"/>
              <w:marBottom w:val="0"/>
              <w:divBdr>
                <w:top w:val="none" w:sz="0" w:space="0" w:color="auto"/>
                <w:left w:val="none" w:sz="0" w:space="0" w:color="auto"/>
                <w:bottom w:val="none" w:sz="0" w:space="0" w:color="auto"/>
                <w:right w:val="none" w:sz="0" w:space="0" w:color="auto"/>
              </w:divBdr>
              <w:divsChild>
                <w:div w:id="1747875047">
                  <w:marLeft w:val="0"/>
                  <w:marRight w:val="0"/>
                  <w:marTop w:val="0"/>
                  <w:marBottom w:val="0"/>
                  <w:divBdr>
                    <w:top w:val="none" w:sz="0" w:space="0" w:color="auto"/>
                    <w:left w:val="none" w:sz="0" w:space="0" w:color="auto"/>
                    <w:bottom w:val="none" w:sz="0" w:space="0" w:color="auto"/>
                    <w:right w:val="none" w:sz="0" w:space="0" w:color="auto"/>
                  </w:divBdr>
                  <w:divsChild>
                    <w:div w:id="1105149592">
                      <w:marLeft w:val="0"/>
                      <w:marRight w:val="0"/>
                      <w:marTop w:val="0"/>
                      <w:marBottom w:val="0"/>
                      <w:divBdr>
                        <w:top w:val="none" w:sz="0" w:space="0" w:color="auto"/>
                        <w:left w:val="none" w:sz="0" w:space="0" w:color="auto"/>
                        <w:bottom w:val="none" w:sz="0" w:space="0" w:color="auto"/>
                        <w:right w:val="none" w:sz="0" w:space="0" w:color="auto"/>
                      </w:divBdr>
                      <w:divsChild>
                        <w:div w:id="373500646">
                          <w:marLeft w:val="0"/>
                          <w:marRight w:val="0"/>
                          <w:marTop w:val="0"/>
                          <w:marBottom w:val="0"/>
                          <w:divBdr>
                            <w:top w:val="none" w:sz="0" w:space="0" w:color="auto"/>
                            <w:left w:val="none" w:sz="0" w:space="0" w:color="auto"/>
                            <w:bottom w:val="none" w:sz="0" w:space="0" w:color="auto"/>
                            <w:right w:val="none" w:sz="0" w:space="0" w:color="auto"/>
                          </w:divBdr>
                          <w:divsChild>
                            <w:div w:id="200678226">
                              <w:marLeft w:val="0"/>
                              <w:marRight w:val="0"/>
                              <w:marTop w:val="0"/>
                              <w:marBottom w:val="0"/>
                              <w:divBdr>
                                <w:top w:val="none" w:sz="0" w:space="0" w:color="auto"/>
                                <w:left w:val="none" w:sz="0" w:space="0" w:color="auto"/>
                                <w:bottom w:val="none" w:sz="0" w:space="0" w:color="auto"/>
                                <w:right w:val="none" w:sz="0" w:space="0" w:color="auto"/>
                              </w:divBdr>
                              <w:divsChild>
                                <w:div w:id="428621051">
                                  <w:marLeft w:val="0"/>
                                  <w:marRight w:val="0"/>
                                  <w:marTop w:val="0"/>
                                  <w:marBottom w:val="0"/>
                                  <w:divBdr>
                                    <w:top w:val="none" w:sz="0" w:space="0" w:color="auto"/>
                                    <w:left w:val="none" w:sz="0" w:space="0" w:color="auto"/>
                                    <w:bottom w:val="none" w:sz="0" w:space="0" w:color="auto"/>
                                    <w:right w:val="none" w:sz="0" w:space="0" w:color="auto"/>
                                  </w:divBdr>
                                  <w:divsChild>
                                    <w:div w:id="1473136822">
                                      <w:marLeft w:val="0"/>
                                      <w:marRight w:val="0"/>
                                      <w:marTop w:val="0"/>
                                      <w:marBottom w:val="0"/>
                                      <w:divBdr>
                                        <w:top w:val="none" w:sz="0" w:space="0" w:color="auto"/>
                                        <w:left w:val="none" w:sz="0" w:space="0" w:color="auto"/>
                                        <w:bottom w:val="none" w:sz="0" w:space="0" w:color="auto"/>
                                        <w:right w:val="none" w:sz="0" w:space="0" w:color="auto"/>
                                      </w:divBdr>
                                      <w:divsChild>
                                        <w:div w:id="1407726701">
                                          <w:marLeft w:val="0"/>
                                          <w:marRight w:val="0"/>
                                          <w:marTop w:val="0"/>
                                          <w:marBottom w:val="0"/>
                                          <w:divBdr>
                                            <w:top w:val="none" w:sz="0" w:space="0" w:color="auto"/>
                                            <w:left w:val="none" w:sz="0" w:space="0" w:color="auto"/>
                                            <w:bottom w:val="none" w:sz="0" w:space="0" w:color="auto"/>
                                            <w:right w:val="none" w:sz="0" w:space="0" w:color="auto"/>
                                          </w:divBdr>
                                          <w:divsChild>
                                            <w:div w:id="1107776103">
                                              <w:marLeft w:val="0"/>
                                              <w:marRight w:val="0"/>
                                              <w:marTop w:val="0"/>
                                              <w:marBottom w:val="0"/>
                                              <w:divBdr>
                                                <w:top w:val="none" w:sz="0" w:space="0" w:color="auto"/>
                                                <w:left w:val="none" w:sz="0" w:space="0" w:color="auto"/>
                                                <w:bottom w:val="none" w:sz="0" w:space="0" w:color="auto"/>
                                                <w:right w:val="none" w:sz="0" w:space="0" w:color="auto"/>
                                              </w:divBdr>
                                              <w:divsChild>
                                                <w:div w:id="10312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026986">
      <w:bodyDiv w:val="1"/>
      <w:marLeft w:val="0"/>
      <w:marRight w:val="0"/>
      <w:marTop w:val="0"/>
      <w:marBottom w:val="0"/>
      <w:divBdr>
        <w:top w:val="none" w:sz="0" w:space="0" w:color="auto"/>
        <w:left w:val="none" w:sz="0" w:space="0" w:color="auto"/>
        <w:bottom w:val="none" w:sz="0" w:space="0" w:color="auto"/>
        <w:right w:val="none" w:sz="0" w:space="0" w:color="auto"/>
      </w:divBdr>
      <w:divsChild>
        <w:div w:id="2053648865">
          <w:marLeft w:val="0"/>
          <w:marRight w:val="0"/>
          <w:marTop w:val="0"/>
          <w:marBottom w:val="0"/>
          <w:divBdr>
            <w:top w:val="none" w:sz="0" w:space="0" w:color="auto"/>
            <w:left w:val="none" w:sz="0" w:space="0" w:color="auto"/>
            <w:bottom w:val="none" w:sz="0" w:space="0" w:color="auto"/>
            <w:right w:val="none" w:sz="0" w:space="0" w:color="auto"/>
          </w:divBdr>
        </w:div>
      </w:divsChild>
    </w:div>
    <w:div w:id="818882029">
      <w:bodyDiv w:val="1"/>
      <w:marLeft w:val="0"/>
      <w:marRight w:val="0"/>
      <w:marTop w:val="0"/>
      <w:marBottom w:val="0"/>
      <w:divBdr>
        <w:top w:val="none" w:sz="0" w:space="0" w:color="auto"/>
        <w:left w:val="none" w:sz="0" w:space="0" w:color="auto"/>
        <w:bottom w:val="none" w:sz="0" w:space="0" w:color="auto"/>
        <w:right w:val="none" w:sz="0" w:space="0" w:color="auto"/>
      </w:divBdr>
    </w:div>
    <w:div w:id="850994756">
      <w:bodyDiv w:val="1"/>
      <w:marLeft w:val="0"/>
      <w:marRight w:val="0"/>
      <w:marTop w:val="0"/>
      <w:marBottom w:val="0"/>
      <w:divBdr>
        <w:top w:val="none" w:sz="0" w:space="0" w:color="auto"/>
        <w:left w:val="none" w:sz="0" w:space="0" w:color="auto"/>
        <w:bottom w:val="none" w:sz="0" w:space="0" w:color="auto"/>
        <w:right w:val="none" w:sz="0" w:space="0" w:color="auto"/>
      </w:divBdr>
      <w:divsChild>
        <w:div w:id="1608074846">
          <w:marLeft w:val="0"/>
          <w:marRight w:val="0"/>
          <w:marTop w:val="0"/>
          <w:marBottom w:val="0"/>
          <w:divBdr>
            <w:top w:val="none" w:sz="0" w:space="0" w:color="auto"/>
            <w:left w:val="none" w:sz="0" w:space="0" w:color="auto"/>
            <w:bottom w:val="none" w:sz="0" w:space="0" w:color="auto"/>
            <w:right w:val="none" w:sz="0" w:space="0" w:color="auto"/>
          </w:divBdr>
          <w:divsChild>
            <w:div w:id="1942910780">
              <w:marLeft w:val="0"/>
              <w:marRight w:val="0"/>
              <w:marTop w:val="0"/>
              <w:marBottom w:val="0"/>
              <w:divBdr>
                <w:top w:val="none" w:sz="0" w:space="0" w:color="auto"/>
                <w:left w:val="none" w:sz="0" w:space="0" w:color="auto"/>
                <w:bottom w:val="none" w:sz="0" w:space="0" w:color="auto"/>
                <w:right w:val="none" w:sz="0" w:space="0" w:color="auto"/>
              </w:divBdr>
              <w:divsChild>
                <w:div w:id="77867367">
                  <w:marLeft w:val="0"/>
                  <w:marRight w:val="0"/>
                  <w:marTop w:val="0"/>
                  <w:marBottom w:val="0"/>
                  <w:divBdr>
                    <w:top w:val="none" w:sz="0" w:space="0" w:color="auto"/>
                    <w:left w:val="none" w:sz="0" w:space="0" w:color="auto"/>
                    <w:bottom w:val="none" w:sz="0" w:space="0" w:color="auto"/>
                    <w:right w:val="none" w:sz="0" w:space="0" w:color="auto"/>
                  </w:divBdr>
                  <w:divsChild>
                    <w:div w:id="2008898740">
                      <w:marLeft w:val="0"/>
                      <w:marRight w:val="0"/>
                      <w:marTop w:val="0"/>
                      <w:marBottom w:val="0"/>
                      <w:divBdr>
                        <w:top w:val="none" w:sz="0" w:space="0" w:color="auto"/>
                        <w:left w:val="none" w:sz="0" w:space="0" w:color="auto"/>
                        <w:bottom w:val="none" w:sz="0" w:space="0" w:color="auto"/>
                        <w:right w:val="none" w:sz="0" w:space="0" w:color="auto"/>
                      </w:divBdr>
                      <w:divsChild>
                        <w:div w:id="1031109043">
                          <w:marLeft w:val="0"/>
                          <w:marRight w:val="0"/>
                          <w:marTop w:val="0"/>
                          <w:marBottom w:val="0"/>
                          <w:divBdr>
                            <w:top w:val="none" w:sz="0" w:space="0" w:color="auto"/>
                            <w:left w:val="none" w:sz="0" w:space="0" w:color="auto"/>
                            <w:bottom w:val="none" w:sz="0" w:space="0" w:color="auto"/>
                            <w:right w:val="none" w:sz="0" w:space="0" w:color="auto"/>
                          </w:divBdr>
                          <w:divsChild>
                            <w:div w:id="214585948">
                              <w:marLeft w:val="0"/>
                              <w:marRight w:val="0"/>
                              <w:marTop w:val="0"/>
                              <w:marBottom w:val="0"/>
                              <w:divBdr>
                                <w:top w:val="none" w:sz="0" w:space="0" w:color="auto"/>
                                <w:left w:val="none" w:sz="0" w:space="0" w:color="auto"/>
                                <w:bottom w:val="none" w:sz="0" w:space="0" w:color="auto"/>
                                <w:right w:val="none" w:sz="0" w:space="0" w:color="auto"/>
                              </w:divBdr>
                              <w:divsChild>
                                <w:div w:id="1635408315">
                                  <w:marLeft w:val="0"/>
                                  <w:marRight w:val="0"/>
                                  <w:marTop w:val="0"/>
                                  <w:marBottom w:val="0"/>
                                  <w:divBdr>
                                    <w:top w:val="none" w:sz="0" w:space="0" w:color="auto"/>
                                    <w:left w:val="none" w:sz="0" w:space="0" w:color="auto"/>
                                    <w:bottom w:val="none" w:sz="0" w:space="0" w:color="auto"/>
                                    <w:right w:val="none" w:sz="0" w:space="0" w:color="auto"/>
                                  </w:divBdr>
                                  <w:divsChild>
                                    <w:div w:id="892498764">
                                      <w:marLeft w:val="0"/>
                                      <w:marRight w:val="0"/>
                                      <w:marTop w:val="0"/>
                                      <w:marBottom w:val="0"/>
                                      <w:divBdr>
                                        <w:top w:val="none" w:sz="0" w:space="0" w:color="auto"/>
                                        <w:left w:val="none" w:sz="0" w:space="0" w:color="auto"/>
                                        <w:bottom w:val="none" w:sz="0" w:space="0" w:color="auto"/>
                                        <w:right w:val="none" w:sz="0" w:space="0" w:color="auto"/>
                                      </w:divBdr>
                                      <w:divsChild>
                                        <w:div w:id="577597382">
                                          <w:marLeft w:val="0"/>
                                          <w:marRight w:val="0"/>
                                          <w:marTop w:val="0"/>
                                          <w:marBottom w:val="0"/>
                                          <w:divBdr>
                                            <w:top w:val="none" w:sz="0" w:space="0" w:color="auto"/>
                                            <w:left w:val="none" w:sz="0" w:space="0" w:color="auto"/>
                                            <w:bottom w:val="none" w:sz="0" w:space="0" w:color="auto"/>
                                            <w:right w:val="none" w:sz="0" w:space="0" w:color="auto"/>
                                          </w:divBdr>
                                          <w:divsChild>
                                            <w:div w:id="2137135223">
                                              <w:marLeft w:val="0"/>
                                              <w:marRight w:val="0"/>
                                              <w:marTop w:val="0"/>
                                              <w:marBottom w:val="0"/>
                                              <w:divBdr>
                                                <w:top w:val="none" w:sz="0" w:space="0" w:color="auto"/>
                                                <w:left w:val="none" w:sz="0" w:space="0" w:color="auto"/>
                                                <w:bottom w:val="none" w:sz="0" w:space="0" w:color="auto"/>
                                                <w:right w:val="none" w:sz="0" w:space="0" w:color="auto"/>
                                              </w:divBdr>
                                              <w:divsChild>
                                                <w:div w:id="14428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988882">
      <w:bodyDiv w:val="1"/>
      <w:marLeft w:val="0"/>
      <w:marRight w:val="0"/>
      <w:marTop w:val="0"/>
      <w:marBottom w:val="0"/>
      <w:divBdr>
        <w:top w:val="none" w:sz="0" w:space="0" w:color="auto"/>
        <w:left w:val="none" w:sz="0" w:space="0" w:color="auto"/>
        <w:bottom w:val="none" w:sz="0" w:space="0" w:color="auto"/>
        <w:right w:val="none" w:sz="0" w:space="0" w:color="auto"/>
      </w:divBdr>
    </w:div>
    <w:div w:id="1074161351">
      <w:bodyDiv w:val="1"/>
      <w:marLeft w:val="0"/>
      <w:marRight w:val="0"/>
      <w:marTop w:val="0"/>
      <w:marBottom w:val="0"/>
      <w:divBdr>
        <w:top w:val="none" w:sz="0" w:space="0" w:color="auto"/>
        <w:left w:val="none" w:sz="0" w:space="0" w:color="auto"/>
        <w:bottom w:val="none" w:sz="0" w:space="0" w:color="auto"/>
        <w:right w:val="none" w:sz="0" w:space="0" w:color="auto"/>
      </w:divBdr>
    </w:div>
    <w:div w:id="1074741499">
      <w:bodyDiv w:val="1"/>
      <w:marLeft w:val="0"/>
      <w:marRight w:val="0"/>
      <w:marTop w:val="0"/>
      <w:marBottom w:val="0"/>
      <w:divBdr>
        <w:top w:val="none" w:sz="0" w:space="0" w:color="auto"/>
        <w:left w:val="none" w:sz="0" w:space="0" w:color="auto"/>
        <w:bottom w:val="none" w:sz="0" w:space="0" w:color="auto"/>
        <w:right w:val="none" w:sz="0" w:space="0" w:color="auto"/>
      </w:divBdr>
    </w:div>
    <w:div w:id="1307970305">
      <w:bodyDiv w:val="1"/>
      <w:marLeft w:val="0"/>
      <w:marRight w:val="0"/>
      <w:marTop w:val="0"/>
      <w:marBottom w:val="0"/>
      <w:divBdr>
        <w:top w:val="none" w:sz="0" w:space="0" w:color="auto"/>
        <w:left w:val="none" w:sz="0" w:space="0" w:color="auto"/>
        <w:bottom w:val="none" w:sz="0" w:space="0" w:color="auto"/>
        <w:right w:val="none" w:sz="0" w:space="0" w:color="auto"/>
      </w:divBdr>
    </w:div>
    <w:div w:id="1319067300">
      <w:bodyDiv w:val="1"/>
      <w:marLeft w:val="0"/>
      <w:marRight w:val="0"/>
      <w:marTop w:val="0"/>
      <w:marBottom w:val="0"/>
      <w:divBdr>
        <w:top w:val="none" w:sz="0" w:space="0" w:color="auto"/>
        <w:left w:val="none" w:sz="0" w:space="0" w:color="auto"/>
        <w:bottom w:val="none" w:sz="0" w:space="0" w:color="auto"/>
        <w:right w:val="none" w:sz="0" w:space="0" w:color="auto"/>
      </w:divBdr>
      <w:divsChild>
        <w:div w:id="1278829784">
          <w:marLeft w:val="0"/>
          <w:marRight w:val="0"/>
          <w:marTop w:val="0"/>
          <w:marBottom w:val="0"/>
          <w:divBdr>
            <w:top w:val="none" w:sz="0" w:space="0" w:color="auto"/>
            <w:left w:val="none" w:sz="0" w:space="0" w:color="auto"/>
            <w:bottom w:val="none" w:sz="0" w:space="0" w:color="auto"/>
            <w:right w:val="none" w:sz="0" w:space="0" w:color="auto"/>
          </w:divBdr>
        </w:div>
      </w:divsChild>
    </w:div>
    <w:div w:id="1349680238">
      <w:bodyDiv w:val="1"/>
      <w:marLeft w:val="0"/>
      <w:marRight w:val="0"/>
      <w:marTop w:val="0"/>
      <w:marBottom w:val="0"/>
      <w:divBdr>
        <w:top w:val="none" w:sz="0" w:space="0" w:color="auto"/>
        <w:left w:val="none" w:sz="0" w:space="0" w:color="auto"/>
        <w:bottom w:val="none" w:sz="0" w:space="0" w:color="auto"/>
        <w:right w:val="none" w:sz="0" w:space="0" w:color="auto"/>
      </w:divBdr>
      <w:divsChild>
        <w:div w:id="1240868178">
          <w:marLeft w:val="0"/>
          <w:marRight w:val="0"/>
          <w:marTop w:val="0"/>
          <w:marBottom w:val="0"/>
          <w:divBdr>
            <w:top w:val="none" w:sz="0" w:space="0" w:color="auto"/>
            <w:left w:val="none" w:sz="0" w:space="0" w:color="auto"/>
            <w:bottom w:val="none" w:sz="0" w:space="0" w:color="auto"/>
            <w:right w:val="none" w:sz="0" w:space="0" w:color="auto"/>
          </w:divBdr>
          <w:divsChild>
            <w:div w:id="13903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635">
      <w:bodyDiv w:val="1"/>
      <w:marLeft w:val="0"/>
      <w:marRight w:val="0"/>
      <w:marTop w:val="0"/>
      <w:marBottom w:val="0"/>
      <w:divBdr>
        <w:top w:val="none" w:sz="0" w:space="0" w:color="auto"/>
        <w:left w:val="none" w:sz="0" w:space="0" w:color="auto"/>
        <w:bottom w:val="none" w:sz="0" w:space="0" w:color="auto"/>
        <w:right w:val="none" w:sz="0" w:space="0" w:color="auto"/>
      </w:divBdr>
    </w:div>
    <w:div w:id="1379936663">
      <w:bodyDiv w:val="1"/>
      <w:marLeft w:val="0"/>
      <w:marRight w:val="0"/>
      <w:marTop w:val="0"/>
      <w:marBottom w:val="0"/>
      <w:divBdr>
        <w:top w:val="none" w:sz="0" w:space="0" w:color="auto"/>
        <w:left w:val="none" w:sz="0" w:space="0" w:color="auto"/>
        <w:bottom w:val="none" w:sz="0" w:space="0" w:color="auto"/>
        <w:right w:val="none" w:sz="0" w:space="0" w:color="auto"/>
      </w:divBdr>
    </w:div>
    <w:div w:id="1707638403">
      <w:bodyDiv w:val="1"/>
      <w:marLeft w:val="0"/>
      <w:marRight w:val="0"/>
      <w:marTop w:val="0"/>
      <w:marBottom w:val="0"/>
      <w:divBdr>
        <w:top w:val="none" w:sz="0" w:space="0" w:color="auto"/>
        <w:left w:val="none" w:sz="0" w:space="0" w:color="auto"/>
        <w:bottom w:val="none" w:sz="0" w:space="0" w:color="auto"/>
        <w:right w:val="none" w:sz="0" w:space="0" w:color="auto"/>
      </w:divBdr>
    </w:div>
    <w:div w:id="1924217128">
      <w:bodyDiv w:val="1"/>
      <w:marLeft w:val="0"/>
      <w:marRight w:val="0"/>
      <w:marTop w:val="0"/>
      <w:marBottom w:val="0"/>
      <w:divBdr>
        <w:top w:val="none" w:sz="0" w:space="0" w:color="auto"/>
        <w:left w:val="none" w:sz="0" w:space="0" w:color="auto"/>
        <w:bottom w:val="none" w:sz="0" w:space="0" w:color="auto"/>
        <w:right w:val="none" w:sz="0" w:space="0" w:color="auto"/>
      </w:divBdr>
      <w:divsChild>
        <w:div w:id="1014695859">
          <w:marLeft w:val="0"/>
          <w:marRight w:val="0"/>
          <w:marTop w:val="0"/>
          <w:marBottom w:val="0"/>
          <w:divBdr>
            <w:top w:val="none" w:sz="0" w:space="0" w:color="auto"/>
            <w:left w:val="none" w:sz="0" w:space="0" w:color="auto"/>
            <w:bottom w:val="none" w:sz="0" w:space="0" w:color="auto"/>
            <w:right w:val="none" w:sz="0" w:space="0" w:color="auto"/>
          </w:divBdr>
          <w:divsChild>
            <w:div w:id="1488744521">
              <w:marLeft w:val="0"/>
              <w:marRight w:val="0"/>
              <w:marTop w:val="0"/>
              <w:marBottom w:val="0"/>
              <w:divBdr>
                <w:top w:val="none" w:sz="0" w:space="0" w:color="auto"/>
                <w:left w:val="none" w:sz="0" w:space="0" w:color="auto"/>
                <w:bottom w:val="none" w:sz="0" w:space="0" w:color="auto"/>
                <w:right w:val="none" w:sz="0" w:space="0" w:color="auto"/>
              </w:divBdr>
              <w:divsChild>
                <w:div w:id="72515475">
                  <w:marLeft w:val="0"/>
                  <w:marRight w:val="0"/>
                  <w:marTop w:val="0"/>
                  <w:marBottom w:val="0"/>
                  <w:divBdr>
                    <w:top w:val="none" w:sz="0" w:space="0" w:color="auto"/>
                    <w:left w:val="none" w:sz="0" w:space="0" w:color="auto"/>
                    <w:bottom w:val="none" w:sz="0" w:space="0" w:color="auto"/>
                    <w:right w:val="none" w:sz="0" w:space="0" w:color="auto"/>
                  </w:divBdr>
                  <w:divsChild>
                    <w:div w:id="806583838">
                      <w:marLeft w:val="0"/>
                      <w:marRight w:val="0"/>
                      <w:marTop w:val="0"/>
                      <w:marBottom w:val="0"/>
                      <w:divBdr>
                        <w:top w:val="none" w:sz="0" w:space="0" w:color="auto"/>
                        <w:left w:val="none" w:sz="0" w:space="0" w:color="auto"/>
                        <w:bottom w:val="none" w:sz="0" w:space="0" w:color="auto"/>
                        <w:right w:val="none" w:sz="0" w:space="0" w:color="auto"/>
                      </w:divBdr>
                      <w:divsChild>
                        <w:div w:id="1143740662">
                          <w:marLeft w:val="0"/>
                          <w:marRight w:val="0"/>
                          <w:marTop w:val="0"/>
                          <w:marBottom w:val="0"/>
                          <w:divBdr>
                            <w:top w:val="none" w:sz="0" w:space="0" w:color="auto"/>
                            <w:left w:val="none" w:sz="0" w:space="0" w:color="auto"/>
                            <w:bottom w:val="none" w:sz="0" w:space="0" w:color="auto"/>
                            <w:right w:val="none" w:sz="0" w:space="0" w:color="auto"/>
                          </w:divBdr>
                          <w:divsChild>
                            <w:div w:id="5873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5522">
      <w:bodyDiv w:val="1"/>
      <w:marLeft w:val="0"/>
      <w:marRight w:val="0"/>
      <w:marTop w:val="0"/>
      <w:marBottom w:val="0"/>
      <w:divBdr>
        <w:top w:val="none" w:sz="0" w:space="0" w:color="auto"/>
        <w:left w:val="none" w:sz="0" w:space="0" w:color="auto"/>
        <w:bottom w:val="none" w:sz="0" w:space="0" w:color="auto"/>
        <w:right w:val="none" w:sz="0" w:space="0" w:color="auto"/>
      </w:divBdr>
    </w:div>
    <w:div w:id="2019916462">
      <w:bodyDiv w:val="1"/>
      <w:marLeft w:val="0"/>
      <w:marRight w:val="0"/>
      <w:marTop w:val="0"/>
      <w:marBottom w:val="0"/>
      <w:divBdr>
        <w:top w:val="none" w:sz="0" w:space="0" w:color="auto"/>
        <w:left w:val="none" w:sz="0" w:space="0" w:color="auto"/>
        <w:bottom w:val="none" w:sz="0" w:space="0" w:color="auto"/>
        <w:right w:val="none" w:sz="0" w:space="0" w:color="auto"/>
      </w:divBdr>
      <w:divsChild>
        <w:div w:id="1792283502">
          <w:marLeft w:val="0"/>
          <w:marRight w:val="0"/>
          <w:marTop w:val="0"/>
          <w:marBottom w:val="0"/>
          <w:divBdr>
            <w:top w:val="none" w:sz="0" w:space="0" w:color="auto"/>
            <w:left w:val="none" w:sz="0" w:space="0" w:color="auto"/>
            <w:bottom w:val="none" w:sz="0" w:space="0" w:color="auto"/>
            <w:right w:val="none" w:sz="0" w:space="0" w:color="auto"/>
          </w:divBdr>
          <w:divsChild>
            <w:div w:id="3675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5522">
      <w:bodyDiv w:val="1"/>
      <w:marLeft w:val="0"/>
      <w:marRight w:val="0"/>
      <w:marTop w:val="0"/>
      <w:marBottom w:val="0"/>
      <w:divBdr>
        <w:top w:val="none" w:sz="0" w:space="0" w:color="auto"/>
        <w:left w:val="none" w:sz="0" w:space="0" w:color="auto"/>
        <w:bottom w:val="none" w:sz="0" w:space="0" w:color="auto"/>
        <w:right w:val="none" w:sz="0" w:space="0" w:color="auto"/>
      </w:divBdr>
    </w:div>
    <w:div w:id="20674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ema.europa.eu/en/medicines/human/EPAR/dimethyl-fumarate-accord"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3.xml"/><Relationship Id="rId27"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EMADOC-1700519818-2385112</_dlc_DocId>
    <_dlc_DocIdUrl xmlns="a034c160-bfb7-45f5-8632-2eb7e0508071">
      <Url>https://euema.sharepoint.com/sites/CRM/_layouts/15/DocIdRedir.aspx?ID=EMADOC-1700519818-2385112</Url>
      <Description>EMADOC-1700519818-2385112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BC2894-86A9-43BF-A9A7-3FF7C26CDD10}">
  <ds:schemaRefs>
    <ds:schemaRef ds:uri="http://schemas.microsoft.com/office/2006/metadata/longProperties"/>
  </ds:schemaRefs>
</ds:datastoreItem>
</file>

<file path=customXml/itemProps2.xml><?xml version="1.0" encoding="utf-8"?>
<ds:datastoreItem xmlns:ds="http://schemas.openxmlformats.org/officeDocument/2006/customXml" ds:itemID="{9D92070E-0F76-4930-BBF4-3B875A9E3E4E}">
  <ds:schemaRefs>
    <ds:schemaRef ds:uri="http://schemas.microsoft.com/sharepoint/v3/contenttype/forms"/>
  </ds:schemaRefs>
</ds:datastoreItem>
</file>

<file path=customXml/itemProps3.xml><?xml version="1.0" encoding="utf-8"?>
<ds:datastoreItem xmlns:ds="http://schemas.openxmlformats.org/officeDocument/2006/customXml" ds:itemID="{1C5CC47E-598C-4BFD-8FB7-678B2718902A}">
  <ds:schemaRefs>
    <ds:schemaRef ds:uri="http://schemas.openxmlformats.org/officeDocument/2006/bibliography"/>
  </ds:schemaRefs>
</ds:datastoreItem>
</file>

<file path=customXml/itemProps4.xml><?xml version="1.0" encoding="utf-8"?>
<ds:datastoreItem xmlns:ds="http://schemas.openxmlformats.org/officeDocument/2006/customXml" ds:itemID="{0E8EE018-53B2-4853-AD99-A98ECDC84599}">
  <ds:schemaRefs>
    <ds:schemaRef ds:uri="http://purl.org/dc/dcmitype/"/>
    <ds:schemaRef ds:uri="http://www.w3.org/XML/1998/namespace"/>
    <ds:schemaRef ds:uri="c4e9ff09-de2c-4526-a912-55dace768934"/>
    <ds:schemaRef ds:uri="http://purl.org/dc/elements/1.1/"/>
    <ds:schemaRef ds:uri="http://purl.org/dc/terms/"/>
    <ds:schemaRef ds:uri="http://schemas.microsoft.com/office/2006/metadata/properties"/>
    <ds:schemaRef ds:uri="http://schemas.microsoft.com/office/2006/documentManagement/types"/>
    <ds:schemaRef ds:uri="ae5a1c39-a48e-40ff-b6ec-cca187fd8be7"/>
    <ds:schemaRef ds:uri="http://schemas.microsoft.com/office/infopath/2007/PartnerControls"/>
    <ds:schemaRef ds:uri="http://schemas.openxmlformats.org/package/2006/metadata/core-properties"/>
    <ds:schemaRef ds:uri="eb6aad3b-1cc7-4608-acce-3f727fc4a671"/>
  </ds:schemaRefs>
</ds:datastoreItem>
</file>

<file path=customXml/itemProps5.xml><?xml version="1.0" encoding="utf-8"?>
<ds:datastoreItem xmlns:ds="http://schemas.openxmlformats.org/officeDocument/2006/customXml" ds:itemID="{6A598C58-54A7-4A4F-9BCA-6E81266B66FC}"/>
</file>

<file path=customXml/itemProps6.xml><?xml version="1.0" encoding="utf-8"?>
<ds:datastoreItem xmlns:ds="http://schemas.openxmlformats.org/officeDocument/2006/customXml" ds:itemID="{09B124FA-7EB9-403D-B2F9-F41E3F0D1177}"/>
</file>

<file path=docProps/app.xml><?xml version="1.0" encoding="utf-8"?>
<Properties xmlns="http://schemas.openxmlformats.org/officeDocument/2006/extended-properties" xmlns:vt="http://schemas.openxmlformats.org/officeDocument/2006/docPropsVTypes">
  <Template>Normal</Template>
  <TotalTime>51</TotalTime>
  <Pages>41</Pages>
  <Words>12922</Words>
  <Characters>73656</Characters>
  <Application>Microsoft Office Word</Application>
  <DocSecurity>0</DocSecurity>
  <Lines>613</Lines>
  <Paragraphs>172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86406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54</cp:revision>
  <cp:lastPrinted>2023-01-12T08:02:00Z</cp:lastPrinted>
  <dcterms:created xsi:type="dcterms:W3CDTF">2025-02-24T17:19:00Z</dcterms:created>
  <dcterms:modified xsi:type="dcterms:W3CDTF">2025-08-14T11:15:00Z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2022-07-27T09:57:22Z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74c19382-da02-46a7-a31a-fbbf21043770</vt:lpwstr>
  </property>
  <property fmtid="{D5CDD505-2E9C-101B-9397-08002B2CF9AE}" pid="8" name="MSIP_Label_503f6870-8cd0-455e-9544-ac69fe858a10_ContentBits">
    <vt:lpwstr>2</vt:lpwstr>
  </property>
  <property fmtid="{D5CDD505-2E9C-101B-9397-08002B2CF9AE}" pid="9" name="ContentTypeId">
    <vt:lpwstr>0x0101000DA6AD19014FF648A49316945EE786F90200176DED4FF78CD74995F64A0F46B59E48</vt:lpwstr>
  </property>
  <property fmtid="{D5CDD505-2E9C-101B-9397-08002B2CF9AE}" pid="10" name="MSIP_Label_926dd0f0-549d-4a31-862c-c1638adefb3b_Enabled">
    <vt:lpwstr>true</vt:lpwstr>
  </property>
  <property fmtid="{D5CDD505-2E9C-101B-9397-08002B2CF9AE}" pid="11" name="MSIP_Label_926dd0f0-549d-4a31-862c-c1638adefb3b_SetDate">
    <vt:lpwstr>2024-04-04T13:50:18Z</vt:lpwstr>
  </property>
  <property fmtid="{D5CDD505-2E9C-101B-9397-08002B2CF9AE}" pid="12" name="MSIP_Label_926dd0f0-549d-4a31-862c-c1638adefb3b_Method">
    <vt:lpwstr>Privileged</vt:lpwstr>
  </property>
  <property fmtid="{D5CDD505-2E9C-101B-9397-08002B2CF9AE}" pid="13" name="MSIP_Label_926dd0f0-549d-4a31-862c-c1638adefb3b_Name">
    <vt:lpwstr>General Business Data</vt:lpwstr>
  </property>
  <property fmtid="{D5CDD505-2E9C-101B-9397-08002B2CF9AE}" pid="14" name="MSIP_Label_926dd0f0-549d-4a31-862c-c1638adefb3b_SiteId">
    <vt:lpwstr>565796f8-44be-4e6f-86bd-5f094ff1fe93</vt:lpwstr>
  </property>
  <property fmtid="{D5CDD505-2E9C-101B-9397-08002B2CF9AE}" pid="15" name="MSIP_Label_926dd0f0-549d-4a31-862c-c1638adefb3b_ActionId">
    <vt:lpwstr>18f7deee-764a-453d-8539-efbca330d850</vt:lpwstr>
  </property>
  <property fmtid="{D5CDD505-2E9C-101B-9397-08002B2CF9AE}" pid="16" name="MSIP_Label_926dd0f0-549d-4a31-862c-c1638adefb3b_ContentBits">
    <vt:lpwstr>0</vt:lpwstr>
  </property>
  <property fmtid="{D5CDD505-2E9C-101B-9397-08002B2CF9AE}" pid="17" name="MediaServiceImageTags">
    <vt:lpwstr/>
  </property>
  <property fmtid="{D5CDD505-2E9C-101B-9397-08002B2CF9AE}" pid="18" name="_dlc_DocIdItemGuid">
    <vt:lpwstr>03c89ea2-8971-4052-9909-8c67e75d5dcf</vt:lpwstr>
  </property>
</Properties>
</file>