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46BD7" w:rsidRPr="00246BD7" w14:paraId="10F21555" w14:textId="77777777" w:rsidTr="005828A8">
        <w:tc>
          <w:tcPr>
            <w:tcW w:w="9061" w:type="dxa"/>
          </w:tcPr>
          <w:p w14:paraId="60352B01" w14:textId="167544AA" w:rsidR="00246BD7" w:rsidRPr="00246BD7" w:rsidRDefault="00246BD7" w:rsidP="005828A8">
            <w:pPr>
              <w:widowControl w:val="0"/>
              <w:tabs>
                <w:tab w:val="clear" w:pos="567"/>
              </w:tabs>
            </w:pPr>
            <w:r w:rsidRPr="00246BD7">
              <w:t>Dette dokumentet er den godkjente produktinformasjonen for Otezla. Endringer siden forrige prosedyre som påvirker produktinformasjonen (EMEA/H/C/003746/II/0044/G) er uthevet.</w:t>
            </w:r>
          </w:p>
          <w:p w14:paraId="72BF9CA7" w14:textId="77777777" w:rsidR="00246BD7" w:rsidRPr="00246BD7" w:rsidRDefault="00246BD7" w:rsidP="005828A8">
            <w:pPr>
              <w:widowControl w:val="0"/>
              <w:tabs>
                <w:tab w:val="clear" w:pos="567"/>
              </w:tabs>
            </w:pPr>
          </w:p>
          <w:p w14:paraId="325C1082" w14:textId="6FA2A4BC" w:rsidR="00246BD7" w:rsidRPr="00246BD7" w:rsidRDefault="00246BD7" w:rsidP="00246BD7">
            <w:r w:rsidRPr="00246BD7">
              <w:t xml:space="preserve">Mer informasjon finnes på nettstedet til Det europeiske legemiddelkontoret: </w:t>
            </w:r>
            <w:hyperlink r:id="rId10" w:history="1">
              <w:r w:rsidRPr="00246BD7">
                <w:rPr>
                  <w:rStyle w:val="Hyperlink"/>
                </w:rPr>
                <w:t>https://www.ema.europa.eu/en/medicines/human/EPAR/otezla</w:t>
              </w:r>
            </w:hyperlink>
          </w:p>
        </w:tc>
      </w:tr>
    </w:tbl>
    <w:p w14:paraId="118366A1" w14:textId="77777777" w:rsidR="004E65A9" w:rsidRPr="00BD1AD5" w:rsidRDefault="004E65A9" w:rsidP="003F09AA"/>
    <w:p w14:paraId="7904EACD" w14:textId="77777777" w:rsidR="004E65A9" w:rsidRPr="00BD1AD5" w:rsidRDefault="004E65A9" w:rsidP="003F09AA"/>
    <w:p w14:paraId="4CB0C324" w14:textId="77777777" w:rsidR="004E65A9" w:rsidRPr="00BD1AD5" w:rsidRDefault="004E65A9" w:rsidP="003F09AA"/>
    <w:p w14:paraId="343B21E8" w14:textId="77777777" w:rsidR="004E65A9" w:rsidRPr="00BD1AD5" w:rsidRDefault="004E65A9" w:rsidP="003F09AA"/>
    <w:p w14:paraId="5B909559" w14:textId="77777777" w:rsidR="004E65A9" w:rsidRPr="00BD1AD5" w:rsidRDefault="004E65A9" w:rsidP="003F09AA"/>
    <w:p w14:paraId="54BE6FE4" w14:textId="77777777" w:rsidR="004E65A9" w:rsidRPr="00BD1AD5" w:rsidRDefault="004E65A9" w:rsidP="003F09AA"/>
    <w:p w14:paraId="28D761A2" w14:textId="77777777" w:rsidR="004E65A9" w:rsidRPr="00BD1AD5" w:rsidRDefault="004E65A9" w:rsidP="003F09AA"/>
    <w:p w14:paraId="69C95B97" w14:textId="77777777" w:rsidR="004E65A9" w:rsidRPr="00BD1AD5" w:rsidRDefault="004E65A9" w:rsidP="003F09AA"/>
    <w:p w14:paraId="6CCBA497" w14:textId="77777777" w:rsidR="004E65A9" w:rsidRPr="00BD1AD5" w:rsidRDefault="004E65A9" w:rsidP="003F09AA"/>
    <w:p w14:paraId="5B7634E8" w14:textId="77777777" w:rsidR="004E65A9" w:rsidRPr="00BD1AD5" w:rsidRDefault="004E65A9" w:rsidP="003F09AA"/>
    <w:p w14:paraId="60D89274" w14:textId="77777777" w:rsidR="004E65A9" w:rsidRPr="00BD1AD5" w:rsidRDefault="004E65A9" w:rsidP="003F09AA"/>
    <w:p w14:paraId="6F7754BD" w14:textId="77777777" w:rsidR="004E65A9" w:rsidRPr="00BD1AD5" w:rsidRDefault="004E65A9" w:rsidP="003F09AA"/>
    <w:p w14:paraId="4FFAC661" w14:textId="77777777" w:rsidR="004E65A9" w:rsidRPr="00BD1AD5" w:rsidRDefault="004E65A9" w:rsidP="003F09AA"/>
    <w:p w14:paraId="62994A7B" w14:textId="77777777" w:rsidR="004E65A9" w:rsidRPr="00BD1AD5" w:rsidRDefault="004E65A9" w:rsidP="003F09AA"/>
    <w:p w14:paraId="2DCB4952" w14:textId="77777777" w:rsidR="004E65A9" w:rsidRPr="00BD1AD5" w:rsidRDefault="004E65A9" w:rsidP="003F09AA"/>
    <w:p w14:paraId="6AC89332" w14:textId="77777777" w:rsidR="004E65A9" w:rsidRPr="00BD1AD5" w:rsidRDefault="004E65A9" w:rsidP="003F09AA"/>
    <w:p w14:paraId="08E4A3CC" w14:textId="77777777" w:rsidR="004E65A9" w:rsidRPr="00BD1AD5" w:rsidRDefault="004E65A9" w:rsidP="003F09AA"/>
    <w:p w14:paraId="466C819B" w14:textId="77777777" w:rsidR="004E65A9" w:rsidRPr="00BD1AD5" w:rsidRDefault="004E65A9" w:rsidP="003F09AA"/>
    <w:p w14:paraId="4BB4EF80" w14:textId="77777777" w:rsidR="004E65A9" w:rsidRPr="00BD1AD5" w:rsidRDefault="004E65A9" w:rsidP="003F09AA">
      <w:pPr>
        <w:jc w:val="center"/>
        <w:outlineLvl w:val="0"/>
      </w:pPr>
      <w:r>
        <w:rPr>
          <w:b/>
        </w:rPr>
        <w:t>VEDLEGG I</w:t>
      </w:r>
    </w:p>
    <w:p w14:paraId="7754D352" w14:textId="77777777" w:rsidR="004E65A9" w:rsidRPr="00BD1AD5" w:rsidRDefault="004E65A9" w:rsidP="003F09AA"/>
    <w:p w14:paraId="0C3BD81E" w14:textId="77777777" w:rsidR="004E65A9" w:rsidRPr="00BD1AD5" w:rsidRDefault="004E65A9" w:rsidP="003F09AA">
      <w:pPr>
        <w:pStyle w:val="TitleA"/>
      </w:pPr>
      <w:r>
        <w:t>PREPARATOMTALE</w:t>
      </w:r>
    </w:p>
    <w:p w14:paraId="6EDEBCF4" w14:textId="77777777" w:rsidR="004E65A9" w:rsidRPr="00BD1AD5" w:rsidRDefault="004E65A9" w:rsidP="003F09AA">
      <w:pPr>
        <w:pStyle w:val="StyleHeadings"/>
      </w:pPr>
      <w:r>
        <w:br w:type="page"/>
      </w:r>
      <w:r>
        <w:lastRenderedPageBreak/>
        <w:t>1.</w:t>
      </w:r>
      <w:r>
        <w:tab/>
        <w:t>LEGEMIDLETS NAVN</w:t>
      </w:r>
    </w:p>
    <w:p w14:paraId="7203D679" w14:textId="77777777" w:rsidR="004E65A9" w:rsidRPr="00BD1AD5" w:rsidRDefault="004E65A9" w:rsidP="003F09AA">
      <w:pPr>
        <w:keepNext/>
        <w:rPr>
          <w:iCs/>
          <w:noProof/>
        </w:rPr>
      </w:pPr>
    </w:p>
    <w:p w14:paraId="1847C749" w14:textId="77777777" w:rsidR="004E65A9" w:rsidRPr="00BD1AD5" w:rsidRDefault="004E65A9" w:rsidP="003F09AA">
      <w:pPr>
        <w:rPr>
          <w:noProof/>
        </w:rPr>
      </w:pPr>
      <w:r>
        <w:t>Otezla 10 mg tabletter, filmdrasjerte</w:t>
      </w:r>
    </w:p>
    <w:p w14:paraId="14B50195" w14:textId="77777777" w:rsidR="004E65A9" w:rsidRPr="00BD1AD5" w:rsidRDefault="004E65A9" w:rsidP="003F09AA">
      <w:pPr>
        <w:rPr>
          <w:noProof/>
        </w:rPr>
      </w:pPr>
      <w:r>
        <w:t>Otezla 20 mg tabletter, filmdrasjerte</w:t>
      </w:r>
    </w:p>
    <w:p w14:paraId="7F0A5E3B" w14:textId="77777777" w:rsidR="004E65A9" w:rsidRPr="00BD1AD5" w:rsidRDefault="004E65A9" w:rsidP="003F09AA">
      <w:pPr>
        <w:rPr>
          <w:iCs/>
          <w:noProof/>
        </w:rPr>
      </w:pPr>
      <w:r>
        <w:t>Otezla 30 mg tabletter, filmdrasjerte</w:t>
      </w:r>
    </w:p>
    <w:p w14:paraId="4BCE0AF9" w14:textId="77777777" w:rsidR="004E65A9" w:rsidRPr="00BD1AD5" w:rsidRDefault="004E65A9" w:rsidP="003F09AA">
      <w:pPr>
        <w:rPr>
          <w:iCs/>
          <w:noProof/>
        </w:rPr>
      </w:pPr>
    </w:p>
    <w:p w14:paraId="3A87D0F1" w14:textId="77777777" w:rsidR="004E65A9" w:rsidRPr="00BD1AD5" w:rsidRDefault="004E65A9" w:rsidP="003F09AA">
      <w:pPr>
        <w:rPr>
          <w:iCs/>
          <w:noProof/>
        </w:rPr>
      </w:pPr>
    </w:p>
    <w:p w14:paraId="07678944" w14:textId="77777777" w:rsidR="004E65A9" w:rsidRPr="00BD1AD5" w:rsidRDefault="004E65A9" w:rsidP="003F09AA">
      <w:pPr>
        <w:pStyle w:val="StyleHeadings"/>
      </w:pPr>
      <w:r>
        <w:t>2.</w:t>
      </w:r>
      <w:r>
        <w:tab/>
        <w:t>KVALITATIV OG KVANTITATIV SAMMENSETNING</w:t>
      </w:r>
    </w:p>
    <w:p w14:paraId="2A09B5C5" w14:textId="77777777" w:rsidR="004E65A9" w:rsidRPr="000B27C9" w:rsidRDefault="004E65A9" w:rsidP="003F09AA">
      <w:pPr>
        <w:pStyle w:val="C-BodyText"/>
        <w:keepNext/>
        <w:spacing w:before="0" w:after="0" w:line="240" w:lineRule="auto"/>
        <w:rPr>
          <w:noProof/>
          <w:sz w:val="22"/>
          <w:szCs w:val="22"/>
        </w:rPr>
      </w:pPr>
    </w:p>
    <w:p w14:paraId="518F05A8" w14:textId="77777777" w:rsidR="004E65A9" w:rsidRPr="00BD1AD5" w:rsidRDefault="004E65A9" w:rsidP="003F09AA">
      <w:pPr>
        <w:keepNext/>
        <w:rPr>
          <w:noProof/>
          <w:u w:val="single"/>
        </w:rPr>
      </w:pPr>
      <w:r>
        <w:rPr>
          <w:u w:val="single"/>
        </w:rPr>
        <w:t>Otezla 10 mg tabletter, filmdrasjerte</w:t>
      </w:r>
    </w:p>
    <w:p w14:paraId="76D8D59F" w14:textId="77777777" w:rsidR="004E65A9" w:rsidRPr="000B27C9" w:rsidRDefault="004E65A9" w:rsidP="003F09AA">
      <w:pPr>
        <w:pStyle w:val="C-BodyText"/>
        <w:keepNext/>
        <w:spacing w:before="0" w:after="0" w:line="240" w:lineRule="auto"/>
        <w:rPr>
          <w:noProof/>
          <w:sz w:val="22"/>
          <w:szCs w:val="22"/>
        </w:rPr>
      </w:pPr>
    </w:p>
    <w:p w14:paraId="77881B8F" w14:textId="77777777" w:rsidR="004E65A9" w:rsidRPr="00BD1AD5" w:rsidRDefault="004E65A9" w:rsidP="003F09AA">
      <w:pPr>
        <w:pStyle w:val="C-BodyText"/>
        <w:spacing w:before="0" w:after="0" w:line="240" w:lineRule="auto"/>
        <w:rPr>
          <w:noProof/>
          <w:sz w:val="22"/>
          <w:szCs w:val="22"/>
        </w:rPr>
      </w:pPr>
      <w:r>
        <w:rPr>
          <w:sz w:val="22"/>
        </w:rPr>
        <w:t>Én filmdrasjert tablett inneholder 10 mg apremilast.</w:t>
      </w:r>
    </w:p>
    <w:p w14:paraId="3B96453F" w14:textId="77777777" w:rsidR="004E65A9" w:rsidRPr="000B27C9" w:rsidRDefault="004E65A9" w:rsidP="003F09AA">
      <w:pPr>
        <w:pStyle w:val="EMEAEnBodyText"/>
        <w:autoSpaceDE w:val="0"/>
        <w:autoSpaceDN w:val="0"/>
        <w:adjustRightInd w:val="0"/>
        <w:spacing w:before="0" w:after="0"/>
        <w:jc w:val="left"/>
        <w:rPr>
          <w:u w:val="single"/>
        </w:rPr>
      </w:pPr>
    </w:p>
    <w:p w14:paraId="0EEB44F3" w14:textId="77777777" w:rsidR="004E65A9" w:rsidRPr="00BD1AD5" w:rsidRDefault="004E65A9" w:rsidP="003F09AA">
      <w:pPr>
        <w:pStyle w:val="EMEAEnBodyText"/>
        <w:keepNext/>
        <w:autoSpaceDE w:val="0"/>
        <w:autoSpaceDN w:val="0"/>
        <w:adjustRightInd w:val="0"/>
        <w:spacing w:before="0" w:after="0"/>
        <w:jc w:val="left"/>
        <w:rPr>
          <w:i/>
          <w:u w:val="single"/>
        </w:rPr>
      </w:pPr>
      <w:r>
        <w:rPr>
          <w:i/>
          <w:u w:val="single"/>
        </w:rPr>
        <w:t>Hjelpestoff(er) med kjent effekt</w:t>
      </w:r>
    </w:p>
    <w:p w14:paraId="72C0E78E" w14:textId="77777777" w:rsidR="004E65A9" w:rsidRPr="00BD1AD5" w:rsidRDefault="004E65A9" w:rsidP="003F09AA">
      <w:pPr>
        <w:pStyle w:val="EMEAEnBodyText"/>
        <w:autoSpaceDE w:val="0"/>
        <w:autoSpaceDN w:val="0"/>
        <w:adjustRightInd w:val="0"/>
        <w:spacing w:before="0" w:after="0"/>
        <w:jc w:val="left"/>
        <w:rPr>
          <w:noProof/>
        </w:rPr>
      </w:pPr>
      <w:r>
        <w:t>Én filmdrasjert tablett inneholder 57 mg laktose (som laktosemonohydrat).</w:t>
      </w:r>
    </w:p>
    <w:p w14:paraId="6D802526" w14:textId="77777777" w:rsidR="004E65A9" w:rsidRPr="00BD1AD5" w:rsidRDefault="004E65A9" w:rsidP="003F09AA">
      <w:pPr>
        <w:rPr>
          <w:noProof/>
          <w:u w:val="single"/>
        </w:rPr>
      </w:pPr>
    </w:p>
    <w:p w14:paraId="681E18AA" w14:textId="77777777" w:rsidR="004E65A9" w:rsidRPr="00BD1AD5" w:rsidRDefault="004E65A9" w:rsidP="003F09AA">
      <w:pPr>
        <w:keepNext/>
        <w:rPr>
          <w:noProof/>
          <w:u w:val="single"/>
        </w:rPr>
      </w:pPr>
      <w:r>
        <w:rPr>
          <w:u w:val="single"/>
        </w:rPr>
        <w:t>Otezla 20 mg tabletter, filmdrasjerte</w:t>
      </w:r>
    </w:p>
    <w:p w14:paraId="65A52751" w14:textId="77777777" w:rsidR="004E65A9" w:rsidRPr="000B27C9" w:rsidRDefault="004E65A9" w:rsidP="003F09AA">
      <w:pPr>
        <w:pStyle w:val="C-BodyText"/>
        <w:keepNext/>
        <w:shd w:val="clear" w:color="auto" w:fill="FFFFFF"/>
        <w:spacing w:before="0" w:after="0" w:line="240" w:lineRule="auto"/>
        <w:rPr>
          <w:noProof/>
          <w:sz w:val="22"/>
          <w:szCs w:val="22"/>
        </w:rPr>
      </w:pPr>
    </w:p>
    <w:p w14:paraId="0BE24E68" w14:textId="77777777" w:rsidR="004E65A9" w:rsidRPr="00BD1AD5" w:rsidRDefault="004E65A9" w:rsidP="003F09AA">
      <w:pPr>
        <w:pStyle w:val="C-BodyText"/>
        <w:shd w:val="clear" w:color="auto" w:fill="FFFFFF"/>
        <w:spacing w:before="0" w:after="0" w:line="240" w:lineRule="auto"/>
        <w:rPr>
          <w:noProof/>
          <w:sz w:val="22"/>
          <w:szCs w:val="22"/>
        </w:rPr>
      </w:pPr>
      <w:r>
        <w:rPr>
          <w:sz w:val="22"/>
        </w:rPr>
        <w:t>Én filmdrasjert tablett inneholder 20 mg apremilast.</w:t>
      </w:r>
    </w:p>
    <w:p w14:paraId="03E6A88D" w14:textId="77777777" w:rsidR="004E65A9" w:rsidRPr="000B27C9" w:rsidRDefault="004E65A9" w:rsidP="003F09AA">
      <w:pPr>
        <w:pStyle w:val="EMEAEnBodyText"/>
        <w:autoSpaceDE w:val="0"/>
        <w:autoSpaceDN w:val="0"/>
        <w:adjustRightInd w:val="0"/>
        <w:spacing w:before="0" w:after="0"/>
        <w:jc w:val="left"/>
        <w:rPr>
          <w:i/>
          <w:u w:val="single"/>
        </w:rPr>
      </w:pPr>
    </w:p>
    <w:p w14:paraId="42DCE89D" w14:textId="77777777" w:rsidR="004E65A9" w:rsidRPr="00BD1AD5" w:rsidRDefault="004E65A9" w:rsidP="003F09AA">
      <w:pPr>
        <w:pStyle w:val="EMEAEnBodyText"/>
        <w:keepNext/>
        <w:autoSpaceDE w:val="0"/>
        <w:autoSpaceDN w:val="0"/>
        <w:adjustRightInd w:val="0"/>
        <w:spacing w:before="0" w:after="0"/>
        <w:jc w:val="left"/>
        <w:rPr>
          <w:i/>
          <w:u w:val="single"/>
        </w:rPr>
      </w:pPr>
      <w:r>
        <w:rPr>
          <w:i/>
          <w:u w:val="single"/>
        </w:rPr>
        <w:t>Hjelpestoff(er) med kjent effekt</w:t>
      </w:r>
    </w:p>
    <w:p w14:paraId="2FD49C23" w14:textId="77777777" w:rsidR="004E65A9" w:rsidRPr="00BD1AD5" w:rsidRDefault="004E65A9" w:rsidP="003F09AA">
      <w:pPr>
        <w:pStyle w:val="EMEAEnBodyText"/>
        <w:autoSpaceDE w:val="0"/>
        <w:autoSpaceDN w:val="0"/>
        <w:adjustRightInd w:val="0"/>
        <w:spacing w:before="0" w:after="0"/>
        <w:jc w:val="left"/>
        <w:rPr>
          <w:noProof/>
        </w:rPr>
      </w:pPr>
      <w:r>
        <w:t>Én filmdrasjert tablett inneholder 114 mg laktose (som laktosemonohydrat).</w:t>
      </w:r>
    </w:p>
    <w:p w14:paraId="0A76C109" w14:textId="77777777" w:rsidR="004E65A9" w:rsidRPr="000B27C9" w:rsidRDefault="004E65A9" w:rsidP="003F09AA">
      <w:pPr>
        <w:pStyle w:val="EMEAEnBodyText"/>
        <w:autoSpaceDE w:val="0"/>
        <w:autoSpaceDN w:val="0"/>
        <w:adjustRightInd w:val="0"/>
        <w:spacing w:before="0" w:after="0"/>
        <w:jc w:val="left"/>
      </w:pPr>
    </w:p>
    <w:p w14:paraId="08D83357" w14:textId="77777777" w:rsidR="004E65A9" w:rsidRPr="00BD1AD5" w:rsidRDefault="004E65A9" w:rsidP="003F09AA">
      <w:pPr>
        <w:keepNext/>
        <w:rPr>
          <w:noProof/>
          <w:u w:val="single"/>
        </w:rPr>
      </w:pPr>
      <w:r>
        <w:rPr>
          <w:u w:val="single"/>
        </w:rPr>
        <w:t>Otezla 30 mg tabletter, filmdrasjerte</w:t>
      </w:r>
    </w:p>
    <w:p w14:paraId="69364581" w14:textId="77777777" w:rsidR="004E65A9" w:rsidRPr="000B27C9" w:rsidRDefault="004E65A9" w:rsidP="003F09AA">
      <w:pPr>
        <w:pStyle w:val="C-BodyText"/>
        <w:keepNext/>
        <w:shd w:val="clear" w:color="auto" w:fill="FFFFFF"/>
        <w:spacing w:before="0" w:after="0" w:line="240" w:lineRule="auto"/>
        <w:rPr>
          <w:noProof/>
          <w:sz w:val="22"/>
          <w:szCs w:val="22"/>
        </w:rPr>
      </w:pPr>
    </w:p>
    <w:p w14:paraId="621548D8" w14:textId="77777777" w:rsidR="004E65A9" w:rsidRPr="00BD1AD5" w:rsidRDefault="004E65A9" w:rsidP="003F09AA">
      <w:pPr>
        <w:pStyle w:val="C-BodyText"/>
        <w:shd w:val="clear" w:color="auto" w:fill="FFFFFF"/>
        <w:spacing w:before="0" w:after="0" w:line="240" w:lineRule="auto"/>
        <w:rPr>
          <w:noProof/>
          <w:sz w:val="22"/>
          <w:szCs w:val="22"/>
        </w:rPr>
      </w:pPr>
      <w:r>
        <w:rPr>
          <w:sz w:val="22"/>
        </w:rPr>
        <w:t>Én filmdrasjert tablett inneholder 30 mg apremilast.</w:t>
      </w:r>
    </w:p>
    <w:p w14:paraId="65985E48" w14:textId="77777777" w:rsidR="004E65A9" w:rsidRPr="000B27C9" w:rsidRDefault="004E65A9" w:rsidP="003F09AA">
      <w:pPr>
        <w:pStyle w:val="EMEAEnBodyText"/>
        <w:autoSpaceDE w:val="0"/>
        <w:autoSpaceDN w:val="0"/>
        <w:adjustRightInd w:val="0"/>
        <w:spacing w:before="0" w:after="0"/>
        <w:jc w:val="left"/>
        <w:rPr>
          <w:i/>
          <w:u w:val="single"/>
        </w:rPr>
      </w:pPr>
    </w:p>
    <w:p w14:paraId="2165EBDD" w14:textId="77777777" w:rsidR="004E65A9" w:rsidRPr="00BD1AD5" w:rsidRDefault="004E65A9" w:rsidP="003F09AA">
      <w:pPr>
        <w:pStyle w:val="EMEAEnBodyText"/>
        <w:keepNext/>
        <w:autoSpaceDE w:val="0"/>
        <w:autoSpaceDN w:val="0"/>
        <w:adjustRightInd w:val="0"/>
        <w:spacing w:before="0" w:after="0"/>
        <w:jc w:val="left"/>
        <w:rPr>
          <w:i/>
          <w:u w:val="single"/>
        </w:rPr>
      </w:pPr>
      <w:r>
        <w:rPr>
          <w:i/>
          <w:u w:val="single"/>
        </w:rPr>
        <w:t>Hjelpestoff(er) med kjent effekt</w:t>
      </w:r>
    </w:p>
    <w:p w14:paraId="5E1652DA" w14:textId="77777777" w:rsidR="004E65A9" w:rsidRPr="00BD1AD5" w:rsidRDefault="004E65A9" w:rsidP="003F09AA">
      <w:pPr>
        <w:pStyle w:val="EMEAEnBodyText"/>
        <w:autoSpaceDE w:val="0"/>
        <w:autoSpaceDN w:val="0"/>
        <w:adjustRightInd w:val="0"/>
        <w:spacing w:before="0" w:after="0"/>
        <w:jc w:val="left"/>
      </w:pPr>
      <w:r>
        <w:t>Én filmdrasjert tablett inneholder 171 mg laktose (som laktosemonohydrat).</w:t>
      </w:r>
    </w:p>
    <w:p w14:paraId="19755FAC" w14:textId="77777777" w:rsidR="004E65A9" w:rsidRPr="000B27C9" w:rsidRDefault="004E65A9" w:rsidP="003F09AA">
      <w:pPr>
        <w:pStyle w:val="EMEAEnBodyText"/>
        <w:autoSpaceDE w:val="0"/>
        <w:autoSpaceDN w:val="0"/>
        <w:adjustRightInd w:val="0"/>
        <w:spacing w:before="0" w:after="0"/>
        <w:jc w:val="left"/>
      </w:pPr>
    </w:p>
    <w:p w14:paraId="46E4013B" w14:textId="77777777" w:rsidR="004E65A9" w:rsidRPr="00BD1AD5" w:rsidRDefault="004E65A9" w:rsidP="003F09AA">
      <w:r>
        <w:t>For fullstendig liste over hjelpestoffer, se pkt. 6.1.</w:t>
      </w:r>
    </w:p>
    <w:p w14:paraId="341013AB" w14:textId="77777777" w:rsidR="004E65A9" w:rsidRPr="00BD1AD5" w:rsidRDefault="004E65A9" w:rsidP="003F09AA">
      <w:pPr>
        <w:rPr>
          <w:noProof/>
        </w:rPr>
      </w:pPr>
    </w:p>
    <w:p w14:paraId="67CF5BCA" w14:textId="77777777" w:rsidR="004E65A9" w:rsidRPr="00BD1AD5" w:rsidRDefault="004E65A9" w:rsidP="003F09AA">
      <w:pPr>
        <w:rPr>
          <w:noProof/>
        </w:rPr>
      </w:pPr>
    </w:p>
    <w:p w14:paraId="190137F7" w14:textId="77777777" w:rsidR="004E65A9" w:rsidRPr="00BD1AD5" w:rsidRDefault="004E65A9" w:rsidP="003F09AA">
      <w:pPr>
        <w:pStyle w:val="StyleHeadings"/>
      </w:pPr>
      <w:r>
        <w:t>3.</w:t>
      </w:r>
      <w:r>
        <w:tab/>
        <w:t>LEGEMIDDELFORM</w:t>
      </w:r>
    </w:p>
    <w:p w14:paraId="5ECCC191" w14:textId="77777777" w:rsidR="004E65A9" w:rsidRPr="00BD1AD5" w:rsidRDefault="004E65A9" w:rsidP="003F09AA">
      <w:pPr>
        <w:keepNext/>
        <w:suppressAutoHyphens/>
        <w:ind w:left="567" w:hanging="567"/>
        <w:rPr>
          <w:noProof/>
        </w:rPr>
      </w:pPr>
    </w:p>
    <w:p w14:paraId="702AB269" w14:textId="77777777" w:rsidR="004E65A9" w:rsidRPr="00BD1AD5" w:rsidRDefault="004E65A9" w:rsidP="003F09AA">
      <w:pPr>
        <w:pStyle w:val="C-BodyText"/>
        <w:spacing w:before="0" w:after="0" w:line="240" w:lineRule="auto"/>
        <w:rPr>
          <w:noProof/>
          <w:sz w:val="22"/>
          <w:szCs w:val="22"/>
        </w:rPr>
      </w:pPr>
      <w:r>
        <w:rPr>
          <w:sz w:val="22"/>
        </w:rPr>
        <w:t>Tablett, filmdrasjert (tablett).</w:t>
      </w:r>
    </w:p>
    <w:p w14:paraId="310B6513" w14:textId="77777777" w:rsidR="004E65A9" w:rsidRPr="000B27C9" w:rsidRDefault="004E65A9" w:rsidP="003F09AA">
      <w:pPr>
        <w:pStyle w:val="C-BodyText"/>
        <w:spacing w:before="0" w:after="0" w:line="240" w:lineRule="auto"/>
        <w:rPr>
          <w:noProof/>
          <w:sz w:val="22"/>
          <w:szCs w:val="22"/>
        </w:rPr>
      </w:pPr>
    </w:p>
    <w:p w14:paraId="1D31585B" w14:textId="77777777" w:rsidR="004E65A9" w:rsidRPr="00BD1AD5" w:rsidRDefault="004E65A9" w:rsidP="003F09AA">
      <w:pPr>
        <w:keepNext/>
        <w:rPr>
          <w:noProof/>
          <w:u w:val="single"/>
        </w:rPr>
      </w:pPr>
      <w:r>
        <w:rPr>
          <w:u w:val="single"/>
        </w:rPr>
        <w:t>Otezla 10 mg tabletter, filmdrasjerte</w:t>
      </w:r>
    </w:p>
    <w:p w14:paraId="0917555B" w14:textId="77777777" w:rsidR="004E65A9" w:rsidRPr="000B27C9" w:rsidRDefault="004E65A9" w:rsidP="003F09AA">
      <w:pPr>
        <w:pStyle w:val="C-BodyText"/>
        <w:keepNext/>
        <w:spacing w:before="0" w:after="0" w:line="240" w:lineRule="auto"/>
        <w:rPr>
          <w:noProof/>
          <w:sz w:val="22"/>
          <w:szCs w:val="22"/>
        </w:rPr>
      </w:pPr>
    </w:p>
    <w:p w14:paraId="5F3243AC" w14:textId="77777777" w:rsidR="004E65A9" w:rsidRPr="00BD1AD5" w:rsidRDefault="004E65A9" w:rsidP="003F09AA">
      <w:pPr>
        <w:pStyle w:val="C-BodyText"/>
        <w:spacing w:before="0" w:after="0" w:line="240" w:lineRule="auto"/>
        <w:rPr>
          <w:noProof/>
          <w:sz w:val="22"/>
          <w:szCs w:val="22"/>
        </w:rPr>
      </w:pPr>
      <w:r>
        <w:rPr>
          <w:sz w:val="22"/>
        </w:rPr>
        <w:t>Rosa, diamantformet 10 mg filmdrasjert tablett, 8 mm lang, preget med "APR" på den ene siden og "10" på den andre siden.</w:t>
      </w:r>
    </w:p>
    <w:p w14:paraId="265AFF7E" w14:textId="77777777" w:rsidR="004E65A9" w:rsidRPr="00BD1AD5" w:rsidRDefault="004E65A9" w:rsidP="003F09AA">
      <w:pPr>
        <w:rPr>
          <w:noProof/>
          <w:u w:val="single"/>
        </w:rPr>
      </w:pPr>
    </w:p>
    <w:p w14:paraId="0C084EBB" w14:textId="77777777" w:rsidR="004E65A9" w:rsidRPr="00BD1AD5" w:rsidRDefault="004E65A9" w:rsidP="003F09AA">
      <w:pPr>
        <w:keepNext/>
        <w:rPr>
          <w:noProof/>
          <w:u w:val="single"/>
        </w:rPr>
      </w:pPr>
      <w:r>
        <w:rPr>
          <w:u w:val="single"/>
        </w:rPr>
        <w:t>Otezla 20 mg tabletter, filmdrasjerte</w:t>
      </w:r>
    </w:p>
    <w:p w14:paraId="35C11A20" w14:textId="77777777" w:rsidR="004E65A9" w:rsidRPr="000B27C9" w:rsidRDefault="004E65A9" w:rsidP="003F09AA">
      <w:pPr>
        <w:pStyle w:val="C-BodyText"/>
        <w:keepNext/>
        <w:spacing w:before="0" w:after="0" w:line="240" w:lineRule="auto"/>
        <w:rPr>
          <w:noProof/>
          <w:sz w:val="22"/>
          <w:szCs w:val="22"/>
        </w:rPr>
      </w:pPr>
    </w:p>
    <w:p w14:paraId="4C140E53" w14:textId="77777777" w:rsidR="004E65A9" w:rsidRPr="00BD1AD5" w:rsidRDefault="004E65A9" w:rsidP="003F09AA">
      <w:pPr>
        <w:pStyle w:val="C-BodyText"/>
        <w:spacing w:before="0" w:after="0" w:line="240" w:lineRule="auto"/>
        <w:rPr>
          <w:noProof/>
          <w:sz w:val="22"/>
          <w:szCs w:val="22"/>
        </w:rPr>
      </w:pPr>
      <w:r>
        <w:rPr>
          <w:sz w:val="22"/>
        </w:rPr>
        <w:t>Brun, diamantformet 20 mg filmdrasjert tablett, 10 mm lang, preget med "APR" på den ene siden og "20" på den andre siden.</w:t>
      </w:r>
    </w:p>
    <w:p w14:paraId="387651AE" w14:textId="77777777" w:rsidR="004E65A9" w:rsidRPr="00BD1AD5" w:rsidRDefault="004E65A9" w:rsidP="003F09AA">
      <w:pPr>
        <w:rPr>
          <w:noProof/>
          <w:u w:val="single"/>
        </w:rPr>
      </w:pPr>
    </w:p>
    <w:p w14:paraId="2E285DA6" w14:textId="77777777" w:rsidR="004E65A9" w:rsidRPr="00BD1AD5" w:rsidRDefault="004E65A9" w:rsidP="003F09AA">
      <w:pPr>
        <w:keepNext/>
        <w:rPr>
          <w:noProof/>
          <w:u w:val="single"/>
        </w:rPr>
      </w:pPr>
      <w:r>
        <w:rPr>
          <w:u w:val="single"/>
        </w:rPr>
        <w:t>Otezla 30 mg tabletter, filmdrasjerte</w:t>
      </w:r>
    </w:p>
    <w:p w14:paraId="5D9D702F" w14:textId="77777777" w:rsidR="004E65A9" w:rsidRPr="00BD1AD5" w:rsidRDefault="004E65A9" w:rsidP="003F09AA">
      <w:pPr>
        <w:keepNext/>
        <w:tabs>
          <w:tab w:val="clear" w:pos="567"/>
        </w:tabs>
        <w:suppressAutoHyphens/>
        <w:rPr>
          <w:noProof/>
        </w:rPr>
      </w:pPr>
    </w:p>
    <w:p w14:paraId="7BE5B4D4" w14:textId="77777777" w:rsidR="004E65A9" w:rsidRPr="00BD1AD5" w:rsidRDefault="004E65A9" w:rsidP="003F09AA">
      <w:pPr>
        <w:tabs>
          <w:tab w:val="clear" w:pos="567"/>
        </w:tabs>
        <w:suppressAutoHyphens/>
        <w:rPr>
          <w:noProof/>
        </w:rPr>
      </w:pPr>
      <w:r>
        <w:t>Beige, diamantformet 30 mg filmdrasjert tablett, 12 mm lang, preget med "APR" på den ene siden og "30" på den andre siden.</w:t>
      </w:r>
    </w:p>
    <w:p w14:paraId="36572F96" w14:textId="77777777" w:rsidR="004E65A9" w:rsidRPr="00BD1AD5" w:rsidRDefault="004E65A9" w:rsidP="003F09AA">
      <w:pPr>
        <w:rPr>
          <w:noProof/>
        </w:rPr>
      </w:pPr>
    </w:p>
    <w:p w14:paraId="49C97006" w14:textId="77777777" w:rsidR="004E65A9" w:rsidRPr="00BD1AD5" w:rsidRDefault="004E65A9" w:rsidP="003F09AA">
      <w:pPr>
        <w:rPr>
          <w:noProof/>
        </w:rPr>
      </w:pPr>
    </w:p>
    <w:p w14:paraId="4FDB6A8C" w14:textId="77777777" w:rsidR="004E65A9" w:rsidRPr="00BD1AD5" w:rsidRDefault="004E65A9" w:rsidP="003F09AA">
      <w:pPr>
        <w:pStyle w:val="StyleHeadings"/>
      </w:pPr>
      <w:r>
        <w:lastRenderedPageBreak/>
        <w:t>4.</w:t>
      </w:r>
      <w:r>
        <w:tab/>
        <w:t>KLINISKE OPPLYSNINGER</w:t>
      </w:r>
    </w:p>
    <w:p w14:paraId="2F936AEE" w14:textId="77777777" w:rsidR="004E65A9" w:rsidRPr="00BD1AD5" w:rsidRDefault="004E65A9" w:rsidP="003F09AA">
      <w:pPr>
        <w:keepNext/>
        <w:rPr>
          <w:noProof/>
        </w:rPr>
      </w:pPr>
    </w:p>
    <w:p w14:paraId="4579FFC8" w14:textId="77777777" w:rsidR="004E65A9" w:rsidRPr="00BD1AD5" w:rsidRDefault="004E65A9" w:rsidP="003F09AA">
      <w:pPr>
        <w:keepNext/>
        <w:ind w:left="567" w:hanging="567"/>
        <w:outlineLvl w:val="0"/>
        <w:rPr>
          <w:b/>
          <w:noProof/>
        </w:rPr>
      </w:pPr>
      <w:r>
        <w:rPr>
          <w:b/>
        </w:rPr>
        <w:t>4.1</w:t>
      </w:r>
      <w:r>
        <w:rPr>
          <w:b/>
        </w:rPr>
        <w:tab/>
        <w:t>Indikasjoner</w:t>
      </w:r>
    </w:p>
    <w:p w14:paraId="745674E5" w14:textId="77777777" w:rsidR="004E65A9" w:rsidRPr="00BD1AD5" w:rsidRDefault="004E65A9" w:rsidP="003F09AA">
      <w:pPr>
        <w:keepNext/>
      </w:pPr>
    </w:p>
    <w:p w14:paraId="33CF5BD8" w14:textId="77777777" w:rsidR="004E65A9" w:rsidRPr="00BD1AD5" w:rsidRDefault="004E65A9" w:rsidP="003F09AA">
      <w:pPr>
        <w:keepNext/>
        <w:rPr>
          <w:u w:val="single"/>
        </w:rPr>
      </w:pPr>
      <w:r>
        <w:rPr>
          <w:u w:val="single"/>
        </w:rPr>
        <w:t>Psoriasisartritt</w:t>
      </w:r>
    </w:p>
    <w:p w14:paraId="3503419D" w14:textId="77777777" w:rsidR="004E65A9" w:rsidRPr="00BD1AD5" w:rsidRDefault="004E65A9" w:rsidP="003F09AA">
      <w:pPr>
        <w:keepNext/>
      </w:pPr>
    </w:p>
    <w:p w14:paraId="58F8FD33" w14:textId="77777777" w:rsidR="004E65A9" w:rsidRPr="00BD1AD5" w:rsidRDefault="004E65A9" w:rsidP="003F09AA">
      <w:r>
        <w:t>Otezla, alene eller i kombinasjon med sykdomsmodifiserende antirevmatiske legemidler (DMARDs), er indisert til behandling av aktiv psoriasisartritt (PsA) hos voksne pasienter som har hatt utilstrekkelig respons eller som har vært intolerante ved tidligere DMARD</w:t>
      </w:r>
      <w:r>
        <w:noBreakHyphen/>
        <w:t>behandling (se pkt. 5.1).</w:t>
      </w:r>
    </w:p>
    <w:p w14:paraId="63166D35" w14:textId="77777777" w:rsidR="004E65A9" w:rsidRPr="00BD1AD5" w:rsidRDefault="004E65A9" w:rsidP="003F09AA"/>
    <w:p w14:paraId="6E6888BB" w14:textId="77777777" w:rsidR="004E65A9" w:rsidRPr="00BD1AD5" w:rsidRDefault="004E65A9" w:rsidP="003F09AA">
      <w:pPr>
        <w:keepNext/>
        <w:rPr>
          <w:u w:val="single"/>
        </w:rPr>
      </w:pPr>
      <w:r>
        <w:rPr>
          <w:u w:val="single"/>
        </w:rPr>
        <w:t>Psoriasis</w:t>
      </w:r>
    </w:p>
    <w:p w14:paraId="3B525F27" w14:textId="77777777" w:rsidR="004E65A9" w:rsidRPr="00BD1AD5" w:rsidRDefault="004E65A9" w:rsidP="003F09AA">
      <w:pPr>
        <w:keepNext/>
      </w:pPr>
    </w:p>
    <w:p w14:paraId="62192053" w14:textId="77777777" w:rsidR="004E65A9" w:rsidRDefault="004E65A9" w:rsidP="003F09AA">
      <w:r>
        <w:t>Otezla er indisert til behandling av moderat til alvorlig kronisk plakkpsoriasis (PSOR) hos voksne pasienter som ikke har respondert på, eller har en kontraindikasjon eller er intolerante overfor annen systemisk behandling, inkludert ciklosporin, metotreksat eller psoralen og ultrafiolett-A-lys (PUVA).</w:t>
      </w:r>
    </w:p>
    <w:p w14:paraId="78FA0317" w14:textId="77777777" w:rsidR="004E65A9" w:rsidRPr="007E5954" w:rsidRDefault="004E65A9" w:rsidP="003F09AA"/>
    <w:p w14:paraId="2A557B9F" w14:textId="77777777" w:rsidR="004E65A9" w:rsidRPr="006143EE" w:rsidRDefault="004E65A9" w:rsidP="003F09AA">
      <w:pPr>
        <w:pStyle w:val="Styleunderline"/>
        <w:keepNext/>
      </w:pPr>
      <w:r>
        <w:t>Psoriasis hos pediatriske pasienter</w:t>
      </w:r>
    </w:p>
    <w:p w14:paraId="2C745CC1" w14:textId="77777777" w:rsidR="004E65A9" w:rsidRPr="007E5954" w:rsidRDefault="004E65A9" w:rsidP="003F09AA">
      <w:pPr>
        <w:keepNext/>
      </w:pPr>
    </w:p>
    <w:p w14:paraId="0717115D" w14:textId="77777777" w:rsidR="004E65A9" w:rsidRPr="00BD1AD5" w:rsidRDefault="004E65A9" w:rsidP="003F09AA">
      <w:r>
        <w:t>Otezla er indisert for behandling av moderat til alvorlig plakkpsoriasis hos barn og ungdom fra 6 års alder og med en vekt på minst 20 kg og som er kandidater for systemisk behandling.</w:t>
      </w:r>
    </w:p>
    <w:p w14:paraId="1B01C792" w14:textId="77777777" w:rsidR="004E65A9" w:rsidRPr="00BD1AD5" w:rsidRDefault="004E65A9" w:rsidP="003F09AA">
      <w:pPr>
        <w:rPr>
          <w:u w:val="single"/>
        </w:rPr>
      </w:pPr>
    </w:p>
    <w:p w14:paraId="2E51FB04" w14:textId="77777777" w:rsidR="004E65A9" w:rsidRPr="00BD1AD5" w:rsidRDefault="004E65A9" w:rsidP="003F09AA">
      <w:pPr>
        <w:keepNext/>
        <w:rPr>
          <w:u w:val="single"/>
        </w:rPr>
      </w:pPr>
      <w:r>
        <w:rPr>
          <w:u w:val="single"/>
        </w:rPr>
        <w:t>Behcets sykdom</w:t>
      </w:r>
    </w:p>
    <w:p w14:paraId="1A178D2A" w14:textId="77777777" w:rsidR="004E65A9" w:rsidRPr="00BD1AD5" w:rsidRDefault="004E65A9" w:rsidP="003F09AA">
      <w:pPr>
        <w:keepNext/>
        <w:rPr>
          <w:u w:val="single"/>
        </w:rPr>
      </w:pPr>
    </w:p>
    <w:p w14:paraId="148F4D64" w14:textId="77777777" w:rsidR="004E65A9" w:rsidRPr="00BD1AD5" w:rsidRDefault="004E65A9" w:rsidP="003F09AA">
      <w:pPr>
        <w:outlineLvl w:val="0"/>
        <w:rPr>
          <w:noProof/>
        </w:rPr>
      </w:pPr>
      <w:r>
        <w:t>Otezla er indisert til behandling av voksne pasienter med sår i munnen assosiert med Behcets sykdom (BD), som er aktuelle for systemisk behandling.</w:t>
      </w:r>
    </w:p>
    <w:p w14:paraId="5898B398" w14:textId="77777777" w:rsidR="004E65A9" w:rsidRPr="00BD1AD5" w:rsidRDefault="004E65A9" w:rsidP="003F09AA"/>
    <w:p w14:paraId="752EA5E2" w14:textId="77777777" w:rsidR="004E65A9" w:rsidRPr="00BD1AD5" w:rsidRDefault="004E65A9" w:rsidP="003F09AA">
      <w:pPr>
        <w:keepNext/>
        <w:ind w:left="567" w:hanging="567"/>
        <w:outlineLvl w:val="0"/>
        <w:rPr>
          <w:b/>
          <w:noProof/>
        </w:rPr>
      </w:pPr>
      <w:r>
        <w:rPr>
          <w:b/>
        </w:rPr>
        <w:t>4.2</w:t>
      </w:r>
      <w:r>
        <w:rPr>
          <w:b/>
        </w:rPr>
        <w:tab/>
        <w:t>Dosering og administrasjonsmåte</w:t>
      </w:r>
    </w:p>
    <w:p w14:paraId="199EBCE0" w14:textId="77777777" w:rsidR="004E65A9" w:rsidRPr="00BD1AD5" w:rsidRDefault="004E65A9" w:rsidP="003F09AA">
      <w:pPr>
        <w:keepNext/>
      </w:pPr>
    </w:p>
    <w:p w14:paraId="79C094E5" w14:textId="77777777" w:rsidR="004E65A9" w:rsidRPr="00BD1AD5" w:rsidRDefault="004E65A9" w:rsidP="003F09AA">
      <w:pPr>
        <w:pStyle w:val="C-BodyText"/>
        <w:spacing w:before="0" w:after="0" w:line="240" w:lineRule="auto"/>
        <w:rPr>
          <w:noProof/>
          <w:sz w:val="22"/>
          <w:szCs w:val="22"/>
        </w:rPr>
      </w:pPr>
      <w:r>
        <w:rPr>
          <w:sz w:val="22"/>
        </w:rPr>
        <w:t>Behandling med Otezla skal innledes av spesialister med erfaring innen diagnostisering og behandling av psoriasis, psoriasisartritt eller Behcets sykdom.</w:t>
      </w:r>
    </w:p>
    <w:p w14:paraId="6C1D05E2" w14:textId="77777777" w:rsidR="004E65A9" w:rsidRPr="000B27C9" w:rsidRDefault="004E65A9" w:rsidP="003F09AA">
      <w:pPr>
        <w:pStyle w:val="C-BodyText"/>
        <w:spacing w:before="0" w:after="0" w:line="240" w:lineRule="auto"/>
        <w:rPr>
          <w:noProof/>
          <w:sz w:val="22"/>
          <w:szCs w:val="22"/>
        </w:rPr>
      </w:pPr>
    </w:p>
    <w:p w14:paraId="30779023" w14:textId="77777777" w:rsidR="004E65A9" w:rsidRDefault="004E65A9" w:rsidP="003F09AA">
      <w:pPr>
        <w:keepNext/>
        <w:rPr>
          <w:u w:val="single"/>
        </w:rPr>
      </w:pPr>
      <w:r>
        <w:rPr>
          <w:u w:val="single"/>
        </w:rPr>
        <w:t>Dosering</w:t>
      </w:r>
    </w:p>
    <w:p w14:paraId="75E14AE1" w14:textId="77777777" w:rsidR="004E65A9" w:rsidRDefault="004E65A9" w:rsidP="003F09AA">
      <w:pPr>
        <w:keepNext/>
        <w:rPr>
          <w:u w:val="single"/>
        </w:rPr>
      </w:pPr>
    </w:p>
    <w:p w14:paraId="5F029478" w14:textId="77777777" w:rsidR="004E65A9" w:rsidRPr="006143EE" w:rsidRDefault="004E65A9" w:rsidP="003F09AA">
      <w:pPr>
        <w:pStyle w:val="StyleItalic"/>
      </w:pPr>
      <w:r>
        <w:t>Voksne pasienter med psoriasisartritt, psoriasis eller Behcets sykdom</w:t>
      </w:r>
    </w:p>
    <w:p w14:paraId="0106ADD1" w14:textId="77777777" w:rsidR="004E65A9" w:rsidRPr="000B27C9" w:rsidRDefault="004E65A9" w:rsidP="003F09AA">
      <w:pPr>
        <w:pStyle w:val="C-BodyText"/>
        <w:keepNext/>
        <w:spacing w:before="0" w:after="0" w:line="240" w:lineRule="auto"/>
        <w:rPr>
          <w:noProof/>
          <w:sz w:val="22"/>
          <w:szCs w:val="22"/>
        </w:rPr>
      </w:pPr>
    </w:p>
    <w:p w14:paraId="7846E5D1" w14:textId="77777777" w:rsidR="004E65A9" w:rsidRPr="00BD1AD5" w:rsidRDefault="004E65A9" w:rsidP="003F09AA">
      <w:pPr>
        <w:pStyle w:val="C-BodyText"/>
        <w:spacing w:before="0" w:after="0" w:line="240" w:lineRule="auto"/>
        <w:rPr>
          <w:noProof/>
          <w:sz w:val="22"/>
          <w:szCs w:val="22"/>
        </w:rPr>
      </w:pPr>
      <w:r>
        <w:rPr>
          <w:sz w:val="22"/>
        </w:rPr>
        <w:t>Den anbefalte dosen av apremilast for voksne pasienter er 30 mg tatt oralt to ganger daglig. Det kreves en titreringsplan ved oppstart, som vist nedenfor i tabell 1.</w:t>
      </w:r>
    </w:p>
    <w:p w14:paraId="52EB7A49" w14:textId="77777777" w:rsidR="004E65A9" w:rsidRPr="000B27C9" w:rsidRDefault="004E65A9" w:rsidP="003F09AA">
      <w:pPr>
        <w:pStyle w:val="C-BodyText"/>
        <w:spacing w:before="0" w:after="0" w:line="240" w:lineRule="auto"/>
        <w:rPr>
          <w:noProof/>
          <w:sz w:val="22"/>
          <w:szCs w:val="22"/>
        </w:rPr>
      </w:pPr>
    </w:p>
    <w:p w14:paraId="2EBF3589" w14:textId="77777777" w:rsidR="004E65A9" w:rsidRPr="00BD1AD5" w:rsidRDefault="004E65A9" w:rsidP="003F09AA">
      <w:pPr>
        <w:keepNext/>
        <w:tabs>
          <w:tab w:val="clear" w:pos="567"/>
          <w:tab w:val="left" w:pos="1134"/>
        </w:tabs>
        <w:ind w:left="1140" w:hanging="1140"/>
        <w:rPr>
          <w:b/>
        </w:rPr>
      </w:pPr>
      <w:r>
        <w:rPr>
          <w:b/>
        </w:rPr>
        <w:t>Tabell 1. Dosetitreringsplan for voksne pasienter</w:t>
      </w:r>
    </w:p>
    <w:p w14:paraId="78759BA3" w14:textId="77777777" w:rsidR="004E65A9" w:rsidRPr="00BD1AD5" w:rsidRDefault="004E65A9" w:rsidP="003F09AA">
      <w:pPr>
        <w:keepNext/>
        <w:tabs>
          <w:tab w:val="clear" w:pos="567"/>
          <w:tab w:val="left" w:pos="1134"/>
        </w:tabs>
        <w:ind w:left="1140" w:hanging="1140"/>
        <w:rPr>
          <w:b/>
        </w:rPr>
      </w:pP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96"/>
        <w:gridCol w:w="834"/>
        <w:gridCol w:w="834"/>
        <w:gridCol w:w="832"/>
        <w:gridCol w:w="832"/>
        <w:gridCol w:w="830"/>
        <w:gridCol w:w="832"/>
        <w:gridCol w:w="830"/>
        <w:gridCol w:w="832"/>
        <w:gridCol w:w="830"/>
        <w:gridCol w:w="821"/>
      </w:tblGrid>
      <w:tr w:rsidR="004E65A9" w:rsidRPr="00BD1AD5" w14:paraId="56791942" w14:textId="77777777" w:rsidTr="008600F3">
        <w:trPr>
          <w:cantSplit/>
          <w:jc w:val="center"/>
        </w:trPr>
        <w:tc>
          <w:tcPr>
            <w:tcW w:w="437" w:type="pct"/>
          </w:tcPr>
          <w:p w14:paraId="52E0B85F" w14:textId="77777777" w:rsidR="004E65A9" w:rsidRPr="00BD1AD5" w:rsidRDefault="004E65A9" w:rsidP="008600F3">
            <w:pPr>
              <w:keepNext/>
              <w:jc w:val="center"/>
              <w:rPr>
                <w:noProof/>
                <w:sz w:val="20"/>
              </w:rPr>
            </w:pPr>
            <w:r>
              <w:rPr>
                <w:sz w:val="20"/>
              </w:rPr>
              <w:t>Dag 1</w:t>
            </w:r>
          </w:p>
        </w:tc>
        <w:tc>
          <w:tcPr>
            <w:tcW w:w="916" w:type="pct"/>
            <w:gridSpan w:val="2"/>
          </w:tcPr>
          <w:p w14:paraId="120DED9B" w14:textId="77777777" w:rsidR="004E65A9" w:rsidRPr="00BD1AD5" w:rsidRDefault="004E65A9" w:rsidP="008600F3">
            <w:pPr>
              <w:keepNext/>
              <w:jc w:val="center"/>
              <w:rPr>
                <w:noProof/>
                <w:sz w:val="20"/>
              </w:rPr>
            </w:pPr>
            <w:r>
              <w:rPr>
                <w:sz w:val="20"/>
              </w:rPr>
              <w:t>Dag 2</w:t>
            </w:r>
          </w:p>
        </w:tc>
        <w:tc>
          <w:tcPr>
            <w:tcW w:w="914" w:type="pct"/>
            <w:gridSpan w:val="2"/>
          </w:tcPr>
          <w:p w14:paraId="3B6105A9" w14:textId="77777777" w:rsidR="004E65A9" w:rsidRPr="00BD1AD5" w:rsidRDefault="004E65A9" w:rsidP="008600F3">
            <w:pPr>
              <w:keepNext/>
              <w:jc w:val="center"/>
              <w:rPr>
                <w:noProof/>
                <w:sz w:val="20"/>
              </w:rPr>
            </w:pPr>
            <w:r>
              <w:rPr>
                <w:sz w:val="20"/>
              </w:rPr>
              <w:t>Dag 3</w:t>
            </w:r>
          </w:p>
        </w:tc>
        <w:tc>
          <w:tcPr>
            <w:tcW w:w="913" w:type="pct"/>
            <w:gridSpan w:val="2"/>
          </w:tcPr>
          <w:p w14:paraId="142300A2" w14:textId="77777777" w:rsidR="004E65A9" w:rsidRPr="00BD1AD5" w:rsidRDefault="004E65A9" w:rsidP="008600F3">
            <w:pPr>
              <w:keepNext/>
              <w:jc w:val="center"/>
              <w:rPr>
                <w:noProof/>
                <w:sz w:val="20"/>
              </w:rPr>
            </w:pPr>
            <w:r>
              <w:rPr>
                <w:sz w:val="20"/>
              </w:rPr>
              <w:t>Dag 4</w:t>
            </w:r>
          </w:p>
        </w:tc>
        <w:tc>
          <w:tcPr>
            <w:tcW w:w="913" w:type="pct"/>
            <w:gridSpan w:val="2"/>
          </w:tcPr>
          <w:p w14:paraId="1DDC1155" w14:textId="77777777" w:rsidR="004E65A9" w:rsidRPr="00BD1AD5" w:rsidRDefault="004E65A9" w:rsidP="008600F3">
            <w:pPr>
              <w:keepNext/>
              <w:jc w:val="center"/>
              <w:rPr>
                <w:noProof/>
                <w:sz w:val="20"/>
              </w:rPr>
            </w:pPr>
            <w:r>
              <w:rPr>
                <w:sz w:val="20"/>
              </w:rPr>
              <w:t>Dag 5</w:t>
            </w:r>
          </w:p>
        </w:tc>
        <w:tc>
          <w:tcPr>
            <w:tcW w:w="908" w:type="pct"/>
            <w:gridSpan w:val="2"/>
          </w:tcPr>
          <w:p w14:paraId="1E91B27D" w14:textId="77777777" w:rsidR="004E65A9" w:rsidRPr="00BD1AD5" w:rsidRDefault="004E65A9" w:rsidP="008600F3">
            <w:pPr>
              <w:keepNext/>
              <w:jc w:val="center"/>
              <w:rPr>
                <w:noProof/>
                <w:sz w:val="20"/>
              </w:rPr>
            </w:pPr>
            <w:r>
              <w:rPr>
                <w:sz w:val="20"/>
              </w:rPr>
              <w:t>Dag 6 og deretter</w:t>
            </w:r>
          </w:p>
        </w:tc>
      </w:tr>
      <w:tr w:rsidR="004E65A9" w:rsidRPr="00BD1AD5" w14:paraId="7A6B6C74" w14:textId="77777777" w:rsidTr="008600F3">
        <w:trPr>
          <w:cantSplit/>
          <w:jc w:val="center"/>
        </w:trPr>
        <w:tc>
          <w:tcPr>
            <w:tcW w:w="437" w:type="pct"/>
          </w:tcPr>
          <w:p w14:paraId="7ECAED7D" w14:textId="77777777" w:rsidR="004E65A9" w:rsidRPr="00BD1AD5" w:rsidRDefault="004E65A9" w:rsidP="008600F3">
            <w:pPr>
              <w:keepNext/>
              <w:jc w:val="center"/>
              <w:rPr>
                <w:noProof/>
                <w:sz w:val="20"/>
              </w:rPr>
            </w:pPr>
            <w:r>
              <w:rPr>
                <w:sz w:val="20"/>
              </w:rPr>
              <w:t>Morgen</w:t>
            </w:r>
          </w:p>
        </w:tc>
        <w:tc>
          <w:tcPr>
            <w:tcW w:w="458" w:type="pct"/>
          </w:tcPr>
          <w:p w14:paraId="4A05BF8F" w14:textId="77777777" w:rsidR="004E65A9" w:rsidRPr="00BD1AD5" w:rsidRDefault="004E65A9" w:rsidP="008600F3">
            <w:pPr>
              <w:keepNext/>
              <w:jc w:val="center"/>
              <w:rPr>
                <w:noProof/>
                <w:sz w:val="20"/>
              </w:rPr>
            </w:pPr>
            <w:r>
              <w:rPr>
                <w:sz w:val="20"/>
              </w:rPr>
              <w:t>Morgen</w:t>
            </w:r>
          </w:p>
        </w:tc>
        <w:tc>
          <w:tcPr>
            <w:tcW w:w="458" w:type="pct"/>
          </w:tcPr>
          <w:p w14:paraId="5992A132" w14:textId="77777777" w:rsidR="004E65A9" w:rsidRPr="00BD1AD5" w:rsidRDefault="004E65A9" w:rsidP="008600F3">
            <w:pPr>
              <w:keepNext/>
              <w:jc w:val="center"/>
              <w:rPr>
                <w:noProof/>
                <w:sz w:val="20"/>
              </w:rPr>
            </w:pPr>
            <w:r>
              <w:rPr>
                <w:sz w:val="20"/>
              </w:rPr>
              <w:t>Kveld</w:t>
            </w:r>
          </w:p>
        </w:tc>
        <w:tc>
          <w:tcPr>
            <w:tcW w:w="457" w:type="pct"/>
          </w:tcPr>
          <w:p w14:paraId="693EE99B" w14:textId="77777777" w:rsidR="004E65A9" w:rsidRPr="00BD1AD5" w:rsidRDefault="004E65A9" w:rsidP="008600F3">
            <w:pPr>
              <w:keepNext/>
              <w:jc w:val="center"/>
              <w:rPr>
                <w:noProof/>
                <w:sz w:val="20"/>
              </w:rPr>
            </w:pPr>
            <w:r>
              <w:rPr>
                <w:sz w:val="20"/>
              </w:rPr>
              <w:t>Morgen</w:t>
            </w:r>
          </w:p>
        </w:tc>
        <w:tc>
          <w:tcPr>
            <w:tcW w:w="457" w:type="pct"/>
          </w:tcPr>
          <w:p w14:paraId="2D94D579" w14:textId="77777777" w:rsidR="004E65A9" w:rsidRPr="00BD1AD5" w:rsidRDefault="004E65A9" w:rsidP="008600F3">
            <w:pPr>
              <w:keepNext/>
              <w:jc w:val="center"/>
              <w:rPr>
                <w:noProof/>
                <w:sz w:val="20"/>
              </w:rPr>
            </w:pPr>
            <w:r>
              <w:rPr>
                <w:sz w:val="20"/>
              </w:rPr>
              <w:t>Kveld</w:t>
            </w:r>
          </w:p>
        </w:tc>
        <w:tc>
          <w:tcPr>
            <w:tcW w:w="456" w:type="pct"/>
          </w:tcPr>
          <w:p w14:paraId="41CE4797" w14:textId="77777777" w:rsidR="004E65A9" w:rsidRPr="00BD1AD5" w:rsidRDefault="004E65A9" w:rsidP="008600F3">
            <w:pPr>
              <w:keepNext/>
              <w:jc w:val="center"/>
              <w:rPr>
                <w:noProof/>
                <w:sz w:val="20"/>
              </w:rPr>
            </w:pPr>
            <w:r>
              <w:rPr>
                <w:sz w:val="20"/>
              </w:rPr>
              <w:t>Morgen</w:t>
            </w:r>
          </w:p>
        </w:tc>
        <w:tc>
          <w:tcPr>
            <w:tcW w:w="457" w:type="pct"/>
          </w:tcPr>
          <w:p w14:paraId="219D5462" w14:textId="77777777" w:rsidR="004E65A9" w:rsidRPr="00BD1AD5" w:rsidRDefault="004E65A9" w:rsidP="008600F3">
            <w:pPr>
              <w:keepNext/>
              <w:jc w:val="center"/>
              <w:rPr>
                <w:noProof/>
                <w:sz w:val="20"/>
              </w:rPr>
            </w:pPr>
            <w:r>
              <w:rPr>
                <w:sz w:val="20"/>
              </w:rPr>
              <w:t>Kveld</w:t>
            </w:r>
          </w:p>
        </w:tc>
        <w:tc>
          <w:tcPr>
            <w:tcW w:w="456" w:type="pct"/>
          </w:tcPr>
          <w:p w14:paraId="2BBAF5FD" w14:textId="77777777" w:rsidR="004E65A9" w:rsidRPr="00BD1AD5" w:rsidRDefault="004E65A9" w:rsidP="008600F3">
            <w:pPr>
              <w:keepNext/>
              <w:jc w:val="center"/>
              <w:rPr>
                <w:noProof/>
                <w:sz w:val="20"/>
              </w:rPr>
            </w:pPr>
            <w:r>
              <w:rPr>
                <w:sz w:val="20"/>
              </w:rPr>
              <w:t>Morgen</w:t>
            </w:r>
          </w:p>
        </w:tc>
        <w:tc>
          <w:tcPr>
            <w:tcW w:w="457" w:type="pct"/>
          </w:tcPr>
          <w:p w14:paraId="3E7BC234" w14:textId="77777777" w:rsidR="004E65A9" w:rsidRPr="00BD1AD5" w:rsidRDefault="004E65A9" w:rsidP="008600F3">
            <w:pPr>
              <w:keepNext/>
              <w:jc w:val="center"/>
              <w:rPr>
                <w:noProof/>
                <w:sz w:val="20"/>
              </w:rPr>
            </w:pPr>
            <w:r>
              <w:rPr>
                <w:sz w:val="20"/>
              </w:rPr>
              <w:t>Kveld</w:t>
            </w:r>
          </w:p>
        </w:tc>
        <w:tc>
          <w:tcPr>
            <w:tcW w:w="456" w:type="pct"/>
          </w:tcPr>
          <w:p w14:paraId="2CD60FD2" w14:textId="77777777" w:rsidR="004E65A9" w:rsidRPr="00BD1AD5" w:rsidRDefault="004E65A9" w:rsidP="008600F3">
            <w:pPr>
              <w:keepNext/>
              <w:jc w:val="center"/>
              <w:rPr>
                <w:noProof/>
                <w:sz w:val="20"/>
              </w:rPr>
            </w:pPr>
            <w:r>
              <w:rPr>
                <w:sz w:val="20"/>
              </w:rPr>
              <w:t>Morgen</w:t>
            </w:r>
          </w:p>
        </w:tc>
        <w:tc>
          <w:tcPr>
            <w:tcW w:w="452" w:type="pct"/>
          </w:tcPr>
          <w:p w14:paraId="2B29B758" w14:textId="77777777" w:rsidR="004E65A9" w:rsidRPr="00BD1AD5" w:rsidRDefault="004E65A9" w:rsidP="008600F3">
            <w:pPr>
              <w:keepNext/>
              <w:jc w:val="center"/>
              <w:rPr>
                <w:noProof/>
                <w:sz w:val="20"/>
              </w:rPr>
            </w:pPr>
            <w:r>
              <w:rPr>
                <w:sz w:val="20"/>
              </w:rPr>
              <w:t>Kveld</w:t>
            </w:r>
          </w:p>
        </w:tc>
      </w:tr>
      <w:tr w:rsidR="004E65A9" w:rsidRPr="00BD1AD5" w14:paraId="61AE44C0" w14:textId="77777777" w:rsidTr="008600F3">
        <w:trPr>
          <w:cantSplit/>
          <w:jc w:val="center"/>
        </w:trPr>
        <w:tc>
          <w:tcPr>
            <w:tcW w:w="437" w:type="pct"/>
          </w:tcPr>
          <w:p w14:paraId="062C94E8" w14:textId="77777777" w:rsidR="004E65A9" w:rsidRPr="00BD1AD5" w:rsidRDefault="004E65A9" w:rsidP="008600F3">
            <w:pPr>
              <w:keepNext/>
              <w:jc w:val="center"/>
              <w:rPr>
                <w:noProof/>
                <w:sz w:val="20"/>
              </w:rPr>
            </w:pPr>
            <w:r>
              <w:rPr>
                <w:sz w:val="20"/>
              </w:rPr>
              <w:t>10 mg</w:t>
            </w:r>
          </w:p>
        </w:tc>
        <w:tc>
          <w:tcPr>
            <w:tcW w:w="458" w:type="pct"/>
          </w:tcPr>
          <w:p w14:paraId="77593802" w14:textId="77777777" w:rsidR="004E65A9" w:rsidRPr="00BD1AD5" w:rsidRDefault="004E65A9" w:rsidP="008600F3">
            <w:pPr>
              <w:keepNext/>
              <w:jc w:val="center"/>
              <w:rPr>
                <w:noProof/>
                <w:sz w:val="20"/>
              </w:rPr>
            </w:pPr>
            <w:r>
              <w:rPr>
                <w:sz w:val="20"/>
              </w:rPr>
              <w:t>10 mg</w:t>
            </w:r>
          </w:p>
        </w:tc>
        <w:tc>
          <w:tcPr>
            <w:tcW w:w="458" w:type="pct"/>
          </w:tcPr>
          <w:p w14:paraId="34C6999E" w14:textId="77777777" w:rsidR="004E65A9" w:rsidRPr="00BD1AD5" w:rsidRDefault="004E65A9" w:rsidP="008600F3">
            <w:pPr>
              <w:keepNext/>
              <w:jc w:val="center"/>
              <w:rPr>
                <w:noProof/>
                <w:sz w:val="20"/>
              </w:rPr>
            </w:pPr>
            <w:r>
              <w:rPr>
                <w:sz w:val="20"/>
              </w:rPr>
              <w:t>10 mg</w:t>
            </w:r>
          </w:p>
        </w:tc>
        <w:tc>
          <w:tcPr>
            <w:tcW w:w="457" w:type="pct"/>
          </w:tcPr>
          <w:p w14:paraId="420003A9" w14:textId="77777777" w:rsidR="004E65A9" w:rsidRPr="00BD1AD5" w:rsidRDefault="004E65A9" w:rsidP="008600F3">
            <w:pPr>
              <w:keepNext/>
              <w:jc w:val="center"/>
              <w:rPr>
                <w:noProof/>
                <w:sz w:val="20"/>
              </w:rPr>
            </w:pPr>
            <w:r>
              <w:rPr>
                <w:sz w:val="20"/>
              </w:rPr>
              <w:t>10 mg</w:t>
            </w:r>
          </w:p>
        </w:tc>
        <w:tc>
          <w:tcPr>
            <w:tcW w:w="457" w:type="pct"/>
          </w:tcPr>
          <w:p w14:paraId="15994C41" w14:textId="77777777" w:rsidR="004E65A9" w:rsidRPr="00BD1AD5" w:rsidRDefault="004E65A9" w:rsidP="008600F3">
            <w:pPr>
              <w:keepNext/>
              <w:jc w:val="center"/>
              <w:rPr>
                <w:noProof/>
                <w:sz w:val="20"/>
              </w:rPr>
            </w:pPr>
            <w:r>
              <w:rPr>
                <w:sz w:val="20"/>
              </w:rPr>
              <w:t>20 mg</w:t>
            </w:r>
          </w:p>
        </w:tc>
        <w:tc>
          <w:tcPr>
            <w:tcW w:w="456" w:type="pct"/>
          </w:tcPr>
          <w:p w14:paraId="350F15A2" w14:textId="77777777" w:rsidR="004E65A9" w:rsidRPr="00BD1AD5" w:rsidRDefault="004E65A9" w:rsidP="008600F3">
            <w:pPr>
              <w:keepNext/>
              <w:jc w:val="center"/>
              <w:rPr>
                <w:noProof/>
                <w:sz w:val="20"/>
              </w:rPr>
            </w:pPr>
            <w:r>
              <w:rPr>
                <w:sz w:val="20"/>
              </w:rPr>
              <w:t>20 mg</w:t>
            </w:r>
          </w:p>
        </w:tc>
        <w:tc>
          <w:tcPr>
            <w:tcW w:w="457" w:type="pct"/>
          </w:tcPr>
          <w:p w14:paraId="1EBDAE49" w14:textId="77777777" w:rsidR="004E65A9" w:rsidRPr="00BD1AD5" w:rsidRDefault="004E65A9" w:rsidP="008600F3">
            <w:pPr>
              <w:keepNext/>
              <w:jc w:val="center"/>
              <w:rPr>
                <w:noProof/>
                <w:sz w:val="20"/>
              </w:rPr>
            </w:pPr>
            <w:r>
              <w:rPr>
                <w:sz w:val="20"/>
              </w:rPr>
              <w:t>20 mg</w:t>
            </w:r>
          </w:p>
        </w:tc>
        <w:tc>
          <w:tcPr>
            <w:tcW w:w="456" w:type="pct"/>
          </w:tcPr>
          <w:p w14:paraId="6DD3F677" w14:textId="77777777" w:rsidR="004E65A9" w:rsidRPr="00BD1AD5" w:rsidRDefault="004E65A9" w:rsidP="008600F3">
            <w:pPr>
              <w:keepNext/>
              <w:jc w:val="center"/>
              <w:rPr>
                <w:noProof/>
                <w:sz w:val="20"/>
              </w:rPr>
            </w:pPr>
            <w:r>
              <w:rPr>
                <w:sz w:val="20"/>
              </w:rPr>
              <w:t>20 mg</w:t>
            </w:r>
          </w:p>
        </w:tc>
        <w:tc>
          <w:tcPr>
            <w:tcW w:w="457" w:type="pct"/>
          </w:tcPr>
          <w:p w14:paraId="77A32C29" w14:textId="77777777" w:rsidR="004E65A9" w:rsidRPr="00BD1AD5" w:rsidRDefault="004E65A9" w:rsidP="008600F3">
            <w:pPr>
              <w:keepNext/>
              <w:jc w:val="center"/>
              <w:rPr>
                <w:noProof/>
                <w:sz w:val="20"/>
              </w:rPr>
            </w:pPr>
            <w:r>
              <w:rPr>
                <w:sz w:val="20"/>
              </w:rPr>
              <w:t>30 mg</w:t>
            </w:r>
          </w:p>
        </w:tc>
        <w:tc>
          <w:tcPr>
            <w:tcW w:w="456" w:type="pct"/>
          </w:tcPr>
          <w:p w14:paraId="49E227B1" w14:textId="77777777" w:rsidR="004E65A9" w:rsidRPr="00BD1AD5" w:rsidRDefault="004E65A9" w:rsidP="008600F3">
            <w:pPr>
              <w:keepNext/>
              <w:jc w:val="center"/>
              <w:rPr>
                <w:noProof/>
                <w:sz w:val="20"/>
              </w:rPr>
            </w:pPr>
            <w:r>
              <w:rPr>
                <w:sz w:val="20"/>
              </w:rPr>
              <w:t>30 mg</w:t>
            </w:r>
          </w:p>
        </w:tc>
        <w:tc>
          <w:tcPr>
            <w:tcW w:w="452" w:type="pct"/>
          </w:tcPr>
          <w:p w14:paraId="04198274" w14:textId="77777777" w:rsidR="004E65A9" w:rsidRPr="00BD1AD5" w:rsidRDefault="004E65A9" w:rsidP="008600F3">
            <w:pPr>
              <w:keepNext/>
              <w:jc w:val="center"/>
              <w:rPr>
                <w:noProof/>
                <w:sz w:val="20"/>
              </w:rPr>
            </w:pPr>
            <w:r>
              <w:rPr>
                <w:sz w:val="20"/>
              </w:rPr>
              <w:t>30 mg</w:t>
            </w:r>
          </w:p>
        </w:tc>
      </w:tr>
    </w:tbl>
    <w:p w14:paraId="759064D2" w14:textId="77777777" w:rsidR="004E65A9" w:rsidRDefault="004E65A9" w:rsidP="003F09AA">
      <w:pPr>
        <w:rPr>
          <w:noProof/>
        </w:rPr>
      </w:pPr>
    </w:p>
    <w:p w14:paraId="3F78BBC8" w14:textId="77777777" w:rsidR="004E65A9" w:rsidRPr="0016014C" w:rsidRDefault="004E65A9" w:rsidP="003F09AA">
      <w:pPr>
        <w:pStyle w:val="StyleItalic"/>
      </w:pPr>
      <w:r>
        <w:t>Pediatriske pasienter med moderat til alvorlig plakkpsoriasis</w:t>
      </w:r>
    </w:p>
    <w:p w14:paraId="15C8CC4A" w14:textId="77777777" w:rsidR="004E65A9" w:rsidRPr="0042125D" w:rsidRDefault="004E65A9" w:rsidP="003F09AA">
      <w:pPr>
        <w:keepNext/>
        <w:rPr>
          <w:noProof/>
        </w:rPr>
      </w:pPr>
    </w:p>
    <w:p w14:paraId="5351E42F" w14:textId="77777777" w:rsidR="004E65A9" w:rsidRDefault="004E65A9" w:rsidP="003F09AA">
      <w:pPr>
        <w:rPr>
          <w:noProof/>
        </w:rPr>
      </w:pPr>
      <w:r>
        <w:t>Den anbefalte dosen av apremilast til pediatriske pasienter fra 6 år og oppover med moderat til alvorlig plakkpsoriasis er basert på kroppsvekt. Den anbefalte dosen av apremilast er 20 mg tatt oralt to ganger daglig for pediatriske pasienter som veier fra 20 kg til under 50 kg, og 30 mg tatt oralt to ganger daglig for pediatriske pasienter som veier minst 50 kg, i henhold til den innledende titreringsplanen vist nedenfor i tabell 2.</w:t>
      </w:r>
    </w:p>
    <w:p w14:paraId="07ABCCD9" w14:textId="77777777" w:rsidR="004E65A9" w:rsidRDefault="004E65A9" w:rsidP="003F09AA">
      <w:pPr>
        <w:rPr>
          <w:noProof/>
        </w:rPr>
      </w:pPr>
    </w:p>
    <w:p w14:paraId="64DE5847" w14:textId="77777777" w:rsidR="004E65A9" w:rsidRDefault="004E65A9" w:rsidP="003F09AA">
      <w:pPr>
        <w:keepNext/>
        <w:tabs>
          <w:tab w:val="clear" w:pos="567"/>
          <w:tab w:val="left" w:pos="1134"/>
        </w:tabs>
        <w:ind w:left="1140" w:hanging="1140"/>
        <w:rPr>
          <w:b/>
          <w:bCs/>
          <w:noProof/>
        </w:rPr>
      </w:pPr>
      <w:r>
        <w:rPr>
          <w:b/>
        </w:rPr>
        <w:lastRenderedPageBreak/>
        <w:t>Tabell 2. Dosetitreringsplan for pediatriske pasienter</w:t>
      </w:r>
    </w:p>
    <w:p w14:paraId="40ED8584" w14:textId="77777777" w:rsidR="004E65A9" w:rsidRPr="001816D7" w:rsidRDefault="004E65A9" w:rsidP="003F09AA">
      <w:pPr>
        <w:keepNext/>
        <w:tabs>
          <w:tab w:val="clear" w:pos="567"/>
          <w:tab w:val="left" w:pos="1134"/>
        </w:tabs>
        <w:ind w:left="1140" w:hanging="1140"/>
        <w:rPr>
          <w:b/>
          <w:bCs/>
          <w:noProof/>
        </w:rPr>
      </w:pPr>
    </w:p>
    <w:tbl>
      <w:tblPr>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8"/>
        <w:gridCol w:w="795"/>
        <w:gridCol w:w="799"/>
        <w:gridCol w:w="717"/>
        <w:gridCol w:w="782"/>
        <w:gridCol w:w="786"/>
        <w:gridCol w:w="780"/>
        <w:gridCol w:w="741"/>
        <w:gridCol w:w="791"/>
        <w:gridCol w:w="734"/>
        <w:gridCol w:w="812"/>
        <w:gridCol w:w="703"/>
      </w:tblGrid>
      <w:tr w:rsidR="004E65A9" w:rsidRPr="007F26D5" w14:paraId="1748FF5B" w14:textId="77777777" w:rsidTr="008600F3">
        <w:trPr>
          <w:cantSplit/>
          <w:tblHeader/>
        </w:trPr>
        <w:tc>
          <w:tcPr>
            <w:tcW w:w="446" w:type="pct"/>
            <w:vMerge w:val="restart"/>
            <w:vAlign w:val="center"/>
          </w:tcPr>
          <w:p w14:paraId="7327FE1B" w14:textId="77777777" w:rsidR="004E65A9" w:rsidRPr="007F26D5" w:rsidRDefault="004E65A9" w:rsidP="008600F3">
            <w:pPr>
              <w:pStyle w:val="Styletable10pts"/>
              <w:keepNext/>
              <w:rPr>
                <w:szCs w:val="20"/>
              </w:rPr>
            </w:pPr>
            <w:r w:rsidRPr="007F26D5">
              <w:rPr>
                <w:szCs w:val="20"/>
              </w:rPr>
              <w:t>Kropps</w:t>
            </w:r>
            <w:r>
              <w:rPr>
                <w:szCs w:val="20"/>
              </w:rPr>
              <w:softHyphen/>
            </w:r>
            <w:r w:rsidRPr="007F26D5">
              <w:rPr>
                <w:szCs w:val="20"/>
              </w:rPr>
              <w:t>vekt</w:t>
            </w:r>
          </w:p>
        </w:tc>
        <w:tc>
          <w:tcPr>
            <w:tcW w:w="429" w:type="pct"/>
            <w:vAlign w:val="center"/>
          </w:tcPr>
          <w:p w14:paraId="604C33E3" w14:textId="77777777" w:rsidR="004E65A9" w:rsidRPr="007F26D5" w:rsidRDefault="004E65A9" w:rsidP="008600F3">
            <w:pPr>
              <w:pStyle w:val="Styletable10pts"/>
              <w:keepNext/>
              <w:jc w:val="center"/>
              <w:rPr>
                <w:szCs w:val="20"/>
              </w:rPr>
            </w:pPr>
            <w:r w:rsidRPr="007F26D5">
              <w:rPr>
                <w:szCs w:val="20"/>
              </w:rPr>
              <w:t>Dag 1</w:t>
            </w:r>
          </w:p>
        </w:tc>
        <w:tc>
          <w:tcPr>
            <w:tcW w:w="818" w:type="pct"/>
            <w:gridSpan w:val="2"/>
            <w:vAlign w:val="center"/>
          </w:tcPr>
          <w:p w14:paraId="666F82D3" w14:textId="77777777" w:rsidR="004E65A9" w:rsidRPr="007F26D5" w:rsidRDefault="004E65A9" w:rsidP="008600F3">
            <w:pPr>
              <w:pStyle w:val="Styletable10pts"/>
              <w:keepNext/>
              <w:jc w:val="center"/>
              <w:rPr>
                <w:szCs w:val="20"/>
              </w:rPr>
            </w:pPr>
            <w:r w:rsidRPr="007F26D5">
              <w:rPr>
                <w:szCs w:val="20"/>
              </w:rPr>
              <w:t>Dag 2</w:t>
            </w:r>
          </w:p>
        </w:tc>
        <w:tc>
          <w:tcPr>
            <w:tcW w:w="846" w:type="pct"/>
            <w:gridSpan w:val="2"/>
            <w:vAlign w:val="center"/>
          </w:tcPr>
          <w:p w14:paraId="5EFAC00D" w14:textId="77777777" w:rsidR="004E65A9" w:rsidRPr="007F26D5" w:rsidRDefault="004E65A9" w:rsidP="008600F3">
            <w:pPr>
              <w:pStyle w:val="Styletable10pts"/>
              <w:keepNext/>
              <w:jc w:val="center"/>
              <w:rPr>
                <w:szCs w:val="20"/>
              </w:rPr>
            </w:pPr>
            <w:r w:rsidRPr="007F26D5">
              <w:rPr>
                <w:szCs w:val="20"/>
              </w:rPr>
              <w:t>Dag 3</w:t>
            </w:r>
          </w:p>
        </w:tc>
        <w:tc>
          <w:tcPr>
            <w:tcW w:w="821" w:type="pct"/>
            <w:gridSpan w:val="2"/>
            <w:vAlign w:val="center"/>
          </w:tcPr>
          <w:p w14:paraId="54A6A609" w14:textId="77777777" w:rsidR="004E65A9" w:rsidRPr="007F26D5" w:rsidRDefault="004E65A9" w:rsidP="008600F3">
            <w:pPr>
              <w:pStyle w:val="Styletable10pts"/>
              <w:keepNext/>
              <w:jc w:val="center"/>
              <w:rPr>
                <w:szCs w:val="20"/>
              </w:rPr>
            </w:pPr>
            <w:r w:rsidRPr="007F26D5">
              <w:rPr>
                <w:szCs w:val="20"/>
              </w:rPr>
              <w:t>Dag 4</w:t>
            </w:r>
          </w:p>
        </w:tc>
        <w:tc>
          <w:tcPr>
            <w:tcW w:w="823" w:type="pct"/>
            <w:gridSpan w:val="2"/>
            <w:vAlign w:val="center"/>
          </w:tcPr>
          <w:p w14:paraId="183C9604" w14:textId="77777777" w:rsidR="004E65A9" w:rsidRPr="007F26D5" w:rsidRDefault="004E65A9" w:rsidP="008600F3">
            <w:pPr>
              <w:pStyle w:val="Styletable10pts"/>
              <w:keepNext/>
              <w:jc w:val="center"/>
              <w:rPr>
                <w:szCs w:val="20"/>
              </w:rPr>
            </w:pPr>
            <w:r w:rsidRPr="007F26D5">
              <w:rPr>
                <w:szCs w:val="20"/>
              </w:rPr>
              <w:t>Dag 5</w:t>
            </w:r>
          </w:p>
        </w:tc>
        <w:tc>
          <w:tcPr>
            <w:tcW w:w="817" w:type="pct"/>
            <w:gridSpan w:val="2"/>
            <w:vAlign w:val="center"/>
          </w:tcPr>
          <w:p w14:paraId="6753DCC2" w14:textId="77777777" w:rsidR="004E65A9" w:rsidRPr="007F26D5" w:rsidRDefault="004E65A9" w:rsidP="008600F3">
            <w:pPr>
              <w:pStyle w:val="Styletable10pts"/>
              <w:keepNext/>
              <w:jc w:val="center"/>
              <w:rPr>
                <w:szCs w:val="20"/>
              </w:rPr>
            </w:pPr>
            <w:r w:rsidRPr="007F26D5">
              <w:rPr>
                <w:szCs w:val="20"/>
              </w:rPr>
              <w:t>Dag 6</w:t>
            </w:r>
            <w:r w:rsidRPr="007F26D5">
              <w:rPr>
                <w:szCs w:val="20"/>
              </w:rPr>
              <w:br/>
              <w:t>og deretter</w:t>
            </w:r>
          </w:p>
        </w:tc>
      </w:tr>
      <w:tr w:rsidR="004E65A9" w:rsidRPr="007F26D5" w14:paraId="1049265F" w14:textId="77777777" w:rsidTr="008600F3">
        <w:trPr>
          <w:cantSplit/>
          <w:tblHeader/>
        </w:trPr>
        <w:tc>
          <w:tcPr>
            <w:tcW w:w="446" w:type="pct"/>
            <w:vMerge/>
          </w:tcPr>
          <w:p w14:paraId="667909B8" w14:textId="77777777" w:rsidR="004E65A9" w:rsidRPr="007F26D5" w:rsidRDefault="004E65A9" w:rsidP="008600F3">
            <w:pPr>
              <w:pStyle w:val="Styletable10pts"/>
              <w:keepNext/>
              <w:rPr>
                <w:szCs w:val="20"/>
              </w:rPr>
            </w:pPr>
          </w:p>
        </w:tc>
        <w:tc>
          <w:tcPr>
            <w:tcW w:w="429" w:type="pct"/>
            <w:vAlign w:val="center"/>
          </w:tcPr>
          <w:p w14:paraId="4C76B282" w14:textId="77777777" w:rsidR="004E65A9" w:rsidRPr="007F26D5" w:rsidRDefault="004E65A9" w:rsidP="008600F3">
            <w:pPr>
              <w:pStyle w:val="Styletable10pts"/>
              <w:keepNext/>
              <w:jc w:val="center"/>
              <w:rPr>
                <w:szCs w:val="20"/>
              </w:rPr>
            </w:pPr>
            <w:r w:rsidRPr="007F26D5">
              <w:rPr>
                <w:szCs w:val="20"/>
              </w:rPr>
              <w:t>Morgen</w:t>
            </w:r>
          </w:p>
        </w:tc>
        <w:tc>
          <w:tcPr>
            <w:tcW w:w="431" w:type="pct"/>
            <w:vAlign w:val="center"/>
          </w:tcPr>
          <w:p w14:paraId="00AAF6D4" w14:textId="77777777" w:rsidR="004E65A9" w:rsidRPr="007F26D5" w:rsidRDefault="004E65A9" w:rsidP="008600F3">
            <w:pPr>
              <w:pStyle w:val="Styletable10pts"/>
              <w:keepNext/>
              <w:jc w:val="center"/>
              <w:rPr>
                <w:szCs w:val="20"/>
              </w:rPr>
            </w:pPr>
            <w:r w:rsidRPr="007F26D5">
              <w:rPr>
                <w:szCs w:val="20"/>
              </w:rPr>
              <w:t>Morgen</w:t>
            </w:r>
          </w:p>
        </w:tc>
        <w:tc>
          <w:tcPr>
            <w:tcW w:w="387" w:type="pct"/>
            <w:vAlign w:val="center"/>
          </w:tcPr>
          <w:p w14:paraId="39CBCF13" w14:textId="77777777" w:rsidR="004E65A9" w:rsidRPr="007F26D5" w:rsidRDefault="004E65A9" w:rsidP="008600F3">
            <w:pPr>
              <w:pStyle w:val="Styletable10pts"/>
              <w:keepNext/>
              <w:jc w:val="center"/>
              <w:rPr>
                <w:szCs w:val="20"/>
              </w:rPr>
            </w:pPr>
            <w:r w:rsidRPr="007F26D5">
              <w:rPr>
                <w:szCs w:val="20"/>
              </w:rPr>
              <w:t>Kveld</w:t>
            </w:r>
          </w:p>
        </w:tc>
        <w:tc>
          <w:tcPr>
            <w:tcW w:w="422" w:type="pct"/>
            <w:vAlign w:val="center"/>
          </w:tcPr>
          <w:p w14:paraId="5AD3DE40" w14:textId="77777777" w:rsidR="004E65A9" w:rsidRPr="007F26D5" w:rsidRDefault="004E65A9" w:rsidP="008600F3">
            <w:pPr>
              <w:pStyle w:val="Styletable10pts"/>
              <w:keepNext/>
              <w:jc w:val="center"/>
              <w:rPr>
                <w:szCs w:val="20"/>
              </w:rPr>
            </w:pPr>
            <w:r w:rsidRPr="007F26D5">
              <w:rPr>
                <w:szCs w:val="20"/>
              </w:rPr>
              <w:t>Morgen</w:t>
            </w:r>
          </w:p>
        </w:tc>
        <w:tc>
          <w:tcPr>
            <w:tcW w:w="424" w:type="pct"/>
            <w:vAlign w:val="center"/>
          </w:tcPr>
          <w:p w14:paraId="0D021418" w14:textId="77777777" w:rsidR="004E65A9" w:rsidRPr="007F26D5" w:rsidRDefault="004E65A9" w:rsidP="008600F3">
            <w:pPr>
              <w:pStyle w:val="Styletable10pts"/>
              <w:keepNext/>
              <w:jc w:val="center"/>
              <w:rPr>
                <w:szCs w:val="20"/>
              </w:rPr>
            </w:pPr>
            <w:r w:rsidRPr="007F26D5">
              <w:rPr>
                <w:szCs w:val="20"/>
              </w:rPr>
              <w:t>Kveld</w:t>
            </w:r>
          </w:p>
        </w:tc>
        <w:tc>
          <w:tcPr>
            <w:tcW w:w="421" w:type="pct"/>
            <w:vAlign w:val="center"/>
          </w:tcPr>
          <w:p w14:paraId="23C9A434" w14:textId="77777777" w:rsidR="004E65A9" w:rsidRPr="007F26D5" w:rsidRDefault="004E65A9" w:rsidP="008600F3">
            <w:pPr>
              <w:pStyle w:val="Styletable10pts"/>
              <w:keepNext/>
              <w:jc w:val="center"/>
              <w:rPr>
                <w:szCs w:val="20"/>
              </w:rPr>
            </w:pPr>
            <w:r w:rsidRPr="007F26D5">
              <w:rPr>
                <w:szCs w:val="20"/>
              </w:rPr>
              <w:t>Morgen</w:t>
            </w:r>
          </w:p>
        </w:tc>
        <w:tc>
          <w:tcPr>
            <w:tcW w:w="399" w:type="pct"/>
            <w:vAlign w:val="center"/>
          </w:tcPr>
          <w:p w14:paraId="09AD1D4F" w14:textId="77777777" w:rsidR="004E65A9" w:rsidRPr="007F26D5" w:rsidRDefault="004E65A9" w:rsidP="008600F3">
            <w:pPr>
              <w:pStyle w:val="Styletable10pts"/>
              <w:keepNext/>
              <w:jc w:val="center"/>
              <w:rPr>
                <w:szCs w:val="20"/>
              </w:rPr>
            </w:pPr>
            <w:r w:rsidRPr="007F26D5">
              <w:rPr>
                <w:szCs w:val="20"/>
              </w:rPr>
              <w:t>Kveld</w:t>
            </w:r>
          </w:p>
        </w:tc>
        <w:tc>
          <w:tcPr>
            <w:tcW w:w="427" w:type="pct"/>
            <w:vAlign w:val="center"/>
          </w:tcPr>
          <w:p w14:paraId="514A1EF0" w14:textId="77777777" w:rsidR="004E65A9" w:rsidRPr="007F26D5" w:rsidRDefault="004E65A9" w:rsidP="008600F3">
            <w:pPr>
              <w:pStyle w:val="Styletable10pts"/>
              <w:keepNext/>
              <w:jc w:val="center"/>
              <w:rPr>
                <w:szCs w:val="20"/>
              </w:rPr>
            </w:pPr>
            <w:r w:rsidRPr="007F26D5">
              <w:rPr>
                <w:szCs w:val="20"/>
              </w:rPr>
              <w:t>Morgen</w:t>
            </w:r>
          </w:p>
        </w:tc>
        <w:tc>
          <w:tcPr>
            <w:tcW w:w="395" w:type="pct"/>
            <w:vAlign w:val="center"/>
          </w:tcPr>
          <w:p w14:paraId="2391C2B8" w14:textId="77777777" w:rsidR="004E65A9" w:rsidRPr="007F26D5" w:rsidRDefault="004E65A9" w:rsidP="008600F3">
            <w:pPr>
              <w:pStyle w:val="Styletable10pts"/>
              <w:keepNext/>
              <w:jc w:val="center"/>
              <w:rPr>
                <w:szCs w:val="20"/>
              </w:rPr>
            </w:pPr>
            <w:r w:rsidRPr="007F26D5">
              <w:rPr>
                <w:szCs w:val="20"/>
              </w:rPr>
              <w:t>Kveld</w:t>
            </w:r>
          </w:p>
        </w:tc>
        <w:tc>
          <w:tcPr>
            <w:tcW w:w="438" w:type="pct"/>
            <w:vAlign w:val="center"/>
          </w:tcPr>
          <w:p w14:paraId="29E7C50B" w14:textId="77777777" w:rsidR="004E65A9" w:rsidRPr="007F26D5" w:rsidRDefault="004E65A9" w:rsidP="008600F3">
            <w:pPr>
              <w:pStyle w:val="Styletable10pts"/>
              <w:keepNext/>
              <w:jc w:val="center"/>
              <w:rPr>
                <w:szCs w:val="20"/>
              </w:rPr>
            </w:pPr>
            <w:r w:rsidRPr="007F26D5">
              <w:rPr>
                <w:szCs w:val="20"/>
              </w:rPr>
              <w:t>Morgen</w:t>
            </w:r>
          </w:p>
        </w:tc>
        <w:tc>
          <w:tcPr>
            <w:tcW w:w="379" w:type="pct"/>
            <w:vAlign w:val="center"/>
          </w:tcPr>
          <w:p w14:paraId="3B7EF350" w14:textId="77777777" w:rsidR="004E65A9" w:rsidRPr="007F26D5" w:rsidRDefault="004E65A9" w:rsidP="008600F3">
            <w:pPr>
              <w:pStyle w:val="Styletable10pts"/>
              <w:keepNext/>
              <w:jc w:val="center"/>
              <w:rPr>
                <w:szCs w:val="20"/>
              </w:rPr>
            </w:pPr>
            <w:r w:rsidRPr="007F26D5">
              <w:rPr>
                <w:szCs w:val="20"/>
              </w:rPr>
              <w:t>Kveld</w:t>
            </w:r>
          </w:p>
        </w:tc>
      </w:tr>
      <w:tr w:rsidR="004E65A9" w:rsidRPr="007F26D5" w14:paraId="6D27CA8C" w14:textId="77777777" w:rsidTr="008600F3">
        <w:trPr>
          <w:cantSplit/>
        </w:trPr>
        <w:tc>
          <w:tcPr>
            <w:tcW w:w="446" w:type="pct"/>
            <w:vAlign w:val="center"/>
          </w:tcPr>
          <w:p w14:paraId="6151C9F9" w14:textId="77777777" w:rsidR="004E65A9" w:rsidRPr="007F26D5" w:rsidRDefault="004E65A9" w:rsidP="008600F3">
            <w:pPr>
              <w:pStyle w:val="Styletable10pts"/>
              <w:keepNext/>
              <w:rPr>
                <w:szCs w:val="20"/>
              </w:rPr>
            </w:pPr>
            <w:r w:rsidRPr="007F26D5">
              <w:rPr>
                <w:szCs w:val="20"/>
              </w:rPr>
              <w:t xml:space="preserve">20 kg til under 50 kg </w:t>
            </w:r>
          </w:p>
        </w:tc>
        <w:tc>
          <w:tcPr>
            <w:tcW w:w="429" w:type="pct"/>
            <w:vAlign w:val="center"/>
          </w:tcPr>
          <w:p w14:paraId="19BE4FE4" w14:textId="77777777" w:rsidR="004E65A9" w:rsidRPr="007F26D5" w:rsidRDefault="004E65A9" w:rsidP="008600F3">
            <w:pPr>
              <w:pStyle w:val="Styletable10pts"/>
              <w:keepNext/>
              <w:jc w:val="center"/>
              <w:rPr>
                <w:szCs w:val="20"/>
              </w:rPr>
            </w:pPr>
            <w:r w:rsidRPr="007F26D5">
              <w:rPr>
                <w:szCs w:val="20"/>
              </w:rPr>
              <w:t>10 mg</w:t>
            </w:r>
          </w:p>
        </w:tc>
        <w:tc>
          <w:tcPr>
            <w:tcW w:w="431" w:type="pct"/>
            <w:vAlign w:val="center"/>
          </w:tcPr>
          <w:p w14:paraId="350BB007" w14:textId="77777777" w:rsidR="004E65A9" w:rsidRPr="007F26D5" w:rsidRDefault="004E65A9" w:rsidP="008600F3">
            <w:pPr>
              <w:pStyle w:val="Styletable10pts"/>
              <w:keepNext/>
              <w:jc w:val="center"/>
              <w:rPr>
                <w:szCs w:val="20"/>
              </w:rPr>
            </w:pPr>
            <w:r w:rsidRPr="007F26D5">
              <w:rPr>
                <w:szCs w:val="20"/>
              </w:rPr>
              <w:t>10 mg</w:t>
            </w:r>
          </w:p>
        </w:tc>
        <w:tc>
          <w:tcPr>
            <w:tcW w:w="387" w:type="pct"/>
            <w:vAlign w:val="center"/>
          </w:tcPr>
          <w:p w14:paraId="1C6CB9FD" w14:textId="77777777" w:rsidR="004E65A9" w:rsidRPr="007F26D5" w:rsidRDefault="004E65A9" w:rsidP="008600F3">
            <w:pPr>
              <w:pStyle w:val="Styletable10pts"/>
              <w:keepNext/>
              <w:jc w:val="center"/>
              <w:rPr>
                <w:szCs w:val="20"/>
              </w:rPr>
            </w:pPr>
            <w:r w:rsidRPr="007F26D5">
              <w:rPr>
                <w:szCs w:val="20"/>
              </w:rPr>
              <w:t>10 mg</w:t>
            </w:r>
          </w:p>
        </w:tc>
        <w:tc>
          <w:tcPr>
            <w:tcW w:w="422" w:type="pct"/>
            <w:vAlign w:val="center"/>
          </w:tcPr>
          <w:p w14:paraId="1227D04B" w14:textId="77777777" w:rsidR="004E65A9" w:rsidRPr="007F26D5" w:rsidRDefault="004E65A9" w:rsidP="008600F3">
            <w:pPr>
              <w:pStyle w:val="Styletable10pts"/>
              <w:keepNext/>
              <w:jc w:val="center"/>
              <w:rPr>
                <w:szCs w:val="20"/>
              </w:rPr>
            </w:pPr>
            <w:r w:rsidRPr="007F26D5">
              <w:rPr>
                <w:szCs w:val="20"/>
              </w:rPr>
              <w:t>10 mg</w:t>
            </w:r>
          </w:p>
        </w:tc>
        <w:tc>
          <w:tcPr>
            <w:tcW w:w="424" w:type="pct"/>
            <w:vAlign w:val="center"/>
          </w:tcPr>
          <w:p w14:paraId="1C6E7543" w14:textId="77777777" w:rsidR="004E65A9" w:rsidRPr="007F26D5" w:rsidRDefault="004E65A9" w:rsidP="008600F3">
            <w:pPr>
              <w:pStyle w:val="Styletable10pts"/>
              <w:keepNext/>
              <w:jc w:val="center"/>
              <w:rPr>
                <w:szCs w:val="20"/>
              </w:rPr>
            </w:pPr>
            <w:r w:rsidRPr="007F26D5">
              <w:rPr>
                <w:szCs w:val="20"/>
              </w:rPr>
              <w:t>20 mg</w:t>
            </w:r>
          </w:p>
        </w:tc>
        <w:tc>
          <w:tcPr>
            <w:tcW w:w="421" w:type="pct"/>
            <w:vAlign w:val="center"/>
          </w:tcPr>
          <w:p w14:paraId="54953EAA" w14:textId="77777777" w:rsidR="004E65A9" w:rsidRPr="007F26D5" w:rsidRDefault="004E65A9" w:rsidP="008600F3">
            <w:pPr>
              <w:pStyle w:val="Styletable10pts"/>
              <w:keepNext/>
              <w:jc w:val="center"/>
              <w:rPr>
                <w:szCs w:val="20"/>
              </w:rPr>
            </w:pPr>
            <w:r w:rsidRPr="007F26D5">
              <w:rPr>
                <w:szCs w:val="20"/>
              </w:rPr>
              <w:t>20 mg</w:t>
            </w:r>
          </w:p>
        </w:tc>
        <w:tc>
          <w:tcPr>
            <w:tcW w:w="399" w:type="pct"/>
            <w:vAlign w:val="center"/>
          </w:tcPr>
          <w:p w14:paraId="7C91E9DA" w14:textId="77777777" w:rsidR="004E65A9" w:rsidRPr="007F26D5" w:rsidRDefault="004E65A9" w:rsidP="008600F3">
            <w:pPr>
              <w:pStyle w:val="Styletable10pts"/>
              <w:keepNext/>
              <w:jc w:val="center"/>
              <w:rPr>
                <w:szCs w:val="20"/>
              </w:rPr>
            </w:pPr>
            <w:r w:rsidRPr="007F26D5">
              <w:rPr>
                <w:szCs w:val="20"/>
              </w:rPr>
              <w:t>20 mg</w:t>
            </w:r>
          </w:p>
        </w:tc>
        <w:tc>
          <w:tcPr>
            <w:tcW w:w="427" w:type="pct"/>
            <w:vAlign w:val="center"/>
          </w:tcPr>
          <w:p w14:paraId="04C55832" w14:textId="77777777" w:rsidR="004E65A9" w:rsidRPr="007F26D5" w:rsidRDefault="004E65A9" w:rsidP="008600F3">
            <w:pPr>
              <w:pStyle w:val="Styletable10pts"/>
              <w:keepNext/>
              <w:jc w:val="center"/>
              <w:rPr>
                <w:szCs w:val="20"/>
              </w:rPr>
            </w:pPr>
            <w:r w:rsidRPr="007F26D5">
              <w:rPr>
                <w:szCs w:val="20"/>
              </w:rPr>
              <w:t>20 mg</w:t>
            </w:r>
          </w:p>
        </w:tc>
        <w:tc>
          <w:tcPr>
            <w:tcW w:w="395" w:type="pct"/>
            <w:vAlign w:val="center"/>
          </w:tcPr>
          <w:p w14:paraId="21D51D5B" w14:textId="77777777" w:rsidR="004E65A9" w:rsidRPr="007F26D5" w:rsidRDefault="004E65A9" w:rsidP="008600F3">
            <w:pPr>
              <w:pStyle w:val="Styletable10pts"/>
              <w:keepNext/>
              <w:jc w:val="center"/>
              <w:rPr>
                <w:szCs w:val="20"/>
              </w:rPr>
            </w:pPr>
            <w:r w:rsidRPr="007F26D5">
              <w:rPr>
                <w:szCs w:val="20"/>
              </w:rPr>
              <w:t>20 mg</w:t>
            </w:r>
          </w:p>
        </w:tc>
        <w:tc>
          <w:tcPr>
            <w:tcW w:w="438" w:type="pct"/>
            <w:vAlign w:val="center"/>
          </w:tcPr>
          <w:p w14:paraId="07D3DF77" w14:textId="77777777" w:rsidR="004E65A9" w:rsidRPr="007F26D5" w:rsidRDefault="004E65A9" w:rsidP="008600F3">
            <w:pPr>
              <w:pStyle w:val="Styletable10pts"/>
              <w:keepNext/>
              <w:jc w:val="center"/>
              <w:rPr>
                <w:szCs w:val="20"/>
              </w:rPr>
            </w:pPr>
            <w:r w:rsidRPr="007F26D5">
              <w:rPr>
                <w:szCs w:val="20"/>
              </w:rPr>
              <w:t>20 mg</w:t>
            </w:r>
          </w:p>
        </w:tc>
        <w:tc>
          <w:tcPr>
            <w:tcW w:w="379" w:type="pct"/>
            <w:vAlign w:val="center"/>
          </w:tcPr>
          <w:p w14:paraId="66307C92" w14:textId="77777777" w:rsidR="004E65A9" w:rsidRPr="007F26D5" w:rsidRDefault="004E65A9" w:rsidP="008600F3">
            <w:pPr>
              <w:pStyle w:val="Styletable10pts"/>
              <w:keepNext/>
              <w:jc w:val="center"/>
              <w:rPr>
                <w:szCs w:val="20"/>
              </w:rPr>
            </w:pPr>
            <w:r w:rsidRPr="007F26D5">
              <w:rPr>
                <w:szCs w:val="20"/>
              </w:rPr>
              <w:t>20 mg</w:t>
            </w:r>
          </w:p>
        </w:tc>
      </w:tr>
      <w:tr w:rsidR="004E65A9" w:rsidRPr="007F26D5" w14:paraId="6EA02B64" w14:textId="77777777" w:rsidTr="008600F3">
        <w:trPr>
          <w:cantSplit/>
        </w:trPr>
        <w:tc>
          <w:tcPr>
            <w:tcW w:w="446" w:type="pct"/>
            <w:vAlign w:val="center"/>
          </w:tcPr>
          <w:p w14:paraId="2A925113" w14:textId="77777777" w:rsidR="004E65A9" w:rsidRPr="007F26D5" w:rsidRDefault="004E65A9" w:rsidP="008600F3">
            <w:pPr>
              <w:pStyle w:val="Styletable10pts"/>
              <w:rPr>
                <w:szCs w:val="20"/>
              </w:rPr>
            </w:pPr>
            <w:r w:rsidRPr="007F26D5">
              <w:rPr>
                <w:szCs w:val="20"/>
              </w:rPr>
              <w:t xml:space="preserve">50 kg eller mer </w:t>
            </w:r>
          </w:p>
        </w:tc>
        <w:tc>
          <w:tcPr>
            <w:tcW w:w="429" w:type="pct"/>
            <w:vAlign w:val="center"/>
          </w:tcPr>
          <w:p w14:paraId="4A3D1540" w14:textId="77777777" w:rsidR="004E65A9" w:rsidRPr="007F26D5" w:rsidRDefault="004E65A9" w:rsidP="008600F3">
            <w:pPr>
              <w:pStyle w:val="Styletable10pts"/>
              <w:jc w:val="center"/>
              <w:rPr>
                <w:szCs w:val="20"/>
              </w:rPr>
            </w:pPr>
            <w:r w:rsidRPr="007F26D5">
              <w:rPr>
                <w:szCs w:val="20"/>
              </w:rPr>
              <w:t>10 mg</w:t>
            </w:r>
          </w:p>
        </w:tc>
        <w:tc>
          <w:tcPr>
            <w:tcW w:w="431" w:type="pct"/>
            <w:vAlign w:val="center"/>
          </w:tcPr>
          <w:p w14:paraId="24651FCE" w14:textId="77777777" w:rsidR="004E65A9" w:rsidRPr="007F26D5" w:rsidRDefault="004E65A9" w:rsidP="008600F3">
            <w:pPr>
              <w:pStyle w:val="Styletable10pts"/>
              <w:jc w:val="center"/>
              <w:rPr>
                <w:szCs w:val="20"/>
              </w:rPr>
            </w:pPr>
            <w:r w:rsidRPr="007F26D5">
              <w:rPr>
                <w:szCs w:val="20"/>
              </w:rPr>
              <w:t>10 mg</w:t>
            </w:r>
          </w:p>
        </w:tc>
        <w:tc>
          <w:tcPr>
            <w:tcW w:w="387" w:type="pct"/>
            <w:vAlign w:val="center"/>
          </w:tcPr>
          <w:p w14:paraId="5681D65C" w14:textId="77777777" w:rsidR="004E65A9" w:rsidRPr="007F26D5" w:rsidRDefault="004E65A9" w:rsidP="008600F3">
            <w:pPr>
              <w:pStyle w:val="Styletable10pts"/>
              <w:jc w:val="center"/>
              <w:rPr>
                <w:szCs w:val="20"/>
              </w:rPr>
            </w:pPr>
            <w:r w:rsidRPr="007F26D5">
              <w:rPr>
                <w:szCs w:val="20"/>
              </w:rPr>
              <w:t>10 mg</w:t>
            </w:r>
          </w:p>
        </w:tc>
        <w:tc>
          <w:tcPr>
            <w:tcW w:w="422" w:type="pct"/>
            <w:vAlign w:val="center"/>
          </w:tcPr>
          <w:p w14:paraId="4E096DEC" w14:textId="77777777" w:rsidR="004E65A9" w:rsidRPr="007F26D5" w:rsidRDefault="004E65A9" w:rsidP="008600F3">
            <w:pPr>
              <w:pStyle w:val="Styletable10pts"/>
              <w:jc w:val="center"/>
              <w:rPr>
                <w:szCs w:val="20"/>
              </w:rPr>
            </w:pPr>
            <w:r w:rsidRPr="007F26D5">
              <w:rPr>
                <w:szCs w:val="20"/>
              </w:rPr>
              <w:t>10 mg</w:t>
            </w:r>
          </w:p>
        </w:tc>
        <w:tc>
          <w:tcPr>
            <w:tcW w:w="424" w:type="pct"/>
            <w:vAlign w:val="center"/>
          </w:tcPr>
          <w:p w14:paraId="5ACAE328" w14:textId="77777777" w:rsidR="004E65A9" w:rsidRPr="007F26D5" w:rsidRDefault="004E65A9" w:rsidP="008600F3">
            <w:pPr>
              <w:pStyle w:val="Styletable10pts"/>
              <w:jc w:val="center"/>
              <w:rPr>
                <w:szCs w:val="20"/>
              </w:rPr>
            </w:pPr>
            <w:r w:rsidRPr="007F26D5">
              <w:rPr>
                <w:szCs w:val="20"/>
              </w:rPr>
              <w:t>20 mg</w:t>
            </w:r>
          </w:p>
        </w:tc>
        <w:tc>
          <w:tcPr>
            <w:tcW w:w="421" w:type="pct"/>
            <w:vAlign w:val="center"/>
          </w:tcPr>
          <w:p w14:paraId="34794901" w14:textId="77777777" w:rsidR="004E65A9" w:rsidRPr="007F26D5" w:rsidRDefault="004E65A9" w:rsidP="008600F3">
            <w:pPr>
              <w:pStyle w:val="Styletable10pts"/>
              <w:jc w:val="center"/>
              <w:rPr>
                <w:szCs w:val="20"/>
              </w:rPr>
            </w:pPr>
            <w:r w:rsidRPr="007F26D5">
              <w:rPr>
                <w:szCs w:val="20"/>
              </w:rPr>
              <w:t>20 mg</w:t>
            </w:r>
          </w:p>
        </w:tc>
        <w:tc>
          <w:tcPr>
            <w:tcW w:w="399" w:type="pct"/>
            <w:vAlign w:val="center"/>
          </w:tcPr>
          <w:p w14:paraId="2BF26C2E" w14:textId="77777777" w:rsidR="004E65A9" w:rsidRPr="007F26D5" w:rsidRDefault="004E65A9" w:rsidP="008600F3">
            <w:pPr>
              <w:pStyle w:val="Styletable10pts"/>
              <w:jc w:val="center"/>
              <w:rPr>
                <w:szCs w:val="20"/>
              </w:rPr>
            </w:pPr>
            <w:r w:rsidRPr="007F26D5">
              <w:rPr>
                <w:szCs w:val="20"/>
              </w:rPr>
              <w:t>20 mg</w:t>
            </w:r>
          </w:p>
        </w:tc>
        <w:tc>
          <w:tcPr>
            <w:tcW w:w="427" w:type="pct"/>
            <w:vAlign w:val="center"/>
          </w:tcPr>
          <w:p w14:paraId="0E2CD8C3" w14:textId="77777777" w:rsidR="004E65A9" w:rsidRPr="007F26D5" w:rsidRDefault="004E65A9" w:rsidP="008600F3">
            <w:pPr>
              <w:pStyle w:val="Styletable10pts"/>
              <w:jc w:val="center"/>
              <w:rPr>
                <w:szCs w:val="20"/>
              </w:rPr>
            </w:pPr>
            <w:r w:rsidRPr="007F26D5">
              <w:rPr>
                <w:szCs w:val="20"/>
              </w:rPr>
              <w:t>20 mg</w:t>
            </w:r>
          </w:p>
        </w:tc>
        <w:tc>
          <w:tcPr>
            <w:tcW w:w="395" w:type="pct"/>
            <w:vAlign w:val="center"/>
          </w:tcPr>
          <w:p w14:paraId="69845F38" w14:textId="77777777" w:rsidR="004E65A9" w:rsidRPr="007F26D5" w:rsidRDefault="004E65A9" w:rsidP="008600F3">
            <w:pPr>
              <w:pStyle w:val="Styletable10pts"/>
              <w:jc w:val="center"/>
              <w:rPr>
                <w:szCs w:val="20"/>
              </w:rPr>
            </w:pPr>
            <w:r w:rsidRPr="007F26D5">
              <w:rPr>
                <w:szCs w:val="20"/>
              </w:rPr>
              <w:t>30 mg</w:t>
            </w:r>
          </w:p>
        </w:tc>
        <w:tc>
          <w:tcPr>
            <w:tcW w:w="438" w:type="pct"/>
            <w:vAlign w:val="center"/>
          </w:tcPr>
          <w:p w14:paraId="1645D1E5" w14:textId="77777777" w:rsidR="004E65A9" w:rsidRPr="007F26D5" w:rsidRDefault="004E65A9" w:rsidP="008600F3">
            <w:pPr>
              <w:pStyle w:val="Styletable10pts"/>
              <w:jc w:val="center"/>
              <w:rPr>
                <w:szCs w:val="20"/>
              </w:rPr>
            </w:pPr>
            <w:r w:rsidRPr="007F26D5">
              <w:rPr>
                <w:szCs w:val="20"/>
              </w:rPr>
              <w:t>30 mg</w:t>
            </w:r>
          </w:p>
        </w:tc>
        <w:tc>
          <w:tcPr>
            <w:tcW w:w="379" w:type="pct"/>
            <w:vAlign w:val="center"/>
          </w:tcPr>
          <w:p w14:paraId="0F91FCE9" w14:textId="77777777" w:rsidR="004E65A9" w:rsidRPr="007F26D5" w:rsidRDefault="004E65A9" w:rsidP="008600F3">
            <w:pPr>
              <w:pStyle w:val="Styletable10pts"/>
              <w:jc w:val="center"/>
              <w:rPr>
                <w:szCs w:val="20"/>
              </w:rPr>
            </w:pPr>
            <w:r w:rsidRPr="007F26D5">
              <w:rPr>
                <w:szCs w:val="20"/>
              </w:rPr>
              <w:t>30 mg</w:t>
            </w:r>
          </w:p>
        </w:tc>
      </w:tr>
    </w:tbl>
    <w:p w14:paraId="11AD96BD" w14:textId="77777777" w:rsidR="004E65A9" w:rsidRDefault="004E65A9" w:rsidP="003F09AA">
      <w:pPr>
        <w:rPr>
          <w:noProof/>
        </w:rPr>
      </w:pPr>
    </w:p>
    <w:p w14:paraId="4B7C8A6E" w14:textId="77777777" w:rsidR="004E65A9" w:rsidRPr="00312FEA" w:rsidRDefault="004E65A9" w:rsidP="003F09AA">
      <w:pPr>
        <w:pStyle w:val="StyleItalic"/>
      </w:pPr>
      <w:r>
        <w:t>Alle indikasjoner (psoriasis hos voksne og barn, psoriasisartritt, Behcets sykdom)</w:t>
      </w:r>
    </w:p>
    <w:p w14:paraId="03D77987" w14:textId="77777777" w:rsidR="004E65A9" w:rsidRPr="009D08B2" w:rsidRDefault="004E65A9" w:rsidP="003F09AA">
      <w:pPr>
        <w:keepNext/>
        <w:rPr>
          <w:noProof/>
        </w:rPr>
      </w:pPr>
    </w:p>
    <w:p w14:paraId="7C5DE22B" w14:textId="77777777" w:rsidR="004E65A9" w:rsidRPr="009D08B2" w:rsidRDefault="004E65A9" w:rsidP="003F09AA">
      <w:pPr>
        <w:rPr>
          <w:noProof/>
        </w:rPr>
      </w:pPr>
      <w:r>
        <w:t>Retitrering etter innledende titrering er ikke nødvendig.</w:t>
      </w:r>
    </w:p>
    <w:p w14:paraId="38BA7951" w14:textId="77777777" w:rsidR="004E65A9" w:rsidRPr="009D08B2" w:rsidRDefault="004E65A9" w:rsidP="003F09AA">
      <w:pPr>
        <w:rPr>
          <w:noProof/>
        </w:rPr>
      </w:pPr>
    </w:p>
    <w:p w14:paraId="64CCEF44" w14:textId="77777777" w:rsidR="004E65A9" w:rsidRPr="009D08B2" w:rsidRDefault="004E65A9" w:rsidP="003F09AA">
      <w:pPr>
        <w:rPr>
          <w:noProof/>
        </w:rPr>
      </w:pPr>
      <w:r>
        <w:t>Den anbefalte dosen apremilast to ganger daglig bør tas med ca. 12 timers mellomrom (morgen og kveld), uten restriksjoner med hensyn til mat.</w:t>
      </w:r>
    </w:p>
    <w:p w14:paraId="2503F18D" w14:textId="77777777" w:rsidR="004E65A9" w:rsidRPr="00BD1AD5" w:rsidRDefault="004E65A9" w:rsidP="003F09AA">
      <w:pPr>
        <w:rPr>
          <w:noProof/>
        </w:rPr>
      </w:pPr>
    </w:p>
    <w:p w14:paraId="23566CA4" w14:textId="77777777" w:rsidR="004E65A9" w:rsidRPr="00BD1AD5" w:rsidRDefault="004E65A9" w:rsidP="003F09AA">
      <w:pPr>
        <w:rPr>
          <w:noProof/>
        </w:rPr>
      </w:pPr>
      <w:r>
        <w:t>Hvis pasienten glemmer en dose, skal neste dose tas så snart som mulig. Hvis det snart er tid for neste dose, skal den glemte dosen ikke tas, og neste dose skal tas til vanlig tid.</w:t>
      </w:r>
    </w:p>
    <w:p w14:paraId="45928ED1" w14:textId="77777777" w:rsidR="004E65A9" w:rsidRPr="00BD1AD5" w:rsidRDefault="004E65A9" w:rsidP="003F09AA">
      <w:pPr>
        <w:rPr>
          <w:noProof/>
        </w:rPr>
      </w:pPr>
    </w:p>
    <w:p w14:paraId="227DCD75" w14:textId="77777777" w:rsidR="004E65A9" w:rsidRPr="00BD1AD5" w:rsidRDefault="004E65A9" w:rsidP="003F09AA">
      <w:pPr>
        <w:rPr>
          <w:noProof/>
        </w:rPr>
      </w:pPr>
      <w:r>
        <w:t>I pivotale studier ble den beste bedringen observert de første 24 ukene med behandling for PsA og PSOR og de første 12 ukene med behandling for Behcets sykdom. Dersom en pasient ikke viser tegn på terapeutisk effekt etter denne tidsperioden, bør behandlingen revurderes. Pasientens respons på behandlingen bør evalueres regelmessig.</w:t>
      </w:r>
    </w:p>
    <w:p w14:paraId="4F3FB9B3" w14:textId="77777777" w:rsidR="004E65A9" w:rsidRPr="00BD1AD5" w:rsidRDefault="004E65A9" w:rsidP="003F09AA">
      <w:pPr>
        <w:rPr>
          <w:noProof/>
        </w:rPr>
      </w:pPr>
    </w:p>
    <w:p w14:paraId="5AC3EAB5" w14:textId="77777777" w:rsidR="004E65A9" w:rsidRPr="00BD1AD5" w:rsidRDefault="004E65A9" w:rsidP="003F09AA">
      <w:pPr>
        <w:keepNext/>
        <w:rPr>
          <w:noProof/>
        </w:rPr>
      </w:pPr>
      <w:r>
        <w:rPr>
          <w:u w:val="single"/>
        </w:rPr>
        <w:t>Spesielle populasjoner</w:t>
      </w:r>
    </w:p>
    <w:p w14:paraId="29100410" w14:textId="77777777" w:rsidR="004E65A9" w:rsidRPr="00BD1AD5" w:rsidRDefault="004E65A9" w:rsidP="003F09AA">
      <w:pPr>
        <w:keepNext/>
        <w:rPr>
          <w:rFonts w:eastAsia="SimSun"/>
          <w:i/>
          <w:u w:val="single"/>
          <w:lang w:eastAsia="zh-CN"/>
        </w:rPr>
      </w:pPr>
    </w:p>
    <w:p w14:paraId="66789946" w14:textId="77777777" w:rsidR="004E65A9" w:rsidRPr="00BD1AD5" w:rsidRDefault="004E65A9" w:rsidP="003F09AA">
      <w:pPr>
        <w:keepNext/>
        <w:rPr>
          <w:i/>
          <w:noProof/>
          <w:u w:val="single"/>
        </w:rPr>
      </w:pPr>
      <w:r>
        <w:rPr>
          <w:i/>
          <w:u w:val="single"/>
        </w:rPr>
        <w:t>Eldre pasienter</w:t>
      </w:r>
    </w:p>
    <w:p w14:paraId="3B9D0CDD" w14:textId="77777777" w:rsidR="004E65A9" w:rsidRPr="00BD1AD5" w:rsidRDefault="004E65A9" w:rsidP="003F09AA">
      <w:r>
        <w:t>Dosejustering er ikke nødvendig hos denne pasientpopulasjonen (se pkt. 4.8 og 5.2).</w:t>
      </w:r>
    </w:p>
    <w:p w14:paraId="13034C7C" w14:textId="77777777" w:rsidR="004E65A9" w:rsidRPr="00BD1AD5" w:rsidRDefault="004E65A9" w:rsidP="003F09AA">
      <w:pPr>
        <w:rPr>
          <w:i/>
          <w:noProof/>
          <w:u w:val="single"/>
        </w:rPr>
      </w:pPr>
    </w:p>
    <w:p w14:paraId="0099EE7E" w14:textId="77777777" w:rsidR="004E65A9" w:rsidRDefault="004E65A9" w:rsidP="003F09AA">
      <w:pPr>
        <w:rPr>
          <w:i/>
          <w:noProof/>
          <w:u w:val="single"/>
        </w:rPr>
      </w:pPr>
      <w:r>
        <w:rPr>
          <w:i/>
          <w:u w:val="single"/>
        </w:rPr>
        <w:t>Pasienter med nedsatt nyrefunksjon</w:t>
      </w:r>
    </w:p>
    <w:p w14:paraId="2C5F0927" w14:textId="77777777" w:rsidR="004E65A9" w:rsidRDefault="004E65A9" w:rsidP="003F09AA">
      <w:pPr>
        <w:keepNext/>
        <w:rPr>
          <w:i/>
          <w:noProof/>
          <w:u w:val="single"/>
        </w:rPr>
      </w:pPr>
    </w:p>
    <w:p w14:paraId="54EEEB8B" w14:textId="77777777" w:rsidR="004E65A9" w:rsidRPr="00D85B9A" w:rsidRDefault="004E65A9" w:rsidP="003F09AA">
      <w:pPr>
        <w:pStyle w:val="StyleItalic"/>
      </w:pPr>
      <w:r>
        <w:t>Voksne pasienter med psoriasisartritt, psoriasis eller Behcets sykdom</w:t>
      </w:r>
    </w:p>
    <w:p w14:paraId="6CCF18AF" w14:textId="77777777" w:rsidR="004E65A9" w:rsidRDefault="004E65A9" w:rsidP="003F09AA"/>
    <w:p w14:paraId="5FF2EA5B" w14:textId="77777777" w:rsidR="004E65A9" w:rsidRDefault="004E65A9" w:rsidP="003F09AA">
      <w:r>
        <w:t>Dosejustering er ikke nødvendig hos voksne pasienter med lett eller moderat nedsatt nyrefunksjon. Apremilastdosen skal reduseres til 30 mg én gang daglig hos voksne pasienter med alvorlig nedsatt nyrefunksjon (kreatininclearance under 30 ml/minutt estimert med Cockcroft</w:t>
      </w:r>
      <w:r>
        <w:noBreakHyphen/>
        <w:t>Gault</w:t>
      </w:r>
      <w:r>
        <w:noBreakHyphen/>
        <w:t>formelen). For dosetitrering ved oppstart hos denne gruppen, anbefales det at apremilast titreres ved bruk av kun morgendosene i tabell 1 og at kveldsdosene utelates (se pkt. 5.2).</w:t>
      </w:r>
    </w:p>
    <w:p w14:paraId="05159DC6" w14:textId="77777777" w:rsidR="004E65A9" w:rsidRDefault="004E65A9" w:rsidP="003F09AA"/>
    <w:p w14:paraId="295259F2" w14:textId="77777777" w:rsidR="004E65A9" w:rsidRPr="00D85B9A" w:rsidRDefault="004E65A9" w:rsidP="003F09AA">
      <w:pPr>
        <w:pStyle w:val="StyleItalic"/>
      </w:pPr>
      <w:r>
        <w:t>Pediatriske pasienter med moderat til alvorlig psoriasis</w:t>
      </w:r>
    </w:p>
    <w:p w14:paraId="57516869" w14:textId="77777777" w:rsidR="004E65A9" w:rsidRPr="00BD1AD5" w:rsidRDefault="004E65A9" w:rsidP="003F09AA">
      <w:r>
        <w:t>Ingen dosejustering er nødvendig hos pediatriske pasienter fra 6 år og oppover med mild eller moderat nedsatt nyrefunksjon. Hos pediatriske pasienter fra 6 år og oppover med alvorlig nedsatt nyrefunksjon (kreatininclearance under 30 ml/minutt estimert med Cockroft</w:t>
      </w:r>
      <w:r>
        <w:noBreakHyphen/>
        <w:t>Gault</w:t>
      </w:r>
      <w:r>
        <w:noBreakHyphen/>
        <w:t>formelen), anbefales dosejustering. Apremilastdosen skal reduseres til 30 mg én gang daglig hos pediatriske pasienter som veier minst 50 kg og til 20 mg én gang daglig hos pediatriske pasienter som veier mellom 20 kg og mindre enn 50 kg. For innledende dosetitrering i disse gruppene anbefales det at apremilast titreres kun ved bruk av morgendosene som er oppført i tabell 2 ovenfor for den aktuelle kroppsvektkategorien, og at kveldsdosene hoppes over.</w:t>
      </w:r>
    </w:p>
    <w:p w14:paraId="691F79A1" w14:textId="77777777" w:rsidR="004E65A9" w:rsidRPr="00BD1AD5" w:rsidRDefault="004E65A9" w:rsidP="003F09AA">
      <w:pPr>
        <w:rPr>
          <w:u w:val="single"/>
        </w:rPr>
      </w:pPr>
    </w:p>
    <w:p w14:paraId="778A0E7F" w14:textId="77777777" w:rsidR="004E65A9" w:rsidRPr="00BD1AD5" w:rsidRDefault="004E65A9" w:rsidP="003F09AA">
      <w:pPr>
        <w:keepNext/>
        <w:rPr>
          <w:i/>
          <w:noProof/>
          <w:u w:val="single"/>
        </w:rPr>
      </w:pPr>
      <w:r>
        <w:rPr>
          <w:i/>
          <w:u w:val="single"/>
        </w:rPr>
        <w:t>Pasienter med nedsatt leverfunksjon</w:t>
      </w:r>
    </w:p>
    <w:p w14:paraId="065B0564" w14:textId="77777777" w:rsidR="004E65A9" w:rsidRPr="00BD1AD5" w:rsidRDefault="004E65A9" w:rsidP="003F09AA">
      <w:r>
        <w:t>Dosejustering er ikke nødvendig hos pasienter med nedsatt leverfunksjon (se pkt. 5.2).</w:t>
      </w:r>
    </w:p>
    <w:p w14:paraId="6CEA8C7E" w14:textId="77777777" w:rsidR="004E65A9" w:rsidRPr="00BD1AD5" w:rsidRDefault="004E65A9" w:rsidP="003F09AA">
      <w:pPr>
        <w:rPr>
          <w:u w:val="single"/>
        </w:rPr>
      </w:pPr>
    </w:p>
    <w:p w14:paraId="7D1C9C54" w14:textId="77777777" w:rsidR="004E65A9" w:rsidRPr="00BD1AD5" w:rsidRDefault="004E65A9" w:rsidP="003F09AA">
      <w:pPr>
        <w:keepNext/>
        <w:rPr>
          <w:i/>
          <w:noProof/>
          <w:u w:val="single"/>
        </w:rPr>
      </w:pPr>
      <w:r>
        <w:rPr>
          <w:i/>
          <w:u w:val="single"/>
        </w:rPr>
        <w:lastRenderedPageBreak/>
        <w:t>Pediatrisk populasjon</w:t>
      </w:r>
    </w:p>
    <w:p w14:paraId="4DA64BB5" w14:textId="77777777" w:rsidR="004E65A9" w:rsidRPr="00BD1AD5" w:rsidRDefault="004E65A9" w:rsidP="003F09AA">
      <w:r>
        <w:t>Sikkerhet og effekt av apremilast har ikke blitt fastslått hos barn med moderat til alvorlig plakkpsoriasis under 6 års alder eller med en kroppsvekt under 20 kg, eller ved andre pediatriske indikasjoner. Det finnes ingen tilgjengelige data.</w:t>
      </w:r>
    </w:p>
    <w:p w14:paraId="7FB34F11" w14:textId="77777777" w:rsidR="004E65A9" w:rsidRPr="00BD1AD5" w:rsidRDefault="004E65A9" w:rsidP="003F09AA">
      <w:pPr>
        <w:rPr>
          <w:u w:val="single"/>
        </w:rPr>
      </w:pPr>
    </w:p>
    <w:p w14:paraId="1CED4A18" w14:textId="77777777" w:rsidR="004E65A9" w:rsidRPr="00BD1AD5" w:rsidRDefault="004E65A9" w:rsidP="003F09AA">
      <w:pPr>
        <w:keepNext/>
        <w:rPr>
          <w:u w:val="single"/>
        </w:rPr>
      </w:pPr>
      <w:r>
        <w:rPr>
          <w:u w:val="single"/>
        </w:rPr>
        <w:t>Administrasjonsmåte</w:t>
      </w:r>
    </w:p>
    <w:p w14:paraId="56404B91" w14:textId="77777777" w:rsidR="004E65A9" w:rsidRPr="00BD1AD5" w:rsidRDefault="004E65A9" w:rsidP="003F09AA">
      <w:pPr>
        <w:keepNext/>
        <w:rPr>
          <w:noProof/>
        </w:rPr>
      </w:pPr>
    </w:p>
    <w:p w14:paraId="7B9FD323" w14:textId="77777777" w:rsidR="004E65A9" w:rsidRPr="00BD1AD5" w:rsidRDefault="004E65A9" w:rsidP="003F09AA">
      <w:pPr>
        <w:rPr>
          <w:noProof/>
        </w:rPr>
      </w:pPr>
      <w:r>
        <w:t>Otezla er til oral bruk. De filmdrasjerte tablettene skal svelges hele, og kan tas med eller uten mat.</w:t>
      </w:r>
    </w:p>
    <w:p w14:paraId="3D73E146" w14:textId="77777777" w:rsidR="004E65A9" w:rsidRPr="00BD1AD5" w:rsidRDefault="004E65A9" w:rsidP="003F09AA">
      <w:pPr>
        <w:rPr>
          <w:noProof/>
        </w:rPr>
      </w:pPr>
    </w:p>
    <w:p w14:paraId="21960223" w14:textId="77777777" w:rsidR="004E65A9" w:rsidRPr="00BD1AD5" w:rsidRDefault="004E65A9" w:rsidP="003F09AA">
      <w:pPr>
        <w:keepNext/>
        <w:ind w:left="567" w:hanging="567"/>
        <w:outlineLvl w:val="0"/>
        <w:rPr>
          <w:b/>
          <w:noProof/>
        </w:rPr>
      </w:pPr>
      <w:r>
        <w:rPr>
          <w:b/>
        </w:rPr>
        <w:t>4.3</w:t>
      </w:r>
      <w:r>
        <w:rPr>
          <w:b/>
        </w:rPr>
        <w:tab/>
        <w:t>Kontraindikasjoner</w:t>
      </w:r>
    </w:p>
    <w:p w14:paraId="12DCCC0A" w14:textId="77777777" w:rsidR="004E65A9" w:rsidRPr="00BD1AD5" w:rsidRDefault="004E65A9" w:rsidP="003F09AA">
      <w:pPr>
        <w:keepNext/>
        <w:rPr>
          <w:noProof/>
        </w:rPr>
      </w:pPr>
    </w:p>
    <w:p w14:paraId="3B8C4E82" w14:textId="77777777" w:rsidR="004E65A9" w:rsidRPr="00BD1AD5" w:rsidRDefault="004E65A9" w:rsidP="003F09AA">
      <w:pPr>
        <w:rPr>
          <w:noProof/>
        </w:rPr>
      </w:pPr>
      <w:r>
        <w:t>Overfølsomhet overfor virkestoffet eller overfor noen av hjelpestoffene listet opp i pkt. 6.1.</w:t>
      </w:r>
    </w:p>
    <w:p w14:paraId="10ACB7E2" w14:textId="77777777" w:rsidR="004E65A9" w:rsidRPr="00BD1AD5" w:rsidRDefault="004E65A9" w:rsidP="003F09AA">
      <w:pPr>
        <w:rPr>
          <w:noProof/>
        </w:rPr>
      </w:pPr>
    </w:p>
    <w:p w14:paraId="4D1706BC" w14:textId="77777777" w:rsidR="004E65A9" w:rsidRPr="00BD1AD5" w:rsidRDefault="004E65A9" w:rsidP="003F09AA">
      <w:pPr>
        <w:rPr>
          <w:noProof/>
        </w:rPr>
      </w:pPr>
      <w:r>
        <w:t>Graviditet (se pkt. 4.6).</w:t>
      </w:r>
    </w:p>
    <w:p w14:paraId="076A2587" w14:textId="77777777" w:rsidR="004E65A9" w:rsidRPr="00BD1AD5" w:rsidRDefault="004E65A9" w:rsidP="003F09AA">
      <w:pPr>
        <w:rPr>
          <w:noProof/>
        </w:rPr>
      </w:pPr>
    </w:p>
    <w:p w14:paraId="0E2E6D9C" w14:textId="77777777" w:rsidR="004E65A9" w:rsidRPr="00BD1AD5" w:rsidRDefault="004E65A9" w:rsidP="003F09AA">
      <w:pPr>
        <w:keepNext/>
        <w:ind w:left="567" w:hanging="567"/>
        <w:outlineLvl w:val="0"/>
        <w:rPr>
          <w:b/>
          <w:noProof/>
        </w:rPr>
      </w:pPr>
      <w:r>
        <w:rPr>
          <w:b/>
        </w:rPr>
        <w:t>4.4</w:t>
      </w:r>
      <w:r>
        <w:rPr>
          <w:b/>
        </w:rPr>
        <w:tab/>
        <w:t>Advarsler og forsiktighetsregler</w:t>
      </w:r>
    </w:p>
    <w:p w14:paraId="262FAAAD" w14:textId="77777777" w:rsidR="004E65A9" w:rsidRPr="00BD1AD5" w:rsidRDefault="004E65A9" w:rsidP="003F09AA">
      <w:pPr>
        <w:keepNext/>
        <w:ind w:left="567" w:hanging="567"/>
        <w:rPr>
          <w:noProof/>
        </w:rPr>
      </w:pPr>
    </w:p>
    <w:p w14:paraId="0DB380BF" w14:textId="77777777" w:rsidR="004E65A9" w:rsidRPr="00BD1AD5" w:rsidRDefault="004E65A9" w:rsidP="003F09AA">
      <w:pPr>
        <w:keepNext/>
        <w:autoSpaceDE w:val="0"/>
        <w:autoSpaceDN w:val="0"/>
        <w:adjustRightInd w:val="0"/>
        <w:rPr>
          <w:noProof/>
          <w:u w:val="single"/>
        </w:rPr>
      </w:pPr>
      <w:r>
        <w:rPr>
          <w:u w:val="single"/>
        </w:rPr>
        <w:t>Diaré, kvalme og oppkast</w:t>
      </w:r>
    </w:p>
    <w:p w14:paraId="3A5EE752" w14:textId="77777777" w:rsidR="004E65A9" w:rsidRPr="00BD1AD5" w:rsidRDefault="004E65A9" w:rsidP="003F09AA">
      <w:pPr>
        <w:keepNext/>
        <w:autoSpaceDE w:val="0"/>
        <w:autoSpaceDN w:val="0"/>
        <w:rPr>
          <w:noProof/>
        </w:rPr>
      </w:pPr>
    </w:p>
    <w:p w14:paraId="65DCF6A6" w14:textId="77777777" w:rsidR="004E65A9" w:rsidRPr="00BD1AD5" w:rsidRDefault="004E65A9" w:rsidP="003F09AA">
      <w:pPr>
        <w:autoSpaceDE w:val="0"/>
        <w:autoSpaceDN w:val="0"/>
        <w:rPr>
          <w:noProof/>
        </w:rPr>
      </w:pPr>
      <w:r>
        <w:t>Det har vært rapporter etter markedsføring om alvorlig diaré, kvalme og oppkast forbundet med bruk av apremilast. De fleste tilfellene inntraff i løpet av de første ukene av behandlingen. I noen tilfeller ble pasientene innlagt på sykehus. Pasienter over 65 år kan ha høyere risiko for komplikasjoner. Hvis pasientene utvikler alvorlig diaré, kvalme eller oppkast, kan seponering av behandlingen med apremilast være nødvendig.</w:t>
      </w:r>
    </w:p>
    <w:p w14:paraId="68EF318B" w14:textId="77777777" w:rsidR="004E65A9" w:rsidRPr="00BD1AD5" w:rsidRDefault="004E65A9" w:rsidP="003F09AA">
      <w:pPr>
        <w:rPr>
          <w:u w:val="single"/>
        </w:rPr>
      </w:pPr>
    </w:p>
    <w:p w14:paraId="3B4C8946" w14:textId="77777777" w:rsidR="004E65A9" w:rsidRPr="00BD1AD5" w:rsidRDefault="004E65A9" w:rsidP="003F09AA">
      <w:pPr>
        <w:keepNext/>
        <w:autoSpaceDE w:val="0"/>
        <w:autoSpaceDN w:val="0"/>
        <w:adjustRightInd w:val="0"/>
        <w:rPr>
          <w:noProof/>
          <w:u w:val="single"/>
        </w:rPr>
      </w:pPr>
      <w:r>
        <w:rPr>
          <w:u w:val="single"/>
        </w:rPr>
        <w:t>Psykiatriske lidelser</w:t>
      </w:r>
    </w:p>
    <w:p w14:paraId="023B0BDD" w14:textId="77777777" w:rsidR="004E65A9" w:rsidRPr="00BD1AD5" w:rsidRDefault="004E65A9" w:rsidP="003F09AA">
      <w:pPr>
        <w:keepNext/>
        <w:autoSpaceDE w:val="0"/>
        <w:autoSpaceDN w:val="0"/>
        <w:adjustRightInd w:val="0"/>
        <w:rPr>
          <w:noProof/>
        </w:rPr>
      </w:pPr>
    </w:p>
    <w:p w14:paraId="2E42D110" w14:textId="77777777" w:rsidR="004E65A9" w:rsidRPr="00BD1AD5" w:rsidRDefault="004E65A9" w:rsidP="003F09AA">
      <w:pPr>
        <w:autoSpaceDE w:val="0"/>
        <w:autoSpaceDN w:val="0"/>
        <w:adjustRightInd w:val="0"/>
        <w:rPr>
          <w:noProof/>
        </w:rPr>
      </w:pPr>
      <w:r>
        <w:t>Apremilast er forbundet med en økt risiko for psykiatriske lidelser slik som insomni</w:t>
      </w:r>
      <w:ins w:id="0" w:author="Author">
        <w:r>
          <w:t>, angst, endret humør</w:t>
        </w:r>
      </w:ins>
      <w:r>
        <w:t xml:space="preserve"> og depresjon. Tilfeller av suicidal ideasjon og atferd, inkludert selvmord, har vært observert hos pasienter med eller uten sykehistorie med depresjon (se pkt. 4.8). Risikoene og fordelene ved å starte eller fortsette behandling med apremilast bør vurderes nøye hvis pasientene rapporterer tidligere eller eksisterende psykiatriske symptomer, eller hvis samtidig behandling med andre legemidler som med sannsynlighet kan forårsake psykiatriske episoder, er planlagt. Pasienter og omsorgspersoner skal instrueres om å varsle forskriver om alle endringer i atferd eller sinnstilstand og enhver suicidal ideasjon. Hvis pasientene lider av nye eller forverrede psykiatriske symptomer, eller suicidal ideasjon eller selvmordsforsøk blir påvist, anbefales det å avbryte behandlingen med apremilast.</w:t>
      </w:r>
    </w:p>
    <w:p w14:paraId="545B19FF" w14:textId="77777777" w:rsidR="004E65A9" w:rsidRPr="00BD1AD5" w:rsidRDefault="004E65A9" w:rsidP="003F09AA">
      <w:pPr>
        <w:tabs>
          <w:tab w:val="clear" w:pos="567"/>
        </w:tabs>
        <w:autoSpaceDE w:val="0"/>
        <w:autoSpaceDN w:val="0"/>
        <w:adjustRightInd w:val="0"/>
        <w:rPr>
          <w:noProof/>
        </w:rPr>
      </w:pPr>
    </w:p>
    <w:p w14:paraId="46012B8B" w14:textId="77777777" w:rsidR="004E65A9" w:rsidRPr="00BD1AD5" w:rsidRDefault="004E65A9" w:rsidP="003F09AA">
      <w:pPr>
        <w:keepNext/>
        <w:rPr>
          <w:u w:val="single"/>
        </w:rPr>
      </w:pPr>
      <w:r>
        <w:rPr>
          <w:u w:val="single"/>
        </w:rPr>
        <w:t>Alvorlig nedsatt nyrefunksjon</w:t>
      </w:r>
    </w:p>
    <w:p w14:paraId="35F06085" w14:textId="77777777" w:rsidR="004E65A9" w:rsidRPr="00BD1AD5" w:rsidRDefault="004E65A9" w:rsidP="003F09AA">
      <w:pPr>
        <w:keepNext/>
        <w:tabs>
          <w:tab w:val="clear" w:pos="567"/>
        </w:tabs>
        <w:autoSpaceDE w:val="0"/>
        <w:autoSpaceDN w:val="0"/>
        <w:adjustRightInd w:val="0"/>
      </w:pPr>
    </w:p>
    <w:p w14:paraId="61B38CCE" w14:textId="77777777" w:rsidR="004E65A9" w:rsidRDefault="004E65A9" w:rsidP="003F09AA">
      <w:pPr>
        <w:tabs>
          <w:tab w:val="clear" w:pos="567"/>
        </w:tabs>
        <w:autoSpaceDE w:val="0"/>
        <w:autoSpaceDN w:val="0"/>
        <w:adjustRightInd w:val="0"/>
      </w:pPr>
      <w:r>
        <w:t>Otezla-dosen bør reduseres til 30 mg én gang daglig hos voksne pasienter med alvorlig nedsatt nyrefunksjon (se pkt. 4.2 og 5.2).</w:t>
      </w:r>
    </w:p>
    <w:p w14:paraId="402DA768" w14:textId="77777777" w:rsidR="004E65A9" w:rsidRDefault="004E65A9" w:rsidP="003F09AA">
      <w:pPr>
        <w:tabs>
          <w:tab w:val="clear" w:pos="567"/>
        </w:tabs>
        <w:autoSpaceDE w:val="0"/>
        <w:autoSpaceDN w:val="0"/>
        <w:adjustRightInd w:val="0"/>
      </w:pPr>
    </w:p>
    <w:p w14:paraId="327C2230" w14:textId="77777777" w:rsidR="004E65A9" w:rsidRPr="00BD1AD5" w:rsidRDefault="004E65A9" w:rsidP="003F09AA">
      <w:pPr>
        <w:tabs>
          <w:tab w:val="clear" w:pos="567"/>
        </w:tabs>
        <w:autoSpaceDE w:val="0"/>
        <w:autoSpaceDN w:val="0"/>
        <w:adjustRightInd w:val="0"/>
      </w:pPr>
      <w:r>
        <w:t>Hos pediatriske pasienter fra 6 år og oppover med alvorlig nedsatt nyrefunksjon skal dosen reduseres til 30 mg én gang daglig for pediatriske pasienter som veier minst 50 kg og til 20 mg én gang daglig for barn som veier 20 kg til under 50 kg (se pkt. 4.2 og 5.2).</w:t>
      </w:r>
    </w:p>
    <w:p w14:paraId="5F386A5F" w14:textId="77777777" w:rsidR="004E65A9" w:rsidRPr="00BD1AD5" w:rsidRDefault="004E65A9" w:rsidP="003F09AA">
      <w:pPr>
        <w:rPr>
          <w:u w:val="single"/>
        </w:rPr>
      </w:pPr>
    </w:p>
    <w:p w14:paraId="12559DAC" w14:textId="77777777" w:rsidR="004E65A9" w:rsidRPr="00BD1AD5" w:rsidRDefault="004E65A9" w:rsidP="003F09AA">
      <w:pPr>
        <w:keepNext/>
        <w:rPr>
          <w:u w:val="single"/>
        </w:rPr>
      </w:pPr>
      <w:r>
        <w:rPr>
          <w:u w:val="single"/>
        </w:rPr>
        <w:t>Undervektige pasienter</w:t>
      </w:r>
    </w:p>
    <w:p w14:paraId="798E9D2F" w14:textId="77777777" w:rsidR="004E65A9" w:rsidRPr="00BD1AD5" w:rsidRDefault="004E65A9" w:rsidP="003F09AA">
      <w:pPr>
        <w:keepNext/>
        <w:tabs>
          <w:tab w:val="clear" w:pos="567"/>
        </w:tabs>
        <w:autoSpaceDE w:val="0"/>
        <w:autoSpaceDN w:val="0"/>
        <w:adjustRightInd w:val="0"/>
        <w:rPr>
          <w:noProof/>
        </w:rPr>
      </w:pPr>
    </w:p>
    <w:p w14:paraId="6F30FBC6" w14:textId="77777777" w:rsidR="004E65A9" w:rsidRPr="00BD1AD5" w:rsidRDefault="004E65A9" w:rsidP="003F09AA">
      <w:pPr>
        <w:tabs>
          <w:tab w:val="clear" w:pos="567"/>
        </w:tabs>
        <w:autoSpaceDE w:val="0"/>
        <w:autoSpaceDN w:val="0"/>
        <w:adjustRightInd w:val="0"/>
        <w:rPr>
          <w:b/>
          <w:noProof/>
        </w:rPr>
      </w:pPr>
      <w:r>
        <w:t>Pasienter som er undervektige og pediatriske pasienter som har en kroppsmasseindeks som ligger på grensen til lav ved behandlingsstart bør få sjekket kroppsvekten regelmessig. Ved uforklarlig og klinisk signifikant vekttap, bør disse pasientene undersøkes av helsepersonell, og seponering av behandlingen bør vurderes.</w:t>
      </w:r>
    </w:p>
    <w:p w14:paraId="4537C3C1" w14:textId="77777777" w:rsidR="004E65A9" w:rsidRPr="00BD1AD5" w:rsidRDefault="004E65A9" w:rsidP="003F09AA">
      <w:pPr>
        <w:tabs>
          <w:tab w:val="clear" w:pos="567"/>
        </w:tabs>
        <w:autoSpaceDE w:val="0"/>
        <w:autoSpaceDN w:val="0"/>
        <w:adjustRightInd w:val="0"/>
        <w:rPr>
          <w:noProof/>
        </w:rPr>
      </w:pPr>
    </w:p>
    <w:p w14:paraId="075DA174" w14:textId="77777777" w:rsidR="004E65A9" w:rsidRPr="00BD1AD5" w:rsidRDefault="004E65A9" w:rsidP="003F09AA">
      <w:pPr>
        <w:keepNext/>
        <w:tabs>
          <w:tab w:val="clear" w:pos="567"/>
        </w:tabs>
        <w:autoSpaceDE w:val="0"/>
        <w:autoSpaceDN w:val="0"/>
        <w:adjustRightInd w:val="0"/>
        <w:rPr>
          <w:noProof/>
          <w:u w:val="single"/>
        </w:rPr>
      </w:pPr>
      <w:r>
        <w:rPr>
          <w:u w:val="single"/>
        </w:rPr>
        <w:t>Laktoseinnhold</w:t>
      </w:r>
    </w:p>
    <w:p w14:paraId="2E07868E" w14:textId="77777777" w:rsidR="004E65A9" w:rsidRPr="00BD1AD5" w:rsidRDefault="004E65A9" w:rsidP="003F09AA">
      <w:pPr>
        <w:keepNext/>
        <w:tabs>
          <w:tab w:val="clear" w:pos="567"/>
        </w:tabs>
        <w:autoSpaceDE w:val="0"/>
        <w:autoSpaceDN w:val="0"/>
        <w:adjustRightInd w:val="0"/>
        <w:rPr>
          <w:noProof/>
        </w:rPr>
      </w:pPr>
    </w:p>
    <w:p w14:paraId="71C1BDE4" w14:textId="77777777" w:rsidR="004E65A9" w:rsidRPr="00BD1AD5" w:rsidRDefault="004E65A9" w:rsidP="003F09AA">
      <w:pPr>
        <w:tabs>
          <w:tab w:val="clear" w:pos="567"/>
        </w:tabs>
        <w:autoSpaceDE w:val="0"/>
        <w:autoSpaceDN w:val="0"/>
        <w:adjustRightInd w:val="0"/>
      </w:pPr>
      <w:r>
        <w:t>Pasienter med sjeldne arvelige problemer med galaktoseintoleranse, total laktasemangel eller glukose</w:t>
      </w:r>
      <w:r>
        <w:noBreakHyphen/>
        <w:t>galaktose malabsorpsjon bør ikke ta dette legemidlet.</w:t>
      </w:r>
    </w:p>
    <w:p w14:paraId="309EB888" w14:textId="77777777" w:rsidR="004E65A9" w:rsidRPr="00BD1AD5" w:rsidRDefault="004E65A9" w:rsidP="003F09AA">
      <w:pPr>
        <w:tabs>
          <w:tab w:val="clear" w:pos="567"/>
        </w:tabs>
        <w:autoSpaceDE w:val="0"/>
        <w:autoSpaceDN w:val="0"/>
        <w:adjustRightInd w:val="0"/>
        <w:rPr>
          <w:noProof/>
        </w:rPr>
      </w:pPr>
    </w:p>
    <w:p w14:paraId="541A180A" w14:textId="77777777" w:rsidR="004E65A9" w:rsidRPr="00BD1AD5" w:rsidRDefault="004E65A9" w:rsidP="003F09AA">
      <w:pPr>
        <w:keepNext/>
        <w:ind w:left="567" w:hanging="567"/>
        <w:outlineLvl w:val="0"/>
        <w:rPr>
          <w:noProof/>
        </w:rPr>
      </w:pPr>
      <w:r>
        <w:rPr>
          <w:b/>
        </w:rPr>
        <w:t>4.5</w:t>
      </w:r>
      <w:r>
        <w:rPr>
          <w:b/>
        </w:rPr>
        <w:tab/>
        <w:t>Interaksjon med andre legemidler og andre former for interaksjon</w:t>
      </w:r>
    </w:p>
    <w:p w14:paraId="08192149" w14:textId="77777777" w:rsidR="004E65A9" w:rsidRPr="00BD1AD5" w:rsidRDefault="004E65A9" w:rsidP="003F09AA">
      <w:pPr>
        <w:keepNext/>
        <w:rPr>
          <w:noProof/>
        </w:rPr>
      </w:pPr>
    </w:p>
    <w:p w14:paraId="471EA557" w14:textId="77777777" w:rsidR="004E65A9" w:rsidRPr="00BD1AD5" w:rsidRDefault="004E65A9" w:rsidP="003F09AA">
      <w:pPr>
        <w:keepNext/>
      </w:pPr>
      <w:r>
        <w:t>Samtidig bruk av den sterke cytokrom P450 3A4 (CYP3A4)</w:t>
      </w:r>
      <w:r>
        <w:noBreakHyphen/>
        <w:t>enzyminduktoren rifampicin medførte redusert systemisk eksponering for apremilast, som kan medføre tap av effekt av apremilast. Bruk av sterke CYP3A4</w:t>
      </w:r>
      <w:r>
        <w:noBreakHyphen/>
        <w:t>enzyminduktorer (f.eks. rifampicin, fenobarbital, karbamazepin, fenytoin og johannesurt) sammen med apremilast er derfor ikke anbefalt. Samtidig bruk av apremilast og gjentatte doser med rifampicin medførte en reduksjon i areal under konsentrasjon</w:t>
      </w:r>
      <w:r>
        <w:noBreakHyphen/>
        <w:t>tid</w:t>
      </w:r>
      <w:r>
        <w:noBreakHyphen/>
        <w:t>kurven (AUC) på ca. 72 % og maksimal serumkonsentrasjon (C</w:t>
      </w:r>
      <w:r>
        <w:rPr>
          <w:vertAlign w:val="subscript"/>
        </w:rPr>
        <w:t>max</w:t>
      </w:r>
      <w:r>
        <w:t>) på ca. 43 % for apremilast. Apremilasteksponeringen reduseres ved samtidig bruk av sterke CYP3A4</w:t>
      </w:r>
      <w:r>
        <w:noBreakHyphen/>
        <w:t>induktorer (f.eks. rifampicin) og kan medføre redusert klinisk respons.</w:t>
      </w:r>
    </w:p>
    <w:p w14:paraId="7DB9E0CE" w14:textId="77777777" w:rsidR="004E65A9" w:rsidRPr="00BD1AD5" w:rsidRDefault="004E65A9" w:rsidP="003F09AA"/>
    <w:p w14:paraId="5EF235BF" w14:textId="77777777" w:rsidR="004E65A9" w:rsidRPr="00BD1AD5" w:rsidRDefault="004E65A9" w:rsidP="003F09AA">
      <w:r>
        <w:t>I kliniske studier har apremilast blitt gitt samtidig med topisk behandling (inkludert kortikosteroider, tjæresjampo og salisylsyrepreparater til bruk i hodebunnen) og UVB</w:t>
      </w:r>
      <w:r>
        <w:noBreakHyphen/>
        <w:t>lysbehandling.</w:t>
      </w:r>
    </w:p>
    <w:p w14:paraId="0D04C46B" w14:textId="77777777" w:rsidR="004E65A9" w:rsidRPr="00BD1AD5" w:rsidRDefault="004E65A9" w:rsidP="003F09AA"/>
    <w:p w14:paraId="0AF00328" w14:textId="77777777" w:rsidR="004E65A9" w:rsidRPr="00BD1AD5" w:rsidRDefault="004E65A9" w:rsidP="003F09AA">
      <w:pPr>
        <w:tabs>
          <w:tab w:val="clear" w:pos="567"/>
        </w:tabs>
        <w:autoSpaceDE w:val="0"/>
        <w:autoSpaceDN w:val="0"/>
        <w:adjustRightInd w:val="0"/>
      </w:pPr>
      <w:r>
        <w:t>Det var ingen klinisk relevante interaksjoner mellom ketokonazol og apremilast. Apremilast kan gis samtidig med en potent CYP3A4</w:t>
      </w:r>
      <w:r>
        <w:noBreakHyphen/>
        <w:t>hemmer som ketokonazol.</w:t>
      </w:r>
    </w:p>
    <w:p w14:paraId="34B5D78B" w14:textId="77777777" w:rsidR="004E65A9" w:rsidRPr="00BD1AD5" w:rsidRDefault="004E65A9" w:rsidP="003F09AA"/>
    <w:p w14:paraId="3F1ACA4F" w14:textId="77777777" w:rsidR="004E65A9" w:rsidRPr="00BD1AD5" w:rsidRDefault="004E65A9" w:rsidP="003F09AA">
      <w:pPr>
        <w:tabs>
          <w:tab w:val="clear" w:pos="567"/>
        </w:tabs>
        <w:autoSpaceDE w:val="0"/>
        <w:autoSpaceDN w:val="0"/>
        <w:adjustRightInd w:val="0"/>
      </w:pPr>
      <w:r>
        <w:t>Det var ingen farmakokinetiske interaksjoner mellom apremilast og metotreksat hos psoriasisartrittpasienter. Apremilast kan gis samtidig med metotreksat.</w:t>
      </w:r>
    </w:p>
    <w:p w14:paraId="01D0183D" w14:textId="77777777" w:rsidR="004E65A9" w:rsidRPr="00BD1AD5" w:rsidRDefault="004E65A9" w:rsidP="003F09AA">
      <w:pPr>
        <w:tabs>
          <w:tab w:val="clear" w:pos="567"/>
        </w:tabs>
        <w:autoSpaceDE w:val="0"/>
        <w:autoSpaceDN w:val="0"/>
        <w:adjustRightInd w:val="0"/>
      </w:pPr>
    </w:p>
    <w:p w14:paraId="273E7FFA" w14:textId="77777777" w:rsidR="004E65A9" w:rsidRPr="00BD1AD5" w:rsidRDefault="004E65A9" w:rsidP="003F09AA">
      <w:pPr>
        <w:tabs>
          <w:tab w:val="clear" w:pos="567"/>
        </w:tabs>
        <w:autoSpaceDE w:val="0"/>
        <w:autoSpaceDN w:val="0"/>
        <w:adjustRightInd w:val="0"/>
      </w:pPr>
      <w:r>
        <w:t>Det var ingen farmakokinetiske interaksjoner mellom apremilast og orale antikonseptiva inneholdende etinyløstradiol og norgestimat. Apremilast kan gis samtidig med orale antikonseptiva.</w:t>
      </w:r>
    </w:p>
    <w:p w14:paraId="23C06CEC" w14:textId="77777777" w:rsidR="004E65A9" w:rsidRPr="00BD1AD5" w:rsidRDefault="004E65A9" w:rsidP="003F09AA"/>
    <w:p w14:paraId="281F4EB6" w14:textId="77777777" w:rsidR="004E65A9" w:rsidRPr="00BD1AD5" w:rsidRDefault="004E65A9" w:rsidP="003F09AA">
      <w:pPr>
        <w:pStyle w:val="StyleSubheading"/>
      </w:pPr>
      <w:r>
        <w:t>4.6</w:t>
      </w:r>
      <w:r>
        <w:tab/>
        <w:t>Fertilitet, graviditet og amming</w:t>
      </w:r>
    </w:p>
    <w:p w14:paraId="541B5FB4" w14:textId="77777777" w:rsidR="004E65A9" w:rsidRPr="00BD1AD5" w:rsidRDefault="004E65A9" w:rsidP="003F09AA">
      <w:pPr>
        <w:keepNext/>
        <w:rPr>
          <w:noProof/>
        </w:rPr>
      </w:pPr>
    </w:p>
    <w:p w14:paraId="39335016" w14:textId="77777777" w:rsidR="004E65A9" w:rsidRPr="00BD1AD5" w:rsidRDefault="004E65A9" w:rsidP="003F09AA">
      <w:pPr>
        <w:keepNext/>
        <w:rPr>
          <w:u w:val="single"/>
        </w:rPr>
      </w:pPr>
      <w:r>
        <w:rPr>
          <w:u w:val="single"/>
        </w:rPr>
        <w:t>Fertile kvinner</w:t>
      </w:r>
    </w:p>
    <w:p w14:paraId="009431B7" w14:textId="77777777" w:rsidR="004E65A9" w:rsidRPr="00BD1AD5" w:rsidRDefault="004E65A9" w:rsidP="003F09AA">
      <w:pPr>
        <w:keepNext/>
      </w:pPr>
    </w:p>
    <w:p w14:paraId="5043E52A" w14:textId="77777777" w:rsidR="004E65A9" w:rsidRPr="00BD1AD5" w:rsidRDefault="004E65A9" w:rsidP="003F09AA">
      <w:r>
        <w:t>Graviditet skal utelukkes før behandling kan starte. Fertile kvinner skal bruke en effektiv prevensjonsmetode for å unngå graviditet under behandling.</w:t>
      </w:r>
    </w:p>
    <w:p w14:paraId="57BB5220" w14:textId="77777777" w:rsidR="004E65A9" w:rsidRPr="00BD1AD5" w:rsidRDefault="004E65A9" w:rsidP="003F09AA">
      <w:pPr>
        <w:rPr>
          <w:strike/>
        </w:rPr>
      </w:pPr>
    </w:p>
    <w:p w14:paraId="484A8112" w14:textId="77777777" w:rsidR="004E65A9" w:rsidRPr="00BD1AD5" w:rsidRDefault="004E65A9" w:rsidP="003F09AA">
      <w:pPr>
        <w:keepNext/>
        <w:rPr>
          <w:noProof/>
        </w:rPr>
      </w:pPr>
      <w:r>
        <w:rPr>
          <w:u w:val="single"/>
        </w:rPr>
        <w:t>Graviditet</w:t>
      </w:r>
    </w:p>
    <w:p w14:paraId="6D467B82" w14:textId="77777777" w:rsidR="004E65A9" w:rsidRPr="000B27C9" w:rsidRDefault="004E65A9" w:rsidP="003F09AA">
      <w:pPr>
        <w:pStyle w:val="C-BodyText"/>
        <w:keepNext/>
        <w:spacing w:before="0" w:after="0" w:line="240" w:lineRule="auto"/>
        <w:rPr>
          <w:sz w:val="22"/>
          <w:szCs w:val="22"/>
        </w:rPr>
      </w:pPr>
    </w:p>
    <w:p w14:paraId="43FD209D" w14:textId="77777777" w:rsidR="004E65A9" w:rsidRPr="00BD1AD5" w:rsidRDefault="004E65A9" w:rsidP="003F09AA">
      <w:pPr>
        <w:pStyle w:val="C-BodyText"/>
        <w:spacing w:before="0" w:after="0" w:line="240" w:lineRule="auto"/>
        <w:rPr>
          <w:sz w:val="22"/>
          <w:szCs w:val="22"/>
        </w:rPr>
      </w:pPr>
      <w:r>
        <w:rPr>
          <w:sz w:val="22"/>
        </w:rPr>
        <w:t>Det foreligger begrensede data på bruk av apremilast hos gravide kvinner.</w:t>
      </w:r>
    </w:p>
    <w:p w14:paraId="60D90093" w14:textId="77777777" w:rsidR="004E65A9" w:rsidRPr="000B27C9" w:rsidRDefault="004E65A9" w:rsidP="003F09AA">
      <w:pPr>
        <w:pStyle w:val="C-BodyText"/>
        <w:spacing w:before="0" w:after="0" w:line="240" w:lineRule="auto"/>
        <w:rPr>
          <w:sz w:val="22"/>
        </w:rPr>
      </w:pPr>
    </w:p>
    <w:p w14:paraId="7FF7E390" w14:textId="77777777" w:rsidR="004E65A9" w:rsidRPr="00BD1AD5" w:rsidRDefault="004E65A9" w:rsidP="003F09AA">
      <w:r>
        <w:t>Apremilast er kontraindisert ved graviditet (se pkt. 4.3). Effekter av apremilast på drektighet omfattet embryoføtalt tap hos mus og aper, og redusert fostervekt og forsinket ossifikasjon hos mus ved doser høyere enn anbefalte høyeste dose hos mennesker. Ingen slike effekter ble observert ved eksponering hos dyr som var 1,3 ganger klinisk eksponering (se pkt. 5.3).</w:t>
      </w:r>
    </w:p>
    <w:p w14:paraId="63E1F52F" w14:textId="77777777" w:rsidR="004E65A9" w:rsidRPr="00BD1AD5" w:rsidRDefault="004E65A9" w:rsidP="003F09AA">
      <w:pPr>
        <w:rPr>
          <w:noProof/>
          <w:u w:val="single"/>
        </w:rPr>
      </w:pPr>
    </w:p>
    <w:p w14:paraId="6E87FF3D" w14:textId="77777777" w:rsidR="004E65A9" w:rsidRPr="00BD1AD5" w:rsidRDefault="004E65A9" w:rsidP="003F09AA">
      <w:pPr>
        <w:keepNext/>
        <w:rPr>
          <w:noProof/>
        </w:rPr>
      </w:pPr>
      <w:r>
        <w:rPr>
          <w:u w:val="single"/>
        </w:rPr>
        <w:t>Amming</w:t>
      </w:r>
    </w:p>
    <w:p w14:paraId="7257A7F7" w14:textId="77777777" w:rsidR="004E65A9" w:rsidRPr="000B27C9" w:rsidRDefault="004E65A9" w:rsidP="003F09AA">
      <w:pPr>
        <w:pStyle w:val="C-BodyText"/>
        <w:keepNext/>
        <w:spacing w:before="0" w:after="0" w:line="240" w:lineRule="auto"/>
        <w:rPr>
          <w:sz w:val="22"/>
          <w:szCs w:val="22"/>
        </w:rPr>
      </w:pPr>
    </w:p>
    <w:p w14:paraId="27D3A2A5" w14:textId="77777777" w:rsidR="004E65A9" w:rsidRPr="00BD1AD5" w:rsidRDefault="004E65A9" w:rsidP="003F09AA">
      <w:pPr>
        <w:pStyle w:val="C-BodyText"/>
        <w:spacing w:before="0" w:after="0" w:line="240" w:lineRule="auto"/>
        <w:rPr>
          <w:sz w:val="22"/>
        </w:rPr>
      </w:pPr>
      <w:r>
        <w:rPr>
          <w:sz w:val="22"/>
        </w:rPr>
        <w:t>Apremilast ble påvist i melk hos diegivende mus (se pkt. 5.3). Det er ukjent om apremilast, eller dets metabolitter, blir skilt ut i morsmelk hos mennesker. En risiko for spedbarn som ammes kan ikke utelukkes, og apremilast skal derfor ikke brukes ved amming.</w:t>
      </w:r>
    </w:p>
    <w:p w14:paraId="7D136DC7" w14:textId="77777777" w:rsidR="004E65A9" w:rsidRPr="00BD1AD5" w:rsidRDefault="004E65A9" w:rsidP="003F09AA">
      <w:pPr>
        <w:rPr>
          <w:u w:val="single"/>
        </w:rPr>
      </w:pPr>
    </w:p>
    <w:p w14:paraId="6D676353" w14:textId="77777777" w:rsidR="004E65A9" w:rsidRPr="00BD1AD5" w:rsidRDefault="004E65A9" w:rsidP="003F09AA">
      <w:pPr>
        <w:keepNext/>
        <w:rPr>
          <w:u w:val="single"/>
        </w:rPr>
      </w:pPr>
      <w:r>
        <w:rPr>
          <w:u w:val="single"/>
        </w:rPr>
        <w:t>Fertilitet</w:t>
      </w:r>
    </w:p>
    <w:p w14:paraId="325A670E" w14:textId="77777777" w:rsidR="004E65A9" w:rsidRPr="00BD1AD5" w:rsidRDefault="004E65A9" w:rsidP="003F09AA">
      <w:pPr>
        <w:keepNext/>
      </w:pPr>
    </w:p>
    <w:p w14:paraId="51306052" w14:textId="77777777" w:rsidR="004E65A9" w:rsidRPr="00BD1AD5" w:rsidRDefault="004E65A9" w:rsidP="003F09AA">
      <w:r>
        <w:t>Det foreligger ingen fertilitetsdata fra mennesker. I dyrestudier med mus ble det ikke observert negative effekter på fertilitet hos hanner ved et eksponeringsnivå på 3 ganger klinisk eksponering og hos hunner ved et eksponeringsnivå tilsvarende klinisk eksponering. For prekliniske fertilitetsdata, se pkt. 5.3.</w:t>
      </w:r>
    </w:p>
    <w:p w14:paraId="47EC1AA2" w14:textId="77777777" w:rsidR="004E65A9" w:rsidRPr="00BD1AD5" w:rsidRDefault="004E65A9" w:rsidP="003F09AA"/>
    <w:p w14:paraId="47C68175" w14:textId="77777777" w:rsidR="004E65A9" w:rsidRPr="00BD1AD5" w:rsidRDefault="004E65A9" w:rsidP="003F09AA">
      <w:pPr>
        <w:keepNext/>
        <w:ind w:left="567" w:hanging="567"/>
        <w:outlineLvl w:val="0"/>
        <w:rPr>
          <w:noProof/>
        </w:rPr>
      </w:pPr>
      <w:r>
        <w:rPr>
          <w:b/>
        </w:rPr>
        <w:t>4.7</w:t>
      </w:r>
      <w:r>
        <w:rPr>
          <w:b/>
        </w:rPr>
        <w:tab/>
        <w:t>Påvirkning av evnen til å kjøre bil og bruke maskiner</w:t>
      </w:r>
    </w:p>
    <w:p w14:paraId="25613FB8" w14:textId="77777777" w:rsidR="004E65A9" w:rsidRPr="00BD1AD5" w:rsidRDefault="004E65A9" w:rsidP="003F09AA">
      <w:pPr>
        <w:keepNext/>
        <w:rPr>
          <w:noProof/>
        </w:rPr>
      </w:pPr>
    </w:p>
    <w:p w14:paraId="1ED643FF" w14:textId="77777777" w:rsidR="004E65A9" w:rsidRPr="00BD1AD5" w:rsidRDefault="004E65A9" w:rsidP="003F09AA">
      <w:r>
        <w:t>Apremilast har ingen eller ubetydelig påvirkning på evnen til å kjøre bil og bruke maskiner.</w:t>
      </w:r>
    </w:p>
    <w:p w14:paraId="1CFB526C" w14:textId="77777777" w:rsidR="004E65A9" w:rsidRPr="00BD1AD5" w:rsidRDefault="004E65A9" w:rsidP="003F09AA"/>
    <w:p w14:paraId="7095C955" w14:textId="77777777" w:rsidR="004E65A9" w:rsidRPr="00BD1AD5" w:rsidRDefault="004E65A9" w:rsidP="003F09AA">
      <w:pPr>
        <w:keepNext/>
        <w:ind w:left="567" w:hanging="567"/>
        <w:outlineLvl w:val="0"/>
        <w:rPr>
          <w:b/>
          <w:i/>
        </w:rPr>
      </w:pPr>
      <w:r>
        <w:rPr>
          <w:b/>
        </w:rPr>
        <w:lastRenderedPageBreak/>
        <w:t>4.8</w:t>
      </w:r>
      <w:r>
        <w:rPr>
          <w:b/>
        </w:rPr>
        <w:tab/>
        <w:t>Bivirkninger</w:t>
      </w:r>
    </w:p>
    <w:p w14:paraId="3D59A263" w14:textId="77777777" w:rsidR="004E65A9" w:rsidRPr="00BD1AD5" w:rsidRDefault="004E65A9" w:rsidP="003F09AA">
      <w:pPr>
        <w:keepNext/>
        <w:autoSpaceDE w:val="0"/>
        <w:autoSpaceDN w:val="0"/>
        <w:adjustRightInd w:val="0"/>
        <w:rPr>
          <w:noProof/>
        </w:rPr>
      </w:pPr>
    </w:p>
    <w:p w14:paraId="32B78802" w14:textId="77777777" w:rsidR="004E65A9" w:rsidRPr="00BD1AD5" w:rsidRDefault="004E65A9" w:rsidP="003F09AA">
      <w:pPr>
        <w:pStyle w:val="NormalWeb"/>
        <w:keepNext/>
        <w:spacing w:before="0" w:beforeAutospacing="0" w:after="0"/>
        <w:rPr>
          <w:color w:val="auto"/>
          <w:sz w:val="22"/>
          <w:szCs w:val="22"/>
          <w:u w:val="single"/>
        </w:rPr>
      </w:pPr>
      <w:r>
        <w:rPr>
          <w:color w:val="auto"/>
          <w:sz w:val="22"/>
          <w:u w:val="single"/>
        </w:rPr>
        <w:t>Sammendrag av sikkerhetsprofilen</w:t>
      </w:r>
    </w:p>
    <w:p w14:paraId="45E9789D" w14:textId="77777777" w:rsidR="004E65A9" w:rsidRPr="00BD1AD5" w:rsidRDefault="004E65A9" w:rsidP="003F09AA">
      <w:pPr>
        <w:keepNext/>
      </w:pPr>
    </w:p>
    <w:p w14:paraId="28C4E83E" w14:textId="77777777" w:rsidR="004E65A9" w:rsidRPr="00BD1AD5" w:rsidRDefault="004E65A9" w:rsidP="003F09AA">
      <w:pPr>
        <w:rPr>
          <w:noProof/>
        </w:rPr>
      </w:pPr>
      <w:r>
        <w:t>De vanligst rapporterte bivirkningene av apremilast hos voksne med PsA og PSOR er gastrointestinale (GI) sykdommer, inkludert diaré (15,7 %) og kvalme (13,9 %). De andre vanligst rapporterte bivirkningene omfatter øvre luftveisinfeksjoner (8,4 %), hodepine (7,9 %) og spenningshodepine (7,2 %) som vanligvis er lette eller moderate i alvorlighetsgrad.</w:t>
      </w:r>
    </w:p>
    <w:p w14:paraId="250E57C2" w14:textId="77777777" w:rsidR="004E65A9" w:rsidRPr="000B27C9" w:rsidRDefault="004E65A9" w:rsidP="003F09AA">
      <w:pPr>
        <w:pStyle w:val="NormalWeb"/>
        <w:spacing w:before="0" w:beforeAutospacing="0" w:after="0"/>
        <w:rPr>
          <w:color w:val="auto"/>
          <w:sz w:val="22"/>
          <w:szCs w:val="22"/>
        </w:rPr>
      </w:pPr>
    </w:p>
    <w:p w14:paraId="32498106" w14:textId="77777777" w:rsidR="004E65A9" w:rsidRPr="00BD1AD5" w:rsidRDefault="004E65A9" w:rsidP="003F09AA">
      <w:pPr>
        <w:pStyle w:val="NormalWeb"/>
        <w:spacing w:before="0" w:beforeAutospacing="0" w:after="0"/>
        <w:rPr>
          <w:color w:val="auto"/>
          <w:sz w:val="22"/>
          <w:szCs w:val="22"/>
        </w:rPr>
      </w:pPr>
      <w:r>
        <w:rPr>
          <w:sz w:val="22"/>
        </w:rPr>
        <w:t>De vanligst rapporterte bivirkningene av apremilast hos voksne med Behcets sykdom er diaré (41,3 %), kvalme (19,2 %), hodepine (14,4 %), øvre luftveisinfeksjon (11,5 %), smerter i øvre abdomen (8,7 %), oppkast (8,7 %) og ryggsmerter (7,7 %), og er vanligvis milde til moderate i alvorlighetsgrad.</w:t>
      </w:r>
    </w:p>
    <w:p w14:paraId="48E78AF6" w14:textId="77777777" w:rsidR="004E65A9" w:rsidRPr="000B27C9" w:rsidRDefault="004E65A9" w:rsidP="003F09AA">
      <w:pPr>
        <w:pStyle w:val="NormalWeb"/>
        <w:spacing w:before="0" w:beforeAutospacing="0" w:after="0"/>
        <w:rPr>
          <w:color w:val="auto"/>
          <w:sz w:val="22"/>
          <w:szCs w:val="22"/>
        </w:rPr>
      </w:pPr>
    </w:p>
    <w:p w14:paraId="75CAD9A7" w14:textId="77777777" w:rsidR="004E65A9" w:rsidRPr="00BD1AD5" w:rsidRDefault="004E65A9" w:rsidP="003F09AA">
      <w:pPr>
        <w:pStyle w:val="NormalWeb"/>
        <w:spacing w:before="0" w:beforeAutospacing="0" w:after="0"/>
        <w:rPr>
          <w:color w:val="auto"/>
          <w:sz w:val="22"/>
          <w:szCs w:val="22"/>
        </w:rPr>
      </w:pPr>
      <w:r>
        <w:rPr>
          <w:color w:val="auto"/>
          <w:sz w:val="22"/>
        </w:rPr>
        <w:t>De gastrointestinale bivirkningene oppstår generelt i løpet av de to første behandlingsukene, og går vanligvis over i løpet av fire uker.</w:t>
      </w:r>
    </w:p>
    <w:p w14:paraId="020CD727" w14:textId="77777777" w:rsidR="004E65A9" w:rsidRPr="00BD1AD5" w:rsidRDefault="004E65A9" w:rsidP="003F09AA"/>
    <w:p w14:paraId="41A6B3D5" w14:textId="77777777" w:rsidR="004E65A9" w:rsidRPr="00BD1AD5" w:rsidRDefault="004E65A9" w:rsidP="003F09AA">
      <w:r>
        <w:t>Overfølsomhetsreaksjoner observeres som mindre vanlige (se pkt. 4.3).</w:t>
      </w:r>
    </w:p>
    <w:p w14:paraId="334DC2DB" w14:textId="77777777" w:rsidR="004E65A9" w:rsidRPr="000B27C9" w:rsidRDefault="004E65A9" w:rsidP="003F09AA">
      <w:pPr>
        <w:pStyle w:val="NormalWeb"/>
        <w:spacing w:before="0" w:beforeAutospacing="0" w:after="0"/>
        <w:rPr>
          <w:color w:val="auto"/>
          <w:sz w:val="22"/>
          <w:szCs w:val="22"/>
          <w:u w:val="single"/>
        </w:rPr>
      </w:pPr>
    </w:p>
    <w:p w14:paraId="4939192F" w14:textId="77777777" w:rsidR="004E65A9" w:rsidRPr="00BD1AD5" w:rsidRDefault="004E65A9" w:rsidP="003F09AA">
      <w:pPr>
        <w:pStyle w:val="NormalWeb"/>
        <w:keepNext/>
        <w:spacing w:before="0" w:beforeAutospacing="0" w:after="0"/>
        <w:rPr>
          <w:color w:val="auto"/>
          <w:sz w:val="22"/>
          <w:szCs w:val="22"/>
          <w:u w:val="single"/>
        </w:rPr>
      </w:pPr>
      <w:r>
        <w:rPr>
          <w:color w:val="auto"/>
          <w:sz w:val="22"/>
          <w:u w:val="single"/>
        </w:rPr>
        <w:t>Bivirkningstabell</w:t>
      </w:r>
    </w:p>
    <w:p w14:paraId="2E8800CF" w14:textId="77777777" w:rsidR="004E65A9" w:rsidRPr="00BD1AD5" w:rsidRDefault="004E65A9" w:rsidP="003F09AA">
      <w:pPr>
        <w:keepNext/>
      </w:pPr>
    </w:p>
    <w:p w14:paraId="3293CBC8" w14:textId="77777777" w:rsidR="004E65A9" w:rsidRPr="00BD1AD5" w:rsidRDefault="004E65A9" w:rsidP="003F09AA">
      <w:r>
        <w:t>Bivirkningene observert hos voksne pasienter behandlet med apremilast er listet opp nedenfor etter organklassesystem og frekvens for alle bivirkninger. Innenfor hvert organklassesystem og frekvensgruppering er bivirkninger presentert etter synkende alvorlighetsgrad.</w:t>
      </w:r>
    </w:p>
    <w:p w14:paraId="6AFD958A" w14:textId="77777777" w:rsidR="004E65A9" w:rsidRPr="00BD1AD5" w:rsidRDefault="004E65A9" w:rsidP="003F09AA">
      <w:pPr>
        <w:rPr>
          <w:noProof/>
        </w:rPr>
      </w:pPr>
    </w:p>
    <w:p w14:paraId="1D5EBFD4" w14:textId="77777777" w:rsidR="004E65A9" w:rsidRPr="00BD1AD5" w:rsidRDefault="004E65A9" w:rsidP="003F09AA">
      <w:r>
        <w:t>Bivirkningene ble fastslått ut fra data fra det kliniske utviklingsprogrammet for apremilast og etter markedsføring hos voksne pasienter. Frekvensen av bivirkningene er som rapportert i apremilastgruppene i de fire fase III-studiene ved PsA (n = 1 945) eller de to fase III-studiene ved PSOR (n = 1 184), og i fase III-studien ved Behcets sykdom (n = 207). (Den høyeste frekvensen fra hver datagruppe er presentert i tabell 3).</w:t>
      </w:r>
    </w:p>
    <w:p w14:paraId="56F1E2AF" w14:textId="77777777" w:rsidR="004E65A9" w:rsidRPr="000B27C9" w:rsidRDefault="004E65A9" w:rsidP="003F09AA">
      <w:pPr>
        <w:pStyle w:val="NormalWeb"/>
        <w:spacing w:before="0" w:beforeAutospacing="0" w:after="0"/>
        <w:rPr>
          <w:color w:val="auto"/>
          <w:sz w:val="22"/>
          <w:szCs w:val="22"/>
        </w:rPr>
      </w:pPr>
    </w:p>
    <w:p w14:paraId="18923608" w14:textId="77777777" w:rsidR="004E65A9" w:rsidRPr="00BD1AD5" w:rsidRDefault="004E65A9" w:rsidP="003F09AA">
      <w:r>
        <w:t>Frekvenser er definert som: svært vanlige (≥ 1/10), vanlige (≥ 1/100 til &lt; 1/10), mindre vanlige (≥ 1/1 000 til &lt; 1/100), sjeldne (≥ 1/10 000 til &lt; 1/1 000), ikke kjent (kan ikke anslås ut ifra tilgjengelige data).</w:t>
      </w:r>
    </w:p>
    <w:p w14:paraId="3C2F9E4F" w14:textId="77777777" w:rsidR="004E65A9" w:rsidRPr="00BD1AD5" w:rsidRDefault="004E65A9" w:rsidP="003F09AA"/>
    <w:p w14:paraId="09D90888" w14:textId="77777777" w:rsidR="004E65A9" w:rsidRPr="00BD1AD5" w:rsidRDefault="004E65A9" w:rsidP="003F09AA">
      <w:pPr>
        <w:keepNext/>
        <w:tabs>
          <w:tab w:val="clear" w:pos="567"/>
        </w:tabs>
        <w:rPr>
          <w:b/>
        </w:rPr>
      </w:pPr>
      <w:r>
        <w:rPr>
          <w:b/>
        </w:rPr>
        <w:t>Tabell 3. Sammendrag av bivirkninger ved psoriasisartritt (PsA), psoriasis (PSOR) og Behcets sykdom</w:t>
      </w:r>
    </w:p>
    <w:p w14:paraId="6628F5FD" w14:textId="77777777" w:rsidR="004E65A9" w:rsidRPr="00BD1AD5" w:rsidRDefault="004E65A9" w:rsidP="003F09AA">
      <w:pPr>
        <w:keepNext/>
        <w:tabs>
          <w:tab w:val="clear" w:pos="567"/>
        </w:tabs>
        <w:rPr>
          <w:b/>
        </w:rPr>
      </w:pPr>
    </w:p>
    <w:tbl>
      <w:tblPr>
        <w:tblW w:w="48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9"/>
        <w:gridCol w:w="1598"/>
        <w:gridCol w:w="5231"/>
      </w:tblGrid>
      <w:tr w:rsidR="004E65A9" w:rsidRPr="00BD1AD5" w14:paraId="60FC4B42" w14:textId="77777777" w:rsidTr="007A7892">
        <w:trPr>
          <w:cantSplit/>
          <w:trHeight w:val="230"/>
          <w:tblHeader/>
        </w:trPr>
        <w:tc>
          <w:tcPr>
            <w:tcW w:w="1222" w:type="pct"/>
            <w:vMerge w:val="restart"/>
            <w:vAlign w:val="center"/>
          </w:tcPr>
          <w:p w14:paraId="4C71C7AC" w14:textId="77777777" w:rsidR="004E65A9" w:rsidRPr="00BD1AD5" w:rsidRDefault="004E65A9" w:rsidP="008600F3">
            <w:pPr>
              <w:keepNext/>
              <w:autoSpaceDE w:val="0"/>
              <w:autoSpaceDN w:val="0"/>
              <w:adjustRightInd w:val="0"/>
              <w:rPr>
                <w:sz w:val="20"/>
              </w:rPr>
            </w:pPr>
            <w:r>
              <w:rPr>
                <w:b/>
                <w:sz w:val="20"/>
              </w:rPr>
              <w:t>Organklassesystem</w:t>
            </w:r>
          </w:p>
        </w:tc>
        <w:tc>
          <w:tcPr>
            <w:tcW w:w="884" w:type="pct"/>
            <w:vMerge w:val="restart"/>
            <w:vAlign w:val="center"/>
          </w:tcPr>
          <w:p w14:paraId="4405E661" w14:textId="77777777" w:rsidR="004E65A9" w:rsidRPr="00BD1AD5" w:rsidRDefault="004E65A9" w:rsidP="008600F3">
            <w:pPr>
              <w:keepNext/>
              <w:autoSpaceDE w:val="0"/>
              <w:autoSpaceDN w:val="0"/>
              <w:adjustRightInd w:val="0"/>
              <w:rPr>
                <w:sz w:val="20"/>
              </w:rPr>
            </w:pPr>
            <w:r>
              <w:rPr>
                <w:b/>
                <w:sz w:val="20"/>
              </w:rPr>
              <w:t>Frekvens</w:t>
            </w:r>
          </w:p>
        </w:tc>
        <w:tc>
          <w:tcPr>
            <w:tcW w:w="2894" w:type="pct"/>
            <w:vMerge w:val="restart"/>
            <w:vAlign w:val="center"/>
          </w:tcPr>
          <w:p w14:paraId="3163E95C" w14:textId="77777777" w:rsidR="004E65A9" w:rsidRPr="00BD1AD5" w:rsidRDefault="004E65A9" w:rsidP="008600F3">
            <w:pPr>
              <w:keepNext/>
              <w:autoSpaceDE w:val="0"/>
              <w:autoSpaceDN w:val="0"/>
              <w:adjustRightInd w:val="0"/>
              <w:rPr>
                <w:sz w:val="20"/>
              </w:rPr>
            </w:pPr>
            <w:r>
              <w:rPr>
                <w:b/>
                <w:sz w:val="20"/>
              </w:rPr>
              <w:t>Bivirkning</w:t>
            </w:r>
          </w:p>
        </w:tc>
      </w:tr>
      <w:tr w:rsidR="004E65A9" w:rsidRPr="00BD1AD5" w14:paraId="4A5FE928" w14:textId="77777777" w:rsidTr="007A7892">
        <w:trPr>
          <w:cantSplit/>
          <w:trHeight w:val="230"/>
          <w:tblHeader/>
        </w:trPr>
        <w:tc>
          <w:tcPr>
            <w:tcW w:w="1222" w:type="pct"/>
            <w:vMerge/>
            <w:vAlign w:val="bottom"/>
          </w:tcPr>
          <w:p w14:paraId="49DFFED7" w14:textId="77777777" w:rsidR="004E65A9" w:rsidRPr="00BD1AD5" w:rsidRDefault="004E65A9" w:rsidP="008600F3">
            <w:pPr>
              <w:autoSpaceDE w:val="0"/>
              <w:autoSpaceDN w:val="0"/>
              <w:adjustRightInd w:val="0"/>
              <w:rPr>
                <w:b/>
                <w:sz w:val="20"/>
                <w:lang w:eastAsia="ja-JP"/>
              </w:rPr>
            </w:pPr>
          </w:p>
        </w:tc>
        <w:tc>
          <w:tcPr>
            <w:tcW w:w="884" w:type="pct"/>
            <w:vMerge/>
            <w:vAlign w:val="bottom"/>
          </w:tcPr>
          <w:p w14:paraId="31404C1B" w14:textId="77777777" w:rsidR="004E65A9" w:rsidRPr="00BD1AD5" w:rsidRDefault="004E65A9" w:rsidP="008600F3">
            <w:pPr>
              <w:autoSpaceDE w:val="0"/>
              <w:autoSpaceDN w:val="0"/>
              <w:adjustRightInd w:val="0"/>
              <w:rPr>
                <w:b/>
                <w:sz w:val="20"/>
                <w:lang w:eastAsia="ja-JP"/>
              </w:rPr>
            </w:pPr>
          </w:p>
        </w:tc>
        <w:tc>
          <w:tcPr>
            <w:tcW w:w="2894" w:type="pct"/>
            <w:vMerge/>
            <w:vAlign w:val="bottom"/>
          </w:tcPr>
          <w:p w14:paraId="0AB48506" w14:textId="77777777" w:rsidR="004E65A9" w:rsidRPr="00BD1AD5" w:rsidRDefault="004E65A9" w:rsidP="008600F3">
            <w:pPr>
              <w:autoSpaceDE w:val="0"/>
              <w:autoSpaceDN w:val="0"/>
              <w:adjustRightInd w:val="0"/>
              <w:rPr>
                <w:b/>
                <w:sz w:val="20"/>
                <w:lang w:eastAsia="ja-JP"/>
              </w:rPr>
            </w:pPr>
          </w:p>
        </w:tc>
      </w:tr>
      <w:tr w:rsidR="004E65A9" w:rsidRPr="00BD1AD5" w14:paraId="547BA679" w14:textId="77777777" w:rsidTr="007A7892">
        <w:trPr>
          <w:cantSplit/>
          <w:trHeight w:val="20"/>
        </w:trPr>
        <w:tc>
          <w:tcPr>
            <w:tcW w:w="1222" w:type="pct"/>
            <w:vMerge w:val="restart"/>
            <w:vAlign w:val="center"/>
          </w:tcPr>
          <w:p w14:paraId="5C80834A" w14:textId="77777777" w:rsidR="004E65A9" w:rsidRPr="00BD1AD5" w:rsidRDefault="004E65A9" w:rsidP="008600F3">
            <w:pPr>
              <w:autoSpaceDE w:val="0"/>
              <w:autoSpaceDN w:val="0"/>
              <w:adjustRightInd w:val="0"/>
              <w:rPr>
                <w:sz w:val="20"/>
              </w:rPr>
            </w:pPr>
            <w:r>
              <w:rPr>
                <w:sz w:val="20"/>
              </w:rPr>
              <w:t>Infeksiøse og parasittære sykdommer</w:t>
            </w:r>
          </w:p>
        </w:tc>
        <w:tc>
          <w:tcPr>
            <w:tcW w:w="884" w:type="pct"/>
            <w:vAlign w:val="center"/>
          </w:tcPr>
          <w:p w14:paraId="49398CF7" w14:textId="77777777" w:rsidR="004E65A9" w:rsidRPr="00BD1AD5" w:rsidDel="00CD14EF" w:rsidRDefault="004E65A9" w:rsidP="008600F3">
            <w:pPr>
              <w:keepNext/>
              <w:autoSpaceDE w:val="0"/>
              <w:autoSpaceDN w:val="0"/>
              <w:adjustRightInd w:val="0"/>
              <w:rPr>
                <w:sz w:val="20"/>
              </w:rPr>
            </w:pPr>
            <w:r>
              <w:rPr>
                <w:sz w:val="20"/>
              </w:rPr>
              <w:t>Svært vanlige</w:t>
            </w:r>
          </w:p>
        </w:tc>
        <w:tc>
          <w:tcPr>
            <w:tcW w:w="2894" w:type="pct"/>
            <w:vAlign w:val="center"/>
          </w:tcPr>
          <w:p w14:paraId="3FE1CCD4" w14:textId="77777777" w:rsidR="004E65A9" w:rsidRPr="00BD1AD5" w:rsidDel="00CD14EF" w:rsidRDefault="004E65A9" w:rsidP="008600F3">
            <w:pPr>
              <w:keepNext/>
              <w:autoSpaceDE w:val="0"/>
              <w:autoSpaceDN w:val="0"/>
              <w:adjustRightInd w:val="0"/>
              <w:rPr>
                <w:sz w:val="20"/>
              </w:rPr>
            </w:pPr>
            <w:r>
              <w:rPr>
                <w:sz w:val="20"/>
              </w:rPr>
              <w:t>Øvre luftveisinfeksjon</w:t>
            </w:r>
            <w:r>
              <w:rPr>
                <w:sz w:val="20"/>
                <w:vertAlign w:val="superscript"/>
              </w:rPr>
              <w:t>a</w:t>
            </w:r>
          </w:p>
        </w:tc>
      </w:tr>
      <w:tr w:rsidR="004E65A9" w:rsidRPr="00BD1AD5" w14:paraId="27812420" w14:textId="77777777" w:rsidTr="007A7892">
        <w:trPr>
          <w:cantSplit/>
          <w:trHeight w:val="20"/>
        </w:trPr>
        <w:tc>
          <w:tcPr>
            <w:tcW w:w="1222" w:type="pct"/>
            <w:vMerge/>
            <w:vAlign w:val="center"/>
          </w:tcPr>
          <w:p w14:paraId="26AE5869" w14:textId="77777777" w:rsidR="004E65A9" w:rsidRPr="00BD1AD5" w:rsidRDefault="004E65A9" w:rsidP="008600F3">
            <w:pPr>
              <w:autoSpaceDE w:val="0"/>
              <w:autoSpaceDN w:val="0"/>
              <w:adjustRightInd w:val="0"/>
              <w:rPr>
                <w:sz w:val="20"/>
                <w:lang w:eastAsia="ja-JP"/>
              </w:rPr>
            </w:pPr>
          </w:p>
        </w:tc>
        <w:tc>
          <w:tcPr>
            <w:tcW w:w="884" w:type="pct"/>
            <w:vMerge w:val="restart"/>
            <w:vAlign w:val="center"/>
          </w:tcPr>
          <w:p w14:paraId="09826F91" w14:textId="77777777" w:rsidR="004E65A9" w:rsidRPr="00BD1AD5" w:rsidRDefault="004E65A9" w:rsidP="008600F3">
            <w:pPr>
              <w:autoSpaceDE w:val="0"/>
              <w:autoSpaceDN w:val="0"/>
              <w:adjustRightInd w:val="0"/>
              <w:rPr>
                <w:sz w:val="20"/>
              </w:rPr>
            </w:pPr>
            <w:r>
              <w:rPr>
                <w:sz w:val="20"/>
              </w:rPr>
              <w:t>Vanlige</w:t>
            </w:r>
          </w:p>
        </w:tc>
        <w:tc>
          <w:tcPr>
            <w:tcW w:w="2894" w:type="pct"/>
            <w:vAlign w:val="center"/>
          </w:tcPr>
          <w:p w14:paraId="6BFEC2B9" w14:textId="77777777" w:rsidR="004E65A9" w:rsidRPr="00BD1AD5" w:rsidRDefault="004E65A9" w:rsidP="008600F3">
            <w:pPr>
              <w:keepNext/>
              <w:autoSpaceDE w:val="0"/>
              <w:autoSpaceDN w:val="0"/>
              <w:adjustRightInd w:val="0"/>
              <w:rPr>
                <w:sz w:val="20"/>
              </w:rPr>
            </w:pPr>
            <w:r>
              <w:rPr>
                <w:sz w:val="20"/>
              </w:rPr>
              <w:t>Bronkitt</w:t>
            </w:r>
          </w:p>
        </w:tc>
      </w:tr>
      <w:tr w:rsidR="004E65A9" w:rsidRPr="00BD1AD5" w14:paraId="113F375A" w14:textId="77777777" w:rsidTr="007A7892">
        <w:trPr>
          <w:cantSplit/>
          <w:trHeight w:val="20"/>
        </w:trPr>
        <w:tc>
          <w:tcPr>
            <w:tcW w:w="1222" w:type="pct"/>
            <w:vMerge/>
            <w:vAlign w:val="center"/>
          </w:tcPr>
          <w:p w14:paraId="2053AF47" w14:textId="77777777" w:rsidR="004E65A9" w:rsidRPr="00BD1AD5" w:rsidRDefault="004E65A9" w:rsidP="008600F3">
            <w:pPr>
              <w:autoSpaceDE w:val="0"/>
              <w:autoSpaceDN w:val="0"/>
              <w:adjustRightInd w:val="0"/>
              <w:rPr>
                <w:sz w:val="20"/>
                <w:lang w:eastAsia="ja-JP"/>
              </w:rPr>
            </w:pPr>
          </w:p>
        </w:tc>
        <w:tc>
          <w:tcPr>
            <w:tcW w:w="884" w:type="pct"/>
            <w:vMerge/>
            <w:vAlign w:val="center"/>
          </w:tcPr>
          <w:p w14:paraId="4577ED7E" w14:textId="77777777" w:rsidR="004E65A9" w:rsidRPr="00BD1AD5" w:rsidRDefault="004E65A9" w:rsidP="008600F3">
            <w:pPr>
              <w:autoSpaceDE w:val="0"/>
              <w:autoSpaceDN w:val="0"/>
              <w:adjustRightInd w:val="0"/>
              <w:rPr>
                <w:sz w:val="20"/>
                <w:lang w:eastAsia="ja-JP"/>
              </w:rPr>
            </w:pPr>
          </w:p>
        </w:tc>
        <w:tc>
          <w:tcPr>
            <w:tcW w:w="2894" w:type="pct"/>
            <w:vAlign w:val="center"/>
          </w:tcPr>
          <w:p w14:paraId="24DEC52E" w14:textId="77777777" w:rsidR="004E65A9" w:rsidRPr="00BD1AD5" w:rsidRDefault="004E65A9" w:rsidP="008600F3">
            <w:pPr>
              <w:autoSpaceDE w:val="0"/>
              <w:autoSpaceDN w:val="0"/>
              <w:adjustRightInd w:val="0"/>
              <w:rPr>
                <w:sz w:val="20"/>
              </w:rPr>
            </w:pPr>
            <w:r>
              <w:rPr>
                <w:sz w:val="20"/>
              </w:rPr>
              <w:t>Nasofaryngitt*</w:t>
            </w:r>
          </w:p>
        </w:tc>
      </w:tr>
      <w:tr w:rsidR="004E65A9" w:rsidRPr="00BD1AD5" w14:paraId="41363FA0" w14:textId="77777777" w:rsidTr="007A7892">
        <w:trPr>
          <w:cantSplit/>
          <w:trHeight w:val="20"/>
        </w:trPr>
        <w:tc>
          <w:tcPr>
            <w:tcW w:w="1222" w:type="pct"/>
            <w:vAlign w:val="center"/>
          </w:tcPr>
          <w:p w14:paraId="413B2FAB" w14:textId="77777777" w:rsidR="004E65A9" w:rsidRPr="00BD1AD5" w:rsidRDefault="004E65A9" w:rsidP="008600F3">
            <w:pPr>
              <w:autoSpaceDE w:val="0"/>
              <w:autoSpaceDN w:val="0"/>
              <w:adjustRightInd w:val="0"/>
              <w:rPr>
                <w:sz w:val="20"/>
              </w:rPr>
            </w:pPr>
            <w:r>
              <w:rPr>
                <w:sz w:val="20"/>
              </w:rPr>
              <w:t>Forstyrrelser i immunsystemet</w:t>
            </w:r>
          </w:p>
        </w:tc>
        <w:tc>
          <w:tcPr>
            <w:tcW w:w="884" w:type="pct"/>
            <w:vAlign w:val="center"/>
          </w:tcPr>
          <w:p w14:paraId="16A080E6" w14:textId="77777777" w:rsidR="004E65A9" w:rsidRPr="00BD1AD5" w:rsidRDefault="004E65A9" w:rsidP="008600F3">
            <w:pPr>
              <w:autoSpaceDE w:val="0"/>
              <w:autoSpaceDN w:val="0"/>
              <w:adjustRightInd w:val="0"/>
              <w:rPr>
                <w:sz w:val="20"/>
              </w:rPr>
            </w:pPr>
            <w:r>
              <w:rPr>
                <w:sz w:val="20"/>
              </w:rPr>
              <w:t>Mindre vanlige</w:t>
            </w:r>
          </w:p>
        </w:tc>
        <w:tc>
          <w:tcPr>
            <w:tcW w:w="2894" w:type="pct"/>
            <w:vAlign w:val="center"/>
          </w:tcPr>
          <w:p w14:paraId="267DBFDD" w14:textId="77777777" w:rsidR="004E65A9" w:rsidRPr="00BD1AD5" w:rsidRDefault="004E65A9" w:rsidP="008600F3">
            <w:pPr>
              <w:autoSpaceDE w:val="0"/>
              <w:autoSpaceDN w:val="0"/>
              <w:adjustRightInd w:val="0"/>
              <w:rPr>
                <w:sz w:val="20"/>
              </w:rPr>
            </w:pPr>
            <w:r>
              <w:rPr>
                <w:sz w:val="20"/>
              </w:rPr>
              <w:t>Overfølsomhet</w:t>
            </w:r>
          </w:p>
        </w:tc>
      </w:tr>
      <w:tr w:rsidR="004E65A9" w:rsidRPr="00BD1AD5" w14:paraId="2FC9D367" w14:textId="77777777" w:rsidTr="007A7892">
        <w:trPr>
          <w:cantSplit/>
          <w:trHeight w:val="20"/>
        </w:trPr>
        <w:tc>
          <w:tcPr>
            <w:tcW w:w="1222" w:type="pct"/>
            <w:vAlign w:val="center"/>
          </w:tcPr>
          <w:p w14:paraId="5933BBC2" w14:textId="77777777" w:rsidR="004E65A9" w:rsidRPr="00BD1AD5" w:rsidRDefault="004E65A9" w:rsidP="008600F3">
            <w:pPr>
              <w:autoSpaceDE w:val="0"/>
              <w:autoSpaceDN w:val="0"/>
              <w:adjustRightInd w:val="0"/>
              <w:rPr>
                <w:sz w:val="20"/>
              </w:rPr>
            </w:pPr>
            <w:r>
              <w:rPr>
                <w:sz w:val="20"/>
              </w:rPr>
              <w:t>Stoffskifte</w:t>
            </w:r>
            <w:r>
              <w:rPr>
                <w:sz w:val="20"/>
              </w:rPr>
              <w:noBreakHyphen/>
              <w:t xml:space="preserve"> og ernæringsbetingede sykdommer</w:t>
            </w:r>
          </w:p>
        </w:tc>
        <w:tc>
          <w:tcPr>
            <w:tcW w:w="884" w:type="pct"/>
            <w:vAlign w:val="center"/>
          </w:tcPr>
          <w:p w14:paraId="30B6EB20" w14:textId="77777777" w:rsidR="004E65A9" w:rsidRPr="00BD1AD5" w:rsidRDefault="004E65A9" w:rsidP="008600F3">
            <w:pPr>
              <w:autoSpaceDE w:val="0"/>
              <w:autoSpaceDN w:val="0"/>
              <w:adjustRightInd w:val="0"/>
              <w:rPr>
                <w:sz w:val="20"/>
              </w:rPr>
            </w:pPr>
            <w:r>
              <w:rPr>
                <w:sz w:val="20"/>
              </w:rPr>
              <w:t>Vanlige</w:t>
            </w:r>
          </w:p>
        </w:tc>
        <w:tc>
          <w:tcPr>
            <w:tcW w:w="2894" w:type="pct"/>
            <w:vAlign w:val="center"/>
          </w:tcPr>
          <w:p w14:paraId="746708CF" w14:textId="77777777" w:rsidR="004E65A9" w:rsidRPr="00BD1AD5" w:rsidRDefault="004E65A9" w:rsidP="008600F3">
            <w:pPr>
              <w:autoSpaceDE w:val="0"/>
              <w:autoSpaceDN w:val="0"/>
              <w:adjustRightInd w:val="0"/>
              <w:rPr>
                <w:sz w:val="20"/>
              </w:rPr>
            </w:pPr>
            <w:r>
              <w:rPr>
                <w:sz w:val="20"/>
              </w:rPr>
              <w:t>Redusert appetitt*</w:t>
            </w:r>
          </w:p>
        </w:tc>
      </w:tr>
      <w:tr w:rsidR="005E5095" w:rsidRPr="00BD1AD5" w14:paraId="6F15637C" w14:textId="77777777" w:rsidTr="007A7892">
        <w:trPr>
          <w:cantSplit/>
          <w:trHeight w:val="20"/>
        </w:trPr>
        <w:tc>
          <w:tcPr>
            <w:tcW w:w="1222" w:type="pct"/>
            <w:vMerge w:val="restart"/>
            <w:vAlign w:val="center"/>
          </w:tcPr>
          <w:p w14:paraId="6CBFE6F7" w14:textId="77777777" w:rsidR="005E5095" w:rsidRPr="00BD1AD5" w:rsidRDefault="005E5095" w:rsidP="008600F3">
            <w:pPr>
              <w:autoSpaceDE w:val="0"/>
              <w:autoSpaceDN w:val="0"/>
              <w:adjustRightInd w:val="0"/>
              <w:rPr>
                <w:sz w:val="20"/>
              </w:rPr>
            </w:pPr>
            <w:r>
              <w:rPr>
                <w:sz w:val="20"/>
              </w:rPr>
              <w:t>Psykiatriske lidelser</w:t>
            </w:r>
          </w:p>
        </w:tc>
        <w:tc>
          <w:tcPr>
            <w:tcW w:w="884" w:type="pct"/>
            <w:vMerge w:val="restart"/>
            <w:vAlign w:val="center"/>
          </w:tcPr>
          <w:p w14:paraId="190C75B0" w14:textId="77777777" w:rsidR="005E5095" w:rsidRPr="00BD1AD5" w:rsidRDefault="005E5095" w:rsidP="008600F3">
            <w:pPr>
              <w:keepNext/>
              <w:autoSpaceDE w:val="0"/>
              <w:autoSpaceDN w:val="0"/>
              <w:adjustRightInd w:val="0"/>
              <w:rPr>
                <w:sz w:val="20"/>
              </w:rPr>
            </w:pPr>
            <w:r>
              <w:rPr>
                <w:sz w:val="20"/>
              </w:rPr>
              <w:t>Vanlige</w:t>
            </w:r>
          </w:p>
        </w:tc>
        <w:tc>
          <w:tcPr>
            <w:tcW w:w="2894" w:type="pct"/>
            <w:vAlign w:val="center"/>
          </w:tcPr>
          <w:p w14:paraId="0E0BA068" w14:textId="77777777" w:rsidR="005E5095" w:rsidRPr="00BD1AD5" w:rsidRDefault="005E5095" w:rsidP="008600F3">
            <w:pPr>
              <w:autoSpaceDE w:val="0"/>
              <w:autoSpaceDN w:val="0"/>
              <w:adjustRightInd w:val="0"/>
              <w:rPr>
                <w:sz w:val="20"/>
              </w:rPr>
            </w:pPr>
            <w:r>
              <w:rPr>
                <w:sz w:val="20"/>
              </w:rPr>
              <w:t>Insomni</w:t>
            </w:r>
          </w:p>
        </w:tc>
      </w:tr>
      <w:tr w:rsidR="005E5095" w:rsidRPr="00BD1AD5" w14:paraId="574E6E0F" w14:textId="77777777" w:rsidTr="007A7892">
        <w:trPr>
          <w:cantSplit/>
          <w:trHeight w:val="20"/>
        </w:trPr>
        <w:tc>
          <w:tcPr>
            <w:tcW w:w="1222" w:type="pct"/>
            <w:vMerge/>
            <w:vAlign w:val="center"/>
          </w:tcPr>
          <w:p w14:paraId="2296849C" w14:textId="77777777" w:rsidR="005E5095" w:rsidRPr="00BD1AD5" w:rsidRDefault="005E5095" w:rsidP="008600F3">
            <w:pPr>
              <w:autoSpaceDE w:val="0"/>
              <w:autoSpaceDN w:val="0"/>
              <w:adjustRightInd w:val="0"/>
              <w:rPr>
                <w:sz w:val="20"/>
                <w:lang w:eastAsia="ja-JP"/>
              </w:rPr>
            </w:pPr>
          </w:p>
        </w:tc>
        <w:tc>
          <w:tcPr>
            <w:tcW w:w="884" w:type="pct"/>
            <w:vMerge/>
            <w:vAlign w:val="center"/>
          </w:tcPr>
          <w:p w14:paraId="036A1231" w14:textId="77777777" w:rsidR="005E5095" w:rsidRPr="00BD1AD5" w:rsidRDefault="005E5095" w:rsidP="008600F3">
            <w:pPr>
              <w:autoSpaceDE w:val="0"/>
              <w:autoSpaceDN w:val="0"/>
              <w:adjustRightInd w:val="0"/>
              <w:rPr>
                <w:sz w:val="20"/>
                <w:lang w:eastAsia="ja-JP"/>
              </w:rPr>
            </w:pPr>
          </w:p>
        </w:tc>
        <w:tc>
          <w:tcPr>
            <w:tcW w:w="2894" w:type="pct"/>
            <w:vAlign w:val="center"/>
          </w:tcPr>
          <w:p w14:paraId="17489A26" w14:textId="77777777" w:rsidR="005E5095" w:rsidRPr="00BD1AD5" w:rsidRDefault="005E5095" w:rsidP="008600F3">
            <w:pPr>
              <w:autoSpaceDE w:val="0"/>
              <w:autoSpaceDN w:val="0"/>
              <w:adjustRightInd w:val="0"/>
              <w:rPr>
                <w:sz w:val="20"/>
              </w:rPr>
            </w:pPr>
            <w:r>
              <w:rPr>
                <w:sz w:val="20"/>
              </w:rPr>
              <w:t>Depresjon</w:t>
            </w:r>
          </w:p>
        </w:tc>
      </w:tr>
      <w:tr w:rsidR="005E5095" w:rsidRPr="00BD1AD5" w14:paraId="186A2887" w14:textId="77777777" w:rsidTr="007A7892">
        <w:trPr>
          <w:cantSplit/>
          <w:trHeight w:val="20"/>
        </w:trPr>
        <w:tc>
          <w:tcPr>
            <w:tcW w:w="1222" w:type="pct"/>
            <w:vMerge/>
            <w:vAlign w:val="center"/>
          </w:tcPr>
          <w:p w14:paraId="76E10F83" w14:textId="77777777" w:rsidR="005E5095" w:rsidRPr="00BD1AD5" w:rsidRDefault="005E5095" w:rsidP="008600F3">
            <w:pPr>
              <w:autoSpaceDE w:val="0"/>
              <w:autoSpaceDN w:val="0"/>
              <w:adjustRightInd w:val="0"/>
              <w:rPr>
                <w:sz w:val="20"/>
                <w:lang w:eastAsia="ja-JP"/>
              </w:rPr>
            </w:pPr>
          </w:p>
        </w:tc>
        <w:tc>
          <w:tcPr>
            <w:tcW w:w="884" w:type="pct"/>
            <w:vMerge w:val="restart"/>
            <w:vAlign w:val="center"/>
          </w:tcPr>
          <w:p w14:paraId="331CFB2B" w14:textId="77777777" w:rsidR="005E5095" w:rsidRPr="00BD1AD5" w:rsidRDefault="005E5095" w:rsidP="008600F3">
            <w:pPr>
              <w:autoSpaceDE w:val="0"/>
              <w:autoSpaceDN w:val="0"/>
              <w:adjustRightInd w:val="0"/>
              <w:rPr>
                <w:sz w:val="20"/>
              </w:rPr>
            </w:pPr>
            <w:r>
              <w:rPr>
                <w:sz w:val="20"/>
              </w:rPr>
              <w:t>Mindre vanlige</w:t>
            </w:r>
          </w:p>
        </w:tc>
        <w:tc>
          <w:tcPr>
            <w:tcW w:w="2894" w:type="pct"/>
            <w:vAlign w:val="center"/>
          </w:tcPr>
          <w:p w14:paraId="79DC6DB8" w14:textId="77777777" w:rsidR="005E5095" w:rsidRPr="00BD1AD5" w:rsidRDefault="005E5095" w:rsidP="008600F3">
            <w:pPr>
              <w:autoSpaceDE w:val="0"/>
              <w:autoSpaceDN w:val="0"/>
              <w:adjustRightInd w:val="0"/>
              <w:rPr>
                <w:sz w:val="20"/>
              </w:rPr>
            </w:pPr>
            <w:r>
              <w:rPr>
                <w:sz w:val="20"/>
              </w:rPr>
              <w:t>Suicidal ideasjon og atferd</w:t>
            </w:r>
          </w:p>
        </w:tc>
      </w:tr>
      <w:tr w:rsidR="006A3F63" w:rsidRPr="00BD1AD5" w14:paraId="36B38E27" w14:textId="77777777" w:rsidTr="007A7892">
        <w:trPr>
          <w:cantSplit/>
          <w:trHeight w:val="20"/>
          <w:ins w:id="1" w:author="Author"/>
        </w:trPr>
        <w:tc>
          <w:tcPr>
            <w:tcW w:w="1222" w:type="pct"/>
            <w:vMerge/>
            <w:vAlign w:val="center"/>
          </w:tcPr>
          <w:p w14:paraId="3BA1801C" w14:textId="77777777" w:rsidR="005E5095" w:rsidRPr="00BD1AD5" w:rsidRDefault="005E5095" w:rsidP="008600F3">
            <w:pPr>
              <w:autoSpaceDE w:val="0"/>
              <w:autoSpaceDN w:val="0"/>
              <w:adjustRightInd w:val="0"/>
              <w:rPr>
                <w:ins w:id="2" w:author="Author"/>
                <w:sz w:val="20"/>
                <w:lang w:eastAsia="ja-JP"/>
              </w:rPr>
            </w:pPr>
          </w:p>
        </w:tc>
        <w:tc>
          <w:tcPr>
            <w:tcW w:w="884" w:type="pct"/>
            <w:vMerge/>
            <w:vAlign w:val="center"/>
          </w:tcPr>
          <w:p w14:paraId="3DBC8D6F" w14:textId="77777777" w:rsidR="005E5095" w:rsidRDefault="005E5095" w:rsidP="008600F3">
            <w:pPr>
              <w:autoSpaceDE w:val="0"/>
              <w:autoSpaceDN w:val="0"/>
              <w:adjustRightInd w:val="0"/>
              <w:rPr>
                <w:ins w:id="3" w:author="Author"/>
                <w:sz w:val="20"/>
              </w:rPr>
            </w:pPr>
          </w:p>
        </w:tc>
        <w:tc>
          <w:tcPr>
            <w:tcW w:w="2894" w:type="pct"/>
            <w:vAlign w:val="center"/>
          </w:tcPr>
          <w:p w14:paraId="058ABE4F" w14:textId="77777777" w:rsidR="005E5095" w:rsidRDefault="005E5095" w:rsidP="008600F3">
            <w:pPr>
              <w:autoSpaceDE w:val="0"/>
              <w:autoSpaceDN w:val="0"/>
              <w:adjustRightInd w:val="0"/>
              <w:rPr>
                <w:ins w:id="4" w:author="Author"/>
                <w:sz w:val="20"/>
              </w:rPr>
            </w:pPr>
            <w:ins w:id="5" w:author="Author">
              <w:r>
                <w:rPr>
                  <w:sz w:val="20"/>
                </w:rPr>
                <w:t>Angst</w:t>
              </w:r>
            </w:ins>
          </w:p>
        </w:tc>
      </w:tr>
      <w:tr w:rsidR="006A3F63" w:rsidRPr="00BD1AD5" w14:paraId="2918677A" w14:textId="77777777" w:rsidTr="007A7892">
        <w:trPr>
          <w:cantSplit/>
          <w:trHeight w:val="20"/>
          <w:ins w:id="6" w:author="Author"/>
        </w:trPr>
        <w:tc>
          <w:tcPr>
            <w:tcW w:w="1222" w:type="pct"/>
            <w:vMerge/>
            <w:vAlign w:val="center"/>
          </w:tcPr>
          <w:p w14:paraId="21614383" w14:textId="77777777" w:rsidR="005E5095" w:rsidRPr="00BD1AD5" w:rsidRDefault="005E5095" w:rsidP="008600F3">
            <w:pPr>
              <w:autoSpaceDE w:val="0"/>
              <w:autoSpaceDN w:val="0"/>
              <w:adjustRightInd w:val="0"/>
              <w:rPr>
                <w:ins w:id="7" w:author="Author"/>
                <w:sz w:val="20"/>
                <w:lang w:eastAsia="ja-JP"/>
              </w:rPr>
            </w:pPr>
          </w:p>
        </w:tc>
        <w:tc>
          <w:tcPr>
            <w:tcW w:w="884" w:type="pct"/>
            <w:vMerge/>
            <w:vAlign w:val="center"/>
          </w:tcPr>
          <w:p w14:paraId="2B67CE29" w14:textId="77777777" w:rsidR="005E5095" w:rsidRDefault="005E5095" w:rsidP="008600F3">
            <w:pPr>
              <w:autoSpaceDE w:val="0"/>
              <w:autoSpaceDN w:val="0"/>
              <w:adjustRightInd w:val="0"/>
              <w:rPr>
                <w:ins w:id="8" w:author="Author"/>
                <w:sz w:val="20"/>
              </w:rPr>
            </w:pPr>
          </w:p>
        </w:tc>
        <w:tc>
          <w:tcPr>
            <w:tcW w:w="2894" w:type="pct"/>
            <w:vAlign w:val="center"/>
          </w:tcPr>
          <w:p w14:paraId="485CBF01" w14:textId="77777777" w:rsidR="005E5095" w:rsidRDefault="005E5095" w:rsidP="008600F3">
            <w:pPr>
              <w:autoSpaceDE w:val="0"/>
              <w:autoSpaceDN w:val="0"/>
              <w:adjustRightInd w:val="0"/>
              <w:rPr>
                <w:ins w:id="9" w:author="Author"/>
                <w:sz w:val="20"/>
              </w:rPr>
            </w:pPr>
            <w:ins w:id="10" w:author="Author">
              <w:r>
                <w:rPr>
                  <w:sz w:val="20"/>
                </w:rPr>
                <w:t>Endret humør</w:t>
              </w:r>
            </w:ins>
          </w:p>
        </w:tc>
      </w:tr>
      <w:tr w:rsidR="004E65A9" w:rsidRPr="00BD1AD5" w14:paraId="57772C2F" w14:textId="77777777" w:rsidTr="007A7892">
        <w:trPr>
          <w:cantSplit/>
          <w:trHeight w:val="20"/>
        </w:trPr>
        <w:tc>
          <w:tcPr>
            <w:tcW w:w="1222" w:type="pct"/>
            <w:vMerge w:val="restart"/>
            <w:vAlign w:val="center"/>
          </w:tcPr>
          <w:p w14:paraId="28466C31" w14:textId="77777777" w:rsidR="004E65A9" w:rsidRPr="00BD1AD5" w:rsidRDefault="004E65A9" w:rsidP="008600F3">
            <w:pPr>
              <w:keepNext/>
              <w:autoSpaceDE w:val="0"/>
              <w:autoSpaceDN w:val="0"/>
              <w:adjustRightInd w:val="0"/>
              <w:rPr>
                <w:sz w:val="20"/>
              </w:rPr>
            </w:pPr>
            <w:r>
              <w:rPr>
                <w:sz w:val="20"/>
              </w:rPr>
              <w:lastRenderedPageBreak/>
              <w:t>Nevrologiske sykdommer</w:t>
            </w:r>
          </w:p>
        </w:tc>
        <w:tc>
          <w:tcPr>
            <w:tcW w:w="884" w:type="pct"/>
            <w:vAlign w:val="center"/>
          </w:tcPr>
          <w:p w14:paraId="30B16879" w14:textId="77777777" w:rsidR="004E65A9" w:rsidRPr="00BD1AD5" w:rsidRDefault="004E65A9" w:rsidP="008600F3">
            <w:pPr>
              <w:keepNext/>
              <w:autoSpaceDE w:val="0"/>
              <w:autoSpaceDN w:val="0"/>
              <w:adjustRightInd w:val="0"/>
              <w:rPr>
                <w:sz w:val="20"/>
              </w:rPr>
            </w:pPr>
            <w:r>
              <w:rPr>
                <w:sz w:val="20"/>
              </w:rPr>
              <w:t>Svært vanlige</w:t>
            </w:r>
          </w:p>
        </w:tc>
        <w:tc>
          <w:tcPr>
            <w:tcW w:w="2894" w:type="pct"/>
            <w:vAlign w:val="center"/>
          </w:tcPr>
          <w:p w14:paraId="2101A72D" w14:textId="77777777" w:rsidR="004E65A9" w:rsidRPr="00BD1AD5" w:rsidRDefault="004E65A9" w:rsidP="008600F3">
            <w:pPr>
              <w:keepNext/>
              <w:autoSpaceDE w:val="0"/>
              <w:autoSpaceDN w:val="0"/>
              <w:adjustRightInd w:val="0"/>
              <w:rPr>
                <w:sz w:val="20"/>
              </w:rPr>
            </w:pPr>
            <w:r>
              <w:rPr>
                <w:sz w:val="20"/>
              </w:rPr>
              <w:t>Hodepine*</w:t>
            </w:r>
            <w:r>
              <w:rPr>
                <w:sz w:val="20"/>
                <w:vertAlign w:val="superscript"/>
              </w:rPr>
              <w:t xml:space="preserve"> a</w:t>
            </w:r>
          </w:p>
        </w:tc>
      </w:tr>
      <w:tr w:rsidR="004E65A9" w:rsidRPr="00BD1AD5" w14:paraId="0FD8329B" w14:textId="77777777" w:rsidTr="007A7892">
        <w:trPr>
          <w:cantSplit/>
          <w:trHeight w:val="20"/>
        </w:trPr>
        <w:tc>
          <w:tcPr>
            <w:tcW w:w="1222" w:type="pct"/>
            <w:vMerge/>
            <w:vAlign w:val="center"/>
          </w:tcPr>
          <w:p w14:paraId="11E6E1D1" w14:textId="77777777" w:rsidR="004E65A9" w:rsidRPr="00BD1AD5" w:rsidRDefault="004E65A9" w:rsidP="008600F3">
            <w:pPr>
              <w:keepNext/>
              <w:autoSpaceDE w:val="0"/>
              <w:autoSpaceDN w:val="0"/>
              <w:adjustRightInd w:val="0"/>
              <w:rPr>
                <w:sz w:val="20"/>
                <w:lang w:eastAsia="ja-JP"/>
              </w:rPr>
            </w:pPr>
          </w:p>
        </w:tc>
        <w:tc>
          <w:tcPr>
            <w:tcW w:w="884" w:type="pct"/>
            <w:vMerge w:val="restart"/>
            <w:vAlign w:val="center"/>
          </w:tcPr>
          <w:p w14:paraId="6171C120" w14:textId="77777777" w:rsidR="004E65A9" w:rsidRPr="00BD1AD5" w:rsidRDefault="004E65A9" w:rsidP="008600F3">
            <w:pPr>
              <w:keepNext/>
              <w:autoSpaceDE w:val="0"/>
              <w:autoSpaceDN w:val="0"/>
              <w:adjustRightInd w:val="0"/>
              <w:rPr>
                <w:sz w:val="20"/>
              </w:rPr>
            </w:pPr>
            <w:r>
              <w:rPr>
                <w:sz w:val="20"/>
              </w:rPr>
              <w:t>Vanlige</w:t>
            </w:r>
          </w:p>
        </w:tc>
        <w:tc>
          <w:tcPr>
            <w:tcW w:w="2894" w:type="pct"/>
            <w:vAlign w:val="center"/>
          </w:tcPr>
          <w:p w14:paraId="640ADD49" w14:textId="77777777" w:rsidR="004E65A9" w:rsidRPr="00BD1AD5" w:rsidRDefault="004E65A9" w:rsidP="008600F3">
            <w:pPr>
              <w:keepNext/>
              <w:autoSpaceDE w:val="0"/>
              <w:autoSpaceDN w:val="0"/>
              <w:adjustRightInd w:val="0"/>
              <w:rPr>
                <w:sz w:val="20"/>
              </w:rPr>
            </w:pPr>
            <w:r>
              <w:rPr>
                <w:sz w:val="20"/>
              </w:rPr>
              <w:t>Migrene*</w:t>
            </w:r>
          </w:p>
        </w:tc>
      </w:tr>
      <w:tr w:rsidR="004E65A9" w:rsidRPr="00BD1AD5" w14:paraId="050AB16C" w14:textId="77777777" w:rsidTr="007A7892">
        <w:trPr>
          <w:cantSplit/>
          <w:trHeight w:val="20"/>
        </w:trPr>
        <w:tc>
          <w:tcPr>
            <w:tcW w:w="1222" w:type="pct"/>
            <w:vMerge/>
            <w:vAlign w:val="center"/>
          </w:tcPr>
          <w:p w14:paraId="741A2C29" w14:textId="77777777" w:rsidR="004E65A9" w:rsidRPr="00BD1AD5" w:rsidRDefault="004E65A9" w:rsidP="008600F3">
            <w:pPr>
              <w:keepNext/>
              <w:autoSpaceDE w:val="0"/>
              <w:autoSpaceDN w:val="0"/>
              <w:adjustRightInd w:val="0"/>
              <w:rPr>
                <w:sz w:val="20"/>
                <w:lang w:eastAsia="ja-JP"/>
              </w:rPr>
            </w:pPr>
          </w:p>
        </w:tc>
        <w:tc>
          <w:tcPr>
            <w:tcW w:w="884" w:type="pct"/>
            <w:vMerge/>
            <w:vAlign w:val="center"/>
          </w:tcPr>
          <w:p w14:paraId="2B1D2884" w14:textId="77777777" w:rsidR="004E65A9" w:rsidRPr="00BD1AD5" w:rsidRDefault="004E65A9" w:rsidP="008600F3">
            <w:pPr>
              <w:keepNext/>
              <w:autoSpaceDE w:val="0"/>
              <w:autoSpaceDN w:val="0"/>
              <w:adjustRightInd w:val="0"/>
              <w:rPr>
                <w:sz w:val="20"/>
                <w:lang w:eastAsia="ja-JP"/>
              </w:rPr>
            </w:pPr>
          </w:p>
        </w:tc>
        <w:tc>
          <w:tcPr>
            <w:tcW w:w="2894" w:type="pct"/>
            <w:vAlign w:val="center"/>
          </w:tcPr>
          <w:p w14:paraId="18A8211A" w14:textId="77777777" w:rsidR="004E65A9" w:rsidRPr="00BD1AD5" w:rsidRDefault="004E65A9" w:rsidP="008600F3">
            <w:pPr>
              <w:keepNext/>
              <w:autoSpaceDE w:val="0"/>
              <w:autoSpaceDN w:val="0"/>
              <w:adjustRightInd w:val="0"/>
              <w:rPr>
                <w:sz w:val="20"/>
              </w:rPr>
            </w:pPr>
            <w:r>
              <w:rPr>
                <w:sz w:val="20"/>
              </w:rPr>
              <w:t>Spenningshodepine*</w:t>
            </w:r>
          </w:p>
        </w:tc>
      </w:tr>
      <w:tr w:rsidR="004E65A9" w:rsidRPr="00BD1AD5" w14:paraId="545F68CA" w14:textId="77777777" w:rsidTr="007A7892">
        <w:trPr>
          <w:cantSplit/>
          <w:trHeight w:val="20"/>
        </w:trPr>
        <w:tc>
          <w:tcPr>
            <w:tcW w:w="1222" w:type="pct"/>
            <w:vAlign w:val="center"/>
          </w:tcPr>
          <w:p w14:paraId="064540F3" w14:textId="77777777" w:rsidR="004E65A9" w:rsidRPr="00BD1AD5" w:rsidRDefault="004E65A9" w:rsidP="008600F3">
            <w:pPr>
              <w:autoSpaceDE w:val="0"/>
              <w:autoSpaceDN w:val="0"/>
              <w:adjustRightInd w:val="0"/>
              <w:rPr>
                <w:sz w:val="20"/>
              </w:rPr>
            </w:pPr>
            <w:r>
              <w:rPr>
                <w:sz w:val="20"/>
              </w:rPr>
              <w:t>Sykdommer i respirasjonsorganer, thorax og mediastinum</w:t>
            </w:r>
          </w:p>
        </w:tc>
        <w:tc>
          <w:tcPr>
            <w:tcW w:w="884" w:type="pct"/>
            <w:vAlign w:val="center"/>
          </w:tcPr>
          <w:p w14:paraId="29D94D0C" w14:textId="77777777" w:rsidR="004E65A9" w:rsidRPr="00BD1AD5" w:rsidRDefault="004E65A9" w:rsidP="008600F3">
            <w:pPr>
              <w:autoSpaceDE w:val="0"/>
              <w:autoSpaceDN w:val="0"/>
              <w:adjustRightInd w:val="0"/>
              <w:rPr>
                <w:sz w:val="20"/>
              </w:rPr>
            </w:pPr>
            <w:r>
              <w:rPr>
                <w:sz w:val="20"/>
              </w:rPr>
              <w:t>Vanlige</w:t>
            </w:r>
          </w:p>
        </w:tc>
        <w:tc>
          <w:tcPr>
            <w:tcW w:w="2894" w:type="pct"/>
            <w:vAlign w:val="center"/>
          </w:tcPr>
          <w:p w14:paraId="106D83A1" w14:textId="77777777" w:rsidR="004E65A9" w:rsidRPr="00BD1AD5" w:rsidRDefault="004E65A9" w:rsidP="008600F3">
            <w:pPr>
              <w:autoSpaceDE w:val="0"/>
              <w:autoSpaceDN w:val="0"/>
              <w:adjustRightInd w:val="0"/>
              <w:rPr>
                <w:sz w:val="20"/>
              </w:rPr>
            </w:pPr>
            <w:r>
              <w:rPr>
                <w:sz w:val="20"/>
              </w:rPr>
              <w:t>Hoste</w:t>
            </w:r>
          </w:p>
        </w:tc>
      </w:tr>
      <w:tr w:rsidR="004E65A9" w:rsidRPr="00BD1AD5" w14:paraId="286B9DA7" w14:textId="77777777" w:rsidTr="007A7892">
        <w:trPr>
          <w:cantSplit/>
          <w:trHeight w:val="20"/>
        </w:trPr>
        <w:tc>
          <w:tcPr>
            <w:tcW w:w="1222" w:type="pct"/>
            <w:vMerge w:val="restart"/>
            <w:vAlign w:val="center"/>
          </w:tcPr>
          <w:p w14:paraId="6B43FB27" w14:textId="77777777" w:rsidR="004E65A9" w:rsidRPr="00BD1AD5" w:rsidRDefault="004E65A9" w:rsidP="008600F3">
            <w:pPr>
              <w:keepNext/>
              <w:autoSpaceDE w:val="0"/>
              <w:autoSpaceDN w:val="0"/>
              <w:adjustRightInd w:val="0"/>
              <w:rPr>
                <w:sz w:val="20"/>
              </w:rPr>
            </w:pPr>
            <w:r>
              <w:rPr>
                <w:sz w:val="20"/>
              </w:rPr>
              <w:t>Gastrointestinale sykdommer</w:t>
            </w:r>
          </w:p>
        </w:tc>
        <w:tc>
          <w:tcPr>
            <w:tcW w:w="884" w:type="pct"/>
            <w:vMerge w:val="restart"/>
            <w:vAlign w:val="center"/>
          </w:tcPr>
          <w:p w14:paraId="2A06E4FB" w14:textId="77777777" w:rsidR="004E65A9" w:rsidRPr="00BD1AD5" w:rsidRDefault="004E65A9" w:rsidP="008600F3">
            <w:pPr>
              <w:keepNext/>
              <w:autoSpaceDE w:val="0"/>
              <w:autoSpaceDN w:val="0"/>
              <w:adjustRightInd w:val="0"/>
              <w:rPr>
                <w:sz w:val="20"/>
              </w:rPr>
            </w:pPr>
            <w:r>
              <w:rPr>
                <w:sz w:val="20"/>
              </w:rPr>
              <w:t>Svært vanlige</w:t>
            </w:r>
          </w:p>
        </w:tc>
        <w:tc>
          <w:tcPr>
            <w:tcW w:w="2894" w:type="pct"/>
            <w:vAlign w:val="center"/>
          </w:tcPr>
          <w:p w14:paraId="658B348B" w14:textId="77777777" w:rsidR="004E65A9" w:rsidRPr="00BD1AD5" w:rsidRDefault="004E65A9" w:rsidP="008600F3">
            <w:pPr>
              <w:keepNext/>
              <w:autoSpaceDE w:val="0"/>
              <w:autoSpaceDN w:val="0"/>
              <w:adjustRightInd w:val="0"/>
              <w:rPr>
                <w:sz w:val="20"/>
              </w:rPr>
            </w:pPr>
            <w:r>
              <w:rPr>
                <w:sz w:val="20"/>
              </w:rPr>
              <w:t>Diaré*</w:t>
            </w:r>
          </w:p>
        </w:tc>
      </w:tr>
      <w:tr w:rsidR="004E65A9" w:rsidRPr="00BD1AD5" w14:paraId="56A669A0" w14:textId="77777777" w:rsidTr="007A7892">
        <w:trPr>
          <w:cantSplit/>
          <w:trHeight w:val="20"/>
        </w:trPr>
        <w:tc>
          <w:tcPr>
            <w:tcW w:w="1222" w:type="pct"/>
            <w:vMerge/>
            <w:vAlign w:val="center"/>
          </w:tcPr>
          <w:p w14:paraId="438BCB63" w14:textId="77777777" w:rsidR="004E65A9" w:rsidRPr="00BD1AD5" w:rsidRDefault="004E65A9" w:rsidP="008600F3">
            <w:pPr>
              <w:keepNext/>
              <w:autoSpaceDE w:val="0"/>
              <w:autoSpaceDN w:val="0"/>
              <w:adjustRightInd w:val="0"/>
              <w:rPr>
                <w:sz w:val="20"/>
                <w:lang w:eastAsia="ja-JP"/>
              </w:rPr>
            </w:pPr>
          </w:p>
        </w:tc>
        <w:tc>
          <w:tcPr>
            <w:tcW w:w="884" w:type="pct"/>
            <w:vMerge/>
            <w:vAlign w:val="center"/>
          </w:tcPr>
          <w:p w14:paraId="650665E3" w14:textId="77777777" w:rsidR="004E65A9" w:rsidRPr="00BD1AD5" w:rsidRDefault="004E65A9" w:rsidP="008600F3">
            <w:pPr>
              <w:keepNext/>
              <w:autoSpaceDE w:val="0"/>
              <w:autoSpaceDN w:val="0"/>
              <w:adjustRightInd w:val="0"/>
              <w:rPr>
                <w:sz w:val="20"/>
                <w:lang w:eastAsia="ja-JP"/>
              </w:rPr>
            </w:pPr>
          </w:p>
        </w:tc>
        <w:tc>
          <w:tcPr>
            <w:tcW w:w="2894" w:type="pct"/>
            <w:vAlign w:val="center"/>
          </w:tcPr>
          <w:p w14:paraId="417F95E6" w14:textId="77777777" w:rsidR="004E65A9" w:rsidRPr="00BD1AD5" w:rsidRDefault="004E65A9" w:rsidP="008600F3">
            <w:pPr>
              <w:keepNext/>
              <w:autoSpaceDE w:val="0"/>
              <w:autoSpaceDN w:val="0"/>
              <w:adjustRightInd w:val="0"/>
              <w:rPr>
                <w:sz w:val="20"/>
              </w:rPr>
            </w:pPr>
            <w:r>
              <w:rPr>
                <w:sz w:val="20"/>
              </w:rPr>
              <w:t>Kvalme*</w:t>
            </w:r>
          </w:p>
        </w:tc>
      </w:tr>
      <w:tr w:rsidR="004E65A9" w:rsidRPr="00BD1AD5" w14:paraId="45DBE7FB" w14:textId="77777777" w:rsidTr="007A7892">
        <w:trPr>
          <w:cantSplit/>
          <w:trHeight w:val="20"/>
        </w:trPr>
        <w:tc>
          <w:tcPr>
            <w:tcW w:w="1222" w:type="pct"/>
            <w:vMerge/>
            <w:vAlign w:val="center"/>
          </w:tcPr>
          <w:p w14:paraId="492F0D7E" w14:textId="77777777" w:rsidR="004E65A9" w:rsidRPr="00BD1AD5" w:rsidRDefault="004E65A9" w:rsidP="008600F3">
            <w:pPr>
              <w:keepNext/>
              <w:autoSpaceDE w:val="0"/>
              <w:autoSpaceDN w:val="0"/>
              <w:adjustRightInd w:val="0"/>
              <w:rPr>
                <w:sz w:val="20"/>
                <w:lang w:eastAsia="ja-JP"/>
              </w:rPr>
            </w:pPr>
          </w:p>
        </w:tc>
        <w:tc>
          <w:tcPr>
            <w:tcW w:w="884" w:type="pct"/>
            <w:vMerge w:val="restart"/>
            <w:vAlign w:val="center"/>
          </w:tcPr>
          <w:p w14:paraId="2D2589F8" w14:textId="77777777" w:rsidR="004E65A9" w:rsidRPr="00BD1AD5" w:rsidRDefault="004E65A9" w:rsidP="008600F3">
            <w:pPr>
              <w:keepNext/>
              <w:autoSpaceDE w:val="0"/>
              <w:autoSpaceDN w:val="0"/>
              <w:adjustRightInd w:val="0"/>
              <w:rPr>
                <w:sz w:val="20"/>
              </w:rPr>
            </w:pPr>
            <w:r>
              <w:rPr>
                <w:sz w:val="20"/>
              </w:rPr>
              <w:t>Vanlige</w:t>
            </w:r>
          </w:p>
        </w:tc>
        <w:tc>
          <w:tcPr>
            <w:tcW w:w="2894" w:type="pct"/>
            <w:vAlign w:val="center"/>
          </w:tcPr>
          <w:p w14:paraId="142AB7DA" w14:textId="77777777" w:rsidR="004E65A9" w:rsidRPr="00BD1AD5" w:rsidRDefault="004E65A9" w:rsidP="008600F3">
            <w:pPr>
              <w:keepNext/>
              <w:autoSpaceDE w:val="0"/>
              <w:autoSpaceDN w:val="0"/>
              <w:adjustRightInd w:val="0"/>
              <w:rPr>
                <w:sz w:val="20"/>
              </w:rPr>
            </w:pPr>
            <w:r>
              <w:rPr>
                <w:sz w:val="20"/>
              </w:rPr>
              <w:t xml:space="preserve">Oppkast* </w:t>
            </w:r>
          </w:p>
        </w:tc>
      </w:tr>
      <w:tr w:rsidR="004E65A9" w:rsidRPr="00BD1AD5" w14:paraId="3AE5E799" w14:textId="77777777" w:rsidTr="007A7892">
        <w:trPr>
          <w:cantSplit/>
          <w:trHeight w:val="20"/>
        </w:trPr>
        <w:tc>
          <w:tcPr>
            <w:tcW w:w="1222" w:type="pct"/>
            <w:vMerge/>
            <w:vAlign w:val="center"/>
          </w:tcPr>
          <w:p w14:paraId="205F7475" w14:textId="77777777" w:rsidR="004E65A9" w:rsidRPr="00BD1AD5" w:rsidRDefault="004E65A9" w:rsidP="008600F3">
            <w:pPr>
              <w:keepNext/>
              <w:autoSpaceDE w:val="0"/>
              <w:autoSpaceDN w:val="0"/>
              <w:adjustRightInd w:val="0"/>
              <w:rPr>
                <w:sz w:val="20"/>
                <w:lang w:eastAsia="ja-JP"/>
              </w:rPr>
            </w:pPr>
          </w:p>
        </w:tc>
        <w:tc>
          <w:tcPr>
            <w:tcW w:w="884" w:type="pct"/>
            <w:vMerge/>
            <w:vAlign w:val="center"/>
          </w:tcPr>
          <w:p w14:paraId="0903720B" w14:textId="77777777" w:rsidR="004E65A9" w:rsidRPr="00BD1AD5" w:rsidRDefault="004E65A9" w:rsidP="008600F3">
            <w:pPr>
              <w:keepNext/>
              <w:autoSpaceDE w:val="0"/>
              <w:autoSpaceDN w:val="0"/>
              <w:adjustRightInd w:val="0"/>
              <w:rPr>
                <w:sz w:val="20"/>
                <w:lang w:eastAsia="ja-JP"/>
              </w:rPr>
            </w:pPr>
          </w:p>
        </w:tc>
        <w:tc>
          <w:tcPr>
            <w:tcW w:w="2894" w:type="pct"/>
            <w:vAlign w:val="center"/>
          </w:tcPr>
          <w:p w14:paraId="643AB2B0" w14:textId="77777777" w:rsidR="004E65A9" w:rsidRPr="00BD1AD5" w:rsidRDefault="004E65A9" w:rsidP="008600F3">
            <w:pPr>
              <w:keepNext/>
              <w:autoSpaceDE w:val="0"/>
              <w:autoSpaceDN w:val="0"/>
              <w:adjustRightInd w:val="0"/>
              <w:rPr>
                <w:sz w:val="20"/>
              </w:rPr>
            </w:pPr>
            <w:r>
              <w:rPr>
                <w:sz w:val="20"/>
              </w:rPr>
              <w:t>Dyspepsi</w:t>
            </w:r>
          </w:p>
        </w:tc>
      </w:tr>
      <w:tr w:rsidR="004E65A9" w:rsidRPr="00BD1AD5" w14:paraId="0B133CFC" w14:textId="77777777" w:rsidTr="007A7892">
        <w:trPr>
          <w:cantSplit/>
          <w:trHeight w:val="20"/>
        </w:trPr>
        <w:tc>
          <w:tcPr>
            <w:tcW w:w="1222" w:type="pct"/>
            <w:vMerge/>
            <w:vAlign w:val="center"/>
          </w:tcPr>
          <w:p w14:paraId="20F2B45F" w14:textId="77777777" w:rsidR="004E65A9" w:rsidRPr="00BD1AD5" w:rsidRDefault="004E65A9" w:rsidP="008600F3">
            <w:pPr>
              <w:keepNext/>
              <w:autoSpaceDE w:val="0"/>
              <w:autoSpaceDN w:val="0"/>
              <w:adjustRightInd w:val="0"/>
              <w:rPr>
                <w:sz w:val="20"/>
                <w:lang w:eastAsia="ja-JP"/>
              </w:rPr>
            </w:pPr>
          </w:p>
        </w:tc>
        <w:tc>
          <w:tcPr>
            <w:tcW w:w="884" w:type="pct"/>
            <w:vMerge/>
            <w:vAlign w:val="center"/>
          </w:tcPr>
          <w:p w14:paraId="19FE678C" w14:textId="77777777" w:rsidR="004E65A9" w:rsidRPr="00BD1AD5" w:rsidRDefault="004E65A9" w:rsidP="008600F3">
            <w:pPr>
              <w:keepNext/>
              <w:autoSpaceDE w:val="0"/>
              <w:autoSpaceDN w:val="0"/>
              <w:adjustRightInd w:val="0"/>
              <w:rPr>
                <w:sz w:val="20"/>
                <w:lang w:eastAsia="ja-JP"/>
              </w:rPr>
            </w:pPr>
          </w:p>
        </w:tc>
        <w:tc>
          <w:tcPr>
            <w:tcW w:w="2894" w:type="pct"/>
            <w:vAlign w:val="center"/>
          </w:tcPr>
          <w:p w14:paraId="4FD720D4" w14:textId="77777777" w:rsidR="004E65A9" w:rsidRPr="00BD1AD5" w:rsidRDefault="004E65A9" w:rsidP="008600F3">
            <w:pPr>
              <w:keepNext/>
              <w:autoSpaceDE w:val="0"/>
              <w:autoSpaceDN w:val="0"/>
              <w:adjustRightInd w:val="0"/>
              <w:rPr>
                <w:sz w:val="20"/>
              </w:rPr>
            </w:pPr>
            <w:r>
              <w:rPr>
                <w:sz w:val="20"/>
              </w:rPr>
              <w:t>Hyppig avføring</w:t>
            </w:r>
          </w:p>
        </w:tc>
      </w:tr>
      <w:tr w:rsidR="004E65A9" w:rsidRPr="00BD1AD5" w14:paraId="147FB445" w14:textId="77777777" w:rsidTr="007A7892">
        <w:trPr>
          <w:cantSplit/>
          <w:trHeight w:val="20"/>
        </w:trPr>
        <w:tc>
          <w:tcPr>
            <w:tcW w:w="1222" w:type="pct"/>
            <w:vMerge/>
            <w:vAlign w:val="center"/>
          </w:tcPr>
          <w:p w14:paraId="7C174C76" w14:textId="77777777" w:rsidR="004E65A9" w:rsidRPr="00BD1AD5" w:rsidRDefault="004E65A9" w:rsidP="008600F3">
            <w:pPr>
              <w:keepNext/>
              <w:autoSpaceDE w:val="0"/>
              <w:autoSpaceDN w:val="0"/>
              <w:adjustRightInd w:val="0"/>
              <w:rPr>
                <w:sz w:val="20"/>
                <w:lang w:eastAsia="ja-JP"/>
              </w:rPr>
            </w:pPr>
          </w:p>
        </w:tc>
        <w:tc>
          <w:tcPr>
            <w:tcW w:w="884" w:type="pct"/>
            <w:vMerge/>
            <w:vAlign w:val="center"/>
          </w:tcPr>
          <w:p w14:paraId="24DD3E8F" w14:textId="77777777" w:rsidR="004E65A9" w:rsidRPr="00BD1AD5" w:rsidRDefault="004E65A9" w:rsidP="008600F3">
            <w:pPr>
              <w:keepNext/>
              <w:autoSpaceDE w:val="0"/>
              <w:autoSpaceDN w:val="0"/>
              <w:adjustRightInd w:val="0"/>
              <w:rPr>
                <w:sz w:val="20"/>
                <w:lang w:eastAsia="ja-JP"/>
              </w:rPr>
            </w:pPr>
          </w:p>
        </w:tc>
        <w:tc>
          <w:tcPr>
            <w:tcW w:w="2894" w:type="pct"/>
            <w:vAlign w:val="center"/>
          </w:tcPr>
          <w:p w14:paraId="56B5B8CF" w14:textId="77777777" w:rsidR="004E65A9" w:rsidRPr="00BD1AD5" w:rsidRDefault="004E65A9" w:rsidP="008600F3">
            <w:pPr>
              <w:keepNext/>
              <w:autoSpaceDE w:val="0"/>
              <w:autoSpaceDN w:val="0"/>
              <w:adjustRightInd w:val="0"/>
              <w:rPr>
                <w:sz w:val="20"/>
              </w:rPr>
            </w:pPr>
            <w:r>
              <w:rPr>
                <w:sz w:val="20"/>
              </w:rPr>
              <w:t>Smerter i øvre abdomen*</w:t>
            </w:r>
          </w:p>
        </w:tc>
      </w:tr>
      <w:tr w:rsidR="004E65A9" w:rsidRPr="00BD1AD5" w14:paraId="203EBA34" w14:textId="77777777" w:rsidTr="007A7892">
        <w:trPr>
          <w:cantSplit/>
          <w:trHeight w:val="20"/>
        </w:trPr>
        <w:tc>
          <w:tcPr>
            <w:tcW w:w="1222" w:type="pct"/>
            <w:vMerge/>
            <w:vAlign w:val="center"/>
          </w:tcPr>
          <w:p w14:paraId="02337118" w14:textId="77777777" w:rsidR="004E65A9" w:rsidRPr="00BD1AD5" w:rsidRDefault="004E65A9" w:rsidP="008600F3">
            <w:pPr>
              <w:keepNext/>
              <w:autoSpaceDE w:val="0"/>
              <w:autoSpaceDN w:val="0"/>
              <w:adjustRightInd w:val="0"/>
              <w:rPr>
                <w:sz w:val="20"/>
                <w:lang w:eastAsia="ja-JP"/>
              </w:rPr>
            </w:pPr>
          </w:p>
        </w:tc>
        <w:tc>
          <w:tcPr>
            <w:tcW w:w="884" w:type="pct"/>
            <w:vMerge/>
            <w:vAlign w:val="center"/>
          </w:tcPr>
          <w:p w14:paraId="0A8657C6" w14:textId="77777777" w:rsidR="004E65A9" w:rsidRPr="00BD1AD5" w:rsidRDefault="004E65A9" w:rsidP="008600F3">
            <w:pPr>
              <w:keepNext/>
              <w:autoSpaceDE w:val="0"/>
              <w:autoSpaceDN w:val="0"/>
              <w:adjustRightInd w:val="0"/>
              <w:rPr>
                <w:sz w:val="20"/>
                <w:lang w:eastAsia="ja-JP"/>
              </w:rPr>
            </w:pPr>
          </w:p>
        </w:tc>
        <w:tc>
          <w:tcPr>
            <w:tcW w:w="2894" w:type="pct"/>
            <w:vAlign w:val="center"/>
          </w:tcPr>
          <w:p w14:paraId="5EE2074B" w14:textId="77777777" w:rsidR="004E65A9" w:rsidRPr="00BD1AD5" w:rsidRDefault="004E65A9" w:rsidP="008600F3">
            <w:pPr>
              <w:keepNext/>
              <w:autoSpaceDE w:val="0"/>
              <w:autoSpaceDN w:val="0"/>
              <w:adjustRightInd w:val="0"/>
              <w:rPr>
                <w:sz w:val="20"/>
              </w:rPr>
            </w:pPr>
            <w:r>
              <w:rPr>
                <w:sz w:val="20"/>
              </w:rPr>
              <w:t>Gastroøsofagal reflukssykdom</w:t>
            </w:r>
          </w:p>
        </w:tc>
      </w:tr>
      <w:tr w:rsidR="004E65A9" w:rsidRPr="00BD1AD5" w14:paraId="08ABA87B" w14:textId="77777777" w:rsidTr="007A7892">
        <w:trPr>
          <w:cantSplit/>
          <w:trHeight w:val="20"/>
        </w:trPr>
        <w:tc>
          <w:tcPr>
            <w:tcW w:w="1222" w:type="pct"/>
            <w:vMerge/>
            <w:vAlign w:val="center"/>
          </w:tcPr>
          <w:p w14:paraId="217A3203" w14:textId="77777777" w:rsidR="004E65A9" w:rsidRPr="00BD1AD5" w:rsidRDefault="004E65A9" w:rsidP="008600F3">
            <w:pPr>
              <w:autoSpaceDE w:val="0"/>
              <w:autoSpaceDN w:val="0"/>
              <w:adjustRightInd w:val="0"/>
              <w:rPr>
                <w:sz w:val="20"/>
                <w:lang w:eastAsia="ja-JP"/>
              </w:rPr>
            </w:pPr>
          </w:p>
        </w:tc>
        <w:tc>
          <w:tcPr>
            <w:tcW w:w="884" w:type="pct"/>
            <w:vAlign w:val="center"/>
          </w:tcPr>
          <w:p w14:paraId="67DD5DC0" w14:textId="77777777" w:rsidR="004E65A9" w:rsidRPr="00BD1AD5" w:rsidRDefault="004E65A9" w:rsidP="008600F3">
            <w:pPr>
              <w:autoSpaceDE w:val="0"/>
              <w:autoSpaceDN w:val="0"/>
              <w:adjustRightInd w:val="0"/>
              <w:rPr>
                <w:sz w:val="20"/>
              </w:rPr>
            </w:pPr>
            <w:r>
              <w:rPr>
                <w:sz w:val="20"/>
              </w:rPr>
              <w:t>Mindre vanlige</w:t>
            </w:r>
          </w:p>
        </w:tc>
        <w:tc>
          <w:tcPr>
            <w:tcW w:w="2894" w:type="pct"/>
            <w:vAlign w:val="center"/>
          </w:tcPr>
          <w:p w14:paraId="32628596" w14:textId="77777777" w:rsidR="004E65A9" w:rsidRPr="00BD1AD5" w:rsidRDefault="004E65A9" w:rsidP="008600F3">
            <w:pPr>
              <w:autoSpaceDE w:val="0"/>
              <w:autoSpaceDN w:val="0"/>
              <w:adjustRightInd w:val="0"/>
              <w:rPr>
                <w:sz w:val="20"/>
              </w:rPr>
            </w:pPr>
            <w:r>
              <w:rPr>
                <w:sz w:val="20"/>
              </w:rPr>
              <w:t>Gastrointestinal blødning</w:t>
            </w:r>
          </w:p>
        </w:tc>
      </w:tr>
      <w:tr w:rsidR="004E65A9" w:rsidRPr="00BD1AD5" w14:paraId="277ED1BE" w14:textId="77777777" w:rsidTr="007A7892">
        <w:trPr>
          <w:cantSplit/>
          <w:trHeight w:val="20"/>
        </w:trPr>
        <w:tc>
          <w:tcPr>
            <w:tcW w:w="1222" w:type="pct"/>
            <w:vMerge w:val="restart"/>
            <w:vAlign w:val="center"/>
          </w:tcPr>
          <w:p w14:paraId="3C6B3A1F" w14:textId="77777777" w:rsidR="004E65A9" w:rsidRPr="00BD1AD5" w:rsidRDefault="004E65A9" w:rsidP="008600F3">
            <w:pPr>
              <w:keepNext/>
              <w:autoSpaceDE w:val="0"/>
              <w:autoSpaceDN w:val="0"/>
              <w:adjustRightInd w:val="0"/>
              <w:rPr>
                <w:sz w:val="20"/>
              </w:rPr>
            </w:pPr>
            <w:r>
              <w:rPr>
                <w:sz w:val="20"/>
              </w:rPr>
              <w:t>Hud- og underhudssykdommer</w:t>
            </w:r>
          </w:p>
        </w:tc>
        <w:tc>
          <w:tcPr>
            <w:tcW w:w="884" w:type="pct"/>
            <w:vMerge w:val="restart"/>
            <w:vAlign w:val="center"/>
          </w:tcPr>
          <w:p w14:paraId="78A17D04" w14:textId="77777777" w:rsidR="004E65A9" w:rsidRPr="00BD1AD5" w:rsidRDefault="004E65A9" w:rsidP="008600F3">
            <w:pPr>
              <w:keepNext/>
              <w:autoSpaceDE w:val="0"/>
              <w:autoSpaceDN w:val="0"/>
              <w:adjustRightInd w:val="0"/>
              <w:rPr>
                <w:sz w:val="20"/>
              </w:rPr>
            </w:pPr>
            <w:r>
              <w:rPr>
                <w:sz w:val="20"/>
              </w:rPr>
              <w:t>Mindre vanlige</w:t>
            </w:r>
          </w:p>
        </w:tc>
        <w:tc>
          <w:tcPr>
            <w:tcW w:w="2894" w:type="pct"/>
            <w:vAlign w:val="center"/>
          </w:tcPr>
          <w:p w14:paraId="664606C6" w14:textId="77777777" w:rsidR="004E65A9" w:rsidRPr="00BD1AD5" w:rsidRDefault="004E65A9" w:rsidP="008600F3">
            <w:pPr>
              <w:keepNext/>
              <w:autoSpaceDE w:val="0"/>
              <w:autoSpaceDN w:val="0"/>
              <w:adjustRightInd w:val="0"/>
              <w:rPr>
                <w:sz w:val="20"/>
              </w:rPr>
            </w:pPr>
            <w:r>
              <w:rPr>
                <w:sz w:val="20"/>
              </w:rPr>
              <w:t>Utslett</w:t>
            </w:r>
          </w:p>
        </w:tc>
      </w:tr>
      <w:tr w:rsidR="004E65A9" w:rsidRPr="00BD1AD5" w14:paraId="0789D922" w14:textId="77777777" w:rsidTr="007A7892">
        <w:trPr>
          <w:cantSplit/>
          <w:trHeight w:val="20"/>
        </w:trPr>
        <w:tc>
          <w:tcPr>
            <w:tcW w:w="1222" w:type="pct"/>
            <w:vMerge/>
            <w:vAlign w:val="center"/>
          </w:tcPr>
          <w:p w14:paraId="47412A82" w14:textId="77777777" w:rsidR="004E65A9" w:rsidRPr="00BD1AD5" w:rsidRDefault="004E65A9" w:rsidP="008600F3">
            <w:pPr>
              <w:keepNext/>
              <w:autoSpaceDE w:val="0"/>
              <w:autoSpaceDN w:val="0"/>
              <w:adjustRightInd w:val="0"/>
              <w:rPr>
                <w:sz w:val="20"/>
                <w:lang w:eastAsia="ja-JP"/>
              </w:rPr>
            </w:pPr>
          </w:p>
        </w:tc>
        <w:tc>
          <w:tcPr>
            <w:tcW w:w="884" w:type="pct"/>
            <w:vMerge/>
            <w:vAlign w:val="center"/>
          </w:tcPr>
          <w:p w14:paraId="2A0897D1" w14:textId="77777777" w:rsidR="004E65A9" w:rsidRPr="00BD1AD5" w:rsidRDefault="004E65A9" w:rsidP="008600F3">
            <w:pPr>
              <w:keepNext/>
              <w:autoSpaceDE w:val="0"/>
              <w:autoSpaceDN w:val="0"/>
              <w:adjustRightInd w:val="0"/>
              <w:rPr>
                <w:sz w:val="20"/>
                <w:lang w:eastAsia="ja-JP"/>
              </w:rPr>
            </w:pPr>
          </w:p>
        </w:tc>
        <w:tc>
          <w:tcPr>
            <w:tcW w:w="2894" w:type="pct"/>
            <w:vAlign w:val="center"/>
          </w:tcPr>
          <w:p w14:paraId="26B4F78E" w14:textId="77777777" w:rsidR="004E65A9" w:rsidRPr="00BD1AD5" w:rsidRDefault="004E65A9" w:rsidP="008600F3">
            <w:pPr>
              <w:keepNext/>
              <w:autoSpaceDE w:val="0"/>
              <w:autoSpaceDN w:val="0"/>
              <w:adjustRightInd w:val="0"/>
              <w:rPr>
                <w:sz w:val="20"/>
              </w:rPr>
            </w:pPr>
            <w:r>
              <w:rPr>
                <w:sz w:val="20"/>
              </w:rPr>
              <w:t>Urticaria</w:t>
            </w:r>
          </w:p>
        </w:tc>
      </w:tr>
      <w:tr w:rsidR="004E65A9" w:rsidRPr="00BD1AD5" w14:paraId="180C1A74" w14:textId="77777777" w:rsidTr="007A7892">
        <w:trPr>
          <w:cantSplit/>
          <w:trHeight w:val="20"/>
        </w:trPr>
        <w:tc>
          <w:tcPr>
            <w:tcW w:w="1222" w:type="pct"/>
            <w:vMerge/>
            <w:vAlign w:val="center"/>
          </w:tcPr>
          <w:p w14:paraId="4E5B98F6" w14:textId="77777777" w:rsidR="004E65A9" w:rsidRPr="00BD1AD5" w:rsidRDefault="004E65A9" w:rsidP="008600F3">
            <w:pPr>
              <w:autoSpaceDE w:val="0"/>
              <w:autoSpaceDN w:val="0"/>
              <w:adjustRightInd w:val="0"/>
              <w:rPr>
                <w:sz w:val="20"/>
                <w:lang w:eastAsia="ja-JP"/>
              </w:rPr>
            </w:pPr>
          </w:p>
        </w:tc>
        <w:tc>
          <w:tcPr>
            <w:tcW w:w="884" w:type="pct"/>
            <w:vAlign w:val="center"/>
          </w:tcPr>
          <w:p w14:paraId="2B07E445" w14:textId="77777777" w:rsidR="004E65A9" w:rsidRPr="00BD1AD5" w:rsidRDefault="004E65A9" w:rsidP="008600F3">
            <w:pPr>
              <w:autoSpaceDE w:val="0"/>
              <w:autoSpaceDN w:val="0"/>
              <w:adjustRightInd w:val="0"/>
              <w:rPr>
                <w:sz w:val="20"/>
              </w:rPr>
            </w:pPr>
            <w:r>
              <w:rPr>
                <w:sz w:val="20"/>
              </w:rPr>
              <w:t>Ikke kjent</w:t>
            </w:r>
          </w:p>
        </w:tc>
        <w:tc>
          <w:tcPr>
            <w:tcW w:w="2894" w:type="pct"/>
            <w:vAlign w:val="center"/>
          </w:tcPr>
          <w:p w14:paraId="68CCE8CE" w14:textId="77777777" w:rsidR="004E65A9" w:rsidRPr="00BD1AD5" w:rsidRDefault="004E65A9" w:rsidP="008600F3">
            <w:pPr>
              <w:autoSpaceDE w:val="0"/>
              <w:autoSpaceDN w:val="0"/>
              <w:adjustRightInd w:val="0"/>
              <w:rPr>
                <w:sz w:val="20"/>
              </w:rPr>
            </w:pPr>
            <w:r>
              <w:rPr>
                <w:sz w:val="20"/>
              </w:rPr>
              <w:t>Angioødem</w:t>
            </w:r>
          </w:p>
        </w:tc>
      </w:tr>
      <w:tr w:rsidR="004E65A9" w:rsidRPr="00BD1AD5" w14:paraId="22A7DDDF" w14:textId="77777777" w:rsidTr="007A7892">
        <w:trPr>
          <w:cantSplit/>
          <w:trHeight w:val="20"/>
        </w:trPr>
        <w:tc>
          <w:tcPr>
            <w:tcW w:w="1222" w:type="pct"/>
            <w:vAlign w:val="center"/>
          </w:tcPr>
          <w:p w14:paraId="235F9209" w14:textId="77777777" w:rsidR="004E65A9" w:rsidRPr="00BD1AD5" w:rsidRDefault="004E65A9" w:rsidP="008600F3">
            <w:pPr>
              <w:autoSpaceDE w:val="0"/>
              <w:autoSpaceDN w:val="0"/>
              <w:adjustRightInd w:val="0"/>
              <w:rPr>
                <w:sz w:val="20"/>
              </w:rPr>
            </w:pPr>
            <w:r>
              <w:rPr>
                <w:sz w:val="20"/>
              </w:rPr>
              <w:t>Sykdommer i muskler, bindevev og skjelett</w:t>
            </w:r>
          </w:p>
        </w:tc>
        <w:tc>
          <w:tcPr>
            <w:tcW w:w="884" w:type="pct"/>
            <w:vAlign w:val="center"/>
          </w:tcPr>
          <w:p w14:paraId="24721819" w14:textId="77777777" w:rsidR="004E65A9" w:rsidRPr="00BD1AD5" w:rsidRDefault="004E65A9" w:rsidP="008600F3">
            <w:pPr>
              <w:autoSpaceDE w:val="0"/>
              <w:autoSpaceDN w:val="0"/>
              <w:adjustRightInd w:val="0"/>
              <w:rPr>
                <w:sz w:val="20"/>
              </w:rPr>
            </w:pPr>
            <w:r>
              <w:rPr>
                <w:sz w:val="20"/>
              </w:rPr>
              <w:t>Vanlige</w:t>
            </w:r>
          </w:p>
        </w:tc>
        <w:tc>
          <w:tcPr>
            <w:tcW w:w="2894" w:type="pct"/>
            <w:vAlign w:val="center"/>
          </w:tcPr>
          <w:p w14:paraId="48132CBB" w14:textId="77777777" w:rsidR="004E65A9" w:rsidRPr="00BD1AD5" w:rsidRDefault="004E65A9" w:rsidP="008600F3">
            <w:pPr>
              <w:autoSpaceDE w:val="0"/>
              <w:autoSpaceDN w:val="0"/>
              <w:adjustRightInd w:val="0"/>
              <w:rPr>
                <w:sz w:val="20"/>
              </w:rPr>
            </w:pPr>
            <w:r>
              <w:rPr>
                <w:sz w:val="20"/>
              </w:rPr>
              <w:t>Ryggsmerter*</w:t>
            </w:r>
          </w:p>
        </w:tc>
      </w:tr>
      <w:tr w:rsidR="004E65A9" w:rsidRPr="00BD1AD5" w14:paraId="1A22F3AE" w14:textId="77777777" w:rsidTr="007A7892">
        <w:trPr>
          <w:cantSplit/>
          <w:trHeight w:val="20"/>
        </w:trPr>
        <w:tc>
          <w:tcPr>
            <w:tcW w:w="1222" w:type="pct"/>
            <w:vAlign w:val="center"/>
          </w:tcPr>
          <w:p w14:paraId="1CF788FC" w14:textId="77777777" w:rsidR="004E65A9" w:rsidRPr="00BD1AD5" w:rsidRDefault="004E65A9" w:rsidP="008600F3">
            <w:pPr>
              <w:keepNext/>
              <w:autoSpaceDE w:val="0"/>
              <w:autoSpaceDN w:val="0"/>
              <w:adjustRightInd w:val="0"/>
              <w:rPr>
                <w:sz w:val="20"/>
              </w:rPr>
            </w:pPr>
            <w:r>
              <w:rPr>
                <w:sz w:val="20"/>
              </w:rPr>
              <w:t>Generelle lidelser og reaksjoner på administrasjonsstedet</w:t>
            </w:r>
          </w:p>
        </w:tc>
        <w:tc>
          <w:tcPr>
            <w:tcW w:w="884" w:type="pct"/>
            <w:vAlign w:val="center"/>
          </w:tcPr>
          <w:p w14:paraId="5F4EDE46" w14:textId="77777777" w:rsidR="004E65A9" w:rsidRPr="00BD1AD5" w:rsidRDefault="004E65A9" w:rsidP="008600F3">
            <w:pPr>
              <w:keepNext/>
              <w:autoSpaceDE w:val="0"/>
              <w:autoSpaceDN w:val="0"/>
              <w:adjustRightInd w:val="0"/>
              <w:rPr>
                <w:sz w:val="20"/>
              </w:rPr>
            </w:pPr>
            <w:r>
              <w:rPr>
                <w:sz w:val="20"/>
              </w:rPr>
              <w:t>Vanlige</w:t>
            </w:r>
          </w:p>
        </w:tc>
        <w:tc>
          <w:tcPr>
            <w:tcW w:w="2894" w:type="pct"/>
            <w:vAlign w:val="center"/>
          </w:tcPr>
          <w:p w14:paraId="6FB1FC24" w14:textId="77777777" w:rsidR="004E65A9" w:rsidRPr="00BD1AD5" w:rsidRDefault="004E65A9" w:rsidP="008600F3">
            <w:pPr>
              <w:keepNext/>
              <w:autoSpaceDE w:val="0"/>
              <w:autoSpaceDN w:val="0"/>
              <w:adjustRightInd w:val="0"/>
              <w:rPr>
                <w:sz w:val="20"/>
              </w:rPr>
            </w:pPr>
            <w:r>
              <w:rPr>
                <w:sz w:val="20"/>
              </w:rPr>
              <w:t>Fatigue (tretthet)</w:t>
            </w:r>
          </w:p>
        </w:tc>
      </w:tr>
      <w:tr w:rsidR="004E65A9" w:rsidRPr="00BD1AD5" w14:paraId="6A567E7D" w14:textId="77777777" w:rsidTr="007A7892">
        <w:trPr>
          <w:cantSplit/>
          <w:trHeight w:val="20"/>
        </w:trPr>
        <w:tc>
          <w:tcPr>
            <w:tcW w:w="1222" w:type="pct"/>
            <w:vAlign w:val="center"/>
          </w:tcPr>
          <w:p w14:paraId="49EB24C4" w14:textId="77777777" w:rsidR="004E65A9" w:rsidRPr="00BD1AD5" w:rsidRDefault="004E65A9" w:rsidP="008600F3">
            <w:pPr>
              <w:keepNext/>
              <w:autoSpaceDE w:val="0"/>
              <w:autoSpaceDN w:val="0"/>
              <w:adjustRightInd w:val="0"/>
              <w:rPr>
                <w:sz w:val="20"/>
              </w:rPr>
            </w:pPr>
            <w:r>
              <w:rPr>
                <w:sz w:val="20"/>
              </w:rPr>
              <w:t>Undersøkelser</w:t>
            </w:r>
          </w:p>
        </w:tc>
        <w:tc>
          <w:tcPr>
            <w:tcW w:w="884" w:type="pct"/>
            <w:vAlign w:val="center"/>
          </w:tcPr>
          <w:p w14:paraId="5CEE42C7" w14:textId="77777777" w:rsidR="004E65A9" w:rsidRPr="00BD1AD5" w:rsidRDefault="004E65A9" w:rsidP="008600F3">
            <w:pPr>
              <w:keepNext/>
              <w:autoSpaceDE w:val="0"/>
              <w:autoSpaceDN w:val="0"/>
              <w:adjustRightInd w:val="0"/>
              <w:rPr>
                <w:sz w:val="20"/>
              </w:rPr>
            </w:pPr>
            <w:r>
              <w:rPr>
                <w:sz w:val="20"/>
              </w:rPr>
              <w:t>Mindre vanlige</w:t>
            </w:r>
          </w:p>
        </w:tc>
        <w:tc>
          <w:tcPr>
            <w:tcW w:w="2894" w:type="pct"/>
            <w:vAlign w:val="center"/>
          </w:tcPr>
          <w:p w14:paraId="3B84A263" w14:textId="77777777" w:rsidR="004E65A9" w:rsidRPr="00BD1AD5" w:rsidRDefault="004E65A9" w:rsidP="008600F3">
            <w:pPr>
              <w:keepNext/>
              <w:autoSpaceDE w:val="0"/>
              <w:autoSpaceDN w:val="0"/>
              <w:adjustRightInd w:val="0"/>
              <w:rPr>
                <w:sz w:val="20"/>
              </w:rPr>
            </w:pPr>
            <w:r>
              <w:rPr>
                <w:sz w:val="20"/>
              </w:rPr>
              <w:t>Vekttap</w:t>
            </w:r>
          </w:p>
        </w:tc>
      </w:tr>
    </w:tbl>
    <w:p w14:paraId="133F690A" w14:textId="77777777" w:rsidR="004E65A9" w:rsidRPr="00BD1AD5" w:rsidRDefault="004E65A9" w:rsidP="003F09AA">
      <w:pPr>
        <w:keepNext/>
        <w:rPr>
          <w:sz w:val="18"/>
          <w:szCs w:val="18"/>
        </w:rPr>
      </w:pPr>
      <w:r>
        <w:rPr>
          <w:sz w:val="18"/>
        </w:rPr>
        <w:t>*Minst én av disse bivirkningene ble rapportert som alvorlig</w:t>
      </w:r>
    </w:p>
    <w:p w14:paraId="02AD6021" w14:textId="77777777" w:rsidR="004E65A9" w:rsidRPr="00BD1AD5" w:rsidRDefault="004E65A9" w:rsidP="003F09AA">
      <w:pPr>
        <w:rPr>
          <w:sz w:val="18"/>
          <w:szCs w:val="18"/>
        </w:rPr>
      </w:pPr>
      <w:r>
        <w:rPr>
          <w:sz w:val="18"/>
          <w:vertAlign w:val="superscript"/>
        </w:rPr>
        <w:t>a</w:t>
      </w:r>
      <w:r>
        <w:rPr>
          <w:sz w:val="18"/>
        </w:rPr>
        <w:t xml:space="preserve"> Frekvens rapportert som vanlige ved PSA og PSOR</w:t>
      </w:r>
    </w:p>
    <w:p w14:paraId="504D8E01" w14:textId="77777777" w:rsidR="004E65A9" w:rsidRPr="00BD1AD5" w:rsidRDefault="004E65A9" w:rsidP="003F09AA">
      <w:pPr>
        <w:rPr>
          <w:u w:val="single"/>
        </w:rPr>
      </w:pPr>
    </w:p>
    <w:p w14:paraId="4A4DA929" w14:textId="77777777" w:rsidR="004E65A9" w:rsidRPr="00BD1AD5" w:rsidRDefault="004E65A9" w:rsidP="003F09AA">
      <w:pPr>
        <w:keepNext/>
        <w:rPr>
          <w:u w:val="single"/>
        </w:rPr>
      </w:pPr>
      <w:r>
        <w:rPr>
          <w:u w:val="single"/>
        </w:rPr>
        <w:t>Beskrivelse av utvalgte bivirkninger</w:t>
      </w:r>
    </w:p>
    <w:p w14:paraId="205F70D9" w14:textId="77777777" w:rsidR="004E65A9" w:rsidRPr="00BD1AD5" w:rsidRDefault="004E65A9" w:rsidP="003F09AA">
      <w:pPr>
        <w:keepNext/>
        <w:autoSpaceDE w:val="0"/>
        <w:autoSpaceDN w:val="0"/>
        <w:adjustRightInd w:val="0"/>
        <w:rPr>
          <w:rFonts w:eastAsia="SimSun"/>
          <w:lang w:eastAsia="ja-JP"/>
        </w:rPr>
      </w:pPr>
    </w:p>
    <w:p w14:paraId="0878FE57" w14:textId="77777777" w:rsidR="004E65A9" w:rsidRPr="00BD1AD5" w:rsidRDefault="004E65A9" w:rsidP="003F09AA">
      <w:pPr>
        <w:keepNext/>
        <w:autoSpaceDE w:val="0"/>
        <w:autoSpaceDN w:val="0"/>
        <w:adjustRightInd w:val="0"/>
        <w:rPr>
          <w:i/>
          <w:noProof/>
          <w:u w:val="single"/>
        </w:rPr>
      </w:pPr>
      <w:r>
        <w:rPr>
          <w:i/>
          <w:u w:val="single"/>
        </w:rPr>
        <w:t>Psykiatriske lidelser</w:t>
      </w:r>
    </w:p>
    <w:p w14:paraId="24C20A5A" w14:textId="77777777" w:rsidR="004E65A9" w:rsidRPr="00BD1AD5" w:rsidRDefault="004E65A9" w:rsidP="003F09AA">
      <w:pPr>
        <w:autoSpaceDE w:val="0"/>
        <w:autoSpaceDN w:val="0"/>
        <w:adjustRightInd w:val="0"/>
        <w:rPr>
          <w:rFonts w:eastAsia="SimSun"/>
        </w:rPr>
      </w:pPr>
      <w:r>
        <w:t>I kliniske studier og erfaring etter markedsføring ble mindre vanlige tilfeller av suicidal ideasjon og atferd rapportert, mens utført selvmord ble rapportert etter markedsføring. Pasienter og omsorgspersoner skal instrueres om å varsle forskriver om enhver suicidal ideasjon (se pkt. 4.4).</w:t>
      </w:r>
    </w:p>
    <w:p w14:paraId="4313E1C2" w14:textId="77777777" w:rsidR="004E65A9" w:rsidRPr="000B27C9" w:rsidRDefault="004E65A9" w:rsidP="003F09AA">
      <w:pPr>
        <w:pStyle w:val="C-BodyText"/>
        <w:tabs>
          <w:tab w:val="left" w:pos="180"/>
          <w:tab w:val="left" w:pos="4140"/>
        </w:tabs>
        <w:spacing w:before="0" w:after="0" w:line="240" w:lineRule="auto"/>
        <w:rPr>
          <w:bCs/>
          <w:i/>
          <w:sz w:val="22"/>
          <w:szCs w:val="22"/>
          <w:u w:val="single"/>
        </w:rPr>
      </w:pPr>
    </w:p>
    <w:p w14:paraId="6CC898C1" w14:textId="77777777" w:rsidR="004E65A9" w:rsidRPr="00BD1AD5" w:rsidRDefault="004E65A9" w:rsidP="003F09AA">
      <w:pPr>
        <w:pStyle w:val="C-BodyText"/>
        <w:keepNext/>
        <w:tabs>
          <w:tab w:val="left" w:pos="180"/>
          <w:tab w:val="left" w:pos="4140"/>
        </w:tabs>
        <w:spacing w:before="0" w:after="0" w:line="240" w:lineRule="auto"/>
        <w:rPr>
          <w:bCs/>
          <w:i/>
          <w:sz w:val="22"/>
          <w:szCs w:val="22"/>
          <w:u w:val="single"/>
        </w:rPr>
      </w:pPr>
      <w:r>
        <w:rPr>
          <w:i/>
          <w:sz w:val="22"/>
          <w:u w:val="single"/>
        </w:rPr>
        <w:t>Vekttap</w:t>
      </w:r>
    </w:p>
    <w:p w14:paraId="669916AD" w14:textId="77777777" w:rsidR="004E65A9" w:rsidRPr="00BD1AD5" w:rsidRDefault="004E65A9" w:rsidP="003F09AA">
      <w:r>
        <w:t>Pasientens vekt ble målt rutinemessig i kliniske studier. Gjennomsnittlig observert vekttap hos voksne PsA- og PSOR</w:t>
      </w:r>
      <w:r>
        <w:noBreakHyphen/>
        <w:t>pasienter behandlet i inntil 52 uker med apremilast var 1,99 kg. Totalt 14,3 % av pasientene som fikk apremilast hadde et observert vekttap på 5</w:t>
      </w:r>
      <w:r>
        <w:noBreakHyphen/>
        <w:t>10 %, mens 5,7 % av pasientene som fikk apremilast hadde observert vekttap over 10 %. Ingen av disse pasientene hadde åpenbare kliniske følger av vekttapet. Totalt 0,1 % av pasientene behandlet med apremilast seponerte som følge av bivirkningen vekttap. Gjennomsnittlig observert vekttap hos voksne Behcets sykdom</w:t>
      </w:r>
      <w:r>
        <w:noBreakHyphen/>
        <w:t>pasienter behandlet med apremilast i 52 uker var 0,52 kg. Totalt 11,8 % av pasientene som mottok apremilast hadde observert et vekttap på mellom 5</w:t>
      </w:r>
      <w:r>
        <w:noBreakHyphen/>
        <w:t>10 %, mens 3,8 % av pasientene som mottok apremilast hadde observert et vekttap større enn 10 %. Ingen av disse pasientene har åpenbare kliniske konsekvenser som følge av vekttapet. Ingen av pasientene avbrøt studien grunnet vekttap som bivirkning.</w:t>
      </w:r>
    </w:p>
    <w:p w14:paraId="1A07E0B6" w14:textId="77777777" w:rsidR="004E65A9" w:rsidRPr="00BD1AD5" w:rsidRDefault="004E65A9" w:rsidP="003F09AA"/>
    <w:p w14:paraId="3B44753E" w14:textId="77777777" w:rsidR="004E65A9" w:rsidRPr="00BD1AD5" w:rsidRDefault="004E65A9" w:rsidP="003F09AA">
      <w:r>
        <w:t>Se ytterligere advarsel i pkt. 4.4 for pasienter som er undervektige ved behandlingsstart.</w:t>
      </w:r>
    </w:p>
    <w:p w14:paraId="4C529E2B" w14:textId="77777777" w:rsidR="004E65A9" w:rsidRPr="00BD1AD5" w:rsidRDefault="004E65A9" w:rsidP="003F09AA"/>
    <w:p w14:paraId="188ABEE0" w14:textId="77777777" w:rsidR="004E65A9" w:rsidRPr="00BD1AD5" w:rsidRDefault="004E65A9" w:rsidP="003F09AA">
      <w:pPr>
        <w:keepNext/>
        <w:rPr>
          <w:u w:val="single"/>
        </w:rPr>
      </w:pPr>
      <w:r>
        <w:rPr>
          <w:u w:val="single"/>
        </w:rPr>
        <w:t>Spesielle populasjoner</w:t>
      </w:r>
    </w:p>
    <w:p w14:paraId="1DC95664" w14:textId="77777777" w:rsidR="004E65A9" w:rsidRPr="000B27C9" w:rsidRDefault="004E65A9" w:rsidP="003F09AA">
      <w:pPr>
        <w:pStyle w:val="C-BodyText"/>
        <w:keepNext/>
        <w:spacing w:before="0" w:after="0" w:line="240" w:lineRule="auto"/>
        <w:rPr>
          <w:i/>
          <w:sz w:val="22"/>
          <w:szCs w:val="22"/>
          <w:u w:val="single"/>
        </w:rPr>
      </w:pPr>
    </w:p>
    <w:p w14:paraId="50040AF3" w14:textId="77777777" w:rsidR="004E65A9" w:rsidRPr="00BD1AD5" w:rsidRDefault="004E65A9" w:rsidP="003F09AA">
      <w:pPr>
        <w:pStyle w:val="C-BodyText"/>
        <w:keepNext/>
        <w:spacing w:before="0" w:after="0" w:line="240" w:lineRule="auto"/>
        <w:rPr>
          <w:i/>
          <w:sz w:val="22"/>
          <w:szCs w:val="22"/>
          <w:u w:val="single"/>
        </w:rPr>
      </w:pPr>
      <w:r>
        <w:rPr>
          <w:i/>
          <w:sz w:val="22"/>
          <w:u w:val="single"/>
        </w:rPr>
        <w:t>Eldre pasienter</w:t>
      </w:r>
    </w:p>
    <w:p w14:paraId="4624F733" w14:textId="77777777" w:rsidR="004E65A9" w:rsidRPr="00BD1AD5" w:rsidRDefault="004E65A9" w:rsidP="003F09AA">
      <w:pPr>
        <w:autoSpaceDE w:val="0"/>
        <w:autoSpaceDN w:val="0"/>
      </w:pPr>
      <w:r>
        <w:t>Erfaring etter markedsføring tyder på at eldre pasienter ≥ 65 år kan ha høyere risiko for komplikasjoner med alvorlig diaré, kvalme og oppkast (se pkt. 4.4).</w:t>
      </w:r>
    </w:p>
    <w:p w14:paraId="132C4116" w14:textId="77777777" w:rsidR="004E65A9" w:rsidRPr="00BD1AD5" w:rsidRDefault="004E65A9" w:rsidP="003F09AA"/>
    <w:p w14:paraId="23C9AF80" w14:textId="77777777" w:rsidR="004E65A9" w:rsidRPr="00BD1AD5" w:rsidRDefault="004E65A9" w:rsidP="003F09AA">
      <w:pPr>
        <w:keepNext/>
        <w:rPr>
          <w:i/>
          <w:u w:val="single"/>
        </w:rPr>
      </w:pPr>
      <w:r>
        <w:rPr>
          <w:i/>
          <w:u w:val="single"/>
        </w:rPr>
        <w:t>Pasienter med nedsatt leverfunksjon</w:t>
      </w:r>
    </w:p>
    <w:p w14:paraId="0B5E986C" w14:textId="77777777" w:rsidR="004E65A9" w:rsidRPr="00BD1AD5" w:rsidRDefault="004E65A9" w:rsidP="003F09AA">
      <w:r>
        <w:t>Sikkerheten av apremilast ble ikke undersøkt hos PsA-,PSOR- eller Behcets sykdom</w:t>
      </w:r>
      <w:r>
        <w:noBreakHyphen/>
        <w:t>pasienter med nedsatt leverfunksjon.</w:t>
      </w:r>
    </w:p>
    <w:p w14:paraId="470A0F52" w14:textId="77777777" w:rsidR="004E65A9" w:rsidRPr="00BD1AD5" w:rsidRDefault="004E65A9" w:rsidP="003F09AA">
      <w:pPr>
        <w:rPr>
          <w:rFonts w:eastAsia="SimSun"/>
        </w:rPr>
      </w:pPr>
    </w:p>
    <w:p w14:paraId="67FA9D72" w14:textId="77777777" w:rsidR="004E65A9" w:rsidRPr="00BD1AD5" w:rsidRDefault="004E65A9" w:rsidP="003F09AA">
      <w:pPr>
        <w:keepNext/>
        <w:rPr>
          <w:i/>
          <w:u w:val="single"/>
        </w:rPr>
      </w:pPr>
      <w:r>
        <w:rPr>
          <w:i/>
          <w:u w:val="single"/>
        </w:rPr>
        <w:lastRenderedPageBreak/>
        <w:t>Pasienter med nedsatt nyrefunksjon</w:t>
      </w:r>
    </w:p>
    <w:p w14:paraId="14770465" w14:textId="77777777" w:rsidR="004E65A9" w:rsidRDefault="004E65A9" w:rsidP="003F09AA">
      <w:r>
        <w:t>I de kliniske PsA-,PSOR- og Behcets sykdom</w:t>
      </w:r>
      <w:r>
        <w:noBreakHyphen/>
        <w:t>studiene ble det observert sammenlignbar sikkerhetsprofil hos pasienter med lett nedsatt nyrefunksjon og pasienter med normal nyrefunksjon. Sikkerheten av apremilast ble ikke undersøkt hos PsA-,PSOR- eller Behcets sykdom</w:t>
      </w:r>
      <w:r>
        <w:noBreakHyphen/>
        <w:t>pasienter med moderat eller alvorlig nedsatt nyrefunksjon i de kliniske studiene.</w:t>
      </w:r>
    </w:p>
    <w:p w14:paraId="34F05256" w14:textId="77777777" w:rsidR="004E65A9" w:rsidRDefault="004E65A9" w:rsidP="003F09AA"/>
    <w:p w14:paraId="02937733" w14:textId="77777777" w:rsidR="004E65A9" w:rsidRPr="00D85B9A" w:rsidRDefault="004E65A9" w:rsidP="003F09AA">
      <w:pPr>
        <w:pStyle w:val="Styleitalicunderline"/>
      </w:pPr>
      <w:r>
        <w:t>Pediatriske pasienter</w:t>
      </w:r>
    </w:p>
    <w:p w14:paraId="6E509DB7" w14:textId="77777777" w:rsidR="004E65A9" w:rsidRPr="00BD1AD5" w:rsidRDefault="004E65A9" w:rsidP="003F09AA">
      <w:r>
        <w:t>Sikkerheten av apremilast ble vurdert i en 52</w:t>
      </w:r>
      <w:r>
        <w:noBreakHyphen/>
        <w:t>ukers klinisk studie med pediatriske pasienter i alderen 6 til 17 år med moderat til alvorlig plakkpsoriasis (SPROUT</w:t>
      </w:r>
      <w:r>
        <w:noBreakHyphen/>
        <w:t>studien). Sikkerhetsprofilen for apremilast som ble observert i studien, var i samsvar med sikkerhetsprofilen som tidligere er fastslått hos voksne pasienter med moderat til alvorlig plakkpsoriasis.</w:t>
      </w:r>
    </w:p>
    <w:p w14:paraId="25BF6C8C" w14:textId="77777777" w:rsidR="004E65A9" w:rsidRPr="00BD1AD5" w:rsidRDefault="004E65A9" w:rsidP="003F09AA">
      <w:pPr>
        <w:autoSpaceDE w:val="0"/>
        <w:autoSpaceDN w:val="0"/>
        <w:adjustRightInd w:val="0"/>
        <w:rPr>
          <w:u w:val="single"/>
        </w:rPr>
      </w:pPr>
    </w:p>
    <w:p w14:paraId="3BB3F307" w14:textId="77777777" w:rsidR="004E65A9" w:rsidRPr="00BD1AD5" w:rsidRDefault="004E65A9" w:rsidP="003F09AA">
      <w:pPr>
        <w:keepNext/>
        <w:autoSpaceDE w:val="0"/>
        <w:autoSpaceDN w:val="0"/>
        <w:adjustRightInd w:val="0"/>
        <w:rPr>
          <w:u w:val="single"/>
        </w:rPr>
      </w:pPr>
      <w:r>
        <w:rPr>
          <w:u w:val="single"/>
        </w:rPr>
        <w:t>Melding av mistenkte bivirkninger</w:t>
      </w:r>
    </w:p>
    <w:p w14:paraId="017F27EB" w14:textId="77777777" w:rsidR="004E65A9" w:rsidRPr="00BD1AD5" w:rsidRDefault="004E65A9" w:rsidP="003F09AA">
      <w:pPr>
        <w:keepNext/>
        <w:autoSpaceDE w:val="0"/>
        <w:autoSpaceDN w:val="0"/>
        <w:adjustRightInd w:val="0"/>
      </w:pPr>
    </w:p>
    <w:p w14:paraId="062B03B8" w14:textId="77777777" w:rsidR="004E65A9" w:rsidRPr="00BD1AD5" w:rsidRDefault="004E65A9" w:rsidP="003F09AA">
      <w:pPr>
        <w:autoSpaceDE w:val="0"/>
        <w:autoSpaceDN w:val="0"/>
        <w:adjustRightInd w:val="0"/>
        <w:rPr>
          <w:noProof/>
        </w:rPr>
      </w:pPr>
      <w: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Pr>
          <w:highlight w:val="lightGray"/>
        </w:rPr>
        <w:t xml:space="preserve">det nasjonale meldesystemet som beskrevet i </w:t>
      </w:r>
      <w:hyperlink r:id="rId11" w:history="1">
        <w:r>
          <w:rPr>
            <w:rStyle w:val="Hyperlink"/>
            <w:highlight w:val="lightGray"/>
          </w:rPr>
          <w:t>Appendix V</w:t>
        </w:r>
      </w:hyperlink>
      <w:r>
        <w:t>.</w:t>
      </w:r>
    </w:p>
    <w:p w14:paraId="3B3A56CD" w14:textId="77777777" w:rsidR="004E65A9" w:rsidRPr="00BD1AD5" w:rsidRDefault="004E65A9" w:rsidP="003F09AA"/>
    <w:p w14:paraId="4820DB35" w14:textId="77777777" w:rsidR="004E65A9" w:rsidRPr="00BD1AD5" w:rsidRDefault="004E65A9" w:rsidP="003F09AA">
      <w:pPr>
        <w:keepNext/>
        <w:ind w:left="567" w:hanging="567"/>
        <w:outlineLvl w:val="0"/>
        <w:rPr>
          <w:b/>
          <w:noProof/>
        </w:rPr>
      </w:pPr>
      <w:r>
        <w:rPr>
          <w:b/>
        </w:rPr>
        <w:t>4.9</w:t>
      </w:r>
      <w:r>
        <w:rPr>
          <w:b/>
        </w:rPr>
        <w:tab/>
        <w:t>Overdosering</w:t>
      </w:r>
    </w:p>
    <w:p w14:paraId="2F866DF3" w14:textId="77777777" w:rsidR="004E65A9" w:rsidRPr="00BD1AD5" w:rsidRDefault="004E65A9" w:rsidP="003F09AA">
      <w:pPr>
        <w:keepNext/>
      </w:pPr>
    </w:p>
    <w:p w14:paraId="5334DA1E" w14:textId="77777777" w:rsidR="004E65A9" w:rsidRPr="00BD1AD5" w:rsidRDefault="004E65A9" w:rsidP="003F09AA">
      <w:pPr>
        <w:tabs>
          <w:tab w:val="clear" w:pos="567"/>
        </w:tabs>
        <w:autoSpaceDE w:val="0"/>
        <w:autoSpaceDN w:val="0"/>
        <w:adjustRightInd w:val="0"/>
      </w:pPr>
      <w:r>
        <w:t>Apremilast ble undersøkt hos friske forsøkspersoner i en maksimal total døgndose på 100 mg (gitt som 50 mg to ganger daglig) i 4,5 dager, uten holdepunkter for dosebegrensende toksisitet. Ved en overdosering anbefales det at pasienten overvåkes for tegn eller symptomer på bivirkninger, og at relevant symptomatisk behandling innledes. Ved en overdosering anbefales symptomatisk og støttende behandling.</w:t>
      </w:r>
    </w:p>
    <w:p w14:paraId="2DA09EBF" w14:textId="77777777" w:rsidR="004E65A9" w:rsidRPr="00BD1AD5" w:rsidRDefault="004E65A9" w:rsidP="003F09AA">
      <w:pPr>
        <w:tabs>
          <w:tab w:val="clear" w:pos="567"/>
        </w:tabs>
        <w:autoSpaceDE w:val="0"/>
        <w:autoSpaceDN w:val="0"/>
        <w:adjustRightInd w:val="0"/>
      </w:pPr>
    </w:p>
    <w:p w14:paraId="05F6C3CE" w14:textId="77777777" w:rsidR="004E65A9" w:rsidRPr="00BD1AD5" w:rsidRDefault="004E65A9" w:rsidP="003F09AA">
      <w:pPr>
        <w:tabs>
          <w:tab w:val="clear" w:pos="567"/>
        </w:tabs>
        <w:autoSpaceDE w:val="0"/>
        <w:autoSpaceDN w:val="0"/>
        <w:adjustRightInd w:val="0"/>
      </w:pPr>
    </w:p>
    <w:p w14:paraId="66C27513" w14:textId="77777777" w:rsidR="004E65A9" w:rsidRPr="00BD1AD5" w:rsidRDefault="004E65A9" w:rsidP="003F09AA">
      <w:pPr>
        <w:pStyle w:val="StyleHeadings"/>
      </w:pPr>
      <w:r>
        <w:t>5.</w:t>
      </w:r>
      <w:r>
        <w:tab/>
        <w:t>FARMAKOLOGISKE EGENSKAPER</w:t>
      </w:r>
    </w:p>
    <w:p w14:paraId="4D123F6E" w14:textId="77777777" w:rsidR="004E65A9" w:rsidRPr="00BD1AD5" w:rsidRDefault="004E65A9" w:rsidP="003F09AA">
      <w:pPr>
        <w:keepNext/>
      </w:pPr>
    </w:p>
    <w:p w14:paraId="50183D85" w14:textId="77777777" w:rsidR="004E65A9" w:rsidRPr="00BD1AD5" w:rsidRDefault="004E65A9" w:rsidP="003F09AA">
      <w:pPr>
        <w:keepNext/>
        <w:ind w:left="567" w:hanging="567"/>
        <w:outlineLvl w:val="0"/>
        <w:rPr>
          <w:b/>
        </w:rPr>
      </w:pPr>
      <w:r>
        <w:rPr>
          <w:b/>
        </w:rPr>
        <w:t>5.1</w:t>
      </w:r>
      <w:r>
        <w:rPr>
          <w:b/>
        </w:rPr>
        <w:tab/>
        <w:t>Farmakodynamiske egenskaper</w:t>
      </w:r>
    </w:p>
    <w:p w14:paraId="4CFCF9FF" w14:textId="77777777" w:rsidR="004E65A9" w:rsidRPr="00BD1AD5" w:rsidRDefault="004E65A9" w:rsidP="003F09AA">
      <w:pPr>
        <w:keepNext/>
      </w:pPr>
    </w:p>
    <w:p w14:paraId="200F8DF2" w14:textId="77777777" w:rsidR="004E65A9" w:rsidRPr="00BD1AD5" w:rsidRDefault="004E65A9" w:rsidP="003F09AA">
      <w:r>
        <w:t>Farmakoterapeutisk gruppe: Immunsuppressiver, selektive immunsuppressiver, ATC</w:t>
      </w:r>
      <w:r>
        <w:noBreakHyphen/>
        <w:t>kode: L04AA32</w:t>
      </w:r>
    </w:p>
    <w:p w14:paraId="0FC53C62" w14:textId="77777777" w:rsidR="004E65A9" w:rsidRPr="00BD1AD5" w:rsidRDefault="004E65A9" w:rsidP="003F09AA">
      <w:pPr>
        <w:rPr>
          <w:u w:val="single"/>
        </w:rPr>
      </w:pPr>
    </w:p>
    <w:p w14:paraId="1CAA294F" w14:textId="77777777" w:rsidR="004E65A9" w:rsidRPr="00BD1AD5" w:rsidRDefault="004E65A9" w:rsidP="003F09AA">
      <w:pPr>
        <w:keepNext/>
        <w:rPr>
          <w:u w:val="single"/>
        </w:rPr>
      </w:pPr>
      <w:r>
        <w:rPr>
          <w:u w:val="single"/>
        </w:rPr>
        <w:t>Virkningsmekanisme</w:t>
      </w:r>
    </w:p>
    <w:p w14:paraId="46FF8DE5" w14:textId="77777777" w:rsidR="004E65A9" w:rsidRPr="00BD1AD5" w:rsidRDefault="004E65A9" w:rsidP="003F09AA">
      <w:pPr>
        <w:keepNext/>
      </w:pPr>
    </w:p>
    <w:p w14:paraId="54F36DFF" w14:textId="77777777" w:rsidR="004E65A9" w:rsidRPr="00BD1AD5" w:rsidRDefault="004E65A9" w:rsidP="003F09AA">
      <w:r>
        <w:t>Apremilast er en oral, småmolekylær fosfodiesterase 4 (PDE4)</w:t>
      </w:r>
      <w:r>
        <w:noBreakHyphen/>
        <w:t>hemmer, som virker intracellulært ved å modulere et nettverk av proinflammatoriske og antiinflammatoriske mediatorer. PDE4 er en syklisk adenosinmonofosfat (cAMP)-spesifikk PDE og dominerende PDE i inflammatoriske celler. PDE4-hemming øker intracellulært cAMP-nivå, som igjen nedregulerer inflammatorisk respons ved å modulere uttrykk av TNF</w:t>
      </w:r>
      <w:r>
        <w:noBreakHyphen/>
        <w:t>α, IL</w:t>
      </w:r>
      <w:r>
        <w:noBreakHyphen/>
        <w:t>23, IL</w:t>
      </w:r>
      <w:r>
        <w:noBreakHyphen/>
        <w:t>17 og andre inflammatoriske cytokiner. Syklisk AMP modulerer også nivået av antiinflammatoriske cytokiner som IL</w:t>
      </w:r>
      <w:r>
        <w:noBreakHyphen/>
        <w:t>10. Disse pro- og antiinflammatoriske mediatorene er involvert ved psoriasisartritt og psoriasis.</w:t>
      </w:r>
    </w:p>
    <w:p w14:paraId="19CFA761" w14:textId="77777777" w:rsidR="004E65A9" w:rsidRPr="00BD1AD5" w:rsidRDefault="004E65A9" w:rsidP="003F09AA">
      <w:pPr>
        <w:numPr>
          <w:ilvl w:val="12"/>
          <w:numId w:val="0"/>
        </w:numPr>
        <w:ind w:right="-2"/>
        <w:rPr>
          <w:iCs/>
          <w:noProof/>
        </w:rPr>
      </w:pPr>
    </w:p>
    <w:p w14:paraId="4E55029D" w14:textId="77777777" w:rsidR="004E65A9" w:rsidRPr="00BD1AD5" w:rsidRDefault="004E65A9" w:rsidP="003F09AA">
      <w:pPr>
        <w:keepNext/>
        <w:rPr>
          <w:u w:val="single"/>
        </w:rPr>
      </w:pPr>
      <w:r>
        <w:rPr>
          <w:u w:val="single"/>
        </w:rPr>
        <w:t>Farmakodynamiske effekter</w:t>
      </w:r>
    </w:p>
    <w:p w14:paraId="2E521ABA" w14:textId="77777777" w:rsidR="004E65A9" w:rsidRPr="00BD1AD5" w:rsidRDefault="004E65A9" w:rsidP="003F09AA">
      <w:pPr>
        <w:keepNext/>
        <w:rPr>
          <w:bCs/>
          <w:szCs w:val="24"/>
        </w:rPr>
      </w:pPr>
    </w:p>
    <w:p w14:paraId="1ED8154F" w14:textId="77777777" w:rsidR="004E65A9" w:rsidRPr="00BD1AD5" w:rsidRDefault="004E65A9" w:rsidP="003F09AA">
      <w:pPr>
        <w:rPr>
          <w:bCs/>
          <w:szCs w:val="24"/>
        </w:rPr>
      </w:pPr>
      <w:r>
        <w:t>I kliniske studier med pasienter med psoriasisartritt modulerte apremilast i signifikant grad, men hemmet ikke fullstendig, plasmaproteinnivået av IL</w:t>
      </w:r>
      <w:r>
        <w:noBreakHyphen/>
        <w:t>1α, IL</w:t>
      </w:r>
      <w:r>
        <w:noBreakHyphen/>
        <w:t>6, IL</w:t>
      </w:r>
      <w:r>
        <w:noBreakHyphen/>
        <w:t>8, MCP</w:t>
      </w:r>
      <w:r>
        <w:noBreakHyphen/>
        <w:t>1, MIP</w:t>
      </w:r>
      <w:r>
        <w:noBreakHyphen/>
        <w:t>1β, MMP</w:t>
      </w:r>
      <w:r>
        <w:noBreakHyphen/>
        <w:t>3 og TNF</w:t>
      </w:r>
      <w:r>
        <w:noBreakHyphen/>
        <w:t>α. Etter 40 ukers behandling med apremilast var det en reduksjon i plasmaproteinnivået av IL</w:t>
      </w:r>
      <w:r>
        <w:noBreakHyphen/>
        <w:t>17 og IL</w:t>
      </w:r>
      <w:r>
        <w:noBreakHyphen/>
        <w:t>23, og en økning av IL</w:t>
      </w:r>
      <w:r>
        <w:noBreakHyphen/>
        <w:t>10. I kliniske studier hos pasienter med psoriasis reduserte apremilast epidermistykkelsen i lesjonsområder, inflammatorisk celleinfiltrering og uttrykk av proinflammatoriske gener, inkludert de for induserbar nitrogenoksidsyntase (iNOS), IL</w:t>
      </w:r>
      <w:r>
        <w:noBreakHyphen/>
        <w:t>12/IL</w:t>
      </w:r>
      <w:r>
        <w:noBreakHyphen/>
        <w:t>23p40, IL</w:t>
      </w:r>
      <w:r>
        <w:noBreakHyphen/>
        <w:t>17A, IL</w:t>
      </w:r>
      <w:r>
        <w:noBreakHyphen/>
        <w:t>22 og IL</w:t>
      </w:r>
      <w:r>
        <w:noBreakHyphen/>
        <w:t>8. I kliniske studier hos pasienter med Behcets sykdom, behandlet med apremilast, var det en signifikant positiv kobling mellom endring i plasma TNF</w:t>
      </w:r>
      <w:r>
        <w:noBreakHyphen/>
        <w:t>alpha og klinisk effekt, målt i antall sår i munnen.</w:t>
      </w:r>
    </w:p>
    <w:p w14:paraId="62B632F7" w14:textId="77777777" w:rsidR="004E65A9" w:rsidRPr="00BD1AD5" w:rsidRDefault="004E65A9" w:rsidP="003F09AA">
      <w:pPr>
        <w:rPr>
          <w:bCs/>
          <w:szCs w:val="24"/>
        </w:rPr>
      </w:pPr>
    </w:p>
    <w:p w14:paraId="02CE2193" w14:textId="77777777" w:rsidR="004E65A9" w:rsidRPr="00BD1AD5" w:rsidRDefault="004E65A9" w:rsidP="003F09AA">
      <w:r>
        <w:lastRenderedPageBreak/>
        <w:t>Apremilast administrert i doser opptil 50 mg to ganger daglig forlenget ikke QT</w:t>
      </w:r>
      <w:r>
        <w:noBreakHyphen/>
        <w:t>tiden hos friske forsøkspersoner.</w:t>
      </w:r>
    </w:p>
    <w:p w14:paraId="38EAB0D6" w14:textId="77777777" w:rsidR="004E65A9" w:rsidRPr="00BD1AD5" w:rsidRDefault="004E65A9" w:rsidP="003F09AA"/>
    <w:p w14:paraId="1E8ED092" w14:textId="77777777" w:rsidR="004E65A9" w:rsidRPr="00BD1AD5" w:rsidRDefault="004E65A9" w:rsidP="003F09AA">
      <w:pPr>
        <w:keepNext/>
        <w:rPr>
          <w:u w:val="single"/>
        </w:rPr>
      </w:pPr>
      <w:r>
        <w:rPr>
          <w:u w:val="single"/>
        </w:rPr>
        <w:t>Klinisk effekt og sikkerhet</w:t>
      </w:r>
    </w:p>
    <w:p w14:paraId="67E43ED0" w14:textId="77777777" w:rsidR="004E65A9" w:rsidRPr="00BD1AD5" w:rsidRDefault="004E65A9" w:rsidP="003F09AA">
      <w:pPr>
        <w:keepNext/>
        <w:rPr>
          <w:i/>
        </w:rPr>
      </w:pPr>
    </w:p>
    <w:p w14:paraId="3A4AA03B" w14:textId="77777777" w:rsidR="004E65A9" w:rsidRPr="00BD1AD5" w:rsidRDefault="004E65A9" w:rsidP="003F09AA">
      <w:pPr>
        <w:keepNext/>
        <w:rPr>
          <w:i/>
          <w:u w:val="single"/>
        </w:rPr>
      </w:pPr>
      <w:r>
        <w:rPr>
          <w:i/>
          <w:u w:val="single"/>
        </w:rPr>
        <w:t>Psoriasisartritt</w:t>
      </w:r>
    </w:p>
    <w:p w14:paraId="5BF1DC23" w14:textId="77777777" w:rsidR="004E65A9" w:rsidRPr="00BD1AD5" w:rsidRDefault="004E65A9" w:rsidP="003F09AA">
      <w:r>
        <w:t>Sikkerhet og effekt av apremilast ble evaluert i 3 multisenter, randomiserte, dobbeltblindede, placebokontrollerte studier (studiene PALACE 1, PALACE 2 og PALACE 3) med tilsvarende design hos voksne pasienter med aktiv PsA (≥ 3 hovne ledd og ≥ 3 ømme ledd) til tross for tidligere behandling med småmolekylære eller biologiske DMARDs. Totalt 1 493 pasienter ble randomisert og behandlet med placebo, 20 mg apremilast eller 30 mg apremilast gitt oralt to ganger daglig.</w:t>
      </w:r>
    </w:p>
    <w:p w14:paraId="68970959" w14:textId="77777777" w:rsidR="004E65A9" w:rsidRPr="00BD1AD5" w:rsidRDefault="004E65A9" w:rsidP="003F09AA"/>
    <w:p w14:paraId="054E84FC" w14:textId="77777777" w:rsidR="004E65A9" w:rsidRPr="00BD1AD5" w:rsidRDefault="004E65A9" w:rsidP="003F09AA">
      <w:r>
        <w:t>Pasientene i disse studiene hadde hatt diagnosen PsA i minst 6 måneder. Én kvalifiserende psoriasishudlesjon (minst 2 cm i diameter) var også påkrevd i PALACE 3. Apremilast ble brukt som monoterapi (34,8 %) eller i kombinasjon med stabile doser av småmolekylære DMARDs (65,2 %). Pasientene fikk apremilast i kombinasjon med én eller flere av følgende: metotreksat (MTX, ≤ 25 mg/uke, 54,5 %), sulfasalazin (SSZ, ≤ 2 g/døgn, 9,0 %) og leflunomid (LEF, ≤ 20 mg/døgn, 7,4 %). Samtidig behandling med biologiske DMARDs, inkludert TNF</w:t>
      </w:r>
      <w:r>
        <w:noBreakHyphen/>
        <w:t>blokkere, var ikke tillatt. Pasienter med hver av PsA</w:t>
      </w:r>
      <w:r>
        <w:noBreakHyphen/>
        <w:t>subtypene ble inkludert i de 3 studiene, inkludert symmetrisk polyartritt (62,0 %), asymmetrisk oligoartritt (26,9 %), distal interfalang (DIP) leddgikt (6,2 %), arthritis mutilans (2,7 %) og dominerende spondylitt (2,1 %). Pasienter med underliggende entesopati (63 %) eller underliggende daktylitt (42 %) ble inkludert. Totalt 76,4 % av pasientene var tidligere behandlet med kun småmolekylære DMARDs, og 22,4 % av pasientene var tidligere behandlet med biologiske DMARDs, inkludert 7,8 % som hadde hatt behandlingssvikt med en tidligere biologisk DMARD. Median varighet av PsA</w:t>
      </w:r>
      <w:r>
        <w:noBreakHyphen/>
        <w:t>sykdom var 5 år.</w:t>
      </w:r>
    </w:p>
    <w:p w14:paraId="30506F5F" w14:textId="77777777" w:rsidR="004E65A9" w:rsidRPr="00BD1AD5" w:rsidRDefault="004E65A9" w:rsidP="003F09AA"/>
    <w:p w14:paraId="18CD4F5A" w14:textId="77777777" w:rsidR="004E65A9" w:rsidRPr="00BD1AD5" w:rsidRDefault="004E65A9" w:rsidP="003F09AA">
      <w:r>
        <w:t>Basert på studiedesignet ble pasienter med ømme og hovne ledd som ikke var bedret med minst 20 %, ansett som ikke</w:t>
      </w:r>
      <w:r>
        <w:noBreakHyphen/>
        <w:t>respondere i uke 16. Placebopasienter som ble ansett som ikke</w:t>
      </w:r>
      <w:r>
        <w:noBreakHyphen/>
        <w:t>respondere, ble rerandomisert blindet 1:1 til 20 mg apremilast to ganger daglig eller 30 mg apremilast to ganger daglig. I uke 24 ble alle gjenværende placebobehandlede pasienter satt over på 20 mg apremilast eller 30 mg apremilast to ganger daglig. Etter 52 ukers behandling kunne pasientene fortsette med åpen behandling med 20 mg eller 30 mg apremilast i langtidsforlengelsen av studiene PALACE 1, PALACE 2 og PALACE 3, med en total behandlingsvarighet på opptil 5 år (260 uker).</w:t>
      </w:r>
    </w:p>
    <w:p w14:paraId="176A003F" w14:textId="77777777" w:rsidR="004E65A9" w:rsidRPr="00BD1AD5" w:rsidRDefault="004E65A9" w:rsidP="003F09AA"/>
    <w:p w14:paraId="58982E7A" w14:textId="77777777" w:rsidR="004E65A9" w:rsidRPr="00BD1AD5" w:rsidRDefault="004E65A9" w:rsidP="003F09AA">
      <w:r>
        <w:t>Det primære endepunktet var prosentandel av pasienter som oppnådde "American College of Rheumatology" (ACR) 20</w:t>
      </w:r>
      <w:r>
        <w:noBreakHyphen/>
        <w:t>respons i uke 16.</w:t>
      </w:r>
    </w:p>
    <w:p w14:paraId="613BE3FF" w14:textId="77777777" w:rsidR="004E65A9" w:rsidRPr="00BD1AD5" w:rsidRDefault="004E65A9" w:rsidP="003F09AA"/>
    <w:p w14:paraId="51A69A22" w14:textId="77777777" w:rsidR="004E65A9" w:rsidRPr="00BD1AD5" w:rsidRDefault="004E65A9" w:rsidP="003F09AA">
      <w:r>
        <w:t>Behandling med apremilast medførte signifikant bedring av tegn og symptomer på PsA, vurdert ved ACR 20</w:t>
      </w:r>
      <w:r>
        <w:noBreakHyphen/>
        <w:t>responskriteriene, sammenlignet med placebo i uke 16. Andelen av pasienter med ACR 20/50/70 (respons i studiene PALACE 1, PALACE 2 og PALACE 3, og sammenslåtte data for studiene PALACE 1, PALACE 2 og PALACE 3) ved 30 mg apremilast to ganger daglig i uke 16 er vist i tabell 4. ACR 20/50/70</w:t>
      </w:r>
      <w:r>
        <w:noBreakHyphen/>
        <w:t>respons vedvarte i uke 24.</w:t>
      </w:r>
    </w:p>
    <w:p w14:paraId="7F73E4C9" w14:textId="77777777" w:rsidR="004E65A9" w:rsidRPr="00BD1AD5" w:rsidRDefault="004E65A9" w:rsidP="003F09AA"/>
    <w:p w14:paraId="1C1CFC71" w14:textId="77777777" w:rsidR="004E65A9" w:rsidRPr="00BD1AD5" w:rsidRDefault="004E65A9" w:rsidP="003F09AA">
      <w:r>
        <w:t>Hos pasienter som først ble randomisert til behandling med 30 mg apremilast to ganger daglig, vedvarte ACR 20/50/70</w:t>
      </w:r>
      <w:r>
        <w:noBreakHyphen/>
        <w:t>responsandel til uke 52 for studiene PALACE 1, PALACE 2 og PALACE 3 vurdert samlet (figur 1).</w:t>
      </w:r>
    </w:p>
    <w:p w14:paraId="1F0D33A0" w14:textId="77777777" w:rsidR="004E65A9" w:rsidRPr="00BD1AD5" w:rsidRDefault="004E65A9" w:rsidP="003F09AA"/>
    <w:p w14:paraId="588239EB" w14:textId="77777777" w:rsidR="004E65A9" w:rsidRPr="00BD1AD5" w:rsidRDefault="004E65A9" w:rsidP="003F09AA">
      <w:pPr>
        <w:pStyle w:val="StyleTableheading"/>
      </w:pPr>
      <w:r>
        <w:lastRenderedPageBreak/>
        <w:t>Tabell 4. Andel av pasienter med ACR</w:t>
      </w:r>
      <w:r>
        <w:noBreakHyphen/>
        <w:t>respons i studie PALACE 1, PALACE 2 og PALACE 3 hver for seg og samlet, i uke 16</w:t>
      </w:r>
    </w:p>
    <w:p w14:paraId="16F4E070" w14:textId="77777777" w:rsidR="004E65A9" w:rsidRPr="00BD1AD5" w:rsidRDefault="004E65A9" w:rsidP="003F09AA">
      <w:pPr>
        <w:keepNext/>
        <w:tabs>
          <w:tab w:val="clear" w:pos="567"/>
        </w:tabs>
        <w:rPr>
          <w:b/>
          <w:bCs/>
          <w:lang w:eastAsia="ja-JP"/>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019"/>
        <w:gridCol w:w="1077"/>
        <w:gridCol w:w="1020"/>
        <w:gridCol w:w="1077"/>
        <w:gridCol w:w="1018"/>
        <w:gridCol w:w="1076"/>
        <w:gridCol w:w="1029"/>
        <w:gridCol w:w="1076"/>
        <w:gridCol w:w="1021"/>
      </w:tblGrid>
      <w:tr w:rsidR="004E65A9" w:rsidRPr="00BD1AD5" w14:paraId="1335D974" w14:textId="77777777" w:rsidTr="008600F3">
        <w:trPr>
          <w:cantSplit/>
          <w:trHeight w:val="276"/>
          <w:tblHeader/>
        </w:trPr>
        <w:tc>
          <w:tcPr>
            <w:tcW w:w="1019" w:type="dxa"/>
          </w:tcPr>
          <w:p w14:paraId="4B52EA06" w14:textId="77777777" w:rsidR="004E65A9" w:rsidRPr="00BD1AD5" w:rsidRDefault="004E65A9" w:rsidP="008600F3">
            <w:pPr>
              <w:keepNext/>
              <w:autoSpaceDE w:val="0"/>
              <w:autoSpaceDN w:val="0"/>
              <w:adjustRightInd w:val="0"/>
              <w:jc w:val="center"/>
              <w:rPr>
                <w:sz w:val="20"/>
                <w:lang w:eastAsia="ja-JP"/>
              </w:rPr>
            </w:pPr>
          </w:p>
        </w:tc>
        <w:tc>
          <w:tcPr>
            <w:tcW w:w="2097" w:type="dxa"/>
            <w:gridSpan w:val="2"/>
          </w:tcPr>
          <w:p w14:paraId="46E8D101" w14:textId="77777777" w:rsidR="004E65A9" w:rsidRPr="00BD1AD5" w:rsidRDefault="004E65A9" w:rsidP="008600F3">
            <w:pPr>
              <w:keepNext/>
              <w:autoSpaceDE w:val="0"/>
              <w:autoSpaceDN w:val="0"/>
              <w:adjustRightInd w:val="0"/>
              <w:ind w:left="-87" w:right="-111"/>
              <w:jc w:val="center"/>
              <w:rPr>
                <w:b/>
                <w:sz w:val="20"/>
              </w:rPr>
            </w:pPr>
            <w:r>
              <w:rPr>
                <w:b/>
                <w:sz w:val="20"/>
              </w:rPr>
              <w:t>PALACE 1</w:t>
            </w:r>
          </w:p>
        </w:tc>
        <w:tc>
          <w:tcPr>
            <w:tcW w:w="2091" w:type="dxa"/>
            <w:gridSpan w:val="2"/>
          </w:tcPr>
          <w:p w14:paraId="6CA6F19F" w14:textId="77777777" w:rsidR="004E65A9" w:rsidRPr="00BD1AD5" w:rsidRDefault="004E65A9" w:rsidP="008600F3">
            <w:pPr>
              <w:keepNext/>
              <w:autoSpaceDE w:val="0"/>
              <w:autoSpaceDN w:val="0"/>
              <w:adjustRightInd w:val="0"/>
              <w:ind w:left="-87" w:right="-111"/>
              <w:jc w:val="center"/>
              <w:rPr>
                <w:b/>
                <w:sz w:val="20"/>
              </w:rPr>
            </w:pPr>
            <w:r>
              <w:rPr>
                <w:b/>
                <w:sz w:val="20"/>
              </w:rPr>
              <w:t>PALACE 2</w:t>
            </w:r>
          </w:p>
        </w:tc>
        <w:tc>
          <w:tcPr>
            <w:tcW w:w="2107" w:type="dxa"/>
            <w:gridSpan w:val="2"/>
          </w:tcPr>
          <w:p w14:paraId="5B904DEE" w14:textId="77777777" w:rsidR="004E65A9" w:rsidRPr="00BD1AD5" w:rsidRDefault="004E65A9" w:rsidP="008600F3">
            <w:pPr>
              <w:keepNext/>
              <w:autoSpaceDE w:val="0"/>
              <w:autoSpaceDN w:val="0"/>
              <w:adjustRightInd w:val="0"/>
              <w:ind w:left="-87" w:right="-111"/>
              <w:jc w:val="center"/>
              <w:rPr>
                <w:b/>
                <w:sz w:val="20"/>
              </w:rPr>
            </w:pPr>
            <w:r>
              <w:rPr>
                <w:b/>
                <w:sz w:val="20"/>
              </w:rPr>
              <w:t>PALACE 3</w:t>
            </w:r>
          </w:p>
        </w:tc>
        <w:tc>
          <w:tcPr>
            <w:tcW w:w="2099" w:type="dxa"/>
            <w:gridSpan w:val="2"/>
          </w:tcPr>
          <w:p w14:paraId="4A0A9653" w14:textId="77777777" w:rsidR="004E65A9" w:rsidRPr="00BD1AD5" w:rsidRDefault="004E65A9" w:rsidP="008600F3">
            <w:pPr>
              <w:keepNext/>
              <w:autoSpaceDE w:val="0"/>
              <w:autoSpaceDN w:val="0"/>
              <w:adjustRightInd w:val="0"/>
              <w:ind w:left="-87" w:right="-111"/>
              <w:jc w:val="center"/>
              <w:rPr>
                <w:b/>
                <w:sz w:val="20"/>
              </w:rPr>
            </w:pPr>
            <w:r>
              <w:rPr>
                <w:b/>
                <w:sz w:val="20"/>
              </w:rPr>
              <w:t>SAMLET</w:t>
            </w:r>
          </w:p>
        </w:tc>
      </w:tr>
      <w:tr w:rsidR="004E65A9" w:rsidRPr="00BD1AD5" w14:paraId="737D7F04" w14:textId="77777777" w:rsidTr="008600F3">
        <w:trPr>
          <w:cantSplit/>
          <w:trHeight w:val="276"/>
          <w:tblHeader/>
        </w:trPr>
        <w:tc>
          <w:tcPr>
            <w:tcW w:w="1019" w:type="dxa"/>
            <w:vAlign w:val="bottom"/>
          </w:tcPr>
          <w:p w14:paraId="13E3EED1" w14:textId="77777777" w:rsidR="004E65A9" w:rsidRPr="00BD1AD5" w:rsidRDefault="004E65A9" w:rsidP="008600F3">
            <w:pPr>
              <w:keepNext/>
              <w:autoSpaceDE w:val="0"/>
              <w:autoSpaceDN w:val="0"/>
              <w:adjustRightInd w:val="0"/>
              <w:jc w:val="center"/>
              <w:rPr>
                <w:b/>
                <w:sz w:val="20"/>
              </w:rPr>
            </w:pPr>
            <w:r>
              <w:rPr>
                <w:b/>
                <w:sz w:val="20"/>
              </w:rPr>
              <w:t>N</w:t>
            </w:r>
            <w:r>
              <w:rPr>
                <w:b/>
                <w:sz w:val="20"/>
                <w:vertAlign w:val="superscript"/>
              </w:rPr>
              <w:t>a</w:t>
            </w:r>
          </w:p>
        </w:tc>
        <w:tc>
          <w:tcPr>
            <w:tcW w:w="1077" w:type="dxa"/>
          </w:tcPr>
          <w:p w14:paraId="2A4D79D4" w14:textId="77777777" w:rsidR="004E65A9" w:rsidRPr="00BD1AD5" w:rsidRDefault="004E65A9" w:rsidP="008600F3">
            <w:pPr>
              <w:keepNext/>
              <w:autoSpaceDE w:val="0"/>
              <w:autoSpaceDN w:val="0"/>
              <w:adjustRightInd w:val="0"/>
              <w:jc w:val="center"/>
              <w:rPr>
                <w:b/>
                <w:sz w:val="20"/>
              </w:rPr>
            </w:pPr>
            <w:r>
              <w:rPr>
                <w:b/>
                <w:sz w:val="20"/>
              </w:rPr>
              <w:t>Placebo</w:t>
            </w:r>
          </w:p>
          <w:p w14:paraId="794792CD" w14:textId="77777777" w:rsidR="004E65A9" w:rsidRPr="00BD1AD5" w:rsidRDefault="004E65A9" w:rsidP="008600F3">
            <w:pPr>
              <w:keepNext/>
              <w:autoSpaceDE w:val="0"/>
              <w:autoSpaceDN w:val="0"/>
              <w:adjustRightInd w:val="0"/>
              <w:jc w:val="center"/>
              <w:rPr>
                <w:b/>
                <w:sz w:val="20"/>
                <w:lang w:eastAsia="ja-JP"/>
              </w:rPr>
            </w:pPr>
          </w:p>
          <w:p w14:paraId="49D7CC0A" w14:textId="77777777" w:rsidR="004E65A9" w:rsidRPr="00BD1AD5" w:rsidRDefault="004E65A9" w:rsidP="008600F3">
            <w:pPr>
              <w:keepNext/>
              <w:autoSpaceDE w:val="0"/>
              <w:autoSpaceDN w:val="0"/>
              <w:adjustRightInd w:val="0"/>
              <w:jc w:val="center"/>
              <w:rPr>
                <w:b/>
                <w:sz w:val="20"/>
              </w:rPr>
            </w:pPr>
            <w:r>
              <w:rPr>
                <w:b/>
                <w:sz w:val="20"/>
              </w:rPr>
              <w:t>+/-</w:t>
            </w:r>
          </w:p>
          <w:p w14:paraId="76BB885A" w14:textId="77777777" w:rsidR="004E65A9" w:rsidRPr="00BD1AD5" w:rsidRDefault="004E65A9" w:rsidP="008600F3">
            <w:pPr>
              <w:keepNext/>
              <w:autoSpaceDE w:val="0"/>
              <w:autoSpaceDN w:val="0"/>
              <w:adjustRightInd w:val="0"/>
              <w:jc w:val="center"/>
              <w:rPr>
                <w:b/>
                <w:sz w:val="20"/>
              </w:rPr>
            </w:pPr>
            <w:r>
              <w:rPr>
                <w:b/>
                <w:sz w:val="20"/>
              </w:rPr>
              <w:t>DMARDs</w:t>
            </w:r>
          </w:p>
          <w:p w14:paraId="136AD40B" w14:textId="77777777" w:rsidR="004E65A9" w:rsidRPr="00BD1AD5" w:rsidRDefault="004E65A9" w:rsidP="008600F3">
            <w:pPr>
              <w:keepNext/>
              <w:autoSpaceDE w:val="0"/>
              <w:autoSpaceDN w:val="0"/>
              <w:adjustRightInd w:val="0"/>
              <w:jc w:val="center"/>
              <w:rPr>
                <w:b/>
                <w:sz w:val="20"/>
              </w:rPr>
            </w:pPr>
            <w:r>
              <w:rPr>
                <w:b/>
                <w:sz w:val="20"/>
              </w:rPr>
              <w:t>n=168</w:t>
            </w:r>
          </w:p>
        </w:tc>
        <w:tc>
          <w:tcPr>
            <w:tcW w:w="1020" w:type="dxa"/>
          </w:tcPr>
          <w:p w14:paraId="04555A7B" w14:textId="77777777" w:rsidR="004E65A9" w:rsidRPr="00BD1AD5" w:rsidRDefault="004E65A9" w:rsidP="008600F3">
            <w:pPr>
              <w:keepNext/>
              <w:autoSpaceDE w:val="0"/>
              <w:autoSpaceDN w:val="0"/>
              <w:adjustRightInd w:val="0"/>
              <w:ind w:left="-87" w:right="-111"/>
              <w:jc w:val="center"/>
              <w:rPr>
                <w:b/>
                <w:sz w:val="20"/>
              </w:rPr>
            </w:pPr>
            <w:r>
              <w:rPr>
                <w:b/>
                <w:sz w:val="20"/>
              </w:rPr>
              <w:t>Apremilast 30 mg to ganger daglig</w:t>
            </w:r>
          </w:p>
          <w:p w14:paraId="597CC1CD" w14:textId="77777777" w:rsidR="004E65A9" w:rsidRPr="00BD1AD5" w:rsidRDefault="004E65A9" w:rsidP="008600F3">
            <w:pPr>
              <w:keepNext/>
              <w:autoSpaceDE w:val="0"/>
              <w:autoSpaceDN w:val="0"/>
              <w:adjustRightInd w:val="0"/>
              <w:ind w:left="-87" w:right="-111"/>
              <w:jc w:val="center"/>
              <w:rPr>
                <w:b/>
                <w:sz w:val="20"/>
              </w:rPr>
            </w:pPr>
            <w:r>
              <w:rPr>
                <w:b/>
                <w:sz w:val="20"/>
              </w:rPr>
              <w:t>+/-</w:t>
            </w:r>
          </w:p>
          <w:p w14:paraId="2223BA41" w14:textId="77777777" w:rsidR="004E65A9" w:rsidRPr="00BD1AD5" w:rsidRDefault="004E65A9" w:rsidP="008600F3">
            <w:pPr>
              <w:keepNext/>
              <w:autoSpaceDE w:val="0"/>
              <w:autoSpaceDN w:val="0"/>
              <w:adjustRightInd w:val="0"/>
              <w:ind w:left="-87" w:right="-111"/>
              <w:jc w:val="center"/>
              <w:rPr>
                <w:b/>
                <w:sz w:val="20"/>
              </w:rPr>
            </w:pPr>
            <w:r>
              <w:rPr>
                <w:b/>
                <w:sz w:val="20"/>
              </w:rPr>
              <w:t>DMARDs</w:t>
            </w:r>
          </w:p>
          <w:p w14:paraId="4FAD0EDA" w14:textId="77777777" w:rsidR="004E65A9" w:rsidRPr="00BD1AD5" w:rsidRDefault="004E65A9" w:rsidP="008600F3">
            <w:pPr>
              <w:keepNext/>
              <w:autoSpaceDE w:val="0"/>
              <w:autoSpaceDN w:val="0"/>
              <w:adjustRightInd w:val="0"/>
              <w:ind w:left="-87" w:right="-111"/>
              <w:jc w:val="center"/>
              <w:rPr>
                <w:b/>
                <w:sz w:val="20"/>
              </w:rPr>
            </w:pPr>
            <w:r>
              <w:rPr>
                <w:b/>
                <w:sz w:val="20"/>
              </w:rPr>
              <w:t>n=168</w:t>
            </w:r>
          </w:p>
        </w:tc>
        <w:tc>
          <w:tcPr>
            <w:tcW w:w="1077" w:type="dxa"/>
          </w:tcPr>
          <w:p w14:paraId="3D1FA6B9" w14:textId="77777777" w:rsidR="004E65A9" w:rsidRPr="00BD1AD5" w:rsidRDefault="004E65A9" w:rsidP="008600F3">
            <w:pPr>
              <w:keepNext/>
              <w:autoSpaceDE w:val="0"/>
              <w:autoSpaceDN w:val="0"/>
              <w:adjustRightInd w:val="0"/>
              <w:jc w:val="center"/>
              <w:rPr>
                <w:b/>
                <w:sz w:val="20"/>
              </w:rPr>
            </w:pPr>
            <w:r>
              <w:rPr>
                <w:b/>
                <w:sz w:val="20"/>
              </w:rPr>
              <w:t>Placebo</w:t>
            </w:r>
          </w:p>
          <w:p w14:paraId="024BE5C5" w14:textId="77777777" w:rsidR="004E65A9" w:rsidRPr="00BD1AD5" w:rsidRDefault="004E65A9" w:rsidP="008600F3">
            <w:pPr>
              <w:keepNext/>
              <w:autoSpaceDE w:val="0"/>
              <w:autoSpaceDN w:val="0"/>
              <w:adjustRightInd w:val="0"/>
              <w:jc w:val="center"/>
              <w:rPr>
                <w:b/>
                <w:sz w:val="20"/>
                <w:lang w:eastAsia="ja-JP"/>
              </w:rPr>
            </w:pPr>
          </w:p>
          <w:p w14:paraId="34BA72E2" w14:textId="77777777" w:rsidR="004E65A9" w:rsidRPr="00BD1AD5" w:rsidRDefault="004E65A9" w:rsidP="008600F3">
            <w:pPr>
              <w:keepNext/>
              <w:autoSpaceDE w:val="0"/>
              <w:autoSpaceDN w:val="0"/>
              <w:adjustRightInd w:val="0"/>
              <w:jc w:val="center"/>
              <w:rPr>
                <w:b/>
                <w:sz w:val="20"/>
              </w:rPr>
            </w:pPr>
            <w:r>
              <w:rPr>
                <w:b/>
                <w:sz w:val="20"/>
              </w:rPr>
              <w:t>+/-</w:t>
            </w:r>
          </w:p>
          <w:p w14:paraId="6FD62A68" w14:textId="77777777" w:rsidR="004E65A9" w:rsidRPr="00BD1AD5" w:rsidRDefault="004E65A9" w:rsidP="008600F3">
            <w:pPr>
              <w:keepNext/>
              <w:autoSpaceDE w:val="0"/>
              <w:autoSpaceDN w:val="0"/>
              <w:adjustRightInd w:val="0"/>
              <w:jc w:val="center"/>
              <w:rPr>
                <w:b/>
                <w:sz w:val="20"/>
              </w:rPr>
            </w:pPr>
            <w:r>
              <w:rPr>
                <w:b/>
                <w:sz w:val="20"/>
              </w:rPr>
              <w:t>DMARDs</w:t>
            </w:r>
          </w:p>
          <w:p w14:paraId="0625D49E" w14:textId="77777777" w:rsidR="004E65A9" w:rsidRPr="00BD1AD5" w:rsidRDefault="004E65A9" w:rsidP="008600F3">
            <w:pPr>
              <w:keepNext/>
              <w:autoSpaceDE w:val="0"/>
              <w:autoSpaceDN w:val="0"/>
              <w:adjustRightInd w:val="0"/>
              <w:jc w:val="center"/>
              <w:rPr>
                <w:b/>
                <w:sz w:val="20"/>
              </w:rPr>
            </w:pPr>
            <w:r>
              <w:rPr>
                <w:b/>
                <w:sz w:val="20"/>
              </w:rPr>
              <w:t>n=159</w:t>
            </w:r>
          </w:p>
        </w:tc>
        <w:tc>
          <w:tcPr>
            <w:tcW w:w="1019" w:type="dxa"/>
          </w:tcPr>
          <w:p w14:paraId="745A562F" w14:textId="77777777" w:rsidR="004E65A9" w:rsidRPr="00BD1AD5" w:rsidRDefault="004E65A9" w:rsidP="008600F3">
            <w:pPr>
              <w:keepNext/>
              <w:autoSpaceDE w:val="0"/>
              <w:autoSpaceDN w:val="0"/>
              <w:adjustRightInd w:val="0"/>
              <w:ind w:left="-87" w:right="-111"/>
              <w:jc w:val="center"/>
              <w:rPr>
                <w:b/>
                <w:sz w:val="20"/>
              </w:rPr>
            </w:pPr>
            <w:r>
              <w:rPr>
                <w:b/>
                <w:sz w:val="20"/>
              </w:rPr>
              <w:t>Apremilast 30 mg to ganger daglig</w:t>
            </w:r>
          </w:p>
          <w:p w14:paraId="48A95065" w14:textId="77777777" w:rsidR="004E65A9" w:rsidRPr="00BD1AD5" w:rsidRDefault="004E65A9" w:rsidP="008600F3">
            <w:pPr>
              <w:keepNext/>
              <w:autoSpaceDE w:val="0"/>
              <w:autoSpaceDN w:val="0"/>
              <w:adjustRightInd w:val="0"/>
              <w:ind w:left="-87" w:right="-111"/>
              <w:jc w:val="center"/>
              <w:rPr>
                <w:b/>
                <w:sz w:val="20"/>
              </w:rPr>
            </w:pPr>
            <w:r>
              <w:rPr>
                <w:b/>
                <w:sz w:val="20"/>
              </w:rPr>
              <w:t>+/-</w:t>
            </w:r>
          </w:p>
          <w:p w14:paraId="227E0E55" w14:textId="77777777" w:rsidR="004E65A9" w:rsidRPr="00BD1AD5" w:rsidRDefault="004E65A9" w:rsidP="008600F3">
            <w:pPr>
              <w:keepNext/>
              <w:autoSpaceDE w:val="0"/>
              <w:autoSpaceDN w:val="0"/>
              <w:adjustRightInd w:val="0"/>
              <w:ind w:left="-87" w:right="-111"/>
              <w:jc w:val="center"/>
              <w:rPr>
                <w:b/>
                <w:sz w:val="20"/>
              </w:rPr>
            </w:pPr>
            <w:r>
              <w:rPr>
                <w:b/>
                <w:sz w:val="20"/>
              </w:rPr>
              <w:t>DMARDs</w:t>
            </w:r>
          </w:p>
          <w:p w14:paraId="58F88BF9" w14:textId="77777777" w:rsidR="004E65A9" w:rsidRPr="00BD1AD5" w:rsidRDefault="004E65A9" w:rsidP="008600F3">
            <w:pPr>
              <w:keepNext/>
              <w:autoSpaceDE w:val="0"/>
              <w:autoSpaceDN w:val="0"/>
              <w:adjustRightInd w:val="0"/>
              <w:ind w:left="-87" w:right="-111"/>
              <w:jc w:val="center"/>
              <w:rPr>
                <w:b/>
                <w:sz w:val="20"/>
              </w:rPr>
            </w:pPr>
            <w:r>
              <w:rPr>
                <w:b/>
                <w:sz w:val="20"/>
              </w:rPr>
              <w:t>n=162</w:t>
            </w:r>
          </w:p>
        </w:tc>
        <w:tc>
          <w:tcPr>
            <w:tcW w:w="1077" w:type="dxa"/>
          </w:tcPr>
          <w:p w14:paraId="521EB908" w14:textId="77777777" w:rsidR="004E65A9" w:rsidRPr="00BD1AD5" w:rsidRDefault="004E65A9" w:rsidP="008600F3">
            <w:pPr>
              <w:keepNext/>
              <w:autoSpaceDE w:val="0"/>
              <w:autoSpaceDN w:val="0"/>
              <w:adjustRightInd w:val="0"/>
              <w:jc w:val="center"/>
              <w:rPr>
                <w:b/>
                <w:sz w:val="20"/>
              </w:rPr>
            </w:pPr>
            <w:r>
              <w:rPr>
                <w:b/>
                <w:sz w:val="20"/>
              </w:rPr>
              <w:t>Placebo</w:t>
            </w:r>
          </w:p>
          <w:p w14:paraId="7FAD3F1F" w14:textId="77777777" w:rsidR="004E65A9" w:rsidRPr="00BD1AD5" w:rsidRDefault="004E65A9" w:rsidP="008600F3">
            <w:pPr>
              <w:keepNext/>
              <w:autoSpaceDE w:val="0"/>
              <w:autoSpaceDN w:val="0"/>
              <w:adjustRightInd w:val="0"/>
              <w:jc w:val="center"/>
              <w:rPr>
                <w:b/>
                <w:sz w:val="20"/>
                <w:lang w:eastAsia="ja-JP"/>
              </w:rPr>
            </w:pPr>
          </w:p>
          <w:p w14:paraId="345B7296" w14:textId="77777777" w:rsidR="004E65A9" w:rsidRPr="00BD1AD5" w:rsidRDefault="004E65A9" w:rsidP="008600F3">
            <w:pPr>
              <w:keepNext/>
              <w:autoSpaceDE w:val="0"/>
              <w:autoSpaceDN w:val="0"/>
              <w:adjustRightInd w:val="0"/>
              <w:jc w:val="center"/>
              <w:rPr>
                <w:b/>
                <w:sz w:val="20"/>
              </w:rPr>
            </w:pPr>
            <w:r>
              <w:rPr>
                <w:b/>
                <w:sz w:val="20"/>
              </w:rPr>
              <w:t>+/-</w:t>
            </w:r>
          </w:p>
          <w:p w14:paraId="3347B4BE" w14:textId="77777777" w:rsidR="004E65A9" w:rsidRPr="00BD1AD5" w:rsidRDefault="004E65A9" w:rsidP="008600F3">
            <w:pPr>
              <w:keepNext/>
              <w:autoSpaceDE w:val="0"/>
              <w:autoSpaceDN w:val="0"/>
              <w:adjustRightInd w:val="0"/>
              <w:jc w:val="center"/>
              <w:rPr>
                <w:b/>
                <w:sz w:val="20"/>
              </w:rPr>
            </w:pPr>
            <w:r>
              <w:rPr>
                <w:b/>
                <w:sz w:val="20"/>
              </w:rPr>
              <w:t>DMARDs</w:t>
            </w:r>
          </w:p>
          <w:p w14:paraId="60EDA51A" w14:textId="77777777" w:rsidR="004E65A9" w:rsidRPr="00BD1AD5" w:rsidRDefault="004E65A9" w:rsidP="008600F3">
            <w:pPr>
              <w:keepNext/>
              <w:autoSpaceDE w:val="0"/>
              <w:autoSpaceDN w:val="0"/>
              <w:adjustRightInd w:val="0"/>
              <w:jc w:val="center"/>
              <w:rPr>
                <w:b/>
                <w:sz w:val="20"/>
              </w:rPr>
            </w:pPr>
            <w:r>
              <w:rPr>
                <w:b/>
                <w:sz w:val="20"/>
              </w:rPr>
              <w:t>n=169</w:t>
            </w:r>
          </w:p>
        </w:tc>
        <w:tc>
          <w:tcPr>
            <w:tcW w:w="1025" w:type="dxa"/>
          </w:tcPr>
          <w:p w14:paraId="17E3CC9C" w14:textId="77777777" w:rsidR="004E65A9" w:rsidRPr="00BD1AD5" w:rsidRDefault="004E65A9" w:rsidP="008600F3">
            <w:pPr>
              <w:keepNext/>
              <w:autoSpaceDE w:val="0"/>
              <w:autoSpaceDN w:val="0"/>
              <w:adjustRightInd w:val="0"/>
              <w:ind w:left="-87" w:right="-111"/>
              <w:jc w:val="center"/>
              <w:rPr>
                <w:b/>
                <w:sz w:val="20"/>
              </w:rPr>
            </w:pPr>
            <w:r>
              <w:rPr>
                <w:b/>
                <w:sz w:val="20"/>
              </w:rPr>
              <w:t>Apremilast 30 mg to ganger daglig</w:t>
            </w:r>
          </w:p>
          <w:p w14:paraId="192D414F" w14:textId="77777777" w:rsidR="004E65A9" w:rsidRPr="00BD1AD5" w:rsidRDefault="004E65A9" w:rsidP="008600F3">
            <w:pPr>
              <w:keepNext/>
              <w:autoSpaceDE w:val="0"/>
              <w:autoSpaceDN w:val="0"/>
              <w:adjustRightInd w:val="0"/>
              <w:ind w:left="-87" w:right="-111"/>
              <w:jc w:val="center"/>
              <w:rPr>
                <w:b/>
                <w:sz w:val="20"/>
              </w:rPr>
            </w:pPr>
            <w:r>
              <w:rPr>
                <w:b/>
                <w:sz w:val="20"/>
              </w:rPr>
              <w:t>+/-</w:t>
            </w:r>
          </w:p>
          <w:p w14:paraId="782F35DC" w14:textId="77777777" w:rsidR="004E65A9" w:rsidRPr="00BD1AD5" w:rsidRDefault="004E65A9" w:rsidP="008600F3">
            <w:pPr>
              <w:keepNext/>
              <w:autoSpaceDE w:val="0"/>
              <w:autoSpaceDN w:val="0"/>
              <w:adjustRightInd w:val="0"/>
              <w:ind w:left="-87" w:right="-111"/>
              <w:jc w:val="center"/>
              <w:rPr>
                <w:b/>
                <w:sz w:val="20"/>
              </w:rPr>
            </w:pPr>
            <w:r>
              <w:rPr>
                <w:b/>
                <w:sz w:val="20"/>
              </w:rPr>
              <w:t>DMARDs</w:t>
            </w:r>
          </w:p>
          <w:p w14:paraId="463221AC" w14:textId="77777777" w:rsidR="004E65A9" w:rsidRPr="00BD1AD5" w:rsidRDefault="004E65A9" w:rsidP="008600F3">
            <w:pPr>
              <w:keepNext/>
              <w:autoSpaceDE w:val="0"/>
              <w:autoSpaceDN w:val="0"/>
              <w:adjustRightInd w:val="0"/>
              <w:ind w:left="-87" w:right="-111"/>
              <w:jc w:val="center"/>
              <w:rPr>
                <w:b/>
                <w:sz w:val="20"/>
              </w:rPr>
            </w:pPr>
            <w:r>
              <w:rPr>
                <w:b/>
                <w:sz w:val="20"/>
              </w:rPr>
              <w:t>n=167</w:t>
            </w:r>
          </w:p>
        </w:tc>
        <w:tc>
          <w:tcPr>
            <w:tcW w:w="1077" w:type="dxa"/>
          </w:tcPr>
          <w:p w14:paraId="0C429AEE" w14:textId="77777777" w:rsidR="004E65A9" w:rsidRPr="00BD1AD5" w:rsidRDefault="004E65A9" w:rsidP="008600F3">
            <w:pPr>
              <w:keepNext/>
              <w:autoSpaceDE w:val="0"/>
              <w:autoSpaceDN w:val="0"/>
              <w:adjustRightInd w:val="0"/>
              <w:jc w:val="center"/>
              <w:rPr>
                <w:b/>
                <w:sz w:val="20"/>
              </w:rPr>
            </w:pPr>
            <w:r>
              <w:rPr>
                <w:b/>
                <w:sz w:val="20"/>
              </w:rPr>
              <w:t>Placebo</w:t>
            </w:r>
          </w:p>
          <w:p w14:paraId="723E4EF6" w14:textId="77777777" w:rsidR="004E65A9" w:rsidRPr="00BD1AD5" w:rsidRDefault="004E65A9" w:rsidP="008600F3">
            <w:pPr>
              <w:keepNext/>
              <w:autoSpaceDE w:val="0"/>
              <w:autoSpaceDN w:val="0"/>
              <w:adjustRightInd w:val="0"/>
              <w:jc w:val="center"/>
              <w:rPr>
                <w:b/>
                <w:sz w:val="20"/>
                <w:lang w:eastAsia="ja-JP"/>
              </w:rPr>
            </w:pPr>
          </w:p>
          <w:p w14:paraId="5B681D8A" w14:textId="77777777" w:rsidR="004E65A9" w:rsidRPr="00BD1AD5" w:rsidRDefault="004E65A9" w:rsidP="008600F3">
            <w:pPr>
              <w:keepNext/>
              <w:autoSpaceDE w:val="0"/>
              <w:autoSpaceDN w:val="0"/>
              <w:adjustRightInd w:val="0"/>
              <w:jc w:val="center"/>
              <w:rPr>
                <w:b/>
                <w:sz w:val="20"/>
              </w:rPr>
            </w:pPr>
            <w:r>
              <w:rPr>
                <w:b/>
                <w:sz w:val="20"/>
              </w:rPr>
              <w:t>+/-</w:t>
            </w:r>
          </w:p>
          <w:p w14:paraId="44421FCF" w14:textId="77777777" w:rsidR="004E65A9" w:rsidRPr="00BD1AD5" w:rsidRDefault="004E65A9" w:rsidP="008600F3">
            <w:pPr>
              <w:keepNext/>
              <w:autoSpaceDE w:val="0"/>
              <w:autoSpaceDN w:val="0"/>
              <w:adjustRightInd w:val="0"/>
              <w:jc w:val="center"/>
              <w:rPr>
                <w:b/>
                <w:sz w:val="20"/>
              </w:rPr>
            </w:pPr>
            <w:r>
              <w:rPr>
                <w:b/>
                <w:sz w:val="20"/>
              </w:rPr>
              <w:t>DMARDs</w:t>
            </w:r>
          </w:p>
          <w:p w14:paraId="37CB1886" w14:textId="77777777" w:rsidR="004E65A9" w:rsidRPr="00BD1AD5" w:rsidRDefault="004E65A9" w:rsidP="008600F3">
            <w:pPr>
              <w:keepNext/>
              <w:autoSpaceDE w:val="0"/>
              <w:autoSpaceDN w:val="0"/>
              <w:adjustRightInd w:val="0"/>
              <w:jc w:val="center"/>
              <w:rPr>
                <w:b/>
                <w:sz w:val="20"/>
              </w:rPr>
            </w:pPr>
            <w:r>
              <w:rPr>
                <w:b/>
                <w:sz w:val="20"/>
              </w:rPr>
              <w:t>n=496</w:t>
            </w:r>
          </w:p>
        </w:tc>
        <w:tc>
          <w:tcPr>
            <w:tcW w:w="1022" w:type="dxa"/>
          </w:tcPr>
          <w:p w14:paraId="05789BBC" w14:textId="77777777" w:rsidR="004E65A9" w:rsidRPr="00BD1AD5" w:rsidRDefault="004E65A9" w:rsidP="008600F3">
            <w:pPr>
              <w:keepNext/>
              <w:autoSpaceDE w:val="0"/>
              <w:autoSpaceDN w:val="0"/>
              <w:adjustRightInd w:val="0"/>
              <w:ind w:left="-87" w:right="-111"/>
              <w:jc w:val="center"/>
              <w:rPr>
                <w:b/>
                <w:sz w:val="20"/>
              </w:rPr>
            </w:pPr>
            <w:r>
              <w:rPr>
                <w:b/>
                <w:sz w:val="20"/>
              </w:rPr>
              <w:t>Apremilast 30 mg to ganger daglig</w:t>
            </w:r>
          </w:p>
          <w:p w14:paraId="7EFB209C" w14:textId="77777777" w:rsidR="004E65A9" w:rsidRPr="00BD1AD5" w:rsidRDefault="004E65A9" w:rsidP="008600F3">
            <w:pPr>
              <w:keepNext/>
              <w:autoSpaceDE w:val="0"/>
              <w:autoSpaceDN w:val="0"/>
              <w:adjustRightInd w:val="0"/>
              <w:ind w:left="-87" w:right="-111"/>
              <w:jc w:val="center"/>
              <w:rPr>
                <w:b/>
                <w:sz w:val="20"/>
              </w:rPr>
            </w:pPr>
            <w:r>
              <w:rPr>
                <w:b/>
                <w:sz w:val="20"/>
              </w:rPr>
              <w:t>+/-</w:t>
            </w:r>
          </w:p>
          <w:p w14:paraId="031EEC0C" w14:textId="77777777" w:rsidR="004E65A9" w:rsidRPr="00BD1AD5" w:rsidRDefault="004E65A9" w:rsidP="008600F3">
            <w:pPr>
              <w:keepNext/>
              <w:autoSpaceDE w:val="0"/>
              <w:autoSpaceDN w:val="0"/>
              <w:adjustRightInd w:val="0"/>
              <w:ind w:left="-87" w:right="-111"/>
              <w:jc w:val="center"/>
              <w:rPr>
                <w:b/>
                <w:sz w:val="20"/>
              </w:rPr>
            </w:pPr>
            <w:r>
              <w:rPr>
                <w:b/>
                <w:sz w:val="20"/>
              </w:rPr>
              <w:t>DMARDs</w:t>
            </w:r>
          </w:p>
          <w:p w14:paraId="54524713" w14:textId="77777777" w:rsidR="004E65A9" w:rsidRPr="00BD1AD5" w:rsidRDefault="004E65A9" w:rsidP="008600F3">
            <w:pPr>
              <w:keepNext/>
              <w:autoSpaceDE w:val="0"/>
              <w:autoSpaceDN w:val="0"/>
              <w:adjustRightInd w:val="0"/>
              <w:ind w:left="-87" w:right="-111"/>
              <w:jc w:val="center"/>
              <w:rPr>
                <w:b/>
                <w:sz w:val="20"/>
              </w:rPr>
            </w:pPr>
            <w:r>
              <w:rPr>
                <w:b/>
                <w:sz w:val="20"/>
              </w:rPr>
              <w:t>n=497</w:t>
            </w:r>
          </w:p>
        </w:tc>
      </w:tr>
      <w:tr w:rsidR="004E65A9" w:rsidRPr="00BD1AD5" w14:paraId="234C7E16" w14:textId="77777777" w:rsidTr="008600F3">
        <w:trPr>
          <w:cantSplit/>
          <w:trHeight w:val="375"/>
        </w:trPr>
        <w:tc>
          <w:tcPr>
            <w:tcW w:w="1019" w:type="dxa"/>
            <w:vAlign w:val="center"/>
          </w:tcPr>
          <w:p w14:paraId="307EA880" w14:textId="77777777" w:rsidR="004E65A9" w:rsidRPr="00BD1AD5" w:rsidRDefault="004E65A9" w:rsidP="008600F3">
            <w:pPr>
              <w:keepNext/>
              <w:autoSpaceDE w:val="0"/>
              <w:autoSpaceDN w:val="0"/>
              <w:adjustRightInd w:val="0"/>
              <w:rPr>
                <w:b/>
                <w:sz w:val="20"/>
              </w:rPr>
            </w:pPr>
            <w:r>
              <w:rPr>
                <w:b/>
                <w:sz w:val="20"/>
              </w:rPr>
              <w:t>ACR 20</w:t>
            </w:r>
            <w:r>
              <w:rPr>
                <w:b/>
                <w:sz w:val="20"/>
                <w:vertAlign w:val="superscript"/>
              </w:rPr>
              <w:t>a</w:t>
            </w:r>
          </w:p>
        </w:tc>
        <w:tc>
          <w:tcPr>
            <w:tcW w:w="1077" w:type="dxa"/>
            <w:vAlign w:val="center"/>
          </w:tcPr>
          <w:p w14:paraId="06130DA5" w14:textId="77777777" w:rsidR="004E65A9" w:rsidRPr="00BD1AD5" w:rsidRDefault="004E65A9" w:rsidP="008600F3">
            <w:pPr>
              <w:keepNext/>
              <w:autoSpaceDE w:val="0"/>
              <w:autoSpaceDN w:val="0"/>
              <w:adjustRightInd w:val="0"/>
              <w:jc w:val="center"/>
              <w:rPr>
                <w:sz w:val="20"/>
                <w:lang w:eastAsia="ja-JP"/>
              </w:rPr>
            </w:pPr>
          </w:p>
        </w:tc>
        <w:tc>
          <w:tcPr>
            <w:tcW w:w="1020" w:type="dxa"/>
            <w:vAlign w:val="center"/>
          </w:tcPr>
          <w:p w14:paraId="23FF2FEF" w14:textId="77777777" w:rsidR="004E65A9" w:rsidRPr="00BD1AD5" w:rsidRDefault="004E65A9" w:rsidP="008600F3">
            <w:pPr>
              <w:keepNext/>
              <w:autoSpaceDE w:val="0"/>
              <w:autoSpaceDN w:val="0"/>
              <w:adjustRightInd w:val="0"/>
              <w:jc w:val="center"/>
              <w:rPr>
                <w:sz w:val="20"/>
                <w:lang w:eastAsia="ja-JP"/>
              </w:rPr>
            </w:pPr>
          </w:p>
        </w:tc>
        <w:tc>
          <w:tcPr>
            <w:tcW w:w="1077" w:type="dxa"/>
            <w:vAlign w:val="center"/>
          </w:tcPr>
          <w:p w14:paraId="0FDEB81F" w14:textId="77777777" w:rsidR="004E65A9" w:rsidRPr="00BD1AD5" w:rsidRDefault="004E65A9" w:rsidP="008600F3">
            <w:pPr>
              <w:keepNext/>
              <w:autoSpaceDE w:val="0"/>
              <w:autoSpaceDN w:val="0"/>
              <w:adjustRightInd w:val="0"/>
              <w:jc w:val="center"/>
              <w:rPr>
                <w:sz w:val="20"/>
                <w:lang w:eastAsia="ja-JP"/>
              </w:rPr>
            </w:pPr>
          </w:p>
        </w:tc>
        <w:tc>
          <w:tcPr>
            <w:tcW w:w="1019" w:type="dxa"/>
            <w:vAlign w:val="center"/>
          </w:tcPr>
          <w:p w14:paraId="6E4A3DFF" w14:textId="77777777" w:rsidR="004E65A9" w:rsidRPr="00BD1AD5" w:rsidRDefault="004E65A9" w:rsidP="008600F3">
            <w:pPr>
              <w:keepNext/>
              <w:autoSpaceDE w:val="0"/>
              <w:autoSpaceDN w:val="0"/>
              <w:adjustRightInd w:val="0"/>
              <w:jc w:val="center"/>
              <w:rPr>
                <w:sz w:val="20"/>
                <w:lang w:eastAsia="ja-JP"/>
              </w:rPr>
            </w:pPr>
          </w:p>
        </w:tc>
        <w:tc>
          <w:tcPr>
            <w:tcW w:w="1077" w:type="dxa"/>
            <w:vAlign w:val="center"/>
          </w:tcPr>
          <w:p w14:paraId="31395D71" w14:textId="77777777" w:rsidR="004E65A9" w:rsidRPr="00BD1AD5" w:rsidRDefault="004E65A9" w:rsidP="008600F3">
            <w:pPr>
              <w:keepNext/>
              <w:autoSpaceDE w:val="0"/>
              <w:autoSpaceDN w:val="0"/>
              <w:adjustRightInd w:val="0"/>
              <w:jc w:val="center"/>
              <w:rPr>
                <w:sz w:val="20"/>
                <w:lang w:eastAsia="ja-JP"/>
              </w:rPr>
            </w:pPr>
          </w:p>
        </w:tc>
        <w:tc>
          <w:tcPr>
            <w:tcW w:w="1025" w:type="dxa"/>
            <w:vAlign w:val="center"/>
          </w:tcPr>
          <w:p w14:paraId="00C290FF" w14:textId="77777777" w:rsidR="004E65A9" w:rsidRPr="00BD1AD5" w:rsidRDefault="004E65A9" w:rsidP="008600F3">
            <w:pPr>
              <w:keepNext/>
              <w:autoSpaceDE w:val="0"/>
              <w:autoSpaceDN w:val="0"/>
              <w:adjustRightInd w:val="0"/>
              <w:jc w:val="center"/>
              <w:rPr>
                <w:sz w:val="20"/>
                <w:lang w:eastAsia="ja-JP"/>
              </w:rPr>
            </w:pPr>
          </w:p>
        </w:tc>
        <w:tc>
          <w:tcPr>
            <w:tcW w:w="1077" w:type="dxa"/>
            <w:vAlign w:val="center"/>
          </w:tcPr>
          <w:p w14:paraId="43412B0D" w14:textId="77777777" w:rsidR="004E65A9" w:rsidRPr="00BD1AD5" w:rsidRDefault="004E65A9" w:rsidP="008600F3">
            <w:pPr>
              <w:keepNext/>
              <w:autoSpaceDE w:val="0"/>
              <w:autoSpaceDN w:val="0"/>
              <w:adjustRightInd w:val="0"/>
              <w:jc w:val="center"/>
              <w:rPr>
                <w:sz w:val="20"/>
                <w:lang w:eastAsia="ja-JP"/>
              </w:rPr>
            </w:pPr>
          </w:p>
        </w:tc>
        <w:tc>
          <w:tcPr>
            <w:tcW w:w="1022" w:type="dxa"/>
            <w:vAlign w:val="center"/>
          </w:tcPr>
          <w:p w14:paraId="361D7634" w14:textId="77777777" w:rsidR="004E65A9" w:rsidRPr="00BD1AD5" w:rsidRDefault="004E65A9" w:rsidP="008600F3">
            <w:pPr>
              <w:keepNext/>
              <w:autoSpaceDE w:val="0"/>
              <w:autoSpaceDN w:val="0"/>
              <w:adjustRightInd w:val="0"/>
              <w:jc w:val="center"/>
              <w:rPr>
                <w:sz w:val="20"/>
                <w:lang w:eastAsia="ja-JP"/>
              </w:rPr>
            </w:pPr>
          </w:p>
        </w:tc>
      </w:tr>
      <w:tr w:rsidR="004E65A9" w:rsidRPr="00BD1AD5" w14:paraId="44B7BC07" w14:textId="77777777" w:rsidTr="008600F3">
        <w:trPr>
          <w:cantSplit/>
          <w:trHeight w:val="375"/>
        </w:trPr>
        <w:tc>
          <w:tcPr>
            <w:tcW w:w="1019" w:type="dxa"/>
            <w:vAlign w:val="center"/>
          </w:tcPr>
          <w:p w14:paraId="488DD9A0" w14:textId="77777777" w:rsidR="004E65A9" w:rsidRPr="00BD1AD5" w:rsidRDefault="004E65A9" w:rsidP="008600F3">
            <w:pPr>
              <w:keepNext/>
              <w:autoSpaceDE w:val="0"/>
              <w:autoSpaceDN w:val="0"/>
              <w:adjustRightInd w:val="0"/>
              <w:rPr>
                <w:b/>
                <w:sz w:val="20"/>
              </w:rPr>
            </w:pPr>
            <w:r>
              <w:rPr>
                <w:b/>
                <w:sz w:val="20"/>
              </w:rPr>
              <w:t>Uke 16</w:t>
            </w:r>
          </w:p>
        </w:tc>
        <w:tc>
          <w:tcPr>
            <w:tcW w:w="1077" w:type="dxa"/>
            <w:vAlign w:val="center"/>
          </w:tcPr>
          <w:p w14:paraId="04E29B7B" w14:textId="77777777" w:rsidR="004E65A9" w:rsidRPr="00BD1AD5" w:rsidRDefault="004E65A9" w:rsidP="008600F3">
            <w:pPr>
              <w:keepNext/>
              <w:autoSpaceDE w:val="0"/>
              <w:autoSpaceDN w:val="0"/>
              <w:adjustRightInd w:val="0"/>
              <w:jc w:val="center"/>
              <w:rPr>
                <w:sz w:val="20"/>
              </w:rPr>
            </w:pPr>
            <w:r>
              <w:rPr>
                <w:sz w:val="20"/>
              </w:rPr>
              <w:t>19,0 %</w:t>
            </w:r>
          </w:p>
        </w:tc>
        <w:tc>
          <w:tcPr>
            <w:tcW w:w="1020" w:type="dxa"/>
            <w:vAlign w:val="center"/>
          </w:tcPr>
          <w:p w14:paraId="047374AF" w14:textId="77777777" w:rsidR="004E65A9" w:rsidRPr="00BD1AD5" w:rsidRDefault="004E65A9" w:rsidP="008600F3">
            <w:pPr>
              <w:keepNext/>
              <w:autoSpaceDE w:val="0"/>
              <w:autoSpaceDN w:val="0"/>
              <w:adjustRightInd w:val="0"/>
              <w:jc w:val="center"/>
              <w:rPr>
                <w:sz w:val="20"/>
              </w:rPr>
            </w:pPr>
            <w:r>
              <w:rPr>
                <w:sz w:val="20"/>
              </w:rPr>
              <w:t>38,1 %**</w:t>
            </w:r>
          </w:p>
        </w:tc>
        <w:tc>
          <w:tcPr>
            <w:tcW w:w="1077" w:type="dxa"/>
            <w:vAlign w:val="center"/>
          </w:tcPr>
          <w:p w14:paraId="5C501D7D" w14:textId="77777777" w:rsidR="004E65A9" w:rsidRPr="00BD1AD5" w:rsidRDefault="004E65A9" w:rsidP="008600F3">
            <w:pPr>
              <w:keepNext/>
              <w:autoSpaceDE w:val="0"/>
              <w:autoSpaceDN w:val="0"/>
              <w:adjustRightInd w:val="0"/>
              <w:jc w:val="center"/>
              <w:rPr>
                <w:sz w:val="20"/>
              </w:rPr>
            </w:pPr>
            <w:r>
              <w:rPr>
                <w:sz w:val="20"/>
              </w:rPr>
              <w:t>18,9 %</w:t>
            </w:r>
          </w:p>
        </w:tc>
        <w:tc>
          <w:tcPr>
            <w:tcW w:w="1019" w:type="dxa"/>
            <w:vAlign w:val="center"/>
          </w:tcPr>
          <w:p w14:paraId="08881BEE" w14:textId="77777777" w:rsidR="004E65A9" w:rsidRPr="00BD1AD5" w:rsidRDefault="004E65A9" w:rsidP="008600F3">
            <w:pPr>
              <w:keepNext/>
              <w:autoSpaceDE w:val="0"/>
              <w:autoSpaceDN w:val="0"/>
              <w:adjustRightInd w:val="0"/>
              <w:jc w:val="center"/>
              <w:rPr>
                <w:sz w:val="20"/>
              </w:rPr>
            </w:pPr>
            <w:r>
              <w:rPr>
                <w:sz w:val="20"/>
              </w:rPr>
              <w:t>32,1 %*</w:t>
            </w:r>
          </w:p>
        </w:tc>
        <w:tc>
          <w:tcPr>
            <w:tcW w:w="1077" w:type="dxa"/>
            <w:vAlign w:val="center"/>
          </w:tcPr>
          <w:p w14:paraId="68A432EE" w14:textId="77777777" w:rsidR="004E65A9" w:rsidRPr="00BD1AD5" w:rsidRDefault="004E65A9" w:rsidP="008600F3">
            <w:pPr>
              <w:keepNext/>
              <w:autoSpaceDE w:val="0"/>
              <w:autoSpaceDN w:val="0"/>
              <w:adjustRightInd w:val="0"/>
              <w:jc w:val="center"/>
              <w:rPr>
                <w:sz w:val="20"/>
              </w:rPr>
            </w:pPr>
            <w:r>
              <w:rPr>
                <w:sz w:val="20"/>
              </w:rPr>
              <w:t>18,3 %</w:t>
            </w:r>
          </w:p>
        </w:tc>
        <w:tc>
          <w:tcPr>
            <w:tcW w:w="1025" w:type="dxa"/>
            <w:vAlign w:val="center"/>
          </w:tcPr>
          <w:p w14:paraId="7E42BA83" w14:textId="77777777" w:rsidR="004E65A9" w:rsidRPr="00BD1AD5" w:rsidRDefault="004E65A9" w:rsidP="008600F3">
            <w:pPr>
              <w:keepNext/>
              <w:autoSpaceDE w:val="0"/>
              <w:autoSpaceDN w:val="0"/>
              <w:adjustRightInd w:val="0"/>
              <w:jc w:val="center"/>
              <w:rPr>
                <w:sz w:val="20"/>
              </w:rPr>
            </w:pPr>
            <w:r>
              <w:rPr>
                <w:sz w:val="20"/>
              </w:rPr>
              <w:t>40,7 %**</w:t>
            </w:r>
          </w:p>
        </w:tc>
        <w:tc>
          <w:tcPr>
            <w:tcW w:w="1077" w:type="dxa"/>
            <w:vAlign w:val="center"/>
          </w:tcPr>
          <w:p w14:paraId="60FA1C90" w14:textId="77777777" w:rsidR="004E65A9" w:rsidRPr="00BD1AD5" w:rsidRDefault="004E65A9" w:rsidP="008600F3">
            <w:pPr>
              <w:keepNext/>
              <w:autoSpaceDE w:val="0"/>
              <w:autoSpaceDN w:val="0"/>
              <w:adjustRightInd w:val="0"/>
              <w:jc w:val="center"/>
              <w:rPr>
                <w:sz w:val="20"/>
              </w:rPr>
            </w:pPr>
            <w:r>
              <w:rPr>
                <w:sz w:val="20"/>
              </w:rPr>
              <w:t>18,8 %</w:t>
            </w:r>
          </w:p>
        </w:tc>
        <w:tc>
          <w:tcPr>
            <w:tcW w:w="1022" w:type="dxa"/>
            <w:vAlign w:val="center"/>
          </w:tcPr>
          <w:p w14:paraId="7626AC95" w14:textId="77777777" w:rsidR="004E65A9" w:rsidRPr="00BD1AD5" w:rsidRDefault="004E65A9" w:rsidP="008600F3">
            <w:pPr>
              <w:keepNext/>
              <w:autoSpaceDE w:val="0"/>
              <w:autoSpaceDN w:val="0"/>
              <w:adjustRightInd w:val="0"/>
              <w:jc w:val="center"/>
              <w:rPr>
                <w:sz w:val="20"/>
              </w:rPr>
            </w:pPr>
            <w:r>
              <w:rPr>
                <w:sz w:val="20"/>
              </w:rPr>
              <w:t>37,0 %**</w:t>
            </w:r>
          </w:p>
        </w:tc>
      </w:tr>
      <w:tr w:rsidR="004E65A9" w:rsidRPr="00BD1AD5" w14:paraId="3B563078" w14:textId="77777777" w:rsidTr="008600F3">
        <w:trPr>
          <w:cantSplit/>
          <w:trHeight w:val="375"/>
        </w:trPr>
        <w:tc>
          <w:tcPr>
            <w:tcW w:w="1019" w:type="dxa"/>
            <w:vAlign w:val="center"/>
          </w:tcPr>
          <w:p w14:paraId="57B52199" w14:textId="77777777" w:rsidR="004E65A9" w:rsidRPr="00BD1AD5" w:rsidRDefault="004E65A9" w:rsidP="008600F3">
            <w:pPr>
              <w:autoSpaceDE w:val="0"/>
              <w:autoSpaceDN w:val="0"/>
              <w:adjustRightInd w:val="0"/>
              <w:rPr>
                <w:b/>
                <w:sz w:val="20"/>
              </w:rPr>
            </w:pPr>
            <w:r>
              <w:rPr>
                <w:b/>
                <w:sz w:val="20"/>
              </w:rPr>
              <w:t>ACR 50</w:t>
            </w:r>
          </w:p>
        </w:tc>
        <w:tc>
          <w:tcPr>
            <w:tcW w:w="1077" w:type="dxa"/>
            <w:vAlign w:val="center"/>
          </w:tcPr>
          <w:p w14:paraId="5AD6C83E" w14:textId="77777777" w:rsidR="004E65A9" w:rsidRPr="00BD1AD5" w:rsidRDefault="004E65A9" w:rsidP="008600F3">
            <w:pPr>
              <w:autoSpaceDE w:val="0"/>
              <w:autoSpaceDN w:val="0"/>
              <w:adjustRightInd w:val="0"/>
              <w:jc w:val="center"/>
              <w:rPr>
                <w:sz w:val="20"/>
                <w:lang w:eastAsia="ja-JP"/>
              </w:rPr>
            </w:pPr>
          </w:p>
        </w:tc>
        <w:tc>
          <w:tcPr>
            <w:tcW w:w="1020" w:type="dxa"/>
            <w:vAlign w:val="center"/>
          </w:tcPr>
          <w:p w14:paraId="7CCCCE4F" w14:textId="77777777" w:rsidR="004E65A9" w:rsidRPr="00BD1AD5" w:rsidRDefault="004E65A9" w:rsidP="008600F3">
            <w:pPr>
              <w:autoSpaceDE w:val="0"/>
              <w:autoSpaceDN w:val="0"/>
              <w:adjustRightInd w:val="0"/>
              <w:jc w:val="center"/>
              <w:rPr>
                <w:sz w:val="20"/>
                <w:lang w:eastAsia="ja-JP"/>
              </w:rPr>
            </w:pPr>
          </w:p>
        </w:tc>
        <w:tc>
          <w:tcPr>
            <w:tcW w:w="1077" w:type="dxa"/>
            <w:vAlign w:val="center"/>
          </w:tcPr>
          <w:p w14:paraId="58139A18" w14:textId="77777777" w:rsidR="004E65A9" w:rsidRPr="00BD1AD5" w:rsidRDefault="004E65A9" w:rsidP="008600F3">
            <w:pPr>
              <w:autoSpaceDE w:val="0"/>
              <w:autoSpaceDN w:val="0"/>
              <w:adjustRightInd w:val="0"/>
              <w:jc w:val="center"/>
              <w:rPr>
                <w:sz w:val="20"/>
                <w:lang w:eastAsia="ja-JP"/>
              </w:rPr>
            </w:pPr>
          </w:p>
        </w:tc>
        <w:tc>
          <w:tcPr>
            <w:tcW w:w="1019" w:type="dxa"/>
            <w:vAlign w:val="center"/>
          </w:tcPr>
          <w:p w14:paraId="030B6C0E" w14:textId="77777777" w:rsidR="004E65A9" w:rsidRPr="00BD1AD5" w:rsidRDefault="004E65A9" w:rsidP="008600F3">
            <w:pPr>
              <w:autoSpaceDE w:val="0"/>
              <w:autoSpaceDN w:val="0"/>
              <w:adjustRightInd w:val="0"/>
              <w:jc w:val="center"/>
              <w:rPr>
                <w:sz w:val="20"/>
                <w:lang w:eastAsia="ja-JP"/>
              </w:rPr>
            </w:pPr>
          </w:p>
        </w:tc>
        <w:tc>
          <w:tcPr>
            <w:tcW w:w="1077" w:type="dxa"/>
            <w:vAlign w:val="center"/>
          </w:tcPr>
          <w:p w14:paraId="683D06B0" w14:textId="77777777" w:rsidR="004E65A9" w:rsidRPr="00BD1AD5" w:rsidRDefault="004E65A9" w:rsidP="008600F3">
            <w:pPr>
              <w:autoSpaceDE w:val="0"/>
              <w:autoSpaceDN w:val="0"/>
              <w:adjustRightInd w:val="0"/>
              <w:jc w:val="center"/>
              <w:rPr>
                <w:sz w:val="20"/>
                <w:lang w:eastAsia="ja-JP"/>
              </w:rPr>
            </w:pPr>
          </w:p>
        </w:tc>
        <w:tc>
          <w:tcPr>
            <w:tcW w:w="1025" w:type="dxa"/>
            <w:vAlign w:val="center"/>
          </w:tcPr>
          <w:p w14:paraId="08367139" w14:textId="77777777" w:rsidR="004E65A9" w:rsidRPr="00BD1AD5" w:rsidRDefault="004E65A9" w:rsidP="008600F3">
            <w:pPr>
              <w:autoSpaceDE w:val="0"/>
              <w:autoSpaceDN w:val="0"/>
              <w:adjustRightInd w:val="0"/>
              <w:jc w:val="center"/>
              <w:rPr>
                <w:sz w:val="20"/>
                <w:lang w:eastAsia="ja-JP"/>
              </w:rPr>
            </w:pPr>
          </w:p>
        </w:tc>
        <w:tc>
          <w:tcPr>
            <w:tcW w:w="1077" w:type="dxa"/>
            <w:vAlign w:val="center"/>
          </w:tcPr>
          <w:p w14:paraId="2BA255AD" w14:textId="77777777" w:rsidR="004E65A9" w:rsidRPr="00BD1AD5" w:rsidRDefault="004E65A9" w:rsidP="008600F3">
            <w:pPr>
              <w:autoSpaceDE w:val="0"/>
              <w:autoSpaceDN w:val="0"/>
              <w:adjustRightInd w:val="0"/>
              <w:jc w:val="center"/>
              <w:rPr>
                <w:sz w:val="20"/>
                <w:lang w:eastAsia="ja-JP"/>
              </w:rPr>
            </w:pPr>
          </w:p>
        </w:tc>
        <w:tc>
          <w:tcPr>
            <w:tcW w:w="1022" w:type="dxa"/>
            <w:vAlign w:val="center"/>
          </w:tcPr>
          <w:p w14:paraId="0DBD89A5" w14:textId="77777777" w:rsidR="004E65A9" w:rsidRPr="00BD1AD5" w:rsidRDefault="004E65A9" w:rsidP="008600F3">
            <w:pPr>
              <w:autoSpaceDE w:val="0"/>
              <w:autoSpaceDN w:val="0"/>
              <w:adjustRightInd w:val="0"/>
              <w:jc w:val="center"/>
              <w:rPr>
                <w:sz w:val="20"/>
                <w:lang w:eastAsia="ja-JP"/>
              </w:rPr>
            </w:pPr>
          </w:p>
        </w:tc>
      </w:tr>
      <w:tr w:rsidR="004E65A9" w:rsidRPr="00BD1AD5" w14:paraId="2F809661" w14:textId="77777777" w:rsidTr="008600F3">
        <w:trPr>
          <w:cantSplit/>
          <w:trHeight w:val="488"/>
        </w:trPr>
        <w:tc>
          <w:tcPr>
            <w:tcW w:w="1019" w:type="dxa"/>
            <w:vAlign w:val="center"/>
          </w:tcPr>
          <w:p w14:paraId="748E47E7" w14:textId="77777777" w:rsidR="004E65A9" w:rsidRPr="00BD1AD5" w:rsidRDefault="004E65A9" w:rsidP="008600F3">
            <w:pPr>
              <w:autoSpaceDE w:val="0"/>
              <w:autoSpaceDN w:val="0"/>
              <w:adjustRightInd w:val="0"/>
              <w:rPr>
                <w:b/>
                <w:sz w:val="20"/>
              </w:rPr>
            </w:pPr>
            <w:r>
              <w:rPr>
                <w:b/>
                <w:sz w:val="20"/>
              </w:rPr>
              <w:t>Uke 16</w:t>
            </w:r>
          </w:p>
        </w:tc>
        <w:tc>
          <w:tcPr>
            <w:tcW w:w="1077" w:type="dxa"/>
            <w:vAlign w:val="center"/>
          </w:tcPr>
          <w:p w14:paraId="116960BB" w14:textId="77777777" w:rsidR="004E65A9" w:rsidRPr="00BD1AD5" w:rsidRDefault="004E65A9" w:rsidP="008600F3">
            <w:pPr>
              <w:autoSpaceDE w:val="0"/>
              <w:autoSpaceDN w:val="0"/>
              <w:adjustRightInd w:val="0"/>
              <w:jc w:val="center"/>
              <w:rPr>
                <w:sz w:val="20"/>
              </w:rPr>
            </w:pPr>
            <w:r>
              <w:rPr>
                <w:sz w:val="20"/>
              </w:rPr>
              <w:t>6,0 %</w:t>
            </w:r>
          </w:p>
        </w:tc>
        <w:tc>
          <w:tcPr>
            <w:tcW w:w="1020" w:type="dxa"/>
            <w:vAlign w:val="center"/>
          </w:tcPr>
          <w:p w14:paraId="12B0AA7F" w14:textId="77777777" w:rsidR="004E65A9" w:rsidRPr="00BD1AD5" w:rsidRDefault="004E65A9" w:rsidP="008600F3">
            <w:pPr>
              <w:autoSpaceDE w:val="0"/>
              <w:autoSpaceDN w:val="0"/>
              <w:adjustRightInd w:val="0"/>
              <w:jc w:val="center"/>
              <w:rPr>
                <w:sz w:val="20"/>
              </w:rPr>
            </w:pPr>
            <w:r>
              <w:rPr>
                <w:sz w:val="20"/>
              </w:rPr>
              <w:t>16,1 %*</w:t>
            </w:r>
          </w:p>
        </w:tc>
        <w:tc>
          <w:tcPr>
            <w:tcW w:w="1077" w:type="dxa"/>
            <w:vAlign w:val="center"/>
          </w:tcPr>
          <w:p w14:paraId="1E898555" w14:textId="77777777" w:rsidR="004E65A9" w:rsidRPr="00BD1AD5" w:rsidRDefault="004E65A9" w:rsidP="008600F3">
            <w:pPr>
              <w:jc w:val="center"/>
              <w:rPr>
                <w:sz w:val="20"/>
              </w:rPr>
            </w:pPr>
            <w:r>
              <w:rPr>
                <w:sz w:val="20"/>
              </w:rPr>
              <w:t>5,0 %</w:t>
            </w:r>
          </w:p>
        </w:tc>
        <w:tc>
          <w:tcPr>
            <w:tcW w:w="1019" w:type="dxa"/>
            <w:vAlign w:val="center"/>
          </w:tcPr>
          <w:p w14:paraId="1CCCD464" w14:textId="77777777" w:rsidR="004E65A9" w:rsidRPr="00BD1AD5" w:rsidRDefault="004E65A9" w:rsidP="008600F3">
            <w:pPr>
              <w:jc w:val="center"/>
              <w:rPr>
                <w:sz w:val="20"/>
              </w:rPr>
            </w:pPr>
            <w:r>
              <w:rPr>
                <w:sz w:val="20"/>
              </w:rPr>
              <w:t>10,5 %</w:t>
            </w:r>
          </w:p>
        </w:tc>
        <w:tc>
          <w:tcPr>
            <w:tcW w:w="1077" w:type="dxa"/>
            <w:vAlign w:val="center"/>
          </w:tcPr>
          <w:p w14:paraId="78FCB0E1" w14:textId="77777777" w:rsidR="004E65A9" w:rsidRPr="00BD1AD5" w:rsidRDefault="004E65A9" w:rsidP="008600F3">
            <w:pPr>
              <w:jc w:val="center"/>
              <w:rPr>
                <w:sz w:val="20"/>
              </w:rPr>
            </w:pPr>
            <w:r>
              <w:rPr>
                <w:sz w:val="20"/>
              </w:rPr>
              <w:t>8,3 %</w:t>
            </w:r>
          </w:p>
        </w:tc>
        <w:tc>
          <w:tcPr>
            <w:tcW w:w="1025" w:type="dxa"/>
            <w:vAlign w:val="center"/>
          </w:tcPr>
          <w:p w14:paraId="111A9C8E" w14:textId="77777777" w:rsidR="004E65A9" w:rsidRPr="00BD1AD5" w:rsidRDefault="004E65A9" w:rsidP="008600F3">
            <w:pPr>
              <w:jc w:val="center"/>
              <w:rPr>
                <w:sz w:val="20"/>
              </w:rPr>
            </w:pPr>
            <w:r>
              <w:rPr>
                <w:sz w:val="20"/>
              </w:rPr>
              <w:t>15,0 %</w:t>
            </w:r>
          </w:p>
        </w:tc>
        <w:tc>
          <w:tcPr>
            <w:tcW w:w="1077" w:type="dxa"/>
            <w:vAlign w:val="center"/>
          </w:tcPr>
          <w:p w14:paraId="44F4ADF5" w14:textId="77777777" w:rsidR="004E65A9" w:rsidRPr="00BD1AD5" w:rsidRDefault="004E65A9" w:rsidP="008600F3">
            <w:pPr>
              <w:autoSpaceDE w:val="0"/>
              <w:autoSpaceDN w:val="0"/>
              <w:adjustRightInd w:val="0"/>
              <w:jc w:val="center"/>
              <w:rPr>
                <w:sz w:val="20"/>
              </w:rPr>
            </w:pPr>
            <w:r>
              <w:rPr>
                <w:sz w:val="20"/>
              </w:rPr>
              <w:t>6,5 %</w:t>
            </w:r>
          </w:p>
        </w:tc>
        <w:tc>
          <w:tcPr>
            <w:tcW w:w="1022" w:type="dxa"/>
            <w:vAlign w:val="center"/>
          </w:tcPr>
          <w:p w14:paraId="79C25695" w14:textId="77777777" w:rsidR="004E65A9" w:rsidRPr="00BD1AD5" w:rsidRDefault="004E65A9" w:rsidP="008600F3">
            <w:pPr>
              <w:autoSpaceDE w:val="0"/>
              <w:autoSpaceDN w:val="0"/>
              <w:adjustRightInd w:val="0"/>
              <w:jc w:val="center"/>
              <w:rPr>
                <w:sz w:val="20"/>
              </w:rPr>
            </w:pPr>
            <w:r>
              <w:rPr>
                <w:sz w:val="20"/>
              </w:rPr>
              <w:t>13,9 %**</w:t>
            </w:r>
          </w:p>
        </w:tc>
      </w:tr>
      <w:tr w:rsidR="004E65A9" w:rsidRPr="00BD1AD5" w14:paraId="08DBEEB1" w14:textId="77777777" w:rsidTr="008600F3">
        <w:trPr>
          <w:cantSplit/>
          <w:trHeight w:val="375"/>
        </w:trPr>
        <w:tc>
          <w:tcPr>
            <w:tcW w:w="1019" w:type="dxa"/>
            <w:vAlign w:val="center"/>
          </w:tcPr>
          <w:p w14:paraId="7315D1A4" w14:textId="77777777" w:rsidR="004E65A9" w:rsidRPr="00BD1AD5" w:rsidRDefault="004E65A9" w:rsidP="008600F3">
            <w:pPr>
              <w:keepNext/>
              <w:autoSpaceDE w:val="0"/>
              <w:autoSpaceDN w:val="0"/>
              <w:adjustRightInd w:val="0"/>
              <w:rPr>
                <w:b/>
                <w:sz w:val="20"/>
              </w:rPr>
            </w:pPr>
            <w:r>
              <w:rPr>
                <w:b/>
                <w:sz w:val="20"/>
              </w:rPr>
              <w:t>ACR 70</w:t>
            </w:r>
          </w:p>
        </w:tc>
        <w:tc>
          <w:tcPr>
            <w:tcW w:w="1077" w:type="dxa"/>
            <w:vAlign w:val="center"/>
          </w:tcPr>
          <w:p w14:paraId="27186895" w14:textId="77777777" w:rsidR="004E65A9" w:rsidRPr="00BD1AD5" w:rsidRDefault="004E65A9" w:rsidP="008600F3">
            <w:pPr>
              <w:autoSpaceDE w:val="0"/>
              <w:autoSpaceDN w:val="0"/>
              <w:adjustRightInd w:val="0"/>
              <w:jc w:val="center"/>
              <w:rPr>
                <w:sz w:val="20"/>
                <w:lang w:eastAsia="ja-JP"/>
              </w:rPr>
            </w:pPr>
          </w:p>
        </w:tc>
        <w:tc>
          <w:tcPr>
            <w:tcW w:w="1020" w:type="dxa"/>
            <w:vAlign w:val="center"/>
          </w:tcPr>
          <w:p w14:paraId="6E70D419" w14:textId="77777777" w:rsidR="004E65A9" w:rsidRPr="00BD1AD5" w:rsidRDefault="004E65A9" w:rsidP="008600F3">
            <w:pPr>
              <w:autoSpaceDE w:val="0"/>
              <w:autoSpaceDN w:val="0"/>
              <w:adjustRightInd w:val="0"/>
              <w:jc w:val="center"/>
              <w:rPr>
                <w:sz w:val="20"/>
                <w:lang w:eastAsia="ja-JP"/>
              </w:rPr>
            </w:pPr>
          </w:p>
        </w:tc>
        <w:tc>
          <w:tcPr>
            <w:tcW w:w="1077" w:type="dxa"/>
            <w:vAlign w:val="center"/>
          </w:tcPr>
          <w:p w14:paraId="7985B738" w14:textId="77777777" w:rsidR="004E65A9" w:rsidRPr="00BD1AD5" w:rsidRDefault="004E65A9" w:rsidP="008600F3">
            <w:pPr>
              <w:autoSpaceDE w:val="0"/>
              <w:autoSpaceDN w:val="0"/>
              <w:adjustRightInd w:val="0"/>
              <w:jc w:val="center"/>
              <w:rPr>
                <w:sz w:val="20"/>
                <w:lang w:eastAsia="ja-JP"/>
              </w:rPr>
            </w:pPr>
          </w:p>
        </w:tc>
        <w:tc>
          <w:tcPr>
            <w:tcW w:w="1019" w:type="dxa"/>
            <w:vAlign w:val="center"/>
          </w:tcPr>
          <w:p w14:paraId="19D2CE2A" w14:textId="77777777" w:rsidR="004E65A9" w:rsidRPr="00BD1AD5" w:rsidRDefault="004E65A9" w:rsidP="008600F3">
            <w:pPr>
              <w:autoSpaceDE w:val="0"/>
              <w:autoSpaceDN w:val="0"/>
              <w:adjustRightInd w:val="0"/>
              <w:jc w:val="center"/>
              <w:rPr>
                <w:sz w:val="20"/>
                <w:lang w:eastAsia="ja-JP"/>
              </w:rPr>
            </w:pPr>
          </w:p>
        </w:tc>
        <w:tc>
          <w:tcPr>
            <w:tcW w:w="1077" w:type="dxa"/>
            <w:vAlign w:val="center"/>
          </w:tcPr>
          <w:p w14:paraId="473BED9C" w14:textId="77777777" w:rsidR="004E65A9" w:rsidRPr="00BD1AD5" w:rsidRDefault="004E65A9" w:rsidP="008600F3">
            <w:pPr>
              <w:autoSpaceDE w:val="0"/>
              <w:autoSpaceDN w:val="0"/>
              <w:adjustRightInd w:val="0"/>
              <w:jc w:val="center"/>
              <w:rPr>
                <w:sz w:val="20"/>
                <w:lang w:eastAsia="ja-JP"/>
              </w:rPr>
            </w:pPr>
          </w:p>
        </w:tc>
        <w:tc>
          <w:tcPr>
            <w:tcW w:w="1025" w:type="dxa"/>
            <w:vAlign w:val="center"/>
          </w:tcPr>
          <w:p w14:paraId="61175708" w14:textId="77777777" w:rsidR="004E65A9" w:rsidRPr="00BD1AD5" w:rsidRDefault="004E65A9" w:rsidP="008600F3">
            <w:pPr>
              <w:autoSpaceDE w:val="0"/>
              <w:autoSpaceDN w:val="0"/>
              <w:adjustRightInd w:val="0"/>
              <w:jc w:val="center"/>
              <w:rPr>
                <w:sz w:val="20"/>
                <w:lang w:eastAsia="ja-JP"/>
              </w:rPr>
            </w:pPr>
          </w:p>
        </w:tc>
        <w:tc>
          <w:tcPr>
            <w:tcW w:w="1077" w:type="dxa"/>
            <w:vAlign w:val="center"/>
          </w:tcPr>
          <w:p w14:paraId="5772B42F" w14:textId="77777777" w:rsidR="004E65A9" w:rsidRPr="00BD1AD5" w:rsidRDefault="004E65A9" w:rsidP="008600F3">
            <w:pPr>
              <w:autoSpaceDE w:val="0"/>
              <w:autoSpaceDN w:val="0"/>
              <w:adjustRightInd w:val="0"/>
              <w:jc w:val="center"/>
              <w:rPr>
                <w:sz w:val="20"/>
                <w:lang w:eastAsia="ja-JP"/>
              </w:rPr>
            </w:pPr>
          </w:p>
        </w:tc>
        <w:tc>
          <w:tcPr>
            <w:tcW w:w="1022" w:type="dxa"/>
            <w:vAlign w:val="center"/>
          </w:tcPr>
          <w:p w14:paraId="66774697" w14:textId="77777777" w:rsidR="004E65A9" w:rsidRPr="00BD1AD5" w:rsidRDefault="004E65A9" w:rsidP="008600F3">
            <w:pPr>
              <w:autoSpaceDE w:val="0"/>
              <w:autoSpaceDN w:val="0"/>
              <w:adjustRightInd w:val="0"/>
              <w:jc w:val="center"/>
              <w:rPr>
                <w:sz w:val="20"/>
                <w:lang w:eastAsia="ja-JP"/>
              </w:rPr>
            </w:pPr>
          </w:p>
        </w:tc>
      </w:tr>
      <w:tr w:rsidR="004E65A9" w:rsidRPr="00BD1AD5" w14:paraId="2461398F" w14:textId="77777777" w:rsidTr="008600F3">
        <w:trPr>
          <w:cantSplit/>
          <w:trHeight w:val="375"/>
        </w:trPr>
        <w:tc>
          <w:tcPr>
            <w:tcW w:w="1019" w:type="dxa"/>
            <w:vAlign w:val="center"/>
          </w:tcPr>
          <w:p w14:paraId="7860BBFD" w14:textId="77777777" w:rsidR="004E65A9" w:rsidRPr="00BD1AD5" w:rsidRDefault="004E65A9" w:rsidP="008600F3">
            <w:pPr>
              <w:keepNext/>
              <w:autoSpaceDE w:val="0"/>
              <w:autoSpaceDN w:val="0"/>
              <w:adjustRightInd w:val="0"/>
              <w:rPr>
                <w:b/>
                <w:sz w:val="20"/>
              </w:rPr>
            </w:pPr>
            <w:r>
              <w:rPr>
                <w:b/>
                <w:sz w:val="20"/>
              </w:rPr>
              <w:t>Uke 16</w:t>
            </w:r>
          </w:p>
        </w:tc>
        <w:tc>
          <w:tcPr>
            <w:tcW w:w="1077" w:type="dxa"/>
            <w:vAlign w:val="center"/>
          </w:tcPr>
          <w:p w14:paraId="3218C1E3" w14:textId="77777777" w:rsidR="004E65A9" w:rsidRPr="00BD1AD5" w:rsidRDefault="004E65A9" w:rsidP="008600F3">
            <w:pPr>
              <w:autoSpaceDE w:val="0"/>
              <w:autoSpaceDN w:val="0"/>
              <w:adjustRightInd w:val="0"/>
              <w:jc w:val="center"/>
              <w:rPr>
                <w:sz w:val="20"/>
              </w:rPr>
            </w:pPr>
            <w:r>
              <w:rPr>
                <w:sz w:val="20"/>
              </w:rPr>
              <w:t>1,2 %</w:t>
            </w:r>
          </w:p>
        </w:tc>
        <w:tc>
          <w:tcPr>
            <w:tcW w:w="1020" w:type="dxa"/>
            <w:vAlign w:val="center"/>
          </w:tcPr>
          <w:p w14:paraId="7AD2E75F" w14:textId="77777777" w:rsidR="004E65A9" w:rsidRPr="00BD1AD5" w:rsidRDefault="004E65A9" w:rsidP="008600F3">
            <w:pPr>
              <w:autoSpaceDE w:val="0"/>
              <w:autoSpaceDN w:val="0"/>
              <w:adjustRightInd w:val="0"/>
              <w:jc w:val="center"/>
              <w:rPr>
                <w:sz w:val="20"/>
              </w:rPr>
            </w:pPr>
            <w:r>
              <w:rPr>
                <w:sz w:val="20"/>
              </w:rPr>
              <w:t>4,2 %</w:t>
            </w:r>
          </w:p>
        </w:tc>
        <w:tc>
          <w:tcPr>
            <w:tcW w:w="1077" w:type="dxa"/>
            <w:vAlign w:val="center"/>
          </w:tcPr>
          <w:p w14:paraId="0803136A" w14:textId="77777777" w:rsidR="004E65A9" w:rsidRPr="00BD1AD5" w:rsidRDefault="004E65A9" w:rsidP="008600F3">
            <w:pPr>
              <w:autoSpaceDE w:val="0"/>
              <w:autoSpaceDN w:val="0"/>
              <w:adjustRightInd w:val="0"/>
              <w:jc w:val="center"/>
              <w:rPr>
                <w:sz w:val="20"/>
              </w:rPr>
            </w:pPr>
            <w:r>
              <w:rPr>
                <w:sz w:val="20"/>
              </w:rPr>
              <w:t>0,6 %</w:t>
            </w:r>
          </w:p>
        </w:tc>
        <w:tc>
          <w:tcPr>
            <w:tcW w:w="1019" w:type="dxa"/>
            <w:vAlign w:val="center"/>
          </w:tcPr>
          <w:p w14:paraId="790C6C32" w14:textId="77777777" w:rsidR="004E65A9" w:rsidRPr="00BD1AD5" w:rsidRDefault="004E65A9" w:rsidP="008600F3">
            <w:pPr>
              <w:autoSpaceDE w:val="0"/>
              <w:autoSpaceDN w:val="0"/>
              <w:adjustRightInd w:val="0"/>
              <w:jc w:val="center"/>
              <w:rPr>
                <w:sz w:val="20"/>
              </w:rPr>
            </w:pPr>
            <w:r>
              <w:rPr>
                <w:sz w:val="20"/>
              </w:rPr>
              <w:t>1,2 %</w:t>
            </w:r>
          </w:p>
        </w:tc>
        <w:tc>
          <w:tcPr>
            <w:tcW w:w="1077" w:type="dxa"/>
            <w:vAlign w:val="center"/>
          </w:tcPr>
          <w:p w14:paraId="6C9FBE2F" w14:textId="77777777" w:rsidR="004E65A9" w:rsidRPr="00BD1AD5" w:rsidRDefault="004E65A9" w:rsidP="008600F3">
            <w:pPr>
              <w:autoSpaceDE w:val="0"/>
              <w:autoSpaceDN w:val="0"/>
              <w:adjustRightInd w:val="0"/>
              <w:jc w:val="center"/>
              <w:rPr>
                <w:sz w:val="20"/>
              </w:rPr>
            </w:pPr>
            <w:r>
              <w:rPr>
                <w:sz w:val="20"/>
              </w:rPr>
              <w:t>2,4 %</w:t>
            </w:r>
          </w:p>
        </w:tc>
        <w:tc>
          <w:tcPr>
            <w:tcW w:w="1025" w:type="dxa"/>
            <w:vAlign w:val="center"/>
          </w:tcPr>
          <w:p w14:paraId="47501360" w14:textId="77777777" w:rsidR="004E65A9" w:rsidRPr="00BD1AD5" w:rsidRDefault="004E65A9" w:rsidP="008600F3">
            <w:pPr>
              <w:autoSpaceDE w:val="0"/>
              <w:autoSpaceDN w:val="0"/>
              <w:adjustRightInd w:val="0"/>
              <w:jc w:val="center"/>
              <w:rPr>
                <w:sz w:val="20"/>
              </w:rPr>
            </w:pPr>
            <w:r>
              <w:rPr>
                <w:sz w:val="20"/>
              </w:rPr>
              <w:t>3,6 %</w:t>
            </w:r>
          </w:p>
        </w:tc>
        <w:tc>
          <w:tcPr>
            <w:tcW w:w="1077" w:type="dxa"/>
            <w:vAlign w:val="center"/>
          </w:tcPr>
          <w:p w14:paraId="66041EEB" w14:textId="77777777" w:rsidR="004E65A9" w:rsidRPr="00BD1AD5" w:rsidRDefault="004E65A9" w:rsidP="008600F3">
            <w:pPr>
              <w:autoSpaceDE w:val="0"/>
              <w:autoSpaceDN w:val="0"/>
              <w:adjustRightInd w:val="0"/>
              <w:jc w:val="center"/>
              <w:rPr>
                <w:sz w:val="20"/>
              </w:rPr>
            </w:pPr>
            <w:r>
              <w:rPr>
                <w:sz w:val="20"/>
              </w:rPr>
              <w:t>1,4 %</w:t>
            </w:r>
          </w:p>
        </w:tc>
        <w:tc>
          <w:tcPr>
            <w:tcW w:w="1022" w:type="dxa"/>
            <w:vAlign w:val="center"/>
          </w:tcPr>
          <w:p w14:paraId="4722FD6E" w14:textId="77777777" w:rsidR="004E65A9" w:rsidRPr="00BD1AD5" w:rsidRDefault="004E65A9" w:rsidP="008600F3">
            <w:pPr>
              <w:autoSpaceDE w:val="0"/>
              <w:autoSpaceDN w:val="0"/>
              <w:adjustRightInd w:val="0"/>
              <w:jc w:val="center"/>
              <w:rPr>
                <w:sz w:val="20"/>
              </w:rPr>
            </w:pPr>
            <w:r>
              <w:rPr>
                <w:sz w:val="20"/>
              </w:rPr>
              <w:t>3,0 %</w:t>
            </w:r>
          </w:p>
        </w:tc>
      </w:tr>
    </w:tbl>
    <w:p w14:paraId="40E9D933" w14:textId="77777777" w:rsidR="004E65A9" w:rsidRPr="00BD1AD5" w:rsidRDefault="004E65A9" w:rsidP="003F09AA">
      <w:pPr>
        <w:pStyle w:val="C-BodyText"/>
        <w:spacing w:before="0" w:after="0" w:line="240" w:lineRule="auto"/>
        <w:rPr>
          <w:sz w:val="18"/>
          <w:szCs w:val="18"/>
        </w:rPr>
      </w:pPr>
      <w:r>
        <w:rPr>
          <w:sz w:val="18"/>
        </w:rPr>
        <w:t>*p ≤ 0,01 for apremilast vs. placebo</w:t>
      </w:r>
    </w:p>
    <w:p w14:paraId="663E407C" w14:textId="77777777" w:rsidR="004E65A9" w:rsidRPr="00BD1AD5" w:rsidRDefault="004E65A9" w:rsidP="003F09AA">
      <w:pPr>
        <w:pStyle w:val="C-BodyText"/>
        <w:keepNext/>
        <w:spacing w:before="0" w:after="0" w:line="240" w:lineRule="auto"/>
        <w:rPr>
          <w:sz w:val="18"/>
          <w:szCs w:val="18"/>
        </w:rPr>
      </w:pPr>
      <w:r>
        <w:rPr>
          <w:sz w:val="18"/>
        </w:rPr>
        <w:t>**p ≤ 0,001 for apremilast vs. placebo</w:t>
      </w:r>
    </w:p>
    <w:p w14:paraId="7D3CAF68" w14:textId="77777777" w:rsidR="004E65A9" w:rsidRPr="00BD1AD5" w:rsidRDefault="004E65A9" w:rsidP="003F09AA">
      <w:pPr>
        <w:pStyle w:val="C-BodyText"/>
        <w:spacing w:before="0" w:after="0" w:line="240" w:lineRule="auto"/>
        <w:rPr>
          <w:sz w:val="18"/>
          <w:szCs w:val="18"/>
        </w:rPr>
      </w:pPr>
      <w:r>
        <w:rPr>
          <w:sz w:val="18"/>
          <w:vertAlign w:val="superscript"/>
        </w:rPr>
        <w:t>a</w:t>
      </w:r>
      <w:r>
        <w:rPr>
          <w:sz w:val="18"/>
        </w:rPr>
        <w:t xml:space="preserve"> n er antall pasienter randomisert og behandlet</w:t>
      </w:r>
    </w:p>
    <w:p w14:paraId="1C222B3C" w14:textId="77777777" w:rsidR="004E65A9" w:rsidRPr="00BD1AD5" w:rsidRDefault="004E65A9" w:rsidP="003F09AA"/>
    <w:p w14:paraId="65E15969" w14:textId="566C3A5C" w:rsidR="004E65A9" w:rsidRPr="00D41D27" w:rsidRDefault="00963757" w:rsidP="003F09AA">
      <w:pPr>
        <w:pStyle w:val="Stylebold"/>
      </w:pPr>
      <w:r>
        <w:rPr>
          <w:noProof/>
        </w:rPr>
        <w:pict w14:anchorId="1035B504">
          <v:group id="Group 140" o:spid="_x0000_s2077" style="position:absolute;margin-left:1.7pt;margin-top:18.1pt;width:499.9pt;height:281.95pt;z-index:251656192" coordorigin="1452,7238" coordsize="9998,5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">
            <v:shapetype id="_x0000_t202" coordsize="21600,21600" o:spt="202" path="m,l,21600r21600,l21600,xe">
              <v:stroke joinstyle="miter"/>
              <v:path gradientshapeok="t" o:connecttype="rect"/>
            </v:shapetype>
            <v:shape id="Text Box 8" o:spid="_x0000_s2078" type="#_x0000_t202" style="position:absolute;left:3882;top:11252;width:4842;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" filled="f" stroked="f">
              <v:textbox style="mso-fit-shape-to-text:t" inset="0,0,0,0">
                <w:txbxContent>
                  <w:p w14:paraId="57DABA06" w14:textId="77777777" w:rsidR="004E65A9" w:rsidRPr="00C80DE0" w:rsidRDefault="004E65A9" w:rsidP="003F09AA">
                    <w:pPr>
                      <w:jc w:val="center"/>
                      <w:rPr>
                        <w:rFonts w:ascii="Arial Narrow" w:hAnsi="Arial Narrow"/>
                        <w:bCs/>
                        <w:sz w:val="16"/>
                        <w:szCs w:val="16"/>
                      </w:rPr>
                    </w:pPr>
                    <w:r>
                      <w:rPr>
                        <w:rFonts w:ascii="Arial Narrow" w:hAnsi="Arial Narrow"/>
                        <w:sz w:val="16"/>
                      </w:rPr>
                      <w:t>Studieuke</w:t>
                    </w:r>
                  </w:p>
                </w:txbxContent>
              </v:textbox>
            </v:shape>
            <v:shape id="Text Box 9" o:spid="_x0000_s2079" type="#_x0000_t202" style="position:absolute;left:1529;top:7238;width:245;height:4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" filled="f" stroked="f" strokecolor="white" strokeweight="0">
              <v:textbox style="layout-flow:vertical;mso-layout-flow-alt:bottom-to-top;mso-fit-shape-to-text:t" inset=".5mm,.5mm,.5mm,.5mm">
                <w:txbxContent>
                  <w:p w14:paraId="7D1F547D" w14:textId="77777777" w:rsidR="004E65A9" w:rsidRPr="00125A10" w:rsidRDefault="004E65A9" w:rsidP="003F09AA">
                    <w:pPr>
                      <w:jc w:val="center"/>
                      <w:rPr>
                        <w:rFonts w:ascii="Arial Narrow" w:hAnsi="Arial Narrow" w:cs="Arial"/>
                        <w:bCs/>
                        <w:sz w:val="16"/>
                        <w:szCs w:val="16"/>
                      </w:rPr>
                    </w:pPr>
                    <w:r>
                      <w:rPr>
                        <w:rFonts w:ascii="Arial Narrow" w:hAnsi="Arial Narrow"/>
                        <w:sz w:val="16"/>
                      </w:rPr>
                      <w:t>Responsandel +/- SE (%)</w:t>
                    </w:r>
                  </w:p>
                </w:txbxContent>
              </v:textbox>
            </v:shape>
            <v:shape id="Text Box 10" o:spid="_x0000_s2080" type="#_x0000_t202" style="position:absolute;left:1452;top:11502;width:9998;height: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" filled="f" stroked="f" strokecolor="white" strokeweight="0">
              <v:textbox inset="0,0,0,0">
                <w:txbxContent>
                  <w:tbl>
                    <w:tblPr>
                      <w:tblW w:w="4526" w:type="pct"/>
                      <w:tblInd w:w="84" w:type="dxa"/>
                      <w:tblLayout w:type="fixed"/>
                      <w:tblCellMar>
                        <w:left w:w="113" w:type="dxa"/>
                        <w:right w:w="113" w:type="dxa"/>
                      </w:tblCellMar>
                      <w:tblLook w:val="04A0" w:firstRow="1" w:lastRow="0" w:firstColumn="1" w:lastColumn="0" w:noHBand="0" w:noVBand="1"/>
                    </w:tblPr>
                    <w:tblGrid>
                      <w:gridCol w:w="2717"/>
                      <w:gridCol w:w="1134"/>
                      <w:gridCol w:w="1316"/>
                      <w:gridCol w:w="1063"/>
                      <w:gridCol w:w="1344"/>
                      <w:gridCol w:w="1694"/>
                    </w:tblGrid>
                    <w:tr w:rsidR="004E65A9" w:rsidRPr="00F807FF" w14:paraId="102F787C" w14:textId="77777777" w:rsidTr="0025301E">
                      <w:trPr>
                        <w:trHeight w:val="20"/>
                      </w:trPr>
                      <w:tc>
                        <w:tcPr>
                          <w:tcW w:w="2717" w:type="dxa"/>
                          <w:tcBorders>
                            <w:bottom w:val="single" w:sz="4" w:space="0" w:color="auto"/>
                          </w:tcBorders>
                          <w:vAlign w:val="bottom"/>
                        </w:tcPr>
                        <w:p w14:paraId="35F93739" w14:textId="77777777" w:rsidR="004E65A9" w:rsidRPr="00C80DE0" w:rsidRDefault="004E65A9" w:rsidP="0025301E">
                          <w:pPr>
                            <w:pStyle w:val="Style7ptNarrow"/>
                            <w:jc w:val="left"/>
                            <w:rPr>
                              <w:sz w:val="16"/>
                              <w:szCs w:val="16"/>
                            </w:rPr>
                          </w:pPr>
                          <w:r>
                            <w:rPr>
                              <w:sz w:val="16"/>
                            </w:rPr>
                            <w:t>Endepunkt</w:t>
                          </w:r>
                        </w:p>
                      </w:tc>
                      <w:tc>
                        <w:tcPr>
                          <w:tcW w:w="1134" w:type="dxa"/>
                          <w:tcBorders>
                            <w:bottom w:val="single" w:sz="4" w:space="0" w:color="auto"/>
                          </w:tcBorders>
                          <w:vAlign w:val="bottom"/>
                        </w:tcPr>
                        <w:p w14:paraId="34C84A44" w14:textId="77777777" w:rsidR="004E65A9" w:rsidRPr="00C80DE0" w:rsidRDefault="004E65A9" w:rsidP="0025301E">
                          <w:pPr>
                            <w:jc w:val="center"/>
                            <w:rPr>
                              <w:rFonts w:ascii="Arial Narrow" w:hAnsi="Arial Narrow"/>
                              <w:bCs/>
                              <w:sz w:val="16"/>
                              <w:szCs w:val="16"/>
                            </w:rPr>
                          </w:pPr>
                          <w:r>
                            <w:rPr>
                              <w:rFonts w:ascii="Arial Narrow" w:hAnsi="Arial Narrow"/>
                              <w:sz w:val="16"/>
                            </w:rPr>
                            <w:t>n/m (%)</w:t>
                          </w:r>
                        </w:p>
                      </w:tc>
                      <w:tc>
                        <w:tcPr>
                          <w:tcW w:w="1316" w:type="dxa"/>
                          <w:tcBorders>
                            <w:bottom w:val="single" w:sz="4" w:space="0" w:color="auto"/>
                          </w:tcBorders>
                          <w:vAlign w:val="bottom"/>
                        </w:tcPr>
                        <w:p w14:paraId="02D5F444" w14:textId="77777777" w:rsidR="004E65A9" w:rsidRPr="00C80DE0" w:rsidRDefault="004E65A9" w:rsidP="0025301E">
                          <w:pPr>
                            <w:jc w:val="center"/>
                            <w:rPr>
                              <w:rFonts w:ascii="Arial Narrow" w:hAnsi="Arial Narrow"/>
                              <w:bCs/>
                              <w:sz w:val="16"/>
                              <w:szCs w:val="16"/>
                            </w:rPr>
                          </w:pPr>
                          <w:r>
                            <w:rPr>
                              <w:rFonts w:ascii="Arial Narrow" w:hAnsi="Arial Narrow"/>
                              <w:sz w:val="16"/>
                            </w:rPr>
                            <w:t>n/m (%)</w:t>
                          </w:r>
                        </w:p>
                      </w:tc>
                      <w:tc>
                        <w:tcPr>
                          <w:tcW w:w="1063" w:type="dxa"/>
                          <w:tcBorders>
                            <w:bottom w:val="single" w:sz="4" w:space="0" w:color="auto"/>
                          </w:tcBorders>
                          <w:vAlign w:val="bottom"/>
                        </w:tcPr>
                        <w:p w14:paraId="650874D8" w14:textId="77777777" w:rsidR="004E65A9" w:rsidRPr="00C80DE0" w:rsidRDefault="004E65A9" w:rsidP="0025301E">
                          <w:pPr>
                            <w:rPr>
                              <w:rFonts w:ascii="Arial Narrow" w:hAnsi="Arial Narrow"/>
                              <w:bCs/>
                              <w:sz w:val="16"/>
                              <w:szCs w:val="16"/>
                              <w:lang w:val="es-ES"/>
                            </w:rPr>
                          </w:pPr>
                        </w:p>
                      </w:tc>
                      <w:tc>
                        <w:tcPr>
                          <w:tcW w:w="1344" w:type="dxa"/>
                          <w:tcBorders>
                            <w:bottom w:val="single" w:sz="4" w:space="0" w:color="auto"/>
                          </w:tcBorders>
                          <w:vAlign w:val="bottom"/>
                        </w:tcPr>
                        <w:p w14:paraId="10777FC1" w14:textId="77777777" w:rsidR="004E65A9" w:rsidRPr="00C80DE0" w:rsidRDefault="004E65A9" w:rsidP="0025301E">
                          <w:pPr>
                            <w:jc w:val="center"/>
                            <w:rPr>
                              <w:rFonts w:ascii="Arial Narrow" w:hAnsi="Arial Narrow"/>
                              <w:bCs/>
                              <w:sz w:val="16"/>
                              <w:szCs w:val="16"/>
                            </w:rPr>
                          </w:pPr>
                          <w:r>
                            <w:rPr>
                              <w:rFonts w:ascii="Arial Narrow" w:hAnsi="Arial Narrow"/>
                              <w:sz w:val="16"/>
                            </w:rPr>
                            <w:t>n/m (%)</w:t>
                          </w:r>
                        </w:p>
                      </w:tc>
                      <w:tc>
                        <w:tcPr>
                          <w:tcW w:w="1694" w:type="dxa"/>
                          <w:tcBorders>
                            <w:bottom w:val="single" w:sz="4" w:space="0" w:color="auto"/>
                          </w:tcBorders>
                          <w:vAlign w:val="bottom"/>
                        </w:tcPr>
                        <w:p w14:paraId="536CCE34" w14:textId="77777777" w:rsidR="004E65A9" w:rsidRPr="00C80DE0" w:rsidRDefault="004E65A9" w:rsidP="0025301E">
                          <w:pPr>
                            <w:jc w:val="center"/>
                            <w:rPr>
                              <w:rFonts w:ascii="Arial Narrow" w:hAnsi="Arial Narrow"/>
                              <w:bCs/>
                              <w:sz w:val="16"/>
                              <w:szCs w:val="16"/>
                            </w:rPr>
                          </w:pPr>
                          <w:r>
                            <w:rPr>
                              <w:rFonts w:ascii="Arial Narrow" w:hAnsi="Arial Narrow"/>
                              <w:sz w:val="16"/>
                            </w:rPr>
                            <w:t>n/m (%)</w:t>
                          </w:r>
                        </w:p>
                      </w:tc>
                    </w:tr>
                    <w:tr w:rsidR="004E65A9" w:rsidRPr="00F807FF" w14:paraId="595EB00D" w14:textId="77777777" w:rsidTr="0025301E">
                      <w:trPr>
                        <w:trHeight w:val="20"/>
                      </w:trPr>
                      <w:tc>
                        <w:tcPr>
                          <w:tcW w:w="2717" w:type="dxa"/>
                          <w:tcBorders>
                            <w:top w:val="single" w:sz="4" w:space="0" w:color="auto"/>
                          </w:tcBorders>
                          <w:vAlign w:val="bottom"/>
                        </w:tcPr>
                        <w:p w14:paraId="082DED7D" w14:textId="77777777" w:rsidR="004E65A9" w:rsidRPr="00C80DE0" w:rsidRDefault="004E65A9" w:rsidP="0025301E">
                          <w:pPr>
                            <w:pStyle w:val="Style7ptNarrow"/>
                            <w:jc w:val="left"/>
                            <w:rPr>
                              <w:sz w:val="16"/>
                              <w:szCs w:val="16"/>
                            </w:rPr>
                          </w:pPr>
                          <w:r>
                            <w:rPr>
                              <w:sz w:val="16"/>
                            </w:rPr>
                            <w:t>ACR 20</w:t>
                          </w:r>
                        </w:p>
                      </w:tc>
                      <w:tc>
                        <w:tcPr>
                          <w:tcW w:w="1134" w:type="dxa"/>
                          <w:tcBorders>
                            <w:top w:val="single" w:sz="4" w:space="0" w:color="auto"/>
                          </w:tcBorders>
                          <w:vAlign w:val="bottom"/>
                        </w:tcPr>
                        <w:p w14:paraId="64FC8FFA" w14:textId="77777777" w:rsidR="004E65A9" w:rsidRPr="00C80DE0" w:rsidRDefault="004E65A9" w:rsidP="0025301E">
                          <w:pPr>
                            <w:jc w:val="center"/>
                            <w:rPr>
                              <w:rFonts w:ascii="Arial Narrow" w:hAnsi="Arial Narrow"/>
                              <w:bCs/>
                              <w:sz w:val="16"/>
                              <w:szCs w:val="16"/>
                            </w:rPr>
                          </w:pPr>
                          <w:r>
                            <w:rPr>
                              <w:rFonts w:ascii="Arial Narrow" w:hAnsi="Arial Narrow"/>
                              <w:sz w:val="16"/>
                            </w:rPr>
                            <w:t>184/497 (37,0)</w:t>
                          </w:r>
                        </w:p>
                      </w:tc>
                      <w:tc>
                        <w:tcPr>
                          <w:tcW w:w="1316" w:type="dxa"/>
                          <w:tcBorders>
                            <w:top w:val="single" w:sz="4" w:space="0" w:color="auto"/>
                          </w:tcBorders>
                          <w:vAlign w:val="bottom"/>
                        </w:tcPr>
                        <w:p w14:paraId="482C532B" w14:textId="77777777" w:rsidR="004E65A9" w:rsidRPr="00C80DE0" w:rsidRDefault="004E65A9" w:rsidP="0025301E">
                          <w:pPr>
                            <w:jc w:val="center"/>
                            <w:rPr>
                              <w:rFonts w:ascii="Arial Narrow" w:hAnsi="Arial Narrow"/>
                              <w:bCs/>
                              <w:sz w:val="16"/>
                              <w:szCs w:val="16"/>
                            </w:rPr>
                          </w:pPr>
                          <w:r>
                            <w:rPr>
                              <w:rFonts w:ascii="Arial Narrow" w:hAnsi="Arial Narrow"/>
                              <w:sz w:val="16"/>
                            </w:rPr>
                            <w:t>196/497 (39,4)</w:t>
                          </w:r>
                        </w:p>
                      </w:tc>
                      <w:tc>
                        <w:tcPr>
                          <w:tcW w:w="1063" w:type="dxa"/>
                          <w:tcBorders>
                            <w:top w:val="single" w:sz="4" w:space="0" w:color="auto"/>
                          </w:tcBorders>
                          <w:vAlign w:val="bottom"/>
                        </w:tcPr>
                        <w:p w14:paraId="677F814B" w14:textId="77777777" w:rsidR="004E65A9" w:rsidRPr="00C80DE0" w:rsidRDefault="004E65A9" w:rsidP="0025301E">
                          <w:pPr>
                            <w:jc w:val="center"/>
                            <w:rPr>
                              <w:rFonts w:ascii="Arial Narrow" w:hAnsi="Arial Narrow"/>
                              <w:bCs/>
                              <w:sz w:val="16"/>
                              <w:szCs w:val="16"/>
                              <w:lang w:val="es-ES"/>
                            </w:rPr>
                          </w:pPr>
                        </w:p>
                      </w:tc>
                      <w:tc>
                        <w:tcPr>
                          <w:tcW w:w="1344" w:type="dxa"/>
                          <w:tcBorders>
                            <w:top w:val="single" w:sz="4" w:space="0" w:color="auto"/>
                          </w:tcBorders>
                          <w:vAlign w:val="bottom"/>
                        </w:tcPr>
                        <w:p w14:paraId="219010EF" w14:textId="77777777" w:rsidR="004E65A9" w:rsidRPr="00C80DE0" w:rsidRDefault="004E65A9" w:rsidP="0025301E">
                          <w:pPr>
                            <w:jc w:val="center"/>
                            <w:rPr>
                              <w:rFonts w:ascii="Arial Narrow" w:hAnsi="Arial Narrow"/>
                              <w:bCs/>
                              <w:sz w:val="16"/>
                              <w:szCs w:val="16"/>
                            </w:rPr>
                          </w:pPr>
                          <w:r>
                            <w:rPr>
                              <w:rFonts w:ascii="Arial Narrow" w:hAnsi="Arial Narrow"/>
                              <w:sz w:val="16"/>
                            </w:rPr>
                            <w:t>222/497 (44,7)</w:t>
                          </w:r>
                        </w:p>
                      </w:tc>
                      <w:tc>
                        <w:tcPr>
                          <w:tcW w:w="1694" w:type="dxa"/>
                          <w:tcBorders>
                            <w:top w:val="single" w:sz="4" w:space="0" w:color="auto"/>
                          </w:tcBorders>
                        </w:tcPr>
                        <w:p w14:paraId="2EE66FE0" w14:textId="77777777" w:rsidR="004E65A9" w:rsidRPr="00C80DE0" w:rsidRDefault="004E65A9" w:rsidP="0025301E">
                          <w:pPr>
                            <w:jc w:val="center"/>
                            <w:rPr>
                              <w:rFonts w:ascii="Arial Narrow" w:hAnsi="Arial Narrow"/>
                              <w:bCs/>
                              <w:sz w:val="16"/>
                              <w:szCs w:val="16"/>
                            </w:rPr>
                          </w:pPr>
                          <w:r>
                            <w:rPr>
                              <w:rFonts w:ascii="Arial Narrow" w:hAnsi="Arial Narrow"/>
                              <w:sz w:val="16"/>
                            </w:rPr>
                            <w:t>209/497 (42,1)</w:t>
                          </w:r>
                        </w:p>
                      </w:tc>
                    </w:tr>
                    <w:tr w:rsidR="004E65A9" w:rsidRPr="00F807FF" w14:paraId="6B561673" w14:textId="77777777" w:rsidTr="0025301E">
                      <w:trPr>
                        <w:trHeight w:val="20"/>
                      </w:trPr>
                      <w:tc>
                        <w:tcPr>
                          <w:tcW w:w="2717" w:type="dxa"/>
                          <w:vAlign w:val="bottom"/>
                        </w:tcPr>
                        <w:p w14:paraId="2094CE19" w14:textId="77777777" w:rsidR="004E65A9" w:rsidRPr="00C80DE0" w:rsidRDefault="004E65A9" w:rsidP="0025301E">
                          <w:pPr>
                            <w:pStyle w:val="Style7ptNarrow"/>
                            <w:jc w:val="left"/>
                            <w:rPr>
                              <w:sz w:val="16"/>
                              <w:szCs w:val="16"/>
                            </w:rPr>
                          </w:pPr>
                          <w:r>
                            <w:rPr>
                              <w:sz w:val="16"/>
                            </w:rPr>
                            <w:t>ACR 50</w:t>
                          </w:r>
                        </w:p>
                      </w:tc>
                      <w:tc>
                        <w:tcPr>
                          <w:tcW w:w="1134" w:type="dxa"/>
                          <w:vAlign w:val="bottom"/>
                        </w:tcPr>
                        <w:p w14:paraId="07B353BA" w14:textId="77777777" w:rsidR="004E65A9" w:rsidRPr="00C80DE0" w:rsidRDefault="004E65A9" w:rsidP="0025301E">
                          <w:pPr>
                            <w:jc w:val="center"/>
                            <w:rPr>
                              <w:rFonts w:ascii="Arial Narrow" w:hAnsi="Arial Narrow"/>
                              <w:bCs/>
                              <w:sz w:val="16"/>
                              <w:szCs w:val="16"/>
                            </w:rPr>
                          </w:pPr>
                          <w:r>
                            <w:rPr>
                              <w:rFonts w:ascii="Arial Narrow" w:hAnsi="Arial Narrow"/>
                              <w:sz w:val="16"/>
                            </w:rPr>
                            <w:t>69/497 (13,9)</w:t>
                          </w:r>
                        </w:p>
                      </w:tc>
                      <w:tc>
                        <w:tcPr>
                          <w:tcW w:w="1316" w:type="dxa"/>
                          <w:vAlign w:val="bottom"/>
                        </w:tcPr>
                        <w:p w14:paraId="059FB45B" w14:textId="77777777" w:rsidR="004E65A9" w:rsidRPr="00C80DE0" w:rsidRDefault="004E65A9" w:rsidP="0025301E">
                          <w:pPr>
                            <w:jc w:val="center"/>
                            <w:rPr>
                              <w:rFonts w:ascii="Arial Narrow" w:hAnsi="Arial Narrow"/>
                              <w:bCs/>
                              <w:sz w:val="16"/>
                              <w:szCs w:val="16"/>
                            </w:rPr>
                          </w:pPr>
                          <w:r>
                            <w:rPr>
                              <w:rFonts w:ascii="Arial Narrow" w:hAnsi="Arial Narrow"/>
                              <w:sz w:val="16"/>
                            </w:rPr>
                            <w:t>93/497 (18,7)</w:t>
                          </w:r>
                        </w:p>
                      </w:tc>
                      <w:tc>
                        <w:tcPr>
                          <w:tcW w:w="1063" w:type="dxa"/>
                          <w:vAlign w:val="bottom"/>
                        </w:tcPr>
                        <w:p w14:paraId="5AD6B9DC" w14:textId="77777777" w:rsidR="004E65A9" w:rsidRPr="00C80DE0" w:rsidRDefault="004E65A9" w:rsidP="0025301E">
                          <w:pPr>
                            <w:jc w:val="center"/>
                            <w:rPr>
                              <w:rFonts w:ascii="Arial Narrow" w:hAnsi="Arial Narrow"/>
                              <w:bCs/>
                              <w:sz w:val="16"/>
                              <w:szCs w:val="16"/>
                              <w:lang w:val="es-ES"/>
                            </w:rPr>
                          </w:pPr>
                        </w:p>
                      </w:tc>
                      <w:tc>
                        <w:tcPr>
                          <w:tcW w:w="1344" w:type="dxa"/>
                          <w:vAlign w:val="bottom"/>
                        </w:tcPr>
                        <w:p w14:paraId="7AA50C9A" w14:textId="77777777" w:rsidR="004E65A9" w:rsidRPr="00C80DE0" w:rsidRDefault="004E65A9" w:rsidP="0025301E">
                          <w:pPr>
                            <w:jc w:val="center"/>
                            <w:rPr>
                              <w:rFonts w:ascii="Arial Narrow" w:hAnsi="Arial Narrow"/>
                              <w:bCs/>
                              <w:sz w:val="16"/>
                              <w:szCs w:val="16"/>
                            </w:rPr>
                          </w:pPr>
                          <w:r>
                            <w:rPr>
                              <w:rFonts w:ascii="Arial Narrow" w:hAnsi="Arial Narrow"/>
                              <w:sz w:val="16"/>
                            </w:rPr>
                            <w:t>102/497 (20,5)</w:t>
                          </w:r>
                        </w:p>
                      </w:tc>
                      <w:tc>
                        <w:tcPr>
                          <w:tcW w:w="1694" w:type="dxa"/>
                        </w:tcPr>
                        <w:p w14:paraId="28E16E6D" w14:textId="77777777" w:rsidR="004E65A9" w:rsidRPr="00C80DE0" w:rsidRDefault="004E65A9" w:rsidP="0025301E">
                          <w:pPr>
                            <w:jc w:val="center"/>
                            <w:rPr>
                              <w:rFonts w:ascii="Arial Narrow" w:hAnsi="Arial Narrow"/>
                              <w:bCs/>
                              <w:sz w:val="16"/>
                              <w:szCs w:val="16"/>
                            </w:rPr>
                          </w:pPr>
                          <w:r>
                            <w:rPr>
                              <w:rFonts w:ascii="Arial Narrow" w:hAnsi="Arial Narrow"/>
                              <w:sz w:val="16"/>
                            </w:rPr>
                            <w:t>90/497 (18,1)</w:t>
                          </w:r>
                        </w:p>
                      </w:tc>
                    </w:tr>
                    <w:tr w:rsidR="004E65A9" w:rsidRPr="00E75F7E" w14:paraId="521C3CC9" w14:textId="77777777" w:rsidTr="0025301E">
                      <w:trPr>
                        <w:trHeight w:val="20"/>
                      </w:trPr>
                      <w:tc>
                        <w:tcPr>
                          <w:tcW w:w="2717" w:type="dxa"/>
                          <w:vAlign w:val="center"/>
                        </w:tcPr>
                        <w:p w14:paraId="60A82539" w14:textId="77777777" w:rsidR="004E65A9" w:rsidRPr="00C80DE0" w:rsidRDefault="004E65A9" w:rsidP="0025301E">
                          <w:pPr>
                            <w:rPr>
                              <w:rFonts w:ascii="Arial Narrow" w:hAnsi="Arial Narrow"/>
                              <w:bCs/>
                              <w:sz w:val="16"/>
                              <w:szCs w:val="16"/>
                            </w:rPr>
                          </w:pPr>
                          <w:r>
                            <w:rPr>
                              <w:rFonts w:ascii="Arial Narrow" w:hAnsi="Arial Narrow"/>
                              <w:sz w:val="16"/>
                            </w:rPr>
                            <w:t>ACR 70</w:t>
                          </w:r>
                        </w:p>
                      </w:tc>
                      <w:tc>
                        <w:tcPr>
                          <w:tcW w:w="1134" w:type="dxa"/>
                          <w:vAlign w:val="center"/>
                        </w:tcPr>
                        <w:p w14:paraId="2DA8E7D4" w14:textId="77777777" w:rsidR="004E65A9" w:rsidRPr="00C80DE0" w:rsidRDefault="004E65A9" w:rsidP="0025301E">
                          <w:pPr>
                            <w:jc w:val="center"/>
                            <w:rPr>
                              <w:rFonts w:ascii="Arial Narrow" w:hAnsi="Arial Narrow"/>
                              <w:bCs/>
                              <w:sz w:val="16"/>
                              <w:szCs w:val="16"/>
                            </w:rPr>
                          </w:pPr>
                          <w:r>
                            <w:rPr>
                              <w:rFonts w:ascii="Arial Narrow" w:hAnsi="Arial Narrow"/>
                              <w:sz w:val="16"/>
                            </w:rPr>
                            <w:t>15/497 (3,0)</w:t>
                          </w:r>
                        </w:p>
                      </w:tc>
                      <w:tc>
                        <w:tcPr>
                          <w:tcW w:w="1316" w:type="dxa"/>
                          <w:vAlign w:val="center"/>
                        </w:tcPr>
                        <w:p w14:paraId="43D28DFA" w14:textId="77777777" w:rsidR="004E65A9" w:rsidRPr="00C80DE0" w:rsidRDefault="004E65A9" w:rsidP="0025301E">
                          <w:pPr>
                            <w:jc w:val="center"/>
                            <w:rPr>
                              <w:rFonts w:ascii="Arial Narrow" w:hAnsi="Arial Narrow"/>
                              <w:bCs/>
                              <w:sz w:val="16"/>
                              <w:szCs w:val="16"/>
                            </w:rPr>
                          </w:pPr>
                          <w:r>
                            <w:rPr>
                              <w:rFonts w:ascii="Arial Narrow" w:hAnsi="Arial Narrow"/>
                              <w:sz w:val="16"/>
                            </w:rPr>
                            <w:t>33/497 (6,6)</w:t>
                          </w:r>
                        </w:p>
                      </w:tc>
                      <w:tc>
                        <w:tcPr>
                          <w:tcW w:w="1063" w:type="dxa"/>
                          <w:vAlign w:val="center"/>
                        </w:tcPr>
                        <w:p w14:paraId="7F9D811D" w14:textId="77777777" w:rsidR="004E65A9" w:rsidRPr="00C80DE0" w:rsidRDefault="004E65A9" w:rsidP="0025301E">
                          <w:pPr>
                            <w:jc w:val="center"/>
                            <w:rPr>
                              <w:rFonts w:ascii="Arial Narrow" w:hAnsi="Arial Narrow"/>
                              <w:bCs/>
                              <w:sz w:val="16"/>
                              <w:szCs w:val="16"/>
                              <w:lang w:val="es-ES"/>
                            </w:rPr>
                          </w:pPr>
                        </w:p>
                      </w:tc>
                      <w:tc>
                        <w:tcPr>
                          <w:tcW w:w="1344" w:type="dxa"/>
                          <w:vAlign w:val="center"/>
                        </w:tcPr>
                        <w:p w14:paraId="586F38CF" w14:textId="77777777" w:rsidR="004E65A9" w:rsidRPr="00C80DE0" w:rsidRDefault="004E65A9" w:rsidP="0025301E">
                          <w:pPr>
                            <w:jc w:val="center"/>
                            <w:rPr>
                              <w:rFonts w:ascii="Arial Narrow" w:hAnsi="Arial Narrow"/>
                              <w:bCs/>
                              <w:sz w:val="16"/>
                              <w:szCs w:val="16"/>
                            </w:rPr>
                          </w:pPr>
                          <w:r>
                            <w:rPr>
                              <w:rFonts w:ascii="Arial Narrow" w:hAnsi="Arial Narrow"/>
                              <w:sz w:val="16"/>
                            </w:rPr>
                            <w:t>44/497 (8,9)</w:t>
                          </w:r>
                        </w:p>
                      </w:tc>
                      <w:tc>
                        <w:tcPr>
                          <w:tcW w:w="1694" w:type="dxa"/>
                        </w:tcPr>
                        <w:p w14:paraId="3DE34008" w14:textId="77777777" w:rsidR="004E65A9" w:rsidRPr="00C80DE0" w:rsidRDefault="004E65A9" w:rsidP="0025301E">
                          <w:pPr>
                            <w:jc w:val="center"/>
                            <w:rPr>
                              <w:rFonts w:ascii="Arial Narrow" w:hAnsi="Arial Narrow"/>
                              <w:bCs/>
                              <w:sz w:val="16"/>
                              <w:szCs w:val="16"/>
                            </w:rPr>
                          </w:pPr>
                          <w:r>
                            <w:rPr>
                              <w:rFonts w:ascii="Arial Narrow" w:hAnsi="Arial Narrow"/>
                              <w:sz w:val="16"/>
                            </w:rPr>
                            <w:t>38/497 (7,6)</w:t>
                          </w:r>
                        </w:p>
                      </w:tc>
                    </w:tr>
                  </w:tbl>
                  <w:p w14:paraId="2054C89B" w14:textId="77777777" w:rsidR="004E65A9" w:rsidRPr="00E75F7E" w:rsidRDefault="004E65A9" w:rsidP="003F09AA">
                    <w:pPr>
                      <w:rPr>
                        <w:rFonts w:ascii="Arial Narrow" w:hAnsi="Arial Narrow"/>
                        <w:sz w:val="16"/>
                        <w:szCs w:val="16"/>
                        <w:lang w:val="es-ES"/>
                      </w:rPr>
                    </w:pPr>
                  </w:p>
                </w:txbxContent>
              </v:textbox>
            </v:shape>
            <v:shape id="Text Box 11" o:spid="_x0000_s2081" type="#_x0000_t202" style="position:absolute;left:2007;top:11042;width:8496;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" filled="f" stroked="f" strokecolor="white" strokeweight="0">
              <v:textbox inset=".5mm,.5mm,.5mm,.5mm">
                <w:txbxContent>
                  <w:tbl>
                    <w:tblPr>
                      <w:tblW w:w="8215" w:type="dxa"/>
                      <w:tblInd w:w="250" w:type="dxa"/>
                      <w:tblBorders>
                        <w:insideH w:val="single" w:sz="4" w:space="0" w:color="auto"/>
                      </w:tblBorders>
                      <w:tblLook w:val="04A0" w:firstRow="1" w:lastRow="0" w:firstColumn="1" w:lastColumn="0" w:noHBand="0" w:noVBand="1"/>
                    </w:tblPr>
                    <w:tblGrid>
                      <w:gridCol w:w="2364"/>
                      <w:gridCol w:w="1204"/>
                      <w:gridCol w:w="2407"/>
                      <w:gridCol w:w="1792"/>
                      <w:gridCol w:w="448"/>
                    </w:tblGrid>
                    <w:tr w:rsidR="004E65A9" w:rsidRPr="00BE055E" w14:paraId="57B2D9A8" w14:textId="77777777" w:rsidTr="00024FC2">
                      <w:trPr>
                        <w:trHeight w:val="269"/>
                      </w:trPr>
                      <w:tc>
                        <w:tcPr>
                          <w:tcW w:w="2364" w:type="dxa"/>
                        </w:tcPr>
                        <w:p w14:paraId="6FA0B720" w14:textId="77777777" w:rsidR="004E65A9" w:rsidRPr="00C80DE0" w:rsidRDefault="004E65A9" w:rsidP="00125A10">
                          <w:pPr>
                            <w:rPr>
                              <w:rFonts w:ascii="Arial Narrow" w:hAnsi="Arial Narrow"/>
                              <w:bCs/>
                              <w:sz w:val="16"/>
                              <w:szCs w:val="16"/>
                            </w:rPr>
                          </w:pPr>
                          <w:r>
                            <w:rPr>
                              <w:rFonts w:ascii="Arial Narrow" w:hAnsi="Arial Narrow"/>
                              <w:sz w:val="16"/>
                            </w:rPr>
                            <w:t>0</w:t>
                          </w:r>
                        </w:p>
                      </w:tc>
                      <w:tc>
                        <w:tcPr>
                          <w:tcW w:w="1204" w:type="dxa"/>
                        </w:tcPr>
                        <w:p w14:paraId="039E3825" w14:textId="77777777" w:rsidR="004E65A9" w:rsidRPr="00C80DE0" w:rsidRDefault="004E65A9" w:rsidP="00125A10">
                          <w:pPr>
                            <w:rPr>
                              <w:rFonts w:ascii="Arial Narrow" w:hAnsi="Arial Narrow"/>
                              <w:bCs/>
                              <w:sz w:val="16"/>
                              <w:szCs w:val="16"/>
                            </w:rPr>
                          </w:pPr>
                          <w:r>
                            <w:rPr>
                              <w:rFonts w:ascii="Arial Narrow" w:hAnsi="Arial Narrow"/>
                              <w:sz w:val="16"/>
                            </w:rPr>
                            <w:t>16</w:t>
                          </w:r>
                        </w:p>
                      </w:tc>
                      <w:tc>
                        <w:tcPr>
                          <w:tcW w:w="2407" w:type="dxa"/>
                        </w:tcPr>
                        <w:p w14:paraId="67DC9E1C" w14:textId="77777777" w:rsidR="004E65A9" w:rsidRPr="00C80DE0" w:rsidRDefault="004E65A9" w:rsidP="00125A10">
                          <w:pPr>
                            <w:rPr>
                              <w:rFonts w:ascii="Arial Narrow" w:hAnsi="Arial Narrow"/>
                              <w:bCs/>
                              <w:sz w:val="16"/>
                              <w:szCs w:val="16"/>
                            </w:rPr>
                          </w:pPr>
                          <w:r>
                            <w:rPr>
                              <w:rFonts w:ascii="Arial Narrow" w:hAnsi="Arial Narrow"/>
                              <w:sz w:val="16"/>
                            </w:rPr>
                            <w:t>24</w:t>
                          </w:r>
                        </w:p>
                      </w:tc>
                      <w:tc>
                        <w:tcPr>
                          <w:tcW w:w="1792" w:type="dxa"/>
                        </w:tcPr>
                        <w:p w14:paraId="15AA7AA1" w14:textId="77777777" w:rsidR="004E65A9" w:rsidRPr="00C80DE0" w:rsidRDefault="004E65A9" w:rsidP="00125A10">
                          <w:pPr>
                            <w:rPr>
                              <w:rFonts w:ascii="Arial Narrow" w:hAnsi="Arial Narrow"/>
                              <w:bCs/>
                              <w:sz w:val="16"/>
                              <w:szCs w:val="16"/>
                            </w:rPr>
                          </w:pPr>
                          <w:r>
                            <w:rPr>
                              <w:rFonts w:ascii="Arial Narrow" w:hAnsi="Arial Narrow"/>
                              <w:sz w:val="16"/>
                            </w:rPr>
                            <w:t>40</w:t>
                          </w:r>
                        </w:p>
                      </w:tc>
                      <w:tc>
                        <w:tcPr>
                          <w:tcW w:w="448" w:type="dxa"/>
                        </w:tcPr>
                        <w:p w14:paraId="482F3FE4" w14:textId="77777777" w:rsidR="004E65A9" w:rsidRPr="00C80DE0" w:rsidRDefault="004E65A9" w:rsidP="00125A10">
                          <w:pPr>
                            <w:rPr>
                              <w:rFonts w:ascii="Arial Narrow" w:hAnsi="Arial Narrow"/>
                              <w:bCs/>
                              <w:sz w:val="16"/>
                              <w:szCs w:val="16"/>
                            </w:rPr>
                          </w:pPr>
                          <w:r>
                            <w:rPr>
                              <w:rFonts w:ascii="Arial Narrow" w:hAnsi="Arial Narrow"/>
                              <w:sz w:val="16"/>
                            </w:rPr>
                            <w:t>52</w:t>
                          </w:r>
                        </w:p>
                      </w:tc>
                    </w:tr>
                  </w:tbl>
                  <w:p w14:paraId="0354D4FB" w14:textId="77777777" w:rsidR="004E65A9" w:rsidRPr="00E75F7E" w:rsidRDefault="004E65A9" w:rsidP="003F09AA">
                    <w:pPr>
                      <w:jc w:val="right"/>
                      <w:rPr>
                        <w:rFonts w:ascii="Arial Narrow" w:hAnsi="Arial Narrow"/>
                        <w:sz w:val="16"/>
                        <w:szCs w:val="16"/>
                        <w:lang w:val="es-ES"/>
                      </w:rPr>
                    </w:pPr>
                  </w:p>
                </w:txbxContent>
              </v:textbox>
            </v:shape>
            <v:shape id="Text Box 12" o:spid="_x0000_s2082" type="#_x0000_t202" style="position:absolute;left:2394;top:12444;width:7370;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" filled="f" stroked="f">
              <v:textbox inset=".5mm,.3mm,.5mm,.3mm">
                <w:txbxContent>
                  <w:tbl>
                    <w:tblPr>
                      <w:tblW w:w="0" w:type="auto"/>
                      <w:jc w:val="center"/>
                      <w:tblBorders>
                        <w:top w:val="single" w:sz="4" w:space="0" w:color="0070C0"/>
                        <w:left w:val="single" w:sz="4" w:space="0" w:color="0070C0"/>
                        <w:bottom w:val="single" w:sz="4" w:space="0" w:color="0070C0"/>
                        <w:right w:val="single" w:sz="4" w:space="0" w:color="0070C0"/>
                      </w:tblBorders>
                      <w:tblCellMar>
                        <w:top w:w="57" w:type="dxa"/>
                        <w:bottom w:w="57" w:type="dxa"/>
                      </w:tblCellMar>
                      <w:tblLook w:val="04A0" w:firstRow="1" w:lastRow="0" w:firstColumn="1" w:lastColumn="0" w:noHBand="0" w:noVBand="1"/>
                    </w:tblPr>
                    <w:tblGrid>
                      <w:gridCol w:w="2041"/>
                      <w:gridCol w:w="709"/>
                      <w:gridCol w:w="794"/>
                      <w:gridCol w:w="717"/>
                      <w:gridCol w:w="794"/>
                      <w:gridCol w:w="769"/>
                      <w:gridCol w:w="1309"/>
                    </w:tblGrid>
                    <w:tr w:rsidR="004E65A9" w14:paraId="10FA4471" w14:textId="77777777" w:rsidTr="000101B2">
                      <w:trPr>
                        <w:jc w:val="center"/>
                      </w:trPr>
                      <w:tc>
                        <w:tcPr>
                          <w:tcW w:w="2041" w:type="dxa"/>
                          <w:vAlign w:val="center"/>
                        </w:tcPr>
                        <w:p w14:paraId="687B5794" w14:textId="77777777" w:rsidR="004E65A9" w:rsidRPr="00024FC2" w:rsidRDefault="004E65A9" w:rsidP="00E40985">
                          <w:pPr>
                            <w:pStyle w:val="Style7ptNarrow2"/>
                            <w:ind w:right="113"/>
                            <w:jc w:val="right"/>
                            <w:rPr>
                              <w:sz w:val="16"/>
                              <w:szCs w:val="16"/>
                            </w:rPr>
                          </w:pPr>
                          <w:r>
                            <w:rPr>
                              <w:sz w:val="16"/>
                            </w:rPr>
                            <w:t>Endepunkt</w:t>
                          </w:r>
                        </w:p>
                      </w:tc>
                      <w:tc>
                        <w:tcPr>
                          <w:tcW w:w="707" w:type="dxa"/>
                          <w:vAlign w:val="center"/>
                        </w:tcPr>
                        <w:p w14:paraId="5EDBC406" w14:textId="30DCF717" w:rsidR="004E65A9" w:rsidRPr="0081404B" w:rsidRDefault="00963757" w:rsidP="0081404B">
                          <w:pPr>
                            <w:pStyle w:val="Style7ptNarrow2"/>
                            <w:jc w:val="right"/>
                            <w:rPr>
                              <w:noProof/>
                            </w:rPr>
                          </w:pPr>
                          <w:r>
                            <w:rPr>
                              <w:b/>
                              <w:bCs w:val="0"/>
                              <w:noProof/>
                            </w:rPr>
                            <w:pict w14:anchorId="4C17D5B6">
                              <v:shape id="Picture 5" o:spid="_x0000_i1027" type="#_x0000_t75" style="width:24.6pt;height:4.2pt;visibility:visible;mso-wrap-style:square">
                                <v:imagedata r:id="rId12" o:title=""/>
                              </v:shape>
                            </w:pict>
                          </w:r>
                        </w:p>
                      </w:tc>
                      <w:tc>
                        <w:tcPr>
                          <w:tcW w:w="794" w:type="dxa"/>
                          <w:vAlign w:val="center"/>
                        </w:tcPr>
                        <w:p w14:paraId="2FFC034E" w14:textId="77777777" w:rsidR="004E65A9" w:rsidRPr="00FE7EA8" w:rsidRDefault="004E65A9" w:rsidP="0081404B">
                          <w:pPr>
                            <w:pStyle w:val="Style7ptNarrow2"/>
                            <w:rPr>
                              <w:sz w:val="16"/>
                              <w:szCs w:val="16"/>
                            </w:rPr>
                          </w:pPr>
                          <w:r>
                            <w:rPr>
                              <w:sz w:val="16"/>
                            </w:rPr>
                            <w:t>ACR 20</w:t>
                          </w:r>
                        </w:p>
                      </w:tc>
                      <w:tc>
                        <w:tcPr>
                          <w:tcW w:w="717" w:type="dxa"/>
                          <w:vAlign w:val="center"/>
                        </w:tcPr>
                        <w:p w14:paraId="72179B1A" w14:textId="6BDBC160" w:rsidR="004E65A9" w:rsidRPr="0081404B" w:rsidRDefault="00963757" w:rsidP="0081404B">
                          <w:pPr>
                            <w:pStyle w:val="Style7ptNarrow2"/>
                            <w:jc w:val="right"/>
                            <w:rPr>
                              <w:noProof/>
                            </w:rPr>
                          </w:pPr>
                          <w:r>
                            <w:rPr>
                              <w:b/>
                              <w:bCs w:val="0"/>
                              <w:noProof/>
                            </w:rPr>
                            <w:pict w14:anchorId="0BA18D86">
                              <v:shape id="Picture 4" o:spid="_x0000_i1029" type="#_x0000_t75" style="width:24.6pt;height:4.2pt;visibility:visible;mso-wrap-style:square">
                                <v:imagedata r:id="rId13" o:title=""/>
                              </v:shape>
                            </w:pict>
                          </w:r>
                        </w:p>
                      </w:tc>
                      <w:tc>
                        <w:tcPr>
                          <w:tcW w:w="794" w:type="dxa"/>
                          <w:vAlign w:val="center"/>
                        </w:tcPr>
                        <w:p w14:paraId="0EA63780" w14:textId="77777777" w:rsidR="004E65A9" w:rsidRPr="00FE7EA8" w:rsidRDefault="004E65A9" w:rsidP="0081404B">
                          <w:pPr>
                            <w:pStyle w:val="Style7ptNarrow2"/>
                            <w:rPr>
                              <w:sz w:val="16"/>
                              <w:szCs w:val="16"/>
                            </w:rPr>
                          </w:pPr>
                          <w:r>
                            <w:rPr>
                              <w:sz w:val="16"/>
                            </w:rPr>
                            <w:t>ACR 50</w:t>
                          </w:r>
                        </w:p>
                      </w:tc>
                      <w:tc>
                        <w:tcPr>
                          <w:tcW w:w="759" w:type="dxa"/>
                          <w:vAlign w:val="center"/>
                        </w:tcPr>
                        <w:p w14:paraId="19ABD124" w14:textId="4ADC113D" w:rsidR="004E65A9" w:rsidRPr="00622483" w:rsidRDefault="00963757" w:rsidP="0081404B">
                          <w:pPr>
                            <w:pStyle w:val="Style7ptNarrow2"/>
                            <w:jc w:val="right"/>
                            <w:rPr>
                              <w:noProof/>
                            </w:rPr>
                          </w:pPr>
                          <w:r>
                            <w:rPr>
                              <w:b/>
                              <w:bCs w:val="0"/>
                              <w:noProof/>
                            </w:rPr>
                            <w:pict w14:anchorId="084C003C">
                              <v:shape id="Picture 3" o:spid="_x0000_i1031" type="#_x0000_t75" style="width:27.6pt;height:4.2pt;visibility:visible;mso-wrap-style:square">
                                <v:imagedata r:id="rId14" o:title=""/>
                              </v:shape>
                            </w:pict>
                          </w:r>
                        </w:p>
                      </w:tc>
                      <w:tc>
                        <w:tcPr>
                          <w:tcW w:w="1309" w:type="dxa"/>
                          <w:vAlign w:val="center"/>
                        </w:tcPr>
                        <w:p w14:paraId="6F8308EC" w14:textId="77777777" w:rsidR="004E65A9" w:rsidRPr="00FE7EA8" w:rsidRDefault="004E65A9" w:rsidP="0081404B">
                          <w:pPr>
                            <w:pStyle w:val="Style7ptNarrow2"/>
                            <w:rPr>
                              <w:sz w:val="16"/>
                              <w:szCs w:val="16"/>
                            </w:rPr>
                          </w:pPr>
                          <w:r>
                            <w:rPr>
                              <w:sz w:val="16"/>
                            </w:rPr>
                            <w:t>ACR 70</w:t>
                          </w:r>
                        </w:p>
                      </w:tc>
                    </w:tr>
                  </w:tbl>
                  <w:p w14:paraId="6C205C85" w14:textId="77777777" w:rsidR="004E65A9" w:rsidRPr="003F38C8" w:rsidRDefault="004E65A9" w:rsidP="003F09AA">
                    <w:pPr>
                      <w:pStyle w:val="Style7ptNarrow2"/>
                      <w:jc w:val="center"/>
                    </w:pPr>
                  </w:p>
                </w:txbxContent>
              </v:textbox>
            </v:shape>
            <v:shape id="Text Box 14" o:spid="_x0000_s2083" type="#_x0000_t202" style="position:absolute;left:1802;top:7667;width:278;height:3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" filled="f" stroked="f" strokecolor="white" strokeweight="0">
              <v:textbox inset=".5mm,.5mm,.5mm,.5mm">
                <w:txbxContent>
                  <w:tbl>
                    <w:tblPr>
                      <w:tblW w:w="0" w:type="auto"/>
                      <w:tblCellMar>
                        <w:left w:w="28" w:type="dxa"/>
                        <w:right w:w="28" w:type="dxa"/>
                      </w:tblCellMar>
                      <w:tblLook w:val="04A0" w:firstRow="1" w:lastRow="0" w:firstColumn="1" w:lastColumn="0" w:noHBand="0" w:noVBand="1"/>
                    </w:tblPr>
                    <w:tblGrid>
                      <w:gridCol w:w="280"/>
                    </w:tblGrid>
                    <w:tr w:rsidR="004E65A9" w:rsidRPr="00DC5696" w14:paraId="38864755" w14:textId="77777777" w:rsidTr="00125A10">
                      <w:trPr>
                        <w:trHeight w:val="612"/>
                      </w:trPr>
                      <w:tc>
                        <w:tcPr>
                          <w:tcW w:w="280" w:type="dxa"/>
                        </w:tcPr>
                        <w:p w14:paraId="1B7D7F38" w14:textId="77777777" w:rsidR="004E65A9" w:rsidRPr="00C80DE0" w:rsidRDefault="004E65A9"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50</w:t>
                          </w:r>
                        </w:p>
                      </w:tc>
                    </w:tr>
                    <w:tr w:rsidR="004E65A9" w:rsidRPr="00DC5696" w14:paraId="3D42D97F" w14:textId="77777777" w:rsidTr="00125A10">
                      <w:trPr>
                        <w:trHeight w:val="612"/>
                      </w:trPr>
                      <w:tc>
                        <w:tcPr>
                          <w:tcW w:w="280" w:type="dxa"/>
                        </w:tcPr>
                        <w:p w14:paraId="126B665E" w14:textId="77777777" w:rsidR="004E65A9" w:rsidRPr="00C80DE0" w:rsidRDefault="004E65A9"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40</w:t>
                          </w:r>
                        </w:p>
                      </w:tc>
                    </w:tr>
                    <w:tr w:rsidR="004E65A9" w:rsidRPr="00DC5696" w14:paraId="0DC150C5" w14:textId="77777777" w:rsidTr="00125A10">
                      <w:trPr>
                        <w:trHeight w:val="612"/>
                      </w:trPr>
                      <w:tc>
                        <w:tcPr>
                          <w:tcW w:w="280" w:type="dxa"/>
                        </w:tcPr>
                        <w:p w14:paraId="489EC390" w14:textId="77777777" w:rsidR="004E65A9" w:rsidRPr="00C80DE0" w:rsidRDefault="004E65A9"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30</w:t>
                          </w:r>
                        </w:p>
                      </w:tc>
                    </w:tr>
                    <w:tr w:rsidR="004E65A9" w:rsidRPr="00DC5696" w14:paraId="725CC08C" w14:textId="77777777" w:rsidTr="00125A10">
                      <w:trPr>
                        <w:trHeight w:val="612"/>
                      </w:trPr>
                      <w:tc>
                        <w:tcPr>
                          <w:tcW w:w="280" w:type="dxa"/>
                        </w:tcPr>
                        <w:p w14:paraId="4C4446CB" w14:textId="77777777" w:rsidR="004E65A9" w:rsidRPr="00C80DE0" w:rsidRDefault="004E65A9"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20</w:t>
                          </w:r>
                        </w:p>
                      </w:tc>
                    </w:tr>
                    <w:tr w:rsidR="004E65A9" w:rsidRPr="00DC5696" w14:paraId="01B2DAD0" w14:textId="77777777" w:rsidTr="00125A10">
                      <w:trPr>
                        <w:trHeight w:val="612"/>
                      </w:trPr>
                      <w:tc>
                        <w:tcPr>
                          <w:tcW w:w="280" w:type="dxa"/>
                        </w:tcPr>
                        <w:p w14:paraId="6B539CCA" w14:textId="77777777" w:rsidR="004E65A9" w:rsidRPr="00C80DE0" w:rsidRDefault="004E65A9"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4E65A9" w:rsidRPr="00DC5696" w14:paraId="00FF1AC3" w14:textId="77777777" w:rsidTr="00125A10">
                      <w:trPr>
                        <w:trHeight w:val="612"/>
                      </w:trPr>
                      <w:tc>
                        <w:tcPr>
                          <w:tcW w:w="280" w:type="dxa"/>
                        </w:tcPr>
                        <w:p w14:paraId="4581008E" w14:textId="77777777" w:rsidR="004E65A9" w:rsidRPr="00C80DE0" w:rsidRDefault="004E65A9"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bl>
                  <w:p w14:paraId="55B266C8" w14:textId="77777777" w:rsidR="004E65A9" w:rsidRPr="00E75F7E" w:rsidRDefault="004E65A9" w:rsidP="003F09AA">
                    <w:pPr>
                      <w:jc w:val="right"/>
                      <w:rPr>
                        <w:rFonts w:ascii="Arial Narrow" w:hAnsi="Arial Narrow"/>
                        <w:sz w:val="16"/>
                        <w:szCs w:val="16"/>
                        <w:lang w:val="es-ES"/>
                      </w:rPr>
                    </w:pPr>
                  </w:p>
                </w:txbxContent>
              </v:textbox>
            </v:shape>
          </v:group>
        </w:pict>
      </w:r>
      <w:r w:rsidR="004E65A9">
        <w:t>Figur 1. Andel av ACR 20/50/70</w:t>
      </w:r>
      <w:r w:rsidR="004E65A9">
        <w:noBreakHyphen/>
        <w:t>respondere til og med uke 52 i samleanalysen av studiene PALACE 1, PALACE 2 og PALACE 3 (NRI*)</w:t>
      </w:r>
    </w:p>
    <w:p w14:paraId="11300F54" w14:textId="77777777" w:rsidR="004E65A9" w:rsidRPr="00BD1AD5" w:rsidRDefault="004E65A9" w:rsidP="003F09AA">
      <w:pPr>
        <w:keepNext/>
        <w:tabs>
          <w:tab w:val="clear" w:pos="567"/>
        </w:tabs>
        <w:rPr>
          <w:b/>
        </w:rPr>
      </w:pPr>
    </w:p>
    <w:p w14:paraId="7BC8B87E" w14:textId="411DA174" w:rsidR="004E65A9" w:rsidRPr="00BD1AD5" w:rsidRDefault="00963757" w:rsidP="003F09AA">
      <w:pPr>
        <w:keepNext/>
        <w:numPr>
          <w:ilvl w:val="12"/>
          <w:numId w:val="0"/>
        </w:numPr>
        <w:rPr>
          <w:iCs/>
          <w:noProof/>
          <w:szCs w:val="16"/>
        </w:rPr>
      </w:pPr>
      <w:r>
        <w:rPr>
          <w:noProof/>
        </w:rPr>
        <w:pict w14:anchorId="4FEEB76A">
          <v:shape id="Picture 9" o:spid="_x0000_i1032" type="#_x0000_t75" style="width:447.6pt;height:258.6pt;visibility:visible;mso-wrap-style:square">
            <v:imagedata r:id="rId15" o:title=""/>
          </v:shape>
        </w:pict>
      </w:r>
    </w:p>
    <w:p w14:paraId="5E5AB5B4" w14:textId="77777777" w:rsidR="004E65A9" w:rsidRPr="00BD1AD5" w:rsidRDefault="004E65A9" w:rsidP="003F09AA">
      <w:pPr>
        <w:keepNext/>
        <w:numPr>
          <w:ilvl w:val="12"/>
          <w:numId w:val="0"/>
        </w:numPr>
        <w:rPr>
          <w:iCs/>
          <w:noProof/>
          <w:sz w:val="18"/>
          <w:szCs w:val="18"/>
        </w:rPr>
      </w:pPr>
      <w:r>
        <w:rPr>
          <w:sz w:val="18"/>
        </w:rPr>
        <w:t>*NRI: Ikke</w:t>
      </w:r>
      <w:r>
        <w:rPr>
          <w:sz w:val="18"/>
        </w:rPr>
        <w:noBreakHyphen/>
        <w:t>responderimputasjon. Forsøkspersoner som avbrøt før tidspunktet og forsøkspersoner som ikke hadde tilstrekkelige data til en endelig bestemmelse av responsstatus ved tidspunktet regnes som ikke</w:t>
      </w:r>
      <w:r>
        <w:rPr>
          <w:sz w:val="18"/>
        </w:rPr>
        <w:noBreakHyphen/>
        <w:t>respondere.</w:t>
      </w:r>
    </w:p>
    <w:p w14:paraId="58F9A503" w14:textId="77777777" w:rsidR="004E65A9" w:rsidRPr="00BD1AD5" w:rsidRDefault="004E65A9" w:rsidP="003F09AA">
      <w:pPr>
        <w:numPr>
          <w:ilvl w:val="12"/>
          <w:numId w:val="0"/>
        </w:numPr>
        <w:ind w:right="-2"/>
        <w:rPr>
          <w:iCs/>
          <w:noProof/>
        </w:rPr>
      </w:pPr>
    </w:p>
    <w:p w14:paraId="7C3C5022" w14:textId="77777777" w:rsidR="004E65A9" w:rsidRPr="00BD1AD5" w:rsidRDefault="004E65A9" w:rsidP="003F09AA">
      <w:pPr>
        <w:numPr>
          <w:ilvl w:val="12"/>
          <w:numId w:val="0"/>
        </w:numPr>
        <w:ind w:right="-2"/>
        <w:rPr>
          <w:iCs/>
          <w:noProof/>
          <w:highlight w:val="yellow"/>
        </w:rPr>
      </w:pPr>
      <w:r>
        <w:t>Av 497 pasientene som først ble randomisert til 30 mg apremilast to ganger daglig, fikk 375 (75 %) pasienter fortsatt denne behandlingen i uke 52. Hos disse pasientene var ACR 20/50/70</w:t>
      </w:r>
      <w:r>
        <w:noBreakHyphen/>
        <w:t xml:space="preserve">respons i uke 52 henholdsvis 57 %, 25 % og 11 %. </w:t>
      </w:r>
      <w:r>
        <w:rPr>
          <w:color w:val="000000"/>
        </w:rPr>
        <w:t>Blant de 497 pasientene som først ble randomisert til 30 mg apremilast to ganger daglig, gikk 375 pasienter (75 %) videre til langtidsforlengelsen av studiene, og av disse sto 221 pasienter (59 %) fortsatt på denne behandlingen i uke 260. ACR</w:t>
      </w:r>
      <w:r>
        <w:rPr>
          <w:color w:val="000000"/>
        </w:rPr>
        <w:noBreakHyphen/>
        <w:t>respons vedvarte i de åpne langtidsforlengelsene av studiene med opptil 5 års varighet.</w:t>
      </w:r>
    </w:p>
    <w:p w14:paraId="30DB25B5" w14:textId="77777777" w:rsidR="004E65A9" w:rsidRPr="00BD1AD5" w:rsidRDefault="004E65A9" w:rsidP="003F09AA">
      <w:pPr>
        <w:numPr>
          <w:ilvl w:val="12"/>
          <w:numId w:val="0"/>
        </w:numPr>
        <w:ind w:right="-2"/>
        <w:rPr>
          <w:iCs/>
          <w:noProof/>
        </w:rPr>
      </w:pPr>
    </w:p>
    <w:p w14:paraId="6242663F" w14:textId="77777777" w:rsidR="004E65A9" w:rsidRPr="00BD1AD5" w:rsidRDefault="004E65A9" w:rsidP="003F09AA">
      <w:pPr>
        <w:numPr>
          <w:ilvl w:val="12"/>
          <w:numId w:val="0"/>
        </w:numPr>
        <w:ind w:right="-2"/>
        <w:rPr>
          <w:iCs/>
          <w:noProof/>
        </w:rPr>
      </w:pPr>
      <w:r>
        <w:lastRenderedPageBreak/>
        <w:t>Respons observert i apremilastgruppen var tilsvarende hos pasienter som samtidig fikk eller ikke fikk DMARDs, inkludert MTX. Pasienter tidligere behandlet med DMARDs eller biologiske legemidler som fikk apremilast oppnådde større ACR 20</w:t>
      </w:r>
      <w:r>
        <w:noBreakHyphen/>
        <w:t>respons i uke 16 enn pasienter som fikk placebo.</w:t>
      </w:r>
    </w:p>
    <w:p w14:paraId="28596265" w14:textId="77777777" w:rsidR="004E65A9" w:rsidRPr="00BD1AD5" w:rsidRDefault="004E65A9" w:rsidP="003F09AA">
      <w:pPr>
        <w:numPr>
          <w:ilvl w:val="12"/>
          <w:numId w:val="0"/>
        </w:numPr>
        <w:ind w:right="-2"/>
        <w:rPr>
          <w:iCs/>
          <w:noProof/>
        </w:rPr>
      </w:pPr>
    </w:p>
    <w:p w14:paraId="08207890" w14:textId="77777777" w:rsidR="004E65A9" w:rsidRPr="00BD1AD5" w:rsidRDefault="004E65A9" w:rsidP="003F09AA">
      <w:pPr>
        <w:numPr>
          <w:ilvl w:val="12"/>
          <w:numId w:val="0"/>
        </w:numPr>
        <w:ind w:right="-2"/>
        <w:rPr>
          <w:iCs/>
          <w:noProof/>
        </w:rPr>
      </w:pPr>
      <w:r>
        <w:t>Tilsvarende ACR</w:t>
      </w:r>
      <w:r>
        <w:noBreakHyphen/>
        <w:t>respons ble observert hos pasienter med ulike PsA</w:t>
      </w:r>
      <w:r>
        <w:noBreakHyphen/>
        <w:t>subtyper, inkludert DIP. Antall pasienter med subtypene arthritis mutilans eller dominerende spondylitt var for lavt til å gi en relevant vurdering.</w:t>
      </w:r>
    </w:p>
    <w:p w14:paraId="60BDE4CF" w14:textId="77777777" w:rsidR="004E65A9" w:rsidRPr="00BD1AD5" w:rsidRDefault="004E65A9" w:rsidP="003F09AA">
      <w:pPr>
        <w:numPr>
          <w:ilvl w:val="12"/>
          <w:numId w:val="0"/>
        </w:numPr>
        <w:ind w:right="-2"/>
        <w:rPr>
          <w:iCs/>
          <w:noProof/>
        </w:rPr>
      </w:pPr>
    </w:p>
    <w:p w14:paraId="6FFFB163" w14:textId="77777777" w:rsidR="004E65A9" w:rsidRPr="00BD1AD5" w:rsidRDefault="004E65A9" w:rsidP="003F09AA">
      <w:pPr>
        <w:numPr>
          <w:ilvl w:val="12"/>
          <w:numId w:val="0"/>
        </w:numPr>
        <w:ind w:right="-2"/>
        <w:rPr>
          <w:iCs/>
          <w:noProof/>
        </w:rPr>
      </w:pPr>
      <w:r>
        <w:t>I PALACE 1, PALACE 2 og PALACE 3 var bedring på skalaen Disease Activity Scale (DAS) 28 C</w:t>
      </w:r>
      <w:r>
        <w:noBreakHyphen/>
        <w:t>reaktivt protein (CRP) og andelen av pasienter som oppnådde et modifisert PsA</w:t>
      </w:r>
      <w:r>
        <w:noBreakHyphen/>
        <w:t>responskriterium (PsARC) større i apremilastgruppen sammenlignet med placebo i uke 16 (henholdsvis nominell p</w:t>
      </w:r>
      <w:r>
        <w:noBreakHyphen/>
        <w:t>verdi p≤ 0,0004 og p</w:t>
      </w:r>
      <w:r>
        <w:noBreakHyphen/>
        <w:t>verdi ≤ 0,0017). Disse bedringene vedvarte i uke 24. Hos pasienter som fortsatt fikk den apremilastbehandlingen de var blitt randomisert til ved studiestart, vedvarte DAS28(CRP)</w:t>
      </w:r>
      <w:r>
        <w:noBreakHyphen/>
        <w:t>skåren og PsARC</w:t>
      </w:r>
      <w:r>
        <w:noBreakHyphen/>
        <w:t>responsen til uke 52.</w:t>
      </w:r>
    </w:p>
    <w:p w14:paraId="3F451B26" w14:textId="77777777" w:rsidR="004E65A9" w:rsidRPr="00BD1AD5" w:rsidRDefault="004E65A9" w:rsidP="003F09AA">
      <w:pPr>
        <w:numPr>
          <w:ilvl w:val="12"/>
          <w:numId w:val="0"/>
        </w:numPr>
        <w:ind w:right="-2"/>
        <w:rPr>
          <w:noProof/>
        </w:rPr>
      </w:pPr>
    </w:p>
    <w:p w14:paraId="592F6821" w14:textId="77777777" w:rsidR="004E65A9" w:rsidRPr="00BD1AD5" w:rsidRDefault="004E65A9" w:rsidP="003F09AA">
      <w:pPr>
        <w:tabs>
          <w:tab w:val="clear" w:pos="567"/>
        </w:tabs>
      </w:pPr>
      <w:r>
        <w:t>I uke 16 og 24 ble det sett bedring i parametre for perifere aktivitetskarakteristika ved psoriasisartritt (f.eks. antall hovne ledd, antall smertefulle/ømme ledd, daktylitt og entesititt) og i hudmanifestasjonene av psoriasis hos apremilastbehandlede pasienter. Hos pasienter som fortsatt fikk den apremilastbehandlingen de var blitt randomisert til ved studiestart, vedvarte bedringen til uke 52.</w:t>
      </w:r>
    </w:p>
    <w:p w14:paraId="0ABAA657" w14:textId="77777777" w:rsidR="004E65A9" w:rsidRPr="00BD1AD5" w:rsidRDefault="004E65A9" w:rsidP="003F09AA">
      <w:pPr>
        <w:tabs>
          <w:tab w:val="clear" w:pos="567"/>
        </w:tabs>
        <w:rPr>
          <w:color w:val="000000"/>
        </w:rPr>
      </w:pPr>
    </w:p>
    <w:p w14:paraId="358BFDBF" w14:textId="77777777" w:rsidR="004E65A9" w:rsidRPr="00BD1AD5" w:rsidRDefault="004E65A9" w:rsidP="003F09AA">
      <w:pPr>
        <w:tabs>
          <w:tab w:val="clear" w:pos="567"/>
        </w:tabs>
        <w:rPr>
          <w:szCs w:val="24"/>
        </w:rPr>
      </w:pPr>
      <w:r>
        <w:rPr>
          <w:color w:val="000000"/>
        </w:rPr>
        <w:t>Klinisk respons vedvarte i samme parametre for perifer aktivitet og i hudmanifestasjonene av psoriasis i de åpne forlengelsesstudiene med opptil 5 års behandling.</w:t>
      </w:r>
    </w:p>
    <w:p w14:paraId="56924D52" w14:textId="77777777" w:rsidR="004E65A9" w:rsidRPr="00BD1AD5" w:rsidRDefault="004E65A9" w:rsidP="003F09AA">
      <w:pPr>
        <w:tabs>
          <w:tab w:val="clear" w:pos="567"/>
        </w:tabs>
        <w:autoSpaceDE w:val="0"/>
        <w:autoSpaceDN w:val="0"/>
        <w:adjustRightInd w:val="0"/>
        <w:rPr>
          <w:noProof/>
        </w:rPr>
      </w:pPr>
    </w:p>
    <w:p w14:paraId="45AD20D3" w14:textId="77777777" w:rsidR="004E65A9" w:rsidRPr="00BD1AD5" w:rsidRDefault="004E65A9" w:rsidP="003F09AA">
      <w:pPr>
        <w:keepNext/>
        <w:numPr>
          <w:ilvl w:val="12"/>
          <w:numId w:val="0"/>
        </w:numPr>
        <w:rPr>
          <w:iCs/>
          <w:noProof/>
          <w:u w:val="single"/>
        </w:rPr>
      </w:pPr>
      <w:r>
        <w:rPr>
          <w:u w:val="single"/>
        </w:rPr>
        <w:t>Fysisk funksjon og helserelatert livskvalitet</w:t>
      </w:r>
    </w:p>
    <w:p w14:paraId="1DD116EC" w14:textId="77777777" w:rsidR="004E65A9" w:rsidRPr="00BD1AD5" w:rsidRDefault="004E65A9" w:rsidP="003F09AA">
      <w:pPr>
        <w:keepNext/>
        <w:numPr>
          <w:ilvl w:val="12"/>
          <w:numId w:val="0"/>
        </w:numPr>
        <w:rPr>
          <w:iCs/>
          <w:noProof/>
        </w:rPr>
      </w:pPr>
    </w:p>
    <w:p w14:paraId="79690E28" w14:textId="77777777" w:rsidR="004E65A9" w:rsidRPr="00BD1AD5" w:rsidRDefault="004E65A9" w:rsidP="003F09AA">
      <w:pPr>
        <w:numPr>
          <w:ilvl w:val="12"/>
          <w:numId w:val="0"/>
        </w:numPr>
        <w:rPr>
          <w:iCs/>
          <w:noProof/>
        </w:rPr>
      </w:pPr>
      <w:r>
        <w:t>Apremilastbehandlede pasienter viste statistisk signifikant bedring i fysisk funksjon, vurdert ved endring fra baseline av funksjonshemmingsindeksen i spørreskjemaet Health Assessment Questionnaire (HAQ</w:t>
      </w:r>
      <w:r>
        <w:noBreakHyphen/>
        <w:t>DI), sammenlignet med placebo i uke 16 i PALACE 1, PALACE 2 og PALACE 3 og i studiene vurdert samlet. Bedring i HAQ</w:t>
      </w:r>
      <w:r>
        <w:noBreakHyphen/>
        <w:t>DI</w:t>
      </w:r>
      <w:r>
        <w:noBreakHyphen/>
        <w:t>skår vedvarte i uke 24.</w:t>
      </w:r>
    </w:p>
    <w:p w14:paraId="4E511E19" w14:textId="77777777" w:rsidR="004E65A9" w:rsidRPr="00BD1AD5" w:rsidRDefault="004E65A9" w:rsidP="003F09AA">
      <w:pPr>
        <w:numPr>
          <w:ilvl w:val="12"/>
          <w:numId w:val="0"/>
        </w:numPr>
        <w:ind w:right="-2"/>
        <w:rPr>
          <w:iCs/>
          <w:noProof/>
        </w:rPr>
      </w:pPr>
    </w:p>
    <w:p w14:paraId="18FC91CE" w14:textId="77777777" w:rsidR="004E65A9" w:rsidRPr="00BD1AD5" w:rsidRDefault="004E65A9" w:rsidP="003F09AA">
      <w:r>
        <w:t>Hos pasienter som først ble randomisert til behandling med 30 mg apremilast to ganger daglig, var endringen fra baseline i HAQ</w:t>
      </w:r>
      <w:r>
        <w:noBreakHyphen/>
        <w:t>DI</w:t>
      </w:r>
      <w:r>
        <w:noBreakHyphen/>
        <w:t xml:space="preserve">skår i uke 52 </w:t>
      </w:r>
      <w:r>
        <w:noBreakHyphen/>
        <w:t>0,333 i gruppen med 30 mg apremilast to ganger daglig i en samlet analyse av den åpne fasen i studiene PALACE 1, PALACE 2 og PALACE 3.</w:t>
      </w:r>
    </w:p>
    <w:p w14:paraId="2C7254D1" w14:textId="77777777" w:rsidR="004E65A9" w:rsidRPr="00BD1AD5" w:rsidRDefault="004E65A9" w:rsidP="003F09AA"/>
    <w:p w14:paraId="392CAC9E" w14:textId="77777777" w:rsidR="004E65A9" w:rsidRPr="00BD1AD5" w:rsidRDefault="004E65A9" w:rsidP="003F09AA">
      <w:pPr>
        <w:numPr>
          <w:ilvl w:val="12"/>
          <w:numId w:val="0"/>
        </w:numPr>
        <w:ind w:right="-2"/>
        <w:rPr>
          <w:iCs/>
          <w:noProof/>
        </w:rPr>
      </w:pPr>
      <w:r>
        <w:t>I studiene PALACE 1, PALACE 2 og PALACE 3 ble det vist signifikant bedring i helserelatert livskvalitet, målt som endring fra baseline i delen vedrørendee fysisk funksjonsevne i spørreskjemaet Short Form Health Survey version 2 (SF</w:t>
      </w:r>
      <w:r>
        <w:noBreakHyphen/>
        <w:t>36v2) og i spørreskjemaet Functional Assessment of Chronic Illness Therapy – Fatigue (FACIT</w:t>
      </w:r>
      <w:r>
        <w:noBreakHyphen/>
        <w:t>fatigue), hos pasienter behandlet med apremilast sammenlignet med placebo i uke 16 og 24. Hos pasienter som fortsatt sto på den apremilastbehandlingen de var blitt randomisert til ved studiestart, vedvarte bedringen i fysisk funksjon og FACIT</w:t>
      </w:r>
      <w:r>
        <w:noBreakHyphen/>
        <w:t>fatigue til uke 52.</w:t>
      </w:r>
    </w:p>
    <w:p w14:paraId="01E70950" w14:textId="77777777" w:rsidR="004E65A9" w:rsidRPr="00BD1AD5" w:rsidRDefault="004E65A9" w:rsidP="003F09AA">
      <w:pPr>
        <w:numPr>
          <w:ilvl w:val="12"/>
          <w:numId w:val="0"/>
        </w:numPr>
        <w:ind w:right="-2"/>
        <w:rPr>
          <w:color w:val="000000"/>
        </w:rPr>
      </w:pPr>
    </w:p>
    <w:p w14:paraId="175CE25C" w14:textId="77777777" w:rsidR="004E65A9" w:rsidRPr="00BD1AD5" w:rsidRDefault="004E65A9" w:rsidP="003F09AA">
      <w:pPr>
        <w:numPr>
          <w:ilvl w:val="12"/>
          <w:numId w:val="0"/>
        </w:numPr>
        <w:ind w:right="-2"/>
      </w:pPr>
      <w:r>
        <w:rPr>
          <w:color w:val="000000"/>
        </w:rPr>
        <w:t>Forbedret fysisk funksjon vurdert ved HAQ</w:t>
      </w:r>
      <w:r>
        <w:rPr>
          <w:color w:val="000000"/>
        </w:rPr>
        <w:noBreakHyphen/>
        <w:t>DI- og SF36v2PF</w:t>
      </w:r>
      <w:r>
        <w:rPr>
          <w:color w:val="000000"/>
        </w:rPr>
        <w:noBreakHyphen/>
        <w:t>domene- samt FACIT</w:t>
      </w:r>
      <w:r>
        <w:rPr>
          <w:color w:val="000000"/>
        </w:rPr>
        <w:noBreakHyphen/>
        <w:t>fatigue</w:t>
      </w:r>
      <w:r>
        <w:rPr>
          <w:color w:val="000000"/>
        </w:rPr>
        <w:noBreakHyphen/>
        <w:t>skår vedvarte i de åpne forlengelsesstudiene med opptil 5 års behandling.</w:t>
      </w:r>
    </w:p>
    <w:p w14:paraId="6164A1EA" w14:textId="77777777" w:rsidR="004E65A9" w:rsidRPr="00BD1AD5" w:rsidRDefault="004E65A9" w:rsidP="003F09AA">
      <w:pPr>
        <w:numPr>
          <w:ilvl w:val="12"/>
          <w:numId w:val="0"/>
        </w:numPr>
        <w:ind w:right="-2"/>
        <w:rPr>
          <w:iCs/>
          <w:noProof/>
        </w:rPr>
      </w:pPr>
    </w:p>
    <w:p w14:paraId="6CA46B37" w14:textId="77777777" w:rsidR="004E65A9" w:rsidRPr="00BD1AD5" w:rsidRDefault="004E65A9" w:rsidP="003F09AA">
      <w:pPr>
        <w:keepNext/>
        <w:numPr>
          <w:ilvl w:val="12"/>
          <w:numId w:val="0"/>
        </w:numPr>
        <w:ind w:right="-2"/>
        <w:rPr>
          <w:i/>
          <w:iCs/>
          <w:noProof/>
          <w:u w:val="single"/>
        </w:rPr>
      </w:pPr>
      <w:r>
        <w:rPr>
          <w:i/>
          <w:u w:val="single"/>
        </w:rPr>
        <w:t>Psoriasis hos voksne</w:t>
      </w:r>
    </w:p>
    <w:p w14:paraId="7AB21BAE" w14:textId="77777777" w:rsidR="004E65A9" w:rsidRPr="00BD1AD5" w:rsidRDefault="004E65A9" w:rsidP="003F09AA">
      <w:pPr>
        <w:numPr>
          <w:ilvl w:val="12"/>
          <w:numId w:val="0"/>
        </w:numPr>
        <w:ind w:right="-2"/>
        <w:rPr>
          <w:iCs/>
          <w:noProof/>
        </w:rPr>
      </w:pPr>
      <w:r>
        <w:t>Sikkerhet og effekt av apremilast ble undersøkt i to multisenter, randomiserte, dobbeltblindede, placebokontrollerte studier (studiene ESTEEM 1 og ESTEEM 2) som inkluderte totalt 1 257 pasienter med moderat til alvorlig plakkpsoriasis med en kroppsoverflate (BSA)</w:t>
      </w:r>
      <w:r>
        <w:noBreakHyphen/>
        <w:t>involvering ≥ 10 %, Psoriasisområde og alvorlighetsgradsindeks (PASI)</w:t>
      </w:r>
      <w:r>
        <w:noBreakHyphen/>
        <w:t>skår ≥ 12, statisk total legeevaluering (</w:t>
      </w:r>
      <w:r>
        <w:rPr>
          <w:i/>
          <w:iCs/>
        </w:rPr>
        <w:t>Physician Global Assessment</w:t>
      </w:r>
      <w:r>
        <w:t>/sPGA) ≥ 3 (moderat eller alvorlig) som også var kandidater for lysbehandling eller systemisk behandling.</w:t>
      </w:r>
    </w:p>
    <w:p w14:paraId="1DDCE869" w14:textId="77777777" w:rsidR="004E65A9" w:rsidRPr="00BD1AD5" w:rsidRDefault="004E65A9" w:rsidP="003F09AA">
      <w:pPr>
        <w:numPr>
          <w:ilvl w:val="12"/>
          <w:numId w:val="0"/>
        </w:numPr>
        <w:ind w:right="-2"/>
        <w:rPr>
          <w:iCs/>
          <w:noProof/>
        </w:rPr>
      </w:pPr>
    </w:p>
    <w:p w14:paraId="3ECCC3E9" w14:textId="77777777" w:rsidR="004E65A9" w:rsidRPr="00BD1AD5" w:rsidRDefault="004E65A9" w:rsidP="003F09AA">
      <w:pPr>
        <w:numPr>
          <w:ilvl w:val="12"/>
          <w:numId w:val="0"/>
        </w:numPr>
        <w:ind w:right="-2"/>
        <w:rPr>
          <w:iCs/>
          <w:noProof/>
        </w:rPr>
      </w:pPr>
      <w:r>
        <w:t>Disse studiene hadde et tilsvarende design til uke 32. I begge studier ble pasientene randomisert 2:1 til 30 mg apremilast to ganger daglig eller placebo i 16 uker (placebokontrollert fase), og fra uke 16</w:t>
      </w:r>
      <w:r>
        <w:noBreakHyphen/>
        <w:t>32 fikk alle pasienter 30 mg apremilast to ganger daglig (vedlikeholdsfase). I den randomiserte behandlingsseponeringsfasen (uke 32</w:t>
      </w:r>
      <w:r>
        <w:noBreakHyphen/>
        <w:t>52) ble pasienter opprinnelig randomisert til apremilast som oppnådde minst 75 % reduksjon i PASI</w:t>
      </w:r>
      <w:r>
        <w:noBreakHyphen/>
        <w:t>skår (PASI</w:t>
      </w:r>
      <w:r>
        <w:noBreakHyphen/>
        <w:t xml:space="preserve">75) (ESTEEM 1) eller 50 % reduksjon i </w:t>
      </w:r>
      <w:r>
        <w:lastRenderedPageBreak/>
        <w:t>PASI</w:t>
      </w:r>
      <w:r>
        <w:noBreakHyphen/>
        <w:t>skår (PASI</w:t>
      </w:r>
      <w:r>
        <w:noBreakHyphen/>
        <w:t>50) (ESTEEM 2), rerandomisert i uke 32 til placebo eller 30 mg apremilast to ganger daglig. Pasienter som ble rerandomisert til placebo og hadde mistet PASI</w:t>
      </w:r>
      <w:r>
        <w:noBreakHyphen/>
        <w:t>75</w:t>
      </w:r>
      <w:r>
        <w:noBreakHyphen/>
        <w:t>respons (ESTEEM 1) eller mistet 50 % av PASI</w:t>
      </w:r>
      <w:r>
        <w:noBreakHyphen/>
        <w:t>bedringen i uke 32 sammenlignet med baseline (ESTEEM 2), ble igjen behandlet med 30 mg apremilast to ganger daglig. Pasienter som ikke hadde oppnådd ønsket PASI</w:t>
      </w:r>
      <w:r>
        <w:noBreakHyphen/>
        <w:t>respons i uke 32, eller som først ble randomisert til placebo, fortsatte med apremilast til uke 52. Bruk av lavpotente topiske kortikosteroider i ansikt, armhuler og lyske, tjæresjampo og/eller salisylsyrepreparater til bruk i hodebunnen var tillatt i hele studieperioden. I uke 32 fikk også personer som ikke oppnådde PASI</w:t>
      </w:r>
      <w:r>
        <w:noBreakHyphen/>
        <w:t>75</w:t>
      </w:r>
      <w:r>
        <w:noBreakHyphen/>
        <w:t>respons i ESTEEM 1 eller PASI</w:t>
      </w:r>
      <w:r>
        <w:noBreakHyphen/>
        <w:t>50</w:t>
      </w:r>
      <w:r>
        <w:noBreakHyphen/>
        <w:t>respons i ESTEEM 2, tillatelse til å bruke topisk psoriasisbehandling og/eller lysbehandling i tillegg til behandling med 30 mg apremilast to ganger daglig.</w:t>
      </w:r>
    </w:p>
    <w:p w14:paraId="50848B39" w14:textId="77777777" w:rsidR="004E65A9" w:rsidRPr="00BD1AD5" w:rsidRDefault="004E65A9" w:rsidP="003F09AA">
      <w:pPr>
        <w:numPr>
          <w:ilvl w:val="12"/>
          <w:numId w:val="0"/>
        </w:numPr>
        <w:ind w:right="-2"/>
        <w:rPr>
          <w:color w:val="000000"/>
        </w:rPr>
      </w:pPr>
    </w:p>
    <w:p w14:paraId="07DDF1C9" w14:textId="77777777" w:rsidR="004E65A9" w:rsidRPr="00BD1AD5" w:rsidRDefault="004E65A9" w:rsidP="003F09AA">
      <w:pPr>
        <w:numPr>
          <w:ilvl w:val="12"/>
          <w:numId w:val="0"/>
        </w:numPr>
        <w:ind w:right="-2"/>
        <w:rPr>
          <w:color w:val="000000"/>
        </w:rPr>
      </w:pPr>
      <w:r>
        <w:rPr>
          <w:color w:val="000000"/>
        </w:rPr>
        <w:t>Etter 52 ukers behandling kunne pasientene fortsette med åpen behandling med 30 mg apremilast i langtidsforlengelsen av studiene ESTEEM 1 og ESTEEM 2 med en total behandlingsvarighet på opptil 5 år (260 uker).</w:t>
      </w:r>
    </w:p>
    <w:p w14:paraId="68916AF5" w14:textId="77777777" w:rsidR="004E65A9" w:rsidRPr="00BD1AD5" w:rsidRDefault="004E65A9" w:rsidP="003F09AA">
      <w:pPr>
        <w:numPr>
          <w:ilvl w:val="12"/>
          <w:numId w:val="0"/>
        </w:numPr>
        <w:ind w:right="-2"/>
        <w:rPr>
          <w:iCs/>
          <w:noProof/>
        </w:rPr>
      </w:pPr>
    </w:p>
    <w:p w14:paraId="2DC12906" w14:textId="77777777" w:rsidR="004E65A9" w:rsidRPr="00BD1AD5" w:rsidRDefault="004E65A9" w:rsidP="003F09AA">
      <w:pPr>
        <w:numPr>
          <w:ilvl w:val="12"/>
          <w:numId w:val="0"/>
        </w:numPr>
        <w:ind w:right="-2"/>
        <w:rPr>
          <w:iCs/>
          <w:noProof/>
        </w:rPr>
      </w:pPr>
      <w:r>
        <w:t>I begge studier var det primære endepunktet andelen av pasienter som oppnådde PASI</w:t>
      </w:r>
      <w:r>
        <w:noBreakHyphen/>
        <w:t>75 i uke 16. Det viktigste sekundære endepunktet var andelen av pasienter som oppnådde sPGA</w:t>
      </w:r>
      <w:r>
        <w:noBreakHyphen/>
        <w:t>skår klar (0) eller nesten klar (1) i uke 16.</w:t>
      </w:r>
    </w:p>
    <w:p w14:paraId="664F93DC" w14:textId="77777777" w:rsidR="004E65A9" w:rsidRPr="00BD1AD5" w:rsidRDefault="004E65A9" w:rsidP="003F09AA">
      <w:pPr>
        <w:numPr>
          <w:ilvl w:val="12"/>
          <w:numId w:val="0"/>
        </w:numPr>
        <w:ind w:right="-2"/>
        <w:rPr>
          <w:iCs/>
          <w:noProof/>
        </w:rPr>
      </w:pPr>
    </w:p>
    <w:p w14:paraId="15E8401B" w14:textId="77777777" w:rsidR="004E65A9" w:rsidRPr="00BD1AD5" w:rsidRDefault="004E65A9" w:rsidP="003F09AA">
      <w:pPr>
        <w:numPr>
          <w:ilvl w:val="12"/>
          <w:numId w:val="0"/>
        </w:numPr>
        <w:ind w:right="-2"/>
        <w:rPr>
          <w:iCs/>
          <w:noProof/>
        </w:rPr>
      </w:pPr>
      <w:r>
        <w:t>Gjennomsnittlig PASI</w:t>
      </w:r>
      <w:r>
        <w:noBreakHyphen/>
        <w:t>skår ved baseline var 19,07 (median 16,80), og andelen av pasienter med sPGA</w:t>
      </w:r>
      <w:r>
        <w:noBreakHyphen/>
        <w:t>skår 3 (moderat) eller 4 (alvorlig) ved baseline var henholdsvis 70,0 % og 29,8 %, med en gjennomsnittlig BSA</w:t>
      </w:r>
      <w:r>
        <w:noBreakHyphen/>
        <w:t>involvering på 25,19 % (median 21,0 %) ved baseline. Omtrent 30 % av pasientene hadde fått tidligere lysbehandling og 54 % hadde fått tidligere konvensjonell systemisk og/eller biologisk psoriasisbehandling (inkludert behandlingssvikt), hvorav 37 % hadde fått tidligere konvensjonell systemisk behandling og 30 % hadde fått tidligere biologisk behandling. Omtrent en tredjedel av pasientene hadde ikke fått tidligere lysbehandling, konvensjonell systemisk eller biologisk behandling. Totalt 18 % av pasientene hadde en anamnese med psoriasisartritt.</w:t>
      </w:r>
    </w:p>
    <w:p w14:paraId="09F015D7" w14:textId="77777777" w:rsidR="004E65A9" w:rsidRPr="00BD1AD5" w:rsidRDefault="004E65A9" w:rsidP="003F09AA">
      <w:pPr>
        <w:numPr>
          <w:ilvl w:val="12"/>
          <w:numId w:val="0"/>
        </w:numPr>
        <w:ind w:right="-2"/>
        <w:rPr>
          <w:iCs/>
          <w:noProof/>
        </w:rPr>
      </w:pPr>
    </w:p>
    <w:p w14:paraId="5A829E43" w14:textId="77777777" w:rsidR="004E65A9" w:rsidRPr="00BD1AD5" w:rsidRDefault="004E65A9" w:rsidP="003F09AA">
      <w:pPr>
        <w:numPr>
          <w:ilvl w:val="12"/>
          <w:numId w:val="0"/>
        </w:numPr>
        <w:ind w:right="-2"/>
        <w:rPr>
          <w:iCs/>
          <w:noProof/>
        </w:rPr>
      </w:pPr>
      <w:r>
        <w:t>Andelen av pasienter som oppnådde PASI</w:t>
      </w:r>
      <w:r>
        <w:noBreakHyphen/>
        <w:t>50-, 75</w:t>
      </w:r>
      <w:r>
        <w:noBreakHyphen/>
        <w:t xml:space="preserve"> og 90</w:t>
      </w:r>
      <w:r>
        <w:noBreakHyphen/>
        <w:t>respons og sPGA</w:t>
      </w:r>
      <w:r>
        <w:noBreakHyphen/>
        <w:t>skår fin (0) eller nesten fin (1), er presentert i tabell 5 nedenfor. Behandling med apremilast medførte signifikant bedring av moderat til alvorlig plakkpsoriasis, vist som andelen av pasienter med PASI</w:t>
      </w:r>
      <w:r>
        <w:noBreakHyphen/>
        <w:t>75</w:t>
      </w:r>
      <w:r>
        <w:noBreakHyphen/>
        <w:t>respons i uke 16 sammenlignet med placebo. Klinisk bedring målt som sPGA, PASI</w:t>
      </w:r>
      <w:r>
        <w:noBreakHyphen/>
        <w:t>50</w:t>
      </w:r>
      <w:r>
        <w:noBreakHyphen/>
        <w:t xml:space="preserve"> og PASI</w:t>
      </w:r>
      <w:r>
        <w:noBreakHyphen/>
        <w:t>90</w:t>
      </w:r>
      <w:r>
        <w:noBreakHyphen/>
        <w:t>respons ble også vist i uke 16. I tillegg viste apremilast behandlingseffekt ved flere manifestasjoner av psoriasis, inkludert kløe, neglesykdom, hodebunnsinvolvering og livskvalitetsmålinger.</w:t>
      </w:r>
    </w:p>
    <w:p w14:paraId="5FFE6347" w14:textId="77777777" w:rsidR="004E65A9" w:rsidRPr="00BD1AD5" w:rsidRDefault="004E65A9" w:rsidP="003F09AA">
      <w:pPr>
        <w:numPr>
          <w:ilvl w:val="12"/>
          <w:numId w:val="0"/>
        </w:numPr>
        <w:ind w:right="-2"/>
        <w:rPr>
          <w:bCs/>
          <w:lang w:eastAsia="ja-JP"/>
        </w:rPr>
      </w:pPr>
    </w:p>
    <w:p w14:paraId="3D338D0F" w14:textId="77777777" w:rsidR="004E65A9" w:rsidRPr="00BD1AD5" w:rsidRDefault="004E65A9" w:rsidP="003F09AA">
      <w:pPr>
        <w:keepNext/>
        <w:tabs>
          <w:tab w:val="clear" w:pos="567"/>
        </w:tabs>
        <w:rPr>
          <w:b/>
        </w:rPr>
      </w:pPr>
      <w:r>
        <w:rPr>
          <w:b/>
        </w:rPr>
        <w:t>Tabell 5. Klinisk respons i uke 16 i studiene ESTEEM 1 og ESTEEM 2 (FAS</w:t>
      </w:r>
      <w:r>
        <w:rPr>
          <w:b/>
          <w:vertAlign w:val="superscript"/>
        </w:rPr>
        <w:t>a</w:t>
      </w:r>
      <w:r>
        <w:rPr>
          <w:b/>
        </w:rPr>
        <w:t xml:space="preserve"> LOCF</w:t>
      </w:r>
      <w:r>
        <w:rPr>
          <w:b/>
          <w:vertAlign w:val="superscript"/>
        </w:rPr>
        <w:t>b</w:t>
      </w:r>
      <w:r>
        <w:rPr>
          <w:b/>
        </w:rPr>
        <w:t>)</w:t>
      </w:r>
    </w:p>
    <w:p w14:paraId="7DB7525C" w14:textId="77777777" w:rsidR="004E65A9" w:rsidRPr="00BD1AD5" w:rsidRDefault="004E65A9" w:rsidP="003F09AA">
      <w:pPr>
        <w:keepNext/>
        <w:tabs>
          <w:tab w:val="clear" w:pos="567"/>
          <w:tab w:val="left" w:pos="1134"/>
        </w:tabs>
        <w:ind w:left="1140" w:hanging="1140"/>
        <w:rPr>
          <w:b/>
        </w:rPr>
      </w:pP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689"/>
        <w:gridCol w:w="1192"/>
        <w:gridCol w:w="2069"/>
        <w:gridCol w:w="1192"/>
        <w:gridCol w:w="2069"/>
      </w:tblGrid>
      <w:tr w:rsidR="004E65A9" w:rsidRPr="00BD1AD5" w14:paraId="5844643E" w14:textId="77777777" w:rsidTr="008600F3">
        <w:trPr>
          <w:cantSplit/>
          <w:trHeight w:val="261"/>
          <w:tblHeader/>
        </w:trPr>
        <w:tc>
          <w:tcPr>
            <w:tcW w:w="1460" w:type="pct"/>
            <w:shd w:val="clear" w:color="auto" w:fill="FFFFFF"/>
            <w:vAlign w:val="bottom"/>
          </w:tcPr>
          <w:p w14:paraId="7CDF926C" w14:textId="77777777" w:rsidR="004E65A9" w:rsidRPr="00BD1AD5" w:rsidRDefault="004E65A9" w:rsidP="008600F3">
            <w:pPr>
              <w:keepNext/>
              <w:autoSpaceDE w:val="0"/>
              <w:autoSpaceDN w:val="0"/>
              <w:adjustRightInd w:val="0"/>
              <w:rPr>
                <w:sz w:val="20"/>
                <w:u w:val="single"/>
                <w:lang w:eastAsia="ja-JP"/>
              </w:rPr>
            </w:pPr>
          </w:p>
        </w:tc>
        <w:tc>
          <w:tcPr>
            <w:tcW w:w="1770" w:type="pct"/>
            <w:gridSpan w:val="2"/>
            <w:shd w:val="clear" w:color="auto" w:fill="FFFFFF"/>
          </w:tcPr>
          <w:p w14:paraId="280134F1" w14:textId="77777777" w:rsidR="004E65A9" w:rsidRPr="00BD1AD5" w:rsidRDefault="004E65A9" w:rsidP="008600F3">
            <w:pPr>
              <w:keepNext/>
              <w:autoSpaceDE w:val="0"/>
              <w:autoSpaceDN w:val="0"/>
              <w:adjustRightInd w:val="0"/>
              <w:jc w:val="center"/>
              <w:rPr>
                <w:b/>
                <w:sz w:val="20"/>
              </w:rPr>
            </w:pPr>
            <w:r>
              <w:rPr>
                <w:b/>
                <w:sz w:val="20"/>
              </w:rPr>
              <w:t>ESTEEM 1</w:t>
            </w:r>
          </w:p>
        </w:tc>
        <w:tc>
          <w:tcPr>
            <w:tcW w:w="1770" w:type="pct"/>
            <w:gridSpan w:val="2"/>
            <w:shd w:val="clear" w:color="auto" w:fill="FFFFFF"/>
          </w:tcPr>
          <w:p w14:paraId="5158D731" w14:textId="77777777" w:rsidR="004E65A9" w:rsidRPr="00BD1AD5" w:rsidRDefault="004E65A9" w:rsidP="008600F3">
            <w:pPr>
              <w:keepNext/>
              <w:autoSpaceDE w:val="0"/>
              <w:autoSpaceDN w:val="0"/>
              <w:adjustRightInd w:val="0"/>
              <w:jc w:val="center"/>
              <w:rPr>
                <w:b/>
                <w:sz w:val="20"/>
              </w:rPr>
            </w:pPr>
            <w:r>
              <w:rPr>
                <w:b/>
                <w:sz w:val="20"/>
              </w:rPr>
              <w:t>ESTEEM 2</w:t>
            </w:r>
          </w:p>
        </w:tc>
      </w:tr>
      <w:tr w:rsidR="004E65A9" w:rsidRPr="00BD1AD5" w14:paraId="3C8034EA" w14:textId="77777777" w:rsidTr="008600F3">
        <w:trPr>
          <w:cantSplit/>
          <w:trHeight w:val="234"/>
          <w:tblHeader/>
        </w:trPr>
        <w:tc>
          <w:tcPr>
            <w:tcW w:w="1460" w:type="pct"/>
            <w:shd w:val="clear" w:color="auto" w:fill="FFFFFF"/>
          </w:tcPr>
          <w:p w14:paraId="52C67883" w14:textId="77777777" w:rsidR="004E65A9" w:rsidRPr="00BD1AD5" w:rsidRDefault="004E65A9" w:rsidP="008600F3">
            <w:pPr>
              <w:keepNext/>
              <w:autoSpaceDE w:val="0"/>
              <w:autoSpaceDN w:val="0"/>
              <w:adjustRightInd w:val="0"/>
              <w:rPr>
                <w:sz w:val="20"/>
                <w:lang w:eastAsia="ja-JP"/>
              </w:rPr>
            </w:pPr>
          </w:p>
        </w:tc>
        <w:tc>
          <w:tcPr>
            <w:tcW w:w="647" w:type="pct"/>
            <w:shd w:val="clear" w:color="auto" w:fill="FFFFFF"/>
          </w:tcPr>
          <w:p w14:paraId="230A1933" w14:textId="77777777" w:rsidR="004E65A9" w:rsidRPr="00BD1AD5" w:rsidRDefault="004E65A9" w:rsidP="008600F3">
            <w:pPr>
              <w:keepNext/>
              <w:autoSpaceDE w:val="0"/>
              <w:autoSpaceDN w:val="0"/>
              <w:adjustRightInd w:val="0"/>
              <w:jc w:val="center"/>
              <w:rPr>
                <w:b/>
                <w:sz w:val="20"/>
              </w:rPr>
            </w:pPr>
            <w:r>
              <w:rPr>
                <w:b/>
                <w:sz w:val="20"/>
              </w:rPr>
              <w:t>Placebo</w:t>
            </w:r>
          </w:p>
        </w:tc>
        <w:tc>
          <w:tcPr>
            <w:tcW w:w="1123" w:type="pct"/>
            <w:shd w:val="clear" w:color="auto" w:fill="FFFFFF"/>
          </w:tcPr>
          <w:p w14:paraId="55758AAC" w14:textId="77777777" w:rsidR="004E65A9" w:rsidRPr="00BD1AD5" w:rsidRDefault="004E65A9" w:rsidP="008600F3">
            <w:pPr>
              <w:keepNext/>
              <w:autoSpaceDE w:val="0"/>
              <w:autoSpaceDN w:val="0"/>
              <w:adjustRightInd w:val="0"/>
              <w:jc w:val="center"/>
              <w:rPr>
                <w:b/>
                <w:sz w:val="20"/>
              </w:rPr>
            </w:pPr>
            <w:r>
              <w:rPr>
                <w:b/>
                <w:sz w:val="20"/>
              </w:rPr>
              <w:t>30 mg to ganger daglig APR*</w:t>
            </w:r>
          </w:p>
        </w:tc>
        <w:tc>
          <w:tcPr>
            <w:tcW w:w="647" w:type="pct"/>
            <w:shd w:val="clear" w:color="auto" w:fill="FFFFFF"/>
          </w:tcPr>
          <w:p w14:paraId="1955DDD3" w14:textId="77777777" w:rsidR="004E65A9" w:rsidRPr="00BD1AD5" w:rsidRDefault="004E65A9" w:rsidP="008600F3">
            <w:pPr>
              <w:keepNext/>
              <w:autoSpaceDE w:val="0"/>
              <w:autoSpaceDN w:val="0"/>
              <w:adjustRightInd w:val="0"/>
              <w:jc w:val="center"/>
              <w:rPr>
                <w:b/>
                <w:sz w:val="20"/>
              </w:rPr>
            </w:pPr>
            <w:r>
              <w:rPr>
                <w:b/>
                <w:sz w:val="20"/>
              </w:rPr>
              <w:t>Placebo</w:t>
            </w:r>
          </w:p>
        </w:tc>
        <w:tc>
          <w:tcPr>
            <w:tcW w:w="1123" w:type="pct"/>
            <w:shd w:val="clear" w:color="auto" w:fill="FFFFFF"/>
          </w:tcPr>
          <w:p w14:paraId="0E2BAC5D" w14:textId="77777777" w:rsidR="004E65A9" w:rsidRPr="00BD1AD5" w:rsidRDefault="004E65A9" w:rsidP="008600F3">
            <w:pPr>
              <w:keepNext/>
              <w:autoSpaceDE w:val="0"/>
              <w:autoSpaceDN w:val="0"/>
              <w:adjustRightInd w:val="0"/>
              <w:jc w:val="center"/>
              <w:rPr>
                <w:b/>
                <w:sz w:val="20"/>
              </w:rPr>
            </w:pPr>
            <w:r>
              <w:rPr>
                <w:b/>
                <w:sz w:val="20"/>
              </w:rPr>
              <w:t>30 mg to ganger daglig APR*</w:t>
            </w:r>
          </w:p>
        </w:tc>
      </w:tr>
      <w:tr w:rsidR="004E65A9" w:rsidRPr="00BD1AD5" w14:paraId="41F8726D" w14:textId="77777777" w:rsidTr="008600F3">
        <w:trPr>
          <w:cantSplit/>
          <w:trHeight w:val="313"/>
        </w:trPr>
        <w:tc>
          <w:tcPr>
            <w:tcW w:w="1460" w:type="pct"/>
            <w:shd w:val="clear" w:color="auto" w:fill="FFFFFF"/>
            <w:vAlign w:val="center"/>
          </w:tcPr>
          <w:p w14:paraId="1D7AD9A4" w14:textId="77777777" w:rsidR="004E65A9" w:rsidRPr="00BD1AD5" w:rsidRDefault="004E65A9" w:rsidP="008600F3">
            <w:pPr>
              <w:autoSpaceDE w:val="0"/>
              <w:autoSpaceDN w:val="0"/>
              <w:adjustRightInd w:val="0"/>
              <w:rPr>
                <w:b/>
                <w:sz w:val="20"/>
              </w:rPr>
            </w:pPr>
            <w:r>
              <w:rPr>
                <w:b/>
                <w:sz w:val="20"/>
              </w:rPr>
              <w:t>N</w:t>
            </w:r>
          </w:p>
        </w:tc>
        <w:tc>
          <w:tcPr>
            <w:tcW w:w="647" w:type="pct"/>
            <w:shd w:val="clear" w:color="auto" w:fill="FFFFFF"/>
            <w:vAlign w:val="center"/>
          </w:tcPr>
          <w:p w14:paraId="0CFC19E2" w14:textId="77777777" w:rsidR="004E65A9" w:rsidRPr="00BD1AD5" w:rsidRDefault="004E65A9" w:rsidP="008600F3">
            <w:pPr>
              <w:autoSpaceDE w:val="0"/>
              <w:autoSpaceDN w:val="0"/>
              <w:adjustRightInd w:val="0"/>
              <w:jc w:val="center"/>
              <w:rPr>
                <w:sz w:val="20"/>
              </w:rPr>
            </w:pPr>
            <w:r>
              <w:rPr>
                <w:sz w:val="20"/>
              </w:rPr>
              <w:t>282</w:t>
            </w:r>
          </w:p>
        </w:tc>
        <w:tc>
          <w:tcPr>
            <w:tcW w:w="1123" w:type="pct"/>
            <w:shd w:val="clear" w:color="auto" w:fill="FFFFFF"/>
            <w:vAlign w:val="center"/>
          </w:tcPr>
          <w:p w14:paraId="3E79BA82" w14:textId="77777777" w:rsidR="004E65A9" w:rsidRPr="00BD1AD5" w:rsidRDefault="004E65A9" w:rsidP="008600F3">
            <w:pPr>
              <w:autoSpaceDE w:val="0"/>
              <w:autoSpaceDN w:val="0"/>
              <w:adjustRightInd w:val="0"/>
              <w:jc w:val="center"/>
              <w:rPr>
                <w:sz w:val="20"/>
              </w:rPr>
            </w:pPr>
            <w:r>
              <w:rPr>
                <w:sz w:val="20"/>
              </w:rPr>
              <w:t>562</w:t>
            </w:r>
          </w:p>
        </w:tc>
        <w:tc>
          <w:tcPr>
            <w:tcW w:w="647" w:type="pct"/>
            <w:shd w:val="clear" w:color="auto" w:fill="FFFFFF"/>
            <w:vAlign w:val="center"/>
          </w:tcPr>
          <w:p w14:paraId="5EF4EB09" w14:textId="77777777" w:rsidR="004E65A9" w:rsidRPr="00BD1AD5" w:rsidRDefault="004E65A9" w:rsidP="008600F3">
            <w:pPr>
              <w:autoSpaceDE w:val="0"/>
              <w:autoSpaceDN w:val="0"/>
              <w:adjustRightInd w:val="0"/>
              <w:jc w:val="center"/>
              <w:rPr>
                <w:sz w:val="20"/>
              </w:rPr>
            </w:pPr>
            <w:r>
              <w:rPr>
                <w:sz w:val="20"/>
              </w:rPr>
              <w:t>137</w:t>
            </w:r>
          </w:p>
        </w:tc>
        <w:tc>
          <w:tcPr>
            <w:tcW w:w="1123" w:type="pct"/>
            <w:shd w:val="clear" w:color="auto" w:fill="FFFFFF"/>
            <w:vAlign w:val="center"/>
          </w:tcPr>
          <w:p w14:paraId="74E9A1FE" w14:textId="77777777" w:rsidR="004E65A9" w:rsidRPr="00BD1AD5" w:rsidRDefault="004E65A9" w:rsidP="008600F3">
            <w:pPr>
              <w:autoSpaceDE w:val="0"/>
              <w:autoSpaceDN w:val="0"/>
              <w:adjustRightInd w:val="0"/>
              <w:jc w:val="center"/>
              <w:rPr>
                <w:sz w:val="20"/>
              </w:rPr>
            </w:pPr>
            <w:r>
              <w:rPr>
                <w:sz w:val="20"/>
              </w:rPr>
              <w:t>274</w:t>
            </w:r>
          </w:p>
        </w:tc>
      </w:tr>
      <w:tr w:rsidR="004E65A9" w:rsidRPr="00BD1AD5" w14:paraId="4F90279E" w14:textId="77777777" w:rsidTr="008600F3">
        <w:trPr>
          <w:cantSplit/>
          <w:trHeight w:val="313"/>
        </w:trPr>
        <w:tc>
          <w:tcPr>
            <w:tcW w:w="1460" w:type="pct"/>
            <w:shd w:val="clear" w:color="auto" w:fill="FFFFFF"/>
            <w:vAlign w:val="center"/>
          </w:tcPr>
          <w:p w14:paraId="734AA1D3" w14:textId="77777777" w:rsidR="004E65A9" w:rsidRPr="00BD1AD5" w:rsidRDefault="004E65A9" w:rsidP="008600F3">
            <w:pPr>
              <w:autoSpaceDE w:val="0"/>
              <w:autoSpaceDN w:val="0"/>
              <w:adjustRightInd w:val="0"/>
              <w:rPr>
                <w:b/>
                <w:sz w:val="20"/>
              </w:rPr>
            </w:pPr>
            <w:r>
              <w:rPr>
                <w:b/>
                <w:sz w:val="20"/>
              </w:rPr>
              <w:t>PASI</w:t>
            </w:r>
            <w:r>
              <w:rPr>
                <w:b/>
                <w:sz w:val="20"/>
                <w:vertAlign w:val="superscript"/>
              </w:rPr>
              <w:t>c</w:t>
            </w:r>
            <w:r>
              <w:rPr>
                <w:b/>
                <w:sz w:val="20"/>
              </w:rPr>
              <w:noBreakHyphen/>
              <w:t>75, n (%)</w:t>
            </w:r>
          </w:p>
        </w:tc>
        <w:tc>
          <w:tcPr>
            <w:tcW w:w="647" w:type="pct"/>
            <w:shd w:val="clear" w:color="auto" w:fill="FFFFFF"/>
            <w:vAlign w:val="center"/>
          </w:tcPr>
          <w:p w14:paraId="112F20E1" w14:textId="77777777" w:rsidR="004E65A9" w:rsidRPr="00BD1AD5" w:rsidRDefault="004E65A9" w:rsidP="008600F3">
            <w:pPr>
              <w:autoSpaceDE w:val="0"/>
              <w:autoSpaceDN w:val="0"/>
              <w:adjustRightInd w:val="0"/>
              <w:jc w:val="center"/>
              <w:rPr>
                <w:sz w:val="20"/>
              </w:rPr>
            </w:pPr>
            <w:r>
              <w:rPr>
                <w:sz w:val="20"/>
              </w:rPr>
              <w:t>15 (5,3)</w:t>
            </w:r>
          </w:p>
        </w:tc>
        <w:tc>
          <w:tcPr>
            <w:tcW w:w="1123" w:type="pct"/>
            <w:shd w:val="clear" w:color="auto" w:fill="FFFFFF"/>
            <w:vAlign w:val="center"/>
          </w:tcPr>
          <w:p w14:paraId="580D09B7" w14:textId="77777777" w:rsidR="004E65A9" w:rsidRPr="00BD1AD5" w:rsidRDefault="004E65A9" w:rsidP="008600F3">
            <w:pPr>
              <w:autoSpaceDE w:val="0"/>
              <w:autoSpaceDN w:val="0"/>
              <w:adjustRightInd w:val="0"/>
              <w:jc w:val="center"/>
              <w:rPr>
                <w:sz w:val="20"/>
              </w:rPr>
            </w:pPr>
            <w:r>
              <w:rPr>
                <w:sz w:val="20"/>
              </w:rPr>
              <w:t>186 (33,1)</w:t>
            </w:r>
          </w:p>
        </w:tc>
        <w:tc>
          <w:tcPr>
            <w:tcW w:w="647" w:type="pct"/>
            <w:shd w:val="clear" w:color="auto" w:fill="FFFFFF"/>
            <w:vAlign w:val="center"/>
          </w:tcPr>
          <w:p w14:paraId="073A913E" w14:textId="77777777" w:rsidR="004E65A9" w:rsidRPr="00BD1AD5" w:rsidRDefault="004E65A9" w:rsidP="008600F3">
            <w:pPr>
              <w:autoSpaceDE w:val="0"/>
              <w:autoSpaceDN w:val="0"/>
              <w:adjustRightInd w:val="0"/>
              <w:jc w:val="center"/>
              <w:rPr>
                <w:sz w:val="20"/>
              </w:rPr>
            </w:pPr>
            <w:r>
              <w:rPr>
                <w:sz w:val="20"/>
              </w:rPr>
              <w:t>8 (5,8)</w:t>
            </w:r>
          </w:p>
        </w:tc>
        <w:tc>
          <w:tcPr>
            <w:tcW w:w="1123" w:type="pct"/>
            <w:shd w:val="clear" w:color="auto" w:fill="FFFFFF"/>
            <w:vAlign w:val="center"/>
          </w:tcPr>
          <w:p w14:paraId="6CE2B03E" w14:textId="77777777" w:rsidR="004E65A9" w:rsidRPr="00BD1AD5" w:rsidRDefault="004E65A9" w:rsidP="008600F3">
            <w:pPr>
              <w:autoSpaceDE w:val="0"/>
              <w:autoSpaceDN w:val="0"/>
              <w:adjustRightInd w:val="0"/>
              <w:jc w:val="center"/>
              <w:rPr>
                <w:sz w:val="20"/>
              </w:rPr>
            </w:pPr>
            <w:r>
              <w:rPr>
                <w:sz w:val="20"/>
              </w:rPr>
              <w:t>79 (28,8)</w:t>
            </w:r>
          </w:p>
        </w:tc>
      </w:tr>
      <w:tr w:rsidR="004E65A9" w:rsidRPr="00BD1AD5" w14:paraId="41967D06" w14:textId="77777777" w:rsidTr="008600F3">
        <w:trPr>
          <w:cantSplit/>
          <w:trHeight w:val="318"/>
        </w:trPr>
        <w:tc>
          <w:tcPr>
            <w:tcW w:w="1460" w:type="pct"/>
            <w:shd w:val="clear" w:color="auto" w:fill="FFFFFF"/>
            <w:vAlign w:val="center"/>
          </w:tcPr>
          <w:p w14:paraId="684CC438" w14:textId="77777777" w:rsidR="004E65A9" w:rsidRPr="00BD1AD5" w:rsidRDefault="004E65A9" w:rsidP="008600F3">
            <w:pPr>
              <w:autoSpaceDE w:val="0"/>
              <w:autoSpaceDN w:val="0"/>
              <w:adjustRightInd w:val="0"/>
              <w:rPr>
                <w:b/>
                <w:sz w:val="20"/>
              </w:rPr>
            </w:pPr>
            <w:r>
              <w:rPr>
                <w:b/>
                <w:sz w:val="20"/>
              </w:rPr>
              <w:t>sPGA</w:t>
            </w:r>
            <w:r>
              <w:rPr>
                <w:b/>
                <w:sz w:val="20"/>
                <w:vertAlign w:val="superscript"/>
              </w:rPr>
              <w:t>d</w:t>
            </w:r>
            <w:r>
              <w:rPr>
                <w:b/>
                <w:sz w:val="20"/>
              </w:rPr>
              <w:t xml:space="preserve"> fin eller</w:t>
            </w:r>
            <w:r>
              <w:rPr>
                <w:b/>
                <w:sz w:val="20"/>
              </w:rPr>
              <w:br/>
              <w:t>nesten fin, n (%)</w:t>
            </w:r>
          </w:p>
        </w:tc>
        <w:tc>
          <w:tcPr>
            <w:tcW w:w="647" w:type="pct"/>
            <w:shd w:val="clear" w:color="auto" w:fill="FFFFFF"/>
            <w:vAlign w:val="center"/>
          </w:tcPr>
          <w:p w14:paraId="641080CB" w14:textId="77777777" w:rsidR="004E65A9" w:rsidRPr="00BD1AD5" w:rsidRDefault="004E65A9" w:rsidP="008600F3">
            <w:pPr>
              <w:autoSpaceDE w:val="0"/>
              <w:autoSpaceDN w:val="0"/>
              <w:adjustRightInd w:val="0"/>
              <w:jc w:val="center"/>
              <w:rPr>
                <w:sz w:val="20"/>
              </w:rPr>
            </w:pPr>
            <w:r>
              <w:rPr>
                <w:sz w:val="20"/>
              </w:rPr>
              <w:t>11 (3,9)</w:t>
            </w:r>
          </w:p>
        </w:tc>
        <w:tc>
          <w:tcPr>
            <w:tcW w:w="1123" w:type="pct"/>
            <w:shd w:val="clear" w:color="auto" w:fill="FFFFFF"/>
            <w:vAlign w:val="center"/>
          </w:tcPr>
          <w:p w14:paraId="6829CD86" w14:textId="77777777" w:rsidR="004E65A9" w:rsidRPr="00BD1AD5" w:rsidRDefault="004E65A9" w:rsidP="008600F3">
            <w:pPr>
              <w:autoSpaceDE w:val="0"/>
              <w:autoSpaceDN w:val="0"/>
              <w:adjustRightInd w:val="0"/>
              <w:jc w:val="center"/>
              <w:rPr>
                <w:sz w:val="20"/>
              </w:rPr>
            </w:pPr>
            <w:r>
              <w:rPr>
                <w:sz w:val="20"/>
              </w:rPr>
              <w:t>122 (21,7)</w:t>
            </w:r>
          </w:p>
        </w:tc>
        <w:tc>
          <w:tcPr>
            <w:tcW w:w="647" w:type="pct"/>
            <w:shd w:val="clear" w:color="auto" w:fill="FFFFFF"/>
            <w:vAlign w:val="center"/>
          </w:tcPr>
          <w:p w14:paraId="26BE8F75" w14:textId="77777777" w:rsidR="004E65A9" w:rsidRPr="00BD1AD5" w:rsidRDefault="004E65A9" w:rsidP="008600F3">
            <w:pPr>
              <w:autoSpaceDE w:val="0"/>
              <w:autoSpaceDN w:val="0"/>
              <w:adjustRightInd w:val="0"/>
              <w:jc w:val="center"/>
              <w:rPr>
                <w:sz w:val="20"/>
              </w:rPr>
            </w:pPr>
            <w:r>
              <w:rPr>
                <w:sz w:val="20"/>
              </w:rPr>
              <w:t>6 (4,4)</w:t>
            </w:r>
          </w:p>
        </w:tc>
        <w:tc>
          <w:tcPr>
            <w:tcW w:w="1123" w:type="pct"/>
            <w:shd w:val="clear" w:color="auto" w:fill="FFFFFF"/>
            <w:vAlign w:val="center"/>
          </w:tcPr>
          <w:p w14:paraId="7792460E" w14:textId="77777777" w:rsidR="004E65A9" w:rsidRPr="00BD1AD5" w:rsidRDefault="004E65A9" w:rsidP="008600F3">
            <w:pPr>
              <w:autoSpaceDE w:val="0"/>
              <w:autoSpaceDN w:val="0"/>
              <w:adjustRightInd w:val="0"/>
              <w:jc w:val="center"/>
              <w:rPr>
                <w:sz w:val="20"/>
              </w:rPr>
            </w:pPr>
            <w:r>
              <w:rPr>
                <w:sz w:val="20"/>
              </w:rPr>
              <w:t>56 (20,4)</w:t>
            </w:r>
          </w:p>
        </w:tc>
      </w:tr>
      <w:tr w:rsidR="004E65A9" w:rsidRPr="00BD1AD5" w14:paraId="55960F20" w14:textId="77777777" w:rsidTr="008600F3">
        <w:trPr>
          <w:cantSplit/>
          <w:trHeight w:val="318"/>
        </w:trPr>
        <w:tc>
          <w:tcPr>
            <w:tcW w:w="1460" w:type="pct"/>
            <w:shd w:val="clear" w:color="auto" w:fill="FFFFFF"/>
            <w:vAlign w:val="center"/>
          </w:tcPr>
          <w:p w14:paraId="4547256C" w14:textId="77777777" w:rsidR="004E65A9" w:rsidRPr="00BD1AD5" w:rsidRDefault="004E65A9" w:rsidP="008600F3">
            <w:pPr>
              <w:autoSpaceDE w:val="0"/>
              <w:autoSpaceDN w:val="0"/>
              <w:adjustRightInd w:val="0"/>
              <w:rPr>
                <w:b/>
                <w:sz w:val="20"/>
              </w:rPr>
            </w:pPr>
            <w:r>
              <w:rPr>
                <w:b/>
                <w:sz w:val="20"/>
              </w:rPr>
              <w:t>PASI</w:t>
            </w:r>
            <w:r>
              <w:rPr>
                <w:b/>
                <w:sz w:val="20"/>
              </w:rPr>
              <w:noBreakHyphen/>
              <w:t>50, n (%)</w:t>
            </w:r>
          </w:p>
        </w:tc>
        <w:tc>
          <w:tcPr>
            <w:tcW w:w="647" w:type="pct"/>
            <w:shd w:val="clear" w:color="auto" w:fill="FFFFFF"/>
            <w:vAlign w:val="center"/>
          </w:tcPr>
          <w:p w14:paraId="55737CB2" w14:textId="77777777" w:rsidR="004E65A9" w:rsidRPr="00BD1AD5" w:rsidRDefault="004E65A9" w:rsidP="008600F3">
            <w:pPr>
              <w:autoSpaceDE w:val="0"/>
              <w:autoSpaceDN w:val="0"/>
              <w:adjustRightInd w:val="0"/>
              <w:jc w:val="center"/>
              <w:rPr>
                <w:sz w:val="20"/>
              </w:rPr>
            </w:pPr>
            <w:r>
              <w:rPr>
                <w:sz w:val="20"/>
              </w:rPr>
              <w:t>48 (17,0)</w:t>
            </w:r>
          </w:p>
        </w:tc>
        <w:tc>
          <w:tcPr>
            <w:tcW w:w="1123" w:type="pct"/>
            <w:shd w:val="clear" w:color="auto" w:fill="FFFFFF"/>
            <w:vAlign w:val="center"/>
          </w:tcPr>
          <w:p w14:paraId="4A83980C" w14:textId="77777777" w:rsidR="004E65A9" w:rsidRPr="00BD1AD5" w:rsidRDefault="004E65A9" w:rsidP="008600F3">
            <w:pPr>
              <w:autoSpaceDE w:val="0"/>
              <w:autoSpaceDN w:val="0"/>
              <w:adjustRightInd w:val="0"/>
              <w:jc w:val="center"/>
              <w:rPr>
                <w:sz w:val="20"/>
              </w:rPr>
            </w:pPr>
            <w:r>
              <w:rPr>
                <w:sz w:val="20"/>
              </w:rPr>
              <w:t>330 (58,7)</w:t>
            </w:r>
          </w:p>
        </w:tc>
        <w:tc>
          <w:tcPr>
            <w:tcW w:w="647" w:type="pct"/>
            <w:shd w:val="clear" w:color="auto" w:fill="FFFFFF"/>
            <w:vAlign w:val="center"/>
          </w:tcPr>
          <w:p w14:paraId="356CE6F7" w14:textId="77777777" w:rsidR="004E65A9" w:rsidRPr="00BD1AD5" w:rsidRDefault="004E65A9" w:rsidP="008600F3">
            <w:pPr>
              <w:autoSpaceDE w:val="0"/>
              <w:autoSpaceDN w:val="0"/>
              <w:adjustRightInd w:val="0"/>
              <w:jc w:val="center"/>
              <w:rPr>
                <w:sz w:val="20"/>
              </w:rPr>
            </w:pPr>
            <w:r>
              <w:rPr>
                <w:sz w:val="20"/>
              </w:rPr>
              <w:t>27 (19,7)</w:t>
            </w:r>
          </w:p>
        </w:tc>
        <w:tc>
          <w:tcPr>
            <w:tcW w:w="1123" w:type="pct"/>
            <w:shd w:val="clear" w:color="auto" w:fill="FFFFFF"/>
            <w:vAlign w:val="center"/>
          </w:tcPr>
          <w:p w14:paraId="2DE56D12" w14:textId="77777777" w:rsidR="004E65A9" w:rsidRPr="00BD1AD5" w:rsidRDefault="004E65A9" w:rsidP="008600F3">
            <w:pPr>
              <w:autoSpaceDE w:val="0"/>
              <w:autoSpaceDN w:val="0"/>
              <w:adjustRightInd w:val="0"/>
              <w:jc w:val="center"/>
              <w:rPr>
                <w:sz w:val="20"/>
              </w:rPr>
            </w:pPr>
            <w:r>
              <w:rPr>
                <w:sz w:val="20"/>
              </w:rPr>
              <w:t>152 (55,5)</w:t>
            </w:r>
          </w:p>
        </w:tc>
      </w:tr>
      <w:tr w:rsidR="004E65A9" w:rsidRPr="00BD1AD5" w14:paraId="722D90D7" w14:textId="77777777" w:rsidTr="008600F3">
        <w:trPr>
          <w:cantSplit/>
          <w:trHeight w:val="318"/>
        </w:trPr>
        <w:tc>
          <w:tcPr>
            <w:tcW w:w="1460" w:type="pct"/>
            <w:shd w:val="clear" w:color="auto" w:fill="FFFFFF"/>
            <w:vAlign w:val="center"/>
          </w:tcPr>
          <w:p w14:paraId="78CF1251" w14:textId="77777777" w:rsidR="004E65A9" w:rsidRPr="00BD1AD5" w:rsidRDefault="004E65A9" w:rsidP="008600F3">
            <w:pPr>
              <w:autoSpaceDE w:val="0"/>
              <w:autoSpaceDN w:val="0"/>
              <w:adjustRightInd w:val="0"/>
              <w:rPr>
                <w:b/>
                <w:sz w:val="20"/>
              </w:rPr>
            </w:pPr>
            <w:r>
              <w:rPr>
                <w:b/>
                <w:sz w:val="20"/>
              </w:rPr>
              <w:t>PASI</w:t>
            </w:r>
            <w:r>
              <w:rPr>
                <w:b/>
                <w:sz w:val="20"/>
              </w:rPr>
              <w:noBreakHyphen/>
              <w:t>90, n (%)</w:t>
            </w:r>
          </w:p>
        </w:tc>
        <w:tc>
          <w:tcPr>
            <w:tcW w:w="647" w:type="pct"/>
            <w:shd w:val="clear" w:color="auto" w:fill="FFFFFF"/>
            <w:vAlign w:val="center"/>
          </w:tcPr>
          <w:p w14:paraId="3AFEA982" w14:textId="77777777" w:rsidR="004E65A9" w:rsidRPr="00BD1AD5" w:rsidRDefault="004E65A9" w:rsidP="008600F3">
            <w:pPr>
              <w:autoSpaceDE w:val="0"/>
              <w:autoSpaceDN w:val="0"/>
              <w:adjustRightInd w:val="0"/>
              <w:jc w:val="center"/>
              <w:rPr>
                <w:sz w:val="20"/>
              </w:rPr>
            </w:pPr>
            <w:r>
              <w:rPr>
                <w:sz w:val="20"/>
              </w:rPr>
              <w:t>1 (0,4)</w:t>
            </w:r>
          </w:p>
        </w:tc>
        <w:tc>
          <w:tcPr>
            <w:tcW w:w="1123" w:type="pct"/>
            <w:shd w:val="clear" w:color="auto" w:fill="FFFFFF"/>
            <w:vAlign w:val="center"/>
          </w:tcPr>
          <w:p w14:paraId="56B9B246" w14:textId="77777777" w:rsidR="004E65A9" w:rsidRPr="00BD1AD5" w:rsidRDefault="004E65A9" w:rsidP="008600F3">
            <w:pPr>
              <w:autoSpaceDE w:val="0"/>
              <w:autoSpaceDN w:val="0"/>
              <w:adjustRightInd w:val="0"/>
              <w:jc w:val="center"/>
              <w:rPr>
                <w:sz w:val="20"/>
              </w:rPr>
            </w:pPr>
            <w:r>
              <w:rPr>
                <w:sz w:val="20"/>
              </w:rPr>
              <w:t>55 (9,8)</w:t>
            </w:r>
          </w:p>
        </w:tc>
        <w:tc>
          <w:tcPr>
            <w:tcW w:w="647" w:type="pct"/>
            <w:shd w:val="clear" w:color="auto" w:fill="FFFFFF"/>
            <w:vAlign w:val="center"/>
          </w:tcPr>
          <w:p w14:paraId="2CF8FD4D" w14:textId="77777777" w:rsidR="004E65A9" w:rsidRPr="00BD1AD5" w:rsidRDefault="004E65A9" w:rsidP="008600F3">
            <w:pPr>
              <w:autoSpaceDE w:val="0"/>
              <w:autoSpaceDN w:val="0"/>
              <w:adjustRightInd w:val="0"/>
              <w:jc w:val="center"/>
              <w:rPr>
                <w:sz w:val="20"/>
              </w:rPr>
            </w:pPr>
            <w:r>
              <w:rPr>
                <w:sz w:val="20"/>
              </w:rPr>
              <w:t>2 (1,5)</w:t>
            </w:r>
          </w:p>
        </w:tc>
        <w:tc>
          <w:tcPr>
            <w:tcW w:w="1123" w:type="pct"/>
            <w:shd w:val="clear" w:color="auto" w:fill="FFFFFF"/>
            <w:vAlign w:val="center"/>
          </w:tcPr>
          <w:p w14:paraId="671A2C97" w14:textId="77777777" w:rsidR="004E65A9" w:rsidRPr="00BD1AD5" w:rsidRDefault="004E65A9" w:rsidP="008600F3">
            <w:pPr>
              <w:autoSpaceDE w:val="0"/>
              <w:autoSpaceDN w:val="0"/>
              <w:adjustRightInd w:val="0"/>
              <w:jc w:val="center"/>
              <w:rPr>
                <w:sz w:val="20"/>
              </w:rPr>
            </w:pPr>
            <w:r>
              <w:rPr>
                <w:sz w:val="20"/>
              </w:rPr>
              <w:t>24 (8,8)</w:t>
            </w:r>
          </w:p>
        </w:tc>
      </w:tr>
      <w:tr w:rsidR="004E65A9" w:rsidRPr="00BD1AD5" w14:paraId="67A4796B" w14:textId="77777777" w:rsidTr="008600F3">
        <w:trPr>
          <w:cantSplit/>
          <w:trHeight w:val="318"/>
        </w:trPr>
        <w:tc>
          <w:tcPr>
            <w:tcW w:w="1460" w:type="pct"/>
            <w:shd w:val="clear" w:color="auto" w:fill="FFFFFF"/>
            <w:vAlign w:val="center"/>
          </w:tcPr>
          <w:p w14:paraId="591A8F33" w14:textId="77777777" w:rsidR="004E65A9" w:rsidRPr="00BD1AD5" w:rsidRDefault="004E65A9" w:rsidP="008600F3">
            <w:pPr>
              <w:autoSpaceDE w:val="0"/>
              <w:autoSpaceDN w:val="0"/>
              <w:adjustRightInd w:val="0"/>
              <w:rPr>
                <w:b/>
                <w:sz w:val="20"/>
              </w:rPr>
            </w:pPr>
            <w:r>
              <w:rPr>
                <w:b/>
                <w:sz w:val="20"/>
              </w:rPr>
              <w:t>Prosentvis endring i BSA</w:t>
            </w:r>
            <w:r>
              <w:rPr>
                <w:b/>
                <w:sz w:val="20"/>
                <w:vertAlign w:val="superscript"/>
              </w:rPr>
              <w:t>e</w:t>
            </w:r>
            <w:r>
              <w:rPr>
                <w:b/>
                <w:sz w:val="20"/>
              </w:rPr>
              <w:t xml:space="preserve"> (%), </w:t>
            </w:r>
          </w:p>
          <w:p w14:paraId="6AF4848C" w14:textId="77777777" w:rsidR="004E65A9" w:rsidRPr="00BD1AD5" w:rsidRDefault="004E65A9" w:rsidP="008600F3">
            <w:pPr>
              <w:autoSpaceDE w:val="0"/>
              <w:autoSpaceDN w:val="0"/>
              <w:adjustRightInd w:val="0"/>
              <w:rPr>
                <w:b/>
                <w:sz w:val="20"/>
              </w:rPr>
            </w:pPr>
            <w:r>
              <w:rPr>
                <w:b/>
                <w:sz w:val="20"/>
              </w:rPr>
              <w:t>gjennomsnitt ± SD</w:t>
            </w:r>
          </w:p>
        </w:tc>
        <w:tc>
          <w:tcPr>
            <w:tcW w:w="647" w:type="pct"/>
            <w:shd w:val="clear" w:color="auto" w:fill="FFFFFF"/>
            <w:vAlign w:val="center"/>
          </w:tcPr>
          <w:p w14:paraId="418DD3B7" w14:textId="77777777" w:rsidR="004E65A9" w:rsidRPr="00BD1AD5" w:rsidRDefault="004E65A9" w:rsidP="008600F3">
            <w:pPr>
              <w:autoSpaceDE w:val="0"/>
              <w:autoSpaceDN w:val="0"/>
              <w:adjustRightInd w:val="0"/>
              <w:jc w:val="center"/>
              <w:rPr>
                <w:sz w:val="20"/>
              </w:rPr>
            </w:pPr>
            <w:r>
              <w:rPr>
                <w:sz w:val="20"/>
              </w:rPr>
              <w:t>-6,9</w:t>
            </w:r>
          </w:p>
          <w:p w14:paraId="78FFD9D6" w14:textId="77777777" w:rsidR="004E65A9" w:rsidRPr="00BD1AD5" w:rsidRDefault="004E65A9" w:rsidP="008600F3">
            <w:pPr>
              <w:autoSpaceDE w:val="0"/>
              <w:autoSpaceDN w:val="0"/>
              <w:adjustRightInd w:val="0"/>
              <w:jc w:val="center"/>
              <w:rPr>
                <w:sz w:val="20"/>
              </w:rPr>
            </w:pPr>
            <w:r>
              <w:rPr>
                <w:sz w:val="20"/>
              </w:rPr>
              <w:t>± 38,95</w:t>
            </w:r>
          </w:p>
        </w:tc>
        <w:tc>
          <w:tcPr>
            <w:tcW w:w="1123" w:type="pct"/>
            <w:shd w:val="clear" w:color="auto" w:fill="FFFFFF"/>
            <w:vAlign w:val="center"/>
          </w:tcPr>
          <w:p w14:paraId="0A54D617" w14:textId="77777777" w:rsidR="004E65A9" w:rsidRPr="00BD1AD5" w:rsidRDefault="004E65A9" w:rsidP="008600F3">
            <w:pPr>
              <w:autoSpaceDE w:val="0"/>
              <w:autoSpaceDN w:val="0"/>
              <w:adjustRightInd w:val="0"/>
              <w:jc w:val="center"/>
              <w:rPr>
                <w:sz w:val="20"/>
              </w:rPr>
            </w:pPr>
            <w:r>
              <w:rPr>
                <w:sz w:val="20"/>
              </w:rPr>
              <w:t>-47,8</w:t>
            </w:r>
          </w:p>
          <w:p w14:paraId="73A5E0D5" w14:textId="77777777" w:rsidR="004E65A9" w:rsidRPr="00BD1AD5" w:rsidRDefault="004E65A9" w:rsidP="008600F3">
            <w:pPr>
              <w:autoSpaceDE w:val="0"/>
              <w:autoSpaceDN w:val="0"/>
              <w:adjustRightInd w:val="0"/>
              <w:jc w:val="center"/>
              <w:rPr>
                <w:sz w:val="20"/>
              </w:rPr>
            </w:pPr>
            <w:r>
              <w:rPr>
                <w:sz w:val="20"/>
              </w:rPr>
              <w:t>± 38,48</w:t>
            </w:r>
          </w:p>
        </w:tc>
        <w:tc>
          <w:tcPr>
            <w:tcW w:w="647" w:type="pct"/>
            <w:shd w:val="clear" w:color="auto" w:fill="FFFFFF"/>
            <w:vAlign w:val="center"/>
          </w:tcPr>
          <w:p w14:paraId="3DAF3939" w14:textId="77777777" w:rsidR="004E65A9" w:rsidRPr="00BD1AD5" w:rsidRDefault="004E65A9" w:rsidP="008600F3">
            <w:pPr>
              <w:autoSpaceDE w:val="0"/>
              <w:autoSpaceDN w:val="0"/>
              <w:adjustRightInd w:val="0"/>
              <w:jc w:val="center"/>
              <w:rPr>
                <w:sz w:val="20"/>
              </w:rPr>
            </w:pPr>
            <w:r>
              <w:rPr>
                <w:sz w:val="20"/>
              </w:rPr>
              <w:t>-6,1</w:t>
            </w:r>
          </w:p>
          <w:p w14:paraId="063324A4" w14:textId="77777777" w:rsidR="004E65A9" w:rsidRPr="00BD1AD5" w:rsidRDefault="004E65A9" w:rsidP="008600F3">
            <w:pPr>
              <w:autoSpaceDE w:val="0"/>
              <w:autoSpaceDN w:val="0"/>
              <w:adjustRightInd w:val="0"/>
              <w:jc w:val="center"/>
              <w:rPr>
                <w:sz w:val="20"/>
              </w:rPr>
            </w:pPr>
            <w:r>
              <w:rPr>
                <w:sz w:val="20"/>
              </w:rPr>
              <w:t>± 47,57</w:t>
            </w:r>
          </w:p>
        </w:tc>
        <w:tc>
          <w:tcPr>
            <w:tcW w:w="1123" w:type="pct"/>
            <w:shd w:val="clear" w:color="auto" w:fill="FFFFFF"/>
            <w:vAlign w:val="center"/>
          </w:tcPr>
          <w:p w14:paraId="73114E63" w14:textId="77777777" w:rsidR="004E65A9" w:rsidRPr="00BD1AD5" w:rsidRDefault="004E65A9" w:rsidP="008600F3">
            <w:pPr>
              <w:autoSpaceDE w:val="0"/>
              <w:autoSpaceDN w:val="0"/>
              <w:adjustRightInd w:val="0"/>
              <w:jc w:val="center"/>
              <w:rPr>
                <w:sz w:val="20"/>
              </w:rPr>
            </w:pPr>
            <w:r>
              <w:rPr>
                <w:sz w:val="20"/>
              </w:rPr>
              <w:t>-48,4</w:t>
            </w:r>
          </w:p>
          <w:p w14:paraId="79F92F9C" w14:textId="77777777" w:rsidR="004E65A9" w:rsidRPr="00BD1AD5" w:rsidRDefault="004E65A9" w:rsidP="008600F3">
            <w:pPr>
              <w:autoSpaceDE w:val="0"/>
              <w:autoSpaceDN w:val="0"/>
              <w:adjustRightInd w:val="0"/>
              <w:jc w:val="center"/>
              <w:rPr>
                <w:sz w:val="20"/>
              </w:rPr>
            </w:pPr>
            <w:r>
              <w:rPr>
                <w:sz w:val="20"/>
              </w:rPr>
              <w:t>± 40,78</w:t>
            </w:r>
          </w:p>
        </w:tc>
      </w:tr>
      <w:tr w:rsidR="004E65A9" w:rsidRPr="00BD1AD5" w14:paraId="4D0E6288" w14:textId="77777777" w:rsidTr="008600F3">
        <w:trPr>
          <w:cantSplit/>
          <w:trHeight w:val="318"/>
        </w:trPr>
        <w:tc>
          <w:tcPr>
            <w:tcW w:w="1460" w:type="pct"/>
            <w:shd w:val="clear" w:color="auto" w:fill="FFFFFF"/>
            <w:vAlign w:val="center"/>
          </w:tcPr>
          <w:p w14:paraId="2BD2E08E" w14:textId="77777777" w:rsidR="004E65A9" w:rsidRPr="00BD1AD5" w:rsidRDefault="004E65A9" w:rsidP="008600F3">
            <w:pPr>
              <w:autoSpaceDE w:val="0"/>
              <w:autoSpaceDN w:val="0"/>
              <w:adjustRightInd w:val="0"/>
              <w:rPr>
                <w:b/>
                <w:sz w:val="20"/>
              </w:rPr>
            </w:pPr>
            <w:r>
              <w:rPr>
                <w:b/>
                <w:sz w:val="20"/>
              </w:rPr>
              <w:t>Endring i kløe VAS</w:t>
            </w:r>
            <w:r>
              <w:rPr>
                <w:b/>
                <w:sz w:val="20"/>
                <w:vertAlign w:val="superscript"/>
              </w:rPr>
              <w:t>f</w:t>
            </w:r>
            <w:r>
              <w:rPr>
                <w:b/>
                <w:sz w:val="20"/>
              </w:rPr>
              <w:t xml:space="preserve"> (mm), gjennomsnitt ± SD</w:t>
            </w:r>
          </w:p>
        </w:tc>
        <w:tc>
          <w:tcPr>
            <w:tcW w:w="647" w:type="pct"/>
            <w:shd w:val="clear" w:color="auto" w:fill="FFFFFF"/>
            <w:vAlign w:val="center"/>
          </w:tcPr>
          <w:p w14:paraId="53FD6387" w14:textId="77777777" w:rsidR="004E65A9" w:rsidRPr="00BD1AD5" w:rsidRDefault="004E65A9" w:rsidP="008600F3">
            <w:pPr>
              <w:autoSpaceDE w:val="0"/>
              <w:autoSpaceDN w:val="0"/>
              <w:adjustRightInd w:val="0"/>
              <w:jc w:val="center"/>
              <w:rPr>
                <w:sz w:val="20"/>
              </w:rPr>
            </w:pPr>
            <w:r>
              <w:rPr>
                <w:sz w:val="20"/>
              </w:rPr>
              <w:t>-7,3</w:t>
            </w:r>
          </w:p>
          <w:p w14:paraId="3AE017DF" w14:textId="77777777" w:rsidR="004E65A9" w:rsidRPr="00BD1AD5" w:rsidRDefault="004E65A9" w:rsidP="008600F3">
            <w:pPr>
              <w:autoSpaceDE w:val="0"/>
              <w:autoSpaceDN w:val="0"/>
              <w:adjustRightInd w:val="0"/>
              <w:jc w:val="center"/>
              <w:rPr>
                <w:sz w:val="20"/>
              </w:rPr>
            </w:pPr>
            <w:r>
              <w:rPr>
                <w:sz w:val="20"/>
              </w:rPr>
              <w:t>± 27,08</w:t>
            </w:r>
          </w:p>
        </w:tc>
        <w:tc>
          <w:tcPr>
            <w:tcW w:w="1123" w:type="pct"/>
            <w:shd w:val="clear" w:color="auto" w:fill="FFFFFF"/>
            <w:vAlign w:val="center"/>
          </w:tcPr>
          <w:p w14:paraId="42009A15" w14:textId="77777777" w:rsidR="004E65A9" w:rsidRPr="00BD1AD5" w:rsidRDefault="004E65A9" w:rsidP="008600F3">
            <w:pPr>
              <w:autoSpaceDE w:val="0"/>
              <w:autoSpaceDN w:val="0"/>
              <w:adjustRightInd w:val="0"/>
              <w:jc w:val="center"/>
              <w:rPr>
                <w:sz w:val="20"/>
              </w:rPr>
            </w:pPr>
            <w:r>
              <w:rPr>
                <w:sz w:val="20"/>
              </w:rPr>
              <w:t>-31,5</w:t>
            </w:r>
          </w:p>
          <w:p w14:paraId="2C23E9D4" w14:textId="77777777" w:rsidR="004E65A9" w:rsidRPr="00BD1AD5" w:rsidRDefault="004E65A9" w:rsidP="008600F3">
            <w:pPr>
              <w:autoSpaceDE w:val="0"/>
              <w:autoSpaceDN w:val="0"/>
              <w:adjustRightInd w:val="0"/>
              <w:jc w:val="center"/>
              <w:rPr>
                <w:sz w:val="20"/>
              </w:rPr>
            </w:pPr>
            <w:r>
              <w:rPr>
                <w:sz w:val="20"/>
              </w:rPr>
              <w:t>± 32,43</w:t>
            </w:r>
          </w:p>
        </w:tc>
        <w:tc>
          <w:tcPr>
            <w:tcW w:w="647" w:type="pct"/>
            <w:shd w:val="clear" w:color="auto" w:fill="FFFFFF"/>
            <w:vAlign w:val="center"/>
          </w:tcPr>
          <w:p w14:paraId="78CE2774" w14:textId="77777777" w:rsidR="004E65A9" w:rsidRPr="00BD1AD5" w:rsidRDefault="004E65A9" w:rsidP="008600F3">
            <w:pPr>
              <w:autoSpaceDE w:val="0"/>
              <w:autoSpaceDN w:val="0"/>
              <w:adjustRightInd w:val="0"/>
              <w:jc w:val="center"/>
              <w:rPr>
                <w:sz w:val="20"/>
              </w:rPr>
            </w:pPr>
            <w:r>
              <w:rPr>
                <w:sz w:val="20"/>
              </w:rPr>
              <w:t>-12,2</w:t>
            </w:r>
          </w:p>
          <w:p w14:paraId="17CC8B3F" w14:textId="77777777" w:rsidR="004E65A9" w:rsidRPr="00BD1AD5" w:rsidRDefault="004E65A9" w:rsidP="008600F3">
            <w:pPr>
              <w:autoSpaceDE w:val="0"/>
              <w:autoSpaceDN w:val="0"/>
              <w:adjustRightInd w:val="0"/>
              <w:jc w:val="center"/>
              <w:rPr>
                <w:sz w:val="20"/>
              </w:rPr>
            </w:pPr>
            <w:r>
              <w:rPr>
                <w:sz w:val="20"/>
              </w:rPr>
              <w:t>± 30,94</w:t>
            </w:r>
          </w:p>
        </w:tc>
        <w:tc>
          <w:tcPr>
            <w:tcW w:w="1123" w:type="pct"/>
            <w:shd w:val="clear" w:color="auto" w:fill="FFFFFF"/>
            <w:vAlign w:val="center"/>
          </w:tcPr>
          <w:p w14:paraId="1D06BE57" w14:textId="77777777" w:rsidR="004E65A9" w:rsidRPr="00BD1AD5" w:rsidRDefault="004E65A9" w:rsidP="008600F3">
            <w:pPr>
              <w:autoSpaceDE w:val="0"/>
              <w:autoSpaceDN w:val="0"/>
              <w:adjustRightInd w:val="0"/>
              <w:jc w:val="center"/>
              <w:rPr>
                <w:sz w:val="20"/>
              </w:rPr>
            </w:pPr>
            <w:r>
              <w:rPr>
                <w:sz w:val="20"/>
              </w:rPr>
              <w:t>-33,5</w:t>
            </w:r>
          </w:p>
          <w:p w14:paraId="26C0C9E7" w14:textId="77777777" w:rsidR="004E65A9" w:rsidRPr="00BD1AD5" w:rsidRDefault="004E65A9" w:rsidP="008600F3">
            <w:pPr>
              <w:autoSpaceDE w:val="0"/>
              <w:autoSpaceDN w:val="0"/>
              <w:adjustRightInd w:val="0"/>
              <w:jc w:val="center"/>
              <w:rPr>
                <w:sz w:val="20"/>
              </w:rPr>
            </w:pPr>
            <w:r>
              <w:rPr>
                <w:sz w:val="20"/>
              </w:rPr>
              <w:t>± 35,46</w:t>
            </w:r>
          </w:p>
        </w:tc>
      </w:tr>
      <w:tr w:rsidR="004E65A9" w:rsidRPr="00BD1AD5" w14:paraId="60FFCC20" w14:textId="77777777" w:rsidTr="008600F3">
        <w:trPr>
          <w:cantSplit/>
          <w:trHeight w:val="318"/>
        </w:trPr>
        <w:tc>
          <w:tcPr>
            <w:tcW w:w="1460" w:type="pct"/>
            <w:shd w:val="clear" w:color="auto" w:fill="FFFFFF"/>
            <w:vAlign w:val="center"/>
          </w:tcPr>
          <w:p w14:paraId="3BE6DD6A" w14:textId="77777777" w:rsidR="004E65A9" w:rsidRPr="00BD1AD5" w:rsidRDefault="004E65A9" w:rsidP="008600F3">
            <w:pPr>
              <w:pStyle w:val="StyleTablecell"/>
              <w:keepNext w:val="0"/>
            </w:pPr>
            <w:r>
              <w:t>Endring i DLQI</w:t>
            </w:r>
            <w:r>
              <w:rPr>
                <w:vertAlign w:val="superscript"/>
              </w:rPr>
              <w:t>g</w:t>
            </w:r>
            <w:r>
              <w:t>, gjennomsnitt ± SD</w:t>
            </w:r>
          </w:p>
        </w:tc>
        <w:tc>
          <w:tcPr>
            <w:tcW w:w="647" w:type="pct"/>
            <w:shd w:val="clear" w:color="auto" w:fill="FFFFFF"/>
            <w:vAlign w:val="center"/>
          </w:tcPr>
          <w:p w14:paraId="22C8F577" w14:textId="77777777" w:rsidR="004E65A9" w:rsidRPr="00BD1AD5" w:rsidRDefault="004E65A9" w:rsidP="008600F3">
            <w:pPr>
              <w:autoSpaceDE w:val="0"/>
              <w:autoSpaceDN w:val="0"/>
              <w:adjustRightInd w:val="0"/>
              <w:jc w:val="center"/>
              <w:rPr>
                <w:sz w:val="20"/>
              </w:rPr>
            </w:pPr>
            <w:r>
              <w:rPr>
                <w:sz w:val="20"/>
              </w:rPr>
              <w:t>-2,1</w:t>
            </w:r>
          </w:p>
          <w:p w14:paraId="127D946D" w14:textId="77777777" w:rsidR="004E65A9" w:rsidRPr="00BD1AD5" w:rsidRDefault="004E65A9" w:rsidP="008600F3">
            <w:pPr>
              <w:autoSpaceDE w:val="0"/>
              <w:autoSpaceDN w:val="0"/>
              <w:adjustRightInd w:val="0"/>
              <w:jc w:val="center"/>
              <w:rPr>
                <w:sz w:val="20"/>
              </w:rPr>
            </w:pPr>
            <w:r>
              <w:rPr>
                <w:sz w:val="20"/>
              </w:rPr>
              <w:t>± 5,69</w:t>
            </w:r>
          </w:p>
        </w:tc>
        <w:tc>
          <w:tcPr>
            <w:tcW w:w="1123" w:type="pct"/>
            <w:shd w:val="clear" w:color="auto" w:fill="FFFFFF"/>
            <w:vAlign w:val="center"/>
          </w:tcPr>
          <w:p w14:paraId="76B3C3EE" w14:textId="77777777" w:rsidR="004E65A9" w:rsidRPr="00BD1AD5" w:rsidRDefault="004E65A9" w:rsidP="008600F3">
            <w:pPr>
              <w:autoSpaceDE w:val="0"/>
              <w:autoSpaceDN w:val="0"/>
              <w:adjustRightInd w:val="0"/>
              <w:jc w:val="center"/>
              <w:rPr>
                <w:sz w:val="20"/>
              </w:rPr>
            </w:pPr>
            <w:r>
              <w:rPr>
                <w:sz w:val="20"/>
              </w:rPr>
              <w:t>-6,6</w:t>
            </w:r>
          </w:p>
          <w:p w14:paraId="6970735A" w14:textId="77777777" w:rsidR="004E65A9" w:rsidRPr="00BD1AD5" w:rsidRDefault="004E65A9" w:rsidP="008600F3">
            <w:pPr>
              <w:autoSpaceDE w:val="0"/>
              <w:autoSpaceDN w:val="0"/>
              <w:adjustRightInd w:val="0"/>
              <w:jc w:val="center"/>
              <w:rPr>
                <w:sz w:val="20"/>
              </w:rPr>
            </w:pPr>
            <w:r>
              <w:rPr>
                <w:sz w:val="20"/>
              </w:rPr>
              <w:t>± 6,66</w:t>
            </w:r>
          </w:p>
        </w:tc>
        <w:tc>
          <w:tcPr>
            <w:tcW w:w="647" w:type="pct"/>
            <w:shd w:val="clear" w:color="auto" w:fill="FFFFFF"/>
            <w:vAlign w:val="center"/>
          </w:tcPr>
          <w:p w14:paraId="1A062122" w14:textId="77777777" w:rsidR="004E65A9" w:rsidRPr="00BD1AD5" w:rsidRDefault="004E65A9" w:rsidP="008600F3">
            <w:pPr>
              <w:autoSpaceDE w:val="0"/>
              <w:autoSpaceDN w:val="0"/>
              <w:adjustRightInd w:val="0"/>
              <w:jc w:val="center"/>
              <w:rPr>
                <w:sz w:val="20"/>
              </w:rPr>
            </w:pPr>
            <w:r>
              <w:rPr>
                <w:sz w:val="20"/>
              </w:rPr>
              <w:t>-2,8</w:t>
            </w:r>
          </w:p>
          <w:p w14:paraId="7831DC3B" w14:textId="77777777" w:rsidR="004E65A9" w:rsidRPr="00BD1AD5" w:rsidRDefault="004E65A9" w:rsidP="008600F3">
            <w:pPr>
              <w:autoSpaceDE w:val="0"/>
              <w:autoSpaceDN w:val="0"/>
              <w:adjustRightInd w:val="0"/>
              <w:jc w:val="center"/>
              <w:rPr>
                <w:sz w:val="20"/>
              </w:rPr>
            </w:pPr>
            <w:r>
              <w:rPr>
                <w:sz w:val="20"/>
              </w:rPr>
              <w:t>± 7,22</w:t>
            </w:r>
          </w:p>
        </w:tc>
        <w:tc>
          <w:tcPr>
            <w:tcW w:w="1123" w:type="pct"/>
            <w:shd w:val="clear" w:color="auto" w:fill="FFFFFF"/>
            <w:vAlign w:val="center"/>
          </w:tcPr>
          <w:p w14:paraId="2BDABD32" w14:textId="77777777" w:rsidR="004E65A9" w:rsidRPr="00BD1AD5" w:rsidRDefault="004E65A9" w:rsidP="008600F3">
            <w:pPr>
              <w:autoSpaceDE w:val="0"/>
              <w:autoSpaceDN w:val="0"/>
              <w:adjustRightInd w:val="0"/>
              <w:jc w:val="center"/>
              <w:rPr>
                <w:sz w:val="20"/>
              </w:rPr>
            </w:pPr>
            <w:r>
              <w:rPr>
                <w:sz w:val="20"/>
              </w:rPr>
              <w:t>-6,7</w:t>
            </w:r>
          </w:p>
          <w:p w14:paraId="0198E116" w14:textId="77777777" w:rsidR="004E65A9" w:rsidRPr="00BD1AD5" w:rsidRDefault="004E65A9" w:rsidP="008600F3">
            <w:pPr>
              <w:autoSpaceDE w:val="0"/>
              <w:autoSpaceDN w:val="0"/>
              <w:adjustRightInd w:val="0"/>
              <w:jc w:val="center"/>
              <w:rPr>
                <w:sz w:val="20"/>
              </w:rPr>
            </w:pPr>
            <w:r>
              <w:rPr>
                <w:sz w:val="20"/>
              </w:rPr>
              <w:t>± 6,95</w:t>
            </w:r>
          </w:p>
        </w:tc>
      </w:tr>
      <w:tr w:rsidR="004E65A9" w:rsidRPr="00BD1AD5" w14:paraId="251E8169" w14:textId="77777777" w:rsidTr="008600F3">
        <w:trPr>
          <w:cantSplit/>
          <w:trHeight w:val="318"/>
        </w:trPr>
        <w:tc>
          <w:tcPr>
            <w:tcW w:w="1460" w:type="pct"/>
            <w:shd w:val="clear" w:color="auto" w:fill="FFFFFF"/>
            <w:vAlign w:val="center"/>
          </w:tcPr>
          <w:p w14:paraId="5046DE3D" w14:textId="77777777" w:rsidR="004E65A9" w:rsidRPr="00BD1AD5" w:rsidRDefault="004E65A9" w:rsidP="008600F3">
            <w:pPr>
              <w:autoSpaceDE w:val="0"/>
              <w:autoSpaceDN w:val="0"/>
              <w:adjustRightInd w:val="0"/>
              <w:rPr>
                <w:b/>
                <w:sz w:val="20"/>
              </w:rPr>
            </w:pPr>
            <w:r>
              <w:rPr>
                <w:b/>
                <w:sz w:val="20"/>
              </w:rPr>
              <w:t>Endring i SF-36 MCS</w:t>
            </w:r>
            <w:r>
              <w:rPr>
                <w:b/>
                <w:sz w:val="20"/>
                <w:vertAlign w:val="superscript"/>
              </w:rPr>
              <w:t>h</w:t>
            </w:r>
            <w:r>
              <w:rPr>
                <w:b/>
                <w:sz w:val="20"/>
              </w:rPr>
              <w:t>, gjennomsnitt ± SD</w:t>
            </w:r>
          </w:p>
        </w:tc>
        <w:tc>
          <w:tcPr>
            <w:tcW w:w="647" w:type="pct"/>
            <w:shd w:val="clear" w:color="auto" w:fill="FFFFFF"/>
            <w:vAlign w:val="center"/>
          </w:tcPr>
          <w:p w14:paraId="49C89DB4" w14:textId="77777777" w:rsidR="004E65A9" w:rsidRPr="00BD1AD5" w:rsidRDefault="004E65A9" w:rsidP="008600F3">
            <w:pPr>
              <w:autoSpaceDE w:val="0"/>
              <w:autoSpaceDN w:val="0"/>
              <w:adjustRightInd w:val="0"/>
              <w:jc w:val="center"/>
              <w:rPr>
                <w:sz w:val="20"/>
              </w:rPr>
            </w:pPr>
            <w:r>
              <w:rPr>
                <w:sz w:val="20"/>
              </w:rPr>
              <w:t>-1,02</w:t>
            </w:r>
          </w:p>
          <w:p w14:paraId="3056F089" w14:textId="77777777" w:rsidR="004E65A9" w:rsidRPr="00BD1AD5" w:rsidRDefault="004E65A9" w:rsidP="008600F3">
            <w:pPr>
              <w:autoSpaceDE w:val="0"/>
              <w:autoSpaceDN w:val="0"/>
              <w:adjustRightInd w:val="0"/>
              <w:jc w:val="center"/>
              <w:rPr>
                <w:sz w:val="20"/>
              </w:rPr>
            </w:pPr>
            <w:r>
              <w:rPr>
                <w:sz w:val="20"/>
              </w:rPr>
              <w:t>± 9,161</w:t>
            </w:r>
          </w:p>
        </w:tc>
        <w:tc>
          <w:tcPr>
            <w:tcW w:w="1123" w:type="pct"/>
            <w:shd w:val="clear" w:color="auto" w:fill="FFFFFF"/>
            <w:vAlign w:val="center"/>
          </w:tcPr>
          <w:p w14:paraId="12569210" w14:textId="77777777" w:rsidR="004E65A9" w:rsidRPr="00BD1AD5" w:rsidRDefault="004E65A9" w:rsidP="008600F3">
            <w:pPr>
              <w:autoSpaceDE w:val="0"/>
              <w:autoSpaceDN w:val="0"/>
              <w:adjustRightInd w:val="0"/>
              <w:jc w:val="center"/>
              <w:rPr>
                <w:sz w:val="20"/>
              </w:rPr>
            </w:pPr>
            <w:r>
              <w:rPr>
                <w:sz w:val="20"/>
              </w:rPr>
              <w:t>2,39</w:t>
            </w:r>
          </w:p>
          <w:p w14:paraId="1E2E1E92" w14:textId="77777777" w:rsidR="004E65A9" w:rsidRPr="00BD1AD5" w:rsidRDefault="004E65A9" w:rsidP="008600F3">
            <w:pPr>
              <w:autoSpaceDE w:val="0"/>
              <w:autoSpaceDN w:val="0"/>
              <w:adjustRightInd w:val="0"/>
              <w:jc w:val="center"/>
              <w:rPr>
                <w:sz w:val="20"/>
              </w:rPr>
            </w:pPr>
            <w:r>
              <w:rPr>
                <w:sz w:val="20"/>
              </w:rPr>
              <w:t>± 9,504</w:t>
            </w:r>
          </w:p>
        </w:tc>
        <w:tc>
          <w:tcPr>
            <w:tcW w:w="647" w:type="pct"/>
            <w:shd w:val="clear" w:color="auto" w:fill="FFFFFF"/>
            <w:vAlign w:val="center"/>
          </w:tcPr>
          <w:p w14:paraId="6A5787B3" w14:textId="77777777" w:rsidR="004E65A9" w:rsidRPr="00BD1AD5" w:rsidRDefault="004E65A9" w:rsidP="008600F3">
            <w:pPr>
              <w:autoSpaceDE w:val="0"/>
              <w:autoSpaceDN w:val="0"/>
              <w:adjustRightInd w:val="0"/>
              <w:jc w:val="center"/>
              <w:rPr>
                <w:sz w:val="20"/>
              </w:rPr>
            </w:pPr>
            <w:r>
              <w:rPr>
                <w:sz w:val="20"/>
              </w:rPr>
              <w:t>0,00</w:t>
            </w:r>
          </w:p>
          <w:p w14:paraId="3AFDD4DD" w14:textId="77777777" w:rsidR="004E65A9" w:rsidRPr="00BD1AD5" w:rsidRDefault="004E65A9" w:rsidP="008600F3">
            <w:pPr>
              <w:autoSpaceDE w:val="0"/>
              <w:autoSpaceDN w:val="0"/>
              <w:adjustRightInd w:val="0"/>
              <w:jc w:val="center"/>
              <w:rPr>
                <w:sz w:val="20"/>
              </w:rPr>
            </w:pPr>
            <w:r>
              <w:rPr>
                <w:sz w:val="20"/>
              </w:rPr>
              <w:t>± 10,498</w:t>
            </w:r>
          </w:p>
        </w:tc>
        <w:tc>
          <w:tcPr>
            <w:tcW w:w="1123" w:type="pct"/>
            <w:shd w:val="clear" w:color="auto" w:fill="FFFFFF"/>
            <w:vAlign w:val="center"/>
          </w:tcPr>
          <w:p w14:paraId="36DBFF46" w14:textId="77777777" w:rsidR="004E65A9" w:rsidRPr="00BD1AD5" w:rsidRDefault="004E65A9" w:rsidP="008600F3">
            <w:pPr>
              <w:autoSpaceDE w:val="0"/>
              <w:autoSpaceDN w:val="0"/>
              <w:adjustRightInd w:val="0"/>
              <w:jc w:val="center"/>
              <w:rPr>
                <w:sz w:val="20"/>
              </w:rPr>
            </w:pPr>
            <w:r>
              <w:rPr>
                <w:sz w:val="20"/>
              </w:rPr>
              <w:t>2,58</w:t>
            </w:r>
          </w:p>
          <w:p w14:paraId="30DCE3DE" w14:textId="77777777" w:rsidR="004E65A9" w:rsidRPr="00BD1AD5" w:rsidRDefault="004E65A9" w:rsidP="008600F3">
            <w:pPr>
              <w:autoSpaceDE w:val="0"/>
              <w:autoSpaceDN w:val="0"/>
              <w:adjustRightInd w:val="0"/>
              <w:jc w:val="center"/>
              <w:rPr>
                <w:sz w:val="20"/>
              </w:rPr>
            </w:pPr>
            <w:r>
              <w:rPr>
                <w:sz w:val="20"/>
              </w:rPr>
              <w:t>± 10,129</w:t>
            </w:r>
          </w:p>
        </w:tc>
      </w:tr>
    </w:tbl>
    <w:p w14:paraId="1E5750BE" w14:textId="77777777" w:rsidR="004E65A9" w:rsidRPr="00BD1AD5" w:rsidRDefault="004E65A9" w:rsidP="003F09AA">
      <w:pPr>
        <w:keepNext/>
        <w:rPr>
          <w:sz w:val="18"/>
          <w:szCs w:val="18"/>
        </w:rPr>
      </w:pPr>
      <w:r>
        <w:rPr>
          <w:sz w:val="18"/>
        </w:rPr>
        <w:lastRenderedPageBreak/>
        <w:t>* p &lt; 0,0001 for apremilast (APR) vs. placebo, unntatt for ESTEEM 2 PASI 90 og endring i SF</w:t>
      </w:r>
      <w:r>
        <w:rPr>
          <w:sz w:val="18"/>
        </w:rPr>
        <w:noBreakHyphen/>
        <w:t>36 MCS, med henholdsvis p =0,0042 og p= 0,0078.</w:t>
      </w:r>
    </w:p>
    <w:p w14:paraId="16C15A53" w14:textId="77777777" w:rsidR="004E65A9" w:rsidRPr="00BD1AD5" w:rsidRDefault="004E65A9" w:rsidP="003F09AA">
      <w:pPr>
        <w:rPr>
          <w:sz w:val="18"/>
          <w:szCs w:val="18"/>
        </w:rPr>
      </w:pPr>
      <w:r>
        <w:rPr>
          <w:sz w:val="18"/>
          <w:vertAlign w:val="superscript"/>
        </w:rPr>
        <w:t>a</w:t>
      </w:r>
      <w:r>
        <w:rPr>
          <w:sz w:val="18"/>
        </w:rPr>
        <w:t xml:space="preserve"> FAS = Fullt analysesett</w:t>
      </w:r>
    </w:p>
    <w:p w14:paraId="12B2D8B4" w14:textId="77777777" w:rsidR="004E65A9" w:rsidRPr="00BD1AD5" w:rsidRDefault="004E65A9" w:rsidP="003F09AA">
      <w:pPr>
        <w:rPr>
          <w:sz w:val="18"/>
          <w:szCs w:val="18"/>
        </w:rPr>
      </w:pPr>
      <w:r>
        <w:rPr>
          <w:sz w:val="18"/>
          <w:vertAlign w:val="superscript"/>
        </w:rPr>
        <w:t>b</w:t>
      </w:r>
      <w:r>
        <w:rPr>
          <w:sz w:val="18"/>
        </w:rPr>
        <w:t xml:space="preserve"> LOCF= Oppføring av siste observasjon (Last Observation Carried Forward)</w:t>
      </w:r>
    </w:p>
    <w:p w14:paraId="72302DDB" w14:textId="77777777" w:rsidR="004E65A9" w:rsidRPr="00BD1AD5" w:rsidRDefault="004E65A9" w:rsidP="003F09AA">
      <w:pPr>
        <w:rPr>
          <w:sz w:val="18"/>
          <w:szCs w:val="18"/>
        </w:rPr>
      </w:pPr>
      <w:r>
        <w:rPr>
          <w:sz w:val="18"/>
          <w:vertAlign w:val="superscript"/>
        </w:rPr>
        <w:t>c</w:t>
      </w:r>
      <w:r>
        <w:rPr>
          <w:sz w:val="18"/>
        </w:rPr>
        <w:t xml:space="preserve"> PASI = Psoriasisområde og alvorlighetsgradsindeks</w:t>
      </w:r>
    </w:p>
    <w:p w14:paraId="3D5C1ACD" w14:textId="77777777" w:rsidR="004E65A9" w:rsidRPr="00BD1AD5" w:rsidRDefault="004E65A9" w:rsidP="003F09AA">
      <w:pPr>
        <w:rPr>
          <w:sz w:val="18"/>
          <w:szCs w:val="18"/>
        </w:rPr>
      </w:pPr>
      <w:r>
        <w:rPr>
          <w:sz w:val="18"/>
          <w:vertAlign w:val="superscript"/>
        </w:rPr>
        <w:t>d</w:t>
      </w:r>
      <w:r>
        <w:rPr>
          <w:sz w:val="18"/>
        </w:rPr>
        <w:t xml:space="preserve"> sPGA = statisk total legeevaluering</w:t>
      </w:r>
    </w:p>
    <w:p w14:paraId="117D0836" w14:textId="77777777" w:rsidR="004E65A9" w:rsidRPr="006C78BA" w:rsidRDefault="004E65A9" w:rsidP="003F09AA">
      <w:pPr>
        <w:rPr>
          <w:sz w:val="18"/>
          <w:szCs w:val="18"/>
        </w:rPr>
      </w:pPr>
      <w:r w:rsidRPr="006C78BA">
        <w:rPr>
          <w:sz w:val="18"/>
          <w:vertAlign w:val="superscript"/>
        </w:rPr>
        <w:t>e</w:t>
      </w:r>
      <w:r w:rsidRPr="006C78BA">
        <w:rPr>
          <w:sz w:val="18"/>
        </w:rPr>
        <w:t xml:space="preserve"> BSA = Kroppsareal</w:t>
      </w:r>
    </w:p>
    <w:p w14:paraId="04B0BC03" w14:textId="77777777" w:rsidR="004E65A9" w:rsidRPr="006C78BA" w:rsidRDefault="004E65A9" w:rsidP="003F09AA">
      <w:pPr>
        <w:rPr>
          <w:sz w:val="18"/>
          <w:szCs w:val="18"/>
        </w:rPr>
      </w:pPr>
      <w:r w:rsidRPr="006C78BA">
        <w:rPr>
          <w:sz w:val="18"/>
          <w:vertAlign w:val="superscript"/>
        </w:rPr>
        <w:t>f</w:t>
      </w:r>
      <w:r w:rsidRPr="006C78BA">
        <w:rPr>
          <w:sz w:val="18"/>
        </w:rPr>
        <w:t xml:space="preserve"> VAS = Visuell analog skala; 0 = best, 100 = verst</w:t>
      </w:r>
    </w:p>
    <w:p w14:paraId="0B298201" w14:textId="77777777" w:rsidR="004E65A9" w:rsidRPr="00BD1AD5" w:rsidRDefault="004E65A9" w:rsidP="003F09AA">
      <w:pPr>
        <w:keepNext/>
        <w:rPr>
          <w:sz w:val="18"/>
          <w:szCs w:val="18"/>
        </w:rPr>
      </w:pPr>
      <w:r>
        <w:rPr>
          <w:sz w:val="18"/>
          <w:vertAlign w:val="superscript"/>
        </w:rPr>
        <w:t>g</w:t>
      </w:r>
      <w:r>
        <w:rPr>
          <w:sz w:val="18"/>
        </w:rPr>
        <w:t xml:space="preserve"> DLQI = Dermatologisk livskvalitetsindeks; 0 = best, 30 = verst</w:t>
      </w:r>
    </w:p>
    <w:p w14:paraId="526D1BB5" w14:textId="77777777" w:rsidR="004E65A9" w:rsidRPr="00BD1AD5" w:rsidRDefault="004E65A9" w:rsidP="003F09AA">
      <w:pPr>
        <w:rPr>
          <w:sz w:val="18"/>
          <w:szCs w:val="18"/>
        </w:rPr>
      </w:pPr>
      <w:r>
        <w:rPr>
          <w:sz w:val="18"/>
          <w:vertAlign w:val="superscript"/>
        </w:rPr>
        <w:t>h</w:t>
      </w:r>
      <w:r>
        <w:rPr>
          <w:sz w:val="18"/>
        </w:rPr>
        <w:t xml:space="preserve"> SF</w:t>
      </w:r>
      <w:r>
        <w:rPr>
          <w:sz w:val="18"/>
        </w:rPr>
        <w:noBreakHyphen/>
        <w:t>36 MCS = Medisinsk resultatstudie av kortfattet 36</w:t>
      </w:r>
      <w:r>
        <w:rPr>
          <w:sz w:val="18"/>
        </w:rPr>
        <w:noBreakHyphen/>
        <w:t>punkts helseundersøkelse, sammendrag for mental komponent</w:t>
      </w:r>
    </w:p>
    <w:p w14:paraId="3ECCC333" w14:textId="77777777" w:rsidR="004E65A9" w:rsidRPr="00BD1AD5" w:rsidRDefault="004E65A9" w:rsidP="003F09AA">
      <w:pPr>
        <w:numPr>
          <w:ilvl w:val="12"/>
          <w:numId w:val="0"/>
        </w:numPr>
        <w:ind w:right="-2"/>
        <w:rPr>
          <w:iCs/>
          <w:noProof/>
        </w:rPr>
      </w:pPr>
    </w:p>
    <w:p w14:paraId="50694A34" w14:textId="77777777" w:rsidR="004E65A9" w:rsidRPr="00BD1AD5" w:rsidRDefault="004E65A9" w:rsidP="003F09AA">
      <w:pPr>
        <w:numPr>
          <w:ilvl w:val="12"/>
          <w:numId w:val="0"/>
        </w:numPr>
        <w:ind w:right="-2"/>
        <w:rPr>
          <w:iCs/>
          <w:noProof/>
        </w:rPr>
      </w:pPr>
      <w:r>
        <w:t>Klinisk effekt av apremilast ble vist i flere undergrupper definert ved demografiske og kliniske sykdomsparametre ved baseline (inkludert sykdomsvarighet av psoriasis og pasienter med anamnese med psoriasisartritt). Klinisk effekt av apremilast ble også vist uavhengig av tidligere psoriasislegemiddelbruk og respons på tidligere psoriasisbehandling. Tilsvarende responsandeler ble observert i alle vektgrupper.</w:t>
      </w:r>
    </w:p>
    <w:p w14:paraId="72507C16" w14:textId="77777777" w:rsidR="004E65A9" w:rsidRPr="00BD1AD5" w:rsidRDefault="004E65A9" w:rsidP="003F09AA">
      <w:pPr>
        <w:numPr>
          <w:ilvl w:val="12"/>
          <w:numId w:val="0"/>
        </w:numPr>
        <w:ind w:right="-2"/>
        <w:rPr>
          <w:iCs/>
          <w:noProof/>
        </w:rPr>
      </w:pPr>
    </w:p>
    <w:p w14:paraId="14B557F9" w14:textId="77777777" w:rsidR="004E65A9" w:rsidRPr="00BD1AD5" w:rsidRDefault="004E65A9" w:rsidP="003F09AA">
      <w:pPr>
        <w:numPr>
          <w:ilvl w:val="12"/>
          <w:numId w:val="0"/>
        </w:numPr>
        <w:ind w:right="-2"/>
        <w:rPr>
          <w:iCs/>
          <w:noProof/>
        </w:rPr>
      </w:pPr>
      <w:r>
        <w:t>Respons på apremilast var rask, med signifikant større bedring i tegn og symptomer på psoriasis, inkludert PASI, hudplager/smerter og kløe, sammenlignet med placebo i uke 2. Generelt ble PASI</w:t>
      </w:r>
      <w:r>
        <w:noBreakHyphen/>
        <w:t>respons oppnådd innen uke 16 og vedvarte til uke 32.</w:t>
      </w:r>
    </w:p>
    <w:p w14:paraId="0BFCA83A" w14:textId="77777777" w:rsidR="004E65A9" w:rsidRPr="00BD1AD5" w:rsidRDefault="004E65A9" w:rsidP="003F09AA">
      <w:pPr>
        <w:numPr>
          <w:ilvl w:val="12"/>
          <w:numId w:val="0"/>
        </w:numPr>
        <w:ind w:right="-2"/>
        <w:rPr>
          <w:iCs/>
          <w:noProof/>
        </w:rPr>
      </w:pPr>
    </w:p>
    <w:p w14:paraId="76CE7875" w14:textId="77777777" w:rsidR="004E65A9" w:rsidRPr="00BD1AD5" w:rsidRDefault="004E65A9" w:rsidP="003F09AA">
      <w:pPr>
        <w:numPr>
          <w:ilvl w:val="12"/>
          <w:numId w:val="0"/>
        </w:numPr>
        <w:ind w:right="-2"/>
        <w:rPr>
          <w:iCs/>
          <w:noProof/>
        </w:rPr>
      </w:pPr>
      <w:r>
        <w:t>I begge studier var gjennomsnittlig prosentvis bedring i PASI fra baseline stabil i den randomiserte behandlingsseponeringsfasen hos pasienter rerandomisert til apremilast i uke 32 (tabell 6).</w:t>
      </w:r>
    </w:p>
    <w:p w14:paraId="69F013F7" w14:textId="77777777" w:rsidR="004E65A9" w:rsidRPr="00BD1AD5" w:rsidRDefault="004E65A9" w:rsidP="003F09AA">
      <w:pPr>
        <w:numPr>
          <w:ilvl w:val="12"/>
          <w:numId w:val="0"/>
        </w:numPr>
        <w:ind w:right="-2"/>
        <w:rPr>
          <w:iCs/>
          <w:noProof/>
        </w:rPr>
      </w:pPr>
    </w:p>
    <w:p w14:paraId="3A3AE77D" w14:textId="77777777" w:rsidR="004E65A9" w:rsidRPr="00BD1AD5" w:rsidRDefault="004E65A9" w:rsidP="003F09AA">
      <w:pPr>
        <w:keepNext/>
        <w:tabs>
          <w:tab w:val="clear" w:pos="567"/>
        </w:tabs>
        <w:rPr>
          <w:b/>
        </w:rPr>
      </w:pPr>
      <w:r>
        <w:rPr>
          <w:b/>
        </w:rPr>
        <w:t>Tabell 6. Vedvarende effekt hos forsøkspersoner randomisert til 30 mg apremilast to ganger daglig i uke 0 og rerandomisert til 30 mg apremilast to ganger daglig i uke 32 til uke 52</w:t>
      </w:r>
    </w:p>
    <w:p w14:paraId="00CF6A73" w14:textId="77777777" w:rsidR="004E65A9" w:rsidRPr="00BD1AD5" w:rsidRDefault="004E65A9" w:rsidP="003F09AA">
      <w:pPr>
        <w:keepNext/>
        <w:tabs>
          <w:tab w:val="clear" w:pos="567"/>
        </w:tabs>
        <w:rPr>
          <w:b/>
        </w:rPr>
      </w:pP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873"/>
        <w:gridCol w:w="1465"/>
        <w:gridCol w:w="3004"/>
        <w:gridCol w:w="3004"/>
      </w:tblGrid>
      <w:tr w:rsidR="004E65A9" w:rsidRPr="00BD1AD5" w14:paraId="3E2090A2" w14:textId="77777777" w:rsidTr="008600F3">
        <w:trPr>
          <w:cantSplit/>
          <w:tblHeader/>
        </w:trPr>
        <w:tc>
          <w:tcPr>
            <w:tcW w:w="1002" w:type="pct"/>
            <w:vMerge w:val="restart"/>
            <w:shd w:val="clear" w:color="auto" w:fill="FFFFFF"/>
          </w:tcPr>
          <w:p w14:paraId="30336E8F" w14:textId="77777777" w:rsidR="004E65A9" w:rsidRPr="00BD1AD5" w:rsidRDefault="004E65A9" w:rsidP="008600F3">
            <w:pPr>
              <w:keepNext/>
              <w:rPr>
                <w:sz w:val="20"/>
              </w:rPr>
            </w:pPr>
          </w:p>
        </w:tc>
        <w:tc>
          <w:tcPr>
            <w:tcW w:w="784" w:type="pct"/>
            <w:vMerge w:val="restart"/>
            <w:shd w:val="clear" w:color="auto" w:fill="FFFFFF"/>
            <w:vAlign w:val="center"/>
          </w:tcPr>
          <w:p w14:paraId="402520F1" w14:textId="77777777" w:rsidR="004E65A9" w:rsidRPr="00BD1AD5" w:rsidRDefault="004E65A9" w:rsidP="008600F3">
            <w:pPr>
              <w:keepNext/>
              <w:jc w:val="center"/>
              <w:rPr>
                <w:b/>
                <w:sz w:val="20"/>
              </w:rPr>
            </w:pPr>
            <w:r>
              <w:rPr>
                <w:b/>
                <w:sz w:val="20"/>
              </w:rPr>
              <w:t>Tidspunkt</w:t>
            </w:r>
          </w:p>
        </w:tc>
        <w:tc>
          <w:tcPr>
            <w:tcW w:w="1607" w:type="pct"/>
            <w:shd w:val="clear" w:color="auto" w:fill="FFFFFF"/>
            <w:vAlign w:val="center"/>
          </w:tcPr>
          <w:p w14:paraId="6B6D9D58" w14:textId="77777777" w:rsidR="004E65A9" w:rsidRPr="00BD1AD5" w:rsidRDefault="004E65A9" w:rsidP="008600F3">
            <w:pPr>
              <w:keepNext/>
              <w:jc w:val="center"/>
              <w:rPr>
                <w:b/>
                <w:sz w:val="20"/>
              </w:rPr>
            </w:pPr>
            <w:r>
              <w:rPr>
                <w:b/>
                <w:sz w:val="20"/>
              </w:rPr>
              <w:t>ESTEEM 1</w:t>
            </w:r>
          </w:p>
        </w:tc>
        <w:tc>
          <w:tcPr>
            <w:tcW w:w="1608" w:type="pct"/>
            <w:shd w:val="clear" w:color="auto" w:fill="FFFFFF"/>
            <w:vAlign w:val="center"/>
          </w:tcPr>
          <w:p w14:paraId="673A2EC1" w14:textId="77777777" w:rsidR="004E65A9" w:rsidRPr="00BD1AD5" w:rsidRDefault="004E65A9" w:rsidP="008600F3">
            <w:pPr>
              <w:keepNext/>
              <w:jc w:val="center"/>
              <w:rPr>
                <w:b/>
                <w:sz w:val="20"/>
              </w:rPr>
            </w:pPr>
            <w:r>
              <w:rPr>
                <w:b/>
                <w:sz w:val="20"/>
              </w:rPr>
              <w:t>ESTEEM 2</w:t>
            </w:r>
          </w:p>
        </w:tc>
      </w:tr>
      <w:tr w:rsidR="004E65A9" w:rsidRPr="00BD1AD5" w14:paraId="02008060" w14:textId="77777777" w:rsidTr="008600F3">
        <w:trPr>
          <w:cantSplit/>
          <w:trHeight w:val="253"/>
          <w:tblHeader/>
        </w:trPr>
        <w:tc>
          <w:tcPr>
            <w:tcW w:w="1002" w:type="pct"/>
            <w:vMerge/>
            <w:shd w:val="clear" w:color="auto" w:fill="FFFFFF"/>
          </w:tcPr>
          <w:p w14:paraId="02596D9F" w14:textId="77777777" w:rsidR="004E65A9" w:rsidRPr="00BD1AD5" w:rsidRDefault="004E65A9" w:rsidP="008600F3">
            <w:pPr>
              <w:keepNext/>
              <w:rPr>
                <w:sz w:val="20"/>
              </w:rPr>
            </w:pPr>
          </w:p>
        </w:tc>
        <w:tc>
          <w:tcPr>
            <w:tcW w:w="784" w:type="pct"/>
            <w:vMerge/>
            <w:shd w:val="clear" w:color="auto" w:fill="FFFFFF"/>
            <w:vAlign w:val="center"/>
          </w:tcPr>
          <w:p w14:paraId="3BCF2D47" w14:textId="77777777" w:rsidR="004E65A9" w:rsidRPr="00BD1AD5" w:rsidRDefault="004E65A9" w:rsidP="008600F3">
            <w:pPr>
              <w:keepNext/>
              <w:jc w:val="center"/>
              <w:rPr>
                <w:rFonts w:cs="Calibri"/>
                <w:b/>
                <w:sz w:val="20"/>
              </w:rPr>
            </w:pPr>
          </w:p>
        </w:tc>
        <w:tc>
          <w:tcPr>
            <w:tcW w:w="1607" w:type="pct"/>
            <w:vMerge w:val="restart"/>
            <w:shd w:val="clear" w:color="auto" w:fill="FFFFFF"/>
            <w:vAlign w:val="center"/>
          </w:tcPr>
          <w:p w14:paraId="1608BF56" w14:textId="77777777" w:rsidR="004E65A9" w:rsidRPr="00BD1AD5" w:rsidRDefault="004E65A9" w:rsidP="008600F3">
            <w:pPr>
              <w:keepNext/>
              <w:jc w:val="center"/>
              <w:rPr>
                <w:b/>
                <w:sz w:val="20"/>
              </w:rPr>
            </w:pPr>
            <w:r>
              <w:rPr>
                <w:b/>
                <w:sz w:val="20"/>
              </w:rPr>
              <w:t>Pasienter som oppnådde PASI</w:t>
            </w:r>
            <w:r>
              <w:rPr>
                <w:b/>
                <w:sz w:val="20"/>
              </w:rPr>
              <w:noBreakHyphen/>
              <w:t>75 i uke 32</w:t>
            </w:r>
          </w:p>
        </w:tc>
        <w:tc>
          <w:tcPr>
            <w:tcW w:w="1608" w:type="pct"/>
            <w:vMerge w:val="restart"/>
            <w:shd w:val="clear" w:color="auto" w:fill="FFFFFF"/>
            <w:vAlign w:val="center"/>
          </w:tcPr>
          <w:p w14:paraId="68A0F5BF" w14:textId="77777777" w:rsidR="004E65A9" w:rsidRPr="00BD1AD5" w:rsidRDefault="004E65A9" w:rsidP="008600F3">
            <w:pPr>
              <w:keepNext/>
              <w:jc w:val="center"/>
              <w:rPr>
                <w:b/>
                <w:sz w:val="20"/>
              </w:rPr>
            </w:pPr>
            <w:r>
              <w:rPr>
                <w:b/>
                <w:sz w:val="20"/>
              </w:rPr>
              <w:t>Pasienter som oppnådde PASI</w:t>
            </w:r>
            <w:r>
              <w:rPr>
                <w:b/>
                <w:sz w:val="20"/>
              </w:rPr>
              <w:noBreakHyphen/>
              <w:t>50 i uke 32</w:t>
            </w:r>
          </w:p>
        </w:tc>
      </w:tr>
      <w:tr w:rsidR="004E65A9" w:rsidRPr="00BD1AD5" w14:paraId="4E2E1F76" w14:textId="77777777" w:rsidTr="008600F3">
        <w:trPr>
          <w:cantSplit/>
          <w:trHeight w:val="253"/>
          <w:tblHeader/>
        </w:trPr>
        <w:tc>
          <w:tcPr>
            <w:tcW w:w="1002" w:type="pct"/>
            <w:vMerge/>
            <w:shd w:val="clear" w:color="auto" w:fill="FFFFFF"/>
          </w:tcPr>
          <w:p w14:paraId="68498A23" w14:textId="77777777" w:rsidR="004E65A9" w:rsidRPr="00BD1AD5" w:rsidRDefault="004E65A9" w:rsidP="008600F3">
            <w:pPr>
              <w:keepNext/>
              <w:rPr>
                <w:sz w:val="20"/>
              </w:rPr>
            </w:pPr>
          </w:p>
        </w:tc>
        <w:tc>
          <w:tcPr>
            <w:tcW w:w="784" w:type="pct"/>
            <w:vMerge/>
            <w:shd w:val="clear" w:color="auto" w:fill="FFFFFF"/>
          </w:tcPr>
          <w:p w14:paraId="68454173" w14:textId="77777777" w:rsidR="004E65A9" w:rsidRPr="00BD1AD5" w:rsidRDefault="004E65A9" w:rsidP="008600F3">
            <w:pPr>
              <w:keepNext/>
              <w:rPr>
                <w:rFonts w:cs="Calibri"/>
                <w:b/>
                <w:sz w:val="20"/>
                <w:u w:val="single"/>
              </w:rPr>
            </w:pPr>
          </w:p>
        </w:tc>
        <w:tc>
          <w:tcPr>
            <w:tcW w:w="1607" w:type="pct"/>
            <w:vMerge/>
            <w:shd w:val="clear" w:color="auto" w:fill="FFFFFF"/>
          </w:tcPr>
          <w:p w14:paraId="43ECB65D" w14:textId="77777777" w:rsidR="004E65A9" w:rsidRPr="00BD1AD5" w:rsidRDefault="004E65A9" w:rsidP="008600F3">
            <w:pPr>
              <w:keepNext/>
              <w:jc w:val="center"/>
              <w:rPr>
                <w:b/>
                <w:sz w:val="20"/>
                <w:u w:val="single"/>
              </w:rPr>
            </w:pPr>
          </w:p>
        </w:tc>
        <w:tc>
          <w:tcPr>
            <w:tcW w:w="1608" w:type="pct"/>
            <w:vMerge/>
            <w:shd w:val="clear" w:color="auto" w:fill="FFFFFF"/>
          </w:tcPr>
          <w:p w14:paraId="6B1CE29A" w14:textId="77777777" w:rsidR="004E65A9" w:rsidRPr="00BD1AD5" w:rsidRDefault="004E65A9" w:rsidP="008600F3">
            <w:pPr>
              <w:keepNext/>
              <w:jc w:val="center"/>
              <w:rPr>
                <w:b/>
                <w:sz w:val="20"/>
                <w:u w:val="single"/>
              </w:rPr>
            </w:pPr>
          </w:p>
        </w:tc>
      </w:tr>
      <w:tr w:rsidR="004E65A9" w:rsidRPr="00BD1AD5" w14:paraId="442A33E4" w14:textId="77777777" w:rsidTr="008600F3">
        <w:trPr>
          <w:cantSplit/>
        </w:trPr>
        <w:tc>
          <w:tcPr>
            <w:tcW w:w="1002" w:type="pct"/>
            <w:vMerge w:val="restart"/>
            <w:shd w:val="clear" w:color="auto" w:fill="FFFFFF"/>
            <w:vAlign w:val="center"/>
          </w:tcPr>
          <w:p w14:paraId="5A79D2E6" w14:textId="77777777" w:rsidR="004E65A9" w:rsidRPr="00BD1AD5" w:rsidRDefault="004E65A9" w:rsidP="008600F3">
            <w:pPr>
              <w:rPr>
                <w:b/>
                <w:sz w:val="20"/>
              </w:rPr>
            </w:pPr>
            <w:r>
              <w:rPr>
                <w:b/>
                <w:sz w:val="20"/>
              </w:rPr>
              <w:t>Prosentvis endring i PASI fra baseline, gjennomsnitt (%) ± SD</w:t>
            </w:r>
            <w:r>
              <w:rPr>
                <w:b/>
                <w:sz w:val="20"/>
                <w:vertAlign w:val="superscript"/>
              </w:rPr>
              <w:t>a</w:t>
            </w:r>
          </w:p>
        </w:tc>
        <w:tc>
          <w:tcPr>
            <w:tcW w:w="784" w:type="pct"/>
            <w:shd w:val="clear" w:color="auto" w:fill="FFFFFF"/>
            <w:vAlign w:val="center"/>
          </w:tcPr>
          <w:p w14:paraId="0E9CA404" w14:textId="77777777" w:rsidR="004E65A9" w:rsidRPr="00BD1AD5" w:rsidRDefault="004E65A9" w:rsidP="008600F3">
            <w:pPr>
              <w:keepNext/>
              <w:jc w:val="center"/>
              <w:rPr>
                <w:sz w:val="20"/>
              </w:rPr>
            </w:pPr>
            <w:r>
              <w:rPr>
                <w:sz w:val="20"/>
              </w:rPr>
              <w:t>Uke 16</w:t>
            </w:r>
          </w:p>
        </w:tc>
        <w:tc>
          <w:tcPr>
            <w:tcW w:w="1607" w:type="pct"/>
            <w:shd w:val="clear" w:color="auto" w:fill="FFFFFF"/>
            <w:vAlign w:val="center"/>
          </w:tcPr>
          <w:p w14:paraId="2A4CD47E" w14:textId="77777777" w:rsidR="004E65A9" w:rsidRPr="00BD1AD5" w:rsidRDefault="004E65A9" w:rsidP="008600F3">
            <w:pPr>
              <w:keepNext/>
              <w:jc w:val="center"/>
              <w:rPr>
                <w:sz w:val="20"/>
              </w:rPr>
            </w:pPr>
            <w:r>
              <w:rPr>
                <w:sz w:val="20"/>
              </w:rPr>
              <w:t>-77,7 ± 20,30</w:t>
            </w:r>
          </w:p>
        </w:tc>
        <w:tc>
          <w:tcPr>
            <w:tcW w:w="1608" w:type="pct"/>
            <w:shd w:val="clear" w:color="auto" w:fill="FFFFFF"/>
            <w:vAlign w:val="center"/>
          </w:tcPr>
          <w:p w14:paraId="6080B199" w14:textId="77777777" w:rsidR="004E65A9" w:rsidRPr="00BD1AD5" w:rsidRDefault="004E65A9" w:rsidP="008600F3">
            <w:pPr>
              <w:keepNext/>
              <w:jc w:val="center"/>
              <w:rPr>
                <w:sz w:val="20"/>
              </w:rPr>
            </w:pPr>
            <w:r>
              <w:rPr>
                <w:sz w:val="20"/>
              </w:rPr>
              <w:t>-69,7 ± 24,23</w:t>
            </w:r>
          </w:p>
        </w:tc>
      </w:tr>
      <w:tr w:rsidR="004E65A9" w:rsidRPr="00BD1AD5" w14:paraId="747DF1B1" w14:textId="77777777" w:rsidTr="008600F3">
        <w:trPr>
          <w:cantSplit/>
        </w:trPr>
        <w:tc>
          <w:tcPr>
            <w:tcW w:w="1002" w:type="pct"/>
            <w:vMerge/>
            <w:shd w:val="clear" w:color="auto" w:fill="FFFFFF"/>
            <w:vAlign w:val="center"/>
          </w:tcPr>
          <w:p w14:paraId="22158E97" w14:textId="77777777" w:rsidR="004E65A9" w:rsidRPr="00BD1AD5" w:rsidRDefault="004E65A9" w:rsidP="008600F3">
            <w:pPr>
              <w:keepNext/>
              <w:rPr>
                <w:b/>
                <w:sz w:val="20"/>
              </w:rPr>
            </w:pPr>
          </w:p>
        </w:tc>
        <w:tc>
          <w:tcPr>
            <w:tcW w:w="784" w:type="pct"/>
            <w:shd w:val="clear" w:color="auto" w:fill="FFFFFF"/>
            <w:vAlign w:val="center"/>
          </w:tcPr>
          <w:p w14:paraId="300C0BC0" w14:textId="77777777" w:rsidR="004E65A9" w:rsidRPr="00BD1AD5" w:rsidRDefault="004E65A9" w:rsidP="008600F3">
            <w:pPr>
              <w:keepNext/>
              <w:jc w:val="center"/>
              <w:rPr>
                <w:sz w:val="20"/>
              </w:rPr>
            </w:pPr>
            <w:r>
              <w:rPr>
                <w:sz w:val="20"/>
              </w:rPr>
              <w:t>Uke 32</w:t>
            </w:r>
          </w:p>
        </w:tc>
        <w:tc>
          <w:tcPr>
            <w:tcW w:w="1607" w:type="pct"/>
            <w:shd w:val="clear" w:color="auto" w:fill="FFFFFF"/>
            <w:vAlign w:val="center"/>
          </w:tcPr>
          <w:p w14:paraId="592B96DF" w14:textId="77777777" w:rsidR="004E65A9" w:rsidRPr="00BD1AD5" w:rsidRDefault="004E65A9" w:rsidP="008600F3">
            <w:pPr>
              <w:keepNext/>
              <w:jc w:val="center"/>
              <w:rPr>
                <w:sz w:val="20"/>
              </w:rPr>
            </w:pPr>
            <w:r>
              <w:rPr>
                <w:sz w:val="20"/>
              </w:rPr>
              <w:t>-88 ± 8,30</w:t>
            </w:r>
          </w:p>
        </w:tc>
        <w:tc>
          <w:tcPr>
            <w:tcW w:w="1608" w:type="pct"/>
            <w:shd w:val="clear" w:color="auto" w:fill="FFFFFF"/>
            <w:vAlign w:val="center"/>
          </w:tcPr>
          <w:p w14:paraId="7847C5D8" w14:textId="77777777" w:rsidR="004E65A9" w:rsidRPr="00BD1AD5" w:rsidRDefault="004E65A9" w:rsidP="008600F3">
            <w:pPr>
              <w:keepNext/>
              <w:jc w:val="center"/>
              <w:rPr>
                <w:sz w:val="20"/>
              </w:rPr>
            </w:pPr>
            <w:r>
              <w:rPr>
                <w:sz w:val="20"/>
              </w:rPr>
              <w:t>-76,7 ± 13,42</w:t>
            </w:r>
          </w:p>
        </w:tc>
      </w:tr>
      <w:tr w:rsidR="004E65A9" w:rsidRPr="00BD1AD5" w14:paraId="783434A7" w14:textId="77777777" w:rsidTr="008600F3">
        <w:trPr>
          <w:cantSplit/>
        </w:trPr>
        <w:tc>
          <w:tcPr>
            <w:tcW w:w="1002" w:type="pct"/>
            <w:vMerge/>
            <w:shd w:val="clear" w:color="auto" w:fill="FFFFFF"/>
            <w:vAlign w:val="center"/>
          </w:tcPr>
          <w:p w14:paraId="1EAE07D1" w14:textId="77777777" w:rsidR="004E65A9" w:rsidRPr="00BD1AD5" w:rsidRDefault="004E65A9" w:rsidP="008600F3">
            <w:pPr>
              <w:keepNext/>
              <w:rPr>
                <w:b/>
                <w:sz w:val="20"/>
              </w:rPr>
            </w:pPr>
          </w:p>
        </w:tc>
        <w:tc>
          <w:tcPr>
            <w:tcW w:w="784" w:type="pct"/>
            <w:shd w:val="clear" w:color="auto" w:fill="FFFFFF"/>
            <w:vAlign w:val="center"/>
          </w:tcPr>
          <w:p w14:paraId="156EA1CA" w14:textId="77777777" w:rsidR="004E65A9" w:rsidRPr="00BD1AD5" w:rsidRDefault="004E65A9" w:rsidP="008600F3">
            <w:pPr>
              <w:keepNext/>
              <w:jc w:val="center"/>
              <w:rPr>
                <w:sz w:val="20"/>
              </w:rPr>
            </w:pPr>
            <w:r>
              <w:rPr>
                <w:sz w:val="20"/>
              </w:rPr>
              <w:t>Uke 52</w:t>
            </w:r>
          </w:p>
        </w:tc>
        <w:tc>
          <w:tcPr>
            <w:tcW w:w="1607" w:type="pct"/>
            <w:shd w:val="clear" w:color="auto" w:fill="FFFFFF"/>
            <w:vAlign w:val="center"/>
          </w:tcPr>
          <w:p w14:paraId="50417316" w14:textId="77777777" w:rsidR="004E65A9" w:rsidRPr="00BD1AD5" w:rsidRDefault="004E65A9" w:rsidP="008600F3">
            <w:pPr>
              <w:keepNext/>
              <w:jc w:val="center"/>
              <w:rPr>
                <w:sz w:val="20"/>
              </w:rPr>
            </w:pPr>
            <w:r>
              <w:rPr>
                <w:sz w:val="20"/>
              </w:rPr>
              <w:t>-80,5 ± 12,60</w:t>
            </w:r>
          </w:p>
        </w:tc>
        <w:tc>
          <w:tcPr>
            <w:tcW w:w="1608" w:type="pct"/>
            <w:shd w:val="clear" w:color="auto" w:fill="FFFFFF"/>
            <w:vAlign w:val="center"/>
          </w:tcPr>
          <w:p w14:paraId="79E8EF60" w14:textId="77777777" w:rsidR="004E65A9" w:rsidRPr="00BD1AD5" w:rsidRDefault="004E65A9" w:rsidP="008600F3">
            <w:pPr>
              <w:keepNext/>
              <w:jc w:val="center"/>
              <w:rPr>
                <w:sz w:val="20"/>
              </w:rPr>
            </w:pPr>
            <w:r>
              <w:rPr>
                <w:sz w:val="20"/>
              </w:rPr>
              <w:t>-74,4 ± 18,91</w:t>
            </w:r>
          </w:p>
        </w:tc>
      </w:tr>
      <w:tr w:rsidR="004E65A9" w:rsidRPr="00BD1AD5" w14:paraId="76B60E7F" w14:textId="77777777" w:rsidTr="008600F3">
        <w:trPr>
          <w:cantSplit/>
        </w:trPr>
        <w:tc>
          <w:tcPr>
            <w:tcW w:w="1002" w:type="pct"/>
            <w:vMerge w:val="restart"/>
            <w:shd w:val="clear" w:color="auto" w:fill="FFFFFF"/>
            <w:vAlign w:val="center"/>
          </w:tcPr>
          <w:p w14:paraId="05D4D166" w14:textId="77777777" w:rsidR="004E65A9" w:rsidRPr="00BD1AD5" w:rsidRDefault="004E65A9" w:rsidP="008600F3">
            <w:pPr>
              <w:pStyle w:val="StyleTablecell"/>
            </w:pPr>
            <w:r>
              <w:t>Endring i DLQI fra baseline, gjennomsnitt ± SD</w:t>
            </w:r>
            <w:r>
              <w:rPr>
                <w:vertAlign w:val="superscript"/>
              </w:rPr>
              <w:t>a</w:t>
            </w:r>
          </w:p>
        </w:tc>
        <w:tc>
          <w:tcPr>
            <w:tcW w:w="784" w:type="pct"/>
            <w:shd w:val="clear" w:color="auto" w:fill="FFFFFF"/>
            <w:vAlign w:val="center"/>
          </w:tcPr>
          <w:p w14:paraId="5071EABB" w14:textId="77777777" w:rsidR="004E65A9" w:rsidRPr="00BD1AD5" w:rsidRDefault="004E65A9" w:rsidP="008600F3">
            <w:pPr>
              <w:jc w:val="center"/>
              <w:rPr>
                <w:sz w:val="20"/>
              </w:rPr>
            </w:pPr>
            <w:r>
              <w:rPr>
                <w:sz w:val="20"/>
              </w:rPr>
              <w:t>Uke 16</w:t>
            </w:r>
          </w:p>
        </w:tc>
        <w:tc>
          <w:tcPr>
            <w:tcW w:w="1607" w:type="pct"/>
            <w:shd w:val="clear" w:color="auto" w:fill="FFFFFF"/>
            <w:vAlign w:val="center"/>
          </w:tcPr>
          <w:p w14:paraId="3D46D602" w14:textId="77777777" w:rsidR="004E65A9" w:rsidRPr="00BD1AD5" w:rsidRDefault="004E65A9" w:rsidP="008600F3">
            <w:pPr>
              <w:jc w:val="center"/>
              <w:rPr>
                <w:sz w:val="20"/>
              </w:rPr>
            </w:pPr>
            <w:r>
              <w:rPr>
                <w:sz w:val="20"/>
              </w:rPr>
              <w:t>-8,3 ± 6,26</w:t>
            </w:r>
          </w:p>
        </w:tc>
        <w:tc>
          <w:tcPr>
            <w:tcW w:w="1608" w:type="pct"/>
            <w:shd w:val="clear" w:color="auto" w:fill="FFFFFF"/>
            <w:vAlign w:val="center"/>
          </w:tcPr>
          <w:p w14:paraId="618CEEE7" w14:textId="77777777" w:rsidR="004E65A9" w:rsidRPr="00BD1AD5" w:rsidRDefault="004E65A9" w:rsidP="008600F3">
            <w:pPr>
              <w:jc w:val="center"/>
              <w:rPr>
                <w:sz w:val="20"/>
              </w:rPr>
            </w:pPr>
            <w:r>
              <w:rPr>
                <w:sz w:val="20"/>
              </w:rPr>
              <w:t>-7,8 ± 6,41</w:t>
            </w:r>
          </w:p>
        </w:tc>
      </w:tr>
      <w:tr w:rsidR="004E65A9" w:rsidRPr="00BD1AD5" w14:paraId="541C0FFF" w14:textId="77777777" w:rsidTr="008600F3">
        <w:trPr>
          <w:cantSplit/>
        </w:trPr>
        <w:tc>
          <w:tcPr>
            <w:tcW w:w="1002" w:type="pct"/>
            <w:vMerge/>
            <w:shd w:val="clear" w:color="auto" w:fill="FFFFFF"/>
            <w:vAlign w:val="center"/>
          </w:tcPr>
          <w:p w14:paraId="415724A2" w14:textId="77777777" w:rsidR="004E65A9" w:rsidRPr="00BD1AD5" w:rsidRDefault="004E65A9" w:rsidP="008600F3">
            <w:pPr>
              <w:rPr>
                <w:b/>
                <w:sz w:val="20"/>
              </w:rPr>
            </w:pPr>
          </w:p>
        </w:tc>
        <w:tc>
          <w:tcPr>
            <w:tcW w:w="784" w:type="pct"/>
            <w:shd w:val="clear" w:color="auto" w:fill="FFFFFF"/>
            <w:vAlign w:val="center"/>
          </w:tcPr>
          <w:p w14:paraId="4725367D" w14:textId="77777777" w:rsidR="004E65A9" w:rsidRPr="00BD1AD5" w:rsidRDefault="004E65A9" w:rsidP="008600F3">
            <w:pPr>
              <w:jc w:val="center"/>
              <w:rPr>
                <w:sz w:val="20"/>
              </w:rPr>
            </w:pPr>
            <w:r>
              <w:rPr>
                <w:sz w:val="20"/>
              </w:rPr>
              <w:t>Uke 32</w:t>
            </w:r>
          </w:p>
        </w:tc>
        <w:tc>
          <w:tcPr>
            <w:tcW w:w="1607" w:type="pct"/>
            <w:shd w:val="clear" w:color="auto" w:fill="FFFFFF"/>
            <w:vAlign w:val="center"/>
          </w:tcPr>
          <w:p w14:paraId="79A838DE" w14:textId="77777777" w:rsidR="004E65A9" w:rsidRPr="00BD1AD5" w:rsidRDefault="004E65A9" w:rsidP="008600F3">
            <w:pPr>
              <w:jc w:val="center"/>
              <w:rPr>
                <w:sz w:val="20"/>
              </w:rPr>
            </w:pPr>
            <w:r>
              <w:rPr>
                <w:sz w:val="20"/>
              </w:rPr>
              <w:t>-8,9 ± 6,68</w:t>
            </w:r>
          </w:p>
        </w:tc>
        <w:tc>
          <w:tcPr>
            <w:tcW w:w="1608" w:type="pct"/>
            <w:shd w:val="clear" w:color="auto" w:fill="FFFFFF"/>
            <w:vAlign w:val="center"/>
          </w:tcPr>
          <w:p w14:paraId="459A8639" w14:textId="77777777" w:rsidR="004E65A9" w:rsidRPr="00BD1AD5" w:rsidRDefault="004E65A9" w:rsidP="008600F3">
            <w:pPr>
              <w:jc w:val="center"/>
              <w:rPr>
                <w:sz w:val="20"/>
              </w:rPr>
            </w:pPr>
            <w:r>
              <w:rPr>
                <w:sz w:val="20"/>
              </w:rPr>
              <w:t>-7,7 ± 5,92</w:t>
            </w:r>
          </w:p>
        </w:tc>
      </w:tr>
      <w:tr w:rsidR="004E65A9" w:rsidRPr="00BD1AD5" w14:paraId="628B0DCB" w14:textId="77777777" w:rsidTr="008600F3">
        <w:trPr>
          <w:cantSplit/>
        </w:trPr>
        <w:tc>
          <w:tcPr>
            <w:tcW w:w="1002" w:type="pct"/>
            <w:vMerge/>
            <w:shd w:val="clear" w:color="auto" w:fill="FFFFFF"/>
            <w:vAlign w:val="center"/>
          </w:tcPr>
          <w:p w14:paraId="539E9AED" w14:textId="77777777" w:rsidR="004E65A9" w:rsidRPr="00BD1AD5" w:rsidRDefault="004E65A9" w:rsidP="008600F3">
            <w:pPr>
              <w:rPr>
                <w:b/>
                <w:sz w:val="20"/>
              </w:rPr>
            </w:pPr>
          </w:p>
        </w:tc>
        <w:tc>
          <w:tcPr>
            <w:tcW w:w="784" w:type="pct"/>
            <w:shd w:val="clear" w:color="auto" w:fill="FFFFFF"/>
            <w:vAlign w:val="center"/>
          </w:tcPr>
          <w:p w14:paraId="06AA6884" w14:textId="77777777" w:rsidR="004E65A9" w:rsidRPr="00BD1AD5" w:rsidRDefault="004E65A9" w:rsidP="008600F3">
            <w:pPr>
              <w:jc w:val="center"/>
              <w:rPr>
                <w:sz w:val="20"/>
              </w:rPr>
            </w:pPr>
            <w:r>
              <w:rPr>
                <w:sz w:val="20"/>
              </w:rPr>
              <w:t>Uke 52</w:t>
            </w:r>
          </w:p>
        </w:tc>
        <w:tc>
          <w:tcPr>
            <w:tcW w:w="1607" w:type="pct"/>
            <w:shd w:val="clear" w:color="auto" w:fill="FFFFFF"/>
            <w:vAlign w:val="center"/>
          </w:tcPr>
          <w:p w14:paraId="52785171" w14:textId="77777777" w:rsidR="004E65A9" w:rsidRPr="00BD1AD5" w:rsidRDefault="004E65A9" w:rsidP="008600F3">
            <w:pPr>
              <w:jc w:val="center"/>
              <w:rPr>
                <w:sz w:val="20"/>
              </w:rPr>
            </w:pPr>
            <w:r>
              <w:rPr>
                <w:sz w:val="20"/>
              </w:rPr>
              <w:t>-7,8 ± 5,75</w:t>
            </w:r>
          </w:p>
        </w:tc>
        <w:tc>
          <w:tcPr>
            <w:tcW w:w="1608" w:type="pct"/>
            <w:shd w:val="clear" w:color="auto" w:fill="FFFFFF"/>
            <w:vAlign w:val="center"/>
          </w:tcPr>
          <w:p w14:paraId="6CD92C72" w14:textId="77777777" w:rsidR="004E65A9" w:rsidRPr="00BD1AD5" w:rsidRDefault="004E65A9" w:rsidP="008600F3">
            <w:pPr>
              <w:jc w:val="center"/>
              <w:rPr>
                <w:sz w:val="20"/>
              </w:rPr>
            </w:pPr>
            <w:r>
              <w:rPr>
                <w:sz w:val="20"/>
              </w:rPr>
              <w:t>-7,5 ± 6,27</w:t>
            </w:r>
          </w:p>
        </w:tc>
      </w:tr>
      <w:tr w:rsidR="004E65A9" w:rsidRPr="00BD1AD5" w14:paraId="640FF80C" w14:textId="77777777" w:rsidTr="008600F3">
        <w:trPr>
          <w:cantSplit/>
        </w:trPr>
        <w:tc>
          <w:tcPr>
            <w:tcW w:w="1002" w:type="pct"/>
            <w:vMerge w:val="restart"/>
            <w:shd w:val="clear" w:color="auto" w:fill="FFFFFF"/>
            <w:vAlign w:val="center"/>
          </w:tcPr>
          <w:p w14:paraId="0B9D12AB" w14:textId="77777777" w:rsidR="004E65A9" w:rsidRPr="00BD1AD5" w:rsidRDefault="004E65A9" w:rsidP="008600F3">
            <w:pPr>
              <w:keepNext/>
              <w:rPr>
                <w:b/>
                <w:sz w:val="20"/>
                <w:vertAlign w:val="superscript"/>
              </w:rPr>
            </w:pPr>
            <w:r>
              <w:rPr>
                <w:b/>
                <w:sz w:val="20"/>
              </w:rPr>
              <w:t>Andel av forsøkspersoner med hodebunns-psoriasis PGA (ScPGA) 0 eller 1, n/N (%)</w:t>
            </w:r>
            <w:r>
              <w:rPr>
                <w:b/>
                <w:sz w:val="20"/>
                <w:vertAlign w:val="superscript"/>
              </w:rPr>
              <w:t>b</w:t>
            </w:r>
          </w:p>
        </w:tc>
        <w:tc>
          <w:tcPr>
            <w:tcW w:w="784" w:type="pct"/>
            <w:shd w:val="clear" w:color="auto" w:fill="FFFFFF"/>
            <w:vAlign w:val="center"/>
          </w:tcPr>
          <w:p w14:paraId="23E1EF82" w14:textId="77777777" w:rsidR="004E65A9" w:rsidRPr="00BD1AD5" w:rsidRDefault="004E65A9" w:rsidP="008600F3">
            <w:pPr>
              <w:jc w:val="center"/>
              <w:rPr>
                <w:sz w:val="20"/>
              </w:rPr>
            </w:pPr>
            <w:r>
              <w:rPr>
                <w:sz w:val="20"/>
              </w:rPr>
              <w:t>Uke 16</w:t>
            </w:r>
          </w:p>
        </w:tc>
        <w:tc>
          <w:tcPr>
            <w:tcW w:w="1607" w:type="pct"/>
            <w:shd w:val="clear" w:color="auto" w:fill="FFFFFF"/>
            <w:vAlign w:val="center"/>
          </w:tcPr>
          <w:p w14:paraId="2DAE0959" w14:textId="77777777" w:rsidR="004E65A9" w:rsidRPr="00BD1AD5" w:rsidRDefault="004E65A9" w:rsidP="008600F3">
            <w:pPr>
              <w:jc w:val="center"/>
              <w:rPr>
                <w:sz w:val="20"/>
              </w:rPr>
            </w:pPr>
            <w:r>
              <w:rPr>
                <w:sz w:val="20"/>
              </w:rPr>
              <w:t>40/48 (83,3)</w:t>
            </w:r>
          </w:p>
        </w:tc>
        <w:tc>
          <w:tcPr>
            <w:tcW w:w="1608" w:type="pct"/>
            <w:shd w:val="clear" w:color="auto" w:fill="FFFFFF"/>
            <w:vAlign w:val="center"/>
          </w:tcPr>
          <w:p w14:paraId="08A95AE0" w14:textId="77777777" w:rsidR="004E65A9" w:rsidRPr="00BD1AD5" w:rsidRDefault="004E65A9" w:rsidP="008600F3">
            <w:pPr>
              <w:jc w:val="center"/>
              <w:rPr>
                <w:sz w:val="20"/>
              </w:rPr>
            </w:pPr>
            <w:r>
              <w:rPr>
                <w:sz w:val="20"/>
              </w:rPr>
              <w:t>21/37 (56,8)</w:t>
            </w:r>
          </w:p>
        </w:tc>
      </w:tr>
      <w:tr w:rsidR="004E65A9" w:rsidRPr="00BD1AD5" w14:paraId="61FBDA54" w14:textId="77777777" w:rsidTr="008600F3">
        <w:trPr>
          <w:cantSplit/>
        </w:trPr>
        <w:tc>
          <w:tcPr>
            <w:tcW w:w="1002" w:type="pct"/>
            <w:vMerge/>
            <w:shd w:val="clear" w:color="auto" w:fill="FFFFFF"/>
            <w:vAlign w:val="center"/>
          </w:tcPr>
          <w:p w14:paraId="53ABD8CC" w14:textId="77777777" w:rsidR="004E65A9" w:rsidRPr="00BD1AD5" w:rsidRDefault="004E65A9" w:rsidP="008600F3">
            <w:pPr>
              <w:rPr>
                <w:b/>
                <w:sz w:val="20"/>
              </w:rPr>
            </w:pPr>
          </w:p>
        </w:tc>
        <w:tc>
          <w:tcPr>
            <w:tcW w:w="784" w:type="pct"/>
            <w:shd w:val="clear" w:color="auto" w:fill="FFFFFF"/>
            <w:vAlign w:val="center"/>
          </w:tcPr>
          <w:p w14:paraId="02A8EE4B" w14:textId="77777777" w:rsidR="004E65A9" w:rsidRPr="00BD1AD5" w:rsidRDefault="004E65A9" w:rsidP="008600F3">
            <w:pPr>
              <w:jc w:val="center"/>
              <w:rPr>
                <w:sz w:val="20"/>
              </w:rPr>
            </w:pPr>
            <w:r>
              <w:rPr>
                <w:sz w:val="20"/>
              </w:rPr>
              <w:t>Uke 32</w:t>
            </w:r>
          </w:p>
        </w:tc>
        <w:tc>
          <w:tcPr>
            <w:tcW w:w="1607" w:type="pct"/>
            <w:shd w:val="clear" w:color="auto" w:fill="FFFFFF"/>
            <w:vAlign w:val="center"/>
          </w:tcPr>
          <w:p w14:paraId="25CA611B" w14:textId="77777777" w:rsidR="004E65A9" w:rsidRPr="00BD1AD5" w:rsidRDefault="004E65A9" w:rsidP="008600F3">
            <w:pPr>
              <w:jc w:val="center"/>
              <w:rPr>
                <w:sz w:val="20"/>
              </w:rPr>
            </w:pPr>
            <w:r>
              <w:rPr>
                <w:sz w:val="20"/>
              </w:rPr>
              <w:t>39/48 (81,3)</w:t>
            </w:r>
          </w:p>
        </w:tc>
        <w:tc>
          <w:tcPr>
            <w:tcW w:w="1608" w:type="pct"/>
            <w:shd w:val="clear" w:color="auto" w:fill="FFFFFF"/>
            <w:vAlign w:val="center"/>
          </w:tcPr>
          <w:p w14:paraId="5FFC0294" w14:textId="77777777" w:rsidR="004E65A9" w:rsidRPr="00BD1AD5" w:rsidRDefault="004E65A9" w:rsidP="008600F3">
            <w:pPr>
              <w:jc w:val="center"/>
              <w:rPr>
                <w:sz w:val="20"/>
              </w:rPr>
            </w:pPr>
            <w:r>
              <w:rPr>
                <w:sz w:val="20"/>
              </w:rPr>
              <w:t>27/37 (73,0)</w:t>
            </w:r>
          </w:p>
        </w:tc>
      </w:tr>
      <w:tr w:rsidR="004E65A9" w:rsidRPr="00BD1AD5" w14:paraId="3BC844A0" w14:textId="77777777" w:rsidTr="008600F3">
        <w:trPr>
          <w:cantSplit/>
        </w:trPr>
        <w:tc>
          <w:tcPr>
            <w:tcW w:w="1002" w:type="pct"/>
            <w:vMerge/>
            <w:shd w:val="clear" w:color="auto" w:fill="FFFFFF"/>
            <w:vAlign w:val="center"/>
          </w:tcPr>
          <w:p w14:paraId="15F3BE4E" w14:textId="77777777" w:rsidR="004E65A9" w:rsidRPr="00BD1AD5" w:rsidRDefault="004E65A9" w:rsidP="008600F3">
            <w:pPr>
              <w:keepNext/>
              <w:rPr>
                <w:b/>
                <w:sz w:val="20"/>
              </w:rPr>
            </w:pPr>
          </w:p>
        </w:tc>
        <w:tc>
          <w:tcPr>
            <w:tcW w:w="784" w:type="pct"/>
            <w:shd w:val="clear" w:color="auto" w:fill="FFFFFF"/>
            <w:vAlign w:val="center"/>
          </w:tcPr>
          <w:p w14:paraId="42D87E7E" w14:textId="77777777" w:rsidR="004E65A9" w:rsidRPr="00BD1AD5" w:rsidRDefault="004E65A9" w:rsidP="008600F3">
            <w:pPr>
              <w:keepNext/>
              <w:jc w:val="center"/>
              <w:rPr>
                <w:sz w:val="20"/>
              </w:rPr>
            </w:pPr>
            <w:r>
              <w:rPr>
                <w:sz w:val="20"/>
              </w:rPr>
              <w:t>Uke 52</w:t>
            </w:r>
          </w:p>
        </w:tc>
        <w:tc>
          <w:tcPr>
            <w:tcW w:w="1607" w:type="pct"/>
            <w:shd w:val="clear" w:color="auto" w:fill="FFFFFF"/>
            <w:vAlign w:val="center"/>
          </w:tcPr>
          <w:p w14:paraId="06797E8B" w14:textId="77777777" w:rsidR="004E65A9" w:rsidRPr="00BD1AD5" w:rsidRDefault="004E65A9" w:rsidP="008600F3">
            <w:pPr>
              <w:keepNext/>
              <w:jc w:val="center"/>
              <w:rPr>
                <w:sz w:val="20"/>
              </w:rPr>
            </w:pPr>
            <w:r>
              <w:rPr>
                <w:sz w:val="20"/>
              </w:rPr>
              <w:t>35/48 (72,9)</w:t>
            </w:r>
          </w:p>
        </w:tc>
        <w:tc>
          <w:tcPr>
            <w:tcW w:w="1608" w:type="pct"/>
            <w:shd w:val="clear" w:color="auto" w:fill="FFFFFF"/>
            <w:vAlign w:val="center"/>
          </w:tcPr>
          <w:p w14:paraId="7DF85B02" w14:textId="77777777" w:rsidR="004E65A9" w:rsidRPr="00BD1AD5" w:rsidRDefault="004E65A9" w:rsidP="008600F3">
            <w:pPr>
              <w:keepNext/>
              <w:jc w:val="center"/>
              <w:rPr>
                <w:sz w:val="20"/>
              </w:rPr>
            </w:pPr>
            <w:r>
              <w:rPr>
                <w:sz w:val="20"/>
              </w:rPr>
              <w:t>20/37 (54,1)</w:t>
            </w:r>
          </w:p>
        </w:tc>
      </w:tr>
    </w:tbl>
    <w:p w14:paraId="0CFD935B" w14:textId="77777777" w:rsidR="004E65A9" w:rsidRPr="00BD1AD5" w:rsidRDefault="004E65A9" w:rsidP="003F09AA">
      <w:pPr>
        <w:keepNext/>
        <w:rPr>
          <w:sz w:val="18"/>
          <w:szCs w:val="18"/>
        </w:rPr>
      </w:pPr>
      <w:r>
        <w:rPr>
          <w:sz w:val="18"/>
          <w:vertAlign w:val="superscript"/>
        </w:rPr>
        <w:t>a</w:t>
      </w:r>
      <w:r>
        <w:rPr>
          <w:sz w:val="18"/>
        </w:rPr>
        <w:t xml:space="preserve"> Inkluderer forsøkspersoner rerandomisert til 30 mg apremilast to ganger daglig i uke 32 med en baselineverdi og en verdi etter baseline i den evaluerte studieuken.</w:t>
      </w:r>
    </w:p>
    <w:p w14:paraId="770ACCBE" w14:textId="77777777" w:rsidR="004E65A9" w:rsidRPr="00BD1AD5" w:rsidRDefault="004E65A9" w:rsidP="003F09AA">
      <w:pPr>
        <w:tabs>
          <w:tab w:val="clear" w:pos="567"/>
        </w:tabs>
        <w:autoSpaceDE w:val="0"/>
        <w:autoSpaceDN w:val="0"/>
        <w:adjustRightInd w:val="0"/>
        <w:rPr>
          <w:rFonts w:eastAsia="SimSun"/>
          <w:sz w:val="18"/>
          <w:szCs w:val="18"/>
        </w:rPr>
      </w:pPr>
      <w:r>
        <w:rPr>
          <w:sz w:val="18"/>
          <w:vertAlign w:val="superscript"/>
        </w:rPr>
        <w:t>b</w:t>
      </w:r>
      <w:r>
        <w:rPr>
          <w:sz w:val="18"/>
        </w:rPr>
        <w:t xml:space="preserve"> N er basert på forsøkspersoner med moderat eller mer hodebunnspsoriasis ved baseline som ble rerandomisert til 30 mg apremilast to ganger daglig i uke 32. Forsøkspersoner med manglende data ble regnet som ikke</w:t>
      </w:r>
      <w:r>
        <w:rPr>
          <w:sz w:val="18"/>
        </w:rPr>
        <w:noBreakHyphen/>
        <w:t>respondere.</w:t>
      </w:r>
    </w:p>
    <w:p w14:paraId="745D882F" w14:textId="77777777" w:rsidR="004E65A9" w:rsidRPr="00BD1AD5" w:rsidRDefault="004E65A9" w:rsidP="003F09AA">
      <w:pPr>
        <w:numPr>
          <w:ilvl w:val="12"/>
          <w:numId w:val="0"/>
        </w:numPr>
        <w:ind w:right="-2"/>
        <w:rPr>
          <w:iCs/>
          <w:noProof/>
        </w:rPr>
      </w:pPr>
    </w:p>
    <w:p w14:paraId="433E7A52" w14:textId="77777777" w:rsidR="004E65A9" w:rsidRPr="00BD1AD5" w:rsidRDefault="004E65A9" w:rsidP="003F09AA">
      <w:pPr>
        <w:numPr>
          <w:ilvl w:val="12"/>
          <w:numId w:val="0"/>
        </w:numPr>
        <w:ind w:right="-2"/>
        <w:rPr>
          <w:iCs/>
          <w:noProof/>
        </w:rPr>
      </w:pPr>
      <w:r>
        <w:t>I studien ESTEEM 1 hadde ca. 61 % av pasientene som ble rerandomisert til apremilast i uke 32 en PASI</w:t>
      </w:r>
      <w:r>
        <w:noBreakHyphen/>
        <w:t>75</w:t>
      </w:r>
      <w:r>
        <w:noBreakHyphen/>
        <w:t>respons i uke 52. Av pasientene med minst én PASI</w:t>
      </w:r>
      <w:r>
        <w:noBreakHyphen/>
        <w:t>75</w:t>
      </w:r>
      <w:r>
        <w:noBreakHyphen/>
        <w:t>respons som ble rerandomisert til placebo i uke 32 i en randomisert behandlingsseponeringsfase, var 11,7 % PASI</w:t>
      </w:r>
      <w:r>
        <w:noBreakHyphen/>
        <w:t>75</w:t>
      </w:r>
      <w:r>
        <w:noBreakHyphen/>
        <w:t>respondere i uke 52. Median tid til tap av PASI</w:t>
      </w:r>
      <w:r>
        <w:noBreakHyphen/>
        <w:t>75</w:t>
      </w:r>
      <w:r>
        <w:noBreakHyphen/>
        <w:t>respons hos pasientene som ble rerandomisert til placebo var 5,1 uker.</w:t>
      </w:r>
    </w:p>
    <w:p w14:paraId="4EE77062" w14:textId="77777777" w:rsidR="004E65A9" w:rsidRPr="00BD1AD5" w:rsidRDefault="004E65A9" w:rsidP="003F09AA">
      <w:pPr>
        <w:numPr>
          <w:ilvl w:val="12"/>
          <w:numId w:val="0"/>
        </w:numPr>
        <w:ind w:right="-2"/>
        <w:rPr>
          <w:iCs/>
          <w:noProof/>
        </w:rPr>
      </w:pPr>
    </w:p>
    <w:p w14:paraId="1FCF3C37" w14:textId="77777777" w:rsidR="004E65A9" w:rsidRPr="00BD1AD5" w:rsidRDefault="004E65A9" w:rsidP="003F09AA">
      <w:pPr>
        <w:numPr>
          <w:ilvl w:val="12"/>
          <w:numId w:val="0"/>
        </w:numPr>
        <w:ind w:right="-2"/>
        <w:rPr>
          <w:iCs/>
          <w:noProof/>
        </w:rPr>
      </w:pPr>
      <w:r>
        <w:t>I studien ESTEEM 2 hadde ca. 80,3 % av pasientene som ble rerandomisert til apremilast i uke 32 en PASI</w:t>
      </w:r>
      <w:r>
        <w:noBreakHyphen/>
        <w:t>50</w:t>
      </w:r>
      <w:r>
        <w:noBreakHyphen/>
        <w:t>respons i uke 52. Av pasientene med minst én PASI</w:t>
      </w:r>
      <w:r>
        <w:noBreakHyphen/>
        <w:t>50</w:t>
      </w:r>
      <w:r>
        <w:noBreakHyphen/>
        <w:t>respons som ble rerandomisert til placebo i uke 32, var 24,2 % PASI</w:t>
      </w:r>
      <w:r>
        <w:noBreakHyphen/>
        <w:t>50</w:t>
      </w:r>
      <w:r>
        <w:noBreakHyphen/>
        <w:t>respondere i uke 52. Median tid til tap av 50 % av PASI</w:t>
      </w:r>
      <w:r>
        <w:noBreakHyphen/>
        <w:t>bedringen i uke 32 var 12,4 uker.</w:t>
      </w:r>
    </w:p>
    <w:p w14:paraId="6C45D0EF" w14:textId="77777777" w:rsidR="004E65A9" w:rsidRPr="00BD1AD5" w:rsidRDefault="004E65A9" w:rsidP="003F09AA">
      <w:pPr>
        <w:numPr>
          <w:ilvl w:val="12"/>
          <w:numId w:val="0"/>
        </w:numPr>
        <w:ind w:right="-2"/>
        <w:rPr>
          <w:iCs/>
          <w:noProof/>
        </w:rPr>
      </w:pPr>
    </w:p>
    <w:p w14:paraId="4D6D618D" w14:textId="77777777" w:rsidR="004E65A9" w:rsidRPr="00BD1AD5" w:rsidRDefault="004E65A9" w:rsidP="003F09AA">
      <w:pPr>
        <w:keepNext/>
        <w:keepLines/>
        <w:numPr>
          <w:ilvl w:val="12"/>
          <w:numId w:val="0"/>
        </w:numPr>
        <w:rPr>
          <w:iCs/>
          <w:noProof/>
        </w:rPr>
      </w:pPr>
      <w:r>
        <w:lastRenderedPageBreak/>
        <w:t>Etter randomisert seponering fra behandling i uke 32 fikk ca. 70 % av pasientene i studie ESTEEM 1 og 65,6 % av pasientene i studie ESTEEM 2 tilbake PASI</w:t>
      </w:r>
      <w:r>
        <w:noBreakHyphen/>
        <w:t>75</w:t>
      </w:r>
      <w:r>
        <w:noBreakHyphen/>
        <w:t xml:space="preserve"> (ESTEEM 1) eller PASI</w:t>
      </w:r>
      <w:r>
        <w:noBreakHyphen/>
        <w:t>50</w:t>
      </w:r>
      <w:r>
        <w:noBreakHyphen/>
        <w:t>(ESTEEM 2)</w:t>
      </w:r>
      <w:r>
        <w:noBreakHyphen/>
        <w:t>respons etter gjenopptatt apremilastbehandling. På grunn av studiedesignet var varigheten av gjentatt behandling variabel, fra 2,6 til 22,1 uker.</w:t>
      </w:r>
    </w:p>
    <w:p w14:paraId="78443A75" w14:textId="77777777" w:rsidR="004E65A9" w:rsidRPr="00BD1AD5" w:rsidRDefault="004E65A9" w:rsidP="003F09AA">
      <w:pPr>
        <w:numPr>
          <w:ilvl w:val="12"/>
          <w:numId w:val="0"/>
        </w:numPr>
        <w:ind w:right="-2"/>
        <w:rPr>
          <w:iCs/>
          <w:noProof/>
        </w:rPr>
      </w:pPr>
    </w:p>
    <w:p w14:paraId="6C838B58" w14:textId="77777777" w:rsidR="004E65A9" w:rsidRPr="00BD1AD5" w:rsidRDefault="004E65A9" w:rsidP="003F09AA">
      <w:r>
        <w:t>I studien ESTEEM 1 fikk pasienter randomisert til apremilast ved studiestart som ikke oppnådde en PASI</w:t>
      </w:r>
      <w:r>
        <w:noBreakHyphen/>
        <w:t>75</w:t>
      </w:r>
      <w:r>
        <w:noBreakHyphen/>
        <w:t>respons i uke 32, tillatelse til samtidig bruk av topisk behandling og/eller UVB</w:t>
      </w:r>
      <w:r>
        <w:noBreakHyphen/>
        <w:t>lysbehandling i uke 32 til 52. Av disse pasientene oppnådde 12 % en PASI</w:t>
      </w:r>
      <w:r>
        <w:noBreakHyphen/>
        <w:t>75</w:t>
      </w:r>
      <w:r>
        <w:noBreakHyphen/>
        <w:t>respons i uke 52 med apremilast pluss topisk behandling og/eller lysbehandling.</w:t>
      </w:r>
    </w:p>
    <w:p w14:paraId="0D859E17" w14:textId="77777777" w:rsidR="004E65A9" w:rsidRPr="00BD1AD5" w:rsidRDefault="004E65A9" w:rsidP="003F09AA">
      <w:pPr>
        <w:rPr>
          <w:rFonts w:eastAsia="MS Mincho"/>
        </w:rPr>
      </w:pPr>
    </w:p>
    <w:p w14:paraId="5A0E9A37" w14:textId="77777777" w:rsidR="004E65A9" w:rsidRPr="00BD1AD5" w:rsidRDefault="004E65A9" w:rsidP="003F09AA">
      <w:pPr>
        <w:numPr>
          <w:ilvl w:val="12"/>
          <w:numId w:val="0"/>
        </w:numPr>
        <w:ind w:right="-2"/>
        <w:rPr>
          <w:iCs/>
          <w:noProof/>
        </w:rPr>
      </w:pPr>
      <w:r>
        <w:t>I studiene ESTEEM 1 og ESTEEM 2 ble det observert signifikant bedring (reduksjon) av neglepsoriasis, målt som gjennomsnittlig prosentvis endring i Nail Psoriasis Severity Index (NAPSI) fra baseline, hos pasienter som fikk apremilast sammenlignet med pasienter som fikk placebo, i uke 16 (henholdsvis p &lt; 0,0001 og p = 0,0052). Ytterligere bedring av neglepsoriasis ble observert i uke 32 hos pasienter behandlet kontinuerlig med apremilast.</w:t>
      </w:r>
    </w:p>
    <w:p w14:paraId="7D3F2337" w14:textId="77777777" w:rsidR="004E65A9" w:rsidRPr="00BD1AD5" w:rsidRDefault="004E65A9" w:rsidP="003F09AA">
      <w:pPr>
        <w:numPr>
          <w:ilvl w:val="12"/>
          <w:numId w:val="0"/>
        </w:numPr>
        <w:ind w:right="-2"/>
        <w:rPr>
          <w:iCs/>
          <w:noProof/>
        </w:rPr>
      </w:pPr>
    </w:p>
    <w:p w14:paraId="7A37031E" w14:textId="77777777" w:rsidR="004E65A9" w:rsidRPr="00BD1AD5" w:rsidRDefault="004E65A9" w:rsidP="003F09AA">
      <w:pPr>
        <w:numPr>
          <w:ilvl w:val="12"/>
          <w:numId w:val="0"/>
        </w:numPr>
        <w:ind w:right="-2"/>
        <w:rPr>
          <w:iCs/>
          <w:noProof/>
        </w:rPr>
      </w:pPr>
      <w:r>
        <w:t>I studiene ESTEEM 1 og ESTEEM 2 ble det observert signifikant bedring av hodebunnspsoriasis av minst moderat alvorlighetsgrad (≥ 3), målt som andel av pasienter som oppnådde Scalp Psoriasis Physician’s Global Assessment (ScPGA) fin (0) eller minimal (1) i uke 16, hos pasienter som fikk apremilast sammenlignet med pasienter som fikk placebo (p &lt; 0,0001 for begge studier). Bedringen vedvarte vanligvis hos forsøkspersoner som ble rerandomisert til apremilast i uke 32 til uke 52 (tabell 6).</w:t>
      </w:r>
    </w:p>
    <w:p w14:paraId="2B7F85C5" w14:textId="77777777" w:rsidR="004E65A9" w:rsidRPr="00BD1AD5" w:rsidRDefault="004E65A9" w:rsidP="003F09AA">
      <w:pPr>
        <w:numPr>
          <w:ilvl w:val="12"/>
          <w:numId w:val="0"/>
        </w:numPr>
        <w:ind w:right="-2"/>
        <w:rPr>
          <w:iCs/>
          <w:noProof/>
        </w:rPr>
      </w:pPr>
    </w:p>
    <w:p w14:paraId="563B9162" w14:textId="77777777" w:rsidR="004E65A9" w:rsidRPr="00BD1AD5" w:rsidRDefault="004E65A9" w:rsidP="003F09AA">
      <w:pPr>
        <w:numPr>
          <w:ilvl w:val="12"/>
          <w:numId w:val="0"/>
        </w:numPr>
        <w:ind w:right="-2"/>
        <w:rPr>
          <w:iCs/>
          <w:noProof/>
        </w:rPr>
      </w:pPr>
      <w:r>
        <w:t xml:space="preserve">I studiene ESTEEM 1 og ESTEEM 2 ble det påvist signifikant bedring av livskvalitet målt som </w:t>
      </w:r>
      <w:r>
        <w:rPr>
          <w:i/>
          <w:iCs/>
        </w:rPr>
        <w:t>Dermatology Life Quality Index</w:t>
      </w:r>
      <w:r>
        <w:t xml:space="preserve"> (DLQI) og SF</w:t>
      </w:r>
      <w:r>
        <w:noBreakHyphen/>
        <w:t>36v2MCS hos pasienter som fikk apremilast sammenlignet med pasienter som fikk placebo (tabell 5). Bedring i DLQI vedvarte til uke 52 hos forsøkspersoner som ble rerandomisert til apremilast i uke 32 (tabell 6). I tillegg ble det i studie ESTEEM 1 oppnådd signifikant bedring i spørreskjemaet Work Limitations Questionnaire (WLQ</w:t>
      </w:r>
      <w:r>
        <w:noBreakHyphen/>
        <w:t>25) hos pasienter som fikk apremilast sammenlignet med placebo.</w:t>
      </w:r>
    </w:p>
    <w:p w14:paraId="46454CFE" w14:textId="77777777" w:rsidR="004E65A9" w:rsidRPr="00BD1AD5" w:rsidRDefault="004E65A9" w:rsidP="003F09AA">
      <w:pPr>
        <w:numPr>
          <w:ilvl w:val="12"/>
          <w:numId w:val="0"/>
        </w:numPr>
        <w:ind w:right="-2"/>
        <w:rPr>
          <w:iCs/>
          <w:noProof/>
        </w:rPr>
      </w:pPr>
    </w:p>
    <w:p w14:paraId="6BA797CB" w14:textId="77777777" w:rsidR="004E65A9" w:rsidRPr="00BD1AD5" w:rsidRDefault="004E65A9" w:rsidP="003F09AA">
      <w:pPr>
        <w:numPr>
          <w:ilvl w:val="12"/>
          <w:numId w:val="0"/>
        </w:numPr>
      </w:pPr>
      <w:r>
        <w:rPr>
          <w:color w:val="000000"/>
        </w:rPr>
        <w:t>Blant de 832 pasientene som først ble randomisert til 30 mg apremilast to ganger daglig, gikk 443 pasienter (53 %) videre til de åpne forlengelsesstudiene av ESTEEM 1 og ESTEEM 2, og av disse sto 115 pasienter (26 %) fortsatt på behandling i uke 260. Generelt for pasienter som fortsatte med apremilast i de åpne forlengelsene av ESTEEM 1 og ESTEEM 2 vedvarte bedring i opptil 5 år for PASI</w:t>
      </w:r>
      <w:r>
        <w:rPr>
          <w:color w:val="000000"/>
        </w:rPr>
        <w:noBreakHyphen/>
        <w:t>skår, påvirket BSA, kløe, negler og livskvalitet.</w:t>
      </w:r>
    </w:p>
    <w:p w14:paraId="177739B0" w14:textId="77777777" w:rsidR="004E65A9" w:rsidRPr="00BD1AD5" w:rsidRDefault="004E65A9" w:rsidP="003F09AA">
      <w:pPr>
        <w:numPr>
          <w:ilvl w:val="12"/>
          <w:numId w:val="0"/>
        </w:numPr>
        <w:ind w:right="-2"/>
        <w:rPr>
          <w:iCs/>
          <w:noProof/>
        </w:rPr>
      </w:pPr>
    </w:p>
    <w:p w14:paraId="53ECE0FD" w14:textId="77777777" w:rsidR="004E65A9" w:rsidRDefault="004E65A9" w:rsidP="003F09AA">
      <w:r>
        <w:t xml:space="preserve">Langtidssikkerhet av 30 mg apremilast to ganger daglig hos pasienter med </w:t>
      </w:r>
      <w:bookmarkStart w:id="11" w:name="_Hlk177998182"/>
      <w:r>
        <w:t>psoriasisartritt</w:t>
      </w:r>
      <w:bookmarkEnd w:id="11"/>
      <w:r>
        <w:t xml:space="preserve"> og psoriasis ble evaluert for en total behandlingsvarighet på opptil 5 år. Langtidserfaring i de åpne forlengelsesstudiene med apremilast var generelt sammenlignbar med studiene på 52 uker.</w:t>
      </w:r>
    </w:p>
    <w:p w14:paraId="418031C3" w14:textId="77777777" w:rsidR="004E65A9" w:rsidRDefault="004E65A9" w:rsidP="003F09AA"/>
    <w:p w14:paraId="6E01D63C" w14:textId="77777777" w:rsidR="004E65A9" w:rsidRPr="009422E4" w:rsidRDefault="004E65A9" w:rsidP="003F09AA">
      <w:pPr>
        <w:pStyle w:val="StyleItalic"/>
      </w:pPr>
      <w:r>
        <w:t>Psoriasis hos pediatriske pasienter</w:t>
      </w:r>
    </w:p>
    <w:p w14:paraId="5784B82D" w14:textId="77777777" w:rsidR="004E65A9" w:rsidRDefault="004E65A9" w:rsidP="003F09AA">
      <w:r>
        <w:t>En multisenter, randomisert, dobbeltblindet, placebokontrollert studie (SPROUT) ble gjennomført på 245 pediatriske forsøkspersoner i alderen 6 til og med 17 år med moderat til alvorlig plakkpsoriasis som var kandidater for lysbehandling eller systemisk behandling. De inkluderte forsøkspersonene hadde en sPGA</w:t>
      </w:r>
      <w:r>
        <w:noBreakHyphen/>
        <w:t>skår på ≥ 3 (moderat eller alvorlig sykdom), BSA</w:t>
      </w:r>
      <w:r>
        <w:noBreakHyphen/>
        <w:t>involvering på ≥ 10 % og PASI</w:t>
      </w:r>
      <w:r>
        <w:noBreakHyphen/>
        <w:t>skår på ≥ 12, med psoriasis som var utilstrekkelig kontrollert av eller uegnet for topisk behandling.</w:t>
      </w:r>
    </w:p>
    <w:p w14:paraId="199A8445" w14:textId="77777777" w:rsidR="004E65A9" w:rsidRDefault="004E65A9" w:rsidP="003F09AA"/>
    <w:p w14:paraId="57D11073" w14:textId="77777777" w:rsidR="004E65A9" w:rsidRDefault="004E65A9" w:rsidP="003F09AA">
      <w:r>
        <w:t>Forsøkspersonene ble randomisert 2:1 til å få enten apremilast (n = 163) eller placebo (n = 82) i 16 uker. Forsøkspersoner med en utgangsvekt på 20 kg til &lt; 50 kg fikk apremilast 20 mg to ganger daglig eller placebo to ganger daglig, og forsøkspersoner med en utgangsvekt ≥ 50 kg fikk apremilast 30 mg to ganger daglig eller placebo to ganger daglig. I uke 16 ble placebogruppen byttet til apremilast (med dose basert på utgangsvekten), og apremilastgruppen fortsatte med legemiddelet (i henhold til den opprinnelige doseringen) til og med uke 52. Forsøkspersonene fikk lov til å bruke lavpotente eller svake topiske kortikosteroider i ansiktet, armhulen og lysken, og umedisinerte fuktighetskremer kun for lesjoner på kroppen.</w:t>
      </w:r>
    </w:p>
    <w:p w14:paraId="0A70ED43" w14:textId="77777777" w:rsidR="004E65A9" w:rsidRDefault="004E65A9" w:rsidP="003F09AA"/>
    <w:p w14:paraId="294AE2E1" w14:textId="77777777" w:rsidR="004E65A9" w:rsidRPr="007E5954" w:rsidRDefault="004E65A9" w:rsidP="003F09AA">
      <w:r>
        <w:lastRenderedPageBreak/>
        <w:t>Det primære endepunktet var andelen forsøkspersoner som oppnådde en sPGA</w:t>
      </w:r>
      <w:r>
        <w:noBreakHyphen/>
        <w:t>respons (definert som en skår på fin [0] eller nesten fin [1] med minst en reduksjon på 2 poeng fra baseline) i uke 16. Det viktigste sekundære endepunktet var andelen pasienter som oppnådde en PASI</w:t>
      </w:r>
      <w:r>
        <w:noBreakHyphen/>
        <w:t>75</w:t>
      </w:r>
      <w:r>
        <w:noBreakHyphen/>
        <w:t>respons (minst 75 % reduksjon i PASI</w:t>
      </w:r>
      <w:r>
        <w:noBreakHyphen/>
        <w:t>skår fra baseline) ved uke 16. Andre endepunkter ved uke 16 inkluderte andelen forsøkspersoner som oppnådde PASI</w:t>
      </w:r>
      <w:r>
        <w:noBreakHyphen/>
        <w:t>50</w:t>
      </w:r>
      <w:r>
        <w:noBreakHyphen/>
        <w:t>respons (minst 50 % reduksjon i PASI</w:t>
      </w:r>
      <w:r>
        <w:noBreakHyphen/>
        <w:t>skår fra baseline), PASI</w:t>
      </w:r>
      <w:r>
        <w:noBreakHyphen/>
        <w:t>90</w:t>
      </w:r>
      <w:r>
        <w:noBreakHyphen/>
        <w:t>respons (minst 90 % reduksjon i PASI</w:t>
      </w:r>
      <w:r>
        <w:noBreakHyphen/>
        <w:t xml:space="preserve">skår fra baseline) og </w:t>
      </w:r>
      <w:r>
        <w:rPr>
          <w:i/>
          <w:iCs/>
        </w:rPr>
        <w:t>Children's Dermatology Life Quality Index</w:t>
      </w:r>
      <w:r>
        <w:t xml:space="preserve"> (CDLQI)</w:t>
      </w:r>
      <w:r>
        <w:noBreakHyphen/>
        <w:t>respons (CDLQI</w:t>
      </w:r>
      <w:r>
        <w:noBreakHyphen/>
        <w:t>totalskår på 0 eller 1), prosentvis endring fra baseline i affisert BSA, endring fra baseline i PASI</w:t>
      </w:r>
      <w:r>
        <w:noBreakHyphen/>
        <w:t>skår og endring fra baseline i CDLQI</w:t>
      </w:r>
      <w:r>
        <w:noBreakHyphen/>
        <w:t>totalskår.</w:t>
      </w:r>
    </w:p>
    <w:p w14:paraId="38EEACC7" w14:textId="77777777" w:rsidR="004E65A9" w:rsidRPr="007E5954" w:rsidRDefault="004E65A9" w:rsidP="003F09AA"/>
    <w:p w14:paraId="37671C5E" w14:textId="77777777" w:rsidR="004E65A9" w:rsidRPr="007E5954" w:rsidRDefault="004E65A9" w:rsidP="003F09AA">
      <w:r>
        <w:t>De inkluderte forsøkspersonene var i alderen 6 til 17 år, med en medianalder på 13 år. 41,2 % av forsøkspersonene var mellom 6 og 11 år, og 58,8 % av forsøkspersonene var mellom 12 og 17 år. Gjennomsnittlig BSA</w:t>
      </w:r>
      <w:r>
        <w:noBreakHyphen/>
        <w:t>involvering ved baseline var 31,5 % (median 26,0 %), gjennomsnittlig PASI</w:t>
      </w:r>
      <w:r>
        <w:noBreakHyphen/>
        <w:t>skår ved baseline var 19,8 (median 17,2), og andelen forsøkspersoner med en sPGA</w:t>
      </w:r>
      <w:r>
        <w:noBreakHyphen/>
        <w:t>skår på 3 (moderat) og 4 (alvorlig) ved baseline var henholdsvis 75,5 % og 24,5 %. Av de inkluderte pasientene hadde 82,9 % ikke fått tidligere konvensjonell systemisk behandling, 82,4 % hadde ikke fått tidligere lysbehandling, og 94,3 % var biologisk naive.</w:t>
      </w:r>
    </w:p>
    <w:p w14:paraId="09B82655" w14:textId="77777777" w:rsidR="004E65A9" w:rsidRPr="007E5954" w:rsidRDefault="004E65A9" w:rsidP="003F09AA"/>
    <w:p w14:paraId="78A338BB" w14:textId="77777777" w:rsidR="004E65A9" w:rsidRPr="007E5954" w:rsidRDefault="004E65A9" w:rsidP="003F09AA">
      <w:r>
        <w:t>Effektresultatene i uke 16 er presentert i tabell 7.</w:t>
      </w:r>
    </w:p>
    <w:p w14:paraId="28C4646E" w14:textId="77777777" w:rsidR="004E65A9" w:rsidRPr="007E5954" w:rsidRDefault="004E65A9" w:rsidP="003F09AA"/>
    <w:p w14:paraId="114DAB9A" w14:textId="77777777" w:rsidR="004E65A9" w:rsidRPr="00355E2F" w:rsidRDefault="004E65A9" w:rsidP="003F09AA">
      <w:pPr>
        <w:keepNext/>
        <w:tabs>
          <w:tab w:val="clear" w:pos="567"/>
        </w:tabs>
        <w:rPr>
          <w:b/>
          <w:bCs/>
        </w:rPr>
      </w:pPr>
      <w:r>
        <w:rPr>
          <w:b/>
        </w:rPr>
        <w:t>Tabell 7. Effektresultater i uke 16 hos barn med moderat til alvorlig plakkpsoriasis (ITT</w:t>
      </w:r>
      <w:r>
        <w:rPr>
          <w:b/>
        </w:rPr>
        <w:noBreakHyphen/>
        <w:t>populasjon)</w:t>
      </w:r>
    </w:p>
    <w:p w14:paraId="6BBCEC0A" w14:textId="77777777" w:rsidR="004E65A9" w:rsidRPr="007E5954" w:rsidRDefault="004E65A9" w:rsidP="003F09AA">
      <w:pPr>
        <w:keepNext/>
        <w:ind w:left="1440" w:hanging="1440"/>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bottom w:w="28" w:type="dxa"/>
        </w:tblCellMar>
        <w:tblLook w:val="04A0" w:firstRow="1" w:lastRow="0" w:firstColumn="1" w:lastColumn="0" w:noHBand="0" w:noVBand="1"/>
      </w:tblPr>
      <w:tblGrid>
        <w:gridCol w:w="5701"/>
        <w:gridCol w:w="1792"/>
        <w:gridCol w:w="1794"/>
      </w:tblGrid>
      <w:tr w:rsidR="004E65A9" w:rsidRPr="007E5954" w14:paraId="77447AC9" w14:textId="77777777" w:rsidTr="008600F3">
        <w:trPr>
          <w:cantSplit/>
          <w:tblHeader/>
        </w:trPr>
        <w:tc>
          <w:tcPr>
            <w:tcW w:w="3069" w:type="pct"/>
            <w:tcMar>
              <w:top w:w="15" w:type="dxa"/>
              <w:left w:w="108" w:type="dxa"/>
              <w:bottom w:w="0" w:type="dxa"/>
              <w:right w:w="108" w:type="dxa"/>
            </w:tcMar>
          </w:tcPr>
          <w:p w14:paraId="49B82535" w14:textId="77777777" w:rsidR="004E65A9" w:rsidRPr="007E5954" w:rsidRDefault="004E65A9" w:rsidP="008600F3">
            <w:pPr>
              <w:pStyle w:val="Styletablebold"/>
            </w:pPr>
          </w:p>
        </w:tc>
        <w:tc>
          <w:tcPr>
            <w:tcW w:w="1931" w:type="pct"/>
            <w:gridSpan w:val="2"/>
            <w:tcMar>
              <w:top w:w="15" w:type="dxa"/>
              <w:left w:w="108" w:type="dxa"/>
              <w:bottom w:w="0" w:type="dxa"/>
              <w:right w:w="108" w:type="dxa"/>
            </w:tcMar>
            <w:vAlign w:val="center"/>
          </w:tcPr>
          <w:p w14:paraId="3878398C" w14:textId="77777777" w:rsidR="004E65A9" w:rsidRPr="009422E4" w:rsidRDefault="004E65A9" w:rsidP="008600F3">
            <w:pPr>
              <w:pStyle w:val="Styletablebold"/>
              <w:jc w:val="center"/>
            </w:pPr>
            <w:r>
              <w:t>SPROUT</w:t>
            </w:r>
          </w:p>
        </w:tc>
      </w:tr>
      <w:tr w:rsidR="004E65A9" w:rsidRPr="007E5954" w14:paraId="31CEBE4C" w14:textId="77777777" w:rsidTr="008600F3">
        <w:trPr>
          <w:cantSplit/>
          <w:tblHeader/>
        </w:trPr>
        <w:tc>
          <w:tcPr>
            <w:tcW w:w="3069" w:type="pct"/>
            <w:tcMar>
              <w:top w:w="15" w:type="dxa"/>
              <w:left w:w="108" w:type="dxa"/>
              <w:bottom w:w="0" w:type="dxa"/>
              <w:right w:w="108" w:type="dxa"/>
            </w:tcMar>
            <w:hideMark/>
          </w:tcPr>
          <w:p w14:paraId="19276370" w14:textId="77777777" w:rsidR="004E65A9" w:rsidRPr="00FB1968" w:rsidRDefault="004E65A9" w:rsidP="008600F3">
            <w:pPr>
              <w:pStyle w:val="Styletablebold"/>
            </w:pPr>
            <w:r>
              <w:t>Endepunkt</w:t>
            </w:r>
            <w:r>
              <w:rPr>
                <w:vertAlign w:val="superscript"/>
              </w:rPr>
              <w:t>a</w:t>
            </w:r>
          </w:p>
        </w:tc>
        <w:tc>
          <w:tcPr>
            <w:tcW w:w="965" w:type="pct"/>
            <w:tcMar>
              <w:top w:w="15" w:type="dxa"/>
              <w:left w:w="108" w:type="dxa"/>
              <w:bottom w:w="0" w:type="dxa"/>
              <w:right w:w="108" w:type="dxa"/>
            </w:tcMar>
            <w:vAlign w:val="center"/>
            <w:hideMark/>
          </w:tcPr>
          <w:p w14:paraId="171E8141" w14:textId="77777777" w:rsidR="004E65A9" w:rsidRPr="00FB1968" w:rsidRDefault="004E65A9" w:rsidP="008600F3">
            <w:pPr>
              <w:pStyle w:val="Styletablebold"/>
              <w:tabs>
                <w:tab w:val="clear" w:pos="567"/>
              </w:tabs>
              <w:jc w:val="center"/>
            </w:pPr>
            <w:r>
              <w:t>Placebo</w:t>
            </w:r>
          </w:p>
        </w:tc>
        <w:tc>
          <w:tcPr>
            <w:tcW w:w="966" w:type="pct"/>
            <w:tcMar>
              <w:top w:w="15" w:type="dxa"/>
              <w:left w:w="108" w:type="dxa"/>
              <w:bottom w:w="0" w:type="dxa"/>
              <w:right w:w="108" w:type="dxa"/>
            </w:tcMar>
            <w:vAlign w:val="center"/>
            <w:hideMark/>
          </w:tcPr>
          <w:p w14:paraId="08514B9F" w14:textId="77777777" w:rsidR="004E65A9" w:rsidRPr="00FB1968" w:rsidRDefault="004E65A9" w:rsidP="008600F3">
            <w:pPr>
              <w:pStyle w:val="Styletablebold"/>
              <w:tabs>
                <w:tab w:val="clear" w:pos="567"/>
              </w:tabs>
              <w:jc w:val="center"/>
            </w:pPr>
            <w:r>
              <w:t>Apremilast</w:t>
            </w:r>
          </w:p>
        </w:tc>
      </w:tr>
      <w:tr w:rsidR="004E65A9" w:rsidRPr="007E5954" w14:paraId="5B6D8462" w14:textId="77777777" w:rsidTr="008600F3">
        <w:trPr>
          <w:cantSplit/>
        </w:trPr>
        <w:tc>
          <w:tcPr>
            <w:tcW w:w="3069" w:type="pct"/>
            <w:tcMar>
              <w:top w:w="15" w:type="dxa"/>
              <w:left w:w="108" w:type="dxa"/>
              <w:bottom w:w="0" w:type="dxa"/>
              <w:right w:w="108" w:type="dxa"/>
            </w:tcMar>
            <w:vAlign w:val="center"/>
            <w:hideMark/>
          </w:tcPr>
          <w:p w14:paraId="6367318A" w14:textId="77777777" w:rsidR="004E65A9" w:rsidRPr="00FB1968" w:rsidRDefault="004E65A9" w:rsidP="008600F3">
            <w:pPr>
              <w:pStyle w:val="Styletablebold"/>
            </w:pPr>
            <w:r>
              <w:t>Antall randomiserte pasienter</w:t>
            </w:r>
          </w:p>
        </w:tc>
        <w:tc>
          <w:tcPr>
            <w:tcW w:w="965" w:type="pct"/>
            <w:tcMar>
              <w:top w:w="15" w:type="dxa"/>
              <w:left w:w="108" w:type="dxa"/>
              <w:bottom w:w="0" w:type="dxa"/>
              <w:right w:w="108" w:type="dxa"/>
            </w:tcMar>
            <w:vAlign w:val="center"/>
            <w:hideMark/>
          </w:tcPr>
          <w:p w14:paraId="08E4635D" w14:textId="77777777" w:rsidR="004E65A9" w:rsidRPr="00FB1968" w:rsidRDefault="004E65A9" w:rsidP="008600F3">
            <w:pPr>
              <w:pStyle w:val="Styletablebold"/>
              <w:tabs>
                <w:tab w:val="clear" w:pos="567"/>
              </w:tabs>
              <w:jc w:val="center"/>
            </w:pPr>
            <w:r>
              <w:t>N = 82</w:t>
            </w:r>
          </w:p>
        </w:tc>
        <w:tc>
          <w:tcPr>
            <w:tcW w:w="966" w:type="pct"/>
            <w:tcMar>
              <w:top w:w="15" w:type="dxa"/>
              <w:left w:w="108" w:type="dxa"/>
              <w:bottom w:w="0" w:type="dxa"/>
              <w:right w:w="108" w:type="dxa"/>
            </w:tcMar>
            <w:vAlign w:val="center"/>
            <w:hideMark/>
          </w:tcPr>
          <w:p w14:paraId="3CC48D4C" w14:textId="77777777" w:rsidR="004E65A9" w:rsidRPr="00FB1968" w:rsidRDefault="004E65A9" w:rsidP="008600F3">
            <w:pPr>
              <w:pStyle w:val="Styletablebold"/>
              <w:tabs>
                <w:tab w:val="clear" w:pos="567"/>
              </w:tabs>
              <w:jc w:val="center"/>
            </w:pPr>
            <w:r>
              <w:t>N = 163</w:t>
            </w:r>
          </w:p>
        </w:tc>
      </w:tr>
      <w:tr w:rsidR="004E65A9" w:rsidRPr="007E5954" w14:paraId="7016C237" w14:textId="77777777" w:rsidTr="008600F3">
        <w:trPr>
          <w:cantSplit/>
        </w:trPr>
        <w:tc>
          <w:tcPr>
            <w:tcW w:w="3069" w:type="pct"/>
            <w:tcMar>
              <w:top w:w="15" w:type="dxa"/>
              <w:left w:w="108" w:type="dxa"/>
              <w:bottom w:w="0" w:type="dxa"/>
              <w:right w:w="108" w:type="dxa"/>
            </w:tcMar>
          </w:tcPr>
          <w:p w14:paraId="137C9366" w14:textId="77777777" w:rsidR="004E65A9" w:rsidRPr="007E5954" w:rsidRDefault="004E65A9" w:rsidP="008600F3">
            <w:pPr>
              <w:pStyle w:val="Styletabletext"/>
              <w:rPr>
                <w:vertAlign w:val="superscript"/>
              </w:rPr>
            </w:pPr>
            <w:r>
              <w:t>sPGA</w:t>
            </w:r>
            <w:r>
              <w:noBreakHyphen/>
              <w:t>respons</w:t>
            </w:r>
            <w:r>
              <w:rPr>
                <w:vertAlign w:val="superscript"/>
              </w:rPr>
              <w:t>b</w:t>
            </w:r>
          </w:p>
        </w:tc>
        <w:tc>
          <w:tcPr>
            <w:tcW w:w="965" w:type="pct"/>
            <w:tcMar>
              <w:top w:w="15" w:type="dxa"/>
              <w:left w:w="108" w:type="dxa"/>
              <w:bottom w:w="0" w:type="dxa"/>
              <w:right w:w="108" w:type="dxa"/>
            </w:tcMar>
          </w:tcPr>
          <w:p w14:paraId="2D2F63D5" w14:textId="77777777" w:rsidR="004E65A9" w:rsidRPr="007E5954" w:rsidRDefault="004E65A9" w:rsidP="008600F3">
            <w:pPr>
              <w:pStyle w:val="Styletabletext"/>
              <w:tabs>
                <w:tab w:val="clear" w:pos="567"/>
              </w:tabs>
              <w:ind w:left="0"/>
              <w:jc w:val="center"/>
            </w:pPr>
            <w:r>
              <w:t>11,5 %</w:t>
            </w:r>
          </w:p>
        </w:tc>
        <w:tc>
          <w:tcPr>
            <w:tcW w:w="966" w:type="pct"/>
            <w:tcMar>
              <w:top w:w="15" w:type="dxa"/>
              <w:left w:w="108" w:type="dxa"/>
              <w:bottom w:w="0" w:type="dxa"/>
              <w:right w:w="108" w:type="dxa"/>
            </w:tcMar>
          </w:tcPr>
          <w:p w14:paraId="0E15A990" w14:textId="77777777" w:rsidR="004E65A9" w:rsidRPr="007E5954" w:rsidRDefault="004E65A9" w:rsidP="008600F3">
            <w:pPr>
              <w:pStyle w:val="Styletabletext"/>
              <w:tabs>
                <w:tab w:val="clear" w:pos="567"/>
              </w:tabs>
              <w:ind w:left="0"/>
              <w:jc w:val="center"/>
            </w:pPr>
            <w:r>
              <w:t>33,1 %</w:t>
            </w:r>
          </w:p>
        </w:tc>
      </w:tr>
      <w:tr w:rsidR="004E65A9" w:rsidRPr="007E5954" w14:paraId="184D4126" w14:textId="77777777" w:rsidTr="008600F3">
        <w:trPr>
          <w:cantSplit/>
        </w:trPr>
        <w:tc>
          <w:tcPr>
            <w:tcW w:w="3069" w:type="pct"/>
            <w:tcMar>
              <w:top w:w="15" w:type="dxa"/>
              <w:left w:w="108" w:type="dxa"/>
              <w:bottom w:w="0" w:type="dxa"/>
              <w:right w:w="108" w:type="dxa"/>
            </w:tcMar>
          </w:tcPr>
          <w:p w14:paraId="3425AE12" w14:textId="77777777" w:rsidR="004E65A9" w:rsidRPr="007E5954" w:rsidRDefault="004E65A9" w:rsidP="008600F3">
            <w:pPr>
              <w:pStyle w:val="Styletabletext"/>
            </w:pPr>
            <w:r>
              <w:t>PASI</w:t>
            </w:r>
            <w:r>
              <w:noBreakHyphen/>
              <w:t>75</w:t>
            </w:r>
            <w:r>
              <w:noBreakHyphen/>
              <w:t>respons</w:t>
            </w:r>
            <w:r>
              <w:rPr>
                <w:vertAlign w:val="superscript"/>
              </w:rPr>
              <w:t>b</w:t>
            </w:r>
          </w:p>
        </w:tc>
        <w:tc>
          <w:tcPr>
            <w:tcW w:w="965" w:type="pct"/>
            <w:tcMar>
              <w:top w:w="15" w:type="dxa"/>
              <w:left w:w="108" w:type="dxa"/>
              <w:bottom w:w="0" w:type="dxa"/>
              <w:right w:w="108" w:type="dxa"/>
            </w:tcMar>
          </w:tcPr>
          <w:p w14:paraId="2493A635" w14:textId="77777777" w:rsidR="004E65A9" w:rsidRPr="007E5954" w:rsidRDefault="004E65A9" w:rsidP="008600F3">
            <w:pPr>
              <w:pStyle w:val="Styletabletext"/>
              <w:tabs>
                <w:tab w:val="clear" w:pos="567"/>
              </w:tabs>
              <w:ind w:left="0"/>
              <w:jc w:val="center"/>
            </w:pPr>
            <w:r>
              <w:t>16,1 %</w:t>
            </w:r>
          </w:p>
        </w:tc>
        <w:tc>
          <w:tcPr>
            <w:tcW w:w="966" w:type="pct"/>
            <w:tcMar>
              <w:top w:w="15" w:type="dxa"/>
              <w:left w:w="108" w:type="dxa"/>
              <w:bottom w:w="0" w:type="dxa"/>
              <w:right w:w="108" w:type="dxa"/>
            </w:tcMar>
          </w:tcPr>
          <w:p w14:paraId="4F5C0589" w14:textId="77777777" w:rsidR="004E65A9" w:rsidRPr="007E5954" w:rsidRDefault="004E65A9" w:rsidP="008600F3">
            <w:pPr>
              <w:pStyle w:val="Styletabletext"/>
              <w:tabs>
                <w:tab w:val="clear" w:pos="567"/>
              </w:tabs>
              <w:ind w:left="0"/>
              <w:jc w:val="center"/>
            </w:pPr>
            <w:r>
              <w:t>45,4 %</w:t>
            </w:r>
          </w:p>
        </w:tc>
      </w:tr>
      <w:tr w:rsidR="004E65A9" w:rsidRPr="007E5954" w14:paraId="4E1A99A4" w14:textId="77777777" w:rsidTr="008600F3">
        <w:trPr>
          <w:cantSplit/>
        </w:trPr>
        <w:tc>
          <w:tcPr>
            <w:tcW w:w="3069" w:type="pct"/>
            <w:tcMar>
              <w:top w:w="15" w:type="dxa"/>
              <w:left w:w="108" w:type="dxa"/>
              <w:bottom w:w="0" w:type="dxa"/>
              <w:right w:w="108" w:type="dxa"/>
            </w:tcMar>
          </w:tcPr>
          <w:p w14:paraId="66C90341" w14:textId="77777777" w:rsidR="004E65A9" w:rsidRPr="007E5954" w:rsidRDefault="004E65A9" w:rsidP="008600F3">
            <w:pPr>
              <w:pStyle w:val="Styletabletext"/>
              <w:rPr>
                <w:rFonts w:eastAsia="MS Mincho"/>
                <w:iCs/>
              </w:rPr>
            </w:pPr>
            <w:r>
              <w:t>PASI</w:t>
            </w:r>
            <w:r>
              <w:noBreakHyphen/>
              <w:t>50</w:t>
            </w:r>
            <w:r>
              <w:noBreakHyphen/>
              <w:t>respons</w:t>
            </w:r>
            <w:r>
              <w:rPr>
                <w:vertAlign w:val="superscript"/>
              </w:rPr>
              <w:t>b</w:t>
            </w:r>
          </w:p>
        </w:tc>
        <w:tc>
          <w:tcPr>
            <w:tcW w:w="965" w:type="pct"/>
            <w:tcMar>
              <w:top w:w="15" w:type="dxa"/>
              <w:left w:w="108" w:type="dxa"/>
              <w:bottom w:w="0" w:type="dxa"/>
              <w:right w:w="108" w:type="dxa"/>
            </w:tcMar>
          </w:tcPr>
          <w:p w14:paraId="488EB426" w14:textId="77777777" w:rsidR="004E65A9" w:rsidRPr="007E5954" w:rsidRDefault="004E65A9" w:rsidP="008600F3">
            <w:pPr>
              <w:pStyle w:val="Styletabletext"/>
              <w:tabs>
                <w:tab w:val="clear" w:pos="567"/>
              </w:tabs>
              <w:ind w:left="0"/>
              <w:jc w:val="center"/>
            </w:pPr>
            <w:r>
              <w:t>32,1 %</w:t>
            </w:r>
          </w:p>
        </w:tc>
        <w:tc>
          <w:tcPr>
            <w:tcW w:w="966" w:type="pct"/>
            <w:tcMar>
              <w:top w:w="15" w:type="dxa"/>
              <w:left w:w="108" w:type="dxa"/>
              <w:bottom w:w="0" w:type="dxa"/>
              <w:right w:w="108" w:type="dxa"/>
            </w:tcMar>
          </w:tcPr>
          <w:p w14:paraId="25A1DFFC" w14:textId="77777777" w:rsidR="004E65A9" w:rsidRPr="007E5954" w:rsidRDefault="004E65A9" w:rsidP="008600F3">
            <w:pPr>
              <w:pStyle w:val="Styletabletext"/>
              <w:tabs>
                <w:tab w:val="clear" w:pos="567"/>
              </w:tabs>
              <w:ind w:left="0"/>
              <w:jc w:val="center"/>
            </w:pPr>
            <w:r>
              <w:t>70,5 %</w:t>
            </w:r>
          </w:p>
        </w:tc>
      </w:tr>
      <w:tr w:rsidR="004E65A9" w:rsidRPr="007E5954" w14:paraId="4BF03D2F" w14:textId="77777777" w:rsidTr="008600F3">
        <w:trPr>
          <w:cantSplit/>
        </w:trPr>
        <w:tc>
          <w:tcPr>
            <w:tcW w:w="3069" w:type="pct"/>
            <w:tcMar>
              <w:top w:w="15" w:type="dxa"/>
              <w:left w:w="108" w:type="dxa"/>
              <w:bottom w:w="0" w:type="dxa"/>
              <w:right w:w="108" w:type="dxa"/>
            </w:tcMar>
          </w:tcPr>
          <w:p w14:paraId="6D851346" w14:textId="77777777" w:rsidR="004E65A9" w:rsidRPr="007E5954" w:rsidRDefault="004E65A9" w:rsidP="008600F3">
            <w:pPr>
              <w:pStyle w:val="Styletabletext"/>
              <w:rPr>
                <w:rFonts w:eastAsia="MS Mincho"/>
                <w:iCs/>
              </w:rPr>
            </w:pPr>
            <w:r>
              <w:t>PASI</w:t>
            </w:r>
            <w:r>
              <w:noBreakHyphen/>
              <w:t>90</w:t>
            </w:r>
            <w:r>
              <w:noBreakHyphen/>
              <w:t>respons</w:t>
            </w:r>
            <w:r>
              <w:rPr>
                <w:vertAlign w:val="superscript"/>
              </w:rPr>
              <w:t>b</w:t>
            </w:r>
          </w:p>
        </w:tc>
        <w:tc>
          <w:tcPr>
            <w:tcW w:w="965" w:type="pct"/>
            <w:tcMar>
              <w:top w:w="15" w:type="dxa"/>
              <w:left w:w="108" w:type="dxa"/>
              <w:bottom w:w="0" w:type="dxa"/>
              <w:right w:w="108" w:type="dxa"/>
            </w:tcMar>
          </w:tcPr>
          <w:p w14:paraId="25415772" w14:textId="77777777" w:rsidR="004E65A9" w:rsidRPr="007E5954" w:rsidRDefault="004E65A9" w:rsidP="008600F3">
            <w:pPr>
              <w:pStyle w:val="Styletabletext"/>
              <w:tabs>
                <w:tab w:val="clear" w:pos="567"/>
              </w:tabs>
              <w:ind w:left="0"/>
              <w:jc w:val="center"/>
            </w:pPr>
            <w:r>
              <w:t>4,9 %</w:t>
            </w:r>
          </w:p>
        </w:tc>
        <w:tc>
          <w:tcPr>
            <w:tcW w:w="966" w:type="pct"/>
            <w:tcMar>
              <w:top w:w="15" w:type="dxa"/>
              <w:left w:w="108" w:type="dxa"/>
              <w:bottom w:w="0" w:type="dxa"/>
              <w:right w:w="108" w:type="dxa"/>
            </w:tcMar>
          </w:tcPr>
          <w:p w14:paraId="56C4835C" w14:textId="77777777" w:rsidR="004E65A9" w:rsidRPr="007E5954" w:rsidRDefault="004E65A9" w:rsidP="008600F3">
            <w:pPr>
              <w:pStyle w:val="Styletabletext"/>
              <w:tabs>
                <w:tab w:val="clear" w:pos="567"/>
              </w:tabs>
              <w:ind w:left="0"/>
              <w:jc w:val="center"/>
            </w:pPr>
            <w:r>
              <w:t>25,2 %</w:t>
            </w:r>
          </w:p>
        </w:tc>
      </w:tr>
      <w:tr w:rsidR="004E65A9" w:rsidRPr="007E5954" w14:paraId="7B45A3C9" w14:textId="77777777" w:rsidTr="008600F3">
        <w:trPr>
          <w:cantSplit/>
        </w:trPr>
        <w:tc>
          <w:tcPr>
            <w:tcW w:w="3069" w:type="pct"/>
            <w:tcMar>
              <w:top w:w="15" w:type="dxa"/>
              <w:left w:w="108" w:type="dxa"/>
              <w:bottom w:w="0" w:type="dxa"/>
              <w:right w:w="108" w:type="dxa"/>
            </w:tcMar>
          </w:tcPr>
          <w:p w14:paraId="5A6808F7" w14:textId="77777777" w:rsidR="004E65A9" w:rsidRPr="007E5954" w:rsidRDefault="004E65A9" w:rsidP="008600F3">
            <w:pPr>
              <w:pStyle w:val="Styletabletext"/>
              <w:rPr>
                <w:rFonts w:eastAsia="MS Mincho"/>
                <w:iCs/>
                <w:vertAlign w:val="superscript"/>
              </w:rPr>
            </w:pPr>
            <w:r>
              <w:t>Prosentvis endring fra baseline i påvirket BSA</w:t>
            </w:r>
            <w:r>
              <w:rPr>
                <w:vertAlign w:val="superscript"/>
              </w:rPr>
              <w:t>c</w:t>
            </w:r>
          </w:p>
        </w:tc>
        <w:tc>
          <w:tcPr>
            <w:tcW w:w="965" w:type="pct"/>
            <w:tcMar>
              <w:top w:w="15" w:type="dxa"/>
              <w:left w:w="108" w:type="dxa"/>
              <w:bottom w:w="0" w:type="dxa"/>
              <w:right w:w="108" w:type="dxa"/>
            </w:tcMar>
          </w:tcPr>
          <w:p w14:paraId="642CE437" w14:textId="77777777" w:rsidR="004E65A9" w:rsidRPr="007E5954" w:rsidRDefault="004E65A9" w:rsidP="008600F3">
            <w:pPr>
              <w:pStyle w:val="Styletabletext"/>
              <w:tabs>
                <w:tab w:val="clear" w:pos="567"/>
              </w:tabs>
              <w:ind w:left="0"/>
              <w:jc w:val="center"/>
            </w:pPr>
            <w:r>
              <w:t>-21,82 ± 5,104</w:t>
            </w:r>
          </w:p>
        </w:tc>
        <w:tc>
          <w:tcPr>
            <w:tcW w:w="966" w:type="pct"/>
            <w:tcMar>
              <w:top w:w="15" w:type="dxa"/>
              <w:left w:w="108" w:type="dxa"/>
              <w:bottom w:w="0" w:type="dxa"/>
              <w:right w:w="108" w:type="dxa"/>
            </w:tcMar>
          </w:tcPr>
          <w:p w14:paraId="293BEED1" w14:textId="77777777" w:rsidR="004E65A9" w:rsidRPr="007E5954" w:rsidRDefault="004E65A9" w:rsidP="008600F3">
            <w:pPr>
              <w:pStyle w:val="Styletabletext"/>
              <w:tabs>
                <w:tab w:val="clear" w:pos="567"/>
              </w:tabs>
              <w:ind w:left="0"/>
              <w:jc w:val="center"/>
            </w:pPr>
            <w:r>
              <w:t>-56,59 ± 3,558</w:t>
            </w:r>
          </w:p>
        </w:tc>
      </w:tr>
      <w:tr w:rsidR="004E65A9" w:rsidRPr="007E5954" w14:paraId="64005C91" w14:textId="77777777" w:rsidTr="008600F3">
        <w:trPr>
          <w:cantSplit/>
        </w:trPr>
        <w:tc>
          <w:tcPr>
            <w:tcW w:w="3069" w:type="pct"/>
            <w:tcMar>
              <w:top w:w="15" w:type="dxa"/>
              <w:left w:w="108" w:type="dxa"/>
              <w:bottom w:w="0" w:type="dxa"/>
              <w:right w:w="108" w:type="dxa"/>
            </w:tcMar>
          </w:tcPr>
          <w:p w14:paraId="39A94A62" w14:textId="77777777" w:rsidR="004E65A9" w:rsidRPr="007E5954" w:rsidRDefault="004E65A9" w:rsidP="008600F3">
            <w:pPr>
              <w:pStyle w:val="Styletabletext"/>
              <w:rPr>
                <w:rFonts w:eastAsia="MS Mincho"/>
                <w:iCs/>
              </w:rPr>
            </w:pPr>
            <w:r>
              <w:t>Endring fra baseline i CDLQI</w:t>
            </w:r>
            <w:r>
              <w:noBreakHyphen/>
              <w:t>skår</w:t>
            </w:r>
            <w:r>
              <w:rPr>
                <w:vertAlign w:val="superscript"/>
              </w:rPr>
              <w:t>c, d</w:t>
            </w:r>
          </w:p>
        </w:tc>
        <w:tc>
          <w:tcPr>
            <w:tcW w:w="965" w:type="pct"/>
            <w:tcMar>
              <w:top w:w="15" w:type="dxa"/>
              <w:left w:w="108" w:type="dxa"/>
              <w:bottom w:w="0" w:type="dxa"/>
              <w:right w:w="108" w:type="dxa"/>
            </w:tcMar>
          </w:tcPr>
          <w:p w14:paraId="2E976EE4" w14:textId="77777777" w:rsidR="004E65A9" w:rsidRPr="007E5954" w:rsidRDefault="004E65A9" w:rsidP="008600F3">
            <w:pPr>
              <w:pStyle w:val="Styletabletext"/>
              <w:tabs>
                <w:tab w:val="clear" w:pos="567"/>
              </w:tabs>
              <w:ind w:left="0"/>
              <w:jc w:val="center"/>
            </w:pPr>
            <w:r>
              <w:t>-3,2 ± 0,45</w:t>
            </w:r>
          </w:p>
        </w:tc>
        <w:tc>
          <w:tcPr>
            <w:tcW w:w="966" w:type="pct"/>
            <w:tcMar>
              <w:top w:w="15" w:type="dxa"/>
              <w:left w:w="108" w:type="dxa"/>
              <w:bottom w:w="0" w:type="dxa"/>
              <w:right w:w="108" w:type="dxa"/>
            </w:tcMar>
          </w:tcPr>
          <w:p w14:paraId="0285D9C7" w14:textId="77777777" w:rsidR="004E65A9" w:rsidRPr="007E5954" w:rsidRDefault="004E65A9" w:rsidP="008600F3">
            <w:pPr>
              <w:pStyle w:val="Styletabletext"/>
              <w:tabs>
                <w:tab w:val="clear" w:pos="567"/>
              </w:tabs>
              <w:ind w:left="0"/>
              <w:jc w:val="center"/>
            </w:pPr>
            <w:r>
              <w:t>-5,1 ± 0,31</w:t>
            </w:r>
          </w:p>
        </w:tc>
      </w:tr>
      <w:tr w:rsidR="004E65A9" w:rsidRPr="00FB1968" w14:paraId="79C8D9D1" w14:textId="77777777" w:rsidTr="008600F3">
        <w:trPr>
          <w:cantSplit/>
        </w:trPr>
        <w:tc>
          <w:tcPr>
            <w:tcW w:w="3069" w:type="pct"/>
            <w:tcMar>
              <w:top w:w="15" w:type="dxa"/>
              <w:left w:w="108" w:type="dxa"/>
              <w:bottom w:w="0" w:type="dxa"/>
              <w:right w:w="108" w:type="dxa"/>
            </w:tcMar>
          </w:tcPr>
          <w:p w14:paraId="7CEC0622" w14:textId="77777777" w:rsidR="004E65A9" w:rsidRPr="00FB1968" w:rsidRDefault="004E65A9" w:rsidP="008600F3">
            <w:pPr>
              <w:pStyle w:val="Styletablebold"/>
              <w:rPr>
                <w:rFonts w:eastAsia="MS Mincho"/>
              </w:rPr>
            </w:pPr>
            <w:r>
              <w:t>Antall forsøkspersoner med baseline CDLQI</w:t>
            </w:r>
            <w:r>
              <w:noBreakHyphen/>
              <w:t>score ≥ 2</w:t>
            </w:r>
          </w:p>
        </w:tc>
        <w:tc>
          <w:tcPr>
            <w:tcW w:w="965" w:type="pct"/>
            <w:tcMar>
              <w:top w:w="15" w:type="dxa"/>
              <w:left w:w="108" w:type="dxa"/>
              <w:bottom w:w="0" w:type="dxa"/>
              <w:right w:w="108" w:type="dxa"/>
            </w:tcMar>
            <w:vAlign w:val="center"/>
          </w:tcPr>
          <w:p w14:paraId="05B446EF" w14:textId="77777777" w:rsidR="004E65A9" w:rsidRPr="00FB1968" w:rsidRDefault="004E65A9" w:rsidP="008600F3">
            <w:pPr>
              <w:pStyle w:val="Styletablebold"/>
              <w:tabs>
                <w:tab w:val="clear" w:pos="567"/>
              </w:tabs>
              <w:jc w:val="center"/>
            </w:pPr>
            <w:r>
              <w:t>N = 76</w:t>
            </w:r>
          </w:p>
        </w:tc>
        <w:tc>
          <w:tcPr>
            <w:tcW w:w="966" w:type="pct"/>
            <w:tcMar>
              <w:top w:w="15" w:type="dxa"/>
              <w:left w:w="108" w:type="dxa"/>
              <w:bottom w:w="0" w:type="dxa"/>
              <w:right w:w="108" w:type="dxa"/>
            </w:tcMar>
            <w:vAlign w:val="center"/>
          </w:tcPr>
          <w:p w14:paraId="7011E69C" w14:textId="77777777" w:rsidR="004E65A9" w:rsidRPr="00FB1968" w:rsidRDefault="004E65A9" w:rsidP="008600F3">
            <w:pPr>
              <w:pStyle w:val="Styletablebold"/>
              <w:tabs>
                <w:tab w:val="clear" w:pos="567"/>
              </w:tabs>
              <w:jc w:val="center"/>
            </w:pPr>
            <w:r>
              <w:t>N = 148</w:t>
            </w:r>
          </w:p>
        </w:tc>
      </w:tr>
      <w:tr w:rsidR="004E65A9" w:rsidRPr="001B0F59" w14:paraId="5FCE172E" w14:textId="77777777" w:rsidTr="008600F3">
        <w:trPr>
          <w:cantSplit/>
        </w:trPr>
        <w:tc>
          <w:tcPr>
            <w:tcW w:w="3069" w:type="pct"/>
            <w:tcMar>
              <w:top w:w="15" w:type="dxa"/>
              <w:left w:w="108" w:type="dxa"/>
              <w:bottom w:w="0" w:type="dxa"/>
              <w:right w:w="108" w:type="dxa"/>
            </w:tcMar>
            <w:vAlign w:val="center"/>
          </w:tcPr>
          <w:p w14:paraId="29591D8A" w14:textId="77777777" w:rsidR="004E65A9" w:rsidRPr="009E0E74" w:rsidRDefault="004E65A9" w:rsidP="008600F3">
            <w:pPr>
              <w:pStyle w:val="Styletabletext"/>
              <w:rPr>
                <w:rFonts w:eastAsia="MS Mincho"/>
              </w:rPr>
            </w:pPr>
            <w:r>
              <w:t>CDLQI</w:t>
            </w:r>
            <w:r>
              <w:noBreakHyphen/>
              <w:t>respons</w:t>
            </w:r>
            <w:r>
              <w:rPr>
                <w:vertAlign w:val="superscript"/>
              </w:rPr>
              <w:t>b</w:t>
            </w:r>
          </w:p>
        </w:tc>
        <w:tc>
          <w:tcPr>
            <w:tcW w:w="965" w:type="pct"/>
            <w:tcMar>
              <w:top w:w="15" w:type="dxa"/>
              <w:left w:w="108" w:type="dxa"/>
              <w:bottom w:w="0" w:type="dxa"/>
              <w:right w:w="108" w:type="dxa"/>
            </w:tcMar>
          </w:tcPr>
          <w:p w14:paraId="5ACEFF4A" w14:textId="77777777" w:rsidR="004E65A9" w:rsidRPr="007E5954" w:rsidRDefault="004E65A9" w:rsidP="008600F3">
            <w:pPr>
              <w:pStyle w:val="Styletabletext"/>
              <w:tabs>
                <w:tab w:val="clear" w:pos="567"/>
              </w:tabs>
              <w:ind w:left="0"/>
              <w:jc w:val="center"/>
            </w:pPr>
            <w:r>
              <w:t>31,3 %</w:t>
            </w:r>
          </w:p>
        </w:tc>
        <w:tc>
          <w:tcPr>
            <w:tcW w:w="966" w:type="pct"/>
            <w:tcMar>
              <w:top w:w="15" w:type="dxa"/>
              <w:left w:w="108" w:type="dxa"/>
              <w:bottom w:w="0" w:type="dxa"/>
              <w:right w:w="108" w:type="dxa"/>
            </w:tcMar>
          </w:tcPr>
          <w:p w14:paraId="522490A6" w14:textId="77777777" w:rsidR="004E65A9" w:rsidRPr="007E5954" w:rsidRDefault="004E65A9" w:rsidP="008600F3">
            <w:pPr>
              <w:pStyle w:val="Styletabletext"/>
              <w:tabs>
                <w:tab w:val="clear" w:pos="567"/>
              </w:tabs>
              <w:ind w:left="0"/>
              <w:jc w:val="center"/>
            </w:pPr>
            <w:r>
              <w:t>35,4 %</w:t>
            </w:r>
          </w:p>
        </w:tc>
      </w:tr>
    </w:tbl>
    <w:p w14:paraId="005C289D" w14:textId="77777777" w:rsidR="004E65A9" w:rsidRPr="005531F1" w:rsidRDefault="004E65A9" w:rsidP="003F09AA">
      <w:pPr>
        <w:pStyle w:val="Styletablenote"/>
      </w:pPr>
      <w:r>
        <w:t>BSA = kroppsareal: CDLQI = dermatologisk livskvalitetsindeks for barn; ITT = med hensikt å behandle; PASI = psoriasisområde og alvorlighetsgradsindeks; sPGA = statisk total legeevaluering;</w:t>
      </w:r>
    </w:p>
    <w:p w14:paraId="6A8ECDE6" w14:textId="77777777" w:rsidR="004E65A9" w:rsidRPr="005531F1" w:rsidRDefault="004E65A9" w:rsidP="003F09AA">
      <w:pPr>
        <w:pStyle w:val="Styletablenote"/>
        <w:tabs>
          <w:tab w:val="clear" w:pos="567"/>
          <w:tab w:val="left" w:pos="284"/>
        </w:tabs>
        <w:ind w:left="284" w:hanging="284"/>
      </w:pPr>
      <w:r>
        <w:rPr>
          <w:vertAlign w:val="superscript"/>
        </w:rPr>
        <w:t>a</w:t>
      </w:r>
      <w:r>
        <w:tab/>
        <w:t>Apremilast 20 eller 30 mg to ganger daglig vs. placebo i uke 16; p</w:t>
      </w:r>
      <w:r>
        <w:noBreakHyphen/>
        <w:t>verdi &lt; 0,0001 for sPGA</w:t>
      </w:r>
      <w:r>
        <w:noBreakHyphen/>
        <w:t>respons og PASI</w:t>
      </w:r>
      <w:r>
        <w:noBreakHyphen/>
        <w:t>75</w:t>
      </w:r>
      <w:r>
        <w:noBreakHyphen/>
        <w:t>respons, nominell p</w:t>
      </w:r>
      <w:r>
        <w:noBreakHyphen/>
        <w:t>verdi &lt; 0,01 for alle andre endepunkter unntatt CDLQI</w:t>
      </w:r>
      <w:r>
        <w:noBreakHyphen/>
        <w:t>respons (nominell p</w:t>
      </w:r>
      <w:r>
        <w:noBreakHyphen/>
        <w:t>verdi 0,5616)</w:t>
      </w:r>
    </w:p>
    <w:p w14:paraId="037DD99C" w14:textId="77777777" w:rsidR="004E65A9" w:rsidRPr="005531F1" w:rsidRDefault="004E65A9" w:rsidP="003F09AA">
      <w:pPr>
        <w:pStyle w:val="Styletablenote"/>
        <w:tabs>
          <w:tab w:val="clear" w:pos="567"/>
          <w:tab w:val="left" w:pos="284"/>
        </w:tabs>
        <w:ind w:left="284" w:hanging="284"/>
      </w:pPr>
      <w:r>
        <w:rPr>
          <w:vertAlign w:val="superscript"/>
        </w:rPr>
        <w:t>b</w:t>
      </w:r>
      <w:r>
        <w:tab/>
        <w:t>Andel av forsøkspersonene som oppnådde responsen</w:t>
      </w:r>
    </w:p>
    <w:p w14:paraId="0E11EA80" w14:textId="77777777" w:rsidR="004E65A9" w:rsidRPr="005531F1" w:rsidRDefault="004E65A9" w:rsidP="003F09AA">
      <w:pPr>
        <w:pStyle w:val="Styletablenote"/>
        <w:tabs>
          <w:tab w:val="clear" w:pos="567"/>
          <w:tab w:val="left" w:pos="284"/>
        </w:tabs>
        <w:ind w:left="284" w:hanging="284"/>
      </w:pPr>
      <w:r>
        <w:rPr>
          <w:vertAlign w:val="superscript"/>
        </w:rPr>
        <w:t>c</w:t>
      </w:r>
      <w:r>
        <w:tab/>
        <w:t>Minste kvadraters gjennomsnitt +/- standardfeil</w:t>
      </w:r>
    </w:p>
    <w:p w14:paraId="605DE626" w14:textId="77777777" w:rsidR="004E65A9" w:rsidRPr="005531F1" w:rsidRDefault="004E65A9" w:rsidP="003F09AA">
      <w:pPr>
        <w:pStyle w:val="Styletablenote"/>
        <w:tabs>
          <w:tab w:val="clear" w:pos="567"/>
          <w:tab w:val="left" w:pos="284"/>
        </w:tabs>
        <w:ind w:left="284" w:hanging="284"/>
      </w:pPr>
      <w:r>
        <w:rPr>
          <w:vertAlign w:val="superscript"/>
        </w:rPr>
        <w:t>d</w:t>
      </w:r>
      <w:r>
        <w:tab/>
        <w:t>0 = beste skår, 30 = dårligste skår</w:t>
      </w:r>
    </w:p>
    <w:p w14:paraId="0D531BBF" w14:textId="77777777" w:rsidR="004E65A9" w:rsidRDefault="004E65A9" w:rsidP="003F09AA"/>
    <w:p w14:paraId="485C1CFE" w14:textId="77777777" w:rsidR="004E65A9" w:rsidRDefault="004E65A9" w:rsidP="003F09AA">
      <w:r>
        <w:t>Den gjennomsnittlige prosentvise endringen fra baseline i total PASI</w:t>
      </w:r>
      <w:r>
        <w:noBreakHyphen/>
        <w:t>skår hos apremilastbehandlede og placebobehandlede forsøkspersoner i den placebokontrollerte fasen er vist på figur 2.</w:t>
      </w:r>
    </w:p>
    <w:p w14:paraId="10D1155E" w14:textId="77777777" w:rsidR="004E65A9" w:rsidRDefault="004E65A9" w:rsidP="003F09AA"/>
    <w:p w14:paraId="402D6980" w14:textId="720988E0" w:rsidR="004E65A9" w:rsidRPr="003E6614" w:rsidRDefault="00963757" w:rsidP="003F09AA">
      <w:pPr>
        <w:pStyle w:val="Stylebold"/>
      </w:pPr>
      <w:r>
        <w:rPr>
          <w:noProof/>
        </w:rPr>
        <w:lastRenderedPageBreak/>
        <w:pict w14:anchorId="2484608A">
          <v:group id="Group 172" o:spid="_x0000_s2067" style="position:absolute;margin-left:-3.3pt;margin-top:10.45pt;width:499.9pt;height:251.8pt;z-index:251657216" coordorigin="1352,1343" coordsize="9998,5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">
            <v:shape id="Text Box 149" o:spid="_x0000_s2068" type="#_x0000_t202" style="position:absolute;left:3936;top:5283;width:4842;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" filled="f" stroked="f">
              <v:textbox inset="0,0,0,0">
                <w:txbxContent>
                  <w:p w14:paraId="381DEC7C" w14:textId="77777777" w:rsidR="004E65A9" w:rsidRDefault="004E65A9" w:rsidP="003F09AA">
                    <w:pPr>
                      <w:pStyle w:val="StyleArialNarrow8pts"/>
                      <w:jc w:val="center"/>
                    </w:pPr>
                    <w:r>
                      <w:t>Uker</w:t>
                    </w:r>
                  </w:p>
                  <w:p w14:paraId="6F063094" w14:textId="77777777" w:rsidR="004E65A9" w:rsidRPr="00C80DE0" w:rsidRDefault="004E65A9" w:rsidP="003F09AA">
                    <w:pPr>
                      <w:pStyle w:val="StyleArialNarrow8pts"/>
                      <w:jc w:val="center"/>
                      <w:rPr>
                        <w:lang w:val="es-ES"/>
                      </w:rPr>
                    </w:pPr>
                  </w:p>
                </w:txbxContent>
              </v:textbox>
            </v:shape>
            <v:group id="Group 171" o:spid="_x0000_s2069" style="position:absolute;left:1352;top:1343;width:9998;height:5036" coordorigin="1352,1343" coordsize="9998,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">
              <v:shape id="Text Box 151" o:spid="_x0000_s2070" type="#_x0000_t202" style="position:absolute;left:1442;top:1343;width:433;height:4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" filled="f" stroked="f" strokecolor="white" strokeweight="0">
                <v:textbox style="layout-flow:vertical;mso-layout-flow-alt:bottom-to-top;mso-fit-shape-to-text:t" inset=".5mm,.5mm,.5mm,.5mm">
                  <w:txbxContent>
                    <w:p w14:paraId="5B828E4E" w14:textId="77777777" w:rsidR="004E65A9" w:rsidRDefault="004E65A9" w:rsidP="003F09AA">
                      <w:pPr>
                        <w:pStyle w:val="StyleArialNarrow8pts"/>
                        <w:jc w:val="center"/>
                      </w:pPr>
                      <w:r>
                        <w:t>Gjennomsnittlig prosentvis endring +/- SE(%)</w:t>
                      </w:r>
                    </w:p>
                    <w:p w14:paraId="3A9A3FF2" w14:textId="77777777" w:rsidR="004E65A9" w:rsidRPr="00125A10" w:rsidRDefault="004E65A9" w:rsidP="003F09AA">
                      <w:pPr>
                        <w:pStyle w:val="StyleArialNarrow8pts"/>
                        <w:jc w:val="center"/>
                        <w:rPr>
                          <w:lang w:val="es-ES"/>
                        </w:rPr>
                      </w:pPr>
                    </w:p>
                  </w:txbxContent>
                </v:textbox>
              </v:shape>
              <v:shape id="Text Box 104" o:spid="_x0000_s2071" type="#_x0000_t202" style="position:absolute;left:1352;top:5496;width:9998;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" filled="f" stroked="f" strokecolor="white" strokeweight="0">
                <v:textbox inset="0,0,0,0">
                  <w:txbxContent>
                    <w:tbl>
                      <w:tblPr>
                        <w:tblW w:w="0" w:type="auto"/>
                        <w:tblLook w:val="04A0" w:firstRow="1" w:lastRow="0" w:firstColumn="1" w:lastColumn="0" w:noHBand="0" w:noVBand="1"/>
                      </w:tblPr>
                      <w:tblGrid>
                        <w:gridCol w:w="850"/>
                        <w:gridCol w:w="1928"/>
                        <w:gridCol w:w="1441"/>
                        <w:gridCol w:w="1450"/>
                        <w:gridCol w:w="1984"/>
                        <w:gridCol w:w="1871"/>
                      </w:tblGrid>
                      <w:tr w:rsidR="004E65A9" w14:paraId="443F8563" w14:textId="77777777">
                        <w:trPr>
                          <w:trHeight w:val="170"/>
                        </w:trPr>
                        <w:tc>
                          <w:tcPr>
                            <w:tcW w:w="850" w:type="dxa"/>
                            <w:vAlign w:val="center"/>
                          </w:tcPr>
                          <w:p w14:paraId="4A93F92F" w14:textId="77777777" w:rsidR="004E65A9" w:rsidRDefault="004E65A9">
                            <w:pPr>
                              <w:pStyle w:val="StyleArialNarrow8pts"/>
                              <w:jc w:val="right"/>
                            </w:pPr>
                            <w:r>
                              <w:t>Placebo</w:t>
                            </w:r>
                          </w:p>
                        </w:tc>
                        <w:tc>
                          <w:tcPr>
                            <w:tcW w:w="1928" w:type="dxa"/>
                            <w:vAlign w:val="center"/>
                          </w:tcPr>
                          <w:p w14:paraId="29CB6AD9" w14:textId="77777777" w:rsidR="004E65A9" w:rsidRDefault="004E65A9">
                            <w:pPr>
                              <w:pStyle w:val="StyleArialNarrow8pts"/>
                              <w:jc w:val="right"/>
                            </w:pPr>
                            <w:r>
                              <w:t>-12,71 (N = 82)</w:t>
                            </w:r>
                          </w:p>
                        </w:tc>
                        <w:tc>
                          <w:tcPr>
                            <w:tcW w:w="1441" w:type="dxa"/>
                            <w:vAlign w:val="center"/>
                          </w:tcPr>
                          <w:p w14:paraId="7BCEDA73" w14:textId="77777777" w:rsidR="004E65A9" w:rsidRDefault="004E65A9">
                            <w:pPr>
                              <w:pStyle w:val="StyleArialNarrow8pts"/>
                              <w:jc w:val="right"/>
                            </w:pPr>
                            <w:r>
                              <w:t>-20,13 (N = 82)</w:t>
                            </w:r>
                          </w:p>
                        </w:tc>
                        <w:tc>
                          <w:tcPr>
                            <w:tcW w:w="1450" w:type="dxa"/>
                            <w:vAlign w:val="center"/>
                          </w:tcPr>
                          <w:p w14:paraId="499F62E4" w14:textId="77777777" w:rsidR="004E65A9" w:rsidRDefault="004E65A9">
                            <w:pPr>
                              <w:pStyle w:val="StyleArialNarrow8pts"/>
                              <w:jc w:val="right"/>
                            </w:pPr>
                            <w:r>
                              <w:t>-24,24 (N = 82)</w:t>
                            </w:r>
                          </w:p>
                        </w:tc>
                        <w:tc>
                          <w:tcPr>
                            <w:tcW w:w="1984" w:type="dxa"/>
                            <w:vAlign w:val="center"/>
                          </w:tcPr>
                          <w:p w14:paraId="02A19B13" w14:textId="77777777" w:rsidR="004E65A9" w:rsidRDefault="004E65A9">
                            <w:pPr>
                              <w:pStyle w:val="StyleArialNarrow8pts"/>
                              <w:jc w:val="right"/>
                            </w:pPr>
                            <w:r>
                              <w:t>-30,27 (N = 82)</w:t>
                            </w:r>
                          </w:p>
                        </w:tc>
                        <w:tc>
                          <w:tcPr>
                            <w:tcW w:w="1871" w:type="dxa"/>
                            <w:vAlign w:val="center"/>
                          </w:tcPr>
                          <w:p w14:paraId="0CC6DE01" w14:textId="77777777" w:rsidR="004E65A9" w:rsidRDefault="004E65A9">
                            <w:pPr>
                              <w:pStyle w:val="StyleArialNarrow8pts"/>
                              <w:jc w:val="right"/>
                            </w:pPr>
                            <w:r>
                              <w:t>-37,49 (N = 82)</w:t>
                            </w:r>
                          </w:p>
                        </w:tc>
                      </w:tr>
                      <w:tr w:rsidR="004E65A9" w14:paraId="67FA7DA9" w14:textId="77777777">
                        <w:tc>
                          <w:tcPr>
                            <w:tcW w:w="850" w:type="dxa"/>
                            <w:vAlign w:val="center"/>
                          </w:tcPr>
                          <w:p w14:paraId="53ECFA33" w14:textId="77777777" w:rsidR="004E65A9" w:rsidRDefault="004E65A9">
                            <w:pPr>
                              <w:pStyle w:val="StyleArialNarrow8pts"/>
                              <w:jc w:val="right"/>
                            </w:pPr>
                            <w:r>
                              <w:t>APR</w:t>
                            </w:r>
                          </w:p>
                        </w:tc>
                        <w:tc>
                          <w:tcPr>
                            <w:tcW w:w="1928" w:type="dxa"/>
                            <w:vAlign w:val="center"/>
                          </w:tcPr>
                          <w:p w14:paraId="45475FE0" w14:textId="77777777" w:rsidR="004E65A9" w:rsidRDefault="004E65A9">
                            <w:pPr>
                              <w:pStyle w:val="StyleArialNarrow8pts"/>
                              <w:jc w:val="right"/>
                            </w:pPr>
                            <w:r>
                              <w:t>-21,81 (N = 163)</w:t>
                            </w:r>
                          </w:p>
                        </w:tc>
                        <w:tc>
                          <w:tcPr>
                            <w:tcW w:w="1441" w:type="dxa"/>
                            <w:vAlign w:val="center"/>
                          </w:tcPr>
                          <w:p w14:paraId="5E35FD0C" w14:textId="77777777" w:rsidR="004E65A9" w:rsidRDefault="004E65A9">
                            <w:pPr>
                              <w:pStyle w:val="StyleArialNarrow8pts"/>
                              <w:jc w:val="right"/>
                            </w:pPr>
                            <w:r>
                              <w:t>-37,63 (N = 163)</w:t>
                            </w:r>
                          </w:p>
                        </w:tc>
                        <w:tc>
                          <w:tcPr>
                            <w:tcW w:w="1450" w:type="dxa"/>
                            <w:vAlign w:val="center"/>
                          </w:tcPr>
                          <w:p w14:paraId="5839AC0B" w14:textId="77777777" w:rsidR="004E65A9" w:rsidRDefault="004E65A9">
                            <w:pPr>
                              <w:pStyle w:val="StyleArialNarrow8pts"/>
                              <w:jc w:val="right"/>
                            </w:pPr>
                            <w:r>
                              <w:t>-49,82 (N = 163)</w:t>
                            </w:r>
                          </w:p>
                        </w:tc>
                        <w:tc>
                          <w:tcPr>
                            <w:tcW w:w="1984" w:type="dxa"/>
                            <w:vAlign w:val="center"/>
                          </w:tcPr>
                          <w:p w14:paraId="378A1769" w14:textId="77777777" w:rsidR="004E65A9" w:rsidRDefault="004E65A9">
                            <w:pPr>
                              <w:pStyle w:val="StyleArialNarrow8pts"/>
                              <w:jc w:val="right"/>
                            </w:pPr>
                            <w:r>
                              <w:t>-59,89 (N = 163)</w:t>
                            </w:r>
                          </w:p>
                        </w:tc>
                        <w:tc>
                          <w:tcPr>
                            <w:tcW w:w="1871" w:type="dxa"/>
                            <w:vAlign w:val="center"/>
                          </w:tcPr>
                          <w:p w14:paraId="47B0E2D2" w14:textId="77777777" w:rsidR="004E65A9" w:rsidRDefault="004E65A9">
                            <w:pPr>
                              <w:pStyle w:val="StyleArialNarrow8pts"/>
                              <w:jc w:val="right"/>
                            </w:pPr>
                            <w:r>
                              <w:t>-64,52 (N = 163)</w:t>
                            </w:r>
                          </w:p>
                        </w:tc>
                      </w:tr>
                    </w:tbl>
                    <w:p w14:paraId="0FB3A167" w14:textId="77777777" w:rsidR="004E65A9" w:rsidRDefault="004E65A9" w:rsidP="003F09AA">
                      <w:pPr>
                        <w:rPr>
                          <w:rFonts w:ascii="Arial Narrow" w:hAnsi="Arial Narrow"/>
                          <w:sz w:val="16"/>
                          <w:szCs w:val="16"/>
                          <w:lang w:val="es-ES"/>
                        </w:rPr>
                      </w:pPr>
                    </w:p>
                    <w:p w14:paraId="79439A32" w14:textId="77777777" w:rsidR="004E65A9" w:rsidRPr="00E75F7E" w:rsidRDefault="004E65A9" w:rsidP="003F09AA">
                      <w:pPr>
                        <w:rPr>
                          <w:rFonts w:ascii="Arial Narrow" w:hAnsi="Arial Narrow"/>
                          <w:sz w:val="16"/>
                          <w:szCs w:val="16"/>
                          <w:lang w:val="es-ES"/>
                        </w:rPr>
                      </w:pPr>
                    </w:p>
                  </w:txbxContent>
                </v:textbox>
              </v:shape>
              <v:shape id="Text Box 153" o:spid="_x0000_s2072" type="#_x0000_t202" style="position:absolute;left:1974;top:5034;width:8796;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" filled="f" stroked="f" strokecolor="white" strokeweight="0">
                <v:textbox inset=".5mm,.5mm,.5mm,.5mm">
                  <w:txbxContent>
                    <w:tbl>
                      <w:tblPr>
                        <w:tblW w:w="8676" w:type="dxa"/>
                        <w:tblInd w:w="-188" w:type="dxa"/>
                        <w:tblLayout w:type="fixed"/>
                        <w:tblLook w:val="04A0" w:firstRow="1" w:lastRow="0" w:firstColumn="1" w:lastColumn="0" w:noHBand="0" w:noVBand="1"/>
                      </w:tblPr>
                      <w:tblGrid>
                        <w:gridCol w:w="964"/>
                        <w:gridCol w:w="964"/>
                        <w:gridCol w:w="964"/>
                        <w:gridCol w:w="1928"/>
                        <w:gridCol w:w="1928"/>
                        <w:gridCol w:w="1928"/>
                      </w:tblGrid>
                      <w:tr w:rsidR="004E65A9" w:rsidRPr="00AD4AE3" w14:paraId="31B1A411" w14:textId="77777777">
                        <w:trPr>
                          <w:cantSplit/>
                        </w:trPr>
                        <w:tc>
                          <w:tcPr>
                            <w:tcW w:w="964" w:type="dxa"/>
                            <w:vAlign w:val="center"/>
                          </w:tcPr>
                          <w:p w14:paraId="317F6FB1" w14:textId="77777777" w:rsidR="004E65A9" w:rsidRDefault="004E65A9">
                            <w:pPr>
                              <w:pStyle w:val="StyleArialNarrow8pts"/>
                              <w:jc w:val="right"/>
                            </w:pPr>
                            <w:r>
                              <w:t>0</w:t>
                            </w:r>
                          </w:p>
                        </w:tc>
                        <w:tc>
                          <w:tcPr>
                            <w:tcW w:w="964" w:type="dxa"/>
                            <w:vAlign w:val="center"/>
                          </w:tcPr>
                          <w:p w14:paraId="00ECB923" w14:textId="77777777" w:rsidR="004E65A9" w:rsidRDefault="004E65A9">
                            <w:pPr>
                              <w:pStyle w:val="StyleArialNarrow8pts"/>
                              <w:jc w:val="right"/>
                            </w:pPr>
                            <w:r>
                              <w:t>2</w:t>
                            </w:r>
                          </w:p>
                        </w:tc>
                        <w:tc>
                          <w:tcPr>
                            <w:tcW w:w="964" w:type="dxa"/>
                            <w:vAlign w:val="center"/>
                          </w:tcPr>
                          <w:p w14:paraId="14873368" w14:textId="77777777" w:rsidR="004E65A9" w:rsidRDefault="004E65A9">
                            <w:pPr>
                              <w:pStyle w:val="StyleArialNarrow8pts"/>
                              <w:jc w:val="right"/>
                            </w:pPr>
                            <w:r>
                              <w:t>4</w:t>
                            </w:r>
                          </w:p>
                        </w:tc>
                        <w:tc>
                          <w:tcPr>
                            <w:tcW w:w="1928" w:type="dxa"/>
                            <w:vAlign w:val="center"/>
                          </w:tcPr>
                          <w:p w14:paraId="21CBDF65" w14:textId="77777777" w:rsidR="004E65A9" w:rsidRDefault="004E65A9">
                            <w:pPr>
                              <w:pStyle w:val="StyleArialNarrow8pts"/>
                              <w:jc w:val="right"/>
                            </w:pPr>
                            <w:r>
                              <w:t>8</w:t>
                            </w:r>
                          </w:p>
                        </w:tc>
                        <w:tc>
                          <w:tcPr>
                            <w:tcW w:w="1928" w:type="dxa"/>
                            <w:vAlign w:val="center"/>
                          </w:tcPr>
                          <w:p w14:paraId="2545F707" w14:textId="77777777" w:rsidR="004E65A9" w:rsidRDefault="004E65A9">
                            <w:pPr>
                              <w:pStyle w:val="StyleArialNarrow8pts"/>
                              <w:jc w:val="right"/>
                            </w:pPr>
                            <w:r>
                              <w:t>12</w:t>
                            </w:r>
                          </w:p>
                        </w:tc>
                        <w:tc>
                          <w:tcPr>
                            <w:tcW w:w="1928" w:type="dxa"/>
                            <w:vAlign w:val="center"/>
                          </w:tcPr>
                          <w:p w14:paraId="082294C3" w14:textId="77777777" w:rsidR="004E65A9" w:rsidRDefault="004E65A9">
                            <w:pPr>
                              <w:pStyle w:val="StyleArialNarrow8pts"/>
                              <w:jc w:val="right"/>
                            </w:pPr>
                            <w:r>
                              <w:t>16</w:t>
                            </w:r>
                          </w:p>
                        </w:tc>
                      </w:tr>
                    </w:tbl>
                    <w:p w14:paraId="06EFEA3F" w14:textId="77777777" w:rsidR="004E65A9" w:rsidRDefault="004E65A9" w:rsidP="003F09AA">
                      <w:pPr>
                        <w:jc w:val="right"/>
                        <w:rPr>
                          <w:rFonts w:ascii="Arial Narrow" w:hAnsi="Arial Narrow"/>
                          <w:sz w:val="16"/>
                          <w:szCs w:val="16"/>
                          <w:lang w:val="es-ES"/>
                        </w:rPr>
                      </w:pPr>
                    </w:p>
                    <w:p w14:paraId="3CFA2859" w14:textId="77777777" w:rsidR="004E65A9" w:rsidRPr="00E75F7E" w:rsidRDefault="004E65A9" w:rsidP="003F09AA">
                      <w:pPr>
                        <w:jc w:val="right"/>
                        <w:rPr>
                          <w:rFonts w:ascii="Arial Narrow" w:hAnsi="Arial Narrow"/>
                          <w:sz w:val="16"/>
                          <w:szCs w:val="16"/>
                          <w:lang w:val="es-ES"/>
                        </w:rPr>
                      </w:pPr>
                    </w:p>
                  </w:txbxContent>
                </v:textbox>
              </v:shape>
              <v:shape id="Text Box 106" o:spid="_x0000_s2073" type="#_x0000_t202" style="position:absolute;left:4536;top:5946;width:3852;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" filled="f" stroked="f">
                <v:textbox inset=".5mm,.3mm,.5mm,.3mm">
                  <w:txbxContent>
                    <w:tbl>
                      <w:tblPr>
                        <w:tblW w:w="0" w:type="auto"/>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939"/>
                        <w:gridCol w:w="878"/>
                        <w:gridCol w:w="778"/>
                        <w:gridCol w:w="836"/>
                        <w:gridCol w:w="596"/>
                      </w:tblGrid>
                      <w:tr w:rsidR="004E65A9" w14:paraId="2AB3A71B" w14:textId="77777777">
                        <w:tc>
                          <w:tcPr>
                            <w:tcW w:w="1465" w:type="dxa"/>
                          </w:tcPr>
                          <w:p w14:paraId="63EABC07" w14:textId="77777777" w:rsidR="004E65A9" w:rsidRDefault="004E65A9" w:rsidP="008B0F1C">
                            <w:pPr>
                              <w:pStyle w:val="StyleArialNarrow8pts"/>
                            </w:pPr>
                            <w:r>
                              <w:t>Behandling</w:t>
                            </w:r>
                          </w:p>
                        </w:tc>
                        <w:tc>
                          <w:tcPr>
                            <w:tcW w:w="1466" w:type="dxa"/>
                          </w:tcPr>
                          <w:p w14:paraId="3F3C4B09" w14:textId="7179D0BC" w:rsidR="004E65A9" w:rsidRDefault="00963757" w:rsidP="00F4122A">
                            <w:pPr>
                              <w:pStyle w:val="Style7ptNarrow2"/>
                            </w:pPr>
                            <w:r>
                              <w:rPr>
                                <w:b/>
                                <w:bCs w:val="0"/>
                                <w:noProof/>
                              </w:rPr>
                              <w:pict w14:anchorId="33825CEB">
                                <v:shape id="Picture 2" o:spid="_x0000_i1034" type="#_x0000_t75" style="width:29.4pt;height:9pt;visibility:visible;mso-wrap-style:square">
                                  <v:imagedata r:id="rId16" o:title=""/>
                                </v:shape>
                              </w:pict>
                            </w:r>
                          </w:p>
                        </w:tc>
                        <w:tc>
                          <w:tcPr>
                            <w:tcW w:w="1466" w:type="dxa"/>
                          </w:tcPr>
                          <w:p w14:paraId="071760BB" w14:textId="77777777" w:rsidR="004E65A9" w:rsidRDefault="004E65A9" w:rsidP="004145B9">
                            <w:pPr>
                              <w:pStyle w:val="StyleArialNarrow8pts"/>
                            </w:pPr>
                            <w:r>
                              <w:t>Placebo</w:t>
                            </w:r>
                          </w:p>
                        </w:tc>
                        <w:tc>
                          <w:tcPr>
                            <w:tcW w:w="1466" w:type="dxa"/>
                          </w:tcPr>
                          <w:p w14:paraId="26E68BD9" w14:textId="1D0EA358" w:rsidR="004E65A9" w:rsidRDefault="00963757" w:rsidP="00F4122A">
                            <w:pPr>
                              <w:pStyle w:val="Style7ptNarrow2"/>
                            </w:pPr>
                            <w:r>
                              <w:rPr>
                                <w:b/>
                                <w:bCs w:val="0"/>
                                <w:noProof/>
                              </w:rPr>
                              <w:pict w14:anchorId="6A069FDE">
                                <v:shape id="Picture 1" o:spid="_x0000_i1036" type="#_x0000_t75" style="width:27pt;height:9pt;visibility:visible;mso-wrap-style:square">
                                  <v:imagedata r:id="rId17" o:title=""/>
                                </v:shape>
                              </w:pict>
                            </w:r>
                          </w:p>
                        </w:tc>
                        <w:tc>
                          <w:tcPr>
                            <w:tcW w:w="1466" w:type="dxa"/>
                          </w:tcPr>
                          <w:p w14:paraId="758FDA39" w14:textId="77777777" w:rsidR="004E65A9" w:rsidRDefault="004E65A9" w:rsidP="004145B9">
                            <w:pPr>
                              <w:pStyle w:val="StyleArialNarrow8pts"/>
                            </w:pPr>
                            <w:r>
                              <w:t>APR</w:t>
                            </w:r>
                          </w:p>
                        </w:tc>
                      </w:tr>
                    </w:tbl>
                    <w:p w14:paraId="491E8DF3" w14:textId="77777777" w:rsidR="004E65A9" w:rsidRDefault="004E65A9" w:rsidP="003F09AA">
                      <w:pPr>
                        <w:pStyle w:val="Style7ptNarrow2"/>
                      </w:pPr>
                    </w:p>
                    <w:p w14:paraId="343886A2" w14:textId="77777777" w:rsidR="004E65A9" w:rsidRPr="003F38C8" w:rsidRDefault="004E65A9" w:rsidP="003F09AA">
                      <w:pPr>
                        <w:pStyle w:val="Style7ptNarrow2"/>
                      </w:pPr>
                    </w:p>
                  </w:txbxContent>
                </v:textbox>
              </v:shape>
              <v:shape id="Text Box 155" o:spid="_x0000_s2074" type="#_x0000_t202" style="position:absolute;left:1610;top:1998;width:330;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" filled="f" stroked="f" strokecolor="white" strokeweight="0">
                <v:textbox inset=".5mm,.5mm,.5mm,.5mm">
                  <w:txbxContent>
                    <w:tbl>
                      <w:tblPr>
                        <w:tblW w:w="0" w:type="auto"/>
                        <w:tblLayout w:type="fixed"/>
                        <w:tblCellMar>
                          <w:left w:w="0" w:type="dxa"/>
                          <w:right w:w="0" w:type="dxa"/>
                        </w:tblCellMar>
                        <w:tblLook w:val="04A0" w:firstRow="1" w:lastRow="0" w:firstColumn="1" w:lastColumn="0" w:noHBand="0" w:noVBand="1"/>
                      </w:tblPr>
                      <w:tblGrid>
                        <w:gridCol w:w="283"/>
                      </w:tblGrid>
                      <w:tr w:rsidR="004E65A9" w14:paraId="22E0F3CB" w14:textId="77777777">
                        <w:trPr>
                          <w:cantSplit/>
                          <w:trHeight w:val="397"/>
                        </w:trPr>
                        <w:tc>
                          <w:tcPr>
                            <w:tcW w:w="283" w:type="dxa"/>
                          </w:tcPr>
                          <w:p w14:paraId="44A902E5" w14:textId="77777777" w:rsidR="004E65A9" w:rsidRDefault="004E65A9">
                            <w:pPr>
                              <w:pStyle w:val="StyleArialNarrow8pts"/>
                              <w:jc w:val="right"/>
                            </w:pPr>
                            <w:r>
                              <w:t>0</w:t>
                            </w:r>
                          </w:p>
                        </w:tc>
                      </w:tr>
                      <w:tr w:rsidR="004E65A9" w14:paraId="26A6C49E" w14:textId="77777777">
                        <w:trPr>
                          <w:cantSplit/>
                          <w:trHeight w:val="369"/>
                        </w:trPr>
                        <w:tc>
                          <w:tcPr>
                            <w:tcW w:w="283" w:type="dxa"/>
                          </w:tcPr>
                          <w:p w14:paraId="2AF57C1A" w14:textId="77777777" w:rsidR="004E65A9" w:rsidRDefault="004E65A9">
                            <w:pPr>
                              <w:pStyle w:val="StyleArialNarrow8pts"/>
                              <w:jc w:val="right"/>
                            </w:pPr>
                            <w:r>
                              <w:t>-10</w:t>
                            </w:r>
                          </w:p>
                        </w:tc>
                      </w:tr>
                      <w:tr w:rsidR="004E65A9" w14:paraId="14DB3DED" w14:textId="77777777">
                        <w:trPr>
                          <w:cantSplit/>
                          <w:trHeight w:val="397"/>
                        </w:trPr>
                        <w:tc>
                          <w:tcPr>
                            <w:tcW w:w="283" w:type="dxa"/>
                          </w:tcPr>
                          <w:p w14:paraId="66D1ACB3" w14:textId="77777777" w:rsidR="004E65A9" w:rsidRDefault="004E65A9">
                            <w:pPr>
                              <w:pStyle w:val="StyleArialNarrow8pts"/>
                              <w:jc w:val="right"/>
                            </w:pPr>
                            <w:r>
                              <w:t>-20</w:t>
                            </w:r>
                          </w:p>
                        </w:tc>
                      </w:tr>
                      <w:tr w:rsidR="004E65A9" w14:paraId="61FFC474" w14:textId="77777777">
                        <w:trPr>
                          <w:cantSplit/>
                          <w:trHeight w:val="397"/>
                        </w:trPr>
                        <w:tc>
                          <w:tcPr>
                            <w:tcW w:w="283" w:type="dxa"/>
                          </w:tcPr>
                          <w:p w14:paraId="39E359FB" w14:textId="77777777" w:rsidR="004E65A9" w:rsidRDefault="004E65A9">
                            <w:pPr>
                              <w:pStyle w:val="StyleArialNarrow8pts"/>
                              <w:jc w:val="right"/>
                            </w:pPr>
                            <w:r>
                              <w:t>-30</w:t>
                            </w:r>
                          </w:p>
                        </w:tc>
                      </w:tr>
                      <w:tr w:rsidR="004E65A9" w14:paraId="75FE64A0" w14:textId="77777777">
                        <w:trPr>
                          <w:cantSplit/>
                          <w:trHeight w:val="369"/>
                        </w:trPr>
                        <w:tc>
                          <w:tcPr>
                            <w:tcW w:w="283" w:type="dxa"/>
                          </w:tcPr>
                          <w:p w14:paraId="2C2080EA" w14:textId="77777777" w:rsidR="004E65A9" w:rsidRDefault="004E65A9">
                            <w:pPr>
                              <w:pStyle w:val="StyleArialNarrow8pts"/>
                              <w:jc w:val="right"/>
                            </w:pPr>
                            <w:r>
                              <w:t>-40</w:t>
                            </w:r>
                          </w:p>
                        </w:tc>
                      </w:tr>
                      <w:tr w:rsidR="004E65A9" w14:paraId="038B5168" w14:textId="77777777">
                        <w:trPr>
                          <w:cantSplit/>
                          <w:trHeight w:val="397"/>
                        </w:trPr>
                        <w:tc>
                          <w:tcPr>
                            <w:tcW w:w="283" w:type="dxa"/>
                          </w:tcPr>
                          <w:p w14:paraId="3B67433D" w14:textId="77777777" w:rsidR="004E65A9" w:rsidRDefault="004E65A9">
                            <w:pPr>
                              <w:pStyle w:val="StyleArialNarrow8pts"/>
                              <w:jc w:val="right"/>
                            </w:pPr>
                            <w:r>
                              <w:t>-50</w:t>
                            </w:r>
                          </w:p>
                        </w:tc>
                      </w:tr>
                      <w:tr w:rsidR="004E65A9" w14:paraId="39C76F1F" w14:textId="77777777">
                        <w:trPr>
                          <w:cantSplit/>
                          <w:trHeight w:val="397"/>
                        </w:trPr>
                        <w:tc>
                          <w:tcPr>
                            <w:tcW w:w="283" w:type="dxa"/>
                          </w:tcPr>
                          <w:p w14:paraId="12BEB8E2" w14:textId="77777777" w:rsidR="004E65A9" w:rsidRDefault="004E65A9">
                            <w:pPr>
                              <w:pStyle w:val="StyleArialNarrow8pts"/>
                              <w:jc w:val="right"/>
                            </w:pPr>
                            <w:r>
                              <w:t>-60</w:t>
                            </w:r>
                          </w:p>
                        </w:tc>
                      </w:tr>
                      <w:tr w:rsidR="004E65A9" w14:paraId="761F51FC" w14:textId="77777777">
                        <w:trPr>
                          <w:cantSplit/>
                        </w:trPr>
                        <w:tc>
                          <w:tcPr>
                            <w:tcW w:w="283" w:type="dxa"/>
                          </w:tcPr>
                          <w:p w14:paraId="32FEDADE" w14:textId="77777777" w:rsidR="004E65A9" w:rsidRDefault="004E65A9">
                            <w:pPr>
                              <w:pStyle w:val="StyleArialNarrow8pts"/>
                              <w:jc w:val="right"/>
                            </w:pPr>
                            <w:r>
                              <w:t>-70</w:t>
                            </w:r>
                          </w:p>
                        </w:tc>
                      </w:tr>
                    </w:tbl>
                    <w:p w14:paraId="2A991A7F" w14:textId="77777777" w:rsidR="004E65A9" w:rsidRDefault="004E65A9" w:rsidP="003F09AA">
                      <w:pPr>
                        <w:jc w:val="right"/>
                        <w:rPr>
                          <w:rFonts w:ascii="Arial Narrow" w:hAnsi="Arial Narrow"/>
                          <w:sz w:val="16"/>
                          <w:szCs w:val="16"/>
                          <w:lang w:val="es-ES"/>
                        </w:rPr>
                      </w:pPr>
                    </w:p>
                    <w:p w14:paraId="4E9A4DFB" w14:textId="77777777" w:rsidR="004E65A9" w:rsidRPr="00E75F7E" w:rsidRDefault="004E65A9" w:rsidP="003F09AA">
                      <w:pPr>
                        <w:jc w:val="right"/>
                        <w:rPr>
                          <w:rFonts w:ascii="Arial Narrow" w:hAnsi="Arial Narrow"/>
                          <w:sz w:val="16"/>
                          <w:szCs w:val="16"/>
                          <w:lang w:val="es-ES"/>
                        </w:rPr>
                      </w:pPr>
                    </w:p>
                  </w:txbxContent>
                </v:textbox>
              </v:shape>
              <v:shape id="Text Box 156" o:spid="_x0000_s2075" type="#_x0000_t202" style="position:absolute;left:1496;top:6168;width:3402;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" filled="f" stroked="f">
                <v:textbox inset="0,0,0,0">
                  <w:txbxContent>
                    <w:p w14:paraId="10AE79D7" w14:textId="77777777" w:rsidR="004E65A9" w:rsidRDefault="004E65A9" w:rsidP="003F09AA">
                      <w:pPr>
                        <w:pStyle w:val="StyleArialNarrow8pts"/>
                      </w:pPr>
                      <w:r>
                        <w:t>ITT = med hensikt å behandle. MI = flere imputasjoner</w:t>
                      </w:r>
                    </w:p>
                    <w:p w14:paraId="1084F6EA" w14:textId="77777777" w:rsidR="004E65A9" w:rsidRPr="00BA342F" w:rsidRDefault="004E65A9" w:rsidP="003F09AA">
                      <w:pPr>
                        <w:pStyle w:val="StyleArialNarrow8pts"/>
                      </w:pPr>
                    </w:p>
                  </w:txbxContent>
                </v:textbox>
              </v:shape>
              <v:shape id="Text Box 157" o:spid="_x0000_s2076" type="#_x0000_t202" style="position:absolute;left:10740;top:4182;width:180;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" filled="f" stroked="f">
                <v:textbox style="layout-flow:vertical;mso-layout-flow-alt:bottom-to-top" inset="0,0,0,0">
                  <w:txbxContent>
                    <w:p w14:paraId="58011F43" w14:textId="77777777" w:rsidR="004E65A9" w:rsidRDefault="004E65A9" w:rsidP="003F09AA">
                      <w:pPr>
                        <w:pStyle w:val="StyleArialNarrow5pts"/>
                      </w:pPr>
                      <w:r>
                        <w:t>GRH2605 v1</w:t>
                      </w:r>
                    </w:p>
                    <w:p w14:paraId="3E192648" w14:textId="77777777" w:rsidR="004E65A9" w:rsidRPr="00866EE9" w:rsidRDefault="004E65A9" w:rsidP="003F09AA">
                      <w:pPr>
                        <w:pStyle w:val="StyleArialNarrow5pts"/>
                      </w:pPr>
                    </w:p>
                  </w:txbxContent>
                </v:textbox>
              </v:shape>
            </v:group>
          </v:group>
        </w:pict>
      </w:r>
      <w:r w:rsidR="004E65A9">
        <w:t>Figur 2. Prosentvis endring fra baseline i total PASI</w:t>
      </w:r>
      <w:r w:rsidR="004E65A9">
        <w:noBreakHyphen/>
        <w:t>skår til og med uke 16 (ITT</w:t>
      </w:r>
      <w:r w:rsidR="004E65A9">
        <w:noBreakHyphen/>
        <w:t>populasjon; MI)</w:t>
      </w:r>
    </w:p>
    <w:p w14:paraId="29352FBD" w14:textId="77777777" w:rsidR="004E65A9" w:rsidRPr="009E0E74" w:rsidRDefault="004E65A9" w:rsidP="003F09AA">
      <w:pPr>
        <w:pStyle w:val="BodyText1"/>
        <w:keepNext/>
        <w:tabs>
          <w:tab w:val="left" w:pos="90"/>
        </w:tabs>
        <w:spacing w:before="0" w:line="240" w:lineRule="auto"/>
        <w:rPr>
          <w:rFonts w:ascii="Times New Roman" w:hAnsi="Times New Roman" w:cs="Times New Roman"/>
          <w:b/>
          <w:bCs/>
          <w:color w:val="auto"/>
        </w:rPr>
      </w:pPr>
    </w:p>
    <w:p w14:paraId="78753023" w14:textId="6E6F35E2" w:rsidR="004E65A9" w:rsidRDefault="00963757" w:rsidP="003F09AA">
      <w:r>
        <w:rPr>
          <w:noProof/>
        </w:rPr>
        <w:pict w14:anchorId="2EFD6F39">
          <v:shape id="Picture 14" o:spid="_x0000_i1037" type="#_x0000_t75" alt="GRH2605 v1" style="width:474.6pt;height:228pt;visibility:visible;mso-wrap-style:square">
            <v:imagedata r:id="rId18" o:title="GRH2605 v1"/>
          </v:shape>
        </w:pict>
      </w:r>
    </w:p>
    <w:p w14:paraId="42C49DAF" w14:textId="77777777" w:rsidR="004E65A9" w:rsidRPr="009D1291" w:rsidRDefault="004E65A9" w:rsidP="003F09AA">
      <w:pPr>
        <w:pStyle w:val="BodyText1"/>
        <w:keepNext/>
        <w:keepLines/>
        <w:spacing w:before="0" w:line="240" w:lineRule="auto"/>
        <w:rPr>
          <w:rFonts w:ascii="Times New Roman" w:hAnsi="Times New Roman" w:cs="Times New Roman"/>
          <w:b/>
          <w:bCs/>
          <w:color w:val="auto"/>
        </w:rPr>
      </w:pPr>
    </w:p>
    <w:p w14:paraId="0BE21CDE" w14:textId="77777777" w:rsidR="004E65A9" w:rsidRDefault="004E65A9" w:rsidP="003F09AA">
      <w:r>
        <w:t>Hos pasienter som opprinnelig var randomisert til apremilast, vedvarte sPGA</w:t>
      </w:r>
      <w:r>
        <w:noBreakHyphen/>
        <w:t>respons, PASI</w:t>
      </w:r>
      <w:r>
        <w:noBreakHyphen/>
        <w:t>75</w:t>
      </w:r>
      <w:r>
        <w:noBreakHyphen/>
        <w:t>respons og de andre endepunktene oppnådd i uke 16, til uke 52.</w:t>
      </w:r>
    </w:p>
    <w:p w14:paraId="7C7A1F66" w14:textId="77777777" w:rsidR="004E65A9" w:rsidRDefault="004E65A9" w:rsidP="003F09AA"/>
    <w:p w14:paraId="74139971" w14:textId="77777777" w:rsidR="004E65A9" w:rsidRPr="00BD1AD5" w:rsidRDefault="004E65A9" w:rsidP="003F09AA">
      <w:pPr>
        <w:keepNext/>
        <w:numPr>
          <w:ilvl w:val="12"/>
          <w:numId w:val="0"/>
        </w:numPr>
        <w:ind w:right="-2"/>
        <w:rPr>
          <w:u w:val="single"/>
        </w:rPr>
      </w:pPr>
      <w:r>
        <w:rPr>
          <w:i/>
          <w:u w:val="single"/>
        </w:rPr>
        <w:t>Behcets sykdom</w:t>
      </w:r>
    </w:p>
    <w:p w14:paraId="2EF27AF7" w14:textId="77777777" w:rsidR="004E65A9" w:rsidRPr="00BD1AD5" w:rsidRDefault="004E65A9" w:rsidP="003F09AA">
      <w:pPr>
        <w:numPr>
          <w:ilvl w:val="12"/>
          <w:numId w:val="0"/>
        </w:numPr>
        <w:ind w:right="-2"/>
      </w:pPr>
      <w:r>
        <w:t>Sikkerhet og effekt av apremilast ble evaluert i en fase 3, multisenter, randomisert, placebokontrollert studie (RELIEF) hos voksne pasienter med aktiv Behcets sykdom (BD) med sår i munnen. Pasientene var tidligere behandlet med minst ett ikke</w:t>
      </w:r>
      <w:r>
        <w:noBreakHyphen/>
        <w:t>biologisk BD-legemiddel for sår i munnen og ble kandidater for systemisk behandling. Samtidig behandling for BD var ikke tillatt. Studert populasjon oppfylte kriteriene for Internasjonal studiegruppe (International Study Group (ISG)) for BD med en sykehistorie med hud lesjoner (98,6 %), genitalsår (90,3 %), manifestasjoner i muskel og skjelett (72,5 %), øyne (17,4 %), sentralnervesystem (9,7 %) og mage og tarm (9,2 %), epididymitt (2,4 %) og vaskulær påvirkning (1,4 %). Pasienter med alvorlig BD, som defineres som mennesker med alvorlig, aktiv organpåvirkning (f.eks. meningoencefalitt eller aneurisme i pulmonalarterie), ble ekskludert.</w:t>
      </w:r>
    </w:p>
    <w:p w14:paraId="27641366" w14:textId="77777777" w:rsidR="004E65A9" w:rsidRPr="000B27C9" w:rsidRDefault="004E65A9" w:rsidP="003F09AA">
      <w:pPr>
        <w:pStyle w:val="C-BodyText"/>
        <w:spacing w:before="0" w:after="0" w:line="240" w:lineRule="auto"/>
        <w:rPr>
          <w:sz w:val="22"/>
          <w:szCs w:val="22"/>
        </w:rPr>
      </w:pPr>
    </w:p>
    <w:p w14:paraId="4548F656" w14:textId="77777777" w:rsidR="004E65A9" w:rsidRPr="00BD1AD5" w:rsidRDefault="004E65A9" w:rsidP="003F09AA">
      <w:r>
        <w:t>Totalt 207 BD</w:t>
      </w:r>
      <w:r>
        <w:noBreakHyphen/>
        <w:t>pasienter ble randomisert 1:1 til å motta enten 30 mg apremilast to ganger daglig (n = 104), eller placebo (n = 103) i 12 uker (placebokontrollert fase), og fra uke 12 til 64 fikk alle pasientene 30 mg apremilast to ganger daglig (aktiv behandlingsfase). Pasientene var mellom 19 til 72 år gamle, med en gjennomsnittlig alder på 40 år. Gjennomsnittlig BD</w:t>
      </w:r>
      <w:r>
        <w:noBreakHyphen/>
        <w:t>varighet var 6,84 år. Alle pasienter hadde en historie med tilbakevendende sår i munnen, og de hadde minst to sår i munnen ved screening og randomisering. Gjennomsnittlig baseline-antall sår i munnen for henholdsvis apremilast</w:t>
      </w:r>
      <w:r>
        <w:noBreakHyphen/>
        <w:t xml:space="preserve"> og placebogruppen var 4,2 og 3,9.</w:t>
      </w:r>
    </w:p>
    <w:p w14:paraId="1B1F299F" w14:textId="77777777" w:rsidR="004E65A9" w:rsidRPr="000B27C9" w:rsidRDefault="004E65A9" w:rsidP="003F09AA">
      <w:pPr>
        <w:pStyle w:val="C-BodyText"/>
        <w:spacing w:before="0" w:after="0" w:line="240" w:lineRule="auto"/>
        <w:rPr>
          <w:sz w:val="22"/>
          <w:szCs w:val="22"/>
        </w:rPr>
      </w:pPr>
    </w:p>
    <w:p w14:paraId="158C6D37" w14:textId="77777777" w:rsidR="004E65A9" w:rsidRPr="00BD1AD5" w:rsidRDefault="004E65A9" w:rsidP="003F09AA">
      <w:pPr>
        <w:pStyle w:val="C-BodyText"/>
        <w:spacing w:before="0" w:after="0" w:line="240" w:lineRule="auto"/>
        <w:rPr>
          <w:sz w:val="22"/>
          <w:szCs w:val="22"/>
        </w:rPr>
      </w:pPr>
      <w:r>
        <w:rPr>
          <w:sz w:val="22"/>
        </w:rPr>
        <w:t>Primært endepunkt var arealet under kurven (AUC) for antall sår i munnen fra baseline til og med uke 12. Sekundære endepunkter inkluderte andre mål for sår i munnen: Visuell analog skala (VAS) for smerte ved sår i munnen, andel av pasienter som er sår i munnen</w:t>
      </w:r>
      <w:r>
        <w:rPr>
          <w:sz w:val="22"/>
        </w:rPr>
        <w:noBreakHyphen/>
        <w:t>fri (fullstendig respons), tid fra såret i munnen oppsto til sårtilheling, og andel av pasienter som opplevde sårtilheling av sår i munnen ved uke 6 og som forblir sår i munnen</w:t>
      </w:r>
      <w:r>
        <w:rPr>
          <w:sz w:val="22"/>
        </w:rPr>
        <w:noBreakHyphen/>
        <w:t>fri ved hvert besøk i minst 6 ekstra uker i løpet av den 12</w:t>
      </w:r>
      <w:r>
        <w:rPr>
          <w:sz w:val="22"/>
        </w:rPr>
        <w:noBreakHyphen/>
        <w:t>ukers placebokontrollerte behandlingsfasen. Andre endepunkter inkludert Behcets syndrom aktivitetskår (BSAS), Behcets sykdom nåværende aktivitetsskjema (BDCAF), inkludert BD nåværende aktivitetsindeksskår (BDCAI), pasientens oppfatning av sykdomsaktivitet, klinikerens samlede oppfatning av sykdomsaktivitet og BD</w:t>
      </w:r>
      <w:r>
        <w:rPr>
          <w:sz w:val="22"/>
        </w:rPr>
        <w:noBreakHyphen/>
        <w:t>spørreundersøkelse om livskvalitet (BD QoL).</w:t>
      </w:r>
    </w:p>
    <w:p w14:paraId="47469027" w14:textId="77777777" w:rsidR="004E65A9" w:rsidRPr="00BD1AD5" w:rsidRDefault="004E65A9" w:rsidP="003F09AA"/>
    <w:p w14:paraId="7914F258" w14:textId="77777777" w:rsidR="004E65A9" w:rsidRPr="00BD1AD5" w:rsidRDefault="004E65A9" w:rsidP="003F09AA">
      <w:pPr>
        <w:keepNext/>
        <w:rPr>
          <w:u w:val="single"/>
        </w:rPr>
      </w:pPr>
      <w:r>
        <w:rPr>
          <w:u w:val="single"/>
        </w:rPr>
        <w:lastRenderedPageBreak/>
        <w:t>Måling av sår i munnen</w:t>
      </w:r>
    </w:p>
    <w:p w14:paraId="33A2136E" w14:textId="77777777" w:rsidR="004E65A9" w:rsidRPr="00BD1AD5" w:rsidRDefault="004E65A9" w:rsidP="003F09AA">
      <w:pPr>
        <w:keepNext/>
      </w:pPr>
    </w:p>
    <w:p w14:paraId="6BD0275E" w14:textId="77777777" w:rsidR="004E65A9" w:rsidRPr="00BD1AD5" w:rsidRDefault="004E65A9" w:rsidP="003F09AA">
      <w:r>
        <w:t>30 mg apremilast to ganger daglig resulterte i betydelig forbedring av sår i munnen, som vist ved AUC for antall sår i munnen fra baseline til uke 12 (p &lt; 0,0001), sammenlignet med placebo.</w:t>
      </w:r>
    </w:p>
    <w:p w14:paraId="2B833B22" w14:textId="77777777" w:rsidR="004E65A9" w:rsidRPr="00BD1AD5" w:rsidRDefault="004E65A9" w:rsidP="003F09AA">
      <w:pPr>
        <w:autoSpaceDE w:val="0"/>
        <w:autoSpaceDN w:val="0"/>
        <w:adjustRightInd w:val="0"/>
      </w:pPr>
      <w:r>
        <w:t>Signifikant forbedring ved andre tiltak for sår i munnen ble målt ved uke 12.</w:t>
      </w:r>
    </w:p>
    <w:p w14:paraId="64805619" w14:textId="77777777" w:rsidR="004E65A9" w:rsidRPr="00BD1AD5" w:rsidRDefault="004E65A9" w:rsidP="003F09AA">
      <w:pPr>
        <w:autoSpaceDE w:val="0"/>
        <w:autoSpaceDN w:val="0"/>
        <w:adjustRightInd w:val="0"/>
      </w:pPr>
    </w:p>
    <w:p w14:paraId="2A73F99D" w14:textId="77777777" w:rsidR="004E65A9" w:rsidRPr="00BD1AD5" w:rsidRDefault="004E65A9" w:rsidP="003F09AA">
      <w:pPr>
        <w:keepNext/>
        <w:tabs>
          <w:tab w:val="clear" w:pos="567"/>
        </w:tabs>
        <w:rPr>
          <w:b/>
        </w:rPr>
      </w:pPr>
      <w:r>
        <w:rPr>
          <w:b/>
        </w:rPr>
        <w:t>Tabell 8. Klinisk effekt ved sår i munnen i uke 12 i RELIEF (ITT-populasjon)</w:t>
      </w:r>
    </w:p>
    <w:p w14:paraId="3E3BD187" w14:textId="77777777" w:rsidR="004E65A9" w:rsidRPr="00BD1AD5" w:rsidRDefault="004E65A9" w:rsidP="003F09AA">
      <w:pPr>
        <w:keepNext/>
        <w:tabs>
          <w:tab w:val="clear" w:pos="567"/>
          <w:tab w:val="left" w:pos="1134"/>
        </w:tabs>
        <w:ind w:left="1140" w:hanging="1140"/>
      </w:pPr>
    </w:p>
    <w:tbl>
      <w:tblPr>
        <w:tblW w:w="9450" w:type="dxa"/>
        <w:tblInd w:w="8" w:type="dxa"/>
        <w:tblBorders>
          <w:top w:val="single" w:sz="6" w:space="0" w:color="000000"/>
          <w:left w:val="single" w:sz="6" w:space="0" w:color="000000"/>
          <w:bottom w:val="single" w:sz="4" w:space="0" w:color="auto"/>
          <w:right w:val="single" w:sz="4" w:space="0" w:color="auto"/>
          <w:insideH w:val="single" w:sz="6" w:space="0" w:color="000000"/>
          <w:insideV w:val="single" w:sz="6" w:space="0" w:color="000000"/>
        </w:tblBorders>
        <w:tblLayout w:type="fixed"/>
        <w:tblCellMar>
          <w:left w:w="113" w:type="dxa"/>
          <w:right w:w="113" w:type="dxa"/>
        </w:tblCellMar>
        <w:tblLook w:val="04A0" w:firstRow="1" w:lastRow="0" w:firstColumn="1" w:lastColumn="0" w:noHBand="0" w:noVBand="1"/>
      </w:tblPr>
      <w:tblGrid>
        <w:gridCol w:w="6030"/>
        <w:gridCol w:w="1620"/>
        <w:gridCol w:w="1800"/>
      </w:tblGrid>
      <w:tr w:rsidR="004E65A9" w:rsidRPr="00BD1AD5" w14:paraId="3A4BAB3E" w14:textId="77777777" w:rsidTr="008600F3">
        <w:trPr>
          <w:cantSplit/>
          <w:trHeight w:val="567"/>
          <w:tblHeader/>
        </w:trPr>
        <w:tc>
          <w:tcPr>
            <w:tcW w:w="6030" w:type="dxa"/>
            <w:tcBorders>
              <w:top w:val="single" w:sz="6" w:space="0" w:color="000000"/>
              <w:left w:val="single" w:sz="6" w:space="0" w:color="000000"/>
              <w:bottom w:val="single" w:sz="6" w:space="0" w:color="000000"/>
              <w:right w:val="single" w:sz="6" w:space="0" w:color="000000"/>
            </w:tcBorders>
            <w:vAlign w:val="center"/>
          </w:tcPr>
          <w:p w14:paraId="17E20B8D" w14:textId="77777777" w:rsidR="004E65A9" w:rsidRPr="00BD1AD5" w:rsidRDefault="004E65A9" w:rsidP="008600F3">
            <w:pPr>
              <w:pStyle w:val="StyleTablecell"/>
              <w:jc w:val="center"/>
            </w:pPr>
            <w:r>
              <w:t>Endepunkt</w:t>
            </w:r>
            <w:r>
              <w:rPr>
                <w:vertAlign w:val="superscript"/>
              </w:rPr>
              <w:t>a</w:t>
            </w:r>
          </w:p>
        </w:tc>
        <w:tc>
          <w:tcPr>
            <w:tcW w:w="1620" w:type="dxa"/>
            <w:tcBorders>
              <w:top w:val="single" w:sz="6" w:space="0" w:color="000000"/>
              <w:left w:val="single" w:sz="6" w:space="0" w:color="000000"/>
              <w:bottom w:val="single" w:sz="6" w:space="0" w:color="000000"/>
              <w:right w:val="single" w:sz="6" w:space="0" w:color="000000"/>
            </w:tcBorders>
            <w:vAlign w:val="center"/>
          </w:tcPr>
          <w:p w14:paraId="55E1DC17" w14:textId="77777777" w:rsidR="004E65A9" w:rsidRPr="00BD1AD5" w:rsidRDefault="004E65A9" w:rsidP="008600F3">
            <w:pPr>
              <w:keepNext/>
              <w:tabs>
                <w:tab w:val="clear" w:pos="567"/>
              </w:tabs>
              <w:autoSpaceDE w:val="0"/>
              <w:autoSpaceDN w:val="0"/>
              <w:adjustRightInd w:val="0"/>
              <w:ind w:right="-20"/>
              <w:jc w:val="center"/>
              <w:rPr>
                <w:b/>
                <w:bCs/>
                <w:spacing w:val="-5"/>
                <w:sz w:val="20"/>
              </w:rPr>
            </w:pPr>
            <w:r>
              <w:rPr>
                <w:b/>
                <w:sz w:val="20"/>
              </w:rPr>
              <w:t>Placebo</w:t>
            </w:r>
          </w:p>
          <w:p w14:paraId="54C53D37" w14:textId="77777777" w:rsidR="004E65A9" w:rsidRPr="00BD1AD5" w:rsidRDefault="004E65A9" w:rsidP="008600F3">
            <w:pPr>
              <w:keepNext/>
              <w:tabs>
                <w:tab w:val="clear" w:pos="567"/>
              </w:tabs>
              <w:autoSpaceDE w:val="0"/>
              <w:autoSpaceDN w:val="0"/>
              <w:adjustRightInd w:val="0"/>
              <w:ind w:right="-20"/>
              <w:jc w:val="center"/>
              <w:rPr>
                <w:b/>
                <w:bCs/>
                <w:spacing w:val="-5"/>
                <w:sz w:val="20"/>
              </w:rPr>
            </w:pPr>
            <w:r>
              <w:rPr>
                <w:b/>
                <w:sz w:val="20"/>
              </w:rPr>
              <w:t>N = 103</w:t>
            </w:r>
          </w:p>
        </w:tc>
        <w:tc>
          <w:tcPr>
            <w:tcW w:w="1800" w:type="dxa"/>
            <w:tcBorders>
              <w:top w:val="single" w:sz="6" w:space="0" w:color="000000"/>
              <w:left w:val="single" w:sz="6" w:space="0" w:color="000000"/>
              <w:bottom w:val="single" w:sz="6" w:space="0" w:color="000000"/>
              <w:right w:val="single" w:sz="6" w:space="0" w:color="000000"/>
            </w:tcBorders>
            <w:vAlign w:val="center"/>
          </w:tcPr>
          <w:p w14:paraId="2DCA3F2C" w14:textId="77777777" w:rsidR="004E65A9" w:rsidRPr="00BD1AD5" w:rsidRDefault="004E65A9" w:rsidP="008600F3">
            <w:pPr>
              <w:keepNext/>
              <w:tabs>
                <w:tab w:val="clear" w:pos="567"/>
              </w:tabs>
              <w:autoSpaceDE w:val="0"/>
              <w:autoSpaceDN w:val="0"/>
              <w:adjustRightInd w:val="0"/>
              <w:ind w:left="206" w:right="190" w:firstLine="5"/>
              <w:jc w:val="center"/>
              <w:rPr>
                <w:b/>
                <w:sz w:val="20"/>
              </w:rPr>
            </w:pPr>
            <w:r>
              <w:rPr>
                <w:b/>
                <w:sz w:val="20"/>
              </w:rPr>
              <w:t>Apremilast</w:t>
            </w:r>
          </w:p>
          <w:p w14:paraId="42E64CCE" w14:textId="77777777" w:rsidR="004E65A9" w:rsidRPr="00BD1AD5" w:rsidRDefault="004E65A9" w:rsidP="008600F3">
            <w:pPr>
              <w:keepNext/>
              <w:tabs>
                <w:tab w:val="clear" w:pos="567"/>
              </w:tabs>
              <w:autoSpaceDE w:val="0"/>
              <w:autoSpaceDN w:val="0"/>
              <w:adjustRightInd w:val="0"/>
              <w:ind w:left="206" w:right="190" w:firstLine="5"/>
              <w:jc w:val="center"/>
              <w:rPr>
                <w:b/>
                <w:sz w:val="20"/>
              </w:rPr>
            </w:pPr>
            <w:r>
              <w:rPr>
                <w:b/>
                <w:sz w:val="20"/>
              </w:rPr>
              <w:t>30 mg to ganger daglig (BID)</w:t>
            </w:r>
          </w:p>
          <w:p w14:paraId="181D622A" w14:textId="77777777" w:rsidR="004E65A9" w:rsidRPr="00BD1AD5" w:rsidRDefault="004E65A9" w:rsidP="008600F3">
            <w:pPr>
              <w:keepNext/>
              <w:tabs>
                <w:tab w:val="clear" w:pos="567"/>
              </w:tabs>
              <w:autoSpaceDE w:val="0"/>
              <w:autoSpaceDN w:val="0"/>
              <w:adjustRightInd w:val="0"/>
              <w:ind w:left="206" w:right="190" w:firstLine="5"/>
              <w:jc w:val="center"/>
              <w:rPr>
                <w:b/>
                <w:sz w:val="20"/>
              </w:rPr>
            </w:pPr>
            <w:r>
              <w:rPr>
                <w:b/>
                <w:sz w:val="20"/>
              </w:rPr>
              <w:t>N = 104</w:t>
            </w:r>
          </w:p>
        </w:tc>
      </w:tr>
      <w:tr w:rsidR="004E65A9" w:rsidRPr="00BD1AD5" w14:paraId="224582A6" w14:textId="77777777" w:rsidTr="008600F3">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03F53607" w14:textId="77777777" w:rsidR="004E65A9" w:rsidRPr="00BD1AD5" w:rsidRDefault="004E65A9" w:rsidP="008600F3">
            <w:pPr>
              <w:rPr>
                <w:sz w:val="20"/>
              </w:rPr>
            </w:pPr>
            <w:r>
              <w:rPr>
                <w:sz w:val="20"/>
              </w:rPr>
              <w:t>AUC</w:t>
            </w:r>
            <w:r>
              <w:rPr>
                <w:sz w:val="20"/>
                <w:vertAlign w:val="superscript"/>
              </w:rPr>
              <w:t>b</w:t>
            </w:r>
            <w:r>
              <w:rPr>
                <w:sz w:val="20"/>
              </w:rPr>
              <w:t xml:space="preserve"> for antall sår i munnen fra baseline til og med uke 12 (MI)</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71266F79" w14:textId="77777777" w:rsidR="004E65A9" w:rsidRPr="00BD1AD5" w:rsidRDefault="004E65A9" w:rsidP="008600F3">
            <w:pPr>
              <w:autoSpaceDE w:val="0"/>
              <w:autoSpaceDN w:val="0"/>
              <w:adjustRightInd w:val="0"/>
              <w:jc w:val="center"/>
              <w:rPr>
                <w:sz w:val="20"/>
              </w:rPr>
            </w:pPr>
            <w:r>
              <w:rPr>
                <w:sz w:val="20"/>
              </w:rPr>
              <w:t>LS gjennomsnitt</w:t>
            </w:r>
          </w:p>
          <w:p w14:paraId="6A8F795A" w14:textId="77777777" w:rsidR="004E65A9" w:rsidRPr="00BD1AD5" w:rsidRDefault="004E65A9" w:rsidP="008600F3">
            <w:pPr>
              <w:autoSpaceDE w:val="0"/>
              <w:autoSpaceDN w:val="0"/>
              <w:adjustRightInd w:val="0"/>
              <w:jc w:val="center"/>
              <w:rPr>
                <w:sz w:val="20"/>
              </w:rPr>
            </w:pPr>
            <w:r>
              <w:rPr>
                <w:sz w:val="20"/>
              </w:rPr>
              <w:t>222,14</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1D2F7067" w14:textId="77777777" w:rsidR="004E65A9" w:rsidRPr="00BD1AD5" w:rsidRDefault="004E65A9" w:rsidP="008600F3">
            <w:pPr>
              <w:autoSpaceDE w:val="0"/>
              <w:autoSpaceDN w:val="0"/>
              <w:adjustRightInd w:val="0"/>
              <w:jc w:val="center"/>
              <w:rPr>
                <w:sz w:val="20"/>
              </w:rPr>
            </w:pPr>
            <w:r>
              <w:rPr>
                <w:sz w:val="20"/>
              </w:rPr>
              <w:t>LS gjennomsnitt</w:t>
            </w:r>
          </w:p>
          <w:p w14:paraId="3FF7D8D0" w14:textId="77777777" w:rsidR="004E65A9" w:rsidRPr="00BD1AD5" w:rsidRDefault="004E65A9" w:rsidP="008600F3">
            <w:pPr>
              <w:autoSpaceDE w:val="0"/>
              <w:autoSpaceDN w:val="0"/>
              <w:adjustRightInd w:val="0"/>
              <w:jc w:val="center"/>
              <w:rPr>
                <w:sz w:val="20"/>
              </w:rPr>
            </w:pPr>
            <w:r>
              <w:rPr>
                <w:sz w:val="20"/>
              </w:rPr>
              <w:t>129,54</w:t>
            </w:r>
          </w:p>
        </w:tc>
      </w:tr>
      <w:tr w:rsidR="004E65A9" w:rsidRPr="00BD1AD5" w14:paraId="5CAF821D" w14:textId="77777777" w:rsidTr="008600F3">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5FB1E109" w14:textId="77777777" w:rsidR="004E65A9" w:rsidRPr="00BD1AD5" w:rsidRDefault="004E65A9" w:rsidP="008600F3">
            <w:pPr>
              <w:rPr>
                <w:sz w:val="20"/>
              </w:rPr>
            </w:pPr>
            <w:r>
              <w:rPr>
                <w:sz w:val="20"/>
              </w:rPr>
              <w:t>Endring av smerter ved sår i munnen fra baseline, målt av VAS</w:t>
            </w:r>
            <w:r>
              <w:rPr>
                <w:sz w:val="20"/>
                <w:vertAlign w:val="superscript"/>
              </w:rPr>
              <w:t>c</w:t>
            </w:r>
            <w:r>
              <w:rPr>
                <w:sz w:val="20"/>
              </w:rPr>
              <w:t xml:space="preserve"> i uke 12 (MMRM)</w:t>
            </w:r>
          </w:p>
        </w:tc>
        <w:tc>
          <w:tcPr>
            <w:tcW w:w="1620" w:type="dxa"/>
            <w:tcBorders>
              <w:top w:val="single" w:sz="6" w:space="0" w:color="000000"/>
              <w:left w:val="single" w:sz="6" w:space="0" w:color="000000"/>
              <w:bottom w:val="single" w:sz="6" w:space="0" w:color="000000"/>
              <w:right w:val="single" w:sz="6" w:space="0" w:color="000000"/>
            </w:tcBorders>
            <w:vAlign w:val="center"/>
          </w:tcPr>
          <w:p w14:paraId="46130217" w14:textId="77777777" w:rsidR="004E65A9" w:rsidRPr="00BD1AD5" w:rsidRDefault="004E65A9" w:rsidP="008600F3">
            <w:pPr>
              <w:autoSpaceDE w:val="0"/>
              <w:autoSpaceDN w:val="0"/>
              <w:adjustRightInd w:val="0"/>
              <w:jc w:val="center"/>
              <w:rPr>
                <w:sz w:val="20"/>
              </w:rPr>
            </w:pPr>
            <w:r>
              <w:rPr>
                <w:sz w:val="20"/>
              </w:rPr>
              <w:t>LS gjennomsnitt</w:t>
            </w:r>
          </w:p>
          <w:p w14:paraId="624414CE" w14:textId="77777777" w:rsidR="004E65A9" w:rsidRPr="00BD1AD5" w:rsidRDefault="004E65A9" w:rsidP="008600F3">
            <w:pPr>
              <w:autoSpaceDE w:val="0"/>
              <w:autoSpaceDN w:val="0"/>
              <w:adjustRightInd w:val="0"/>
              <w:jc w:val="center"/>
              <w:rPr>
                <w:sz w:val="20"/>
              </w:rPr>
            </w:pPr>
            <w:r>
              <w:rPr>
                <w:sz w:val="20"/>
              </w:rPr>
              <w:t>-18,7</w:t>
            </w:r>
          </w:p>
        </w:tc>
        <w:tc>
          <w:tcPr>
            <w:tcW w:w="1800" w:type="dxa"/>
            <w:tcBorders>
              <w:top w:val="single" w:sz="6" w:space="0" w:color="000000"/>
              <w:left w:val="single" w:sz="6" w:space="0" w:color="000000"/>
              <w:bottom w:val="single" w:sz="6" w:space="0" w:color="000000"/>
              <w:right w:val="single" w:sz="6" w:space="0" w:color="000000"/>
            </w:tcBorders>
            <w:vAlign w:val="center"/>
          </w:tcPr>
          <w:p w14:paraId="68DF049D" w14:textId="77777777" w:rsidR="004E65A9" w:rsidRPr="00BD1AD5" w:rsidRDefault="004E65A9" w:rsidP="008600F3">
            <w:pPr>
              <w:autoSpaceDE w:val="0"/>
              <w:autoSpaceDN w:val="0"/>
              <w:adjustRightInd w:val="0"/>
              <w:jc w:val="center"/>
              <w:rPr>
                <w:sz w:val="20"/>
              </w:rPr>
            </w:pPr>
            <w:r>
              <w:rPr>
                <w:sz w:val="20"/>
              </w:rPr>
              <w:t>LS gjennomsnitt</w:t>
            </w:r>
          </w:p>
          <w:p w14:paraId="4EC0FCCF" w14:textId="77777777" w:rsidR="004E65A9" w:rsidRPr="00BD1AD5" w:rsidRDefault="004E65A9" w:rsidP="008600F3">
            <w:pPr>
              <w:autoSpaceDE w:val="0"/>
              <w:autoSpaceDN w:val="0"/>
              <w:adjustRightInd w:val="0"/>
              <w:jc w:val="center"/>
              <w:rPr>
                <w:sz w:val="20"/>
              </w:rPr>
            </w:pPr>
            <w:r>
              <w:rPr>
                <w:sz w:val="20"/>
              </w:rPr>
              <w:t>-42,7</w:t>
            </w:r>
          </w:p>
        </w:tc>
      </w:tr>
      <w:tr w:rsidR="004E65A9" w:rsidRPr="00BD1AD5" w14:paraId="2F5ED584" w14:textId="77777777" w:rsidTr="008600F3">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541F8879" w14:textId="77777777" w:rsidR="004E65A9" w:rsidRPr="00BD1AD5" w:rsidRDefault="004E65A9" w:rsidP="008600F3">
            <w:pPr>
              <w:rPr>
                <w:sz w:val="20"/>
              </w:rPr>
            </w:pPr>
            <w:r>
              <w:rPr>
                <w:sz w:val="20"/>
              </w:rPr>
              <w:t>Andel av forsøkspersoner som oppnår tilheling av sår i munnen (sår i munnen</w:t>
            </w:r>
            <w:r>
              <w:rPr>
                <w:sz w:val="20"/>
              </w:rPr>
              <w:noBreakHyphen/>
              <w:t>fri) innen uke 6, og som forblir sår i munnen</w:t>
            </w:r>
            <w:r>
              <w:rPr>
                <w:sz w:val="20"/>
              </w:rPr>
              <w:noBreakHyphen/>
              <w:t>fri ved hvert besøk i minst 6 ekstra uker i løpet av den 12</w:t>
            </w:r>
            <w:r>
              <w:rPr>
                <w:sz w:val="20"/>
              </w:rPr>
              <w:noBreakHyphen/>
              <w:t>ukers placebokontrollerte behandlingsfasen</w:t>
            </w:r>
          </w:p>
        </w:tc>
        <w:tc>
          <w:tcPr>
            <w:tcW w:w="1620" w:type="dxa"/>
            <w:tcBorders>
              <w:top w:val="single" w:sz="6" w:space="0" w:color="000000"/>
              <w:left w:val="single" w:sz="6" w:space="0" w:color="000000"/>
              <w:bottom w:val="single" w:sz="6" w:space="0" w:color="000000"/>
              <w:right w:val="single" w:sz="6" w:space="0" w:color="000000"/>
            </w:tcBorders>
            <w:vAlign w:val="center"/>
          </w:tcPr>
          <w:p w14:paraId="58C3600C" w14:textId="77777777" w:rsidR="004E65A9" w:rsidRPr="00BD1AD5" w:rsidRDefault="004E65A9" w:rsidP="008600F3">
            <w:pPr>
              <w:autoSpaceDE w:val="0"/>
              <w:autoSpaceDN w:val="0"/>
              <w:adjustRightInd w:val="0"/>
              <w:jc w:val="center"/>
              <w:rPr>
                <w:sz w:val="20"/>
              </w:rPr>
            </w:pPr>
            <w:r>
              <w:rPr>
                <w:sz w:val="20"/>
              </w:rPr>
              <w:t>4,9 %</w:t>
            </w:r>
          </w:p>
        </w:tc>
        <w:tc>
          <w:tcPr>
            <w:tcW w:w="1800" w:type="dxa"/>
            <w:tcBorders>
              <w:top w:val="single" w:sz="6" w:space="0" w:color="000000"/>
              <w:left w:val="single" w:sz="6" w:space="0" w:color="000000"/>
              <w:bottom w:val="single" w:sz="6" w:space="0" w:color="000000"/>
              <w:right w:val="single" w:sz="6" w:space="0" w:color="000000"/>
            </w:tcBorders>
            <w:vAlign w:val="center"/>
          </w:tcPr>
          <w:p w14:paraId="5A48A13F" w14:textId="77777777" w:rsidR="004E65A9" w:rsidRPr="00BD1AD5" w:rsidRDefault="004E65A9" w:rsidP="008600F3">
            <w:pPr>
              <w:autoSpaceDE w:val="0"/>
              <w:autoSpaceDN w:val="0"/>
              <w:adjustRightInd w:val="0"/>
              <w:jc w:val="center"/>
              <w:rPr>
                <w:sz w:val="20"/>
              </w:rPr>
            </w:pPr>
            <w:r>
              <w:rPr>
                <w:sz w:val="20"/>
              </w:rPr>
              <w:t>29,8 %</w:t>
            </w:r>
          </w:p>
        </w:tc>
      </w:tr>
      <w:tr w:rsidR="004E65A9" w:rsidRPr="00BD1AD5" w14:paraId="76EBFF71" w14:textId="77777777" w:rsidTr="008600F3">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6431E472" w14:textId="77777777" w:rsidR="004E65A9" w:rsidRPr="00BD1AD5" w:rsidRDefault="004E65A9" w:rsidP="008600F3">
            <w:pPr>
              <w:rPr>
                <w:sz w:val="20"/>
              </w:rPr>
            </w:pPr>
            <w:r>
              <w:rPr>
                <w:sz w:val="20"/>
              </w:rPr>
              <w:t>Median tid (uker) til sår i munnen tilheles under placebokontrollert behandlingsfase</w:t>
            </w:r>
          </w:p>
        </w:tc>
        <w:tc>
          <w:tcPr>
            <w:tcW w:w="1620" w:type="dxa"/>
            <w:tcBorders>
              <w:top w:val="single" w:sz="6" w:space="0" w:color="000000"/>
              <w:left w:val="single" w:sz="6" w:space="0" w:color="000000"/>
              <w:bottom w:val="single" w:sz="6" w:space="0" w:color="000000"/>
              <w:right w:val="single" w:sz="6" w:space="0" w:color="000000"/>
            </w:tcBorders>
            <w:vAlign w:val="center"/>
          </w:tcPr>
          <w:p w14:paraId="6915CBCB" w14:textId="77777777" w:rsidR="004E65A9" w:rsidRPr="00BD1AD5" w:rsidRDefault="004E65A9" w:rsidP="008600F3">
            <w:pPr>
              <w:autoSpaceDE w:val="0"/>
              <w:autoSpaceDN w:val="0"/>
              <w:adjustRightInd w:val="0"/>
              <w:jc w:val="center"/>
              <w:rPr>
                <w:sz w:val="20"/>
              </w:rPr>
            </w:pPr>
            <w:r>
              <w:rPr>
                <w:sz w:val="20"/>
              </w:rPr>
              <w:t>8,1 uker</w:t>
            </w:r>
          </w:p>
        </w:tc>
        <w:tc>
          <w:tcPr>
            <w:tcW w:w="1800" w:type="dxa"/>
            <w:tcBorders>
              <w:top w:val="single" w:sz="6" w:space="0" w:color="000000"/>
              <w:left w:val="single" w:sz="6" w:space="0" w:color="000000"/>
              <w:bottom w:val="single" w:sz="6" w:space="0" w:color="000000"/>
              <w:right w:val="single" w:sz="6" w:space="0" w:color="000000"/>
            </w:tcBorders>
            <w:vAlign w:val="center"/>
          </w:tcPr>
          <w:p w14:paraId="0438178C" w14:textId="77777777" w:rsidR="004E65A9" w:rsidRPr="00BD1AD5" w:rsidRDefault="004E65A9" w:rsidP="008600F3">
            <w:pPr>
              <w:autoSpaceDE w:val="0"/>
              <w:autoSpaceDN w:val="0"/>
              <w:adjustRightInd w:val="0"/>
              <w:jc w:val="center"/>
              <w:rPr>
                <w:sz w:val="20"/>
              </w:rPr>
            </w:pPr>
            <w:r>
              <w:rPr>
                <w:sz w:val="20"/>
              </w:rPr>
              <w:t>2,1 uker</w:t>
            </w:r>
          </w:p>
        </w:tc>
      </w:tr>
      <w:tr w:rsidR="004E65A9" w:rsidRPr="00BD1AD5" w14:paraId="06274EFD" w14:textId="77777777" w:rsidTr="008600F3">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56B38AFC" w14:textId="77777777" w:rsidR="004E65A9" w:rsidRPr="00BD1AD5" w:rsidRDefault="004E65A9" w:rsidP="008600F3">
            <w:pPr>
              <w:keepNext/>
              <w:rPr>
                <w:sz w:val="20"/>
              </w:rPr>
            </w:pPr>
            <w:r>
              <w:rPr>
                <w:sz w:val="20"/>
              </w:rPr>
              <w:t>Andel av forsøkspersoner med komplett sår i munnen-respons ved uke 12 (NRI)</w:t>
            </w:r>
          </w:p>
        </w:tc>
        <w:tc>
          <w:tcPr>
            <w:tcW w:w="1620" w:type="dxa"/>
            <w:tcBorders>
              <w:top w:val="single" w:sz="6" w:space="0" w:color="000000"/>
              <w:left w:val="single" w:sz="6" w:space="0" w:color="000000"/>
              <w:bottom w:val="single" w:sz="6" w:space="0" w:color="000000"/>
              <w:right w:val="single" w:sz="6" w:space="0" w:color="000000"/>
            </w:tcBorders>
            <w:vAlign w:val="center"/>
          </w:tcPr>
          <w:p w14:paraId="40E7C5FB" w14:textId="77777777" w:rsidR="004E65A9" w:rsidRPr="00BD1AD5" w:rsidRDefault="004E65A9" w:rsidP="008600F3">
            <w:pPr>
              <w:autoSpaceDE w:val="0"/>
              <w:autoSpaceDN w:val="0"/>
              <w:adjustRightInd w:val="0"/>
              <w:jc w:val="center"/>
              <w:rPr>
                <w:sz w:val="20"/>
              </w:rPr>
            </w:pPr>
            <w:r>
              <w:rPr>
                <w:sz w:val="20"/>
              </w:rPr>
              <w:t>22,3 %</w:t>
            </w:r>
          </w:p>
        </w:tc>
        <w:tc>
          <w:tcPr>
            <w:tcW w:w="1800" w:type="dxa"/>
            <w:tcBorders>
              <w:top w:val="single" w:sz="6" w:space="0" w:color="000000"/>
              <w:left w:val="single" w:sz="6" w:space="0" w:color="000000"/>
              <w:bottom w:val="single" w:sz="6" w:space="0" w:color="000000"/>
              <w:right w:val="single" w:sz="6" w:space="0" w:color="000000"/>
            </w:tcBorders>
            <w:vAlign w:val="center"/>
          </w:tcPr>
          <w:p w14:paraId="16A2FF42" w14:textId="77777777" w:rsidR="004E65A9" w:rsidRPr="00BD1AD5" w:rsidRDefault="004E65A9" w:rsidP="008600F3">
            <w:pPr>
              <w:autoSpaceDE w:val="0"/>
              <w:autoSpaceDN w:val="0"/>
              <w:adjustRightInd w:val="0"/>
              <w:jc w:val="center"/>
              <w:rPr>
                <w:sz w:val="20"/>
              </w:rPr>
            </w:pPr>
            <w:r>
              <w:rPr>
                <w:sz w:val="20"/>
              </w:rPr>
              <w:t>52,9 %</w:t>
            </w:r>
          </w:p>
        </w:tc>
      </w:tr>
      <w:tr w:rsidR="004E65A9" w:rsidRPr="00BD1AD5" w14:paraId="6F863681" w14:textId="77777777" w:rsidTr="008600F3">
        <w:trPr>
          <w:cantSplit/>
          <w:trHeight w:val="567"/>
        </w:trPr>
        <w:tc>
          <w:tcPr>
            <w:tcW w:w="6030" w:type="dxa"/>
            <w:tcBorders>
              <w:top w:val="single" w:sz="6" w:space="0" w:color="000000"/>
              <w:left w:val="single" w:sz="6" w:space="0" w:color="000000"/>
              <w:bottom w:val="single" w:sz="4" w:space="0" w:color="auto"/>
              <w:right w:val="single" w:sz="6" w:space="0" w:color="000000"/>
            </w:tcBorders>
            <w:vAlign w:val="center"/>
            <w:hideMark/>
          </w:tcPr>
          <w:p w14:paraId="2D0DE261" w14:textId="77777777" w:rsidR="004E65A9" w:rsidRPr="00BD1AD5" w:rsidRDefault="004E65A9" w:rsidP="008600F3">
            <w:pPr>
              <w:keepNext/>
              <w:rPr>
                <w:sz w:val="20"/>
              </w:rPr>
            </w:pPr>
            <w:r>
              <w:rPr>
                <w:sz w:val="20"/>
              </w:rPr>
              <w:t>Andel av forsøkspersoner med delvis sår i munnen-respons</w:t>
            </w:r>
            <w:r>
              <w:rPr>
                <w:sz w:val="20"/>
                <w:vertAlign w:val="superscript"/>
              </w:rPr>
              <w:t>d</w:t>
            </w:r>
            <w:r>
              <w:rPr>
                <w:sz w:val="20"/>
              </w:rPr>
              <w:t xml:space="preserve"> ved uke 12 (NRI)</w:t>
            </w:r>
          </w:p>
        </w:tc>
        <w:tc>
          <w:tcPr>
            <w:tcW w:w="1620" w:type="dxa"/>
            <w:tcBorders>
              <w:top w:val="single" w:sz="6" w:space="0" w:color="000000"/>
              <w:left w:val="single" w:sz="6" w:space="0" w:color="000000"/>
              <w:bottom w:val="single" w:sz="4" w:space="0" w:color="auto"/>
              <w:right w:val="single" w:sz="6" w:space="0" w:color="000000"/>
            </w:tcBorders>
            <w:vAlign w:val="center"/>
          </w:tcPr>
          <w:p w14:paraId="08B26BFF" w14:textId="77777777" w:rsidR="004E65A9" w:rsidRPr="00BD1AD5" w:rsidRDefault="004E65A9" w:rsidP="008600F3">
            <w:pPr>
              <w:autoSpaceDE w:val="0"/>
              <w:autoSpaceDN w:val="0"/>
              <w:adjustRightInd w:val="0"/>
              <w:jc w:val="center"/>
              <w:rPr>
                <w:sz w:val="20"/>
              </w:rPr>
            </w:pPr>
            <w:r>
              <w:rPr>
                <w:sz w:val="20"/>
              </w:rPr>
              <w:t>47,6 %</w:t>
            </w:r>
          </w:p>
        </w:tc>
        <w:tc>
          <w:tcPr>
            <w:tcW w:w="1800" w:type="dxa"/>
            <w:tcBorders>
              <w:top w:val="single" w:sz="6" w:space="0" w:color="000000"/>
              <w:left w:val="single" w:sz="6" w:space="0" w:color="000000"/>
              <w:bottom w:val="single" w:sz="4" w:space="0" w:color="auto"/>
              <w:right w:val="single" w:sz="6" w:space="0" w:color="000000"/>
            </w:tcBorders>
            <w:vAlign w:val="center"/>
          </w:tcPr>
          <w:p w14:paraId="3FE5D76D" w14:textId="77777777" w:rsidR="004E65A9" w:rsidRPr="00BD1AD5" w:rsidRDefault="004E65A9" w:rsidP="008600F3">
            <w:pPr>
              <w:autoSpaceDE w:val="0"/>
              <w:autoSpaceDN w:val="0"/>
              <w:adjustRightInd w:val="0"/>
              <w:jc w:val="center"/>
              <w:rPr>
                <w:sz w:val="20"/>
              </w:rPr>
            </w:pPr>
            <w:r>
              <w:rPr>
                <w:sz w:val="20"/>
              </w:rPr>
              <w:t>76,0 %</w:t>
            </w:r>
          </w:p>
        </w:tc>
      </w:tr>
    </w:tbl>
    <w:p w14:paraId="0AE5DEC3" w14:textId="77777777" w:rsidR="004E65A9" w:rsidRPr="00BD1AD5" w:rsidRDefault="004E65A9" w:rsidP="003F09AA">
      <w:pPr>
        <w:keepNext/>
        <w:autoSpaceDE w:val="0"/>
        <w:autoSpaceDN w:val="0"/>
        <w:adjustRightInd w:val="0"/>
        <w:ind w:left="40" w:right="-20"/>
        <w:rPr>
          <w:spacing w:val="-1"/>
          <w:sz w:val="18"/>
          <w:szCs w:val="18"/>
        </w:rPr>
      </w:pPr>
      <w:r>
        <w:rPr>
          <w:sz w:val="18"/>
        </w:rPr>
        <w:t>ITT = med hensikt å behandle; LS = minste kvadrater; MI = flere imputasjoner; MMRM = blandet effektmodell for gjentatte målinger; NRI = imputasjon uten respons; BID = to ganger daglig.</w:t>
      </w:r>
    </w:p>
    <w:p w14:paraId="2F9FA7E5" w14:textId="77777777" w:rsidR="004E65A9" w:rsidRPr="00BD1AD5" w:rsidRDefault="004E65A9" w:rsidP="003F09AA">
      <w:pPr>
        <w:autoSpaceDE w:val="0"/>
        <w:autoSpaceDN w:val="0"/>
        <w:adjustRightInd w:val="0"/>
        <w:ind w:left="40" w:right="-20"/>
        <w:rPr>
          <w:spacing w:val="-1"/>
          <w:sz w:val="18"/>
          <w:szCs w:val="18"/>
        </w:rPr>
      </w:pPr>
      <w:r>
        <w:rPr>
          <w:sz w:val="18"/>
          <w:vertAlign w:val="superscript"/>
        </w:rPr>
        <w:t>a</w:t>
      </w:r>
      <w:r>
        <w:rPr>
          <w:sz w:val="18"/>
        </w:rPr>
        <w:t xml:space="preserve"> p</w:t>
      </w:r>
      <w:r>
        <w:rPr>
          <w:sz w:val="18"/>
        </w:rPr>
        <w:noBreakHyphen/>
        <w:t>verdi &lt; 0,0001 for alle apremilast vs. placebo</w:t>
      </w:r>
    </w:p>
    <w:p w14:paraId="1AF8D9DB" w14:textId="77777777" w:rsidR="004E65A9" w:rsidRPr="00BD1AD5" w:rsidRDefault="004E65A9" w:rsidP="003F09AA">
      <w:pPr>
        <w:autoSpaceDE w:val="0"/>
        <w:autoSpaceDN w:val="0"/>
        <w:adjustRightInd w:val="0"/>
        <w:ind w:left="40" w:right="-20"/>
        <w:rPr>
          <w:spacing w:val="-1"/>
          <w:sz w:val="18"/>
          <w:szCs w:val="18"/>
        </w:rPr>
      </w:pPr>
      <w:r>
        <w:rPr>
          <w:sz w:val="18"/>
          <w:vertAlign w:val="superscript"/>
        </w:rPr>
        <w:t>b</w:t>
      </w:r>
      <w:r>
        <w:rPr>
          <w:sz w:val="18"/>
        </w:rPr>
        <w:t xml:space="preserve"> AUC = areal under kurven.</w:t>
      </w:r>
    </w:p>
    <w:p w14:paraId="57CA5BFB" w14:textId="77777777" w:rsidR="004E65A9" w:rsidRPr="00BD1AD5" w:rsidRDefault="004E65A9" w:rsidP="003F09AA">
      <w:pPr>
        <w:keepNext/>
        <w:autoSpaceDE w:val="0"/>
        <w:autoSpaceDN w:val="0"/>
        <w:adjustRightInd w:val="0"/>
        <w:ind w:left="40" w:right="-20"/>
        <w:rPr>
          <w:spacing w:val="-1"/>
          <w:sz w:val="18"/>
          <w:szCs w:val="18"/>
        </w:rPr>
      </w:pPr>
      <w:r>
        <w:rPr>
          <w:sz w:val="18"/>
          <w:vertAlign w:val="superscript"/>
        </w:rPr>
        <w:t>c</w:t>
      </w:r>
      <w:r>
        <w:rPr>
          <w:sz w:val="18"/>
        </w:rPr>
        <w:t xml:space="preserve"> VAS = visuell analog skala; 0 = ingen smerte, 100 = verst tenkelige smerter.</w:t>
      </w:r>
    </w:p>
    <w:p w14:paraId="09379995" w14:textId="77777777" w:rsidR="004E65A9" w:rsidRPr="00BD1AD5" w:rsidRDefault="004E65A9" w:rsidP="003F09AA">
      <w:pPr>
        <w:pStyle w:val="StyleTablenotes"/>
      </w:pPr>
      <w:r>
        <w:rPr>
          <w:vertAlign w:val="superscript"/>
        </w:rPr>
        <w:t>d</w:t>
      </w:r>
      <w:r>
        <w:t xml:space="preserve"> Delvis sår i munnen</w:t>
      </w:r>
      <w:r>
        <w:noBreakHyphen/>
        <w:t>respons = antall sår i munnen redusert med ≥ 50 % etter baseline (eksplorativ analyse); nominell p</w:t>
      </w:r>
      <w:r>
        <w:noBreakHyphen/>
        <w:t>verdi – &lt; 0,0001</w:t>
      </w:r>
    </w:p>
    <w:p w14:paraId="350BA419" w14:textId="77777777" w:rsidR="004E65A9" w:rsidRPr="000B27C9" w:rsidRDefault="004E65A9" w:rsidP="003F09AA">
      <w:pPr>
        <w:pStyle w:val="C-BodyText"/>
        <w:spacing w:before="0" w:after="0" w:line="240" w:lineRule="auto"/>
        <w:rPr>
          <w:sz w:val="22"/>
          <w:szCs w:val="22"/>
        </w:rPr>
      </w:pPr>
    </w:p>
    <w:p w14:paraId="1AA32B0D" w14:textId="77777777" w:rsidR="004E65A9" w:rsidRPr="00BD1AD5" w:rsidRDefault="004E65A9" w:rsidP="003F09AA">
      <w:r>
        <w:t>Blant 104 pasienter opprinnelig randomisert til 30 mg apremilast to ganger daglig, stod fortsatt 75 pasienter (ca. 72 %) på denne behandlingen ved uke 64. Signifikant reduksjon i gjennomsnittlige antall sår i munnen og smerte ved sår i munnen ble observert ved behandling med 30 mg apremilast to ganger daglig, sammenlignet med placebogruppen, ved hvert besøk, så tidlig som uke 1, til og med uke 12 for antall sår i munnen (p ≤ 0,0015) og for smerte ved sår i munnen (p ≤ 0,0035). Blant pasientene som fikk kontinuerlig behandling med apremilast, og som fortsatte i studien, ble forbedringer ved sår i munnen og reduksjon av smerte ved sår i munnen opprettholdt til og med uke 64 (figur 3 og 4).</w:t>
      </w:r>
    </w:p>
    <w:p w14:paraId="00B74EA5" w14:textId="77777777" w:rsidR="004E65A9" w:rsidRPr="000B27C9" w:rsidRDefault="004E65A9" w:rsidP="003F09AA">
      <w:pPr>
        <w:pStyle w:val="C-BodyText"/>
        <w:spacing w:before="0" w:after="0" w:line="240" w:lineRule="auto"/>
        <w:rPr>
          <w:sz w:val="22"/>
          <w:szCs w:val="22"/>
        </w:rPr>
      </w:pPr>
    </w:p>
    <w:p w14:paraId="1350B6E8" w14:textId="77777777" w:rsidR="004E65A9" w:rsidRPr="00BD1AD5" w:rsidRDefault="004E65A9" w:rsidP="003F09AA">
      <w:pPr>
        <w:pStyle w:val="C-BodyText"/>
        <w:spacing w:before="0" w:after="0" w:line="240" w:lineRule="auto"/>
        <w:rPr>
          <w:b/>
          <w:sz w:val="22"/>
          <w:szCs w:val="22"/>
        </w:rPr>
      </w:pPr>
      <w:r>
        <w:rPr>
          <w:sz w:val="22"/>
        </w:rPr>
        <w:t>Blant pasientene som opprinnelig ble randomisert til 30 mg apremilast to ganger daglig, og som fortsatte i studien, var andelene av pasienter med komplett respons og delvis respons ved sår i munnen opprettholdt til og med uke 64 (henholdsvis 53,3 % og 76,0 %).</w:t>
      </w:r>
    </w:p>
    <w:p w14:paraId="1A85A725" w14:textId="77777777" w:rsidR="004E65A9" w:rsidRPr="000B27C9" w:rsidRDefault="004E65A9" w:rsidP="003F09AA">
      <w:pPr>
        <w:pStyle w:val="C-BodyText"/>
        <w:spacing w:before="0" w:after="0" w:line="240" w:lineRule="auto"/>
        <w:rPr>
          <w:sz w:val="22"/>
          <w:szCs w:val="22"/>
        </w:rPr>
      </w:pPr>
    </w:p>
    <w:p w14:paraId="1469F2A6" w14:textId="77777777" w:rsidR="004E65A9" w:rsidRPr="00BD1AD5" w:rsidRDefault="004E65A9" w:rsidP="003F09AA">
      <w:pPr>
        <w:keepNext/>
        <w:autoSpaceDE w:val="0"/>
        <w:autoSpaceDN w:val="0"/>
        <w:adjustRightInd w:val="0"/>
        <w:rPr>
          <w:b/>
        </w:rPr>
      </w:pPr>
      <w:r>
        <w:rPr>
          <w:b/>
        </w:rPr>
        <w:lastRenderedPageBreak/>
        <w:t>Figur 3. Gjennomsnittlig antall sår i munnen ved tidspunkt til og med uke 64 (ITT</w:t>
      </w:r>
      <w:r>
        <w:rPr>
          <w:b/>
        </w:rPr>
        <w:noBreakHyphen/>
        <w:t>populasjon; DAO (data som observert))</w:t>
      </w:r>
    </w:p>
    <w:p w14:paraId="3F8E8EFA" w14:textId="77777777" w:rsidR="004E65A9" w:rsidRPr="00BD1AD5" w:rsidRDefault="004E65A9" w:rsidP="003F09AA">
      <w:pPr>
        <w:keepNext/>
        <w:autoSpaceDE w:val="0"/>
        <w:autoSpaceDN w:val="0"/>
        <w:adjustRightInd w:val="0"/>
        <w:rPr>
          <w:b/>
        </w:rPr>
      </w:pPr>
    </w:p>
    <w:p w14:paraId="5B0FE5A5" w14:textId="549E6806" w:rsidR="004E65A9" w:rsidRPr="00BD1AD5" w:rsidRDefault="00963757" w:rsidP="003F09AA">
      <w:pPr>
        <w:keepNext/>
        <w:autoSpaceDE w:val="0"/>
        <w:autoSpaceDN w:val="0"/>
        <w:adjustRightInd w:val="0"/>
        <w:rPr>
          <w:b/>
          <w:highlight w:val="magenta"/>
        </w:rPr>
      </w:pPr>
      <w:r>
        <w:rPr>
          <w:noProof/>
        </w:rPr>
        <w:pict w14:anchorId="0E2E71A8">
          <v:group id="Group 184" o:spid="_x0000_s2059" style="position:absolute;margin-left:.4pt;margin-top:2.95pt;width:515.2pt;height:219.1pt;z-index:251658240" coordorigin="1426,1952" coordsize="10304,4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">
            <v:shape id="Text Box 185" o:spid="_x0000_s2060" type="#_x0000_t202" style="position:absolute;left:1426;top:5081;width:10304;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" filled="f" stroked="f" strokecolor="white">
              <v:textbox>
                <w:txbxContent>
                  <w:tbl>
                    <w:tblPr>
                      <w:tblOverlap w:val="never"/>
                      <w:tblW w:w="9555" w:type="dxa"/>
                      <w:tblInd w:w="-98" w:type="dxa"/>
                      <w:tblLayout w:type="fixed"/>
                      <w:tblCellMar>
                        <w:left w:w="0" w:type="dxa"/>
                        <w:right w:w="0" w:type="dxa"/>
                      </w:tblCellMar>
                      <w:tblLook w:val="04A0" w:firstRow="1" w:lastRow="0" w:firstColumn="1" w:lastColumn="0" w:noHBand="0" w:noVBand="1"/>
                    </w:tblPr>
                    <w:tblGrid>
                      <w:gridCol w:w="1298"/>
                      <w:gridCol w:w="170"/>
                      <w:gridCol w:w="170"/>
                      <w:gridCol w:w="170"/>
                      <w:gridCol w:w="170"/>
                      <w:gridCol w:w="232"/>
                      <w:gridCol w:w="232"/>
                      <w:gridCol w:w="232"/>
                      <w:gridCol w:w="340"/>
                      <w:gridCol w:w="567"/>
                      <w:gridCol w:w="850"/>
                      <w:gridCol w:w="493"/>
                      <w:gridCol w:w="907"/>
                      <w:gridCol w:w="493"/>
                      <w:gridCol w:w="794"/>
                      <w:gridCol w:w="493"/>
                      <w:gridCol w:w="1020"/>
                      <w:gridCol w:w="283"/>
                      <w:gridCol w:w="641"/>
                    </w:tblGrid>
                    <w:tr w:rsidR="004E65A9" w:rsidRPr="00966284" w14:paraId="289ADF5A" w14:textId="77777777" w:rsidTr="00BB6A22">
                      <w:trPr>
                        <w:cantSplit/>
                        <w:trHeight w:val="287"/>
                      </w:trPr>
                      <w:tc>
                        <w:tcPr>
                          <w:tcW w:w="1298" w:type="dxa"/>
                          <w:shd w:val="clear" w:color="auto" w:fill="000000"/>
                          <w:vAlign w:val="center"/>
                        </w:tcPr>
                        <w:p w14:paraId="65DE62EF" w14:textId="77777777" w:rsidR="004E65A9" w:rsidRPr="00251772" w:rsidRDefault="004E65A9" w:rsidP="00C74BA1">
                          <w:pPr>
                            <w:pStyle w:val="Style4"/>
                            <w:shd w:val="clear" w:color="auto" w:fill="auto"/>
                            <w:spacing w:line="240" w:lineRule="auto"/>
                            <w:ind w:left="57"/>
                            <w:suppressOverlap/>
                            <w:rPr>
                              <w:rFonts w:ascii="Arial Narrow" w:hAnsi="Arial Narrow"/>
                              <w:b/>
                              <w:bCs/>
                              <w:sz w:val="14"/>
                              <w:szCs w:val="14"/>
                              <w:highlight w:val="black"/>
                            </w:rPr>
                          </w:pPr>
                          <w:r>
                            <w:rPr>
                              <w:rStyle w:val="CharStyle8"/>
                              <w:rFonts w:ascii="Arial Narrow" w:eastAsia="SimSun" w:hAnsi="Arial Narrow"/>
                              <w:b/>
                              <w:sz w:val="14"/>
                              <w:highlight w:val="black"/>
                            </w:rPr>
                            <w:t>Uker</w:t>
                          </w:r>
                        </w:p>
                      </w:tc>
                      <w:tc>
                        <w:tcPr>
                          <w:tcW w:w="170" w:type="dxa"/>
                          <w:shd w:val="clear" w:color="auto" w:fill="000000"/>
                          <w:vAlign w:val="center"/>
                        </w:tcPr>
                        <w:p w14:paraId="1F864F4E" w14:textId="77777777" w:rsidR="004E65A9" w:rsidRPr="00251772" w:rsidRDefault="004E65A9"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0</w:t>
                          </w:r>
                        </w:p>
                      </w:tc>
                      <w:tc>
                        <w:tcPr>
                          <w:tcW w:w="170" w:type="dxa"/>
                          <w:shd w:val="clear" w:color="auto" w:fill="000000"/>
                          <w:vAlign w:val="center"/>
                        </w:tcPr>
                        <w:p w14:paraId="7E9D2D10" w14:textId="77777777" w:rsidR="004E65A9" w:rsidRPr="00251772" w:rsidRDefault="004E65A9"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w:t>
                          </w:r>
                        </w:p>
                      </w:tc>
                      <w:tc>
                        <w:tcPr>
                          <w:tcW w:w="170" w:type="dxa"/>
                          <w:shd w:val="clear" w:color="auto" w:fill="000000"/>
                          <w:vAlign w:val="center"/>
                        </w:tcPr>
                        <w:p w14:paraId="6ED6B4D2" w14:textId="77777777" w:rsidR="004E65A9" w:rsidRPr="00251772" w:rsidRDefault="004E65A9"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2</w:t>
                          </w:r>
                        </w:p>
                      </w:tc>
                      <w:tc>
                        <w:tcPr>
                          <w:tcW w:w="170" w:type="dxa"/>
                          <w:shd w:val="clear" w:color="auto" w:fill="000000"/>
                          <w:vAlign w:val="center"/>
                        </w:tcPr>
                        <w:p w14:paraId="3DE3DFCA" w14:textId="77777777" w:rsidR="004E65A9" w:rsidRPr="00251772" w:rsidRDefault="004E65A9"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4</w:t>
                          </w:r>
                        </w:p>
                      </w:tc>
                      <w:tc>
                        <w:tcPr>
                          <w:tcW w:w="232" w:type="dxa"/>
                          <w:shd w:val="clear" w:color="auto" w:fill="000000"/>
                          <w:vAlign w:val="center"/>
                        </w:tcPr>
                        <w:p w14:paraId="6A0D19D4" w14:textId="77777777" w:rsidR="004E65A9" w:rsidRPr="00251772" w:rsidRDefault="004E65A9"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6</w:t>
                          </w:r>
                        </w:p>
                      </w:tc>
                      <w:tc>
                        <w:tcPr>
                          <w:tcW w:w="232" w:type="dxa"/>
                          <w:shd w:val="clear" w:color="auto" w:fill="000000"/>
                          <w:vAlign w:val="center"/>
                        </w:tcPr>
                        <w:p w14:paraId="13A4C4DE" w14:textId="77777777" w:rsidR="004E65A9" w:rsidRPr="00251772" w:rsidRDefault="004E65A9"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8</w:t>
                          </w:r>
                        </w:p>
                      </w:tc>
                      <w:tc>
                        <w:tcPr>
                          <w:tcW w:w="232" w:type="dxa"/>
                          <w:shd w:val="clear" w:color="auto" w:fill="000000"/>
                          <w:vAlign w:val="center"/>
                        </w:tcPr>
                        <w:p w14:paraId="33212CE0" w14:textId="77777777" w:rsidR="004E65A9" w:rsidRPr="00251772" w:rsidRDefault="004E65A9"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10</w:t>
                          </w:r>
                        </w:p>
                      </w:tc>
                      <w:tc>
                        <w:tcPr>
                          <w:tcW w:w="340" w:type="dxa"/>
                          <w:shd w:val="clear" w:color="auto" w:fill="000000"/>
                          <w:vAlign w:val="center"/>
                        </w:tcPr>
                        <w:p w14:paraId="1AC35802" w14:textId="77777777" w:rsidR="004E65A9" w:rsidRPr="00251772" w:rsidRDefault="004E65A9"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12</w:t>
                          </w:r>
                        </w:p>
                      </w:tc>
                      <w:tc>
                        <w:tcPr>
                          <w:tcW w:w="567" w:type="dxa"/>
                          <w:shd w:val="clear" w:color="auto" w:fill="000000"/>
                          <w:vAlign w:val="center"/>
                        </w:tcPr>
                        <w:p w14:paraId="5313F4E8" w14:textId="77777777" w:rsidR="004E65A9" w:rsidRPr="00251772" w:rsidRDefault="004E65A9"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16</w:t>
                          </w:r>
                        </w:p>
                      </w:tc>
                      <w:tc>
                        <w:tcPr>
                          <w:tcW w:w="850" w:type="dxa"/>
                          <w:shd w:val="clear" w:color="auto" w:fill="000000"/>
                          <w:vAlign w:val="center"/>
                        </w:tcPr>
                        <w:p w14:paraId="3FA73A41" w14:textId="77777777" w:rsidR="004E65A9" w:rsidRPr="00251772" w:rsidRDefault="004E65A9"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0D729E84" w14:textId="77777777" w:rsidR="004E65A9" w:rsidRPr="00251772" w:rsidRDefault="004E65A9"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28</w:t>
                          </w:r>
                        </w:p>
                      </w:tc>
                      <w:tc>
                        <w:tcPr>
                          <w:tcW w:w="907" w:type="dxa"/>
                          <w:shd w:val="clear" w:color="auto" w:fill="000000"/>
                          <w:vAlign w:val="center"/>
                        </w:tcPr>
                        <w:p w14:paraId="0137EBB3" w14:textId="77777777" w:rsidR="004E65A9" w:rsidRPr="00251772" w:rsidRDefault="004E65A9"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5959D8EA" w14:textId="77777777" w:rsidR="004E65A9" w:rsidRPr="00251772" w:rsidRDefault="004E65A9"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40</w:t>
                          </w:r>
                        </w:p>
                      </w:tc>
                      <w:tc>
                        <w:tcPr>
                          <w:tcW w:w="794" w:type="dxa"/>
                          <w:shd w:val="clear" w:color="auto" w:fill="000000"/>
                          <w:vAlign w:val="center"/>
                        </w:tcPr>
                        <w:p w14:paraId="66E36D43" w14:textId="77777777" w:rsidR="004E65A9" w:rsidRPr="00251772" w:rsidRDefault="004E65A9"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3DE389FE" w14:textId="77777777" w:rsidR="004E65A9" w:rsidRPr="00251772" w:rsidRDefault="004E65A9"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52</w:t>
                          </w:r>
                        </w:p>
                      </w:tc>
                      <w:tc>
                        <w:tcPr>
                          <w:tcW w:w="1020" w:type="dxa"/>
                          <w:shd w:val="clear" w:color="auto" w:fill="000000"/>
                          <w:vAlign w:val="center"/>
                        </w:tcPr>
                        <w:p w14:paraId="5D31A944" w14:textId="77777777" w:rsidR="004E65A9" w:rsidRPr="00251772" w:rsidRDefault="004E65A9"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283" w:type="dxa"/>
                          <w:shd w:val="clear" w:color="auto" w:fill="000000"/>
                          <w:vAlign w:val="center"/>
                        </w:tcPr>
                        <w:p w14:paraId="5537874B" w14:textId="77777777" w:rsidR="004E65A9" w:rsidRPr="00251772" w:rsidRDefault="004E65A9" w:rsidP="00C74BA1">
                          <w:pPr>
                            <w:pStyle w:val="Style4"/>
                            <w:shd w:val="clear" w:color="auto" w:fill="auto"/>
                            <w:spacing w:line="240" w:lineRule="auto"/>
                            <w:suppressOverlap/>
                            <w:jc w:val="center"/>
                            <w:rPr>
                              <w:rFonts w:ascii="Arial Narrow" w:eastAsia="DengXian" w:hAnsi="Arial Narrow"/>
                              <w:color w:val="FFFFFF"/>
                              <w:sz w:val="14"/>
                              <w:szCs w:val="14"/>
                              <w:highlight w:val="black"/>
                              <w:shd w:val="clear" w:color="auto" w:fill="FFFFFF"/>
                            </w:rPr>
                          </w:pPr>
                          <w:r>
                            <w:rPr>
                              <w:rStyle w:val="CharStyle8"/>
                              <w:rFonts w:ascii="Arial Narrow" w:eastAsia="SimSun" w:hAnsi="Arial Narrow"/>
                              <w:sz w:val="14"/>
                              <w:highlight w:val="black"/>
                            </w:rPr>
                            <w:t>64</w:t>
                          </w:r>
                        </w:p>
                      </w:tc>
                      <w:tc>
                        <w:tcPr>
                          <w:tcW w:w="641" w:type="dxa"/>
                          <w:shd w:val="clear" w:color="auto" w:fill="000000"/>
                          <w:vAlign w:val="center"/>
                        </w:tcPr>
                        <w:p w14:paraId="4E4E302C" w14:textId="77777777" w:rsidR="004E65A9" w:rsidRPr="00251772" w:rsidRDefault="004E65A9" w:rsidP="00BB6A22">
                          <w:pPr>
                            <w:pStyle w:val="Style4"/>
                            <w:shd w:val="clear" w:color="auto" w:fill="auto"/>
                            <w:spacing w:line="240" w:lineRule="auto"/>
                            <w:suppressOverlap/>
                            <w:jc w:val="center"/>
                            <w:rPr>
                              <w:rStyle w:val="CharStyle8"/>
                              <w:rFonts w:ascii="Arial Narrow" w:eastAsia="DengXian" w:hAnsi="Arial Narrow"/>
                              <w:sz w:val="14"/>
                              <w:szCs w:val="14"/>
                              <w:highlight w:val="black"/>
                            </w:rPr>
                          </w:pPr>
                          <w:r>
                            <w:rPr>
                              <w:rStyle w:val="CharStyle8"/>
                              <w:rFonts w:ascii="Arial Narrow" w:eastAsia="SimSun" w:hAnsi="Arial Narrow"/>
                              <w:sz w:val="14"/>
                              <w:highlight w:val="black"/>
                            </w:rPr>
                            <w:t>Oppfølging</w:t>
                          </w:r>
                        </w:p>
                      </w:tc>
                    </w:tr>
                    <w:tr w:rsidR="004E65A9" w:rsidRPr="00966284" w14:paraId="4DEAAC1C" w14:textId="77777777" w:rsidTr="00BB6A22">
                      <w:trPr>
                        <w:cantSplit/>
                        <w:trHeight w:val="198"/>
                      </w:trPr>
                      <w:tc>
                        <w:tcPr>
                          <w:tcW w:w="1298" w:type="dxa"/>
                          <w:vMerge w:val="restart"/>
                          <w:tcBorders>
                            <w:left w:val="single" w:sz="4" w:space="0" w:color="auto"/>
                          </w:tcBorders>
                          <w:shd w:val="clear" w:color="auto" w:fill="FFFFFF"/>
                          <w:vAlign w:val="center"/>
                        </w:tcPr>
                        <w:p w14:paraId="58775197" w14:textId="77777777" w:rsidR="004E65A9" w:rsidRPr="009E5900" w:rsidRDefault="004E65A9" w:rsidP="00C74BA1">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Placebo, n (gjennomsnitt)</w:t>
                          </w:r>
                        </w:p>
                      </w:tc>
                      <w:tc>
                        <w:tcPr>
                          <w:tcW w:w="170" w:type="dxa"/>
                          <w:shd w:val="clear" w:color="auto" w:fill="FFFFFF"/>
                          <w:vAlign w:val="center"/>
                        </w:tcPr>
                        <w:p w14:paraId="7481FC26" w14:textId="77777777" w:rsidR="004E65A9" w:rsidRPr="00966284" w:rsidRDefault="004E65A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103</w:t>
                          </w:r>
                        </w:p>
                      </w:tc>
                      <w:tc>
                        <w:tcPr>
                          <w:tcW w:w="170" w:type="dxa"/>
                          <w:shd w:val="clear" w:color="auto" w:fill="FFFFFF"/>
                          <w:vAlign w:val="center"/>
                        </w:tcPr>
                        <w:p w14:paraId="39B32608" w14:textId="77777777" w:rsidR="004E65A9" w:rsidRPr="00966284" w:rsidRDefault="004E65A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98</w:t>
                          </w:r>
                        </w:p>
                      </w:tc>
                      <w:tc>
                        <w:tcPr>
                          <w:tcW w:w="170" w:type="dxa"/>
                          <w:shd w:val="clear" w:color="auto" w:fill="FFFFFF"/>
                          <w:vAlign w:val="center"/>
                        </w:tcPr>
                        <w:p w14:paraId="28C6CDDC" w14:textId="77777777" w:rsidR="004E65A9" w:rsidRPr="00966284" w:rsidRDefault="004E65A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97</w:t>
                          </w:r>
                        </w:p>
                      </w:tc>
                      <w:tc>
                        <w:tcPr>
                          <w:tcW w:w="170" w:type="dxa"/>
                          <w:shd w:val="clear" w:color="auto" w:fill="FFFFFF"/>
                          <w:vAlign w:val="center"/>
                        </w:tcPr>
                        <w:p w14:paraId="6DD4394D" w14:textId="77777777" w:rsidR="004E65A9" w:rsidRPr="00966284" w:rsidRDefault="004E65A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93</w:t>
                          </w:r>
                        </w:p>
                      </w:tc>
                      <w:tc>
                        <w:tcPr>
                          <w:tcW w:w="232" w:type="dxa"/>
                          <w:shd w:val="clear" w:color="auto" w:fill="FFFFFF"/>
                          <w:vAlign w:val="center"/>
                        </w:tcPr>
                        <w:p w14:paraId="01A72AA6" w14:textId="77777777" w:rsidR="004E65A9" w:rsidRPr="00966284" w:rsidRDefault="004E65A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232" w:type="dxa"/>
                          <w:shd w:val="clear" w:color="auto" w:fill="FFFFFF"/>
                          <w:vAlign w:val="center"/>
                        </w:tcPr>
                        <w:p w14:paraId="051BD689" w14:textId="77777777" w:rsidR="004E65A9" w:rsidRPr="00966284" w:rsidRDefault="004E65A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86</w:t>
                          </w:r>
                        </w:p>
                      </w:tc>
                      <w:tc>
                        <w:tcPr>
                          <w:tcW w:w="232" w:type="dxa"/>
                          <w:shd w:val="clear" w:color="auto" w:fill="FFFFFF"/>
                          <w:vAlign w:val="center"/>
                        </w:tcPr>
                        <w:p w14:paraId="1801EA0A" w14:textId="77777777" w:rsidR="004E65A9" w:rsidRPr="00966284" w:rsidRDefault="004E65A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83</w:t>
                          </w:r>
                        </w:p>
                      </w:tc>
                      <w:tc>
                        <w:tcPr>
                          <w:tcW w:w="340" w:type="dxa"/>
                          <w:shd w:val="clear" w:color="auto" w:fill="FFFFFF"/>
                          <w:vAlign w:val="center"/>
                        </w:tcPr>
                        <w:p w14:paraId="1C7C3D50" w14:textId="77777777" w:rsidR="004E65A9" w:rsidRPr="00966284" w:rsidRDefault="004E65A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567" w:type="dxa"/>
                          <w:shd w:val="clear" w:color="auto" w:fill="FFFFFF"/>
                          <w:vAlign w:val="center"/>
                        </w:tcPr>
                        <w:p w14:paraId="6548D8B1" w14:textId="77777777" w:rsidR="004E65A9" w:rsidRPr="00251772" w:rsidRDefault="004E65A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83</w:t>
                          </w:r>
                        </w:p>
                      </w:tc>
                      <w:tc>
                        <w:tcPr>
                          <w:tcW w:w="850" w:type="dxa"/>
                          <w:shd w:val="clear" w:color="auto" w:fill="FFFFFF"/>
                          <w:vAlign w:val="center"/>
                        </w:tcPr>
                        <w:p w14:paraId="36ADFE47" w14:textId="77777777" w:rsidR="004E65A9" w:rsidRPr="00966284" w:rsidRDefault="004E65A9"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93" w:type="dxa"/>
                          <w:shd w:val="clear" w:color="auto" w:fill="FFFFFF"/>
                          <w:vAlign w:val="center"/>
                        </w:tcPr>
                        <w:p w14:paraId="4C00CCEC" w14:textId="77777777" w:rsidR="004E65A9" w:rsidRPr="00966284" w:rsidRDefault="004E65A9" w:rsidP="00C74BA1">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78</w:t>
                          </w:r>
                        </w:p>
                      </w:tc>
                      <w:tc>
                        <w:tcPr>
                          <w:tcW w:w="907" w:type="dxa"/>
                          <w:shd w:val="clear" w:color="auto" w:fill="FFFFFF"/>
                          <w:vAlign w:val="center"/>
                        </w:tcPr>
                        <w:p w14:paraId="55C25F7C" w14:textId="77777777" w:rsidR="004E65A9" w:rsidRPr="00966284" w:rsidRDefault="004E65A9"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1CD60B84" w14:textId="77777777" w:rsidR="004E65A9" w:rsidRPr="00966284" w:rsidRDefault="004E65A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73</w:t>
                          </w:r>
                        </w:p>
                      </w:tc>
                      <w:tc>
                        <w:tcPr>
                          <w:tcW w:w="794" w:type="dxa"/>
                          <w:shd w:val="clear" w:color="auto" w:fill="FFFFFF"/>
                          <w:vAlign w:val="center"/>
                        </w:tcPr>
                        <w:p w14:paraId="5A8476E8" w14:textId="77777777" w:rsidR="004E65A9" w:rsidRPr="00966284" w:rsidRDefault="004E65A9"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26D285B7" w14:textId="77777777" w:rsidR="004E65A9" w:rsidRPr="00966284" w:rsidRDefault="004E65A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70</w:t>
                          </w:r>
                        </w:p>
                      </w:tc>
                      <w:tc>
                        <w:tcPr>
                          <w:tcW w:w="1020" w:type="dxa"/>
                          <w:shd w:val="clear" w:color="auto" w:fill="FFFFFF"/>
                          <w:vAlign w:val="center"/>
                        </w:tcPr>
                        <w:p w14:paraId="75607260" w14:textId="77777777" w:rsidR="004E65A9" w:rsidRPr="00966284" w:rsidRDefault="004E65A9"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283" w:type="dxa"/>
                          <w:shd w:val="clear" w:color="auto" w:fill="FFFFFF"/>
                          <w:vAlign w:val="center"/>
                        </w:tcPr>
                        <w:p w14:paraId="1010D639" w14:textId="77777777" w:rsidR="004E65A9" w:rsidRPr="00966284" w:rsidRDefault="004E65A9" w:rsidP="00C74BA1">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67</w:t>
                          </w:r>
                        </w:p>
                      </w:tc>
                      <w:tc>
                        <w:tcPr>
                          <w:tcW w:w="641" w:type="dxa"/>
                          <w:tcBorders>
                            <w:left w:val="nil"/>
                          </w:tcBorders>
                          <w:shd w:val="clear" w:color="auto" w:fill="FFFFFF"/>
                          <w:vAlign w:val="center"/>
                        </w:tcPr>
                        <w:p w14:paraId="70F6FA3B" w14:textId="77777777" w:rsidR="004E65A9" w:rsidRPr="00966284" w:rsidRDefault="004E65A9"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82</w:t>
                          </w:r>
                        </w:p>
                      </w:tc>
                    </w:tr>
                    <w:tr w:rsidR="004E65A9" w:rsidRPr="00966284" w14:paraId="19785855" w14:textId="77777777" w:rsidTr="00BB6A22">
                      <w:trPr>
                        <w:cantSplit/>
                        <w:trHeight w:val="198"/>
                      </w:trPr>
                      <w:tc>
                        <w:tcPr>
                          <w:tcW w:w="1298" w:type="dxa"/>
                          <w:vMerge/>
                          <w:tcBorders>
                            <w:left w:val="single" w:sz="4" w:space="0" w:color="auto"/>
                          </w:tcBorders>
                          <w:shd w:val="clear" w:color="auto" w:fill="FFFFFF"/>
                          <w:vAlign w:val="center"/>
                        </w:tcPr>
                        <w:p w14:paraId="3ED97F9F" w14:textId="77777777" w:rsidR="004E65A9" w:rsidRPr="009E5900" w:rsidRDefault="004E65A9" w:rsidP="00C74BA1">
                          <w:pPr>
                            <w:ind w:left="57"/>
                            <w:suppressOverlap/>
                            <w:rPr>
                              <w:rFonts w:ascii="Arial Narrow" w:hAnsi="Arial Narrow"/>
                              <w:sz w:val="14"/>
                              <w:szCs w:val="14"/>
                            </w:rPr>
                          </w:pPr>
                        </w:p>
                      </w:tc>
                      <w:tc>
                        <w:tcPr>
                          <w:tcW w:w="170" w:type="dxa"/>
                          <w:shd w:val="clear" w:color="auto" w:fill="FFFFFF"/>
                          <w:vAlign w:val="center"/>
                        </w:tcPr>
                        <w:p w14:paraId="3901BB3F" w14:textId="77777777" w:rsidR="004E65A9" w:rsidRPr="00966284" w:rsidRDefault="004E65A9"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(3,9)</w:t>
                          </w:r>
                        </w:p>
                      </w:tc>
                      <w:tc>
                        <w:tcPr>
                          <w:tcW w:w="170" w:type="dxa"/>
                          <w:shd w:val="clear" w:color="auto" w:fill="FFFFFF"/>
                          <w:vAlign w:val="center"/>
                        </w:tcPr>
                        <w:p w14:paraId="12793A7A" w14:textId="77777777" w:rsidR="004E65A9" w:rsidRPr="00966284" w:rsidRDefault="004E65A9"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(2,9)</w:t>
                          </w:r>
                        </w:p>
                      </w:tc>
                      <w:tc>
                        <w:tcPr>
                          <w:tcW w:w="170" w:type="dxa"/>
                          <w:shd w:val="clear" w:color="auto" w:fill="FFFFFF"/>
                          <w:vAlign w:val="center"/>
                        </w:tcPr>
                        <w:p w14:paraId="4FC524F3" w14:textId="77777777" w:rsidR="004E65A9" w:rsidRPr="00966284" w:rsidRDefault="004E65A9"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(2,8)</w:t>
                          </w:r>
                        </w:p>
                      </w:tc>
                      <w:tc>
                        <w:tcPr>
                          <w:tcW w:w="170" w:type="dxa"/>
                          <w:shd w:val="clear" w:color="auto" w:fill="FFFFFF"/>
                          <w:vAlign w:val="center"/>
                        </w:tcPr>
                        <w:p w14:paraId="592754D1" w14:textId="77777777" w:rsidR="004E65A9" w:rsidRPr="00966284" w:rsidRDefault="004E65A9"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(2,3)</w:t>
                          </w:r>
                        </w:p>
                      </w:tc>
                      <w:tc>
                        <w:tcPr>
                          <w:tcW w:w="232" w:type="dxa"/>
                          <w:shd w:val="clear" w:color="auto" w:fill="FFFFFF"/>
                          <w:vAlign w:val="center"/>
                        </w:tcPr>
                        <w:p w14:paraId="54EDCE42" w14:textId="77777777" w:rsidR="004E65A9" w:rsidRPr="00966284" w:rsidRDefault="004E65A9"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(2,5)</w:t>
                          </w:r>
                        </w:p>
                      </w:tc>
                      <w:tc>
                        <w:tcPr>
                          <w:tcW w:w="232" w:type="dxa"/>
                          <w:shd w:val="clear" w:color="auto" w:fill="FFFFFF"/>
                          <w:vAlign w:val="center"/>
                        </w:tcPr>
                        <w:p w14:paraId="420EAF3D" w14:textId="77777777" w:rsidR="004E65A9" w:rsidRPr="00966284" w:rsidRDefault="004E65A9"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(2,2)</w:t>
                          </w:r>
                        </w:p>
                      </w:tc>
                      <w:tc>
                        <w:tcPr>
                          <w:tcW w:w="232" w:type="dxa"/>
                          <w:shd w:val="clear" w:color="auto" w:fill="FFFFFF"/>
                          <w:vAlign w:val="center"/>
                        </w:tcPr>
                        <w:p w14:paraId="48659B44" w14:textId="77777777" w:rsidR="004E65A9" w:rsidRPr="00966284" w:rsidRDefault="004E65A9"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(1,9)</w:t>
                          </w:r>
                        </w:p>
                      </w:tc>
                      <w:tc>
                        <w:tcPr>
                          <w:tcW w:w="340" w:type="dxa"/>
                          <w:shd w:val="clear" w:color="auto" w:fill="FFFFFF"/>
                          <w:vAlign w:val="center"/>
                        </w:tcPr>
                        <w:p w14:paraId="7D024CF3" w14:textId="77777777" w:rsidR="004E65A9" w:rsidRPr="00966284" w:rsidRDefault="004E65A9" w:rsidP="00C74BA1">
                          <w:pPr>
                            <w:pStyle w:val="Style4"/>
                            <w:shd w:val="clear" w:color="auto" w:fill="auto"/>
                            <w:tabs>
                              <w:tab w:val="left" w:pos="1055"/>
                            </w:tabs>
                            <w:spacing w:line="240" w:lineRule="auto"/>
                            <w:suppressOverlap/>
                            <w:jc w:val="center"/>
                            <w:rPr>
                              <w:rFonts w:ascii="Arial Narrow" w:hAnsi="Arial Narrow"/>
                              <w:sz w:val="10"/>
                              <w:szCs w:val="10"/>
                            </w:rPr>
                          </w:pPr>
                          <w:r>
                            <w:rPr>
                              <w:rStyle w:val="CharStyle9"/>
                              <w:rFonts w:ascii="Arial Narrow" w:eastAsia="SimSun" w:hAnsi="Arial Narrow"/>
                              <w:sz w:val="10"/>
                            </w:rPr>
                            <w:t>(2,0)</w:t>
                          </w:r>
                        </w:p>
                      </w:tc>
                      <w:tc>
                        <w:tcPr>
                          <w:tcW w:w="567" w:type="dxa"/>
                          <w:shd w:val="clear" w:color="auto" w:fill="FFFFFF"/>
                          <w:vAlign w:val="center"/>
                        </w:tcPr>
                        <w:p w14:paraId="5C4F10E5" w14:textId="77777777" w:rsidR="004E65A9" w:rsidRPr="00966284" w:rsidRDefault="004E65A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(0,7)</w:t>
                          </w:r>
                        </w:p>
                      </w:tc>
                      <w:tc>
                        <w:tcPr>
                          <w:tcW w:w="850" w:type="dxa"/>
                          <w:shd w:val="clear" w:color="auto" w:fill="FFFFFF"/>
                          <w:vAlign w:val="center"/>
                        </w:tcPr>
                        <w:p w14:paraId="6047FC87" w14:textId="77777777" w:rsidR="004E65A9" w:rsidRPr="00966284" w:rsidRDefault="004E65A9"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44AFB0FE" w14:textId="77777777" w:rsidR="004E65A9" w:rsidRPr="00966284" w:rsidRDefault="004E65A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(0,8)</w:t>
                          </w:r>
                        </w:p>
                      </w:tc>
                      <w:tc>
                        <w:tcPr>
                          <w:tcW w:w="907" w:type="dxa"/>
                          <w:shd w:val="clear" w:color="auto" w:fill="FFFFFF"/>
                          <w:vAlign w:val="center"/>
                        </w:tcPr>
                        <w:p w14:paraId="2325D3F8" w14:textId="77777777" w:rsidR="004E65A9" w:rsidRPr="00966284" w:rsidRDefault="004E65A9"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7D41A6CF" w14:textId="77777777" w:rsidR="004E65A9" w:rsidRPr="00966284" w:rsidRDefault="004E65A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(0,7)</w:t>
                          </w:r>
                        </w:p>
                      </w:tc>
                      <w:tc>
                        <w:tcPr>
                          <w:tcW w:w="794" w:type="dxa"/>
                          <w:shd w:val="clear" w:color="auto" w:fill="FFFFFF"/>
                          <w:vAlign w:val="center"/>
                        </w:tcPr>
                        <w:p w14:paraId="5AA94B9C" w14:textId="77777777" w:rsidR="004E65A9" w:rsidRPr="00966284" w:rsidRDefault="004E65A9"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93" w:type="dxa"/>
                          <w:shd w:val="clear" w:color="auto" w:fill="FFFFFF"/>
                          <w:vAlign w:val="center"/>
                        </w:tcPr>
                        <w:p w14:paraId="2BC6759E" w14:textId="77777777" w:rsidR="004E65A9" w:rsidRPr="00966284" w:rsidRDefault="004E65A9" w:rsidP="00C74BA1">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(1,1)</w:t>
                          </w:r>
                        </w:p>
                      </w:tc>
                      <w:tc>
                        <w:tcPr>
                          <w:tcW w:w="1020" w:type="dxa"/>
                          <w:shd w:val="clear" w:color="auto" w:fill="FFFFFF"/>
                          <w:vAlign w:val="center"/>
                        </w:tcPr>
                        <w:p w14:paraId="779AEEFC" w14:textId="77777777" w:rsidR="004E65A9" w:rsidRPr="00966284" w:rsidRDefault="004E65A9"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283" w:type="dxa"/>
                          <w:shd w:val="clear" w:color="auto" w:fill="FFFFFF"/>
                          <w:vAlign w:val="center"/>
                        </w:tcPr>
                        <w:p w14:paraId="0DCF296B" w14:textId="77777777" w:rsidR="004E65A9" w:rsidRPr="00966284" w:rsidRDefault="004E65A9" w:rsidP="00C74BA1">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(0,8)</w:t>
                          </w:r>
                        </w:p>
                      </w:tc>
                      <w:tc>
                        <w:tcPr>
                          <w:tcW w:w="641" w:type="dxa"/>
                          <w:tcBorders>
                            <w:left w:val="nil"/>
                          </w:tcBorders>
                          <w:shd w:val="clear" w:color="auto" w:fill="FFFFFF"/>
                          <w:vAlign w:val="center"/>
                        </w:tcPr>
                        <w:p w14:paraId="5F74A8B0" w14:textId="77777777" w:rsidR="004E65A9" w:rsidRPr="00966284" w:rsidRDefault="004E65A9"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(2,0)</w:t>
                          </w:r>
                        </w:p>
                      </w:tc>
                    </w:tr>
                    <w:tr w:rsidR="004E65A9" w:rsidRPr="00966284" w14:paraId="769FC7A8" w14:textId="77777777" w:rsidTr="00BB6A22">
                      <w:trPr>
                        <w:cantSplit/>
                        <w:trHeight w:val="198"/>
                      </w:trPr>
                      <w:tc>
                        <w:tcPr>
                          <w:tcW w:w="1298" w:type="dxa"/>
                          <w:vMerge w:val="restart"/>
                          <w:tcBorders>
                            <w:top w:val="single" w:sz="4" w:space="0" w:color="auto"/>
                            <w:left w:val="single" w:sz="4" w:space="0" w:color="auto"/>
                          </w:tcBorders>
                          <w:shd w:val="clear" w:color="auto" w:fill="FFFFFF"/>
                          <w:vAlign w:val="center"/>
                        </w:tcPr>
                        <w:p w14:paraId="38E17A0A" w14:textId="77777777" w:rsidR="004E65A9" w:rsidRPr="009E5900" w:rsidRDefault="004E65A9" w:rsidP="00C74BA1">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APR 30 BID, n (gjennomsnittlig)</w:t>
                          </w:r>
                        </w:p>
                      </w:tc>
                      <w:tc>
                        <w:tcPr>
                          <w:tcW w:w="170" w:type="dxa"/>
                          <w:tcBorders>
                            <w:top w:val="single" w:sz="4" w:space="0" w:color="auto"/>
                          </w:tcBorders>
                          <w:shd w:val="clear" w:color="auto" w:fill="FFFFFF"/>
                          <w:vAlign w:val="center"/>
                        </w:tcPr>
                        <w:p w14:paraId="3D139E36" w14:textId="77777777" w:rsidR="004E65A9" w:rsidRPr="00A8543E" w:rsidRDefault="004E65A9"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104</w:t>
                          </w:r>
                        </w:p>
                      </w:tc>
                      <w:tc>
                        <w:tcPr>
                          <w:tcW w:w="170" w:type="dxa"/>
                          <w:tcBorders>
                            <w:top w:val="single" w:sz="4" w:space="0" w:color="auto"/>
                          </w:tcBorders>
                          <w:shd w:val="clear" w:color="auto" w:fill="FFFFFF"/>
                          <w:vAlign w:val="center"/>
                        </w:tcPr>
                        <w:p w14:paraId="34A94985" w14:textId="77777777" w:rsidR="004E65A9" w:rsidRPr="00A8543E" w:rsidRDefault="004E65A9"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170" w:type="dxa"/>
                          <w:tcBorders>
                            <w:top w:val="single" w:sz="4" w:space="0" w:color="auto"/>
                          </w:tcBorders>
                          <w:shd w:val="clear" w:color="auto" w:fill="FFFFFF"/>
                          <w:vAlign w:val="center"/>
                        </w:tcPr>
                        <w:p w14:paraId="5D764D3B" w14:textId="77777777" w:rsidR="004E65A9" w:rsidRPr="00A8543E" w:rsidRDefault="004E65A9"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170" w:type="dxa"/>
                          <w:tcBorders>
                            <w:top w:val="single" w:sz="4" w:space="0" w:color="auto"/>
                          </w:tcBorders>
                          <w:shd w:val="clear" w:color="auto" w:fill="FFFFFF"/>
                          <w:vAlign w:val="center"/>
                        </w:tcPr>
                        <w:p w14:paraId="1E7DA913" w14:textId="77777777" w:rsidR="004E65A9" w:rsidRPr="00A8543E" w:rsidRDefault="004E65A9"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232" w:type="dxa"/>
                          <w:tcBorders>
                            <w:top w:val="single" w:sz="4" w:space="0" w:color="auto"/>
                          </w:tcBorders>
                          <w:shd w:val="clear" w:color="auto" w:fill="FFFFFF"/>
                          <w:vAlign w:val="center"/>
                        </w:tcPr>
                        <w:p w14:paraId="55CC132B" w14:textId="77777777" w:rsidR="004E65A9" w:rsidRPr="00A8543E" w:rsidRDefault="004E65A9"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98</w:t>
                          </w:r>
                        </w:p>
                      </w:tc>
                      <w:tc>
                        <w:tcPr>
                          <w:tcW w:w="232" w:type="dxa"/>
                          <w:tcBorders>
                            <w:top w:val="single" w:sz="4" w:space="0" w:color="auto"/>
                          </w:tcBorders>
                          <w:shd w:val="clear" w:color="auto" w:fill="FFFFFF"/>
                          <w:vAlign w:val="center"/>
                        </w:tcPr>
                        <w:p w14:paraId="11084D96" w14:textId="77777777" w:rsidR="004E65A9" w:rsidRPr="00A8543E" w:rsidRDefault="004E65A9"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94</w:t>
                          </w:r>
                        </w:p>
                      </w:tc>
                      <w:tc>
                        <w:tcPr>
                          <w:tcW w:w="232" w:type="dxa"/>
                          <w:tcBorders>
                            <w:top w:val="single" w:sz="4" w:space="0" w:color="auto"/>
                          </w:tcBorders>
                          <w:shd w:val="clear" w:color="auto" w:fill="FFFFFF"/>
                          <w:vAlign w:val="center"/>
                        </w:tcPr>
                        <w:p w14:paraId="06953BBA" w14:textId="77777777" w:rsidR="004E65A9" w:rsidRPr="00A8543E" w:rsidRDefault="004E65A9"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94</w:t>
                          </w:r>
                        </w:p>
                      </w:tc>
                      <w:tc>
                        <w:tcPr>
                          <w:tcW w:w="340" w:type="dxa"/>
                          <w:tcBorders>
                            <w:top w:val="single" w:sz="4" w:space="0" w:color="auto"/>
                          </w:tcBorders>
                          <w:shd w:val="clear" w:color="auto" w:fill="FFFFFF"/>
                          <w:vAlign w:val="center"/>
                        </w:tcPr>
                        <w:p w14:paraId="262105F2" w14:textId="77777777" w:rsidR="004E65A9" w:rsidRPr="00A8543E" w:rsidRDefault="004E65A9"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567" w:type="dxa"/>
                          <w:tcBorders>
                            <w:top w:val="single" w:sz="4" w:space="0" w:color="auto"/>
                          </w:tcBorders>
                          <w:shd w:val="clear" w:color="auto" w:fill="FFFFFF"/>
                          <w:vAlign w:val="center"/>
                        </w:tcPr>
                        <w:p w14:paraId="5BEDD14E" w14:textId="77777777" w:rsidR="004E65A9" w:rsidRPr="00966284" w:rsidRDefault="004E65A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95</w:t>
                          </w:r>
                        </w:p>
                      </w:tc>
                      <w:tc>
                        <w:tcPr>
                          <w:tcW w:w="850" w:type="dxa"/>
                          <w:tcBorders>
                            <w:top w:val="single" w:sz="4" w:space="0" w:color="auto"/>
                          </w:tcBorders>
                          <w:shd w:val="clear" w:color="auto" w:fill="FFFFFF"/>
                          <w:vAlign w:val="center"/>
                        </w:tcPr>
                        <w:p w14:paraId="4D83869C" w14:textId="77777777" w:rsidR="004E65A9" w:rsidRPr="00966284" w:rsidRDefault="004E65A9"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49CFF061" w14:textId="77777777" w:rsidR="004E65A9" w:rsidRPr="00966284" w:rsidRDefault="004E65A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92</w:t>
                          </w:r>
                        </w:p>
                      </w:tc>
                      <w:tc>
                        <w:tcPr>
                          <w:tcW w:w="907" w:type="dxa"/>
                          <w:tcBorders>
                            <w:top w:val="single" w:sz="4" w:space="0" w:color="auto"/>
                          </w:tcBorders>
                          <w:shd w:val="clear" w:color="auto" w:fill="FFFFFF"/>
                          <w:vAlign w:val="center"/>
                        </w:tcPr>
                        <w:p w14:paraId="49458DAF" w14:textId="77777777" w:rsidR="004E65A9" w:rsidRPr="00966284" w:rsidRDefault="004E65A9"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0C594141" w14:textId="77777777" w:rsidR="004E65A9" w:rsidRPr="00966284" w:rsidRDefault="004E65A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85</w:t>
                          </w:r>
                        </w:p>
                      </w:tc>
                      <w:tc>
                        <w:tcPr>
                          <w:tcW w:w="794" w:type="dxa"/>
                          <w:tcBorders>
                            <w:top w:val="single" w:sz="4" w:space="0" w:color="auto"/>
                          </w:tcBorders>
                          <w:shd w:val="clear" w:color="auto" w:fill="FFFFFF"/>
                          <w:vAlign w:val="center"/>
                        </w:tcPr>
                        <w:p w14:paraId="57290373" w14:textId="77777777" w:rsidR="004E65A9" w:rsidRPr="00966284" w:rsidRDefault="004E65A9"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5B762C64" w14:textId="77777777" w:rsidR="004E65A9" w:rsidRPr="00966284" w:rsidRDefault="004E65A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79</w:t>
                          </w:r>
                        </w:p>
                      </w:tc>
                      <w:tc>
                        <w:tcPr>
                          <w:tcW w:w="1020" w:type="dxa"/>
                          <w:tcBorders>
                            <w:top w:val="single" w:sz="4" w:space="0" w:color="auto"/>
                          </w:tcBorders>
                          <w:shd w:val="clear" w:color="auto" w:fill="FFFFFF"/>
                          <w:vAlign w:val="center"/>
                        </w:tcPr>
                        <w:p w14:paraId="5F91DB75" w14:textId="77777777" w:rsidR="004E65A9" w:rsidRPr="00966284" w:rsidRDefault="004E65A9"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283" w:type="dxa"/>
                          <w:tcBorders>
                            <w:top w:val="single" w:sz="4" w:space="0" w:color="auto"/>
                          </w:tcBorders>
                          <w:shd w:val="clear" w:color="auto" w:fill="FFFFFF"/>
                          <w:vAlign w:val="center"/>
                        </w:tcPr>
                        <w:p w14:paraId="799CFD41" w14:textId="77777777" w:rsidR="004E65A9" w:rsidRPr="00966284" w:rsidRDefault="004E65A9" w:rsidP="00C74BA1">
                          <w:pPr>
                            <w:pStyle w:val="Style4"/>
                            <w:shd w:val="clear" w:color="auto" w:fill="auto"/>
                            <w:tabs>
                              <w:tab w:val="left" w:pos="988"/>
                            </w:tabs>
                            <w:spacing w:line="240" w:lineRule="auto"/>
                            <w:suppressOverlap/>
                            <w:jc w:val="center"/>
                            <w:rPr>
                              <w:rFonts w:ascii="Arial Narrow" w:hAnsi="Arial Narrow"/>
                              <w:sz w:val="10"/>
                              <w:szCs w:val="10"/>
                            </w:rPr>
                          </w:pPr>
                          <w:r>
                            <w:rPr>
                              <w:rStyle w:val="CharStyle9"/>
                              <w:rFonts w:ascii="Arial Narrow" w:eastAsia="SimSun" w:hAnsi="Arial Narrow"/>
                              <w:sz w:val="10"/>
                            </w:rPr>
                            <w:t>75</w:t>
                          </w:r>
                        </w:p>
                      </w:tc>
                      <w:tc>
                        <w:tcPr>
                          <w:tcW w:w="641" w:type="dxa"/>
                          <w:tcBorders>
                            <w:top w:val="single" w:sz="4" w:space="0" w:color="auto"/>
                            <w:left w:val="nil"/>
                          </w:tcBorders>
                          <w:shd w:val="clear" w:color="auto" w:fill="FFFFFF"/>
                          <w:vAlign w:val="center"/>
                        </w:tcPr>
                        <w:p w14:paraId="16AC9A15" w14:textId="77777777" w:rsidR="004E65A9" w:rsidRPr="009E5900" w:rsidRDefault="004E65A9"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85</w:t>
                          </w:r>
                        </w:p>
                      </w:tc>
                    </w:tr>
                    <w:tr w:rsidR="004E65A9" w:rsidRPr="00966284" w14:paraId="768B41DB" w14:textId="77777777" w:rsidTr="00BB6A22">
                      <w:trPr>
                        <w:cantSplit/>
                        <w:trHeight w:val="198"/>
                      </w:trPr>
                      <w:tc>
                        <w:tcPr>
                          <w:tcW w:w="1298" w:type="dxa"/>
                          <w:vMerge/>
                          <w:tcBorders>
                            <w:left w:val="single" w:sz="4" w:space="0" w:color="auto"/>
                            <w:bottom w:val="single" w:sz="4" w:space="0" w:color="auto"/>
                          </w:tcBorders>
                          <w:shd w:val="clear" w:color="auto" w:fill="FFFFFF"/>
                          <w:vAlign w:val="center"/>
                        </w:tcPr>
                        <w:p w14:paraId="6ABB626D" w14:textId="77777777" w:rsidR="004E65A9" w:rsidRPr="00966284" w:rsidRDefault="004E65A9" w:rsidP="00C74BA1">
                          <w:pPr>
                            <w:pStyle w:val="Style4"/>
                            <w:shd w:val="clear" w:color="auto" w:fill="auto"/>
                            <w:spacing w:line="240" w:lineRule="auto"/>
                            <w:suppressOverlap/>
                            <w:rPr>
                              <w:rStyle w:val="CharStyle9"/>
                              <w:rFonts w:ascii="Arial Narrow" w:eastAsia="DengXian" w:hAnsi="Arial Narrow"/>
                              <w:sz w:val="10"/>
                              <w:szCs w:val="10"/>
                              <w:lang w:val="bg-BG"/>
                            </w:rPr>
                          </w:pPr>
                        </w:p>
                      </w:tc>
                      <w:tc>
                        <w:tcPr>
                          <w:tcW w:w="170" w:type="dxa"/>
                          <w:tcBorders>
                            <w:bottom w:val="single" w:sz="4" w:space="0" w:color="auto"/>
                          </w:tcBorders>
                          <w:shd w:val="clear" w:color="auto" w:fill="FFFFFF"/>
                          <w:vAlign w:val="center"/>
                        </w:tcPr>
                        <w:p w14:paraId="31BBED1B" w14:textId="77777777" w:rsidR="004E65A9" w:rsidRPr="00A8543E" w:rsidRDefault="004E65A9"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w:t>
                          </w:r>
                        </w:p>
                      </w:tc>
                      <w:tc>
                        <w:tcPr>
                          <w:tcW w:w="170" w:type="dxa"/>
                          <w:tcBorders>
                            <w:bottom w:val="single" w:sz="4" w:space="0" w:color="auto"/>
                          </w:tcBorders>
                          <w:shd w:val="clear" w:color="auto" w:fill="FFFFFF"/>
                          <w:vAlign w:val="center"/>
                        </w:tcPr>
                        <w:p w14:paraId="1183E1CE" w14:textId="77777777" w:rsidR="004E65A9" w:rsidRPr="00A8543E" w:rsidRDefault="004E65A9"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w:t>
                          </w:r>
                        </w:p>
                      </w:tc>
                      <w:tc>
                        <w:tcPr>
                          <w:tcW w:w="170" w:type="dxa"/>
                          <w:tcBorders>
                            <w:bottom w:val="single" w:sz="4" w:space="0" w:color="auto"/>
                          </w:tcBorders>
                          <w:shd w:val="clear" w:color="auto" w:fill="FFFFFF"/>
                          <w:vAlign w:val="center"/>
                        </w:tcPr>
                        <w:p w14:paraId="0B7A49C5" w14:textId="77777777" w:rsidR="004E65A9" w:rsidRPr="00A8543E" w:rsidRDefault="004E65A9"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(1,4)</w:t>
                          </w:r>
                        </w:p>
                      </w:tc>
                      <w:tc>
                        <w:tcPr>
                          <w:tcW w:w="170" w:type="dxa"/>
                          <w:tcBorders>
                            <w:bottom w:val="single" w:sz="4" w:space="0" w:color="auto"/>
                          </w:tcBorders>
                          <w:shd w:val="clear" w:color="auto" w:fill="FFFFFF"/>
                          <w:vAlign w:val="center"/>
                        </w:tcPr>
                        <w:p w14:paraId="6D6CCB4D" w14:textId="77777777" w:rsidR="004E65A9" w:rsidRPr="00A8543E" w:rsidRDefault="004E65A9"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(1,3)</w:t>
                          </w:r>
                        </w:p>
                      </w:tc>
                      <w:tc>
                        <w:tcPr>
                          <w:tcW w:w="232" w:type="dxa"/>
                          <w:tcBorders>
                            <w:bottom w:val="single" w:sz="4" w:space="0" w:color="auto"/>
                          </w:tcBorders>
                          <w:shd w:val="clear" w:color="auto" w:fill="FFFFFF"/>
                          <w:vAlign w:val="center"/>
                        </w:tcPr>
                        <w:p w14:paraId="01C046C8" w14:textId="77777777" w:rsidR="004E65A9" w:rsidRPr="00A8543E" w:rsidRDefault="004E65A9"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(1,6)</w:t>
                          </w:r>
                        </w:p>
                      </w:tc>
                      <w:tc>
                        <w:tcPr>
                          <w:tcW w:w="232" w:type="dxa"/>
                          <w:tcBorders>
                            <w:bottom w:val="single" w:sz="4" w:space="0" w:color="auto"/>
                          </w:tcBorders>
                          <w:shd w:val="clear" w:color="auto" w:fill="FFFFFF"/>
                          <w:vAlign w:val="center"/>
                        </w:tcPr>
                        <w:p w14:paraId="4868193C" w14:textId="77777777" w:rsidR="004E65A9" w:rsidRPr="00A8543E" w:rsidRDefault="004E65A9"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(1,2)</w:t>
                          </w:r>
                        </w:p>
                      </w:tc>
                      <w:tc>
                        <w:tcPr>
                          <w:tcW w:w="232" w:type="dxa"/>
                          <w:tcBorders>
                            <w:bottom w:val="single" w:sz="4" w:space="0" w:color="auto"/>
                          </w:tcBorders>
                          <w:shd w:val="clear" w:color="auto" w:fill="FFFFFF"/>
                          <w:vAlign w:val="center"/>
                        </w:tcPr>
                        <w:p w14:paraId="5C9CDD94" w14:textId="77777777" w:rsidR="004E65A9" w:rsidRPr="00A8543E" w:rsidRDefault="004E65A9"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(1,0)</w:t>
                          </w:r>
                        </w:p>
                      </w:tc>
                      <w:tc>
                        <w:tcPr>
                          <w:tcW w:w="340" w:type="dxa"/>
                          <w:tcBorders>
                            <w:bottom w:val="single" w:sz="4" w:space="0" w:color="auto"/>
                          </w:tcBorders>
                          <w:shd w:val="clear" w:color="auto" w:fill="FFFFFF"/>
                          <w:vAlign w:val="center"/>
                        </w:tcPr>
                        <w:p w14:paraId="08ED4BE3" w14:textId="77777777" w:rsidR="004E65A9" w:rsidRPr="00A8543E" w:rsidRDefault="004E65A9"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(1,1)</w:t>
                          </w:r>
                        </w:p>
                      </w:tc>
                      <w:tc>
                        <w:tcPr>
                          <w:tcW w:w="567" w:type="dxa"/>
                          <w:tcBorders>
                            <w:bottom w:val="single" w:sz="4" w:space="0" w:color="auto"/>
                          </w:tcBorders>
                          <w:shd w:val="clear" w:color="auto" w:fill="FFFFFF"/>
                          <w:vAlign w:val="center"/>
                        </w:tcPr>
                        <w:p w14:paraId="12850422" w14:textId="77777777" w:rsidR="004E65A9" w:rsidRPr="00966284" w:rsidRDefault="004E65A9"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850" w:type="dxa"/>
                          <w:tcBorders>
                            <w:bottom w:val="single" w:sz="4" w:space="0" w:color="auto"/>
                          </w:tcBorders>
                          <w:shd w:val="clear" w:color="auto" w:fill="FFFFFF"/>
                          <w:vAlign w:val="center"/>
                        </w:tcPr>
                        <w:p w14:paraId="13FC3677" w14:textId="77777777" w:rsidR="004E65A9" w:rsidRPr="00966284" w:rsidRDefault="004E65A9"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4DC229DA" w14:textId="77777777" w:rsidR="004E65A9" w:rsidRPr="00966284" w:rsidRDefault="004E65A9"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907" w:type="dxa"/>
                          <w:tcBorders>
                            <w:bottom w:val="single" w:sz="4" w:space="0" w:color="auto"/>
                          </w:tcBorders>
                          <w:shd w:val="clear" w:color="auto" w:fill="FFFFFF"/>
                          <w:vAlign w:val="center"/>
                        </w:tcPr>
                        <w:p w14:paraId="2CCC79FF" w14:textId="77777777" w:rsidR="004E65A9" w:rsidRPr="00966284" w:rsidRDefault="004E65A9"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3B70F165" w14:textId="77777777" w:rsidR="004E65A9" w:rsidRPr="00966284" w:rsidRDefault="004E65A9"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794" w:type="dxa"/>
                          <w:tcBorders>
                            <w:bottom w:val="single" w:sz="4" w:space="0" w:color="auto"/>
                          </w:tcBorders>
                          <w:shd w:val="clear" w:color="auto" w:fill="FFFFFF"/>
                          <w:vAlign w:val="center"/>
                        </w:tcPr>
                        <w:p w14:paraId="76E98DA6" w14:textId="77777777" w:rsidR="004E65A9" w:rsidRPr="00966284" w:rsidRDefault="004E65A9"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78EC10F6" w14:textId="77777777" w:rsidR="004E65A9" w:rsidRPr="00966284" w:rsidRDefault="004E65A9"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1020" w:type="dxa"/>
                          <w:tcBorders>
                            <w:bottom w:val="single" w:sz="4" w:space="0" w:color="auto"/>
                          </w:tcBorders>
                          <w:shd w:val="clear" w:color="auto" w:fill="FFFFFF"/>
                          <w:vAlign w:val="center"/>
                        </w:tcPr>
                        <w:p w14:paraId="1353B0B8" w14:textId="77777777" w:rsidR="004E65A9" w:rsidRPr="00966284" w:rsidRDefault="004E65A9"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283" w:type="dxa"/>
                          <w:tcBorders>
                            <w:bottom w:val="single" w:sz="4" w:space="0" w:color="auto"/>
                          </w:tcBorders>
                          <w:shd w:val="clear" w:color="auto" w:fill="FFFFFF"/>
                          <w:vAlign w:val="center"/>
                        </w:tcPr>
                        <w:p w14:paraId="0CAF465C" w14:textId="77777777" w:rsidR="004E65A9" w:rsidRPr="00966284" w:rsidRDefault="004E65A9"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(1,4)</w:t>
                          </w:r>
                        </w:p>
                      </w:tc>
                      <w:tc>
                        <w:tcPr>
                          <w:tcW w:w="641" w:type="dxa"/>
                          <w:tcBorders>
                            <w:left w:val="nil"/>
                            <w:bottom w:val="single" w:sz="4" w:space="0" w:color="auto"/>
                          </w:tcBorders>
                          <w:shd w:val="clear" w:color="auto" w:fill="FFFFFF"/>
                          <w:vAlign w:val="center"/>
                        </w:tcPr>
                        <w:p w14:paraId="3B2ADDC9" w14:textId="77777777" w:rsidR="004E65A9" w:rsidRPr="00966284" w:rsidRDefault="004E65A9"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(2,5)</w:t>
                          </w:r>
                        </w:p>
                      </w:tc>
                    </w:tr>
                  </w:tbl>
                  <w:p w14:paraId="576A6698" w14:textId="77777777" w:rsidR="004E65A9" w:rsidRPr="00966284" w:rsidRDefault="004E65A9" w:rsidP="003F09AA">
                    <w:pPr>
                      <w:rPr>
                        <w:rFonts w:ascii="Arial Narrow" w:hAnsi="Arial Narrow"/>
                      </w:rPr>
                    </w:pPr>
                  </w:p>
                </w:txbxContent>
              </v:textbox>
            </v:shape>
            <v:shape id="Text Box 102" o:spid="_x0000_s2061" type="#_x0000_t202" style="position:absolute;left:4068;top:4800;width:4842;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" filled="f" stroked="f">
              <v:textbox style="mso-fit-shape-to-text:t" inset="0,0,0,0">
                <w:txbxContent>
                  <w:p w14:paraId="27EEAEC3" w14:textId="77777777" w:rsidR="004E65A9" w:rsidRPr="004A0E00" w:rsidRDefault="004E65A9" w:rsidP="003F09AA">
                    <w:pPr>
                      <w:jc w:val="center"/>
                      <w:rPr>
                        <w:rFonts w:ascii="Arial Narrow" w:hAnsi="Arial Narrow"/>
                        <w:b/>
                        <w:sz w:val="16"/>
                        <w:szCs w:val="16"/>
                      </w:rPr>
                    </w:pPr>
                    <w:r>
                      <w:rPr>
                        <w:rFonts w:ascii="Arial Narrow" w:hAnsi="Arial Narrow"/>
                        <w:b/>
                        <w:sz w:val="16"/>
                      </w:rPr>
                      <w:t>Tid (uker)</w:t>
                    </w:r>
                  </w:p>
                </w:txbxContent>
              </v:textbox>
            </v:shape>
            <v:shape id="Text Box 103" o:spid="_x0000_s2062" type="#_x0000_t202" style="position:absolute;left:1451;top:1953;width:1070;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" filled="f" stroked="f" strokecolor="white" strokeweight="0">
              <v:textbox inset=".5mm,.5mm,.5mm,.5mm">
                <w:txbxContent>
                  <w:tbl>
                    <w:tblPr>
                      <w:tblW w:w="0" w:type="auto"/>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9"/>
                    </w:tblGrid>
                    <w:tr w:rsidR="004E65A9" w14:paraId="15916B17" w14:textId="77777777" w:rsidTr="00C358AD">
                      <w:trPr>
                        <w:cantSplit/>
                        <w:trHeight w:val="2838"/>
                      </w:trPr>
                      <w:tc>
                        <w:tcPr>
                          <w:tcW w:w="1029" w:type="dxa"/>
                          <w:textDirection w:val="btLr"/>
                          <w:vAlign w:val="bottom"/>
                        </w:tcPr>
                        <w:p w14:paraId="0AB324A4" w14:textId="77777777" w:rsidR="004E65A9" w:rsidRPr="00A84A07" w:rsidRDefault="004E65A9" w:rsidP="00C358AD">
                          <w:pPr>
                            <w:ind w:left="113" w:right="113"/>
                            <w:jc w:val="center"/>
                            <w:rPr>
                              <w:rFonts w:ascii="Arial Narrow" w:hAnsi="Arial Narrow" w:cs="Arial"/>
                              <w:b/>
                              <w:sz w:val="16"/>
                              <w:szCs w:val="16"/>
                            </w:rPr>
                          </w:pPr>
                          <w:r>
                            <w:rPr>
                              <w:rFonts w:ascii="Arial Narrow" w:hAnsi="Arial Narrow"/>
                              <w:b/>
                              <w:sz w:val="16"/>
                            </w:rPr>
                            <w:t>Gjennomsnittlig antall sår i munnen</w:t>
                          </w:r>
                        </w:p>
                      </w:tc>
                    </w:tr>
                  </w:tbl>
                  <w:p w14:paraId="06C61E16" w14:textId="77777777" w:rsidR="004E65A9" w:rsidRPr="00A84A07" w:rsidRDefault="004E65A9" w:rsidP="003F09AA">
                    <w:pPr>
                      <w:jc w:val="center"/>
                      <w:rPr>
                        <w:rFonts w:ascii="Arial Narrow" w:hAnsi="Arial Narrow" w:cs="Arial"/>
                        <w:b/>
                        <w:sz w:val="16"/>
                        <w:szCs w:val="16"/>
                      </w:rPr>
                    </w:pPr>
                  </w:p>
                </w:txbxContent>
              </v:textbox>
            </v:shape>
            <v:shape id="Text Box 115" o:spid="_x0000_s2063" type="#_x0000_t202" style="position:absolute;left:2502;top:1952;width:278;height:2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" filled="f" stroked="f" strokecolor="white" strokeweight="0">
              <v:textbox inset=".5mm,.5mm,.5mm,.5mm">
                <w:txbxContent>
                  <w:tbl>
                    <w:tblPr>
                      <w:tblW w:w="0" w:type="auto"/>
                      <w:tblCellMar>
                        <w:left w:w="28" w:type="dxa"/>
                        <w:right w:w="28" w:type="dxa"/>
                      </w:tblCellMar>
                      <w:tblLook w:val="04A0" w:firstRow="1" w:lastRow="0" w:firstColumn="1" w:lastColumn="0" w:noHBand="0" w:noVBand="1"/>
                    </w:tblPr>
                    <w:tblGrid>
                      <w:gridCol w:w="280"/>
                    </w:tblGrid>
                    <w:tr w:rsidR="004E65A9" w:rsidRPr="00DC5696" w14:paraId="477BFE44" w14:textId="77777777" w:rsidTr="00A8543E">
                      <w:trPr>
                        <w:trHeight w:val="482"/>
                      </w:trPr>
                      <w:tc>
                        <w:tcPr>
                          <w:tcW w:w="280" w:type="dxa"/>
                        </w:tcPr>
                        <w:p w14:paraId="797CE577" w14:textId="77777777" w:rsidR="004E65A9" w:rsidRPr="00C80DE0" w:rsidRDefault="004E65A9"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w:t>
                          </w:r>
                        </w:p>
                      </w:tc>
                    </w:tr>
                    <w:tr w:rsidR="004E65A9" w:rsidRPr="00DC5696" w14:paraId="0AD136B0" w14:textId="77777777" w:rsidTr="00A8543E">
                      <w:trPr>
                        <w:trHeight w:val="482"/>
                      </w:trPr>
                      <w:tc>
                        <w:tcPr>
                          <w:tcW w:w="280" w:type="dxa"/>
                        </w:tcPr>
                        <w:p w14:paraId="7AD6503D" w14:textId="77777777" w:rsidR="004E65A9" w:rsidRPr="00C80DE0" w:rsidRDefault="004E65A9"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w:t>
                          </w:r>
                        </w:p>
                      </w:tc>
                    </w:tr>
                    <w:tr w:rsidR="004E65A9" w:rsidRPr="00DC5696" w14:paraId="04AEE540" w14:textId="77777777" w:rsidTr="00A8543E">
                      <w:trPr>
                        <w:trHeight w:val="482"/>
                      </w:trPr>
                      <w:tc>
                        <w:tcPr>
                          <w:tcW w:w="280" w:type="dxa"/>
                        </w:tcPr>
                        <w:p w14:paraId="172BC19A" w14:textId="77777777" w:rsidR="004E65A9" w:rsidRPr="00C80DE0" w:rsidRDefault="004E65A9" w:rsidP="00C74BA1">
                          <w:pPr>
                            <w:tabs>
                              <w:tab w:val="clear" w:pos="567"/>
                            </w:tabs>
                            <w:autoSpaceDE w:val="0"/>
                            <w:autoSpaceDN w:val="0"/>
                            <w:adjustRightInd w:val="0"/>
                            <w:ind w:right="-23"/>
                            <w:jc w:val="right"/>
                            <w:rPr>
                              <w:rFonts w:ascii="Arial Narrow" w:hAnsi="Arial Narrow" w:cs="Arial"/>
                              <w:bCs/>
                              <w:sz w:val="16"/>
                              <w:szCs w:val="16"/>
                            </w:rPr>
                          </w:pPr>
                          <w:r>
                            <w:rPr>
                              <w:rFonts w:ascii="Arial Narrow" w:hAnsi="Arial Narrow"/>
                              <w:sz w:val="16"/>
                            </w:rPr>
                            <w:t>3</w:t>
                          </w:r>
                        </w:p>
                      </w:tc>
                    </w:tr>
                    <w:tr w:rsidR="004E65A9" w:rsidRPr="00DC5696" w14:paraId="67642E77" w14:textId="77777777" w:rsidTr="00A8543E">
                      <w:trPr>
                        <w:trHeight w:val="482"/>
                      </w:trPr>
                      <w:tc>
                        <w:tcPr>
                          <w:tcW w:w="280" w:type="dxa"/>
                        </w:tcPr>
                        <w:p w14:paraId="449D737C" w14:textId="77777777" w:rsidR="004E65A9" w:rsidRPr="00C80DE0" w:rsidRDefault="004E65A9"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w:t>
                          </w:r>
                        </w:p>
                      </w:tc>
                    </w:tr>
                    <w:tr w:rsidR="004E65A9" w:rsidRPr="00DC5696" w14:paraId="7D6D7FED" w14:textId="77777777" w:rsidTr="00A8543E">
                      <w:trPr>
                        <w:trHeight w:val="482"/>
                      </w:trPr>
                      <w:tc>
                        <w:tcPr>
                          <w:tcW w:w="280" w:type="dxa"/>
                        </w:tcPr>
                        <w:p w14:paraId="095783F2" w14:textId="77777777" w:rsidR="004E65A9" w:rsidRPr="00C80DE0" w:rsidRDefault="004E65A9"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w:t>
                          </w:r>
                        </w:p>
                      </w:tc>
                    </w:tr>
                    <w:tr w:rsidR="004E65A9" w:rsidRPr="00DC5696" w14:paraId="407F5891" w14:textId="77777777" w:rsidTr="00A8543E">
                      <w:trPr>
                        <w:trHeight w:val="482"/>
                      </w:trPr>
                      <w:tc>
                        <w:tcPr>
                          <w:tcW w:w="280" w:type="dxa"/>
                        </w:tcPr>
                        <w:p w14:paraId="6CD19CF5" w14:textId="77777777" w:rsidR="004E65A9" w:rsidRPr="00C80DE0" w:rsidRDefault="004E65A9"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bl>
                  <w:p w14:paraId="70758C5D" w14:textId="77777777" w:rsidR="004E65A9" w:rsidRPr="00E75F7E" w:rsidRDefault="004E65A9" w:rsidP="003F09AA">
                    <w:pPr>
                      <w:jc w:val="right"/>
                      <w:rPr>
                        <w:rFonts w:ascii="Arial Narrow" w:hAnsi="Arial Narrow"/>
                        <w:sz w:val="16"/>
                        <w:szCs w:val="16"/>
                        <w:lang w:val="es-ES"/>
                      </w:rPr>
                    </w:pPr>
                  </w:p>
                </w:txbxContent>
              </v:textbox>
            </v:shape>
            <v:shape id="Text Box 105" o:spid="_x0000_s2064" type="#_x0000_t202" style="position:absolute;left:2584;top:4536;width:9082;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" filled="f" stroked="f" strokecolor="white" strokeweight="0">
              <v:textbox inset=".5mm,.5mm,.5mm,.5mm">
                <w:txbxContent>
                  <w:tbl>
                    <w:tblPr>
                      <w:tblW w:w="8143" w:type="dxa"/>
                      <w:tblInd w:w="250" w:type="dxa"/>
                      <w:tblBorders>
                        <w:insideH w:val="single" w:sz="4" w:space="0" w:color="auto"/>
                      </w:tblBorders>
                      <w:tblCellMar>
                        <w:left w:w="0" w:type="dxa"/>
                        <w:right w:w="0" w:type="dxa"/>
                      </w:tblCellMar>
                      <w:tblLook w:val="04A0" w:firstRow="1" w:lastRow="0" w:firstColumn="1" w:lastColumn="0" w:noHBand="0" w:noVBand="1"/>
                    </w:tblPr>
                    <w:tblGrid>
                      <w:gridCol w:w="114"/>
                      <w:gridCol w:w="112"/>
                      <w:gridCol w:w="238"/>
                      <w:gridCol w:w="224"/>
                      <w:gridCol w:w="224"/>
                      <w:gridCol w:w="182"/>
                      <w:gridCol w:w="224"/>
                      <w:gridCol w:w="448"/>
                      <w:gridCol w:w="1386"/>
                      <w:gridCol w:w="1372"/>
                      <w:gridCol w:w="1329"/>
                      <w:gridCol w:w="1386"/>
                      <w:gridCol w:w="224"/>
                      <w:gridCol w:w="680"/>
                    </w:tblGrid>
                    <w:tr w:rsidR="004E65A9" w:rsidRPr="00BE055E" w14:paraId="43B67F01" w14:textId="77777777" w:rsidTr="00BB6A22">
                      <w:trPr>
                        <w:trHeight w:val="269"/>
                      </w:trPr>
                      <w:tc>
                        <w:tcPr>
                          <w:tcW w:w="114" w:type="dxa"/>
                        </w:tcPr>
                        <w:p w14:paraId="6896B5E2" w14:textId="77777777" w:rsidR="004E65A9" w:rsidRPr="00C80DE0" w:rsidRDefault="004E65A9" w:rsidP="00125A10">
                          <w:pPr>
                            <w:rPr>
                              <w:rFonts w:ascii="Arial Narrow" w:hAnsi="Arial Narrow"/>
                              <w:bCs/>
                              <w:sz w:val="16"/>
                              <w:szCs w:val="16"/>
                            </w:rPr>
                          </w:pPr>
                          <w:r>
                            <w:rPr>
                              <w:rFonts w:ascii="Arial Narrow" w:hAnsi="Arial Narrow"/>
                              <w:sz w:val="16"/>
                            </w:rPr>
                            <w:t>0</w:t>
                          </w:r>
                        </w:p>
                      </w:tc>
                      <w:tc>
                        <w:tcPr>
                          <w:tcW w:w="112" w:type="dxa"/>
                        </w:tcPr>
                        <w:p w14:paraId="78CC80BB" w14:textId="77777777" w:rsidR="004E65A9" w:rsidRPr="00C80DE0" w:rsidRDefault="004E65A9" w:rsidP="00125A10">
                          <w:pPr>
                            <w:rPr>
                              <w:rFonts w:ascii="Arial Narrow" w:hAnsi="Arial Narrow"/>
                              <w:bCs/>
                              <w:sz w:val="16"/>
                              <w:szCs w:val="16"/>
                            </w:rPr>
                          </w:pPr>
                          <w:r>
                            <w:rPr>
                              <w:rFonts w:ascii="Arial Narrow" w:hAnsi="Arial Narrow"/>
                              <w:sz w:val="16"/>
                            </w:rPr>
                            <w:t>1</w:t>
                          </w:r>
                        </w:p>
                      </w:tc>
                      <w:tc>
                        <w:tcPr>
                          <w:tcW w:w="238" w:type="dxa"/>
                        </w:tcPr>
                        <w:p w14:paraId="587379C6" w14:textId="77777777" w:rsidR="004E65A9" w:rsidRPr="00C80DE0" w:rsidRDefault="004E65A9" w:rsidP="00125A10">
                          <w:pPr>
                            <w:rPr>
                              <w:rFonts w:ascii="Arial Narrow" w:hAnsi="Arial Narrow"/>
                              <w:bCs/>
                              <w:sz w:val="16"/>
                              <w:szCs w:val="16"/>
                            </w:rPr>
                          </w:pPr>
                          <w:r>
                            <w:rPr>
                              <w:rFonts w:ascii="Arial Narrow" w:hAnsi="Arial Narrow"/>
                              <w:sz w:val="16"/>
                            </w:rPr>
                            <w:t>2</w:t>
                          </w:r>
                        </w:p>
                      </w:tc>
                      <w:tc>
                        <w:tcPr>
                          <w:tcW w:w="224" w:type="dxa"/>
                        </w:tcPr>
                        <w:p w14:paraId="611373E0" w14:textId="77777777" w:rsidR="004E65A9" w:rsidRPr="00C80DE0" w:rsidRDefault="004E65A9" w:rsidP="00125A10">
                          <w:pPr>
                            <w:rPr>
                              <w:rFonts w:ascii="Arial Narrow" w:hAnsi="Arial Narrow"/>
                              <w:bCs/>
                              <w:sz w:val="16"/>
                              <w:szCs w:val="16"/>
                            </w:rPr>
                          </w:pPr>
                          <w:r>
                            <w:rPr>
                              <w:rFonts w:ascii="Arial Narrow" w:hAnsi="Arial Narrow"/>
                              <w:sz w:val="16"/>
                            </w:rPr>
                            <w:t>4</w:t>
                          </w:r>
                        </w:p>
                      </w:tc>
                      <w:tc>
                        <w:tcPr>
                          <w:tcW w:w="224" w:type="dxa"/>
                        </w:tcPr>
                        <w:p w14:paraId="42513523" w14:textId="77777777" w:rsidR="004E65A9" w:rsidRPr="00C80DE0" w:rsidRDefault="004E65A9" w:rsidP="00125A10">
                          <w:pPr>
                            <w:rPr>
                              <w:rFonts w:ascii="Arial Narrow" w:hAnsi="Arial Narrow"/>
                              <w:bCs/>
                              <w:sz w:val="16"/>
                              <w:szCs w:val="16"/>
                            </w:rPr>
                          </w:pPr>
                          <w:r>
                            <w:rPr>
                              <w:rFonts w:ascii="Arial Narrow" w:hAnsi="Arial Narrow"/>
                              <w:sz w:val="16"/>
                            </w:rPr>
                            <w:t>6</w:t>
                          </w:r>
                        </w:p>
                      </w:tc>
                      <w:tc>
                        <w:tcPr>
                          <w:tcW w:w="182" w:type="dxa"/>
                        </w:tcPr>
                        <w:p w14:paraId="4070549C" w14:textId="77777777" w:rsidR="004E65A9" w:rsidRDefault="004E65A9" w:rsidP="00125A10">
                          <w:pPr>
                            <w:rPr>
                              <w:rFonts w:ascii="Arial Narrow" w:hAnsi="Arial Narrow"/>
                              <w:bCs/>
                              <w:sz w:val="16"/>
                              <w:szCs w:val="16"/>
                            </w:rPr>
                          </w:pPr>
                          <w:r>
                            <w:rPr>
                              <w:rFonts w:ascii="Arial Narrow" w:hAnsi="Arial Narrow"/>
                              <w:sz w:val="16"/>
                            </w:rPr>
                            <w:t>8</w:t>
                          </w:r>
                        </w:p>
                      </w:tc>
                      <w:tc>
                        <w:tcPr>
                          <w:tcW w:w="224" w:type="dxa"/>
                        </w:tcPr>
                        <w:p w14:paraId="306AB6CB" w14:textId="77777777" w:rsidR="004E65A9" w:rsidRDefault="004E65A9" w:rsidP="00125A10">
                          <w:pPr>
                            <w:rPr>
                              <w:rFonts w:ascii="Arial Narrow" w:hAnsi="Arial Narrow"/>
                              <w:bCs/>
                              <w:sz w:val="16"/>
                              <w:szCs w:val="16"/>
                            </w:rPr>
                          </w:pPr>
                          <w:r>
                            <w:rPr>
                              <w:rFonts w:ascii="Arial Narrow" w:hAnsi="Arial Narrow"/>
                              <w:sz w:val="16"/>
                            </w:rPr>
                            <w:t>10</w:t>
                          </w:r>
                        </w:p>
                      </w:tc>
                      <w:tc>
                        <w:tcPr>
                          <w:tcW w:w="448" w:type="dxa"/>
                        </w:tcPr>
                        <w:p w14:paraId="08F36696" w14:textId="77777777" w:rsidR="004E65A9" w:rsidRDefault="004E65A9" w:rsidP="00125A10">
                          <w:pPr>
                            <w:rPr>
                              <w:rFonts w:ascii="Arial Narrow" w:hAnsi="Arial Narrow"/>
                              <w:bCs/>
                              <w:sz w:val="16"/>
                              <w:szCs w:val="16"/>
                            </w:rPr>
                          </w:pPr>
                          <w:r>
                            <w:rPr>
                              <w:rFonts w:ascii="Arial Narrow" w:hAnsi="Arial Narrow"/>
                              <w:sz w:val="16"/>
                            </w:rPr>
                            <w:t>12</w:t>
                          </w:r>
                        </w:p>
                      </w:tc>
                      <w:tc>
                        <w:tcPr>
                          <w:tcW w:w="1386" w:type="dxa"/>
                        </w:tcPr>
                        <w:p w14:paraId="7CB33DFD" w14:textId="77777777" w:rsidR="004E65A9" w:rsidRDefault="004E65A9" w:rsidP="00125A10">
                          <w:pPr>
                            <w:rPr>
                              <w:rFonts w:ascii="Arial Narrow" w:hAnsi="Arial Narrow"/>
                              <w:bCs/>
                              <w:sz w:val="16"/>
                              <w:szCs w:val="16"/>
                            </w:rPr>
                          </w:pPr>
                          <w:r>
                            <w:rPr>
                              <w:rFonts w:ascii="Arial Narrow" w:hAnsi="Arial Narrow"/>
                              <w:sz w:val="16"/>
                            </w:rPr>
                            <w:t>16</w:t>
                          </w:r>
                        </w:p>
                      </w:tc>
                      <w:tc>
                        <w:tcPr>
                          <w:tcW w:w="1372" w:type="dxa"/>
                        </w:tcPr>
                        <w:p w14:paraId="035E0747" w14:textId="77777777" w:rsidR="004E65A9" w:rsidRDefault="004E65A9" w:rsidP="00125A10">
                          <w:pPr>
                            <w:rPr>
                              <w:rFonts w:ascii="Arial Narrow" w:hAnsi="Arial Narrow"/>
                              <w:bCs/>
                              <w:sz w:val="16"/>
                              <w:szCs w:val="16"/>
                            </w:rPr>
                          </w:pPr>
                          <w:r>
                            <w:rPr>
                              <w:rFonts w:ascii="Arial Narrow" w:hAnsi="Arial Narrow"/>
                              <w:sz w:val="16"/>
                            </w:rPr>
                            <w:t>28</w:t>
                          </w:r>
                        </w:p>
                      </w:tc>
                      <w:tc>
                        <w:tcPr>
                          <w:tcW w:w="1329" w:type="dxa"/>
                        </w:tcPr>
                        <w:p w14:paraId="4949E5B7" w14:textId="77777777" w:rsidR="004E65A9" w:rsidRDefault="004E65A9" w:rsidP="00125A10">
                          <w:pPr>
                            <w:rPr>
                              <w:rFonts w:ascii="Arial Narrow" w:hAnsi="Arial Narrow"/>
                              <w:bCs/>
                              <w:sz w:val="16"/>
                              <w:szCs w:val="16"/>
                            </w:rPr>
                          </w:pPr>
                          <w:r>
                            <w:rPr>
                              <w:rFonts w:ascii="Arial Narrow" w:hAnsi="Arial Narrow"/>
                              <w:sz w:val="16"/>
                            </w:rPr>
                            <w:t>40</w:t>
                          </w:r>
                        </w:p>
                      </w:tc>
                      <w:tc>
                        <w:tcPr>
                          <w:tcW w:w="1386" w:type="dxa"/>
                        </w:tcPr>
                        <w:p w14:paraId="32FE7CCA" w14:textId="77777777" w:rsidR="004E65A9" w:rsidRDefault="004E65A9" w:rsidP="00125A10">
                          <w:pPr>
                            <w:rPr>
                              <w:rFonts w:ascii="Arial Narrow" w:hAnsi="Arial Narrow"/>
                              <w:bCs/>
                              <w:sz w:val="16"/>
                              <w:szCs w:val="16"/>
                            </w:rPr>
                          </w:pPr>
                          <w:r>
                            <w:rPr>
                              <w:rFonts w:ascii="Arial Narrow" w:hAnsi="Arial Narrow"/>
                              <w:sz w:val="16"/>
                            </w:rPr>
                            <w:t>52</w:t>
                          </w:r>
                        </w:p>
                      </w:tc>
                      <w:tc>
                        <w:tcPr>
                          <w:tcW w:w="224" w:type="dxa"/>
                        </w:tcPr>
                        <w:p w14:paraId="68062D05" w14:textId="77777777" w:rsidR="004E65A9" w:rsidRDefault="004E65A9" w:rsidP="00125A10">
                          <w:pPr>
                            <w:rPr>
                              <w:rFonts w:ascii="Arial Narrow" w:hAnsi="Arial Narrow"/>
                              <w:bCs/>
                              <w:sz w:val="16"/>
                              <w:szCs w:val="16"/>
                            </w:rPr>
                          </w:pPr>
                          <w:r>
                            <w:rPr>
                              <w:rFonts w:ascii="Arial Narrow" w:hAnsi="Arial Narrow"/>
                              <w:sz w:val="16"/>
                            </w:rPr>
                            <w:t>64</w:t>
                          </w:r>
                        </w:p>
                      </w:tc>
                      <w:tc>
                        <w:tcPr>
                          <w:tcW w:w="680" w:type="dxa"/>
                        </w:tcPr>
                        <w:p w14:paraId="4FF9F846" w14:textId="77777777" w:rsidR="004E65A9" w:rsidRDefault="004E65A9" w:rsidP="00BB6A22">
                          <w:pPr>
                            <w:rPr>
                              <w:rFonts w:ascii="Arial Narrow" w:hAnsi="Arial Narrow"/>
                              <w:bCs/>
                              <w:sz w:val="16"/>
                              <w:szCs w:val="16"/>
                            </w:rPr>
                          </w:pPr>
                          <w:r>
                            <w:rPr>
                              <w:rFonts w:ascii="Arial Narrow" w:hAnsi="Arial Narrow"/>
                              <w:sz w:val="16"/>
                            </w:rPr>
                            <w:t>Oppfølging</w:t>
                          </w:r>
                        </w:p>
                      </w:tc>
                    </w:tr>
                  </w:tbl>
                  <w:p w14:paraId="4B332094" w14:textId="77777777" w:rsidR="004E65A9" w:rsidRPr="00E75F7E" w:rsidRDefault="004E65A9" w:rsidP="003F09AA">
                    <w:pPr>
                      <w:jc w:val="right"/>
                      <w:rPr>
                        <w:rFonts w:ascii="Arial Narrow" w:hAnsi="Arial Narrow"/>
                        <w:sz w:val="16"/>
                        <w:szCs w:val="16"/>
                        <w:lang w:val="es-ES"/>
                      </w:rPr>
                    </w:pPr>
                  </w:p>
                </w:txbxContent>
              </v:textbox>
            </v:shape>
            <v:shape id="Text Box 48" o:spid="_x0000_s2065" type="#_x0000_t202" style="position:absolute;left:7172;top:2153;width:1161;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" filled="f" stroked="f">
              <v:textbox style="mso-fit-shape-to-text:t" inset="0,0,0,0">
                <w:txbxContent>
                  <w:p w14:paraId="0375B818" w14:textId="77777777" w:rsidR="004E65A9" w:rsidRPr="00AD3E75" w:rsidRDefault="004E65A9" w:rsidP="003F09AA">
                    <w:pPr>
                      <w:rPr>
                        <w:rFonts w:ascii="Arial Narrow" w:hAnsi="Arial Narrow"/>
                        <w:bCs/>
                        <w:sz w:val="16"/>
                        <w:szCs w:val="16"/>
                      </w:rPr>
                    </w:pPr>
                    <w:r>
                      <w:rPr>
                        <w:rFonts w:ascii="Arial Narrow" w:hAnsi="Arial Narrow"/>
                        <w:sz w:val="16"/>
                      </w:rPr>
                      <w:t>Placebo</w:t>
                    </w:r>
                  </w:p>
                </w:txbxContent>
              </v:textbox>
            </v:shape>
            <v:shape id="Text Box 49" o:spid="_x0000_s2066" type="#_x0000_t202" style="position:absolute;left:8731;top:2172;width:1359;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" filled="f" stroked="f">
              <v:textbox style="mso-fit-shape-to-text:t" inset="0,0,0,0">
                <w:txbxContent>
                  <w:p w14:paraId="56241A87" w14:textId="77777777" w:rsidR="004E65A9" w:rsidRPr="00AD3E75" w:rsidRDefault="004E65A9" w:rsidP="003F09AA">
                    <w:pPr>
                      <w:rPr>
                        <w:rFonts w:ascii="Arial Narrow" w:hAnsi="Arial Narrow"/>
                        <w:bCs/>
                        <w:sz w:val="16"/>
                        <w:szCs w:val="16"/>
                      </w:rPr>
                    </w:pPr>
                    <w:r>
                      <w:rPr>
                        <w:rFonts w:ascii="Arial Narrow" w:hAnsi="Arial Narrow"/>
                        <w:sz w:val="16"/>
                      </w:rPr>
                      <w:t>APR 30 BID</w:t>
                    </w:r>
                  </w:p>
                </w:txbxContent>
              </v:textbox>
            </v:shape>
          </v:group>
        </w:pict>
      </w:r>
      <w:r>
        <w:rPr>
          <w:noProof/>
        </w:rPr>
        <w:pict w14:anchorId="566E3E59">
          <v:shape id="Picture 7" o:spid="_x0000_i1038" type="#_x0000_t75" style="width:481.8pt;height:213.6pt;visibility:visible;mso-wrap-style:square">
            <v:imagedata r:id="rId19" o:title=""/>
          </v:shape>
        </w:pict>
      </w:r>
    </w:p>
    <w:p w14:paraId="0BE9E4C7" w14:textId="77777777" w:rsidR="004E65A9" w:rsidRPr="00BD1AD5" w:rsidRDefault="004E65A9" w:rsidP="003F09AA">
      <w:pPr>
        <w:pStyle w:val="C-BodyText"/>
        <w:keepNext/>
        <w:spacing w:before="0" w:after="0" w:line="240" w:lineRule="auto"/>
        <w:jc w:val="both"/>
        <w:rPr>
          <w:sz w:val="16"/>
          <w:szCs w:val="16"/>
          <w:lang w:val="en-GB"/>
        </w:rPr>
      </w:pPr>
    </w:p>
    <w:p w14:paraId="26FA671C" w14:textId="77777777" w:rsidR="004E65A9" w:rsidRPr="00BD1AD5" w:rsidRDefault="004E65A9" w:rsidP="003F09AA">
      <w:pPr>
        <w:pStyle w:val="C-BodyText"/>
        <w:spacing w:before="0" w:after="0" w:line="240" w:lineRule="auto"/>
        <w:jc w:val="both"/>
        <w:rPr>
          <w:sz w:val="18"/>
          <w:szCs w:val="18"/>
        </w:rPr>
      </w:pPr>
      <w:r>
        <w:rPr>
          <w:sz w:val="18"/>
        </w:rPr>
        <w:t>ITT = med hensikt å behandle; DAO = data som observert.</w:t>
      </w:r>
    </w:p>
    <w:p w14:paraId="6F525537" w14:textId="77777777" w:rsidR="004E65A9" w:rsidRPr="00BD1AD5" w:rsidRDefault="004E65A9" w:rsidP="003F09AA">
      <w:pPr>
        <w:pStyle w:val="C-BodyText"/>
        <w:spacing w:before="0" w:after="0" w:line="240" w:lineRule="auto"/>
        <w:rPr>
          <w:sz w:val="18"/>
          <w:szCs w:val="18"/>
        </w:rPr>
      </w:pPr>
      <w:r>
        <w:rPr>
          <w:sz w:val="18"/>
        </w:rPr>
        <w:t>APR 30 BID = apremilast 30 mg to ganger daglig.</w:t>
      </w:r>
    </w:p>
    <w:p w14:paraId="449C1A16" w14:textId="77777777" w:rsidR="004E65A9" w:rsidRPr="00BD1AD5" w:rsidRDefault="004E65A9" w:rsidP="003F09AA">
      <w:pPr>
        <w:pStyle w:val="C-BodyText"/>
        <w:keepNext/>
        <w:spacing w:before="0" w:after="0" w:line="240" w:lineRule="auto"/>
        <w:rPr>
          <w:sz w:val="18"/>
          <w:szCs w:val="18"/>
        </w:rPr>
      </w:pPr>
      <w:r>
        <w:rPr>
          <w:sz w:val="18"/>
        </w:rPr>
        <w:t>Merk: Placebo eller APR 30 mg BID angir behandlingsgruppen der pasienter ble randomisert. Pasienter i placebobehandlingsgruppe byttet til APR 30 BID i uke 12.</w:t>
      </w:r>
    </w:p>
    <w:p w14:paraId="33A1A89E" w14:textId="77777777" w:rsidR="004E65A9" w:rsidRPr="00BD1AD5" w:rsidRDefault="004E65A9" w:rsidP="003F09AA">
      <w:pPr>
        <w:autoSpaceDE w:val="0"/>
        <w:autoSpaceDN w:val="0"/>
        <w:rPr>
          <w:sz w:val="18"/>
          <w:szCs w:val="18"/>
        </w:rPr>
      </w:pPr>
      <w:r>
        <w:rPr>
          <w:sz w:val="18"/>
        </w:rPr>
        <w:t>Oppfølgingstidspunktet var 4 uker etter pasienter fullførte uke 64, eller 4 uker etter at pasienter avsluttet behandling før uke 64.</w:t>
      </w:r>
    </w:p>
    <w:p w14:paraId="5BCE7B15" w14:textId="77777777" w:rsidR="004E65A9" w:rsidRPr="000B27C9" w:rsidRDefault="004E65A9" w:rsidP="003F09AA">
      <w:pPr>
        <w:pStyle w:val="C-BodyText"/>
        <w:spacing w:before="0" w:after="0" w:line="240" w:lineRule="auto"/>
        <w:rPr>
          <w:sz w:val="22"/>
          <w:szCs w:val="22"/>
        </w:rPr>
      </w:pPr>
    </w:p>
    <w:p w14:paraId="1B54ABA0" w14:textId="77777777" w:rsidR="004E65A9" w:rsidRPr="00BD1AD5" w:rsidRDefault="004E65A9" w:rsidP="003F09AA">
      <w:pPr>
        <w:pStyle w:val="C-BodyText"/>
        <w:keepNext/>
        <w:spacing w:before="0" w:after="0" w:line="240" w:lineRule="auto"/>
        <w:rPr>
          <w:b/>
          <w:sz w:val="22"/>
          <w:szCs w:val="24"/>
        </w:rPr>
      </w:pPr>
      <w:r>
        <w:rPr>
          <w:b/>
          <w:sz w:val="22"/>
        </w:rPr>
        <w:t>Figur 4. Gjennomsnittlig endring fra baseline i antall sår i munnen på visuell analog skala ved tidspunkt til og med uke 64 (ITT-populasjon; DAO)</w:t>
      </w:r>
    </w:p>
    <w:p w14:paraId="1A48C82F" w14:textId="77777777" w:rsidR="004E65A9" w:rsidRPr="000B27C9" w:rsidRDefault="004E65A9" w:rsidP="003F09AA">
      <w:pPr>
        <w:pStyle w:val="C-BodyText"/>
        <w:keepNext/>
        <w:spacing w:before="0" w:after="0" w:line="240" w:lineRule="auto"/>
        <w:rPr>
          <w:b/>
          <w:sz w:val="22"/>
          <w:szCs w:val="24"/>
        </w:rPr>
      </w:pPr>
    </w:p>
    <w:p w14:paraId="7534693F" w14:textId="5140A91E" w:rsidR="004E65A9" w:rsidRPr="00BD1AD5" w:rsidRDefault="00963757" w:rsidP="003F09AA">
      <w:pPr>
        <w:pStyle w:val="C-BodyText"/>
        <w:keepNext/>
        <w:spacing w:before="0" w:after="0" w:line="240" w:lineRule="auto"/>
        <w:rPr>
          <w:b/>
          <w:sz w:val="22"/>
          <w:szCs w:val="24"/>
        </w:rPr>
      </w:pPr>
      <w:r>
        <w:rPr>
          <w:noProof/>
        </w:rPr>
        <w:pict w14:anchorId="185163B0">
          <v:group id="Group 185" o:spid="_x0000_s2051" style="position:absolute;margin-left:2.2pt;margin-top:.8pt;width:514.8pt;height:222.55pt;z-index:251659264" coordorigin="1462,8616" coordsize="10296,4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">
            <v:shape id="Text Box 36" o:spid="_x0000_s2052" type="#_x0000_t202" style="position:absolute;left:4140;top:11479;width:4842;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" filled="f" stroked="f">
              <v:textbox style="mso-fit-shape-to-text:t" inset="0,0,0,0">
                <w:txbxContent>
                  <w:p w14:paraId="421A9485" w14:textId="77777777" w:rsidR="004E65A9" w:rsidRPr="004A0E00" w:rsidRDefault="004E65A9" w:rsidP="003F09AA">
                    <w:pPr>
                      <w:jc w:val="center"/>
                      <w:rPr>
                        <w:rFonts w:ascii="Arial Narrow" w:hAnsi="Arial Narrow"/>
                        <w:b/>
                        <w:sz w:val="16"/>
                        <w:szCs w:val="16"/>
                      </w:rPr>
                    </w:pPr>
                    <w:r>
                      <w:rPr>
                        <w:rFonts w:ascii="Arial Narrow" w:hAnsi="Arial Narrow"/>
                        <w:b/>
                        <w:sz w:val="16"/>
                      </w:rPr>
                      <w:t>Tid (uker)</w:t>
                    </w:r>
                  </w:p>
                </w:txbxContent>
              </v:textbox>
            </v:shape>
            <v:shape id="Text Box 37" o:spid="_x0000_s2053" type="#_x0000_t202" style="position:absolute;left:1536;top:8616;width:1076;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" filled="f" stroked="f" strokecolor="white" strokeweight="0">
              <v:textbox inset=".5mm,.5mm,.5mm,.5mm">
                <w:txbxContent>
                  <w:tbl>
                    <w:tblPr>
                      <w:tblW w:w="0" w:type="auto"/>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4"/>
                    </w:tblGrid>
                    <w:tr w:rsidR="004E65A9" w14:paraId="44EA966B" w14:textId="77777777" w:rsidTr="00C358AD">
                      <w:trPr>
                        <w:cantSplit/>
                        <w:trHeight w:val="2983"/>
                      </w:trPr>
                      <w:tc>
                        <w:tcPr>
                          <w:tcW w:w="1004" w:type="dxa"/>
                          <w:textDirection w:val="btLr"/>
                          <w:vAlign w:val="bottom"/>
                        </w:tcPr>
                        <w:p w14:paraId="10C0863D" w14:textId="77777777" w:rsidR="004E65A9" w:rsidRPr="00C358AD" w:rsidRDefault="004E65A9" w:rsidP="00C358AD">
                          <w:pPr>
                            <w:ind w:left="113" w:right="113"/>
                            <w:jc w:val="center"/>
                            <w:rPr>
                              <w:rFonts w:ascii="Arial Narrow" w:hAnsi="Arial Narrow" w:cs="Arial"/>
                              <w:b/>
                              <w:sz w:val="16"/>
                              <w:szCs w:val="16"/>
                            </w:rPr>
                          </w:pPr>
                          <w:r>
                            <w:rPr>
                              <w:rFonts w:ascii="Arial Narrow" w:hAnsi="Arial Narrow"/>
                              <w:b/>
                              <w:sz w:val="16"/>
                            </w:rPr>
                            <w:t>Gjennomsnittlig endring fra baseline i antall sår i munnen</w:t>
                          </w:r>
                        </w:p>
                      </w:tc>
                    </w:tr>
                  </w:tbl>
                  <w:p w14:paraId="769972EA" w14:textId="77777777" w:rsidR="004E65A9" w:rsidRPr="000B27C9" w:rsidRDefault="004E65A9" w:rsidP="003F09AA">
                    <w:pPr>
                      <w:jc w:val="center"/>
                      <w:rPr>
                        <w:rFonts w:ascii="Arial Narrow" w:hAnsi="Arial Narrow" w:cs="Arial"/>
                        <w:b/>
                        <w:sz w:val="16"/>
                        <w:szCs w:val="16"/>
                      </w:rPr>
                    </w:pPr>
                  </w:p>
                </w:txbxContent>
              </v:textbox>
            </v:shape>
            <v:shape id="Text Box 38" o:spid="_x0000_s2054" type="#_x0000_t202" style="position:absolute;left:2614;top:11220;width:9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" filled="f" stroked="f" strokecolor="white" strokeweight="0">
              <v:textbox inset=".5mm,.5mm,.5mm,.5mm">
                <w:txbxContent>
                  <w:tbl>
                    <w:tblPr>
                      <w:tblW w:w="8143" w:type="dxa"/>
                      <w:tblInd w:w="250" w:type="dxa"/>
                      <w:tblBorders>
                        <w:insideH w:val="single" w:sz="4" w:space="0" w:color="auto"/>
                      </w:tblBorders>
                      <w:tblCellMar>
                        <w:left w:w="0" w:type="dxa"/>
                        <w:right w:w="0" w:type="dxa"/>
                      </w:tblCellMar>
                      <w:tblLook w:val="04A0" w:firstRow="1" w:lastRow="0" w:firstColumn="1" w:lastColumn="0" w:noHBand="0" w:noVBand="1"/>
                    </w:tblPr>
                    <w:tblGrid>
                      <w:gridCol w:w="114"/>
                      <w:gridCol w:w="112"/>
                      <w:gridCol w:w="238"/>
                      <w:gridCol w:w="224"/>
                      <w:gridCol w:w="224"/>
                      <w:gridCol w:w="182"/>
                      <w:gridCol w:w="224"/>
                      <w:gridCol w:w="448"/>
                      <w:gridCol w:w="1386"/>
                      <w:gridCol w:w="1372"/>
                      <w:gridCol w:w="1329"/>
                      <w:gridCol w:w="1386"/>
                      <w:gridCol w:w="224"/>
                      <w:gridCol w:w="680"/>
                    </w:tblGrid>
                    <w:tr w:rsidR="004E65A9" w:rsidRPr="00BE055E" w14:paraId="279218C5" w14:textId="77777777" w:rsidTr="00D773AD">
                      <w:trPr>
                        <w:trHeight w:val="269"/>
                      </w:trPr>
                      <w:tc>
                        <w:tcPr>
                          <w:tcW w:w="114" w:type="dxa"/>
                        </w:tcPr>
                        <w:p w14:paraId="77DA785C" w14:textId="77777777" w:rsidR="004E65A9" w:rsidRPr="00C80DE0" w:rsidRDefault="004E65A9" w:rsidP="00125A10">
                          <w:pPr>
                            <w:rPr>
                              <w:rFonts w:ascii="Arial Narrow" w:hAnsi="Arial Narrow"/>
                              <w:bCs/>
                              <w:sz w:val="16"/>
                              <w:szCs w:val="16"/>
                            </w:rPr>
                          </w:pPr>
                          <w:r>
                            <w:rPr>
                              <w:rFonts w:ascii="Arial Narrow" w:hAnsi="Arial Narrow"/>
                              <w:sz w:val="16"/>
                            </w:rPr>
                            <w:t>0</w:t>
                          </w:r>
                        </w:p>
                      </w:tc>
                      <w:tc>
                        <w:tcPr>
                          <w:tcW w:w="112" w:type="dxa"/>
                        </w:tcPr>
                        <w:p w14:paraId="13485D48" w14:textId="77777777" w:rsidR="004E65A9" w:rsidRPr="00C80DE0" w:rsidRDefault="004E65A9" w:rsidP="00125A10">
                          <w:pPr>
                            <w:rPr>
                              <w:rFonts w:ascii="Arial Narrow" w:hAnsi="Arial Narrow"/>
                              <w:bCs/>
                              <w:sz w:val="16"/>
                              <w:szCs w:val="16"/>
                            </w:rPr>
                          </w:pPr>
                          <w:r>
                            <w:rPr>
                              <w:rFonts w:ascii="Arial Narrow" w:hAnsi="Arial Narrow"/>
                              <w:sz w:val="16"/>
                            </w:rPr>
                            <w:t>1</w:t>
                          </w:r>
                        </w:p>
                      </w:tc>
                      <w:tc>
                        <w:tcPr>
                          <w:tcW w:w="238" w:type="dxa"/>
                        </w:tcPr>
                        <w:p w14:paraId="5A2F505F" w14:textId="77777777" w:rsidR="004E65A9" w:rsidRPr="00C80DE0" w:rsidRDefault="004E65A9" w:rsidP="00125A10">
                          <w:pPr>
                            <w:rPr>
                              <w:rFonts w:ascii="Arial Narrow" w:hAnsi="Arial Narrow"/>
                              <w:bCs/>
                              <w:sz w:val="16"/>
                              <w:szCs w:val="16"/>
                            </w:rPr>
                          </w:pPr>
                          <w:r>
                            <w:rPr>
                              <w:rFonts w:ascii="Arial Narrow" w:hAnsi="Arial Narrow"/>
                              <w:sz w:val="16"/>
                            </w:rPr>
                            <w:t>2</w:t>
                          </w:r>
                        </w:p>
                      </w:tc>
                      <w:tc>
                        <w:tcPr>
                          <w:tcW w:w="224" w:type="dxa"/>
                        </w:tcPr>
                        <w:p w14:paraId="642B35B6" w14:textId="77777777" w:rsidR="004E65A9" w:rsidRPr="00C80DE0" w:rsidRDefault="004E65A9" w:rsidP="00125A10">
                          <w:pPr>
                            <w:rPr>
                              <w:rFonts w:ascii="Arial Narrow" w:hAnsi="Arial Narrow"/>
                              <w:bCs/>
                              <w:sz w:val="16"/>
                              <w:szCs w:val="16"/>
                            </w:rPr>
                          </w:pPr>
                          <w:r>
                            <w:rPr>
                              <w:rFonts w:ascii="Arial Narrow" w:hAnsi="Arial Narrow"/>
                              <w:sz w:val="16"/>
                            </w:rPr>
                            <w:t>4</w:t>
                          </w:r>
                        </w:p>
                      </w:tc>
                      <w:tc>
                        <w:tcPr>
                          <w:tcW w:w="224" w:type="dxa"/>
                        </w:tcPr>
                        <w:p w14:paraId="68B861DA" w14:textId="77777777" w:rsidR="004E65A9" w:rsidRPr="00C80DE0" w:rsidRDefault="004E65A9" w:rsidP="00125A10">
                          <w:pPr>
                            <w:rPr>
                              <w:rFonts w:ascii="Arial Narrow" w:hAnsi="Arial Narrow"/>
                              <w:bCs/>
                              <w:sz w:val="16"/>
                              <w:szCs w:val="16"/>
                            </w:rPr>
                          </w:pPr>
                          <w:r>
                            <w:rPr>
                              <w:rFonts w:ascii="Arial Narrow" w:hAnsi="Arial Narrow"/>
                              <w:sz w:val="16"/>
                            </w:rPr>
                            <w:t>6</w:t>
                          </w:r>
                        </w:p>
                      </w:tc>
                      <w:tc>
                        <w:tcPr>
                          <w:tcW w:w="182" w:type="dxa"/>
                        </w:tcPr>
                        <w:p w14:paraId="048EE721" w14:textId="77777777" w:rsidR="004E65A9" w:rsidRDefault="004E65A9" w:rsidP="00125A10">
                          <w:pPr>
                            <w:rPr>
                              <w:rFonts w:ascii="Arial Narrow" w:hAnsi="Arial Narrow"/>
                              <w:bCs/>
                              <w:sz w:val="16"/>
                              <w:szCs w:val="16"/>
                            </w:rPr>
                          </w:pPr>
                          <w:r>
                            <w:rPr>
                              <w:rFonts w:ascii="Arial Narrow" w:hAnsi="Arial Narrow"/>
                              <w:sz w:val="16"/>
                            </w:rPr>
                            <w:t>8</w:t>
                          </w:r>
                        </w:p>
                      </w:tc>
                      <w:tc>
                        <w:tcPr>
                          <w:tcW w:w="224" w:type="dxa"/>
                        </w:tcPr>
                        <w:p w14:paraId="794584EC" w14:textId="77777777" w:rsidR="004E65A9" w:rsidRDefault="004E65A9" w:rsidP="00125A10">
                          <w:pPr>
                            <w:rPr>
                              <w:rFonts w:ascii="Arial Narrow" w:hAnsi="Arial Narrow"/>
                              <w:bCs/>
                              <w:sz w:val="16"/>
                              <w:szCs w:val="16"/>
                            </w:rPr>
                          </w:pPr>
                          <w:r>
                            <w:rPr>
                              <w:rFonts w:ascii="Arial Narrow" w:hAnsi="Arial Narrow"/>
                              <w:sz w:val="16"/>
                            </w:rPr>
                            <w:t>10</w:t>
                          </w:r>
                        </w:p>
                      </w:tc>
                      <w:tc>
                        <w:tcPr>
                          <w:tcW w:w="448" w:type="dxa"/>
                        </w:tcPr>
                        <w:p w14:paraId="7B094AD1" w14:textId="77777777" w:rsidR="004E65A9" w:rsidRDefault="004E65A9" w:rsidP="00125A10">
                          <w:pPr>
                            <w:rPr>
                              <w:rFonts w:ascii="Arial Narrow" w:hAnsi="Arial Narrow"/>
                              <w:bCs/>
                              <w:sz w:val="16"/>
                              <w:szCs w:val="16"/>
                            </w:rPr>
                          </w:pPr>
                          <w:r>
                            <w:rPr>
                              <w:rFonts w:ascii="Arial Narrow" w:hAnsi="Arial Narrow"/>
                              <w:sz w:val="16"/>
                            </w:rPr>
                            <w:t>12</w:t>
                          </w:r>
                        </w:p>
                      </w:tc>
                      <w:tc>
                        <w:tcPr>
                          <w:tcW w:w="1386" w:type="dxa"/>
                        </w:tcPr>
                        <w:p w14:paraId="2E882226" w14:textId="77777777" w:rsidR="004E65A9" w:rsidRDefault="004E65A9" w:rsidP="00125A10">
                          <w:pPr>
                            <w:rPr>
                              <w:rFonts w:ascii="Arial Narrow" w:hAnsi="Arial Narrow"/>
                              <w:bCs/>
                              <w:sz w:val="16"/>
                              <w:szCs w:val="16"/>
                            </w:rPr>
                          </w:pPr>
                          <w:r>
                            <w:rPr>
                              <w:rFonts w:ascii="Arial Narrow" w:hAnsi="Arial Narrow"/>
                              <w:sz w:val="16"/>
                            </w:rPr>
                            <w:t>16</w:t>
                          </w:r>
                        </w:p>
                      </w:tc>
                      <w:tc>
                        <w:tcPr>
                          <w:tcW w:w="1372" w:type="dxa"/>
                        </w:tcPr>
                        <w:p w14:paraId="3792C6C6" w14:textId="77777777" w:rsidR="004E65A9" w:rsidRDefault="004E65A9" w:rsidP="00125A10">
                          <w:pPr>
                            <w:rPr>
                              <w:rFonts w:ascii="Arial Narrow" w:hAnsi="Arial Narrow"/>
                              <w:bCs/>
                              <w:sz w:val="16"/>
                              <w:szCs w:val="16"/>
                            </w:rPr>
                          </w:pPr>
                          <w:r>
                            <w:rPr>
                              <w:rFonts w:ascii="Arial Narrow" w:hAnsi="Arial Narrow"/>
                              <w:sz w:val="16"/>
                            </w:rPr>
                            <w:t>28</w:t>
                          </w:r>
                        </w:p>
                      </w:tc>
                      <w:tc>
                        <w:tcPr>
                          <w:tcW w:w="1329" w:type="dxa"/>
                        </w:tcPr>
                        <w:p w14:paraId="14E071E6" w14:textId="77777777" w:rsidR="004E65A9" w:rsidRDefault="004E65A9" w:rsidP="00125A10">
                          <w:pPr>
                            <w:rPr>
                              <w:rFonts w:ascii="Arial Narrow" w:hAnsi="Arial Narrow"/>
                              <w:bCs/>
                              <w:sz w:val="16"/>
                              <w:szCs w:val="16"/>
                            </w:rPr>
                          </w:pPr>
                          <w:r>
                            <w:rPr>
                              <w:rFonts w:ascii="Arial Narrow" w:hAnsi="Arial Narrow"/>
                              <w:sz w:val="16"/>
                            </w:rPr>
                            <w:t>40</w:t>
                          </w:r>
                        </w:p>
                      </w:tc>
                      <w:tc>
                        <w:tcPr>
                          <w:tcW w:w="1386" w:type="dxa"/>
                        </w:tcPr>
                        <w:p w14:paraId="017E417A" w14:textId="77777777" w:rsidR="004E65A9" w:rsidRDefault="004E65A9" w:rsidP="00125A10">
                          <w:pPr>
                            <w:rPr>
                              <w:rFonts w:ascii="Arial Narrow" w:hAnsi="Arial Narrow"/>
                              <w:bCs/>
                              <w:sz w:val="16"/>
                              <w:szCs w:val="16"/>
                            </w:rPr>
                          </w:pPr>
                          <w:r>
                            <w:rPr>
                              <w:rFonts w:ascii="Arial Narrow" w:hAnsi="Arial Narrow"/>
                              <w:sz w:val="16"/>
                            </w:rPr>
                            <w:t>52</w:t>
                          </w:r>
                        </w:p>
                      </w:tc>
                      <w:tc>
                        <w:tcPr>
                          <w:tcW w:w="224" w:type="dxa"/>
                        </w:tcPr>
                        <w:p w14:paraId="63A28C48" w14:textId="77777777" w:rsidR="004E65A9" w:rsidRDefault="004E65A9" w:rsidP="00125A10">
                          <w:pPr>
                            <w:rPr>
                              <w:rFonts w:ascii="Arial Narrow" w:hAnsi="Arial Narrow"/>
                              <w:bCs/>
                              <w:sz w:val="16"/>
                              <w:szCs w:val="16"/>
                            </w:rPr>
                          </w:pPr>
                          <w:r>
                            <w:rPr>
                              <w:rFonts w:ascii="Arial Narrow" w:hAnsi="Arial Narrow"/>
                              <w:sz w:val="16"/>
                            </w:rPr>
                            <w:t>64</w:t>
                          </w:r>
                        </w:p>
                      </w:tc>
                      <w:tc>
                        <w:tcPr>
                          <w:tcW w:w="680" w:type="dxa"/>
                        </w:tcPr>
                        <w:p w14:paraId="6DEC9161" w14:textId="77777777" w:rsidR="004E65A9" w:rsidRDefault="004E65A9" w:rsidP="00D773AD">
                          <w:pPr>
                            <w:rPr>
                              <w:rFonts w:ascii="Arial Narrow" w:hAnsi="Arial Narrow"/>
                              <w:bCs/>
                              <w:sz w:val="16"/>
                              <w:szCs w:val="16"/>
                            </w:rPr>
                          </w:pPr>
                          <w:r>
                            <w:rPr>
                              <w:rFonts w:ascii="Arial Narrow" w:hAnsi="Arial Narrow"/>
                              <w:sz w:val="16"/>
                            </w:rPr>
                            <w:t>Oppfølging</w:t>
                          </w:r>
                        </w:p>
                      </w:tc>
                    </w:tr>
                  </w:tbl>
                  <w:p w14:paraId="2ACD1203" w14:textId="77777777" w:rsidR="004E65A9" w:rsidRPr="00E75F7E" w:rsidRDefault="004E65A9" w:rsidP="003F09AA">
                    <w:pPr>
                      <w:jc w:val="right"/>
                      <w:rPr>
                        <w:rFonts w:ascii="Arial Narrow" w:hAnsi="Arial Narrow"/>
                        <w:sz w:val="16"/>
                        <w:szCs w:val="16"/>
                        <w:lang w:val="es-ES"/>
                      </w:rPr>
                    </w:pPr>
                  </w:p>
                </w:txbxContent>
              </v:textbox>
            </v:shape>
            <v:shape id="Text Box 39" o:spid="_x0000_s2055" type="#_x0000_t202" style="position:absolute;left:2526;top:8638;width:278;height:2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" filled="f" stroked="f" strokecolor="white" strokeweight="0">
              <v:textbox inset=".5mm,.5mm,.5mm,.5mm">
                <w:txbxContent>
                  <w:tbl>
                    <w:tblPr>
                      <w:tblW w:w="0" w:type="auto"/>
                      <w:tblCellMar>
                        <w:left w:w="28" w:type="dxa"/>
                        <w:right w:w="28" w:type="dxa"/>
                      </w:tblCellMar>
                      <w:tblLook w:val="04A0" w:firstRow="1" w:lastRow="0" w:firstColumn="1" w:lastColumn="0" w:noHBand="0" w:noVBand="1"/>
                    </w:tblPr>
                    <w:tblGrid>
                      <w:gridCol w:w="280"/>
                    </w:tblGrid>
                    <w:tr w:rsidR="004E65A9" w:rsidRPr="00DC5696" w14:paraId="55EDED67" w14:textId="77777777" w:rsidTr="00A8543E">
                      <w:trPr>
                        <w:trHeight w:val="482"/>
                      </w:trPr>
                      <w:tc>
                        <w:tcPr>
                          <w:tcW w:w="280" w:type="dxa"/>
                        </w:tcPr>
                        <w:p w14:paraId="1838CBC4" w14:textId="77777777" w:rsidR="004E65A9" w:rsidRPr="00C80DE0" w:rsidRDefault="004E65A9"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r w:rsidR="004E65A9" w:rsidRPr="00DC5696" w14:paraId="19F2B00A" w14:textId="77777777" w:rsidTr="00A8543E">
                      <w:trPr>
                        <w:trHeight w:val="482"/>
                      </w:trPr>
                      <w:tc>
                        <w:tcPr>
                          <w:tcW w:w="280" w:type="dxa"/>
                        </w:tcPr>
                        <w:p w14:paraId="23B96209" w14:textId="77777777" w:rsidR="004E65A9" w:rsidRPr="00C80DE0" w:rsidRDefault="004E65A9"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4E65A9" w:rsidRPr="00DC5696" w14:paraId="6810C647" w14:textId="77777777" w:rsidTr="00A8543E">
                      <w:trPr>
                        <w:trHeight w:val="482"/>
                      </w:trPr>
                      <w:tc>
                        <w:tcPr>
                          <w:tcW w:w="280" w:type="dxa"/>
                        </w:tcPr>
                        <w:p w14:paraId="0E582F07" w14:textId="77777777" w:rsidR="004E65A9" w:rsidRPr="00C80DE0" w:rsidRDefault="004E65A9"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-20</w:t>
                          </w:r>
                        </w:p>
                      </w:tc>
                    </w:tr>
                    <w:tr w:rsidR="004E65A9" w:rsidRPr="00DC5696" w14:paraId="45CD9B63" w14:textId="77777777" w:rsidTr="00A8543E">
                      <w:trPr>
                        <w:trHeight w:val="482"/>
                      </w:trPr>
                      <w:tc>
                        <w:tcPr>
                          <w:tcW w:w="280" w:type="dxa"/>
                        </w:tcPr>
                        <w:p w14:paraId="66938E79" w14:textId="77777777" w:rsidR="004E65A9" w:rsidRPr="00C80DE0" w:rsidRDefault="004E65A9"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-30</w:t>
                          </w:r>
                        </w:p>
                      </w:tc>
                    </w:tr>
                    <w:tr w:rsidR="004E65A9" w:rsidRPr="00DC5696" w14:paraId="4F48940D" w14:textId="77777777" w:rsidTr="00A8543E">
                      <w:trPr>
                        <w:trHeight w:val="482"/>
                      </w:trPr>
                      <w:tc>
                        <w:tcPr>
                          <w:tcW w:w="280" w:type="dxa"/>
                        </w:tcPr>
                        <w:p w14:paraId="7BCF0039" w14:textId="77777777" w:rsidR="004E65A9" w:rsidRDefault="004E65A9" w:rsidP="00125A10">
                          <w:pPr>
                            <w:tabs>
                              <w:tab w:val="clear" w:pos="567"/>
                            </w:tabs>
                            <w:autoSpaceDE w:val="0"/>
                            <w:autoSpaceDN w:val="0"/>
                            <w:adjustRightInd w:val="0"/>
                            <w:ind w:right="-20"/>
                            <w:jc w:val="right"/>
                            <w:rPr>
                              <w:rFonts w:ascii="Arial Narrow" w:hAnsi="Arial Narrow"/>
                              <w:sz w:val="16"/>
                            </w:rPr>
                          </w:pPr>
                        </w:p>
                      </w:tc>
                    </w:tr>
                    <w:tr w:rsidR="004E65A9" w:rsidRPr="00DC5696" w14:paraId="62BFF958" w14:textId="77777777" w:rsidTr="00A8543E">
                      <w:trPr>
                        <w:trHeight w:val="482"/>
                      </w:trPr>
                      <w:tc>
                        <w:tcPr>
                          <w:tcW w:w="280" w:type="dxa"/>
                        </w:tcPr>
                        <w:p w14:paraId="2E648E9D" w14:textId="77777777" w:rsidR="004E65A9" w:rsidRPr="00C80DE0" w:rsidRDefault="004E65A9"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-40</w:t>
                          </w:r>
                        </w:p>
                      </w:tc>
                    </w:tr>
                    <w:tr w:rsidR="004E65A9" w:rsidRPr="00DC5696" w14:paraId="60046924" w14:textId="77777777" w:rsidTr="00A8543E">
                      <w:trPr>
                        <w:trHeight w:val="482"/>
                      </w:trPr>
                      <w:tc>
                        <w:tcPr>
                          <w:tcW w:w="280" w:type="dxa"/>
                        </w:tcPr>
                        <w:p w14:paraId="79CD9CC7" w14:textId="77777777" w:rsidR="004E65A9" w:rsidRPr="00C80DE0" w:rsidRDefault="004E65A9"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-50</w:t>
                          </w:r>
                        </w:p>
                      </w:tc>
                    </w:tr>
                  </w:tbl>
                  <w:p w14:paraId="244264D1" w14:textId="77777777" w:rsidR="004E65A9" w:rsidRPr="00E75F7E" w:rsidRDefault="004E65A9" w:rsidP="003F09AA">
                    <w:pPr>
                      <w:jc w:val="right"/>
                      <w:rPr>
                        <w:rFonts w:ascii="Arial Narrow" w:hAnsi="Arial Narrow"/>
                        <w:sz w:val="16"/>
                        <w:szCs w:val="16"/>
                        <w:lang w:val="es-ES"/>
                      </w:rPr>
                    </w:pPr>
                  </w:p>
                </w:txbxContent>
              </v:textbox>
            </v:shape>
            <v:shape id="Text Box 50" o:spid="_x0000_s2056" type="#_x0000_t202" style="position:absolute;left:1462;top:11732;width:10204;height:1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" filled="f" stroked="f" strokecolor="white">
              <v:textbox inset=",,0">
                <w:txbxContent>
                  <w:tbl>
                    <w:tblPr>
                      <w:tblOverlap w:val="never"/>
                      <w:tblW w:w="9495" w:type="dxa"/>
                      <w:tblInd w:w="-84" w:type="dxa"/>
                      <w:tblCellMar>
                        <w:left w:w="0" w:type="dxa"/>
                        <w:right w:w="0" w:type="dxa"/>
                      </w:tblCellMar>
                      <w:tblLook w:val="04A0" w:firstRow="1" w:lastRow="0" w:firstColumn="1" w:lastColumn="0" w:noHBand="0" w:noVBand="1"/>
                    </w:tblPr>
                    <w:tblGrid>
                      <w:gridCol w:w="1275"/>
                      <w:gridCol w:w="243"/>
                      <w:gridCol w:w="243"/>
                      <w:gridCol w:w="243"/>
                      <w:gridCol w:w="243"/>
                      <w:gridCol w:w="243"/>
                      <w:gridCol w:w="244"/>
                      <w:gridCol w:w="244"/>
                      <w:gridCol w:w="510"/>
                      <w:gridCol w:w="907"/>
                      <w:gridCol w:w="453"/>
                      <w:gridCol w:w="964"/>
                      <w:gridCol w:w="453"/>
                      <w:gridCol w:w="850"/>
                      <w:gridCol w:w="453"/>
                      <w:gridCol w:w="1020"/>
                      <w:gridCol w:w="283"/>
                      <w:gridCol w:w="624"/>
                    </w:tblGrid>
                    <w:tr w:rsidR="004E65A9" w:rsidRPr="00966284" w14:paraId="152A5929" w14:textId="77777777" w:rsidTr="00D773AD">
                      <w:trPr>
                        <w:cantSplit/>
                        <w:trHeight w:val="287"/>
                      </w:trPr>
                      <w:tc>
                        <w:tcPr>
                          <w:tcW w:w="1275" w:type="dxa"/>
                          <w:shd w:val="clear" w:color="auto" w:fill="000000"/>
                          <w:vAlign w:val="center"/>
                        </w:tcPr>
                        <w:p w14:paraId="22227E7E" w14:textId="77777777" w:rsidR="004E65A9" w:rsidRPr="00251772" w:rsidRDefault="004E65A9" w:rsidP="0058178C">
                          <w:pPr>
                            <w:pStyle w:val="Style4"/>
                            <w:shd w:val="clear" w:color="auto" w:fill="auto"/>
                            <w:spacing w:line="240" w:lineRule="auto"/>
                            <w:ind w:left="57"/>
                            <w:suppressOverlap/>
                            <w:rPr>
                              <w:rFonts w:ascii="Arial Narrow" w:hAnsi="Arial Narrow"/>
                              <w:b/>
                              <w:bCs/>
                              <w:sz w:val="14"/>
                              <w:szCs w:val="14"/>
                              <w:highlight w:val="black"/>
                            </w:rPr>
                          </w:pPr>
                          <w:r>
                            <w:rPr>
                              <w:rStyle w:val="CharStyle8"/>
                              <w:rFonts w:ascii="Arial Narrow" w:eastAsia="SimSun" w:hAnsi="Arial Narrow"/>
                              <w:b/>
                              <w:sz w:val="14"/>
                              <w:highlight w:val="black"/>
                            </w:rPr>
                            <w:t>Uker</w:t>
                          </w:r>
                        </w:p>
                      </w:tc>
                      <w:tc>
                        <w:tcPr>
                          <w:tcW w:w="243" w:type="dxa"/>
                          <w:shd w:val="clear" w:color="auto" w:fill="000000"/>
                          <w:vAlign w:val="center"/>
                        </w:tcPr>
                        <w:p w14:paraId="205B7613" w14:textId="77777777" w:rsidR="004E65A9" w:rsidRPr="001A5A62" w:rsidRDefault="004E65A9"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w:t>
                          </w:r>
                        </w:p>
                      </w:tc>
                      <w:tc>
                        <w:tcPr>
                          <w:tcW w:w="243" w:type="dxa"/>
                          <w:shd w:val="clear" w:color="auto" w:fill="000000"/>
                          <w:vAlign w:val="center"/>
                        </w:tcPr>
                        <w:p w14:paraId="6FCD899F" w14:textId="77777777" w:rsidR="004E65A9" w:rsidRPr="001A5A62" w:rsidRDefault="004E65A9"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2</w:t>
                          </w:r>
                        </w:p>
                      </w:tc>
                      <w:tc>
                        <w:tcPr>
                          <w:tcW w:w="243" w:type="dxa"/>
                          <w:shd w:val="clear" w:color="auto" w:fill="000000"/>
                          <w:vAlign w:val="center"/>
                        </w:tcPr>
                        <w:p w14:paraId="3B2586FB" w14:textId="77777777" w:rsidR="004E65A9" w:rsidRPr="001A5A62" w:rsidRDefault="004E65A9"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4</w:t>
                          </w:r>
                        </w:p>
                      </w:tc>
                      <w:tc>
                        <w:tcPr>
                          <w:tcW w:w="243" w:type="dxa"/>
                          <w:shd w:val="clear" w:color="auto" w:fill="000000"/>
                          <w:vAlign w:val="center"/>
                        </w:tcPr>
                        <w:p w14:paraId="29B82C84" w14:textId="77777777" w:rsidR="004E65A9" w:rsidRPr="001A5A62" w:rsidRDefault="004E65A9"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6</w:t>
                          </w:r>
                        </w:p>
                      </w:tc>
                      <w:tc>
                        <w:tcPr>
                          <w:tcW w:w="243" w:type="dxa"/>
                          <w:shd w:val="clear" w:color="auto" w:fill="000000"/>
                          <w:vAlign w:val="center"/>
                        </w:tcPr>
                        <w:p w14:paraId="19909BEC" w14:textId="77777777" w:rsidR="004E65A9" w:rsidRPr="001A5A62" w:rsidRDefault="004E65A9"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8</w:t>
                          </w:r>
                        </w:p>
                      </w:tc>
                      <w:tc>
                        <w:tcPr>
                          <w:tcW w:w="244" w:type="dxa"/>
                          <w:shd w:val="clear" w:color="auto" w:fill="000000"/>
                          <w:vAlign w:val="center"/>
                        </w:tcPr>
                        <w:p w14:paraId="5BBA69A6" w14:textId="77777777" w:rsidR="004E65A9" w:rsidRPr="001A5A62" w:rsidRDefault="004E65A9"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10</w:t>
                          </w:r>
                        </w:p>
                      </w:tc>
                      <w:tc>
                        <w:tcPr>
                          <w:tcW w:w="244" w:type="dxa"/>
                          <w:shd w:val="clear" w:color="auto" w:fill="000000"/>
                          <w:vAlign w:val="center"/>
                        </w:tcPr>
                        <w:p w14:paraId="1973F8FF" w14:textId="77777777" w:rsidR="004E65A9" w:rsidRPr="001A5A62" w:rsidRDefault="004E65A9"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12</w:t>
                          </w:r>
                        </w:p>
                      </w:tc>
                      <w:tc>
                        <w:tcPr>
                          <w:tcW w:w="510" w:type="dxa"/>
                          <w:shd w:val="clear" w:color="auto" w:fill="000000"/>
                          <w:vAlign w:val="center"/>
                        </w:tcPr>
                        <w:p w14:paraId="11241380" w14:textId="77777777" w:rsidR="004E65A9" w:rsidRPr="001A5A62" w:rsidRDefault="004E65A9"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16</w:t>
                          </w:r>
                        </w:p>
                      </w:tc>
                      <w:tc>
                        <w:tcPr>
                          <w:tcW w:w="907" w:type="dxa"/>
                          <w:shd w:val="clear" w:color="auto" w:fill="000000"/>
                          <w:vAlign w:val="center"/>
                        </w:tcPr>
                        <w:p w14:paraId="300CC634" w14:textId="77777777" w:rsidR="004E65A9" w:rsidRPr="001A5A62" w:rsidRDefault="004E65A9"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3" w:type="dxa"/>
                          <w:shd w:val="clear" w:color="auto" w:fill="000000"/>
                          <w:vAlign w:val="center"/>
                        </w:tcPr>
                        <w:p w14:paraId="751C9546" w14:textId="77777777" w:rsidR="004E65A9" w:rsidRPr="001A5A62" w:rsidRDefault="004E65A9"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28</w:t>
                          </w:r>
                        </w:p>
                      </w:tc>
                      <w:tc>
                        <w:tcPr>
                          <w:tcW w:w="964" w:type="dxa"/>
                          <w:shd w:val="clear" w:color="auto" w:fill="000000"/>
                          <w:vAlign w:val="center"/>
                        </w:tcPr>
                        <w:p w14:paraId="64979D35" w14:textId="77777777" w:rsidR="004E65A9" w:rsidRPr="001A5A62" w:rsidRDefault="004E65A9"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3" w:type="dxa"/>
                          <w:shd w:val="clear" w:color="auto" w:fill="000000"/>
                          <w:vAlign w:val="center"/>
                        </w:tcPr>
                        <w:p w14:paraId="2776E0FB" w14:textId="77777777" w:rsidR="004E65A9" w:rsidRPr="001A5A62" w:rsidRDefault="004E65A9"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40</w:t>
                          </w:r>
                        </w:p>
                      </w:tc>
                      <w:tc>
                        <w:tcPr>
                          <w:tcW w:w="850" w:type="dxa"/>
                          <w:shd w:val="clear" w:color="auto" w:fill="000000"/>
                          <w:vAlign w:val="center"/>
                        </w:tcPr>
                        <w:p w14:paraId="16A1D826" w14:textId="77777777" w:rsidR="004E65A9" w:rsidRPr="001A5A62" w:rsidRDefault="004E65A9"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3" w:type="dxa"/>
                          <w:shd w:val="clear" w:color="auto" w:fill="000000"/>
                          <w:vAlign w:val="center"/>
                        </w:tcPr>
                        <w:p w14:paraId="59EDF0E9" w14:textId="77777777" w:rsidR="004E65A9" w:rsidRPr="001A5A62" w:rsidRDefault="004E65A9"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52</w:t>
                          </w:r>
                        </w:p>
                      </w:tc>
                      <w:tc>
                        <w:tcPr>
                          <w:tcW w:w="1020" w:type="dxa"/>
                          <w:shd w:val="clear" w:color="auto" w:fill="000000"/>
                          <w:vAlign w:val="center"/>
                        </w:tcPr>
                        <w:p w14:paraId="184002F3" w14:textId="77777777" w:rsidR="004E65A9" w:rsidRPr="001A5A62" w:rsidRDefault="004E65A9"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283" w:type="dxa"/>
                          <w:shd w:val="clear" w:color="auto" w:fill="000000"/>
                          <w:vAlign w:val="center"/>
                        </w:tcPr>
                        <w:p w14:paraId="6ABDD1C2" w14:textId="77777777" w:rsidR="004E65A9" w:rsidRPr="001A5A62" w:rsidRDefault="004E65A9" w:rsidP="0058178C">
                          <w:pPr>
                            <w:pStyle w:val="Style4"/>
                            <w:shd w:val="clear" w:color="auto" w:fill="auto"/>
                            <w:spacing w:line="240" w:lineRule="auto"/>
                            <w:suppressOverlap/>
                            <w:jc w:val="center"/>
                            <w:rPr>
                              <w:rFonts w:ascii="Arial Narrow" w:eastAsia="DengXian" w:hAnsi="Arial Narrow"/>
                              <w:color w:val="FFFFFF"/>
                              <w:sz w:val="14"/>
                              <w:szCs w:val="14"/>
                              <w:highlight w:val="black"/>
                              <w:shd w:val="clear" w:color="auto" w:fill="FFFFFF"/>
                            </w:rPr>
                          </w:pPr>
                          <w:r>
                            <w:rPr>
                              <w:rStyle w:val="CharStyle8"/>
                              <w:rFonts w:ascii="Arial Narrow" w:eastAsia="SimSun" w:hAnsi="Arial Narrow"/>
                              <w:sz w:val="14"/>
                              <w:highlight w:val="black"/>
                            </w:rPr>
                            <w:t>64</w:t>
                          </w:r>
                        </w:p>
                      </w:tc>
                      <w:tc>
                        <w:tcPr>
                          <w:tcW w:w="624" w:type="dxa"/>
                          <w:shd w:val="clear" w:color="auto" w:fill="000000"/>
                          <w:vAlign w:val="center"/>
                        </w:tcPr>
                        <w:p w14:paraId="0F24E322" w14:textId="77777777" w:rsidR="004E65A9" w:rsidRPr="001A5A62" w:rsidRDefault="004E65A9" w:rsidP="00D773AD">
                          <w:pPr>
                            <w:pStyle w:val="Style4"/>
                            <w:shd w:val="clear" w:color="auto" w:fill="auto"/>
                            <w:spacing w:line="240" w:lineRule="auto"/>
                            <w:suppressOverlap/>
                            <w:jc w:val="center"/>
                            <w:rPr>
                              <w:rStyle w:val="CharStyle8"/>
                              <w:rFonts w:ascii="Arial Narrow" w:eastAsia="DengXian" w:hAnsi="Arial Narrow"/>
                              <w:sz w:val="14"/>
                              <w:szCs w:val="14"/>
                              <w:highlight w:val="black"/>
                            </w:rPr>
                          </w:pPr>
                          <w:r>
                            <w:rPr>
                              <w:rStyle w:val="CharStyle8"/>
                              <w:rFonts w:ascii="Arial Narrow" w:eastAsia="SimSun" w:hAnsi="Arial Narrow"/>
                              <w:sz w:val="14"/>
                              <w:highlight w:val="black"/>
                            </w:rPr>
                            <w:t>Oppfølging</w:t>
                          </w:r>
                        </w:p>
                      </w:tc>
                    </w:tr>
                    <w:tr w:rsidR="004E65A9" w:rsidRPr="00966284" w14:paraId="42B4CDF2" w14:textId="77777777" w:rsidTr="00D773AD">
                      <w:trPr>
                        <w:cantSplit/>
                        <w:trHeight w:val="198"/>
                      </w:trPr>
                      <w:tc>
                        <w:tcPr>
                          <w:tcW w:w="1275" w:type="dxa"/>
                          <w:vMerge w:val="restart"/>
                          <w:tcBorders>
                            <w:left w:val="single" w:sz="4" w:space="0" w:color="auto"/>
                          </w:tcBorders>
                          <w:shd w:val="clear" w:color="auto" w:fill="FFFFFF"/>
                          <w:vAlign w:val="center"/>
                        </w:tcPr>
                        <w:p w14:paraId="14AB2A27" w14:textId="77777777" w:rsidR="004E65A9" w:rsidRPr="009E5900" w:rsidRDefault="004E65A9" w:rsidP="0058178C">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Placebo, n (gjennomsnitt)</w:t>
                          </w:r>
                        </w:p>
                      </w:tc>
                      <w:tc>
                        <w:tcPr>
                          <w:tcW w:w="243" w:type="dxa"/>
                          <w:shd w:val="clear" w:color="auto" w:fill="FFFFFF"/>
                          <w:vAlign w:val="center"/>
                        </w:tcPr>
                        <w:p w14:paraId="057CCCC0" w14:textId="77777777" w:rsidR="004E65A9" w:rsidRPr="001A5A62" w:rsidRDefault="004E65A9"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95</w:t>
                          </w:r>
                        </w:p>
                      </w:tc>
                      <w:tc>
                        <w:tcPr>
                          <w:tcW w:w="243" w:type="dxa"/>
                          <w:shd w:val="clear" w:color="auto" w:fill="FFFFFF"/>
                          <w:vAlign w:val="center"/>
                        </w:tcPr>
                        <w:p w14:paraId="1FC7862B" w14:textId="77777777" w:rsidR="004E65A9" w:rsidRPr="001A5A62" w:rsidRDefault="004E65A9"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96</w:t>
                          </w:r>
                        </w:p>
                      </w:tc>
                      <w:tc>
                        <w:tcPr>
                          <w:tcW w:w="243" w:type="dxa"/>
                          <w:shd w:val="clear" w:color="auto" w:fill="FFFFFF"/>
                          <w:vAlign w:val="center"/>
                        </w:tcPr>
                        <w:p w14:paraId="4472DDBD" w14:textId="77777777" w:rsidR="004E65A9" w:rsidRPr="001A5A62" w:rsidRDefault="004E65A9"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243" w:type="dxa"/>
                          <w:shd w:val="clear" w:color="auto" w:fill="FFFFFF"/>
                          <w:vAlign w:val="center"/>
                        </w:tcPr>
                        <w:p w14:paraId="05B16565" w14:textId="77777777" w:rsidR="004E65A9" w:rsidRPr="001A5A62" w:rsidRDefault="004E65A9"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90</w:t>
                          </w:r>
                        </w:p>
                      </w:tc>
                      <w:tc>
                        <w:tcPr>
                          <w:tcW w:w="243" w:type="dxa"/>
                          <w:shd w:val="clear" w:color="auto" w:fill="FFFFFF"/>
                          <w:vAlign w:val="center"/>
                        </w:tcPr>
                        <w:p w14:paraId="018B7CFB" w14:textId="77777777" w:rsidR="004E65A9" w:rsidRPr="001A5A62" w:rsidRDefault="004E65A9"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85</w:t>
                          </w:r>
                        </w:p>
                      </w:tc>
                      <w:tc>
                        <w:tcPr>
                          <w:tcW w:w="244" w:type="dxa"/>
                          <w:shd w:val="clear" w:color="auto" w:fill="FFFFFF"/>
                          <w:vAlign w:val="center"/>
                        </w:tcPr>
                        <w:p w14:paraId="5F465FE1" w14:textId="77777777" w:rsidR="004E65A9" w:rsidRPr="001A5A62" w:rsidRDefault="004E65A9"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244" w:type="dxa"/>
                          <w:shd w:val="clear" w:color="auto" w:fill="FFFFFF"/>
                          <w:vAlign w:val="center"/>
                        </w:tcPr>
                        <w:p w14:paraId="29D92B82" w14:textId="77777777" w:rsidR="004E65A9" w:rsidRPr="001A5A62" w:rsidRDefault="004E65A9"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81</w:t>
                          </w:r>
                        </w:p>
                      </w:tc>
                      <w:tc>
                        <w:tcPr>
                          <w:tcW w:w="510" w:type="dxa"/>
                          <w:shd w:val="clear" w:color="auto" w:fill="FFFFFF"/>
                          <w:vAlign w:val="center"/>
                        </w:tcPr>
                        <w:p w14:paraId="0B66E755" w14:textId="77777777" w:rsidR="004E65A9" w:rsidRPr="001A5A62" w:rsidRDefault="004E65A9"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907" w:type="dxa"/>
                          <w:shd w:val="clear" w:color="auto" w:fill="FFFFFF"/>
                          <w:vAlign w:val="center"/>
                        </w:tcPr>
                        <w:p w14:paraId="05C557D6" w14:textId="77777777" w:rsidR="004E65A9" w:rsidRPr="001A5A62" w:rsidRDefault="004E65A9"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53" w:type="dxa"/>
                          <w:shd w:val="clear" w:color="auto" w:fill="FFFFFF"/>
                          <w:vAlign w:val="center"/>
                        </w:tcPr>
                        <w:p w14:paraId="7EC769CE" w14:textId="77777777" w:rsidR="004E65A9" w:rsidRPr="001A5A62" w:rsidRDefault="004E65A9" w:rsidP="0058178C">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77</w:t>
                          </w:r>
                        </w:p>
                      </w:tc>
                      <w:tc>
                        <w:tcPr>
                          <w:tcW w:w="964" w:type="dxa"/>
                          <w:shd w:val="clear" w:color="auto" w:fill="FFFFFF"/>
                          <w:vAlign w:val="center"/>
                        </w:tcPr>
                        <w:p w14:paraId="43330576" w14:textId="77777777" w:rsidR="004E65A9" w:rsidRPr="001A5A62" w:rsidRDefault="004E65A9"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shd w:val="clear" w:color="auto" w:fill="FFFFFF"/>
                          <w:vAlign w:val="center"/>
                        </w:tcPr>
                        <w:p w14:paraId="17656300" w14:textId="77777777" w:rsidR="004E65A9" w:rsidRPr="001A5A62" w:rsidRDefault="004E65A9"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73</w:t>
                          </w:r>
                        </w:p>
                      </w:tc>
                      <w:tc>
                        <w:tcPr>
                          <w:tcW w:w="850" w:type="dxa"/>
                          <w:shd w:val="clear" w:color="auto" w:fill="FFFFFF"/>
                          <w:vAlign w:val="center"/>
                        </w:tcPr>
                        <w:p w14:paraId="2793B664" w14:textId="77777777" w:rsidR="004E65A9" w:rsidRPr="001A5A62" w:rsidRDefault="004E65A9"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shd w:val="clear" w:color="auto" w:fill="FFFFFF"/>
                          <w:vAlign w:val="center"/>
                        </w:tcPr>
                        <w:p w14:paraId="68C8E76D" w14:textId="77777777" w:rsidR="004E65A9" w:rsidRPr="001A5A62" w:rsidRDefault="004E65A9"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70</w:t>
                          </w:r>
                        </w:p>
                      </w:tc>
                      <w:tc>
                        <w:tcPr>
                          <w:tcW w:w="1020" w:type="dxa"/>
                          <w:shd w:val="clear" w:color="auto" w:fill="FFFFFF"/>
                          <w:vAlign w:val="center"/>
                        </w:tcPr>
                        <w:p w14:paraId="7E633D46" w14:textId="77777777" w:rsidR="004E65A9" w:rsidRPr="001A5A62" w:rsidRDefault="004E65A9"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283" w:type="dxa"/>
                          <w:shd w:val="clear" w:color="auto" w:fill="FFFFFF"/>
                          <w:vAlign w:val="center"/>
                        </w:tcPr>
                        <w:p w14:paraId="4032B039" w14:textId="77777777" w:rsidR="004E65A9" w:rsidRPr="001A5A62" w:rsidRDefault="004E65A9" w:rsidP="0058178C">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68</w:t>
                          </w:r>
                        </w:p>
                      </w:tc>
                      <w:tc>
                        <w:tcPr>
                          <w:tcW w:w="624" w:type="dxa"/>
                          <w:tcBorders>
                            <w:left w:val="nil"/>
                          </w:tcBorders>
                          <w:shd w:val="clear" w:color="auto" w:fill="FFFFFF"/>
                          <w:vAlign w:val="center"/>
                        </w:tcPr>
                        <w:p w14:paraId="739F560B" w14:textId="77777777" w:rsidR="004E65A9" w:rsidRPr="001A5A62" w:rsidRDefault="004E65A9"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81</w:t>
                          </w:r>
                        </w:p>
                      </w:tc>
                    </w:tr>
                    <w:tr w:rsidR="004E65A9" w:rsidRPr="00966284" w14:paraId="048CFAA4" w14:textId="77777777" w:rsidTr="00D773AD">
                      <w:trPr>
                        <w:cantSplit/>
                        <w:trHeight w:val="198"/>
                      </w:trPr>
                      <w:tc>
                        <w:tcPr>
                          <w:tcW w:w="1275" w:type="dxa"/>
                          <w:vMerge/>
                          <w:tcBorders>
                            <w:left w:val="single" w:sz="4" w:space="0" w:color="auto"/>
                          </w:tcBorders>
                          <w:shd w:val="clear" w:color="auto" w:fill="FFFFFF"/>
                          <w:vAlign w:val="center"/>
                        </w:tcPr>
                        <w:p w14:paraId="2D4D90C3" w14:textId="77777777" w:rsidR="004E65A9" w:rsidRPr="009E5900" w:rsidRDefault="004E65A9" w:rsidP="0058178C">
                          <w:pPr>
                            <w:ind w:left="57"/>
                            <w:suppressOverlap/>
                            <w:rPr>
                              <w:rFonts w:ascii="Arial Narrow" w:hAnsi="Arial Narrow"/>
                              <w:sz w:val="14"/>
                              <w:szCs w:val="14"/>
                            </w:rPr>
                          </w:pPr>
                        </w:p>
                      </w:tc>
                      <w:tc>
                        <w:tcPr>
                          <w:tcW w:w="243" w:type="dxa"/>
                          <w:shd w:val="clear" w:color="auto" w:fill="FFFFFF"/>
                          <w:vAlign w:val="center"/>
                        </w:tcPr>
                        <w:p w14:paraId="13B74622" w14:textId="77777777" w:rsidR="004E65A9" w:rsidRPr="001A5A62" w:rsidRDefault="004E65A9"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(-15,5)</w:t>
                          </w:r>
                        </w:p>
                      </w:tc>
                      <w:tc>
                        <w:tcPr>
                          <w:tcW w:w="243" w:type="dxa"/>
                          <w:shd w:val="clear" w:color="auto" w:fill="FFFFFF"/>
                          <w:vAlign w:val="center"/>
                        </w:tcPr>
                        <w:p w14:paraId="790A5027" w14:textId="77777777" w:rsidR="004E65A9" w:rsidRPr="001A5A62" w:rsidRDefault="004E65A9"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(-17,0)</w:t>
                          </w:r>
                        </w:p>
                      </w:tc>
                      <w:tc>
                        <w:tcPr>
                          <w:tcW w:w="243" w:type="dxa"/>
                          <w:shd w:val="clear" w:color="auto" w:fill="FFFFFF"/>
                          <w:vAlign w:val="center"/>
                        </w:tcPr>
                        <w:p w14:paraId="1BB1E527" w14:textId="77777777" w:rsidR="004E65A9" w:rsidRPr="001A5A62" w:rsidRDefault="004E65A9"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(-16,3)</w:t>
                          </w:r>
                        </w:p>
                      </w:tc>
                      <w:tc>
                        <w:tcPr>
                          <w:tcW w:w="243" w:type="dxa"/>
                          <w:shd w:val="clear" w:color="auto" w:fill="FFFFFF"/>
                          <w:vAlign w:val="center"/>
                        </w:tcPr>
                        <w:p w14:paraId="12B0BBBF" w14:textId="77777777" w:rsidR="004E65A9" w:rsidRPr="001A5A62" w:rsidRDefault="004E65A9"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(-14,9)</w:t>
                          </w:r>
                        </w:p>
                      </w:tc>
                      <w:tc>
                        <w:tcPr>
                          <w:tcW w:w="243" w:type="dxa"/>
                          <w:shd w:val="clear" w:color="auto" w:fill="FFFFFF"/>
                          <w:vAlign w:val="center"/>
                        </w:tcPr>
                        <w:p w14:paraId="211F592B" w14:textId="77777777" w:rsidR="004E65A9" w:rsidRPr="001A5A62" w:rsidRDefault="004E65A9"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(-20,9)</w:t>
                          </w:r>
                        </w:p>
                      </w:tc>
                      <w:tc>
                        <w:tcPr>
                          <w:tcW w:w="244" w:type="dxa"/>
                          <w:shd w:val="clear" w:color="auto" w:fill="FFFFFF"/>
                          <w:vAlign w:val="center"/>
                        </w:tcPr>
                        <w:p w14:paraId="4AAC84BC" w14:textId="77777777" w:rsidR="004E65A9" w:rsidRPr="001A5A62" w:rsidRDefault="004E65A9"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(-24,3)</w:t>
                          </w:r>
                        </w:p>
                      </w:tc>
                      <w:tc>
                        <w:tcPr>
                          <w:tcW w:w="244" w:type="dxa"/>
                          <w:shd w:val="clear" w:color="auto" w:fill="FFFFFF"/>
                          <w:vAlign w:val="center"/>
                        </w:tcPr>
                        <w:p w14:paraId="576D1063" w14:textId="77777777" w:rsidR="004E65A9" w:rsidRPr="001A5A62" w:rsidRDefault="004E65A9" w:rsidP="0058178C">
                          <w:pPr>
                            <w:pStyle w:val="Style4"/>
                            <w:shd w:val="clear" w:color="auto" w:fill="auto"/>
                            <w:tabs>
                              <w:tab w:val="left" w:pos="1055"/>
                            </w:tabs>
                            <w:spacing w:line="240" w:lineRule="auto"/>
                            <w:suppressOverlap/>
                            <w:jc w:val="center"/>
                            <w:rPr>
                              <w:rFonts w:ascii="Arial Narrow" w:hAnsi="Arial Narrow"/>
                              <w:sz w:val="10"/>
                              <w:szCs w:val="10"/>
                            </w:rPr>
                          </w:pPr>
                          <w:r>
                            <w:rPr>
                              <w:rStyle w:val="CharStyle9"/>
                              <w:rFonts w:ascii="Arial Narrow" w:eastAsia="SimSun" w:hAnsi="Arial Narrow"/>
                              <w:sz w:val="10"/>
                            </w:rPr>
                            <w:t>(-19,1)</w:t>
                          </w:r>
                        </w:p>
                      </w:tc>
                      <w:tc>
                        <w:tcPr>
                          <w:tcW w:w="510" w:type="dxa"/>
                          <w:shd w:val="clear" w:color="auto" w:fill="FFFFFF"/>
                          <w:vAlign w:val="center"/>
                        </w:tcPr>
                        <w:p w14:paraId="0E1A9BFB" w14:textId="77777777" w:rsidR="004E65A9" w:rsidRPr="001A5A62" w:rsidRDefault="004E65A9"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(-44,8)</w:t>
                          </w:r>
                        </w:p>
                      </w:tc>
                      <w:tc>
                        <w:tcPr>
                          <w:tcW w:w="907" w:type="dxa"/>
                          <w:shd w:val="clear" w:color="auto" w:fill="FFFFFF"/>
                          <w:vAlign w:val="center"/>
                        </w:tcPr>
                        <w:p w14:paraId="2DDEA2E2" w14:textId="77777777" w:rsidR="004E65A9" w:rsidRPr="001A5A62" w:rsidRDefault="004E65A9"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shd w:val="clear" w:color="auto" w:fill="FFFFFF"/>
                          <w:vAlign w:val="center"/>
                        </w:tcPr>
                        <w:p w14:paraId="511B8281" w14:textId="77777777" w:rsidR="004E65A9" w:rsidRPr="001A5A62" w:rsidRDefault="004E65A9"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(-40,6)</w:t>
                          </w:r>
                        </w:p>
                      </w:tc>
                      <w:tc>
                        <w:tcPr>
                          <w:tcW w:w="964" w:type="dxa"/>
                          <w:shd w:val="clear" w:color="auto" w:fill="FFFFFF"/>
                          <w:vAlign w:val="center"/>
                        </w:tcPr>
                        <w:p w14:paraId="276A76DE" w14:textId="77777777" w:rsidR="004E65A9" w:rsidRPr="001A5A62" w:rsidRDefault="004E65A9"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shd w:val="clear" w:color="auto" w:fill="FFFFFF"/>
                          <w:vAlign w:val="center"/>
                        </w:tcPr>
                        <w:p w14:paraId="3A5EDA9F" w14:textId="77777777" w:rsidR="004E65A9" w:rsidRPr="001A5A62" w:rsidRDefault="004E65A9"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(-39,8)</w:t>
                          </w:r>
                        </w:p>
                      </w:tc>
                      <w:tc>
                        <w:tcPr>
                          <w:tcW w:w="850" w:type="dxa"/>
                          <w:shd w:val="clear" w:color="auto" w:fill="FFFFFF"/>
                          <w:vAlign w:val="center"/>
                        </w:tcPr>
                        <w:p w14:paraId="63F5D389" w14:textId="77777777" w:rsidR="004E65A9" w:rsidRPr="001A5A62" w:rsidRDefault="004E65A9"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53" w:type="dxa"/>
                          <w:shd w:val="clear" w:color="auto" w:fill="FFFFFF"/>
                          <w:vAlign w:val="center"/>
                        </w:tcPr>
                        <w:p w14:paraId="68C11D70" w14:textId="77777777" w:rsidR="004E65A9" w:rsidRPr="001A5A62" w:rsidRDefault="004E65A9" w:rsidP="0058178C">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(-38,3)</w:t>
                          </w:r>
                        </w:p>
                      </w:tc>
                      <w:tc>
                        <w:tcPr>
                          <w:tcW w:w="1020" w:type="dxa"/>
                          <w:shd w:val="clear" w:color="auto" w:fill="FFFFFF"/>
                          <w:vAlign w:val="center"/>
                        </w:tcPr>
                        <w:p w14:paraId="53933664" w14:textId="77777777" w:rsidR="004E65A9" w:rsidRPr="001A5A62" w:rsidRDefault="004E65A9"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283" w:type="dxa"/>
                          <w:shd w:val="clear" w:color="auto" w:fill="FFFFFF"/>
                          <w:vAlign w:val="center"/>
                        </w:tcPr>
                        <w:p w14:paraId="519A78F6" w14:textId="77777777" w:rsidR="004E65A9" w:rsidRPr="001A5A62" w:rsidRDefault="004E65A9" w:rsidP="0058178C">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(-41,0)</w:t>
                          </w:r>
                        </w:p>
                      </w:tc>
                      <w:tc>
                        <w:tcPr>
                          <w:tcW w:w="624" w:type="dxa"/>
                          <w:tcBorders>
                            <w:left w:val="nil"/>
                          </w:tcBorders>
                          <w:shd w:val="clear" w:color="auto" w:fill="FFFFFF"/>
                          <w:vAlign w:val="center"/>
                        </w:tcPr>
                        <w:p w14:paraId="2E1F5F04" w14:textId="77777777" w:rsidR="004E65A9" w:rsidRPr="001A5A62" w:rsidRDefault="004E65A9"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(-19,7)</w:t>
                          </w:r>
                        </w:p>
                      </w:tc>
                    </w:tr>
                    <w:tr w:rsidR="004E65A9" w:rsidRPr="00966284" w14:paraId="26595DEB" w14:textId="77777777" w:rsidTr="00D773AD">
                      <w:trPr>
                        <w:cantSplit/>
                        <w:trHeight w:val="198"/>
                      </w:trPr>
                      <w:tc>
                        <w:tcPr>
                          <w:tcW w:w="1275" w:type="dxa"/>
                          <w:vMerge w:val="restart"/>
                          <w:tcBorders>
                            <w:top w:val="single" w:sz="4" w:space="0" w:color="auto"/>
                            <w:left w:val="single" w:sz="4" w:space="0" w:color="auto"/>
                          </w:tcBorders>
                          <w:shd w:val="clear" w:color="auto" w:fill="FFFFFF"/>
                          <w:vAlign w:val="center"/>
                        </w:tcPr>
                        <w:p w14:paraId="2F78256B" w14:textId="77777777" w:rsidR="004E65A9" w:rsidRPr="009E5900" w:rsidRDefault="004E65A9" w:rsidP="0058178C">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APR 30 BID, n (gjennomsnittlig)</w:t>
                          </w:r>
                        </w:p>
                      </w:tc>
                      <w:tc>
                        <w:tcPr>
                          <w:tcW w:w="243" w:type="dxa"/>
                          <w:tcBorders>
                            <w:top w:val="single" w:sz="4" w:space="0" w:color="auto"/>
                          </w:tcBorders>
                          <w:shd w:val="clear" w:color="auto" w:fill="FFFFFF"/>
                          <w:vAlign w:val="center"/>
                        </w:tcPr>
                        <w:p w14:paraId="2F404A6C" w14:textId="77777777" w:rsidR="004E65A9" w:rsidRPr="001A5A62" w:rsidRDefault="004E65A9"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95</w:t>
                          </w:r>
                        </w:p>
                      </w:tc>
                      <w:tc>
                        <w:tcPr>
                          <w:tcW w:w="243" w:type="dxa"/>
                          <w:tcBorders>
                            <w:top w:val="single" w:sz="4" w:space="0" w:color="auto"/>
                          </w:tcBorders>
                          <w:shd w:val="clear" w:color="auto" w:fill="FFFFFF"/>
                          <w:vAlign w:val="center"/>
                        </w:tcPr>
                        <w:p w14:paraId="5073CED3" w14:textId="77777777" w:rsidR="004E65A9" w:rsidRPr="001A5A62" w:rsidRDefault="004E65A9"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243" w:type="dxa"/>
                          <w:tcBorders>
                            <w:top w:val="single" w:sz="4" w:space="0" w:color="auto"/>
                          </w:tcBorders>
                          <w:shd w:val="clear" w:color="auto" w:fill="FFFFFF"/>
                          <w:vAlign w:val="center"/>
                        </w:tcPr>
                        <w:p w14:paraId="05D25A55" w14:textId="77777777" w:rsidR="004E65A9" w:rsidRPr="001A5A62" w:rsidRDefault="004E65A9"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99</w:t>
                          </w:r>
                        </w:p>
                      </w:tc>
                      <w:tc>
                        <w:tcPr>
                          <w:tcW w:w="243" w:type="dxa"/>
                          <w:tcBorders>
                            <w:top w:val="single" w:sz="4" w:space="0" w:color="auto"/>
                          </w:tcBorders>
                          <w:shd w:val="clear" w:color="auto" w:fill="FFFFFF"/>
                          <w:vAlign w:val="center"/>
                        </w:tcPr>
                        <w:p w14:paraId="71E03502" w14:textId="77777777" w:rsidR="004E65A9" w:rsidRPr="001A5A62" w:rsidRDefault="004E65A9"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243" w:type="dxa"/>
                          <w:tcBorders>
                            <w:top w:val="single" w:sz="4" w:space="0" w:color="auto"/>
                          </w:tcBorders>
                          <w:shd w:val="clear" w:color="auto" w:fill="FFFFFF"/>
                          <w:vAlign w:val="center"/>
                        </w:tcPr>
                        <w:p w14:paraId="415E8E87" w14:textId="77777777" w:rsidR="004E65A9" w:rsidRPr="001A5A62" w:rsidRDefault="004E65A9"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92</w:t>
                          </w:r>
                        </w:p>
                      </w:tc>
                      <w:tc>
                        <w:tcPr>
                          <w:tcW w:w="244" w:type="dxa"/>
                          <w:tcBorders>
                            <w:top w:val="single" w:sz="4" w:space="0" w:color="auto"/>
                          </w:tcBorders>
                          <w:shd w:val="clear" w:color="auto" w:fill="FFFFFF"/>
                          <w:vAlign w:val="center"/>
                        </w:tcPr>
                        <w:p w14:paraId="638EB42C" w14:textId="77777777" w:rsidR="004E65A9" w:rsidRPr="001A5A62" w:rsidRDefault="004E65A9"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93</w:t>
                          </w:r>
                        </w:p>
                      </w:tc>
                      <w:tc>
                        <w:tcPr>
                          <w:tcW w:w="244" w:type="dxa"/>
                          <w:tcBorders>
                            <w:top w:val="single" w:sz="4" w:space="0" w:color="auto"/>
                          </w:tcBorders>
                          <w:shd w:val="clear" w:color="auto" w:fill="FFFFFF"/>
                          <w:vAlign w:val="center"/>
                        </w:tcPr>
                        <w:p w14:paraId="74A2E1BC" w14:textId="77777777" w:rsidR="004E65A9" w:rsidRPr="001A5A62" w:rsidRDefault="004E65A9"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95</w:t>
                          </w:r>
                        </w:p>
                      </w:tc>
                      <w:tc>
                        <w:tcPr>
                          <w:tcW w:w="510" w:type="dxa"/>
                          <w:tcBorders>
                            <w:top w:val="single" w:sz="4" w:space="0" w:color="auto"/>
                          </w:tcBorders>
                          <w:shd w:val="clear" w:color="auto" w:fill="FFFFFF"/>
                          <w:vAlign w:val="center"/>
                        </w:tcPr>
                        <w:p w14:paraId="27BADCC3" w14:textId="77777777" w:rsidR="004E65A9" w:rsidRPr="001A5A62" w:rsidRDefault="004E65A9"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94</w:t>
                          </w:r>
                        </w:p>
                      </w:tc>
                      <w:tc>
                        <w:tcPr>
                          <w:tcW w:w="907" w:type="dxa"/>
                          <w:tcBorders>
                            <w:top w:val="single" w:sz="4" w:space="0" w:color="auto"/>
                          </w:tcBorders>
                          <w:shd w:val="clear" w:color="auto" w:fill="FFFFFF"/>
                          <w:vAlign w:val="center"/>
                        </w:tcPr>
                        <w:p w14:paraId="46B3FB3B" w14:textId="77777777" w:rsidR="004E65A9" w:rsidRPr="001A5A62" w:rsidRDefault="004E65A9"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top w:val="single" w:sz="4" w:space="0" w:color="auto"/>
                          </w:tcBorders>
                          <w:shd w:val="clear" w:color="auto" w:fill="FFFFFF"/>
                          <w:vAlign w:val="center"/>
                        </w:tcPr>
                        <w:p w14:paraId="01B9F0D6" w14:textId="77777777" w:rsidR="004E65A9" w:rsidRPr="001A5A62" w:rsidRDefault="004E65A9"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964" w:type="dxa"/>
                          <w:tcBorders>
                            <w:top w:val="single" w:sz="4" w:space="0" w:color="auto"/>
                          </w:tcBorders>
                          <w:shd w:val="clear" w:color="auto" w:fill="FFFFFF"/>
                          <w:vAlign w:val="center"/>
                        </w:tcPr>
                        <w:p w14:paraId="5558F285" w14:textId="77777777" w:rsidR="004E65A9" w:rsidRPr="001A5A62" w:rsidRDefault="004E65A9"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top w:val="single" w:sz="4" w:space="0" w:color="auto"/>
                          </w:tcBorders>
                          <w:shd w:val="clear" w:color="auto" w:fill="FFFFFF"/>
                          <w:vAlign w:val="center"/>
                        </w:tcPr>
                        <w:p w14:paraId="505CBBAC" w14:textId="77777777" w:rsidR="004E65A9" w:rsidRPr="001A5A62" w:rsidRDefault="004E65A9"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84</w:t>
                          </w:r>
                        </w:p>
                      </w:tc>
                      <w:tc>
                        <w:tcPr>
                          <w:tcW w:w="850" w:type="dxa"/>
                          <w:tcBorders>
                            <w:top w:val="single" w:sz="4" w:space="0" w:color="auto"/>
                          </w:tcBorders>
                          <w:shd w:val="clear" w:color="auto" w:fill="FFFFFF"/>
                          <w:vAlign w:val="center"/>
                        </w:tcPr>
                        <w:p w14:paraId="1098A0C9" w14:textId="77777777" w:rsidR="004E65A9" w:rsidRPr="001A5A62" w:rsidRDefault="004E65A9"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top w:val="single" w:sz="4" w:space="0" w:color="auto"/>
                          </w:tcBorders>
                          <w:shd w:val="clear" w:color="auto" w:fill="FFFFFF"/>
                          <w:vAlign w:val="center"/>
                        </w:tcPr>
                        <w:p w14:paraId="4A5CF6B1" w14:textId="77777777" w:rsidR="004E65A9" w:rsidRPr="001A5A62" w:rsidRDefault="004E65A9"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78</w:t>
                          </w:r>
                        </w:p>
                      </w:tc>
                      <w:tc>
                        <w:tcPr>
                          <w:tcW w:w="1020" w:type="dxa"/>
                          <w:tcBorders>
                            <w:top w:val="single" w:sz="4" w:space="0" w:color="auto"/>
                          </w:tcBorders>
                          <w:shd w:val="clear" w:color="auto" w:fill="FFFFFF"/>
                          <w:vAlign w:val="center"/>
                        </w:tcPr>
                        <w:p w14:paraId="6B70BC90" w14:textId="77777777" w:rsidR="004E65A9" w:rsidRPr="001A5A62" w:rsidRDefault="004E65A9"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283" w:type="dxa"/>
                          <w:tcBorders>
                            <w:top w:val="single" w:sz="4" w:space="0" w:color="auto"/>
                          </w:tcBorders>
                          <w:shd w:val="clear" w:color="auto" w:fill="FFFFFF"/>
                          <w:vAlign w:val="center"/>
                        </w:tcPr>
                        <w:p w14:paraId="5EFEDF77" w14:textId="77777777" w:rsidR="004E65A9" w:rsidRPr="001A5A62" w:rsidRDefault="004E65A9" w:rsidP="0058178C">
                          <w:pPr>
                            <w:pStyle w:val="Style4"/>
                            <w:shd w:val="clear" w:color="auto" w:fill="auto"/>
                            <w:tabs>
                              <w:tab w:val="left" w:pos="988"/>
                            </w:tabs>
                            <w:spacing w:line="240" w:lineRule="auto"/>
                            <w:suppressOverlap/>
                            <w:jc w:val="center"/>
                            <w:rPr>
                              <w:rFonts w:ascii="Arial Narrow" w:hAnsi="Arial Narrow"/>
                              <w:sz w:val="10"/>
                              <w:szCs w:val="10"/>
                            </w:rPr>
                          </w:pPr>
                          <w:r>
                            <w:rPr>
                              <w:rStyle w:val="CharStyle9"/>
                              <w:rFonts w:ascii="Arial Narrow" w:eastAsia="SimSun" w:hAnsi="Arial Narrow"/>
                              <w:sz w:val="10"/>
                            </w:rPr>
                            <w:t>75</w:t>
                          </w:r>
                        </w:p>
                      </w:tc>
                      <w:tc>
                        <w:tcPr>
                          <w:tcW w:w="624" w:type="dxa"/>
                          <w:tcBorders>
                            <w:top w:val="single" w:sz="4" w:space="0" w:color="auto"/>
                            <w:left w:val="nil"/>
                          </w:tcBorders>
                          <w:shd w:val="clear" w:color="auto" w:fill="FFFFFF"/>
                          <w:vAlign w:val="center"/>
                        </w:tcPr>
                        <w:p w14:paraId="72CFBB82" w14:textId="77777777" w:rsidR="004E65A9" w:rsidRPr="001A5A62" w:rsidRDefault="004E65A9"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84</w:t>
                          </w:r>
                        </w:p>
                      </w:tc>
                    </w:tr>
                    <w:tr w:rsidR="004E65A9" w:rsidRPr="00966284" w14:paraId="317607EA" w14:textId="77777777" w:rsidTr="00D773AD">
                      <w:trPr>
                        <w:cantSplit/>
                        <w:trHeight w:val="198"/>
                      </w:trPr>
                      <w:tc>
                        <w:tcPr>
                          <w:tcW w:w="1275" w:type="dxa"/>
                          <w:vMerge/>
                          <w:tcBorders>
                            <w:left w:val="single" w:sz="4" w:space="0" w:color="auto"/>
                            <w:bottom w:val="single" w:sz="4" w:space="0" w:color="auto"/>
                          </w:tcBorders>
                          <w:shd w:val="clear" w:color="auto" w:fill="FFFFFF"/>
                          <w:vAlign w:val="center"/>
                        </w:tcPr>
                        <w:p w14:paraId="4D74C53B" w14:textId="77777777" w:rsidR="004E65A9" w:rsidRPr="00966284" w:rsidRDefault="004E65A9" w:rsidP="0058178C">
                          <w:pPr>
                            <w:pStyle w:val="Style4"/>
                            <w:shd w:val="clear" w:color="auto" w:fill="auto"/>
                            <w:spacing w:line="240" w:lineRule="auto"/>
                            <w:suppressOverlap/>
                            <w:rPr>
                              <w:rStyle w:val="CharStyle9"/>
                              <w:rFonts w:ascii="Arial Narrow" w:eastAsia="DengXian" w:hAnsi="Arial Narrow"/>
                              <w:sz w:val="10"/>
                              <w:szCs w:val="10"/>
                              <w:lang w:val="bg-BG"/>
                            </w:rPr>
                          </w:pPr>
                        </w:p>
                      </w:tc>
                      <w:tc>
                        <w:tcPr>
                          <w:tcW w:w="243" w:type="dxa"/>
                          <w:tcBorders>
                            <w:bottom w:val="single" w:sz="4" w:space="0" w:color="auto"/>
                          </w:tcBorders>
                          <w:shd w:val="clear" w:color="auto" w:fill="FFFFFF"/>
                          <w:vAlign w:val="center"/>
                        </w:tcPr>
                        <w:p w14:paraId="13BF3F81" w14:textId="77777777" w:rsidR="004E65A9" w:rsidRPr="001A5A62" w:rsidRDefault="004E65A9"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(-26,1)</w:t>
                          </w:r>
                        </w:p>
                      </w:tc>
                      <w:tc>
                        <w:tcPr>
                          <w:tcW w:w="243" w:type="dxa"/>
                          <w:tcBorders>
                            <w:bottom w:val="single" w:sz="4" w:space="0" w:color="auto"/>
                          </w:tcBorders>
                          <w:shd w:val="clear" w:color="auto" w:fill="FFFFFF"/>
                          <w:vAlign w:val="center"/>
                        </w:tcPr>
                        <w:p w14:paraId="2AF3EDE3" w14:textId="77777777" w:rsidR="004E65A9" w:rsidRPr="001A5A62" w:rsidRDefault="004E65A9"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(-39,4)</w:t>
                          </w:r>
                        </w:p>
                      </w:tc>
                      <w:tc>
                        <w:tcPr>
                          <w:tcW w:w="243" w:type="dxa"/>
                          <w:tcBorders>
                            <w:bottom w:val="single" w:sz="4" w:space="0" w:color="auto"/>
                          </w:tcBorders>
                          <w:shd w:val="clear" w:color="auto" w:fill="FFFFFF"/>
                          <w:vAlign w:val="center"/>
                        </w:tcPr>
                        <w:p w14:paraId="6AF9F5E1" w14:textId="77777777" w:rsidR="004E65A9" w:rsidRPr="001A5A62" w:rsidRDefault="004E65A9"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(-40,7)</w:t>
                          </w:r>
                        </w:p>
                      </w:tc>
                      <w:tc>
                        <w:tcPr>
                          <w:tcW w:w="243" w:type="dxa"/>
                          <w:tcBorders>
                            <w:bottom w:val="single" w:sz="4" w:space="0" w:color="auto"/>
                          </w:tcBorders>
                          <w:shd w:val="clear" w:color="auto" w:fill="FFFFFF"/>
                          <w:vAlign w:val="center"/>
                        </w:tcPr>
                        <w:p w14:paraId="125A9F78" w14:textId="77777777" w:rsidR="004E65A9" w:rsidRPr="001A5A62" w:rsidRDefault="004E65A9"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(-36,8)</w:t>
                          </w:r>
                        </w:p>
                      </w:tc>
                      <w:tc>
                        <w:tcPr>
                          <w:tcW w:w="243" w:type="dxa"/>
                          <w:tcBorders>
                            <w:bottom w:val="single" w:sz="4" w:space="0" w:color="auto"/>
                          </w:tcBorders>
                          <w:shd w:val="clear" w:color="auto" w:fill="FFFFFF"/>
                          <w:vAlign w:val="center"/>
                        </w:tcPr>
                        <w:p w14:paraId="39A47345" w14:textId="77777777" w:rsidR="004E65A9" w:rsidRPr="001A5A62" w:rsidRDefault="004E65A9"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(-41,0)</w:t>
                          </w:r>
                        </w:p>
                      </w:tc>
                      <w:tc>
                        <w:tcPr>
                          <w:tcW w:w="244" w:type="dxa"/>
                          <w:tcBorders>
                            <w:bottom w:val="single" w:sz="4" w:space="0" w:color="auto"/>
                          </w:tcBorders>
                          <w:shd w:val="clear" w:color="auto" w:fill="FFFFFF"/>
                          <w:vAlign w:val="center"/>
                        </w:tcPr>
                        <w:p w14:paraId="74E6EC24" w14:textId="77777777" w:rsidR="004E65A9" w:rsidRPr="001A5A62" w:rsidRDefault="004E65A9"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(-43,4)</w:t>
                          </w:r>
                        </w:p>
                      </w:tc>
                      <w:tc>
                        <w:tcPr>
                          <w:tcW w:w="244" w:type="dxa"/>
                          <w:tcBorders>
                            <w:bottom w:val="single" w:sz="4" w:space="0" w:color="auto"/>
                          </w:tcBorders>
                          <w:shd w:val="clear" w:color="auto" w:fill="FFFFFF"/>
                          <w:vAlign w:val="center"/>
                        </w:tcPr>
                        <w:p w14:paraId="59FE0542" w14:textId="77777777" w:rsidR="004E65A9" w:rsidRPr="001A5A62" w:rsidRDefault="004E65A9"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(-42,5)</w:t>
                          </w:r>
                        </w:p>
                      </w:tc>
                      <w:tc>
                        <w:tcPr>
                          <w:tcW w:w="510" w:type="dxa"/>
                          <w:tcBorders>
                            <w:bottom w:val="single" w:sz="4" w:space="0" w:color="auto"/>
                          </w:tcBorders>
                          <w:shd w:val="clear" w:color="auto" w:fill="FFFFFF"/>
                          <w:vAlign w:val="center"/>
                        </w:tcPr>
                        <w:p w14:paraId="011C8946" w14:textId="77777777" w:rsidR="004E65A9" w:rsidRPr="001A5A62" w:rsidRDefault="004E65A9"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(-42,1)</w:t>
                          </w:r>
                        </w:p>
                      </w:tc>
                      <w:tc>
                        <w:tcPr>
                          <w:tcW w:w="907" w:type="dxa"/>
                          <w:tcBorders>
                            <w:bottom w:val="single" w:sz="4" w:space="0" w:color="auto"/>
                          </w:tcBorders>
                          <w:shd w:val="clear" w:color="auto" w:fill="FFFFFF"/>
                          <w:vAlign w:val="center"/>
                        </w:tcPr>
                        <w:p w14:paraId="3ECB032B" w14:textId="77777777" w:rsidR="004E65A9" w:rsidRPr="001A5A62" w:rsidRDefault="004E65A9"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bottom w:val="single" w:sz="4" w:space="0" w:color="auto"/>
                          </w:tcBorders>
                          <w:shd w:val="clear" w:color="auto" w:fill="FFFFFF"/>
                          <w:vAlign w:val="center"/>
                        </w:tcPr>
                        <w:p w14:paraId="0D456011" w14:textId="77777777" w:rsidR="004E65A9" w:rsidRPr="001A5A62" w:rsidRDefault="004E65A9"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(-41,9)</w:t>
                          </w:r>
                        </w:p>
                      </w:tc>
                      <w:tc>
                        <w:tcPr>
                          <w:tcW w:w="964" w:type="dxa"/>
                          <w:tcBorders>
                            <w:bottom w:val="single" w:sz="4" w:space="0" w:color="auto"/>
                          </w:tcBorders>
                          <w:shd w:val="clear" w:color="auto" w:fill="FFFFFF"/>
                          <w:vAlign w:val="center"/>
                        </w:tcPr>
                        <w:p w14:paraId="39832A24" w14:textId="77777777" w:rsidR="004E65A9" w:rsidRPr="001A5A62" w:rsidRDefault="004E65A9"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bottom w:val="single" w:sz="4" w:space="0" w:color="auto"/>
                          </w:tcBorders>
                          <w:shd w:val="clear" w:color="auto" w:fill="FFFFFF"/>
                          <w:vAlign w:val="center"/>
                        </w:tcPr>
                        <w:p w14:paraId="77F4893B" w14:textId="77777777" w:rsidR="004E65A9" w:rsidRPr="001A5A62" w:rsidRDefault="004E65A9"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(-43,5)</w:t>
                          </w:r>
                        </w:p>
                      </w:tc>
                      <w:tc>
                        <w:tcPr>
                          <w:tcW w:w="850" w:type="dxa"/>
                          <w:tcBorders>
                            <w:bottom w:val="single" w:sz="4" w:space="0" w:color="auto"/>
                          </w:tcBorders>
                          <w:shd w:val="clear" w:color="auto" w:fill="FFFFFF"/>
                          <w:vAlign w:val="center"/>
                        </w:tcPr>
                        <w:p w14:paraId="7B419AAF" w14:textId="77777777" w:rsidR="004E65A9" w:rsidRPr="001A5A62" w:rsidRDefault="004E65A9"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bottom w:val="single" w:sz="4" w:space="0" w:color="auto"/>
                          </w:tcBorders>
                          <w:shd w:val="clear" w:color="auto" w:fill="FFFFFF"/>
                          <w:vAlign w:val="center"/>
                        </w:tcPr>
                        <w:p w14:paraId="1ED82E54" w14:textId="77777777" w:rsidR="004E65A9" w:rsidRPr="001A5A62" w:rsidRDefault="004E65A9"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(-42,4)</w:t>
                          </w:r>
                        </w:p>
                      </w:tc>
                      <w:tc>
                        <w:tcPr>
                          <w:tcW w:w="1020" w:type="dxa"/>
                          <w:tcBorders>
                            <w:bottom w:val="single" w:sz="4" w:space="0" w:color="auto"/>
                          </w:tcBorders>
                          <w:shd w:val="clear" w:color="auto" w:fill="FFFFFF"/>
                          <w:vAlign w:val="center"/>
                        </w:tcPr>
                        <w:p w14:paraId="6675FEA4" w14:textId="77777777" w:rsidR="004E65A9" w:rsidRPr="001A5A62" w:rsidRDefault="004E65A9"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283" w:type="dxa"/>
                          <w:tcBorders>
                            <w:bottom w:val="single" w:sz="4" w:space="0" w:color="auto"/>
                          </w:tcBorders>
                          <w:shd w:val="clear" w:color="auto" w:fill="FFFFFF"/>
                          <w:vAlign w:val="center"/>
                        </w:tcPr>
                        <w:p w14:paraId="57B6C746" w14:textId="77777777" w:rsidR="004E65A9" w:rsidRPr="001A5A62" w:rsidRDefault="004E65A9"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(-34,3)</w:t>
                          </w:r>
                        </w:p>
                      </w:tc>
                      <w:tc>
                        <w:tcPr>
                          <w:tcW w:w="624" w:type="dxa"/>
                          <w:tcBorders>
                            <w:left w:val="nil"/>
                            <w:bottom w:val="single" w:sz="4" w:space="0" w:color="auto"/>
                          </w:tcBorders>
                          <w:shd w:val="clear" w:color="auto" w:fill="FFFFFF"/>
                          <w:vAlign w:val="center"/>
                        </w:tcPr>
                        <w:p w14:paraId="1A079F46" w14:textId="77777777" w:rsidR="004E65A9" w:rsidRPr="001A5A62" w:rsidRDefault="004E65A9"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(-19,3)</w:t>
                          </w:r>
                        </w:p>
                      </w:tc>
                    </w:tr>
                  </w:tbl>
                  <w:p w14:paraId="181A5A6D" w14:textId="77777777" w:rsidR="004E65A9" w:rsidRPr="00966284" w:rsidRDefault="004E65A9" w:rsidP="003F09AA">
                    <w:pPr>
                      <w:rPr>
                        <w:rFonts w:ascii="Arial Narrow" w:hAnsi="Arial Narrow"/>
                      </w:rPr>
                    </w:pPr>
                  </w:p>
                </w:txbxContent>
              </v:textbox>
            </v:shape>
            <v:shape id="Text Box 51" o:spid="_x0000_s2057" type="#_x0000_t202" style="position:absolute;left:7200;top:8830;width:1161;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" filled="f" stroked="f">
              <v:textbox style="mso-fit-shape-to-text:t" inset="0,0,0,0">
                <w:txbxContent>
                  <w:p w14:paraId="460BC6D6" w14:textId="77777777" w:rsidR="004E65A9" w:rsidRPr="00AD3E75" w:rsidRDefault="004E65A9" w:rsidP="003F09AA">
                    <w:pPr>
                      <w:rPr>
                        <w:rFonts w:ascii="Arial Narrow" w:hAnsi="Arial Narrow"/>
                        <w:bCs/>
                        <w:sz w:val="16"/>
                        <w:szCs w:val="16"/>
                      </w:rPr>
                    </w:pPr>
                    <w:r>
                      <w:rPr>
                        <w:rFonts w:ascii="Arial Narrow" w:hAnsi="Arial Narrow"/>
                        <w:sz w:val="16"/>
                      </w:rPr>
                      <w:t>Placebo</w:t>
                    </w:r>
                  </w:p>
                </w:txbxContent>
              </v:textbox>
            </v:shape>
            <v:shape id="Text Box 52" o:spid="_x0000_s2058" type="#_x0000_t202" style="position:absolute;left:8749;top:8836;width:1359;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" filled="f" stroked="f">
              <v:textbox style="mso-fit-shape-to-text:t" inset="0,0,0,0">
                <w:txbxContent>
                  <w:p w14:paraId="4CD7E545" w14:textId="77777777" w:rsidR="004E65A9" w:rsidRPr="00AD3E75" w:rsidRDefault="004E65A9" w:rsidP="003F09AA">
                    <w:pPr>
                      <w:rPr>
                        <w:rFonts w:ascii="Arial Narrow" w:hAnsi="Arial Narrow"/>
                        <w:bCs/>
                        <w:sz w:val="16"/>
                        <w:szCs w:val="16"/>
                      </w:rPr>
                    </w:pPr>
                    <w:r>
                      <w:rPr>
                        <w:rFonts w:ascii="Arial Narrow" w:hAnsi="Arial Narrow"/>
                        <w:sz w:val="16"/>
                      </w:rPr>
                      <w:t>APR 30 BID</w:t>
                    </w:r>
                  </w:p>
                </w:txbxContent>
              </v:textbox>
            </v:shape>
          </v:group>
        </w:pict>
      </w:r>
      <w:r>
        <w:rPr>
          <w:noProof/>
        </w:rPr>
        <w:pict w14:anchorId="681B7F17">
          <v:shape id="Picture 6" o:spid="_x0000_i1039" type="#_x0000_t75" style="width:481.2pt;height:212.4pt;visibility:visible;mso-wrap-style:square">
            <v:imagedata r:id="rId20" o:title=""/>
          </v:shape>
        </w:pict>
      </w:r>
    </w:p>
    <w:p w14:paraId="76B67C3C" w14:textId="77777777" w:rsidR="004E65A9" w:rsidRPr="00BD1AD5" w:rsidRDefault="004E65A9" w:rsidP="003F09AA">
      <w:pPr>
        <w:pStyle w:val="C-BodyText"/>
        <w:keepNext/>
        <w:spacing w:before="0" w:after="0" w:line="240" w:lineRule="auto"/>
        <w:rPr>
          <w:sz w:val="16"/>
          <w:szCs w:val="16"/>
          <w:lang w:val="en-GB"/>
        </w:rPr>
      </w:pPr>
    </w:p>
    <w:p w14:paraId="51C90ECB" w14:textId="77777777" w:rsidR="004E65A9" w:rsidRPr="00BD1AD5" w:rsidRDefault="004E65A9" w:rsidP="003F09AA">
      <w:pPr>
        <w:pStyle w:val="C-BodyText"/>
        <w:keepNext/>
        <w:spacing w:before="0" w:after="0" w:line="240" w:lineRule="auto"/>
        <w:rPr>
          <w:sz w:val="18"/>
          <w:szCs w:val="18"/>
        </w:rPr>
      </w:pPr>
      <w:r>
        <w:rPr>
          <w:sz w:val="18"/>
        </w:rPr>
        <w:t>APR 30 BID = apremilast to ganger daglig; ITT = med hensikt å behandle; DAO = data som observert</w:t>
      </w:r>
    </w:p>
    <w:p w14:paraId="29496B79" w14:textId="77777777" w:rsidR="004E65A9" w:rsidRPr="00BD1AD5" w:rsidRDefault="004E65A9" w:rsidP="003F09AA">
      <w:pPr>
        <w:pStyle w:val="C-BodyText"/>
        <w:keepNext/>
        <w:spacing w:before="0" w:after="0" w:line="240" w:lineRule="auto"/>
        <w:rPr>
          <w:sz w:val="18"/>
          <w:szCs w:val="18"/>
        </w:rPr>
      </w:pPr>
      <w:r>
        <w:rPr>
          <w:sz w:val="18"/>
        </w:rPr>
        <w:t>Merk: Placebo eller APR 30 mg BID angir behandlingsgruppen der pasienter ble randomisert. Pasienter i placebobehandlingsgruppe byttet til APR 30 BID i uke 12.</w:t>
      </w:r>
    </w:p>
    <w:p w14:paraId="00ACBFC0" w14:textId="77777777" w:rsidR="004E65A9" w:rsidRPr="00BD1AD5" w:rsidRDefault="004E65A9" w:rsidP="003F09AA">
      <w:pPr>
        <w:pStyle w:val="C-BodyText"/>
        <w:spacing w:before="0" w:after="0" w:line="240" w:lineRule="auto"/>
        <w:rPr>
          <w:sz w:val="18"/>
          <w:szCs w:val="18"/>
        </w:rPr>
      </w:pPr>
      <w:r>
        <w:rPr>
          <w:sz w:val="18"/>
        </w:rPr>
        <w:t>Oppfølgingstidspunktet var 4 uker etter pasienter fullførte uke 64, eller 4 uker etter at pasienter avsluttet behandling før uke 64.</w:t>
      </w:r>
    </w:p>
    <w:p w14:paraId="7E44E477" w14:textId="77777777" w:rsidR="004E65A9" w:rsidRPr="000B27C9" w:rsidRDefault="004E65A9" w:rsidP="003F09AA">
      <w:pPr>
        <w:pStyle w:val="C-BodyText"/>
        <w:spacing w:before="0" w:after="0" w:line="240" w:lineRule="auto"/>
        <w:rPr>
          <w:sz w:val="22"/>
          <w:szCs w:val="22"/>
          <w:u w:val="single"/>
        </w:rPr>
      </w:pPr>
    </w:p>
    <w:p w14:paraId="33FDA085" w14:textId="77777777" w:rsidR="004E65A9" w:rsidRPr="00BD1AD5" w:rsidRDefault="004E65A9" w:rsidP="003F09AA">
      <w:pPr>
        <w:pStyle w:val="C-BodyText"/>
        <w:keepNext/>
        <w:spacing w:before="0" w:after="0" w:line="240" w:lineRule="auto"/>
        <w:rPr>
          <w:sz w:val="22"/>
          <w:szCs w:val="22"/>
          <w:u w:val="single"/>
        </w:rPr>
      </w:pPr>
      <w:r>
        <w:rPr>
          <w:sz w:val="22"/>
          <w:u w:val="single"/>
        </w:rPr>
        <w:t>Forbedringer totalt i Behcets sykdomsaktivitet</w:t>
      </w:r>
    </w:p>
    <w:p w14:paraId="2403D3ED" w14:textId="77777777" w:rsidR="004E65A9" w:rsidRPr="000B27C9" w:rsidRDefault="004E65A9" w:rsidP="003F09AA">
      <w:pPr>
        <w:pStyle w:val="C-BodyText"/>
        <w:keepNext/>
        <w:spacing w:before="0" w:after="0" w:line="240" w:lineRule="auto"/>
        <w:rPr>
          <w:sz w:val="22"/>
          <w:szCs w:val="22"/>
          <w:u w:val="single"/>
        </w:rPr>
      </w:pPr>
    </w:p>
    <w:p w14:paraId="41E5FB1F" w14:textId="77777777" w:rsidR="004E65A9" w:rsidRPr="00BD1AD5" w:rsidRDefault="004E65A9" w:rsidP="003F09AA">
      <w:pPr>
        <w:autoSpaceDE w:val="0"/>
        <w:autoSpaceDN w:val="0"/>
        <w:adjustRightInd w:val="0"/>
      </w:pPr>
      <w:r>
        <w:t xml:space="preserve">30 mg apremilast to ganger daglig, sammenlignet med placebo, resulterte i betydelig reduksjon i total sykdomsaktivitet, som vist av gjennomsnittlig endring fra baseline ved uke 12 i BSAS (p &lt; 0,0001) og </w:t>
      </w:r>
      <w:r>
        <w:lastRenderedPageBreak/>
        <w:t>BDCAF (BDCAI, pasientens oppfatning av sykdomsaktivitet og klinikerens samlede oppfatning av sykdomsaktivitet; p</w:t>
      </w:r>
      <w:r>
        <w:noBreakHyphen/>
        <w:t>verdier ≤ 0,0335 for alle tre komponenter).</w:t>
      </w:r>
    </w:p>
    <w:p w14:paraId="2EDFADCD" w14:textId="77777777" w:rsidR="004E65A9" w:rsidRPr="00BD1AD5" w:rsidRDefault="004E65A9" w:rsidP="003F09AA">
      <w:pPr>
        <w:autoSpaceDE w:val="0"/>
        <w:autoSpaceDN w:val="0"/>
        <w:adjustRightInd w:val="0"/>
        <w:rPr>
          <w:lang w:eastAsia="ja-JP"/>
        </w:rPr>
      </w:pPr>
    </w:p>
    <w:p w14:paraId="561B6DA2" w14:textId="77777777" w:rsidR="004E65A9" w:rsidRPr="00BD1AD5" w:rsidRDefault="004E65A9" w:rsidP="003F09AA">
      <w:pPr>
        <w:tabs>
          <w:tab w:val="clear" w:pos="567"/>
        </w:tabs>
        <w:autoSpaceDE w:val="0"/>
        <w:autoSpaceDN w:val="0"/>
        <w:spacing w:before="40" w:after="40"/>
        <w:rPr>
          <w:rFonts w:ascii="Calibri" w:hAnsi="Calibri" w:cs="Calibri"/>
        </w:rPr>
      </w:pPr>
      <w:r>
        <w:t>Blant pasientene som opprinnelig ble randomisert til 30 mg apremilast to ganger daglig, og som fortsatte i studien, var forbedringer (gjennomsnittlig endring fra baseline) i både BSAS og BDCAF oppretthold ved uke 64.</w:t>
      </w:r>
    </w:p>
    <w:p w14:paraId="7549C9B9" w14:textId="77777777" w:rsidR="004E65A9" w:rsidRPr="000B27C9" w:rsidRDefault="004E65A9" w:rsidP="003F09AA">
      <w:pPr>
        <w:pStyle w:val="C-BodyText"/>
        <w:spacing w:before="0" w:after="0" w:line="240" w:lineRule="auto"/>
        <w:rPr>
          <w:sz w:val="22"/>
          <w:szCs w:val="22"/>
        </w:rPr>
      </w:pPr>
    </w:p>
    <w:p w14:paraId="2ACCB14C" w14:textId="77777777" w:rsidR="004E65A9" w:rsidRPr="00BD1AD5" w:rsidRDefault="004E65A9" w:rsidP="003F09AA">
      <w:pPr>
        <w:pStyle w:val="C-BodyText"/>
        <w:keepNext/>
        <w:spacing w:before="0" w:after="0" w:line="240" w:lineRule="auto"/>
        <w:rPr>
          <w:sz w:val="22"/>
          <w:szCs w:val="22"/>
          <w:u w:val="single"/>
        </w:rPr>
      </w:pPr>
      <w:r>
        <w:rPr>
          <w:sz w:val="22"/>
          <w:u w:val="single"/>
        </w:rPr>
        <w:t>Forbedringer i livskvalitet</w:t>
      </w:r>
    </w:p>
    <w:p w14:paraId="09BA8A74" w14:textId="77777777" w:rsidR="004E65A9" w:rsidRPr="000B27C9" w:rsidRDefault="004E65A9" w:rsidP="003F09AA">
      <w:pPr>
        <w:pStyle w:val="C-BodyText"/>
        <w:keepNext/>
        <w:spacing w:before="0" w:after="0" w:line="240" w:lineRule="auto"/>
        <w:rPr>
          <w:sz w:val="22"/>
          <w:szCs w:val="22"/>
          <w:u w:val="single"/>
        </w:rPr>
      </w:pPr>
    </w:p>
    <w:p w14:paraId="545E2F73" w14:textId="77777777" w:rsidR="004E65A9" w:rsidRPr="00BD1AD5" w:rsidRDefault="004E65A9" w:rsidP="003F09AA">
      <w:r>
        <w:t>30 mg apremilast to ganger daglig, sammenlignet med placebo, resulterte i signifikant forbedring i livskvalitet (QoL) ved uke 12, som vist ved BD QoL spørreskjema (p = 0,0003).</w:t>
      </w:r>
    </w:p>
    <w:p w14:paraId="3C4F282B" w14:textId="77777777" w:rsidR="004E65A9" w:rsidRPr="000B27C9" w:rsidRDefault="004E65A9" w:rsidP="003F09AA">
      <w:pPr>
        <w:pStyle w:val="C-BodyText"/>
        <w:spacing w:before="0" w:after="0" w:line="240" w:lineRule="auto"/>
        <w:rPr>
          <w:sz w:val="22"/>
          <w:szCs w:val="22"/>
          <w:lang w:eastAsia="ja-JP"/>
        </w:rPr>
      </w:pPr>
    </w:p>
    <w:p w14:paraId="43C4C7D9" w14:textId="77777777" w:rsidR="004E65A9" w:rsidRDefault="004E65A9" w:rsidP="003F09AA">
      <w:pPr>
        <w:autoSpaceDE w:val="0"/>
        <w:autoSpaceDN w:val="0"/>
        <w:adjustRightInd w:val="0"/>
        <w:rPr>
          <w:szCs w:val="24"/>
        </w:rPr>
      </w:pPr>
      <w:r>
        <w:t>Blant pasientene som opprinnelig ble randomisert til 30 mg apremilast to ganger daglig, og som fortsatte i studien, var forbedringen i BD QoL opprettholdt ved uke 64.</w:t>
      </w:r>
    </w:p>
    <w:p w14:paraId="6F339B95" w14:textId="77777777" w:rsidR="004E65A9" w:rsidRDefault="004E65A9" w:rsidP="003F09AA">
      <w:pPr>
        <w:autoSpaceDE w:val="0"/>
        <w:autoSpaceDN w:val="0"/>
        <w:adjustRightInd w:val="0"/>
        <w:rPr>
          <w:szCs w:val="24"/>
          <w:lang w:eastAsia="ja-JP"/>
        </w:rPr>
      </w:pPr>
    </w:p>
    <w:p w14:paraId="29E49579" w14:textId="77777777" w:rsidR="004E65A9" w:rsidRPr="00E354CF" w:rsidRDefault="004E65A9" w:rsidP="003F09AA">
      <w:pPr>
        <w:pStyle w:val="Styleunderline"/>
        <w:keepNext/>
      </w:pPr>
      <w:r>
        <w:t>Pediatriske pasienter</w:t>
      </w:r>
    </w:p>
    <w:p w14:paraId="4146FDA0" w14:textId="77777777" w:rsidR="004E65A9" w:rsidRDefault="004E65A9" w:rsidP="003F09AA">
      <w:pPr>
        <w:keepNext/>
        <w:autoSpaceDE w:val="0"/>
        <w:autoSpaceDN w:val="0"/>
        <w:adjustRightInd w:val="0"/>
        <w:rPr>
          <w:szCs w:val="24"/>
          <w:lang w:eastAsia="ja-JP"/>
        </w:rPr>
      </w:pPr>
    </w:p>
    <w:p w14:paraId="5B7CC594" w14:textId="77777777" w:rsidR="004E65A9" w:rsidRPr="00BD1AD5" w:rsidRDefault="004E65A9" w:rsidP="003F09AA">
      <w:pPr>
        <w:autoSpaceDE w:val="0"/>
        <w:autoSpaceDN w:val="0"/>
        <w:adjustRightInd w:val="0"/>
        <w:rPr>
          <w:szCs w:val="24"/>
        </w:rPr>
      </w:pPr>
      <w:r>
        <w:t>Det europeiske legemiddelkontoret (the European Medicines Agency) har utsatt forpliktelsen til å presentere resultater fra studier med apremilast i en eller flere undergrupper av den pediatriske populasjonen ved Bechets sykdom og psoriasisartritt (se pkt. 4.2 for informasjon om pediatrisk bruk)</w:t>
      </w:r>
    </w:p>
    <w:p w14:paraId="5CB4B287" w14:textId="77777777" w:rsidR="004E65A9" w:rsidRPr="00BD1AD5" w:rsidRDefault="004E65A9" w:rsidP="003F09AA"/>
    <w:p w14:paraId="1B31D73C" w14:textId="77777777" w:rsidR="004E65A9" w:rsidRPr="00BD1AD5" w:rsidRDefault="004E65A9" w:rsidP="003F09AA">
      <w:pPr>
        <w:keepNext/>
        <w:ind w:left="567" w:hanging="567"/>
        <w:outlineLvl w:val="0"/>
        <w:rPr>
          <w:b/>
        </w:rPr>
      </w:pPr>
      <w:r>
        <w:rPr>
          <w:b/>
        </w:rPr>
        <w:t>5.2</w:t>
      </w:r>
      <w:r>
        <w:rPr>
          <w:b/>
        </w:rPr>
        <w:tab/>
        <w:t>Farmakokinetiske egenskaper</w:t>
      </w:r>
    </w:p>
    <w:p w14:paraId="621AEBBE" w14:textId="77777777" w:rsidR="004E65A9" w:rsidRPr="00BD1AD5" w:rsidRDefault="004E65A9" w:rsidP="003F09AA">
      <w:pPr>
        <w:keepNext/>
      </w:pPr>
    </w:p>
    <w:p w14:paraId="3DD2B4C9" w14:textId="77777777" w:rsidR="004E65A9" w:rsidRPr="00BD1AD5" w:rsidRDefault="004E65A9" w:rsidP="003F09AA">
      <w:pPr>
        <w:keepNext/>
        <w:numPr>
          <w:ilvl w:val="12"/>
          <w:numId w:val="0"/>
        </w:numPr>
        <w:ind w:right="-2"/>
        <w:rPr>
          <w:u w:val="single"/>
        </w:rPr>
      </w:pPr>
      <w:r>
        <w:rPr>
          <w:u w:val="single"/>
        </w:rPr>
        <w:t>Absorpsjon</w:t>
      </w:r>
    </w:p>
    <w:p w14:paraId="576E57EA" w14:textId="77777777" w:rsidR="004E65A9" w:rsidRPr="00BD1AD5" w:rsidRDefault="004E65A9" w:rsidP="003F09AA">
      <w:pPr>
        <w:keepNext/>
        <w:numPr>
          <w:ilvl w:val="12"/>
          <w:numId w:val="0"/>
        </w:numPr>
        <w:ind w:right="-2"/>
      </w:pPr>
    </w:p>
    <w:p w14:paraId="3F2F7E21" w14:textId="77777777" w:rsidR="004E65A9" w:rsidRPr="00BD1AD5" w:rsidRDefault="004E65A9" w:rsidP="003F09AA">
      <w:pPr>
        <w:numPr>
          <w:ilvl w:val="12"/>
          <w:numId w:val="0"/>
        </w:numPr>
        <w:ind w:right="-2"/>
        <w:rPr>
          <w:u w:val="single"/>
        </w:rPr>
      </w:pPr>
      <w:r>
        <w:t>Apremilast absorberes godt med en absolutt oral biotilgjengelighet på ca. 73 %, med maksimal plasmakonsentrasjon (C</w:t>
      </w:r>
      <w:r>
        <w:rPr>
          <w:vertAlign w:val="subscript"/>
        </w:rPr>
        <w:t>max</w:t>
      </w:r>
      <w:r>
        <w:t>) etter en median tid (t</w:t>
      </w:r>
      <w:r>
        <w:rPr>
          <w:vertAlign w:val="subscript"/>
        </w:rPr>
        <w:t>max</w:t>
      </w:r>
      <w:r>
        <w:t>) på ca. 2,5 timer. Apremilast har lineær farmakokinetikk, med en doseproporsjonal økning i systemisk eksponering i doseområdet 10 til 100 mg daglig. Det er minimal akkumulering når apremilast administreres én gang daglig, og ca. 53 % hos friske forsøkspersoner og 68 % hos pasienter med psoriasis når det administreres to ganger daglig. Samtidig matinntak påvirker ikke biotilgjengeligheten, og derfor kan apremilast administreres med eller uten mat.</w:t>
      </w:r>
    </w:p>
    <w:p w14:paraId="1C0694D4" w14:textId="77777777" w:rsidR="004E65A9" w:rsidRPr="00BD1AD5" w:rsidRDefault="004E65A9" w:rsidP="003F09AA">
      <w:pPr>
        <w:numPr>
          <w:ilvl w:val="12"/>
          <w:numId w:val="0"/>
        </w:numPr>
        <w:ind w:right="-2"/>
      </w:pPr>
    </w:p>
    <w:p w14:paraId="43883E84" w14:textId="77777777" w:rsidR="004E65A9" w:rsidRPr="00BD1AD5" w:rsidRDefault="004E65A9" w:rsidP="003F09AA">
      <w:pPr>
        <w:keepNext/>
        <w:numPr>
          <w:ilvl w:val="12"/>
          <w:numId w:val="0"/>
        </w:numPr>
        <w:rPr>
          <w:u w:val="single"/>
        </w:rPr>
      </w:pPr>
      <w:r>
        <w:rPr>
          <w:u w:val="single"/>
        </w:rPr>
        <w:t>Distribusjon</w:t>
      </w:r>
    </w:p>
    <w:p w14:paraId="5CD31BF4" w14:textId="77777777" w:rsidR="004E65A9" w:rsidRPr="00BD1AD5" w:rsidRDefault="004E65A9" w:rsidP="003F09AA">
      <w:pPr>
        <w:keepNext/>
        <w:numPr>
          <w:ilvl w:val="12"/>
          <w:numId w:val="0"/>
        </w:numPr>
      </w:pPr>
    </w:p>
    <w:p w14:paraId="29E43CDA" w14:textId="77777777" w:rsidR="004E65A9" w:rsidRPr="00BD1AD5" w:rsidRDefault="004E65A9" w:rsidP="003F09AA">
      <w:pPr>
        <w:numPr>
          <w:ilvl w:val="12"/>
          <w:numId w:val="0"/>
        </w:numPr>
        <w:rPr>
          <w:u w:val="single"/>
        </w:rPr>
      </w:pPr>
      <w:r>
        <w:t>Omtrent 68 % av apremilast er bundet til humane plasmaproteiner. Gjennomsnittlig tilsynelatende distribusjonsvolum (Vd) er 87 l, noe som indikerer ekstravaskulær distribusjon.</w:t>
      </w:r>
    </w:p>
    <w:p w14:paraId="33FF4F89" w14:textId="77777777" w:rsidR="004E65A9" w:rsidRPr="00BD1AD5" w:rsidRDefault="004E65A9" w:rsidP="003F09AA">
      <w:pPr>
        <w:numPr>
          <w:ilvl w:val="12"/>
          <w:numId w:val="0"/>
        </w:numPr>
        <w:ind w:right="-2"/>
      </w:pPr>
    </w:p>
    <w:p w14:paraId="649B1A87" w14:textId="77777777" w:rsidR="004E65A9" w:rsidRPr="00BD1AD5" w:rsidRDefault="004E65A9" w:rsidP="003F09AA">
      <w:pPr>
        <w:keepNext/>
        <w:numPr>
          <w:ilvl w:val="12"/>
          <w:numId w:val="0"/>
        </w:numPr>
        <w:ind w:right="-2"/>
        <w:rPr>
          <w:u w:val="single"/>
        </w:rPr>
      </w:pPr>
      <w:r>
        <w:rPr>
          <w:u w:val="single"/>
        </w:rPr>
        <w:t>Biotransformasjon</w:t>
      </w:r>
    </w:p>
    <w:p w14:paraId="2D558C21" w14:textId="77777777" w:rsidR="004E65A9" w:rsidRPr="00BD1AD5" w:rsidRDefault="004E65A9" w:rsidP="003F09AA">
      <w:pPr>
        <w:keepNext/>
        <w:rPr>
          <w:szCs w:val="24"/>
        </w:rPr>
      </w:pPr>
    </w:p>
    <w:p w14:paraId="45ED94B8" w14:textId="77777777" w:rsidR="004E65A9" w:rsidRPr="00BD1AD5" w:rsidRDefault="004E65A9" w:rsidP="003F09AA">
      <w:r>
        <w:t>Apremilast metaboliseres i høy grad via både CYP- og ikke</w:t>
      </w:r>
      <w:r>
        <w:noBreakHyphen/>
        <w:t>CYP</w:t>
      </w:r>
      <w:r>
        <w:noBreakHyphen/>
        <w:t xml:space="preserve">medierte metabolismeveier, inkludert oksidasjon, hydrolyse og konjugering, noe som indikerer at det er lite sannsynlig at hemming av én enkelt clearancevei vil medføre uttalt legemiddelinteraksjon. Oksidativ metabolisme av apremilast medieres hovedsakelig av CYP3A4, med små bidrag fra CYP1A2 og CYP2A6. Apremilast er den viktigste sirkulerende komponenten etter oral administrasjon. Apremilast gjennomgår omfattende metabolisme, og kun 3 % og 7 % av administrert modersubstans gjenfinnes i henholdsvis urin og feces. Den viktigste sirkulerende inaktive metabolitten er glukuronidkonjugatet </w:t>
      </w:r>
      <w:r>
        <w:rPr>
          <w:i/>
        </w:rPr>
        <w:t>O</w:t>
      </w:r>
      <w:r>
        <w:noBreakHyphen/>
        <w:t>demetylert apremilast (M12). I samsvar med at apremilast er et CYP3A4</w:t>
      </w:r>
      <w:r>
        <w:noBreakHyphen/>
        <w:t>substrat, reduseres apremilasteksponeringen ved samtidig administrering av rifampicin, en sterk CYP3A4</w:t>
      </w:r>
      <w:r>
        <w:noBreakHyphen/>
        <w:t>induktor.</w:t>
      </w:r>
    </w:p>
    <w:p w14:paraId="466F42AA" w14:textId="77777777" w:rsidR="004E65A9" w:rsidRPr="00BD1AD5" w:rsidRDefault="004E65A9" w:rsidP="003F09AA">
      <w:pPr>
        <w:numPr>
          <w:ilvl w:val="12"/>
          <w:numId w:val="0"/>
        </w:numPr>
        <w:ind w:right="-2"/>
        <w:rPr>
          <w:szCs w:val="24"/>
        </w:rPr>
      </w:pPr>
    </w:p>
    <w:p w14:paraId="355D5C35" w14:textId="77777777" w:rsidR="004E65A9" w:rsidRPr="00BD1AD5" w:rsidRDefault="004E65A9" w:rsidP="003F09AA">
      <w:pPr>
        <w:numPr>
          <w:ilvl w:val="12"/>
          <w:numId w:val="0"/>
        </w:numPr>
        <w:ind w:right="-2"/>
        <w:rPr>
          <w:szCs w:val="24"/>
        </w:rPr>
      </w:pPr>
      <w:r>
        <w:rPr>
          <w:i/>
        </w:rPr>
        <w:t>In vitro</w:t>
      </w:r>
      <w:r>
        <w:t xml:space="preserve"> er apremilast ikke en hemmer eller induktor av cytokrom P450</w:t>
      </w:r>
      <w:r>
        <w:noBreakHyphen/>
        <w:t>enzymer. Det er derfor lite sannsynlig at samtidig bruk av apremilast og CYP</w:t>
      </w:r>
      <w:r>
        <w:noBreakHyphen/>
        <w:t>enzymsubstrater vil påvirke clearance og eksponering for virkestoffer som metaboliseres av CYP</w:t>
      </w:r>
      <w:r>
        <w:noBreakHyphen/>
        <w:t>enzymer.</w:t>
      </w:r>
    </w:p>
    <w:p w14:paraId="59A73F09" w14:textId="77777777" w:rsidR="004E65A9" w:rsidRPr="00BD1AD5" w:rsidRDefault="004E65A9" w:rsidP="003F09AA">
      <w:pPr>
        <w:numPr>
          <w:ilvl w:val="12"/>
          <w:numId w:val="0"/>
        </w:numPr>
        <w:ind w:right="-2"/>
        <w:rPr>
          <w:szCs w:val="24"/>
        </w:rPr>
      </w:pPr>
    </w:p>
    <w:p w14:paraId="002A17B0" w14:textId="77777777" w:rsidR="004E65A9" w:rsidRPr="00BD1AD5" w:rsidRDefault="004E65A9" w:rsidP="003F09AA">
      <w:pPr>
        <w:rPr>
          <w:szCs w:val="24"/>
        </w:rPr>
      </w:pPr>
      <w:r>
        <w:rPr>
          <w:i/>
        </w:rPr>
        <w:t>In vitro</w:t>
      </w:r>
      <w:r>
        <w:t xml:space="preserve"> er apremilast et substrat og en svak hemmer av P</w:t>
      </w:r>
      <w:r>
        <w:noBreakHyphen/>
        <w:t>glykoprotein (IC</w:t>
      </w:r>
      <w:r>
        <w:rPr>
          <w:vertAlign w:val="subscript"/>
        </w:rPr>
        <w:t>50</w:t>
      </w:r>
      <w:r>
        <w:t> &gt; 50 mikroM), men det forventes ingen klinisk relevante legemiddelinteraksjoner mediert av P</w:t>
      </w:r>
      <w:r>
        <w:noBreakHyphen/>
        <w:t>gp.</w:t>
      </w:r>
    </w:p>
    <w:p w14:paraId="69DB5F20" w14:textId="77777777" w:rsidR="004E65A9" w:rsidRPr="00BD1AD5" w:rsidRDefault="004E65A9" w:rsidP="003F09AA">
      <w:pPr>
        <w:numPr>
          <w:ilvl w:val="12"/>
          <w:numId w:val="0"/>
        </w:numPr>
        <w:ind w:right="-2"/>
      </w:pPr>
    </w:p>
    <w:p w14:paraId="1FDD4491" w14:textId="77777777" w:rsidR="004E65A9" w:rsidRPr="00BD1AD5" w:rsidRDefault="004E65A9" w:rsidP="003F09AA">
      <w:pPr>
        <w:numPr>
          <w:ilvl w:val="12"/>
          <w:numId w:val="0"/>
        </w:numPr>
        <w:ind w:right="-2"/>
        <w:rPr>
          <w:u w:val="single"/>
        </w:rPr>
      </w:pPr>
      <w:r>
        <w:rPr>
          <w:i/>
        </w:rPr>
        <w:lastRenderedPageBreak/>
        <w:t>In vitro</w:t>
      </w:r>
      <w:r>
        <w:t xml:space="preserve"> har apremilast liten eller ingen hemmende effekt (IC</w:t>
      </w:r>
      <w:r>
        <w:rPr>
          <w:vertAlign w:val="subscript"/>
        </w:rPr>
        <w:t>50</w:t>
      </w:r>
      <w:r>
        <w:t> &gt; 10 mikroM) på organisk aniontransportør (OAT)1 og OAT3, organisk kationtransportør (OCT)2, organisk aniontransporterende polypeptid (OATP)1B1 og OATP1B3, eller brystkreftresistensprotein (BCRP), og er ikke et substrat for disse transportørene. Klinisk relevante legemiddelinteraksjoner er derfor lite sannsynlige når apremilast gis sammen med legemidler som er substrater eller hemmere av disse transportørene.</w:t>
      </w:r>
    </w:p>
    <w:p w14:paraId="069C2CCC" w14:textId="77777777" w:rsidR="004E65A9" w:rsidRPr="00BD1AD5" w:rsidRDefault="004E65A9" w:rsidP="003F09AA">
      <w:pPr>
        <w:numPr>
          <w:ilvl w:val="12"/>
          <w:numId w:val="0"/>
        </w:numPr>
        <w:ind w:right="-2"/>
      </w:pPr>
    </w:p>
    <w:p w14:paraId="306F317A" w14:textId="77777777" w:rsidR="004E65A9" w:rsidRPr="00BD1AD5" w:rsidRDefault="004E65A9" w:rsidP="003F09AA">
      <w:pPr>
        <w:keepNext/>
        <w:numPr>
          <w:ilvl w:val="12"/>
          <w:numId w:val="0"/>
        </w:numPr>
        <w:rPr>
          <w:u w:val="single"/>
        </w:rPr>
      </w:pPr>
      <w:r>
        <w:rPr>
          <w:u w:val="single"/>
        </w:rPr>
        <w:t>Eliminasjon</w:t>
      </w:r>
    </w:p>
    <w:p w14:paraId="34C9E4F8" w14:textId="77777777" w:rsidR="004E65A9" w:rsidRPr="00BD1AD5" w:rsidRDefault="004E65A9" w:rsidP="003F09AA">
      <w:pPr>
        <w:keepNext/>
        <w:numPr>
          <w:ilvl w:val="12"/>
          <w:numId w:val="0"/>
        </w:numPr>
        <w:rPr>
          <w:szCs w:val="24"/>
        </w:rPr>
      </w:pPr>
    </w:p>
    <w:p w14:paraId="4061DB28" w14:textId="77777777" w:rsidR="004E65A9" w:rsidRPr="00BD1AD5" w:rsidRDefault="004E65A9" w:rsidP="003F09AA">
      <w:pPr>
        <w:numPr>
          <w:ilvl w:val="12"/>
          <w:numId w:val="0"/>
        </w:numPr>
        <w:rPr>
          <w:u w:val="single"/>
        </w:rPr>
      </w:pPr>
      <w:r>
        <w:t>Plasmaclearance av apremilast er i gjennomsnitt ca. 10 l/time hos friske forsøkspersoner, med en terminal eliminasjonshalveringstid på ca. 9 timer. Etter oral administrering av radiomerket apremilast gjenfinnes ca. 58 % og 39 % av radioaktiviteten i henholdsvis urin og feces, hvorav ca. 3 % og 7 % av den radioaktive dosen gjenfinnes som uendret apremilast i henholdsvis urin og feces.</w:t>
      </w:r>
    </w:p>
    <w:p w14:paraId="052157F0" w14:textId="77777777" w:rsidR="004E65A9" w:rsidRPr="00BD1AD5" w:rsidRDefault="004E65A9" w:rsidP="003F09AA">
      <w:pPr>
        <w:rPr>
          <w:iCs/>
          <w:noProof/>
        </w:rPr>
      </w:pPr>
    </w:p>
    <w:p w14:paraId="6B3753D3" w14:textId="77777777" w:rsidR="004E65A9" w:rsidRPr="00BD1AD5" w:rsidRDefault="004E65A9" w:rsidP="003F09AA">
      <w:pPr>
        <w:keepNext/>
        <w:rPr>
          <w:iCs/>
          <w:noProof/>
          <w:u w:val="single"/>
        </w:rPr>
      </w:pPr>
      <w:r>
        <w:rPr>
          <w:u w:val="single"/>
        </w:rPr>
        <w:t>Eldre pasienter</w:t>
      </w:r>
    </w:p>
    <w:p w14:paraId="4497A3FD" w14:textId="77777777" w:rsidR="004E65A9" w:rsidRPr="00BD1AD5" w:rsidRDefault="004E65A9" w:rsidP="003F09AA">
      <w:pPr>
        <w:keepNext/>
      </w:pPr>
    </w:p>
    <w:p w14:paraId="087AEEC4" w14:textId="77777777" w:rsidR="004E65A9" w:rsidRDefault="004E65A9" w:rsidP="003F09AA">
      <w:r>
        <w:t>Apremilast ble undersøkt hos unge og eldre friske forsøkspersoner. Eksponeringen for apremilast hos eldre forsøkspersoner (65 til 85 år) er ca. 13 % høyere som AUC og ca. 6 % høyere som C</w:t>
      </w:r>
      <w:r>
        <w:rPr>
          <w:vertAlign w:val="subscript"/>
        </w:rPr>
        <w:t>max</w:t>
      </w:r>
      <w:r>
        <w:t xml:space="preserve"> enn hos unge forsøkspersoner (18 til 55 år). Det foreligger begrensede farmakokinetiske data fra kliniske studier med forsøkspersoner over 75 år. Dosejustering er ikke nødvendig hos eldre pasienter.</w:t>
      </w:r>
    </w:p>
    <w:p w14:paraId="6F267E1D" w14:textId="77777777" w:rsidR="004E65A9" w:rsidRDefault="004E65A9" w:rsidP="003F09AA"/>
    <w:p w14:paraId="32C0FF1E" w14:textId="77777777" w:rsidR="004E65A9" w:rsidRPr="00E354CF" w:rsidRDefault="004E65A9" w:rsidP="003F09AA">
      <w:pPr>
        <w:pStyle w:val="Styleunderline"/>
        <w:keepNext/>
      </w:pPr>
      <w:r>
        <w:t>Pediatriske pasienter</w:t>
      </w:r>
    </w:p>
    <w:p w14:paraId="310800FC" w14:textId="77777777" w:rsidR="004E65A9" w:rsidRPr="00E7076E" w:rsidRDefault="004E65A9" w:rsidP="003F09AA">
      <w:pPr>
        <w:keepNext/>
        <w:rPr>
          <w:u w:val="single"/>
        </w:rPr>
      </w:pPr>
    </w:p>
    <w:p w14:paraId="1B1A8A48" w14:textId="77777777" w:rsidR="004E65A9" w:rsidRPr="00BD1AD5" w:rsidRDefault="004E65A9" w:rsidP="003F09AA">
      <w:pPr>
        <w:rPr>
          <w:szCs w:val="24"/>
        </w:rPr>
      </w:pPr>
      <w:r>
        <w:t>Farmakokinetikken til apremilast ble evaluert i en klinisk studie med forsøkspersoner i alderen 6 til 17 år med moderat til alvorlig plakkpsoriasis ved det anbefalte pediatriske doseregimet (se pkt. 5.1). Populasjonsfarmakokinetisk analyse indikerte at steady-state eksponering (AUC og C</w:t>
      </w:r>
      <w:r>
        <w:rPr>
          <w:vertAlign w:val="subscript"/>
        </w:rPr>
        <w:t>max</w:t>
      </w:r>
      <w:r>
        <w:t xml:space="preserve">) av apremilast hos pediatriske pasienter som fikk det pediatriske doseringsregimet (20 mg eller 30 mg to ganger daglig, basert på kroppsvekt) var lik </w:t>
      </w:r>
      <w:r>
        <w:rPr>
          <w:i/>
          <w:iCs/>
        </w:rPr>
        <w:t>steady-state</w:t>
      </w:r>
      <w:r>
        <w:t xml:space="preserve"> eksponering hos voksne pasienter ved dosen på 30 mg to ganger daglig.</w:t>
      </w:r>
    </w:p>
    <w:p w14:paraId="6437B19D" w14:textId="77777777" w:rsidR="004E65A9" w:rsidRPr="00BD1AD5" w:rsidRDefault="004E65A9" w:rsidP="003F09AA"/>
    <w:p w14:paraId="47A5BC7C" w14:textId="77777777" w:rsidR="004E65A9" w:rsidRPr="00BD1AD5" w:rsidRDefault="004E65A9" w:rsidP="003F09AA">
      <w:pPr>
        <w:keepNext/>
        <w:rPr>
          <w:u w:val="single"/>
        </w:rPr>
      </w:pPr>
      <w:r>
        <w:rPr>
          <w:u w:val="single"/>
        </w:rPr>
        <w:t>Nedsatt nyrefunksjon</w:t>
      </w:r>
    </w:p>
    <w:p w14:paraId="3C3CC2D4" w14:textId="77777777" w:rsidR="004E65A9" w:rsidRPr="00BD1AD5" w:rsidRDefault="004E65A9" w:rsidP="003F09AA">
      <w:pPr>
        <w:keepNext/>
      </w:pPr>
    </w:p>
    <w:p w14:paraId="020B1A6F" w14:textId="77777777" w:rsidR="004E65A9" w:rsidRDefault="004E65A9" w:rsidP="003F09AA">
      <w:pPr>
        <w:keepNext/>
      </w:pPr>
      <w:r>
        <w:t>Det er ingen relevant forskjell i farmakokinetikken til apremilast mellom voksne forsøkspersoner med lett eller moderat nedsatt nyrefunksjon og matchede friske forsøkspersoner (n = 8 av hver). Resultatene støtter at dosejustering ikke er nødvendig hos pasienter med lett eller moderat nedsatt nyrefunksjon.</w:t>
      </w:r>
    </w:p>
    <w:p w14:paraId="7F01B883" w14:textId="77777777" w:rsidR="004E65A9" w:rsidRDefault="004E65A9" w:rsidP="003F09AA">
      <w:pPr>
        <w:keepNext/>
      </w:pPr>
    </w:p>
    <w:p w14:paraId="00106F89" w14:textId="77777777" w:rsidR="004E65A9" w:rsidRDefault="004E65A9" w:rsidP="003F09AA">
      <w:r>
        <w:t>Hos 8 voksne forsøkspersoner med alvorlig nedsatt nyrefunksjon som fikk en enkeltdose med 30 mg apremilast, var AUC og C</w:t>
      </w:r>
      <w:r w:rsidRPr="0047409B">
        <w:rPr>
          <w:vertAlign w:val="subscript"/>
        </w:rPr>
        <w:t>max</w:t>
      </w:r>
      <w:r>
        <w:t xml:space="preserve"> av apremilast henholdsvis 89 % og 42 % høyere. Dosen av apremilast skal reduseres til 30 mg én gang daglig hos voksne pasienter med alvorlig nedsatt nyrefunksjon (eGFR under 30 ml/minutt/1,73 m</w:t>
      </w:r>
      <w:r>
        <w:rPr>
          <w:vertAlign w:val="superscript"/>
        </w:rPr>
        <w:t>2</w:t>
      </w:r>
      <w:r>
        <w:t xml:space="preserve"> eller CLcr &lt; 30 ml/minutt).Hos pediatriske pasienter fra 6 år og oppover med alvorlig nedsatt nyrefunksjon skal dosen av apremilast reduseres til 30 mg én gang daglig for barn som veier minst 50 kg og til 20 mg én gang daglig for barn som veier 20 kg til mindre enn 50 kg (se pkt. 4.2).</w:t>
      </w:r>
    </w:p>
    <w:p w14:paraId="11937B37" w14:textId="77777777" w:rsidR="004E65A9" w:rsidRPr="00BD1AD5" w:rsidRDefault="004E65A9" w:rsidP="003F09AA"/>
    <w:p w14:paraId="61EAB968" w14:textId="77777777" w:rsidR="004E65A9" w:rsidRPr="00BD1AD5" w:rsidRDefault="004E65A9" w:rsidP="003F09AA">
      <w:pPr>
        <w:keepNext/>
        <w:rPr>
          <w:u w:val="single"/>
        </w:rPr>
      </w:pPr>
      <w:r>
        <w:rPr>
          <w:u w:val="single"/>
        </w:rPr>
        <w:t>Nedsatt leverfunksjon</w:t>
      </w:r>
    </w:p>
    <w:p w14:paraId="04D7BCC5" w14:textId="77777777" w:rsidR="004E65A9" w:rsidRPr="00BD1AD5" w:rsidRDefault="004E65A9" w:rsidP="003F09AA">
      <w:pPr>
        <w:keepNext/>
      </w:pPr>
    </w:p>
    <w:p w14:paraId="637187BD" w14:textId="77777777" w:rsidR="004E65A9" w:rsidRPr="00BD1AD5" w:rsidRDefault="004E65A9" w:rsidP="003F09AA">
      <w:pPr>
        <w:rPr>
          <w:u w:val="single"/>
        </w:rPr>
      </w:pPr>
      <w:r>
        <w:t>Farmakokinetikken til apremilast og dets hovedmetabolitt M12 påvirkes ikke av moderat eller alvorlig nedsatt leverfunksjon. Dosejustering er ikke nødvendig hos pasienter med nedsatt leverfunksjon.</w:t>
      </w:r>
    </w:p>
    <w:p w14:paraId="15714404" w14:textId="77777777" w:rsidR="004E65A9" w:rsidRPr="00BD1AD5" w:rsidRDefault="004E65A9" w:rsidP="003F09AA">
      <w:pPr>
        <w:rPr>
          <w:iCs/>
          <w:noProof/>
        </w:rPr>
      </w:pPr>
    </w:p>
    <w:p w14:paraId="354B0593" w14:textId="77777777" w:rsidR="004E65A9" w:rsidRPr="00BD1AD5" w:rsidRDefault="004E65A9" w:rsidP="003F09AA">
      <w:pPr>
        <w:keepNext/>
        <w:ind w:left="567" w:hanging="567"/>
        <w:outlineLvl w:val="0"/>
        <w:rPr>
          <w:b/>
          <w:noProof/>
        </w:rPr>
      </w:pPr>
      <w:r>
        <w:rPr>
          <w:b/>
        </w:rPr>
        <w:t>5.3</w:t>
      </w:r>
      <w:r>
        <w:rPr>
          <w:b/>
        </w:rPr>
        <w:tab/>
        <w:t>Prekliniske sikkerhetsdata</w:t>
      </w:r>
    </w:p>
    <w:p w14:paraId="1A21B41E" w14:textId="77777777" w:rsidR="004E65A9" w:rsidRPr="00BD1AD5" w:rsidRDefault="004E65A9" w:rsidP="003F09AA">
      <w:pPr>
        <w:keepNext/>
      </w:pPr>
    </w:p>
    <w:p w14:paraId="1A07A2F7" w14:textId="77777777" w:rsidR="004E65A9" w:rsidRPr="00BD1AD5" w:rsidRDefault="004E65A9" w:rsidP="003F09AA">
      <w:r>
        <w:t>Prekliniske data indikerer ingen spesiell fare for mennesker basert på konvensjonelle studier av sikkerhetsfarmakologi og toksisitetstester ved gjentatt dosering. Det er ingen holdepunkter for et immuntoksisk, hudirritasjons- eller fototoksisk potensial.</w:t>
      </w:r>
    </w:p>
    <w:p w14:paraId="32039CD2" w14:textId="77777777" w:rsidR="004E65A9" w:rsidRPr="00BD1AD5" w:rsidRDefault="004E65A9" w:rsidP="003F09AA">
      <w:pPr>
        <w:rPr>
          <w:noProof/>
        </w:rPr>
      </w:pPr>
    </w:p>
    <w:p w14:paraId="4FA3FBE1" w14:textId="77777777" w:rsidR="004E65A9" w:rsidRPr="00BD1AD5" w:rsidRDefault="004E65A9" w:rsidP="003F09AA">
      <w:pPr>
        <w:keepNext/>
        <w:rPr>
          <w:u w:val="single"/>
        </w:rPr>
      </w:pPr>
      <w:r>
        <w:rPr>
          <w:u w:val="single"/>
        </w:rPr>
        <w:lastRenderedPageBreak/>
        <w:t>Fertilitet og tidlig embryoutvikling</w:t>
      </w:r>
    </w:p>
    <w:p w14:paraId="6102CD8A" w14:textId="77777777" w:rsidR="004E65A9" w:rsidRPr="000B27C9" w:rsidRDefault="004E65A9" w:rsidP="003F09AA">
      <w:pPr>
        <w:pStyle w:val="C-BodyText"/>
        <w:keepNext/>
        <w:tabs>
          <w:tab w:val="left" w:pos="11520"/>
        </w:tabs>
        <w:spacing w:before="0" w:after="0" w:line="240" w:lineRule="auto"/>
        <w:rPr>
          <w:noProof/>
          <w:sz w:val="22"/>
          <w:szCs w:val="22"/>
        </w:rPr>
      </w:pPr>
    </w:p>
    <w:p w14:paraId="43940910" w14:textId="77777777" w:rsidR="004E65A9" w:rsidRPr="00BD1AD5" w:rsidRDefault="004E65A9" w:rsidP="003F09AA">
      <w:pPr>
        <w:pStyle w:val="C-BodyText"/>
        <w:tabs>
          <w:tab w:val="left" w:pos="11520"/>
        </w:tabs>
        <w:spacing w:before="0" w:after="0" w:line="240" w:lineRule="auto"/>
        <w:rPr>
          <w:noProof/>
          <w:sz w:val="22"/>
          <w:szCs w:val="22"/>
        </w:rPr>
      </w:pPr>
      <w:r>
        <w:rPr>
          <w:sz w:val="22"/>
        </w:rPr>
        <w:t xml:space="preserve">I en fertilitetsstudie hos hannmus påvirket apremilast i orale doser på 1, 10, 25 og 50 mg/kg/døgn ikke fertiliteten. Høyeste nivå uten observerte bivirkninger (NOAEL, </w:t>
      </w:r>
      <w:r>
        <w:rPr>
          <w:i/>
          <w:iCs/>
          <w:sz w:val="22"/>
        </w:rPr>
        <w:t>No Observed Adverse Effect Level</w:t>
      </w:r>
      <w:r>
        <w:rPr>
          <w:sz w:val="22"/>
        </w:rPr>
        <w:t>) for fertilitet hos hanner var høyere enn 50 mg/kg/døgn 3 ganger klinisk eksponering.</w:t>
      </w:r>
    </w:p>
    <w:p w14:paraId="212C942A" w14:textId="77777777" w:rsidR="004E65A9" w:rsidRPr="000B27C9" w:rsidRDefault="004E65A9" w:rsidP="003F09AA">
      <w:pPr>
        <w:pStyle w:val="C-BodyText"/>
        <w:tabs>
          <w:tab w:val="left" w:pos="11520"/>
        </w:tabs>
        <w:spacing w:before="0" w:after="0" w:line="240" w:lineRule="auto"/>
        <w:rPr>
          <w:noProof/>
          <w:sz w:val="22"/>
          <w:szCs w:val="22"/>
        </w:rPr>
      </w:pPr>
    </w:p>
    <w:p w14:paraId="463CD192" w14:textId="77777777" w:rsidR="004E65A9" w:rsidRPr="00BD1AD5" w:rsidRDefault="004E65A9" w:rsidP="003F09AA">
      <w:pPr>
        <w:rPr>
          <w:noProof/>
        </w:rPr>
      </w:pPr>
      <w:r>
        <w:t xml:space="preserve">I en kombinert fertilitets- og embryoføtal utviklingstoksisitetsstudie hos hunnmus som fikk orale doser på 10, 20, 40 og 80 mg/kg/døgn, ble det observert forlenget brunstsyklus og økt tid til paring fra 20 mg/kg/døgn, men til tross for dette paret alle musene seg og drektighetsandelen ble ikke påvirket. Høyeste nivå uten observerte effekter (NOEL, </w:t>
      </w:r>
      <w:r>
        <w:rPr>
          <w:i/>
          <w:iCs/>
        </w:rPr>
        <w:t>No Observed Effect Level</w:t>
      </w:r>
      <w:r>
        <w:t>) for fertilitet hos hunner var 10 mg/kg/døgn (tilsvarende klinisk eksponering).</w:t>
      </w:r>
    </w:p>
    <w:p w14:paraId="26409E5D" w14:textId="77777777" w:rsidR="004E65A9" w:rsidRPr="00BD1AD5" w:rsidRDefault="004E65A9" w:rsidP="003F09AA">
      <w:pPr>
        <w:rPr>
          <w:noProof/>
        </w:rPr>
      </w:pPr>
    </w:p>
    <w:p w14:paraId="180824D6" w14:textId="77777777" w:rsidR="004E65A9" w:rsidRPr="00BD1AD5" w:rsidRDefault="004E65A9" w:rsidP="003F09AA">
      <w:pPr>
        <w:keepNext/>
        <w:rPr>
          <w:u w:val="single"/>
        </w:rPr>
      </w:pPr>
      <w:r>
        <w:rPr>
          <w:u w:val="single"/>
        </w:rPr>
        <w:t>Embryoføtal utvikling</w:t>
      </w:r>
    </w:p>
    <w:p w14:paraId="0B79F16C" w14:textId="77777777" w:rsidR="004E65A9" w:rsidRPr="000B27C9" w:rsidRDefault="004E65A9" w:rsidP="003F09AA">
      <w:pPr>
        <w:pStyle w:val="C-BodyText"/>
        <w:keepNext/>
        <w:spacing w:before="0" w:after="0" w:line="240" w:lineRule="auto"/>
        <w:rPr>
          <w:noProof/>
          <w:sz w:val="22"/>
          <w:szCs w:val="22"/>
        </w:rPr>
      </w:pPr>
    </w:p>
    <w:p w14:paraId="602F813E" w14:textId="77777777" w:rsidR="004E65A9" w:rsidRPr="00BD1AD5" w:rsidRDefault="004E65A9" w:rsidP="003F09AA">
      <w:pPr>
        <w:pStyle w:val="C-BodyText"/>
        <w:spacing w:before="0" w:after="0" w:line="240" w:lineRule="auto"/>
        <w:rPr>
          <w:noProof/>
          <w:sz w:val="22"/>
          <w:szCs w:val="22"/>
        </w:rPr>
      </w:pPr>
      <w:r>
        <w:rPr>
          <w:sz w:val="22"/>
        </w:rPr>
        <w:t>I en kombinert fertilitets- og embryoføtal utviklingstoksisitetsstudie hos hunnmus som fikk orale doser på 10, 20, 40 og 80 mg/kg/døgn, var absolutt og/eller relativ hjertevekt hos mordyrene økt ved 20, 40 og 80 mg/kg/døgn. Økt antall av tidlig resorpsjon og redusert antall ossifiserte tarsaler ble observert ved 20, 40 og 80 mg/kg/døgn. Redusert fostervekt og forsinket ossifikasjon av supraoccipitalbenet i hodeskallen ble observert ved 40 og 80 mg/kg/døgn. Maternal- og utviklings</w:t>
      </w:r>
      <w:r>
        <w:rPr>
          <w:sz w:val="22"/>
        </w:rPr>
        <w:noBreakHyphen/>
        <w:t>NOEL hos mus var 10 mg/kg/døgn (1,3 ganger klinisk eksponering).</w:t>
      </w:r>
    </w:p>
    <w:p w14:paraId="197E0C88" w14:textId="77777777" w:rsidR="004E65A9" w:rsidRPr="000B27C9" w:rsidRDefault="004E65A9" w:rsidP="003F09AA">
      <w:pPr>
        <w:pStyle w:val="C-BodyText"/>
        <w:spacing w:before="0" w:after="0" w:line="240" w:lineRule="auto"/>
        <w:rPr>
          <w:noProof/>
          <w:sz w:val="22"/>
          <w:szCs w:val="22"/>
        </w:rPr>
      </w:pPr>
    </w:p>
    <w:p w14:paraId="13B36B31" w14:textId="77777777" w:rsidR="004E65A9" w:rsidRPr="00BD1AD5" w:rsidRDefault="004E65A9" w:rsidP="003F09AA">
      <w:pPr>
        <w:rPr>
          <w:noProof/>
        </w:rPr>
      </w:pPr>
      <w:r>
        <w:t>I en embryoføtal utviklingstoksisitetsstudie hos aper medførte orale doser på 20, 50, 200 og 1 000 mg/kg/døgn en doserelatert økning i prenatalt tap (aborter) ved doser fra 50 mg/kg/døgn. Det ble ikke observert testsubstansrelaterte effekter på prenatalt tap ved 20 mg/kg/døgn (1,4 ganger klinisk eksponering).</w:t>
      </w:r>
    </w:p>
    <w:p w14:paraId="6523E99A" w14:textId="77777777" w:rsidR="004E65A9" w:rsidRPr="00BD1AD5" w:rsidRDefault="004E65A9" w:rsidP="003F09AA">
      <w:pPr>
        <w:rPr>
          <w:noProof/>
        </w:rPr>
      </w:pPr>
    </w:p>
    <w:p w14:paraId="2DC598A1" w14:textId="77777777" w:rsidR="004E65A9" w:rsidRPr="00BD1AD5" w:rsidRDefault="004E65A9" w:rsidP="003F09AA">
      <w:pPr>
        <w:keepNext/>
        <w:rPr>
          <w:u w:val="single"/>
        </w:rPr>
      </w:pPr>
      <w:r>
        <w:rPr>
          <w:u w:val="single"/>
        </w:rPr>
        <w:t>Pre- og postnatal utvikling</w:t>
      </w:r>
    </w:p>
    <w:p w14:paraId="107D309B" w14:textId="77777777" w:rsidR="004E65A9" w:rsidRPr="00BD1AD5" w:rsidRDefault="004E65A9" w:rsidP="003F09AA">
      <w:pPr>
        <w:keepNext/>
        <w:rPr>
          <w:noProof/>
        </w:rPr>
      </w:pPr>
    </w:p>
    <w:p w14:paraId="2DBE752A" w14:textId="77777777" w:rsidR="004E65A9" w:rsidRPr="00BD1AD5" w:rsidRDefault="004E65A9" w:rsidP="003F09AA">
      <w:pPr>
        <w:rPr>
          <w:noProof/>
        </w:rPr>
      </w:pPr>
      <w:r>
        <w:t>I en pre- og postnatalstudie ble apremilast administrert oralt til drektige hunnmus i doser på 10, 80 og 300 mg/kg/døgn fra drektighetsdag 6 til diegivingsdag 20. Redusert maternal kroppsvekt og redusert vektøkning samt et dødsfall relatert til problemer ved nedkomst ble observert ved 300 mg/kg/døgn. Fysiske tegn på maternal toksisitet relatert til nedkomst ble også observert hos to mus ved henholdsvis 80 og 300 mg/kg/døgn. Økt peri</w:t>
      </w:r>
      <w:r>
        <w:noBreakHyphen/>
        <w:t xml:space="preserve"> og postnatal død hos avkom og redusert kroppsvekt hos avkom den første diegivingsuken ble observert ved ≥ 80 mg/kg/døgn (≥ 4,0 ganger klinisk eksponering). Det var ingen apremilastrelaterte effekter på varighet av drektighet, antall drektige mus på slutten av drektighetsperioden, antall mus som fikk et kull eller utviklingseffekter hos avkom etter postnatal dag 7. Det er sannsynlig at utviklingseffekter hos avkom observert den første uken i postnatalperioden var knyttet til apremilastrelatert toksisitet (redusert vekt og levedyktighet hos avkom) og/eller mangel på maternal omsorg (høyere forekomst av avkom uten melk i magen). Alle utviklingseffekter ble observert den første uken i postnatalperioden, og det ble ikke sett apremilastrelaterte effekter i resten av perioden før og etter avvenning, inkludert seksuell modning, atferd, paring, fertilitet og uterusparametre. NOEL hos mus for maternal toksisitet og F1</w:t>
      </w:r>
      <w:r>
        <w:noBreakHyphen/>
        <w:t>generasjon var 10 mg/kg/døgn (1,3 ganger klinisk AUC).</w:t>
      </w:r>
    </w:p>
    <w:p w14:paraId="7EA19157" w14:textId="77777777" w:rsidR="004E65A9" w:rsidRPr="00BD1AD5" w:rsidRDefault="004E65A9" w:rsidP="003F09AA">
      <w:pPr>
        <w:rPr>
          <w:noProof/>
        </w:rPr>
      </w:pPr>
    </w:p>
    <w:p w14:paraId="1751A294" w14:textId="77777777" w:rsidR="004E65A9" w:rsidRPr="00BD1AD5" w:rsidRDefault="004E65A9" w:rsidP="003F09AA">
      <w:pPr>
        <w:keepNext/>
        <w:rPr>
          <w:u w:val="single"/>
        </w:rPr>
      </w:pPr>
      <w:r>
        <w:rPr>
          <w:u w:val="single"/>
        </w:rPr>
        <w:t>Karsinogenitetsstudier</w:t>
      </w:r>
    </w:p>
    <w:p w14:paraId="31D6D7DD" w14:textId="77777777" w:rsidR="004E65A9" w:rsidRPr="00BD1AD5" w:rsidRDefault="004E65A9" w:rsidP="003F09AA">
      <w:pPr>
        <w:keepNext/>
      </w:pPr>
    </w:p>
    <w:p w14:paraId="1A2419CC" w14:textId="77777777" w:rsidR="004E65A9" w:rsidRPr="00BD1AD5" w:rsidRDefault="004E65A9" w:rsidP="003F09AA">
      <w:r>
        <w:t>Karsinogenitetsstudier hos mus og rotter viste ingen holdepunkter for karsinogenitet relatert til behandling med apremilast.</w:t>
      </w:r>
    </w:p>
    <w:p w14:paraId="75FE58C9" w14:textId="77777777" w:rsidR="004E65A9" w:rsidRPr="000B27C9" w:rsidRDefault="004E65A9" w:rsidP="003F09AA">
      <w:pPr>
        <w:pStyle w:val="C-BodyText"/>
        <w:spacing w:before="0" w:after="0" w:line="240" w:lineRule="auto"/>
        <w:rPr>
          <w:sz w:val="22"/>
          <w:szCs w:val="22"/>
        </w:rPr>
      </w:pPr>
    </w:p>
    <w:p w14:paraId="39A10145" w14:textId="77777777" w:rsidR="004E65A9" w:rsidRPr="00BD1AD5" w:rsidRDefault="004E65A9" w:rsidP="003F09AA">
      <w:pPr>
        <w:keepNext/>
        <w:rPr>
          <w:u w:val="single"/>
        </w:rPr>
      </w:pPr>
      <w:r>
        <w:rPr>
          <w:u w:val="single"/>
        </w:rPr>
        <w:t>Gentoksisitetsstudier</w:t>
      </w:r>
    </w:p>
    <w:p w14:paraId="70BA7D6B" w14:textId="77777777" w:rsidR="004E65A9" w:rsidRPr="00BD1AD5" w:rsidRDefault="004E65A9" w:rsidP="003F09AA">
      <w:pPr>
        <w:keepNext/>
        <w:tabs>
          <w:tab w:val="clear" w:pos="567"/>
        </w:tabs>
        <w:autoSpaceDE w:val="0"/>
        <w:autoSpaceDN w:val="0"/>
        <w:adjustRightInd w:val="0"/>
        <w:rPr>
          <w:noProof/>
        </w:rPr>
      </w:pPr>
    </w:p>
    <w:p w14:paraId="3D6A6B68" w14:textId="77777777" w:rsidR="004E65A9" w:rsidRPr="00BD1AD5" w:rsidRDefault="004E65A9" w:rsidP="003F09AA">
      <w:pPr>
        <w:tabs>
          <w:tab w:val="clear" w:pos="567"/>
        </w:tabs>
        <w:autoSpaceDE w:val="0"/>
        <w:autoSpaceDN w:val="0"/>
        <w:adjustRightInd w:val="0"/>
        <w:rPr>
          <w:noProof/>
        </w:rPr>
      </w:pPr>
      <w:r>
        <w:t>Apremilast er ikke gentoksisk. Apremilast induserte ikke mutasjoner i Ames</w:t>
      </w:r>
      <w:r>
        <w:noBreakHyphen/>
        <w:t xml:space="preserve">test eller kromosomavvik i cellekulturer av humane perifere blodlymfocytter med eller uten metabolsk aktivering. Apremilast var ikke klastogent i en </w:t>
      </w:r>
      <w:r>
        <w:rPr>
          <w:i/>
        </w:rPr>
        <w:t>in vivo</w:t>
      </w:r>
      <w:r>
        <w:noBreakHyphen/>
        <w:t>test avmikrokjerner fra mus ved doser opptil 2000 mg/kg/døgn.</w:t>
      </w:r>
    </w:p>
    <w:p w14:paraId="36A7403C" w14:textId="77777777" w:rsidR="004E65A9" w:rsidRPr="00BD1AD5" w:rsidRDefault="004E65A9" w:rsidP="003F09AA">
      <w:pPr>
        <w:rPr>
          <w:noProof/>
        </w:rPr>
      </w:pPr>
    </w:p>
    <w:p w14:paraId="49581444" w14:textId="77777777" w:rsidR="004E65A9" w:rsidRPr="00BD1AD5" w:rsidRDefault="004E65A9" w:rsidP="003F09AA">
      <w:pPr>
        <w:keepNext/>
        <w:rPr>
          <w:u w:val="single"/>
        </w:rPr>
      </w:pPr>
      <w:r>
        <w:rPr>
          <w:u w:val="single"/>
        </w:rPr>
        <w:lastRenderedPageBreak/>
        <w:t>Andre studier</w:t>
      </w:r>
    </w:p>
    <w:p w14:paraId="530E3FB5" w14:textId="77777777" w:rsidR="004E65A9" w:rsidRPr="00BD1AD5" w:rsidRDefault="004E65A9" w:rsidP="003F09AA">
      <w:pPr>
        <w:keepNext/>
        <w:rPr>
          <w:noProof/>
        </w:rPr>
      </w:pPr>
    </w:p>
    <w:p w14:paraId="64AED5C6" w14:textId="77777777" w:rsidR="004E65A9" w:rsidRPr="00BD1AD5" w:rsidRDefault="004E65A9" w:rsidP="003F09AA">
      <w:pPr>
        <w:widowControl w:val="0"/>
        <w:rPr>
          <w:noProof/>
        </w:rPr>
      </w:pPr>
      <w:r>
        <w:t>Det er ingen holdepunkter for et immuntoksisk, hudirritasjons- eller fototoksisk potensial.</w:t>
      </w:r>
    </w:p>
    <w:p w14:paraId="224BF0A9" w14:textId="77777777" w:rsidR="004E65A9" w:rsidRPr="00BD1AD5" w:rsidRDefault="004E65A9" w:rsidP="003F09AA">
      <w:pPr>
        <w:rPr>
          <w:noProof/>
        </w:rPr>
      </w:pPr>
    </w:p>
    <w:p w14:paraId="565C542B" w14:textId="77777777" w:rsidR="004E65A9" w:rsidRPr="00BD1AD5" w:rsidRDefault="004E65A9" w:rsidP="003F09AA">
      <w:pPr>
        <w:rPr>
          <w:noProof/>
        </w:rPr>
      </w:pPr>
    </w:p>
    <w:p w14:paraId="2F15C81E" w14:textId="77777777" w:rsidR="004E65A9" w:rsidRPr="00BD1AD5" w:rsidRDefault="004E65A9" w:rsidP="003F09AA">
      <w:pPr>
        <w:pStyle w:val="StyleHeadings"/>
      </w:pPr>
      <w:r>
        <w:t>6.</w:t>
      </w:r>
      <w:r>
        <w:tab/>
        <w:t>FARMASØYTISKE OPPLYSNINGER</w:t>
      </w:r>
    </w:p>
    <w:p w14:paraId="71AB0036" w14:textId="77777777" w:rsidR="004E65A9" w:rsidRPr="00BD1AD5" w:rsidRDefault="004E65A9" w:rsidP="003F09AA">
      <w:pPr>
        <w:keepNext/>
        <w:rPr>
          <w:noProof/>
        </w:rPr>
      </w:pPr>
    </w:p>
    <w:p w14:paraId="4834053D" w14:textId="77777777" w:rsidR="004E65A9" w:rsidRPr="00BD1AD5" w:rsidRDefault="004E65A9" w:rsidP="003F09AA">
      <w:pPr>
        <w:keepNext/>
        <w:ind w:left="567" w:hanging="567"/>
        <w:outlineLvl w:val="0"/>
        <w:rPr>
          <w:noProof/>
        </w:rPr>
      </w:pPr>
      <w:r>
        <w:rPr>
          <w:b/>
        </w:rPr>
        <w:t>6.1</w:t>
      </w:r>
      <w:r>
        <w:rPr>
          <w:b/>
        </w:rPr>
        <w:tab/>
        <w:t>Hjelpestoffer</w:t>
      </w:r>
    </w:p>
    <w:p w14:paraId="0EB9C51D" w14:textId="77777777" w:rsidR="004E65A9" w:rsidRPr="00BD1AD5" w:rsidRDefault="004E65A9" w:rsidP="003F09AA">
      <w:pPr>
        <w:keepNext/>
        <w:rPr>
          <w:i/>
          <w:noProof/>
        </w:rPr>
      </w:pPr>
    </w:p>
    <w:p w14:paraId="07CB95BF" w14:textId="77777777" w:rsidR="004E65A9" w:rsidRPr="00BD1AD5" w:rsidRDefault="004E65A9" w:rsidP="003F09AA">
      <w:pPr>
        <w:keepNext/>
        <w:rPr>
          <w:noProof/>
          <w:u w:val="single"/>
        </w:rPr>
      </w:pPr>
      <w:r>
        <w:rPr>
          <w:u w:val="single"/>
        </w:rPr>
        <w:t>Tablettkjerne</w:t>
      </w:r>
    </w:p>
    <w:p w14:paraId="283C7A4F" w14:textId="77777777" w:rsidR="004E65A9" w:rsidRPr="00BD1AD5" w:rsidRDefault="004E65A9" w:rsidP="003F09AA">
      <w:pPr>
        <w:keepNext/>
        <w:rPr>
          <w:noProof/>
        </w:rPr>
      </w:pPr>
    </w:p>
    <w:p w14:paraId="332CEBD6" w14:textId="77777777" w:rsidR="004E65A9" w:rsidRPr="00BD1AD5" w:rsidRDefault="004E65A9" w:rsidP="003F09AA">
      <w:pPr>
        <w:keepNext/>
        <w:rPr>
          <w:noProof/>
        </w:rPr>
      </w:pPr>
      <w:r>
        <w:t>Cellulose, mikrokrystallinsk</w:t>
      </w:r>
    </w:p>
    <w:p w14:paraId="5D6040FD" w14:textId="77777777" w:rsidR="004E65A9" w:rsidRPr="00BD1AD5" w:rsidRDefault="004E65A9" w:rsidP="003F09AA">
      <w:pPr>
        <w:rPr>
          <w:noProof/>
        </w:rPr>
      </w:pPr>
      <w:r>
        <w:t>Laktosemonohydrat</w:t>
      </w:r>
    </w:p>
    <w:p w14:paraId="50AA185B" w14:textId="77777777" w:rsidR="004E65A9" w:rsidRPr="00BD1AD5" w:rsidRDefault="004E65A9" w:rsidP="003F09AA">
      <w:pPr>
        <w:keepNext/>
        <w:rPr>
          <w:noProof/>
        </w:rPr>
      </w:pPr>
      <w:r>
        <w:t>Krysskarmellosenatrium</w:t>
      </w:r>
    </w:p>
    <w:p w14:paraId="28752ADC" w14:textId="77777777" w:rsidR="004E65A9" w:rsidRPr="00BD1AD5" w:rsidRDefault="004E65A9" w:rsidP="003F09AA">
      <w:pPr>
        <w:rPr>
          <w:noProof/>
          <w:u w:val="single"/>
        </w:rPr>
      </w:pPr>
      <w:r>
        <w:t>Magnesiumstearat</w:t>
      </w:r>
    </w:p>
    <w:p w14:paraId="31F9FE8F" w14:textId="77777777" w:rsidR="004E65A9" w:rsidRPr="00BD1AD5" w:rsidRDefault="004E65A9" w:rsidP="003F09AA">
      <w:pPr>
        <w:rPr>
          <w:noProof/>
        </w:rPr>
      </w:pPr>
    </w:p>
    <w:p w14:paraId="5EA7761C" w14:textId="77777777" w:rsidR="004E65A9" w:rsidRPr="00BD1AD5" w:rsidRDefault="004E65A9" w:rsidP="003F09AA">
      <w:pPr>
        <w:keepNext/>
        <w:rPr>
          <w:noProof/>
          <w:u w:val="single"/>
        </w:rPr>
      </w:pPr>
      <w:r>
        <w:rPr>
          <w:u w:val="single"/>
        </w:rPr>
        <w:t>Filmdrasjering</w:t>
      </w:r>
    </w:p>
    <w:p w14:paraId="596AF8EC" w14:textId="77777777" w:rsidR="004E65A9" w:rsidRPr="00BD1AD5" w:rsidRDefault="004E65A9" w:rsidP="003F09AA">
      <w:pPr>
        <w:keepNext/>
        <w:rPr>
          <w:noProof/>
        </w:rPr>
      </w:pPr>
    </w:p>
    <w:p w14:paraId="77DC4D06" w14:textId="77777777" w:rsidR="004E65A9" w:rsidRPr="00BD1AD5" w:rsidRDefault="004E65A9" w:rsidP="003F09AA">
      <w:pPr>
        <w:keepNext/>
        <w:rPr>
          <w:bCs/>
        </w:rPr>
      </w:pPr>
      <w:r>
        <w:t>Poly (vinylalkohol)</w:t>
      </w:r>
    </w:p>
    <w:p w14:paraId="5983D078" w14:textId="77777777" w:rsidR="004E65A9" w:rsidRPr="00BD1AD5" w:rsidRDefault="004E65A9" w:rsidP="003F09AA">
      <w:pPr>
        <w:rPr>
          <w:bCs/>
        </w:rPr>
      </w:pPr>
      <w:r>
        <w:t>Titandioksid (E171)</w:t>
      </w:r>
    </w:p>
    <w:p w14:paraId="30E17E03" w14:textId="77777777" w:rsidR="004E65A9" w:rsidRPr="00BD1AD5" w:rsidRDefault="004E65A9" w:rsidP="003F09AA">
      <w:pPr>
        <w:rPr>
          <w:bCs/>
        </w:rPr>
      </w:pPr>
      <w:r>
        <w:t>Makrogol (3350)</w:t>
      </w:r>
    </w:p>
    <w:p w14:paraId="55ABFA94" w14:textId="77777777" w:rsidR="004E65A9" w:rsidRPr="00BD1AD5" w:rsidRDefault="004E65A9" w:rsidP="003F09AA">
      <w:pPr>
        <w:keepNext/>
        <w:rPr>
          <w:bCs/>
        </w:rPr>
      </w:pPr>
      <w:r>
        <w:t>Talkum</w:t>
      </w:r>
    </w:p>
    <w:p w14:paraId="41B8D02A" w14:textId="77777777" w:rsidR="004E65A9" w:rsidRPr="00BD1AD5" w:rsidRDefault="004E65A9" w:rsidP="003F09AA">
      <w:pPr>
        <w:rPr>
          <w:bCs/>
        </w:rPr>
      </w:pPr>
      <w:r>
        <w:t>Jernoksid, rødt (E172)</w:t>
      </w:r>
    </w:p>
    <w:p w14:paraId="6A16B146" w14:textId="77777777" w:rsidR="004E65A9" w:rsidRPr="00BD1AD5" w:rsidRDefault="004E65A9" w:rsidP="003F09AA">
      <w:pPr>
        <w:rPr>
          <w:noProof/>
          <w:u w:val="single"/>
        </w:rPr>
      </w:pPr>
    </w:p>
    <w:p w14:paraId="039BB85A" w14:textId="77777777" w:rsidR="004E65A9" w:rsidRPr="00BD1AD5" w:rsidRDefault="004E65A9" w:rsidP="003F09AA">
      <w:pPr>
        <w:tabs>
          <w:tab w:val="clear" w:pos="567"/>
          <w:tab w:val="left" w:pos="0"/>
        </w:tabs>
        <w:rPr>
          <w:noProof/>
        </w:rPr>
      </w:pPr>
      <w:r>
        <w:t>20 mg tabletter inneholder også jernoksid, gult (E172).</w:t>
      </w:r>
    </w:p>
    <w:p w14:paraId="07FC1A15" w14:textId="77777777" w:rsidR="004E65A9" w:rsidRPr="00BD1AD5" w:rsidRDefault="004E65A9" w:rsidP="003F09AA">
      <w:pPr>
        <w:rPr>
          <w:bCs/>
        </w:rPr>
      </w:pPr>
    </w:p>
    <w:p w14:paraId="6D8152BF" w14:textId="77777777" w:rsidR="004E65A9" w:rsidRPr="00BD1AD5" w:rsidRDefault="004E65A9" w:rsidP="003F09AA">
      <w:pPr>
        <w:tabs>
          <w:tab w:val="clear" w:pos="567"/>
          <w:tab w:val="left" w:pos="0"/>
        </w:tabs>
        <w:ind w:right="-2"/>
        <w:rPr>
          <w:noProof/>
        </w:rPr>
      </w:pPr>
      <w:r>
        <w:t>30 mg tabletter inneholder også jernoksid, gult (E172) og jernoksid, svart (E172).</w:t>
      </w:r>
    </w:p>
    <w:p w14:paraId="15504F4B" w14:textId="77777777" w:rsidR="004E65A9" w:rsidRPr="00BD1AD5" w:rsidRDefault="004E65A9" w:rsidP="003F09AA"/>
    <w:p w14:paraId="44FEA4EC" w14:textId="77777777" w:rsidR="004E65A9" w:rsidRPr="00BD1AD5" w:rsidRDefault="004E65A9" w:rsidP="003F09AA">
      <w:pPr>
        <w:keepNext/>
        <w:ind w:left="567" w:hanging="567"/>
        <w:outlineLvl w:val="0"/>
        <w:rPr>
          <w:noProof/>
        </w:rPr>
      </w:pPr>
      <w:r>
        <w:rPr>
          <w:b/>
        </w:rPr>
        <w:t>6.2</w:t>
      </w:r>
      <w:r>
        <w:rPr>
          <w:b/>
        </w:rPr>
        <w:tab/>
        <w:t>Uforlikeligheter</w:t>
      </w:r>
    </w:p>
    <w:p w14:paraId="7809BFCE" w14:textId="77777777" w:rsidR="004E65A9" w:rsidRPr="00BD1AD5" w:rsidRDefault="004E65A9" w:rsidP="003F09AA">
      <w:pPr>
        <w:keepNext/>
        <w:rPr>
          <w:noProof/>
        </w:rPr>
      </w:pPr>
    </w:p>
    <w:p w14:paraId="29104C61" w14:textId="77777777" w:rsidR="004E65A9" w:rsidRPr="00BD1AD5" w:rsidRDefault="004E65A9" w:rsidP="003F09AA">
      <w:pPr>
        <w:rPr>
          <w:noProof/>
        </w:rPr>
      </w:pPr>
      <w:r>
        <w:t>Ikke relevant.</w:t>
      </w:r>
    </w:p>
    <w:p w14:paraId="714EF988" w14:textId="77777777" w:rsidR="004E65A9" w:rsidRPr="00BD1AD5" w:rsidRDefault="004E65A9" w:rsidP="003F09AA">
      <w:pPr>
        <w:rPr>
          <w:noProof/>
        </w:rPr>
      </w:pPr>
    </w:p>
    <w:p w14:paraId="7DC7BD81" w14:textId="77777777" w:rsidR="004E65A9" w:rsidRPr="00BD1AD5" w:rsidRDefault="004E65A9" w:rsidP="003F09AA">
      <w:pPr>
        <w:keepNext/>
        <w:ind w:left="567" w:hanging="567"/>
        <w:outlineLvl w:val="0"/>
        <w:rPr>
          <w:b/>
          <w:noProof/>
        </w:rPr>
      </w:pPr>
      <w:r>
        <w:rPr>
          <w:b/>
        </w:rPr>
        <w:t>6.3</w:t>
      </w:r>
      <w:r>
        <w:rPr>
          <w:b/>
        </w:rPr>
        <w:tab/>
        <w:t>Holdbarhet</w:t>
      </w:r>
    </w:p>
    <w:p w14:paraId="72BDFBAA" w14:textId="77777777" w:rsidR="004E65A9" w:rsidRPr="00BD1AD5" w:rsidRDefault="004E65A9" w:rsidP="003F09AA">
      <w:pPr>
        <w:keepNext/>
      </w:pPr>
    </w:p>
    <w:p w14:paraId="7D6CA80F" w14:textId="77777777" w:rsidR="004E65A9" w:rsidRPr="00BD1AD5" w:rsidRDefault="004E65A9" w:rsidP="003F09AA">
      <w:pPr>
        <w:rPr>
          <w:noProof/>
        </w:rPr>
      </w:pPr>
      <w:r>
        <w:t>3 år.</w:t>
      </w:r>
    </w:p>
    <w:p w14:paraId="4C7838AA" w14:textId="77777777" w:rsidR="004E65A9" w:rsidRPr="00BD1AD5" w:rsidRDefault="004E65A9" w:rsidP="003F09AA"/>
    <w:p w14:paraId="3B22BD48" w14:textId="77777777" w:rsidR="004E65A9" w:rsidRPr="00BD1AD5" w:rsidRDefault="004E65A9" w:rsidP="003F09AA">
      <w:pPr>
        <w:keepNext/>
        <w:ind w:left="567" w:hanging="567"/>
        <w:outlineLvl w:val="0"/>
        <w:rPr>
          <w:b/>
          <w:noProof/>
        </w:rPr>
      </w:pPr>
      <w:r>
        <w:rPr>
          <w:b/>
        </w:rPr>
        <w:t>6.4</w:t>
      </w:r>
      <w:r>
        <w:rPr>
          <w:b/>
        </w:rPr>
        <w:tab/>
        <w:t>Oppbevaringsbetingelser</w:t>
      </w:r>
    </w:p>
    <w:p w14:paraId="3EC43FBC" w14:textId="77777777" w:rsidR="004E65A9" w:rsidRPr="00BD1AD5" w:rsidRDefault="004E65A9" w:rsidP="003F09AA">
      <w:pPr>
        <w:keepNext/>
      </w:pPr>
    </w:p>
    <w:p w14:paraId="09CDDB34" w14:textId="77777777" w:rsidR="004E65A9" w:rsidRPr="00BD1AD5" w:rsidRDefault="004E65A9" w:rsidP="003F09AA">
      <w:pPr>
        <w:rPr>
          <w:noProof/>
        </w:rPr>
      </w:pPr>
      <w:r>
        <w:t>Oppbevares ved høyst 30 °C.</w:t>
      </w:r>
    </w:p>
    <w:p w14:paraId="395F0D71" w14:textId="77777777" w:rsidR="004E65A9" w:rsidRPr="00BD1AD5" w:rsidRDefault="004E65A9" w:rsidP="003F09AA">
      <w:pPr>
        <w:rPr>
          <w:noProof/>
        </w:rPr>
      </w:pPr>
    </w:p>
    <w:p w14:paraId="0E9380B2" w14:textId="77777777" w:rsidR="004E65A9" w:rsidRPr="00BD1AD5" w:rsidRDefault="004E65A9" w:rsidP="003F09AA">
      <w:pPr>
        <w:keepNext/>
        <w:ind w:left="567" w:hanging="567"/>
        <w:outlineLvl w:val="0"/>
        <w:rPr>
          <w:b/>
          <w:noProof/>
        </w:rPr>
      </w:pPr>
      <w:r>
        <w:rPr>
          <w:b/>
        </w:rPr>
        <w:t>6.5</w:t>
      </w:r>
      <w:r>
        <w:rPr>
          <w:b/>
        </w:rPr>
        <w:tab/>
        <w:t>Emballasje (type og innhold)</w:t>
      </w:r>
    </w:p>
    <w:p w14:paraId="4BBCDB92" w14:textId="77777777" w:rsidR="004E65A9" w:rsidRPr="00BD1AD5" w:rsidRDefault="004E65A9" w:rsidP="003F09AA">
      <w:pPr>
        <w:keepNext/>
        <w:rPr>
          <w:rFonts w:eastAsia="MS Gothic"/>
          <w:lang w:eastAsia="zh-CN"/>
        </w:rPr>
      </w:pPr>
    </w:p>
    <w:p w14:paraId="27403EA4" w14:textId="77777777" w:rsidR="004E65A9" w:rsidRPr="00183D87" w:rsidRDefault="004E65A9" w:rsidP="003F09AA">
      <w:pPr>
        <w:keepNext/>
        <w:rPr>
          <w:noProof/>
          <w:u w:val="single"/>
        </w:rPr>
      </w:pPr>
      <w:r>
        <w:rPr>
          <w:u w:val="single"/>
        </w:rPr>
        <w:t>Otezla startpakninger</w:t>
      </w:r>
    </w:p>
    <w:p w14:paraId="66AFE1CF" w14:textId="77777777" w:rsidR="004E65A9" w:rsidRDefault="004E65A9" w:rsidP="003F09AA">
      <w:pPr>
        <w:rPr>
          <w:noProof/>
          <w:u w:val="single"/>
        </w:rPr>
      </w:pPr>
      <w:bookmarkStart w:id="12" w:name="_Hlk175754738"/>
    </w:p>
    <w:p w14:paraId="04769FF0" w14:textId="77777777" w:rsidR="004E65A9" w:rsidRPr="00BD1AD5" w:rsidRDefault="004E65A9" w:rsidP="003F09AA">
      <w:pPr>
        <w:widowControl w:val="0"/>
        <w:rPr>
          <w:noProof/>
          <w:u w:val="single"/>
        </w:rPr>
      </w:pPr>
      <w:r>
        <w:t>Blisterpakninger av PVC/aluminiumfolie inneholdende 27 filmdrasjerte tabletter (4 × 10 mg, 23 × 20 mg).</w:t>
      </w:r>
      <w:bookmarkEnd w:id="12"/>
    </w:p>
    <w:p w14:paraId="55E27694" w14:textId="77777777" w:rsidR="004E65A9" w:rsidRPr="00BD1AD5" w:rsidRDefault="004E65A9" w:rsidP="003F09AA">
      <w:pPr>
        <w:rPr>
          <w:noProof/>
        </w:rPr>
      </w:pPr>
      <w:r>
        <w:t>Blisterpakninger av PVC/aluminiumfolie inneholdende 27 filmdrasjerte tabletter (4 × 10 mg, 4 × 20 mg, 19 × 30 mg).</w:t>
      </w:r>
    </w:p>
    <w:p w14:paraId="6BEBF50A" w14:textId="77777777" w:rsidR="004E65A9" w:rsidRDefault="004E65A9" w:rsidP="003F09AA">
      <w:pPr>
        <w:widowControl w:val="0"/>
        <w:rPr>
          <w:noProof/>
        </w:rPr>
      </w:pPr>
    </w:p>
    <w:p w14:paraId="56246257" w14:textId="77777777" w:rsidR="004E65A9" w:rsidRPr="00104611" w:rsidRDefault="004E65A9" w:rsidP="003F09AA">
      <w:pPr>
        <w:pStyle w:val="Styleunderline"/>
        <w:keepNext/>
      </w:pPr>
      <w:r>
        <w:t>Otezla 20 mg pakninger</w:t>
      </w:r>
    </w:p>
    <w:p w14:paraId="4CDD780D" w14:textId="77777777" w:rsidR="004E65A9" w:rsidRPr="00A0447C" w:rsidRDefault="004E65A9" w:rsidP="003F09AA">
      <w:pPr>
        <w:keepNext/>
        <w:widowControl w:val="0"/>
        <w:rPr>
          <w:noProof/>
        </w:rPr>
      </w:pPr>
    </w:p>
    <w:p w14:paraId="67535965" w14:textId="77777777" w:rsidR="004E65A9" w:rsidRPr="00A0447C" w:rsidRDefault="004E65A9" w:rsidP="003F09AA">
      <w:pPr>
        <w:widowControl w:val="0"/>
        <w:rPr>
          <w:noProof/>
        </w:rPr>
      </w:pPr>
      <w:r>
        <w:t>Blisterpakninger av PVC/aluminiumfolie inneholdende 14 filmdrasjerte tabletter, i pakningsstørrelser på 56 tabletter.</w:t>
      </w:r>
    </w:p>
    <w:p w14:paraId="03996D42" w14:textId="77777777" w:rsidR="004E65A9" w:rsidRPr="00BD1AD5" w:rsidRDefault="004E65A9" w:rsidP="003F09AA">
      <w:pPr>
        <w:rPr>
          <w:rFonts w:eastAsia="MS Gothic"/>
          <w:lang w:eastAsia="zh-CN"/>
        </w:rPr>
      </w:pPr>
    </w:p>
    <w:p w14:paraId="3001303B" w14:textId="77777777" w:rsidR="004E65A9" w:rsidRPr="00BD1AD5" w:rsidRDefault="004E65A9" w:rsidP="003F09AA">
      <w:pPr>
        <w:keepNext/>
        <w:rPr>
          <w:noProof/>
          <w:u w:val="single"/>
        </w:rPr>
      </w:pPr>
      <w:r>
        <w:rPr>
          <w:u w:val="single"/>
        </w:rPr>
        <w:lastRenderedPageBreak/>
        <w:t>Otezla 30 mg pakninger</w:t>
      </w:r>
    </w:p>
    <w:p w14:paraId="38A40434" w14:textId="77777777" w:rsidR="004E65A9" w:rsidRPr="00BD1AD5" w:rsidRDefault="004E65A9" w:rsidP="003F09AA">
      <w:pPr>
        <w:keepNext/>
        <w:rPr>
          <w:noProof/>
          <w:u w:val="single"/>
        </w:rPr>
      </w:pPr>
    </w:p>
    <w:p w14:paraId="0741FE49" w14:textId="77777777" w:rsidR="004E65A9" w:rsidRPr="00BD1AD5" w:rsidRDefault="004E65A9" w:rsidP="003F09AA">
      <w:pPr>
        <w:rPr>
          <w:rFonts w:eastAsia="MS Gothic"/>
        </w:rPr>
      </w:pPr>
      <w:r>
        <w:t>Blisterpakninger av PVC/aluminiumfolie inneholdende 14 filmdrasjerte tabletter, i pakningsstørrelser på 56 tabletter og 168 tabletter.</w:t>
      </w:r>
    </w:p>
    <w:p w14:paraId="09C4DD43" w14:textId="77777777" w:rsidR="004E65A9" w:rsidRPr="00BD1AD5" w:rsidRDefault="004E65A9" w:rsidP="003F09AA">
      <w:pPr>
        <w:rPr>
          <w:noProof/>
        </w:rPr>
      </w:pPr>
    </w:p>
    <w:p w14:paraId="6069034B" w14:textId="77777777" w:rsidR="004E65A9" w:rsidRPr="00BD1AD5" w:rsidRDefault="004E65A9" w:rsidP="003F09AA">
      <w:pPr>
        <w:rPr>
          <w:noProof/>
        </w:rPr>
      </w:pPr>
      <w:r>
        <w:t>Ikke alle pakningsstørrelser vil nødvendigvis bli markedsført.</w:t>
      </w:r>
    </w:p>
    <w:p w14:paraId="37B037AD" w14:textId="77777777" w:rsidR="004E65A9" w:rsidRPr="00BD1AD5" w:rsidRDefault="004E65A9" w:rsidP="003F09AA">
      <w:pPr>
        <w:rPr>
          <w:noProof/>
        </w:rPr>
      </w:pPr>
    </w:p>
    <w:p w14:paraId="7E54C31B" w14:textId="77777777" w:rsidR="004E65A9" w:rsidRPr="00BD1AD5" w:rsidRDefault="004E65A9" w:rsidP="003F09AA">
      <w:pPr>
        <w:keepNext/>
        <w:ind w:left="567" w:hanging="567"/>
        <w:outlineLvl w:val="0"/>
        <w:rPr>
          <w:b/>
          <w:noProof/>
        </w:rPr>
      </w:pPr>
      <w:r>
        <w:rPr>
          <w:b/>
        </w:rPr>
        <w:t>6.6</w:t>
      </w:r>
      <w:r>
        <w:rPr>
          <w:b/>
        </w:rPr>
        <w:tab/>
        <w:t>Spesielle forholdsregler for destruksjon</w:t>
      </w:r>
    </w:p>
    <w:p w14:paraId="14CDEC28" w14:textId="77777777" w:rsidR="004E65A9" w:rsidRPr="00BD1AD5" w:rsidRDefault="004E65A9" w:rsidP="003F09AA">
      <w:pPr>
        <w:keepNext/>
      </w:pPr>
    </w:p>
    <w:p w14:paraId="3AE96C0F" w14:textId="77777777" w:rsidR="004E65A9" w:rsidRPr="00BD1AD5" w:rsidRDefault="004E65A9" w:rsidP="003F09AA">
      <w:r>
        <w:t>Ikke anvendt legemiddel samt avfall bør destrueres i overensstemmelse med lokale krav.</w:t>
      </w:r>
    </w:p>
    <w:p w14:paraId="27E357C3" w14:textId="77777777" w:rsidR="004E65A9" w:rsidRPr="00BD1AD5" w:rsidRDefault="004E65A9" w:rsidP="003F09AA">
      <w:pPr>
        <w:rPr>
          <w:noProof/>
        </w:rPr>
      </w:pPr>
    </w:p>
    <w:p w14:paraId="57AAA549" w14:textId="77777777" w:rsidR="004E65A9" w:rsidRPr="00BD1AD5" w:rsidRDefault="004E65A9" w:rsidP="003F09AA">
      <w:pPr>
        <w:rPr>
          <w:noProof/>
        </w:rPr>
      </w:pPr>
    </w:p>
    <w:p w14:paraId="4893CC5E" w14:textId="77777777" w:rsidR="004E65A9" w:rsidRPr="00BD1AD5" w:rsidRDefault="004E65A9" w:rsidP="003F09AA">
      <w:pPr>
        <w:pStyle w:val="Heading1"/>
        <w:ind w:left="567" w:hanging="567"/>
      </w:pPr>
      <w:r>
        <w:t>7.</w:t>
      </w:r>
      <w:r>
        <w:tab/>
        <w:t>INNEHAVER AV MARKEDSFØRINGSTILLATELSEN</w:t>
      </w:r>
    </w:p>
    <w:p w14:paraId="69140CBC" w14:textId="77777777" w:rsidR="004E65A9" w:rsidRPr="00BD1AD5" w:rsidRDefault="004E65A9" w:rsidP="003F09AA">
      <w:pPr>
        <w:keepNext/>
        <w:rPr>
          <w:noProof/>
        </w:rPr>
      </w:pPr>
    </w:p>
    <w:p w14:paraId="4139794A" w14:textId="77777777" w:rsidR="004E65A9" w:rsidRPr="00002BC9" w:rsidRDefault="004E65A9" w:rsidP="003F09AA">
      <w:pPr>
        <w:keepNext/>
        <w:ind w:right="-1"/>
      </w:pPr>
      <w:r w:rsidRPr="00002BC9">
        <w:t>Amgen Europe B.V.</w:t>
      </w:r>
    </w:p>
    <w:p w14:paraId="54EEE26D" w14:textId="77777777" w:rsidR="004E65A9" w:rsidRPr="00002BC9" w:rsidRDefault="004E65A9" w:rsidP="003F09AA">
      <w:pPr>
        <w:keepNext/>
        <w:ind w:right="-1"/>
      </w:pPr>
      <w:r w:rsidRPr="00002BC9">
        <w:t>Minervum 7061</w:t>
      </w:r>
    </w:p>
    <w:p w14:paraId="6B714191" w14:textId="77777777" w:rsidR="004E65A9" w:rsidRPr="00BD1AD5" w:rsidRDefault="004E65A9" w:rsidP="003F09AA">
      <w:pPr>
        <w:keepNext/>
        <w:ind w:right="-1"/>
      </w:pPr>
      <w:r>
        <w:t>4817 ZK Breda</w:t>
      </w:r>
    </w:p>
    <w:p w14:paraId="72ED4CF0" w14:textId="77777777" w:rsidR="004E65A9" w:rsidRPr="00BD1AD5" w:rsidRDefault="004E65A9" w:rsidP="003F09AA">
      <w:pPr>
        <w:tabs>
          <w:tab w:val="clear" w:pos="567"/>
        </w:tabs>
      </w:pPr>
      <w:r>
        <w:t>Nederland</w:t>
      </w:r>
    </w:p>
    <w:p w14:paraId="14AD775F" w14:textId="77777777" w:rsidR="004E65A9" w:rsidRPr="00BD1AD5" w:rsidRDefault="004E65A9" w:rsidP="003F09AA">
      <w:pPr>
        <w:rPr>
          <w:noProof/>
        </w:rPr>
      </w:pPr>
    </w:p>
    <w:p w14:paraId="5DC92571" w14:textId="77777777" w:rsidR="004E65A9" w:rsidRPr="00BD1AD5" w:rsidRDefault="004E65A9" w:rsidP="003F09AA">
      <w:pPr>
        <w:rPr>
          <w:noProof/>
        </w:rPr>
      </w:pPr>
    </w:p>
    <w:p w14:paraId="08AE4728" w14:textId="77777777" w:rsidR="004E65A9" w:rsidRPr="00BD1AD5" w:rsidRDefault="004E65A9" w:rsidP="003F09AA">
      <w:pPr>
        <w:pStyle w:val="Heading1"/>
      </w:pPr>
      <w:r>
        <w:t>8.</w:t>
      </w:r>
      <w:r>
        <w:tab/>
        <w:t>MARKEDSFØRINGSTILLATELSESNUMMER (NUMRE)</w:t>
      </w:r>
    </w:p>
    <w:p w14:paraId="20EC7A9D" w14:textId="77777777" w:rsidR="004E65A9" w:rsidRPr="00BD1AD5" w:rsidRDefault="004E65A9" w:rsidP="003F09AA">
      <w:pPr>
        <w:keepNext/>
        <w:rPr>
          <w:noProof/>
        </w:rPr>
      </w:pPr>
    </w:p>
    <w:p w14:paraId="2B288B8A" w14:textId="77777777" w:rsidR="004E65A9" w:rsidRPr="00104611" w:rsidRDefault="004E65A9" w:rsidP="003F09AA">
      <w:pPr>
        <w:pStyle w:val="Styleunderline"/>
        <w:keepNext/>
      </w:pPr>
      <w:r>
        <w:t>Otezla 10 mg, 20 mg tabletter, filmdrasjerte (startpakning)</w:t>
      </w:r>
    </w:p>
    <w:p w14:paraId="4D7DF0F1" w14:textId="77777777" w:rsidR="004E65A9" w:rsidRPr="001C2019" w:rsidRDefault="004E65A9" w:rsidP="003F09AA">
      <w:pPr>
        <w:keepNext/>
        <w:rPr>
          <w:noProof/>
          <w:u w:val="single"/>
        </w:rPr>
      </w:pPr>
    </w:p>
    <w:p w14:paraId="73913626" w14:textId="77777777" w:rsidR="004E65A9" w:rsidRPr="00394DF8" w:rsidRDefault="004E65A9" w:rsidP="003F09AA">
      <w:pPr>
        <w:keepNext/>
        <w:rPr>
          <w:noProof/>
        </w:rPr>
      </w:pPr>
      <w:r>
        <w:t>EU/1/14/981/004</w:t>
      </w:r>
    </w:p>
    <w:p w14:paraId="24D73F86" w14:textId="77777777" w:rsidR="004E65A9" w:rsidRDefault="004E65A9" w:rsidP="003F09AA">
      <w:pPr>
        <w:keepNext/>
        <w:rPr>
          <w:noProof/>
          <w:u w:val="single"/>
        </w:rPr>
      </w:pPr>
    </w:p>
    <w:p w14:paraId="70ACCAEC" w14:textId="77777777" w:rsidR="004E65A9" w:rsidRPr="00BD1AD5" w:rsidRDefault="004E65A9" w:rsidP="003F09AA">
      <w:pPr>
        <w:keepNext/>
        <w:rPr>
          <w:noProof/>
          <w:u w:val="single"/>
        </w:rPr>
      </w:pPr>
      <w:r>
        <w:rPr>
          <w:u w:val="single"/>
        </w:rPr>
        <w:t>Otezla 10 mg, 20 mg, 30 mg tabletter, filmdrasjerte (startpakning)</w:t>
      </w:r>
    </w:p>
    <w:p w14:paraId="2FF1B85F" w14:textId="77777777" w:rsidR="004E65A9" w:rsidRPr="00BD1AD5" w:rsidRDefault="004E65A9" w:rsidP="003F09AA">
      <w:pPr>
        <w:keepNext/>
        <w:rPr>
          <w:noProof/>
          <w:u w:val="single"/>
        </w:rPr>
      </w:pPr>
    </w:p>
    <w:p w14:paraId="673AD912" w14:textId="77777777" w:rsidR="004E65A9" w:rsidRDefault="004E65A9" w:rsidP="003F09AA">
      <w:pPr>
        <w:keepNext/>
        <w:rPr>
          <w:noProof/>
        </w:rPr>
      </w:pPr>
      <w:r>
        <w:t>EU/1/14/981/001</w:t>
      </w:r>
    </w:p>
    <w:p w14:paraId="57A66918" w14:textId="77777777" w:rsidR="004E65A9" w:rsidRDefault="004E65A9" w:rsidP="003F09AA">
      <w:pPr>
        <w:keepNext/>
        <w:rPr>
          <w:noProof/>
        </w:rPr>
      </w:pPr>
    </w:p>
    <w:p w14:paraId="261AAA97" w14:textId="77777777" w:rsidR="004E65A9" w:rsidRPr="00104611" w:rsidRDefault="004E65A9" w:rsidP="003F09AA">
      <w:pPr>
        <w:pStyle w:val="Styleunderline"/>
        <w:keepNext/>
      </w:pPr>
      <w:r>
        <w:t>Otezla 20 mg tabletter, filmdrasjerte</w:t>
      </w:r>
    </w:p>
    <w:p w14:paraId="680F39C5" w14:textId="77777777" w:rsidR="004E65A9" w:rsidRPr="001C2019" w:rsidRDefault="004E65A9" w:rsidP="003F09AA">
      <w:pPr>
        <w:keepNext/>
        <w:rPr>
          <w:noProof/>
          <w:u w:val="single"/>
        </w:rPr>
      </w:pPr>
    </w:p>
    <w:p w14:paraId="2B282F62" w14:textId="77777777" w:rsidR="004E65A9" w:rsidRPr="00394DF8" w:rsidRDefault="004E65A9" w:rsidP="003F09AA">
      <w:pPr>
        <w:keepNext/>
        <w:rPr>
          <w:noProof/>
        </w:rPr>
      </w:pPr>
      <w:r>
        <w:t>EU/1/14/981/005 – pakningsstørrelse på 56 tabletter</w:t>
      </w:r>
    </w:p>
    <w:p w14:paraId="3FAE7CE5" w14:textId="77777777" w:rsidR="004E65A9" w:rsidRPr="00BD1AD5" w:rsidRDefault="004E65A9" w:rsidP="003F09AA">
      <w:pPr>
        <w:keepNext/>
        <w:rPr>
          <w:noProof/>
          <w:u w:val="single"/>
        </w:rPr>
      </w:pPr>
    </w:p>
    <w:p w14:paraId="23FA432C" w14:textId="77777777" w:rsidR="004E65A9" w:rsidRPr="00BD1AD5" w:rsidRDefault="004E65A9" w:rsidP="003F09AA">
      <w:pPr>
        <w:keepNext/>
        <w:rPr>
          <w:noProof/>
          <w:u w:val="single"/>
        </w:rPr>
      </w:pPr>
      <w:r>
        <w:rPr>
          <w:u w:val="single"/>
        </w:rPr>
        <w:t>Otezla 30 mg tabletter, filmdrasjerte</w:t>
      </w:r>
    </w:p>
    <w:p w14:paraId="52EFAAA0" w14:textId="77777777" w:rsidR="004E65A9" w:rsidRPr="00BD1AD5" w:rsidRDefault="004E65A9" w:rsidP="003F09AA">
      <w:pPr>
        <w:keepNext/>
        <w:rPr>
          <w:noProof/>
          <w:u w:val="single"/>
        </w:rPr>
      </w:pPr>
    </w:p>
    <w:p w14:paraId="4F71AC71" w14:textId="77777777" w:rsidR="004E65A9" w:rsidRPr="00BD1AD5" w:rsidRDefault="004E65A9" w:rsidP="003F09AA">
      <w:pPr>
        <w:rPr>
          <w:noProof/>
        </w:rPr>
      </w:pPr>
      <w:r>
        <w:t>EU/1/14/981/002 – pakningsstørrelse på 56 tabletter</w:t>
      </w:r>
    </w:p>
    <w:p w14:paraId="56F14F9A" w14:textId="77777777" w:rsidR="004E65A9" w:rsidRPr="00BD1AD5" w:rsidRDefault="004E65A9" w:rsidP="003F09AA">
      <w:pPr>
        <w:rPr>
          <w:noProof/>
        </w:rPr>
      </w:pPr>
      <w:r>
        <w:t>EU/1/14/981/003 – pakningsstørrelse på 168 tabletter</w:t>
      </w:r>
    </w:p>
    <w:p w14:paraId="0287BE03" w14:textId="77777777" w:rsidR="004E65A9" w:rsidRPr="00BD1AD5" w:rsidRDefault="004E65A9" w:rsidP="003F09AA">
      <w:pPr>
        <w:rPr>
          <w:noProof/>
        </w:rPr>
      </w:pPr>
    </w:p>
    <w:p w14:paraId="2C911E41" w14:textId="77777777" w:rsidR="004E65A9" w:rsidRPr="00BD1AD5" w:rsidRDefault="004E65A9" w:rsidP="003F09AA">
      <w:pPr>
        <w:rPr>
          <w:noProof/>
        </w:rPr>
      </w:pPr>
    </w:p>
    <w:p w14:paraId="5642810D" w14:textId="77777777" w:rsidR="004E65A9" w:rsidRPr="00BD1AD5" w:rsidRDefault="004E65A9" w:rsidP="003F09AA">
      <w:pPr>
        <w:pStyle w:val="Heading1"/>
        <w:ind w:left="567" w:hanging="567"/>
      </w:pPr>
      <w:r>
        <w:t>9.</w:t>
      </w:r>
      <w:r>
        <w:tab/>
        <w:t>DATO FOR FØRSTE MARKEDSFØRINGSTILLATELSE / SISTE FORNYELSE</w:t>
      </w:r>
    </w:p>
    <w:p w14:paraId="505DAD9B" w14:textId="77777777" w:rsidR="004E65A9" w:rsidRPr="00BD1AD5" w:rsidRDefault="004E65A9" w:rsidP="003F09AA">
      <w:pPr>
        <w:keepNext/>
        <w:rPr>
          <w:noProof/>
        </w:rPr>
      </w:pPr>
    </w:p>
    <w:p w14:paraId="34DA0400" w14:textId="77777777" w:rsidR="004E65A9" w:rsidRPr="00BD1AD5" w:rsidRDefault="004E65A9" w:rsidP="003F09AA">
      <w:pPr>
        <w:keepNext/>
        <w:rPr>
          <w:noProof/>
        </w:rPr>
      </w:pPr>
      <w:r>
        <w:t>Dato for første markedsføringstillatelse: 15. januar 2015</w:t>
      </w:r>
    </w:p>
    <w:p w14:paraId="2AD85509" w14:textId="77777777" w:rsidR="004E65A9" w:rsidRPr="00BD1AD5" w:rsidRDefault="004E65A9" w:rsidP="003F09AA">
      <w:pPr>
        <w:keepNext/>
        <w:rPr>
          <w:color w:val="000000"/>
        </w:rPr>
      </w:pPr>
      <w:r>
        <w:rPr>
          <w:color w:val="000000"/>
        </w:rPr>
        <w:t>Dato for siste fornyelse: 23. august 2019</w:t>
      </w:r>
    </w:p>
    <w:p w14:paraId="4842F65D" w14:textId="77777777" w:rsidR="004E65A9" w:rsidRPr="00BD1AD5" w:rsidRDefault="004E65A9" w:rsidP="003F09AA">
      <w:pPr>
        <w:keepNext/>
        <w:rPr>
          <w:noProof/>
        </w:rPr>
      </w:pPr>
    </w:p>
    <w:p w14:paraId="4BF21B30" w14:textId="77777777" w:rsidR="004E65A9" w:rsidRPr="00BD1AD5" w:rsidRDefault="004E65A9" w:rsidP="003F09AA">
      <w:pPr>
        <w:rPr>
          <w:noProof/>
        </w:rPr>
      </w:pPr>
    </w:p>
    <w:p w14:paraId="2209CC44" w14:textId="77777777" w:rsidR="004E65A9" w:rsidRPr="00BD1AD5" w:rsidRDefault="004E65A9" w:rsidP="003F09AA">
      <w:pPr>
        <w:pStyle w:val="Heading1"/>
        <w:ind w:left="567" w:hanging="567"/>
      </w:pPr>
      <w:bookmarkStart w:id="13" w:name="_Hlk179376745"/>
      <w:r>
        <w:t>10.</w:t>
      </w:r>
      <w:r>
        <w:tab/>
        <w:t>OPPDATERINGSDATO</w:t>
      </w:r>
      <w:bookmarkEnd w:id="13"/>
    </w:p>
    <w:p w14:paraId="6CEE1FA5" w14:textId="77777777" w:rsidR="004E65A9" w:rsidRPr="00BD1AD5" w:rsidRDefault="004E65A9" w:rsidP="003F09AA">
      <w:pPr>
        <w:keepNext/>
        <w:numPr>
          <w:ilvl w:val="12"/>
          <w:numId w:val="0"/>
        </w:numPr>
        <w:ind w:right="-2"/>
      </w:pPr>
    </w:p>
    <w:p w14:paraId="06410012" w14:textId="77777777" w:rsidR="004E65A9" w:rsidRPr="00BD1AD5" w:rsidRDefault="004E65A9" w:rsidP="003F09AA">
      <w:pPr>
        <w:numPr>
          <w:ilvl w:val="12"/>
          <w:numId w:val="0"/>
        </w:numPr>
        <w:ind w:right="-2"/>
        <w:rPr>
          <w:noProof/>
        </w:rPr>
      </w:pPr>
      <w:r>
        <w:t xml:space="preserve">Detaljert informasjon om dette legemidlet er tilgjengelig på nettstedet til Det europeiske legemiddelkontoret (the European Medicines Agency) </w:t>
      </w:r>
      <w:hyperlink r:id="rId21" w:history="1">
        <w:r>
          <w:rPr>
            <w:rStyle w:val="Hyperlink"/>
          </w:rPr>
          <w:t>https://www.ema.europa.eu</w:t>
        </w:r>
      </w:hyperlink>
      <w:r>
        <w:t xml:space="preserve"> og på nettstedet til </w:t>
      </w:r>
      <w:hyperlink r:id="rId22" w:history="1">
        <w:r w:rsidRPr="00A81CA1">
          <w:rPr>
            <w:rStyle w:val="Hyperlink"/>
          </w:rPr>
          <w:t>www.felleskatalogen.no</w:t>
        </w:r>
      </w:hyperlink>
      <w:r>
        <w:t>.</w:t>
      </w:r>
    </w:p>
    <w:p w14:paraId="06AC6139" w14:textId="77777777" w:rsidR="004E65A9" w:rsidRPr="00BD1AD5" w:rsidRDefault="004E65A9" w:rsidP="003F09AA">
      <w:pPr>
        <w:tabs>
          <w:tab w:val="clear" w:pos="567"/>
        </w:tabs>
        <w:autoSpaceDE w:val="0"/>
        <w:autoSpaceDN w:val="0"/>
        <w:adjustRightInd w:val="0"/>
        <w:ind w:right="120"/>
        <w:rPr>
          <w:rFonts w:eastAsia="SimSun"/>
        </w:rPr>
      </w:pPr>
      <w:r>
        <w:br w:type="page"/>
      </w:r>
    </w:p>
    <w:p w14:paraId="1E1A8167" w14:textId="77777777" w:rsidR="004E65A9" w:rsidRPr="00BD1AD5" w:rsidRDefault="004E65A9" w:rsidP="003F09AA">
      <w:pPr>
        <w:tabs>
          <w:tab w:val="clear" w:pos="567"/>
        </w:tabs>
        <w:autoSpaceDE w:val="0"/>
        <w:autoSpaceDN w:val="0"/>
        <w:adjustRightInd w:val="0"/>
        <w:ind w:right="120"/>
        <w:rPr>
          <w:rFonts w:eastAsia="SimSun"/>
          <w:lang w:eastAsia="en-GB"/>
        </w:rPr>
      </w:pPr>
    </w:p>
    <w:p w14:paraId="79E32102" w14:textId="77777777" w:rsidR="004E65A9" w:rsidRPr="00BD1AD5" w:rsidRDefault="004E65A9" w:rsidP="003F09AA">
      <w:pPr>
        <w:tabs>
          <w:tab w:val="clear" w:pos="567"/>
        </w:tabs>
        <w:autoSpaceDE w:val="0"/>
        <w:autoSpaceDN w:val="0"/>
        <w:adjustRightInd w:val="0"/>
        <w:ind w:right="120"/>
        <w:rPr>
          <w:rFonts w:eastAsia="SimSun"/>
          <w:lang w:eastAsia="en-GB"/>
        </w:rPr>
      </w:pPr>
    </w:p>
    <w:p w14:paraId="19764CB4" w14:textId="77777777" w:rsidR="004E65A9" w:rsidRPr="00BD1AD5" w:rsidRDefault="004E65A9" w:rsidP="003F09AA">
      <w:pPr>
        <w:tabs>
          <w:tab w:val="clear" w:pos="567"/>
        </w:tabs>
        <w:autoSpaceDE w:val="0"/>
        <w:autoSpaceDN w:val="0"/>
        <w:adjustRightInd w:val="0"/>
        <w:ind w:right="120"/>
        <w:rPr>
          <w:rFonts w:eastAsia="SimSun"/>
          <w:lang w:eastAsia="en-GB"/>
        </w:rPr>
      </w:pPr>
    </w:p>
    <w:p w14:paraId="6A695C58" w14:textId="77777777" w:rsidR="004E65A9" w:rsidRPr="00BD1AD5" w:rsidRDefault="004E65A9" w:rsidP="003F09AA">
      <w:pPr>
        <w:tabs>
          <w:tab w:val="clear" w:pos="567"/>
        </w:tabs>
        <w:autoSpaceDE w:val="0"/>
        <w:autoSpaceDN w:val="0"/>
        <w:adjustRightInd w:val="0"/>
        <w:ind w:right="120"/>
        <w:rPr>
          <w:rFonts w:eastAsia="SimSun"/>
          <w:lang w:eastAsia="en-GB"/>
        </w:rPr>
      </w:pPr>
    </w:p>
    <w:p w14:paraId="67089CB2" w14:textId="77777777" w:rsidR="004E65A9" w:rsidRPr="00BD1AD5" w:rsidRDefault="004E65A9" w:rsidP="003F09AA">
      <w:pPr>
        <w:tabs>
          <w:tab w:val="clear" w:pos="567"/>
        </w:tabs>
        <w:autoSpaceDE w:val="0"/>
        <w:autoSpaceDN w:val="0"/>
        <w:adjustRightInd w:val="0"/>
        <w:ind w:right="120"/>
        <w:rPr>
          <w:rFonts w:eastAsia="SimSun"/>
          <w:lang w:eastAsia="en-GB"/>
        </w:rPr>
      </w:pPr>
    </w:p>
    <w:p w14:paraId="507034C0" w14:textId="77777777" w:rsidR="004E65A9" w:rsidRPr="00BD1AD5" w:rsidRDefault="004E65A9" w:rsidP="003F09AA">
      <w:pPr>
        <w:tabs>
          <w:tab w:val="clear" w:pos="567"/>
        </w:tabs>
        <w:autoSpaceDE w:val="0"/>
        <w:autoSpaceDN w:val="0"/>
        <w:adjustRightInd w:val="0"/>
        <w:ind w:right="120"/>
        <w:rPr>
          <w:rFonts w:eastAsia="SimSun"/>
          <w:lang w:eastAsia="en-GB"/>
        </w:rPr>
      </w:pPr>
    </w:p>
    <w:p w14:paraId="7BA48CA7" w14:textId="77777777" w:rsidR="004E65A9" w:rsidRPr="00BD1AD5" w:rsidRDefault="004E65A9" w:rsidP="003F09AA">
      <w:pPr>
        <w:tabs>
          <w:tab w:val="clear" w:pos="567"/>
        </w:tabs>
        <w:autoSpaceDE w:val="0"/>
        <w:autoSpaceDN w:val="0"/>
        <w:adjustRightInd w:val="0"/>
        <w:ind w:right="120"/>
        <w:rPr>
          <w:rFonts w:eastAsia="SimSun"/>
          <w:lang w:eastAsia="en-GB"/>
        </w:rPr>
      </w:pPr>
    </w:p>
    <w:p w14:paraId="72B4D9E0" w14:textId="77777777" w:rsidR="004E65A9" w:rsidRPr="00BD1AD5" w:rsidRDefault="004E65A9" w:rsidP="003F09AA">
      <w:pPr>
        <w:tabs>
          <w:tab w:val="clear" w:pos="567"/>
        </w:tabs>
        <w:autoSpaceDE w:val="0"/>
        <w:autoSpaceDN w:val="0"/>
        <w:adjustRightInd w:val="0"/>
        <w:ind w:right="120"/>
        <w:rPr>
          <w:rFonts w:eastAsia="SimSun"/>
          <w:lang w:eastAsia="en-GB"/>
        </w:rPr>
      </w:pPr>
    </w:p>
    <w:p w14:paraId="1F176648" w14:textId="77777777" w:rsidR="004E65A9" w:rsidRPr="00BD1AD5" w:rsidRDefault="004E65A9" w:rsidP="003F09AA">
      <w:pPr>
        <w:tabs>
          <w:tab w:val="clear" w:pos="567"/>
        </w:tabs>
        <w:autoSpaceDE w:val="0"/>
        <w:autoSpaceDN w:val="0"/>
        <w:adjustRightInd w:val="0"/>
        <w:ind w:right="120"/>
        <w:rPr>
          <w:rFonts w:eastAsia="SimSun"/>
          <w:lang w:eastAsia="en-GB"/>
        </w:rPr>
      </w:pPr>
    </w:p>
    <w:p w14:paraId="5FBB8E07" w14:textId="77777777" w:rsidR="004E65A9" w:rsidRPr="00BD1AD5" w:rsidRDefault="004E65A9" w:rsidP="003F09AA">
      <w:pPr>
        <w:tabs>
          <w:tab w:val="clear" w:pos="567"/>
        </w:tabs>
        <w:autoSpaceDE w:val="0"/>
        <w:autoSpaceDN w:val="0"/>
        <w:adjustRightInd w:val="0"/>
        <w:ind w:right="120"/>
        <w:rPr>
          <w:rFonts w:eastAsia="SimSun"/>
          <w:lang w:eastAsia="en-GB"/>
        </w:rPr>
      </w:pPr>
    </w:p>
    <w:p w14:paraId="39449363" w14:textId="77777777" w:rsidR="004E65A9" w:rsidRPr="00BD1AD5" w:rsidRDefault="004E65A9" w:rsidP="003F09AA">
      <w:pPr>
        <w:tabs>
          <w:tab w:val="clear" w:pos="567"/>
        </w:tabs>
        <w:autoSpaceDE w:val="0"/>
        <w:autoSpaceDN w:val="0"/>
        <w:adjustRightInd w:val="0"/>
        <w:ind w:right="120"/>
        <w:rPr>
          <w:rFonts w:eastAsia="SimSun"/>
          <w:lang w:eastAsia="en-GB"/>
        </w:rPr>
      </w:pPr>
    </w:p>
    <w:p w14:paraId="16D70593" w14:textId="77777777" w:rsidR="004E65A9" w:rsidRPr="00BD1AD5" w:rsidRDefault="004E65A9" w:rsidP="003F09AA">
      <w:pPr>
        <w:tabs>
          <w:tab w:val="clear" w:pos="567"/>
        </w:tabs>
        <w:autoSpaceDE w:val="0"/>
        <w:autoSpaceDN w:val="0"/>
        <w:adjustRightInd w:val="0"/>
        <w:ind w:right="120"/>
        <w:rPr>
          <w:rFonts w:eastAsia="SimSun"/>
          <w:lang w:eastAsia="en-GB"/>
        </w:rPr>
      </w:pPr>
    </w:p>
    <w:p w14:paraId="51FD8C41" w14:textId="77777777" w:rsidR="004E65A9" w:rsidRPr="00BD1AD5" w:rsidRDefault="004E65A9" w:rsidP="003F09AA">
      <w:pPr>
        <w:tabs>
          <w:tab w:val="clear" w:pos="567"/>
        </w:tabs>
        <w:autoSpaceDE w:val="0"/>
        <w:autoSpaceDN w:val="0"/>
        <w:adjustRightInd w:val="0"/>
        <w:ind w:right="120"/>
        <w:rPr>
          <w:rFonts w:eastAsia="SimSun"/>
          <w:lang w:eastAsia="en-GB"/>
        </w:rPr>
      </w:pPr>
    </w:p>
    <w:p w14:paraId="06FA67C4" w14:textId="77777777" w:rsidR="004E65A9" w:rsidRPr="00BD1AD5" w:rsidRDefault="004E65A9" w:rsidP="003F09AA">
      <w:pPr>
        <w:tabs>
          <w:tab w:val="clear" w:pos="567"/>
        </w:tabs>
        <w:autoSpaceDE w:val="0"/>
        <w:autoSpaceDN w:val="0"/>
        <w:adjustRightInd w:val="0"/>
        <w:ind w:right="120"/>
        <w:rPr>
          <w:rFonts w:eastAsia="SimSun"/>
          <w:lang w:eastAsia="en-GB"/>
        </w:rPr>
      </w:pPr>
    </w:p>
    <w:p w14:paraId="4F6B8EFD" w14:textId="77777777" w:rsidR="004E65A9" w:rsidRPr="00BD1AD5" w:rsidRDefault="004E65A9" w:rsidP="003F09AA">
      <w:pPr>
        <w:tabs>
          <w:tab w:val="clear" w:pos="567"/>
        </w:tabs>
        <w:autoSpaceDE w:val="0"/>
        <w:autoSpaceDN w:val="0"/>
        <w:adjustRightInd w:val="0"/>
        <w:ind w:right="120"/>
        <w:rPr>
          <w:rFonts w:eastAsia="SimSun"/>
          <w:lang w:eastAsia="en-GB"/>
        </w:rPr>
      </w:pPr>
    </w:p>
    <w:p w14:paraId="6C595002" w14:textId="77777777" w:rsidR="004E65A9" w:rsidRPr="00BD1AD5" w:rsidRDefault="004E65A9" w:rsidP="003F09AA">
      <w:pPr>
        <w:tabs>
          <w:tab w:val="clear" w:pos="567"/>
        </w:tabs>
        <w:autoSpaceDE w:val="0"/>
        <w:autoSpaceDN w:val="0"/>
        <w:adjustRightInd w:val="0"/>
        <w:ind w:right="120"/>
        <w:rPr>
          <w:rFonts w:eastAsia="SimSun"/>
          <w:lang w:eastAsia="en-GB"/>
        </w:rPr>
      </w:pPr>
    </w:p>
    <w:p w14:paraId="395F3D3C" w14:textId="77777777" w:rsidR="004E65A9" w:rsidRPr="00BD1AD5" w:rsidRDefault="004E65A9" w:rsidP="003F09AA">
      <w:pPr>
        <w:tabs>
          <w:tab w:val="clear" w:pos="567"/>
        </w:tabs>
        <w:autoSpaceDE w:val="0"/>
        <w:autoSpaceDN w:val="0"/>
        <w:adjustRightInd w:val="0"/>
        <w:ind w:right="120"/>
        <w:rPr>
          <w:rFonts w:eastAsia="SimSun"/>
          <w:lang w:eastAsia="en-GB"/>
        </w:rPr>
      </w:pPr>
    </w:p>
    <w:p w14:paraId="15BCFED7" w14:textId="77777777" w:rsidR="004E65A9" w:rsidRPr="00BD1AD5" w:rsidRDefault="004E65A9" w:rsidP="003F09AA">
      <w:pPr>
        <w:tabs>
          <w:tab w:val="clear" w:pos="567"/>
        </w:tabs>
        <w:autoSpaceDE w:val="0"/>
        <w:autoSpaceDN w:val="0"/>
        <w:adjustRightInd w:val="0"/>
        <w:ind w:right="120"/>
        <w:rPr>
          <w:rFonts w:eastAsia="SimSun"/>
          <w:lang w:eastAsia="en-GB"/>
        </w:rPr>
      </w:pPr>
    </w:p>
    <w:p w14:paraId="0E8941FE" w14:textId="77777777" w:rsidR="004E65A9" w:rsidRPr="00BD1AD5" w:rsidRDefault="004E65A9" w:rsidP="003F09AA">
      <w:pPr>
        <w:tabs>
          <w:tab w:val="clear" w:pos="567"/>
        </w:tabs>
        <w:autoSpaceDE w:val="0"/>
        <w:autoSpaceDN w:val="0"/>
        <w:adjustRightInd w:val="0"/>
        <w:ind w:right="120"/>
        <w:rPr>
          <w:rFonts w:eastAsia="SimSun"/>
          <w:lang w:eastAsia="en-GB"/>
        </w:rPr>
      </w:pPr>
    </w:p>
    <w:p w14:paraId="42B5767B" w14:textId="77777777" w:rsidR="004E65A9" w:rsidRPr="00BD1AD5" w:rsidRDefault="004E65A9" w:rsidP="003F09AA">
      <w:pPr>
        <w:tabs>
          <w:tab w:val="clear" w:pos="567"/>
        </w:tabs>
        <w:autoSpaceDE w:val="0"/>
        <w:autoSpaceDN w:val="0"/>
        <w:adjustRightInd w:val="0"/>
        <w:ind w:right="120"/>
        <w:rPr>
          <w:rFonts w:eastAsia="SimSun"/>
          <w:lang w:eastAsia="en-GB"/>
        </w:rPr>
      </w:pPr>
    </w:p>
    <w:p w14:paraId="468F11EB" w14:textId="77777777" w:rsidR="004E65A9" w:rsidRDefault="004E65A9" w:rsidP="003F09AA">
      <w:pPr>
        <w:tabs>
          <w:tab w:val="clear" w:pos="567"/>
        </w:tabs>
        <w:autoSpaceDE w:val="0"/>
        <w:autoSpaceDN w:val="0"/>
        <w:adjustRightInd w:val="0"/>
        <w:ind w:right="120"/>
        <w:rPr>
          <w:rFonts w:eastAsia="SimSun"/>
          <w:lang w:eastAsia="en-GB"/>
        </w:rPr>
      </w:pPr>
    </w:p>
    <w:p w14:paraId="79AF37EA" w14:textId="77777777" w:rsidR="004E65A9" w:rsidRPr="00BD1AD5" w:rsidRDefault="004E65A9" w:rsidP="003F09AA">
      <w:pPr>
        <w:tabs>
          <w:tab w:val="clear" w:pos="567"/>
        </w:tabs>
        <w:autoSpaceDE w:val="0"/>
        <w:autoSpaceDN w:val="0"/>
        <w:adjustRightInd w:val="0"/>
        <w:ind w:right="120"/>
        <w:rPr>
          <w:rFonts w:eastAsia="SimSun"/>
          <w:lang w:eastAsia="en-GB"/>
        </w:rPr>
      </w:pPr>
    </w:p>
    <w:p w14:paraId="5200FA27" w14:textId="77777777" w:rsidR="004E65A9" w:rsidRPr="00BD1AD5" w:rsidRDefault="004E65A9" w:rsidP="003F09AA">
      <w:pPr>
        <w:pStyle w:val="TitleA"/>
      </w:pPr>
      <w:r>
        <w:t>VEDLEGG II</w:t>
      </w:r>
    </w:p>
    <w:p w14:paraId="0A89849C" w14:textId="77777777" w:rsidR="004E65A9" w:rsidRPr="00BD1AD5" w:rsidRDefault="004E65A9" w:rsidP="003F09AA">
      <w:pPr>
        <w:tabs>
          <w:tab w:val="clear" w:pos="567"/>
        </w:tabs>
        <w:autoSpaceDE w:val="0"/>
        <w:autoSpaceDN w:val="0"/>
        <w:adjustRightInd w:val="0"/>
        <w:ind w:right="120"/>
        <w:rPr>
          <w:rFonts w:eastAsia="SimSun"/>
          <w:lang w:eastAsia="en-GB"/>
        </w:rPr>
      </w:pPr>
    </w:p>
    <w:p w14:paraId="58B1115D" w14:textId="77777777" w:rsidR="004E65A9" w:rsidRPr="00BD1AD5" w:rsidRDefault="004E65A9" w:rsidP="003F09AA">
      <w:pPr>
        <w:keepNext/>
        <w:tabs>
          <w:tab w:val="clear" w:pos="567"/>
        </w:tabs>
        <w:autoSpaceDE w:val="0"/>
        <w:autoSpaceDN w:val="0"/>
        <w:adjustRightInd w:val="0"/>
        <w:ind w:left="1701" w:hanging="567"/>
        <w:rPr>
          <w:rFonts w:eastAsia="SimSun"/>
          <w:b/>
          <w:bCs/>
        </w:rPr>
      </w:pPr>
      <w:r>
        <w:rPr>
          <w:b/>
        </w:rPr>
        <w:t>A.</w:t>
      </w:r>
      <w:r>
        <w:rPr>
          <w:b/>
        </w:rPr>
        <w:tab/>
        <w:t>TILVIRKERE ANSVARLIG FOR BATCH RELEASE</w:t>
      </w:r>
    </w:p>
    <w:p w14:paraId="1BF3FB92" w14:textId="77777777" w:rsidR="004E65A9" w:rsidRPr="00BD1AD5" w:rsidRDefault="004E65A9" w:rsidP="003F09AA">
      <w:pPr>
        <w:keepNext/>
        <w:tabs>
          <w:tab w:val="clear" w:pos="567"/>
        </w:tabs>
        <w:autoSpaceDE w:val="0"/>
        <w:autoSpaceDN w:val="0"/>
        <w:adjustRightInd w:val="0"/>
        <w:ind w:left="1701" w:right="120" w:hanging="567"/>
        <w:rPr>
          <w:rFonts w:eastAsia="SimSun"/>
          <w:b/>
          <w:bCs/>
          <w:lang w:eastAsia="en-GB"/>
        </w:rPr>
      </w:pPr>
    </w:p>
    <w:p w14:paraId="7A06E142" w14:textId="77777777" w:rsidR="004E65A9" w:rsidRPr="00BD1AD5" w:rsidRDefault="004E65A9" w:rsidP="003F09AA">
      <w:pPr>
        <w:keepNext/>
        <w:tabs>
          <w:tab w:val="clear" w:pos="567"/>
        </w:tabs>
        <w:autoSpaceDE w:val="0"/>
        <w:autoSpaceDN w:val="0"/>
        <w:adjustRightInd w:val="0"/>
        <w:ind w:left="1701" w:hanging="567"/>
        <w:rPr>
          <w:rFonts w:eastAsia="SimSun"/>
          <w:b/>
          <w:bCs/>
        </w:rPr>
      </w:pPr>
      <w:r>
        <w:rPr>
          <w:b/>
        </w:rPr>
        <w:t>B.</w:t>
      </w:r>
      <w:r>
        <w:rPr>
          <w:b/>
        </w:rPr>
        <w:tab/>
        <w:t>VILKÅR ELLER RESTRIKSJONER VEDRØRENDE LEVERANSE OG BRUK</w:t>
      </w:r>
    </w:p>
    <w:p w14:paraId="74FC9D48" w14:textId="77777777" w:rsidR="004E65A9" w:rsidRPr="00BD1AD5" w:rsidRDefault="004E65A9" w:rsidP="003F09AA">
      <w:pPr>
        <w:keepNext/>
        <w:tabs>
          <w:tab w:val="clear" w:pos="567"/>
        </w:tabs>
        <w:autoSpaceDE w:val="0"/>
        <w:autoSpaceDN w:val="0"/>
        <w:adjustRightInd w:val="0"/>
        <w:ind w:left="1701" w:right="120" w:hanging="567"/>
        <w:rPr>
          <w:rFonts w:eastAsia="SimSun"/>
          <w:b/>
          <w:bCs/>
          <w:lang w:eastAsia="en-GB"/>
        </w:rPr>
      </w:pPr>
    </w:p>
    <w:p w14:paraId="1A2ABA2F" w14:textId="77777777" w:rsidR="004E65A9" w:rsidRPr="00BD1AD5" w:rsidRDefault="004E65A9" w:rsidP="003F09AA">
      <w:pPr>
        <w:keepNext/>
        <w:tabs>
          <w:tab w:val="clear" w:pos="567"/>
        </w:tabs>
        <w:autoSpaceDE w:val="0"/>
        <w:autoSpaceDN w:val="0"/>
        <w:adjustRightInd w:val="0"/>
        <w:ind w:left="1701" w:hanging="567"/>
        <w:rPr>
          <w:rFonts w:eastAsia="SimSun"/>
          <w:b/>
          <w:bCs/>
        </w:rPr>
      </w:pPr>
      <w:r>
        <w:rPr>
          <w:b/>
        </w:rPr>
        <w:t>C.</w:t>
      </w:r>
      <w:r>
        <w:rPr>
          <w:b/>
        </w:rPr>
        <w:tab/>
        <w:t>ANDRE VILKÅR OG KRAV TIL MARKEDSFØRINGSTILLATELSEN</w:t>
      </w:r>
    </w:p>
    <w:p w14:paraId="74356D9F" w14:textId="77777777" w:rsidR="004E65A9" w:rsidRPr="00BD1AD5" w:rsidRDefault="004E65A9" w:rsidP="003F09AA">
      <w:pPr>
        <w:keepNext/>
        <w:tabs>
          <w:tab w:val="clear" w:pos="567"/>
        </w:tabs>
        <w:autoSpaceDE w:val="0"/>
        <w:autoSpaceDN w:val="0"/>
        <w:adjustRightInd w:val="0"/>
        <w:ind w:left="1701" w:hanging="567"/>
        <w:rPr>
          <w:rFonts w:eastAsia="SimSun"/>
          <w:b/>
          <w:bCs/>
          <w:lang w:eastAsia="en-GB"/>
        </w:rPr>
      </w:pPr>
    </w:p>
    <w:p w14:paraId="40BB50B7" w14:textId="77777777" w:rsidR="004E65A9" w:rsidRPr="00BD1AD5" w:rsidRDefault="004E65A9" w:rsidP="003F09AA">
      <w:pPr>
        <w:keepNext/>
        <w:tabs>
          <w:tab w:val="clear" w:pos="567"/>
        </w:tabs>
        <w:autoSpaceDE w:val="0"/>
        <w:autoSpaceDN w:val="0"/>
        <w:adjustRightInd w:val="0"/>
        <w:ind w:left="1701" w:hanging="567"/>
        <w:rPr>
          <w:rFonts w:eastAsia="SimSun"/>
          <w:b/>
          <w:bCs/>
        </w:rPr>
      </w:pPr>
      <w:r>
        <w:rPr>
          <w:b/>
        </w:rPr>
        <w:t>D.</w:t>
      </w:r>
      <w:r>
        <w:rPr>
          <w:b/>
        </w:rPr>
        <w:tab/>
        <w:t>VILKÅR ELLER RESTRIKSJONER VEDRØRENDE SIKKER OG EFFEKTIV BRUK AV LEGEMIDLET</w:t>
      </w:r>
    </w:p>
    <w:p w14:paraId="6D14624E" w14:textId="77777777" w:rsidR="004E65A9" w:rsidRPr="00BD1AD5" w:rsidRDefault="004E65A9" w:rsidP="003F09AA">
      <w:pPr>
        <w:tabs>
          <w:tab w:val="clear" w:pos="567"/>
        </w:tabs>
        <w:autoSpaceDE w:val="0"/>
        <w:autoSpaceDN w:val="0"/>
        <w:adjustRightInd w:val="0"/>
        <w:ind w:right="120"/>
        <w:rPr>
          <w:rFonts w:eastAsia="SimSun"/>
          <w:lang w:eastAsia="en-GB"/>
        </w:rPr>
      </w:pPr>
    </w:p>
    <w:p w14:paraId="420C44C5" w14:textId="77777777" w:rsidR="004E65A9" w:rsidRPr="00BD1AD5" w:rsidRDefault="004E65A9" w:rsidP="003F09AA">
      <w:pPr>
        <w:pStyle w:val="TitleB"/>
        <w:rPr>
          <w:rFonts w:eastAsia="SimSun"/>
        </w:rPr>
      </w:pPr>
      <w:r>
        <w:br w:type="page"/>
      </w:r>
      <w:r w:rsidRPr="00002BC9">
        <w:rPr>
          <w:szCs w:val="20"/>
        </w:rPr>
        <w:lastRenderedPageBreak/>
        <w:t>A.</w:t>
      </w:r>
      <w:r w:rsidRPr="00002BC9">
        <w:rPr>
          <w:szCs w:val="20"/>
        </w:rPr>
        <w:tab/>
        <w:t>TILVIRKERE ANSVARLIG FOR BATCH RELEASE</w:t>
      </w:r>
    </w:p>
    <w:p w14:paraId="6BB70BE9" w14:textId="77777777" w:rsidR="004E65A9" w:rsidRPr="00BD1AD5" w:rsidRDefault="004E65A9" w:rsidP="003F09AA">
      <w:pPr>
        <w:keepNext/>
        <w:tabs>
          <w:tab w:val="clear" w:pos="567"/>
        </w:tabs>
        <w:autoSpaceDE w:val="0"/>
        <w:autoSpaceDN w:val="0"/>
        <w:adjustRightInd w:val="0"/>
        <w:ind w:left="127" w:right="120"/>
        <w:rPr>
          <w:rFonts w:eastAsia="SimSun"/>
          <w:b/>
          <w:bCs/>
          <w:lang w:eastAsia="en-GB"/>
        </w:rPr>
      </w:pPr>
    </w:p>
    <w:p w14:paraId="6850DB62" w14:textId="77777777" w:rsidR="004E65A9" w:rsidRPr="00BD1AD5" w:rsidRDefault="004E65A9" w:rsidP="003F09AA">
      <w:pPr>
        <w:keepNext/>
        <w:tabs>
          <w:tab w:val="clear" w:pos="567"/>
        </w:tabs>
        <w:autoSpaceDE w:val="0"/>
        <w:autoSpaceDN w:val="0"/>
        <w:adjustRightInd w:val="0"/>
        <w:rPr>
          <w:rFonts w:eastAsia="SimSun"/>
          <w:u w:val="single"/>
        </w:rPr>
      </w:pPr>
      <w:r>
        <w:rPr>
          <w:u w:val="single"/>
        </w:rPr>
        <w:t>Navn og adresse til tilvirkere ansvarlig for batch release</w:t>
      </w:r>
    </w:p>
    <w:p w14:paraId="00FD349E" w14:textId="77777777" w:rsidR="004E65A9" w:rsidRPr="00BD1AD5" w:rsidRDefault="004E65A9" w:rsidP="003F09AA">
      <w:pPr>
        <w:keepNext/>
      </w:pPr>
    </w:p>
    <w:p w14:paraId="0CD84819" w14:textId="77777777" w:rsidR="004E65A9" w:rsidRPr="006C78BA" w:rsidRDefault="004E65A9" w:rsidP="003F09AA">
      <w:pPr>
        <w:keepNext/>
        <w:jc w:val="both"/>
        <w:rPr>
          <w:iCs/>
          <w:lang w:val="sv-SE"/>
        </w:rPr>
      </w:pPr>
      <w:r w:rsidRPr="006C78BA">
        <w:rPr>
          <w:lang w:val="sv-SE"/>
        </w:rPr>
        <w:t>Amgen Europe B.V.</w:t>
      </w:r>
    </w:p>
    <w:p w14:paraId="6052B17C" w14:textId="77777777" w:rsidR="004E65A9" w:rsidRPr="006C78BA" w:rsidRDefault="004E65A9" w:rsidP="003F09AA">
      <w:pPr>
        <w:keepNext/>
        <w:jc w:val="both"/>
        <w:rPr>
          <w:iCs/>
          <w:lang w:val="sv-SE"/>
        </w:rPr>
      </w:pPr>
      <w:r w:rsidRPr="006C78BA">
        <w:rPr>
          <w:lang w:val="sv-SE"/>
        </w:rPr>
        <w:t>Minervum 7061</w:t>
      </w:r>
    </w:p>
    <w:p w14:paraId="5F6FD58C" w14:textId="77777777" w:rsidR="004E65A9" w:rsidRPr="00BD1AD5" w:rsidRDefault="004E65A9" w:rsidP="003F09AA">
      <w:pPr>
        <w:keepNext/>
        <w:jc w:val="both"/>
        <w:rPr>
          <w:iCs/>
        </w:rPr>
      </w:pPr>
      <w:r>
        <w:t>4817 ZK Breda</w:t>
      </w:r>
    </w:p>
    <w:p w14:paraId="606048CE" w14:textId="77777777" w:rsidR="004E65A9" w:rsidRPr="00BD1AD5" w:rsidRDefault="004E65A9" w:rsidP="003F09AA">
      <w:pPr>
        <w:jc w:val="both"/>
        <w:rPr>
          <w:iCs/>
        </w:rPr>
      </w:pPr>
      <w:r>
        <w:t>Nederland</w:t>
      </w:r>
    </w:p>
    <w:p w14:paraId="68D5E4B8" w14:textId="77777777" w:rsidR="004E65A9" w:rsidRPr="00BD1AD5" w:rsidRDefault="004E65A9" w:rsidP="003F09AA">
      <w:pPr>
        <w:tabs>
          <w:tab w:val="clear" w:pos="567"/>
        </w:tabs>
        <w:autoSpaceDE w:val="0"/>
        <w:autoSpaceDN w:val="0"/>
        <w:adjustRightInd w:val="0"/>
        <w:rPr>
          <w:rFonts w:eastAsia="SimSun"/>
          <w:lang w:eastAsia="en-GB"/>
        </w:rPr>
      </w:pPr>
    </w:p>
    <w:p w14:paraId="70B45789" w14:textId="77777777" w:rsidR="004E65A9" w:rsidRPr="00BD1AD5" w:rsidRDefault="004E65A9" w:rsidP="003F09AA">
      <w:pPr>
        <w:keepNext/>
      </w:pPr>
      <w:r>
        <w:t>Amgen NV</w:t>
      </w:r>
    </w:p>
    <w:p w14:paraId="518F03CD" w14:textId="77777777" w:rsidR="004E65A9" w:rsidRPr="00BD1AD5" w:rsidRDefault="004E65A9" w:rsidP="003F09AA">
      <w:pPr>
        <w:keepNext/>
      </w:pPr>
      <w:r>
        <w:t>Telecomlaan 5</w:t>
      </w:r>
      <w:r>
        <w:noBreakHyphen/>
        <w:t>7</w:t>
      </w:r>
    </w:p>
    <w:p w14:paraId="7691B200" w14:textId="77777777" w:rsidR="004E65A9" w:rsidRPr="00BD1AD5" w:rsidRDefault="004E65A9" w:rsidP="003F09AA">
      <w:pPr>
        <w:keepNext/>
      </w:pPr>
      <w:r>
        <w:t>1831 Diegem</w:t>
      </w:r>
    </w:p>
    <w:p w14:paraId="4E66A4BB" w14:textId="77777777" w:rsidR="004E65A9" w:rsidRPr="00BD1AD5" w:rsidRDefault="004E65A9" w:rsidP="003F09AA">
      <w:r>
        <w:t>Belgia</w:t>
      </w:r>
    </w:p>
    <w:p w14:paraId="52CA8827" w14:textId="77777777" w:rsidR="004E65A9" w:rsidRPr="00BD1AD5" w:rsidRDefault="004E65A9" w:rsidP="003F09AA">
      <w:pPr>
        <w:tabs>
          <w:tab w:val="clear" w:pos="567"/>
        </w:tabs>
        <w:autoSpaceDE w:val="0"/>
        <w:autoSpaceDN w:val="0"/>
        <w:adjustRightInd w:val="0"/>
        <w:rPr>
          <w:rFonts w:eastAsia="SimSun"/>
          <w:lang w:eastAsia="en-GB"/>
        </w:rPr>
      </w:pPr>
    </w:p>
    <w:p w14:paraId="3ED6216D" w14:textId="77777777" w:rsidR="004E65A9" w:rsidRPr="00BD1AD5" w:rsidRDefault="004E65A9" w:rsidP="003F09AA">
      <w:pPr>
        <w:rPr>
          <w:iCs/>
        </w:rPr>
      </w:pPr>
      <w:r>
        <w:t>I pakningsvedlegget skal det stå navn og adresse til tilvirkeren som er ansvarlig for batch release for gjeldende batch.</w:t>
      </w:r>
    </w:p>
    <w:p w14:paraId="37CD2399" w14:textId="77777777" w:rsidR="004E65A9" w:rsidRPr="00BD1AD5" w:rsidRDefault="004E65A9" w:rsidP="003F09AA">
      <w:pPr>
        <w:tabs>
          <w:tab w:val="clear" w:pos="567"/>
        </w:tabs>
        <w:autoSpaceDE w:val="0"/>
        <w:autoSpaceDN w:val="0"/>
        <w:adjustRightInd w:val="0"/>
        <w:ind w:right="120"/>
        <w:rPr>
          <w:rFonts w:eastAsia="SimSun"/>
          <w:lang w:eastAsia="en-GB"/>
        </w:rPr>
      </w:pPr>
    </w:p>
    <w:p w14:paraId="53DB659E" w14:textId="77777777" w:rsidR="004E65A9" w:rsidRPr="00BD1AD5" w:rsidRDefault="004E65A9" w:rsidP="003F09AA">
      <w:pPr>
        <w:tabs>
          <w:tab w:val="clear" w:pos="567"/>
        </w:tabs>
        <w:autoSpaceDE w:val="0"/>
        <w:autoSpaceDN w:val="0"/>
        <w:adjustRightInd w:val="0"/>
        <w:ind w:right="120"/>
        <w:rPr>
          <w:rFonts w:eastAsia="SimSun"/>
          <w:lang w:eastAsia="en-GB"/>
        </w:rPr>
      </w:pPr>
    </w:p>
    <w:p w14:paraId="22D651B7" w14:textId="77777777" w:rsidR="004E65A9" w:rsidRPr="00BD1AD5" w:rsidRDefault="004E65A9" w:rsidP="003F09AA">
      <w:pPr>
        <w:pStyle w:val="TitleB"/>
      </w:pPr>
      <w:r w:rsidRPr="00002BC9">
        <w:rPr>
          <w:szCs w:val="20"/>
        </w:rPr>
        <w:t>B.</w:t>
      </w:r>
      <w:r w:rsidRPr="00002BC9">
        <w:rPr>
          <w:szCs w:val="20"/>
        </w:rPr>
        <w:tab/>
        <w:t>VILKÅR ELLER RESTRIKSJONER VEDRØRENDE LEVERANSE OG BRUK</w:t>
      </w:r>
    </w:p>
    <w:p w14:paraId="1309A1DD" w14:textId="77777777" w:rsidR="004E65A9" w:rsidRPr="00BD1AD5" w:rsidRDefault="004E65A9" w:rsidP="003F09AA">
      <w:pPr>
        <w:pStyle w:val="StyleHeadings"/>
      </w:pPr>
    </w:p>
    <w:p w14:paraId="73936097" w14:textId="77777777" w:rsidR="004E65A9" w:rsidRPr="00BD1AD5" w:rsidRDefault="004E65A9" w:rsidP="003F09AA">
      <w:pPr>
        <w:tabs>
          <w:tab w:val="clear" w:pos="567"/>
        </w:tabs>
        <w:autoSpaceDE w:val="0"/>
        <w:autoSpaceDN w:val="0"/>
        <w:adjustRightInd w:val="0"/>
        <w:rPr>
          <w:rFonts w:eastAsia="SimSun"/>
        </w:rPr>
      </w:pPr>
      <w:r>
        <w:t>Legemiddel underlagt begrenset forskrivning (se Vedlegg I, Preparatomtale, pkt. 4.2).</w:t>
      </w:r>
    </w:p>
    <w:p w14:paraId="77ED81BB" w14:textId="77777777" w:rsidR="004E65A9" w:rsidRPr="00BD1AD5" w:rsidRDefault="004E65A9" w:rsidP="003F09AA">
      <w:pPr>
        <w:tabs>
          <w:tab w:val="clear" w:pos="567"/>
        </w:tabs>
        <w:autoSpaceDE w:val="0"/>
        <w:autoSpaceDN w:val="0"/>
        <w:adjustRightInd w:val="0"/>
        <w:rPr>
          <w:rFonts w:eastAsia="SimSun"/>
          <w:lang w:eastAsia="en-GB"/>
        </w:rPr>
      </w:pPr>
    </w:p>
    <w:p w14:paraId="6D96CCF4" w14:textId="77777777" w:rsidR="004E65A9" w:rsidRPr="00BD1AD5" w:rsidRDefault="004E65A9" w:rsidP="003F09AA">
      <w:pPr>
        <w:tabs>
          <w:tab w:val="clear" w:pos="567"/>
        </w:tabs>
        <w:autoSpaceDE w:val="0"/>
        <w:autoSpaceDN w:val="0"/>
        <w:adjustRightInd w:val="0"/>
        <w:rPr>
          <w:rFonts w:eastAsia="SimSun"/>
          <w:lang w:eastAsia="en-GB"/>
        </w:rPr>
      </w:pPr>
    </w:p>
    <w:p w14:paraId="4D41ADBE" w14:textId="77777777" w:rsidR="004E65A9" w:rsidRPr="00BD1AD5" w:rsidRDefault="004E65A9" w:rsidP="003F09AA">
      <w:pPr>
        <w:pStyle w:val="TitleB"/>
      </w:pPr>
      <w:r w:rsidRPr="006C78BA">
        <w:rPr>
          <w:szCs w:val="20"/>
        </w:rPr>
        <w:t>C.</w:t>
      </w:r>
      <w:r w:rsidRPr="006C78BA">
        <w:rPr>
          <w:szCs w:val="20"/>
        </w:rPr>
        <w:tab/>
        <w:t>ANDRE VILKÅR OG KRAV TIL MARKEDSFØRINGSTILLATELSEN</w:t>
      </w:r>
    </w:p>
    <w:p w14:paraId="6BB32AA9" w14:textId="77777777" w:rsidR="004E65A9" w:rsidRPr="00BD1AD5" w:rsidRDefault="004E65A9" w:rsidP="003F09AA">
      <w:pPr>
        <w:keepNext/>
      </w:pPr>
    </w:p>
    <w:p w14:paraId="53789106" w14:textId="77777777" w:rsidR="004E65A9" w:rsidRPr="00BD1AD5" w:rsidRDefault="004E65A9" w:rsidP="003F09AA">
      <w:pPr>
        <w:numPr>
          <w:ilvl w:val="0"/>
          <w:numId w:val="30"/>
        </w:numPr>
        <w:tabs>
          <w:tab w:val="clear" w:pos="468"/>
        </w:tabs>
        <w:autoSpaceDE w:val="0"/>
        <w:autoSpaceDN w:val="0"/>
        <w:adjustRightInd w:val="0"/>
        <w:ind w:left="567" w:hanging="567"/>
        <w:rPr>
          <w:rFonts w:eastAsia="SimSun"/>
        </w:rPr>
      </w:pPr>
      <w:r>
        <w:rPr>
          <w:b/>
        </w:rPr>
        <w:t>Periodiske sikkerhetsoppdateringsrapporter (PSUR</w:t>
      </w:r>
      <w:r>
        <w:rPr>
          <w:b/>
        </w:rPr>
        <w:noBreakHyphen/>
        <w:t>er)</w:t>
      </w:r>
    </w:p>
    <w:p w14:paraId="5360884B" w14:textId="77777777" w:rsidR="004E65A9" w:rsidRPr="00BD1AD5" w:rsidRDefault="004E65A9" w:rsidP="003F09AA">
      <w:pPr>
        <w:tabs>
          <w:tab w:val="clear" w:pos="567"/>
        </w:tabs>
        <w:autoSpaceDE w:val="0"/>
        <w:autoSpaceDN w:val="0"/>
        <w:adjustRightInd w:val="0"/>
        <w:ind w:right="120"/>
        <w:rPr>
          <w:rFonts w:eastAsia="SimSun"/>
          <w:lang w:eastAsia="en-GB"/>
        </w:rPr>
      </w:pPr>
    </w:p>
    <w:p w14:paraId="39597B6A" w14:textId="77777777" w:rsidR="004E65A9" w:rsidRPr="00BD1AD5" w:rsidRDefault="004E65A9" w:rsidP="003F09AA">
      <w:pPr>
        <w:tabs>
          <w:tab w:val="clear" w:pos="567"/>
        </w:tabs>
        <w:autoSpaceDE w:val="0"/>
        <w:autoSpaceDN w:val="0"/>
        <w:adjustRightInd w:val="0"/>
        <w:rPr>
          <w:rFonts w:eastAsia="SimSun"/>
        </w:rPr>
      </w:pPr>
      <w:r>
        <w:t>Kravene for innsendelse av periodiske sikkerhetsoppdateringsrapporter (PSUR</w:t>
      </w:r>
      <w:r>
        <w:noBreakHyphen/>
        <w:t>er) for dette legemidlet er angitt i EURD</w:t>
      </w:r>
      <w:r>
        <w:noBreakHyphen/>
        <w:t>listen (European Union Reference Date list), som gjort rede for i Artikkel 107c(7) av direktiv 2001/83/EF og i enhver oppdatering av EURD</w:t>
      </w:r>
      <w:r>
        <w:noBreakHyphen/>
        <w:t>listen som publiseres på nettstedet til Det europeiske legemiddelkontoret (the European Medicines Agency).</w:t>
      </w:r>
    </w:p>
    <w:p w14:paraId="38E06700" w14:textId="77777777" w:rsidR="004E65A9" w:rsidRPr="00BD1AD5" w:rsidRDefault="004E65A9" w:rsidP="003F09AA">
      <w:pPr>
        <w:tabs>
          <w:tab w:val="clear" w:pos="567"/>
        </w:tabs>
        <w:autoSpaceDE w:val="0"/>
        <w:autoSpaceDN w:val="0"/>
        <w:adjustRightInd w:val="0"/>
        <w:ind w:right="120"/>
        <w:rPr>
          <w:rFonts w:eastAsia="SimSun"/>
          <w:lang w:eastAsia="en-GB"/>
        </w:rPr>
      </w:pPr>
    </w:p>
    <w:p w14:paraId="13DC4E82" w14:textId="77777777" w:rsidR="004E65A9" w:rsidRPr="00BD1AD5" w:rsidRDefault="004E65A9" w:rsidP="003F09AA">
      <w:pPr>
        <w:tabs>
          <w:tab w:val="clear" w:pos="567"/>
        </w:tabs>
        <w:autoSpaceDE w:val="0"/>
        <w:autoSpaceDN w:val="0"/>
        <w:adjustRightInd w:val="0"/>
        <w:ind w:right="120"/>
        <w:rPr>
          <w:rFonts w:eastAsia="SimSun"/>
          <w:lang w:eastAsia="en-GB"/>
        </w:rPr>
      </w:pPr>
    </w:p>
    <w:p w14:paraId="05BC8D19" w14:textId="77777777" w:rsidR="004E65A9" w:rsidRPr="00BD1AD5" w:rsidRDefault="004E65A9" w:rsidP="003F09AA">
      <w:pPr>
        <w:pStyle w:val="TitleB"/>
      </w:pPr>
      <w:r w:rsidRPr="00002BC9">
        <w:rPr>
          <w:szCs w:val="20"/>
        </w:rPr>
        <w:t>D.</w:t>
      </w:r>
      <w:r w:rsidRPr="00002BC9">
        <w:rPr>
          <w:szCs w:val="20"/>
        </w:rPr>
        <w:tab/>
        <w:t>VILKÅR ELLER RESTRIKSJONER VEDRØRENDE SIKKER OG EFFEKTIV BRUK AV LEGEMIDLET</w:t>
      </w:r>
    </w:p>
    <w:p w14:paraId="2D7DB094" w14:textId="77777777" w:rsidR="004E65A9" w:rsidRPr="00BD1AD5" w:rsidRDefault="004E65A9" w:rsidP="003F09AA">
      <w:pPr>
        <w:keepNext/>
        <w:tabs>
          <w:tab w:val="clear" w:pos="567"/>
        </w:tabs>
        <w:autoSpaceDE w:val="0"/>
        <w:autoSpaceDN w:val="0"/>
        <w:adjustRightInd w:val="0"/>
        <w:ind w:left="720" w:right="115" w:hanging="720"/>
        <w:rPr>
          <w:rFonts w:eastAsia="SimSun"/>
          <w:b/>
          <w:bCs/>
          <w:lang w:eastAsia="en-GB"/>
        </w:rPr>
      </w:pPr>
    </w:p>
    <w:p w14:paraId="49EBF5F5" w14:textId="77777777" w:rsidR="004E65A9" w:rsidRPr="00BD1AD5" w:rsidRDefault="004E65A9" w:rsidP="003F09AA">
      <w:pPr>
        <w:numPr>
          <w:ilvl w:val="0"/>
          <w:numId w:val="30"/>
        </w:numPr>
        <w:tabs>
          <w:tab w:val="clear" w:pos="468"/>
        </w:tabs>
        <w:autoSpaceDE w:val="0"/>
        <w:autoSpaceDN w:val="0"/>
        <w:adjustRightInd w:val="0"/>
        <w:ind w:left="567" w:hanging="567"/>
        <w:rPr>
          <w:rFonts w:eastAsia="SimSun"/>
        </w:rPr>
      </w:pPr>
      <w:r>
        <w:rPr>
          <w:b/>
        </w:rPr>
        <w:t>Risikohåndteringsplan (RMP)</w:t>
      </w:r>
    </w:p>
    <w:p w14:paraId="7C4789D2" w14:textId="77777777" w:rsidR="004E65A9" w:rsidRPr="00BD1AD5" w:rsidRDefault="004E65A9" w:rsidP="003F09AA">
      <w:pPr>
        <w:tabs>
          <w:tab w:val="clear" w:pos="567"/>
          <w:tab w:val="left" w:pos="468"/>
        </w:tabs>
        <w:autoSpaceDE w:val="0"/>
        <w:autoSpaceDN w:val="0"/>
        <w:adjustRightInd w:val="0"/>
        <w:rPr>
          <w:rFonts w:eastAsia="SimSun"/>
          <w:lang w:eastAsia="en-GB"/>
        </w:rPr>
      </w:pPr>
    </w:p>
    <w:p w14:paraId="5F7F4AFA" w14:textId="77777777" w:rsidR="004E65A9" w:rsidRPr="00BD1AD5" w:rsidRDefault="004E65A9" w:rsidP="003F09AA">
      <w:pPr>
        <w:tabs>
          <w:tab w:val="clear" w:pos="567"/>
        </w:tabs>
        <w:autoSpaceDE w:val="0"/>
        <w:autoSpaceDN w:val="0"/>
        <w:adjustRightInd w:val="0"/>
        <w:rPr>
          <w:rFonts w:eastAsia="SimSun"/>
        </w:rPr>
      </w:pPr>
      <w:r>
        <w:t>Innehaver av markedsføringstillatelsen skal gjennomføre de nødvendige aktiviteter og intervensjoner vedrørende legemiddelovervåkning spesifisert i godkjent RMP presentert i Modul 1.8.2 i markedsføringstillatelsen samt enhver godkjent påfølgende oppdatering av RMP.</w:t>
      </w:r>
    </w:p>
    <w:p w14:paraId="316C453E" w14:textId="77777777" w:rsidR="004E65A9" w:rsidRPr="00BD1AD5" w:rsidRDefault="004E65A9" w:rsidP="003F09AA">
      <w:pPr>
        <w:tabs>
          <w:tab w:val="clear" w:pos="567"/>
        </w:tabs>
        <w:autoSpaceDE w:val="0"/>
        <w:autoSpaceDN w:val="0"/>
        <w:adjustRightInd w:val="0"/>
        <w:ind w:right="120"/>
        <w:rPr>
          <w:rFonts w:eastAsia="SimSun"/>
          <w:lang w:eastAsia="en-GB"/>
        </w:rPr>
      </w:pPr>
    </w:p>
    <w:p w14:paraId="21A92EFF" w14:textId="77777777" w:rsidR="004E65A9" w:rsidRPr="00BD1AD5" w:rsidRDefault="004E65A9" w:rsidP="003F09AA">
      <w:pPr>
        <w:keepNext/>
        <w:tabs>
          <w:tab w:val="clear" w:pos="567"/>
        </w:tabs>
        <w:autoSpaceDE w:val="0"/>
        <w:autoSpaceDN w:val="0"/>
        <w:adjustRightInd w:val="0"/>
        <w:rPr>
          <w:rFonts w:eastAsia="SimSun"/>
        </w:rPr>
      </w:pPr>
      <w:r>
        <w:t>En oppdatert RMP skal sendes inn:</w:t>
      </w:r>
    </w:p>
    <w:p w14:paraId="727CAD72" w14:textId="77777777" w:rsidR="004E65A9" w:rsidRPr="00BD1AD5" w:rsidRDefault="004E65A9" w:rsidP="003F09AA">
      <w:pPr>
        <w:keepNext/>
        <w:numPr>
          <w:ilvl w:val="0"/>
          <w:numId w:val="30"/>
        </w:numPr>
        <w:tabs>
          <w:tab w:val="clear" w:pos="468"/>
          <w:tab w:val="clear" w:pos="567"/>
        </w:tabs>
        <w:autoSpaceDE w:val="0"/>
        <w:autoSpaceDN w:val="0"/>
        <w:adjustRightInd w:val="0"/>
        <w:ind w:left="567" w:hanging="567"/>
        <w:rPr>
          <w:rFonts w:eastAsia="SimSun"/>
        </w:rPr>
      </w:pPr>
      <w:r>
        <w:t>på forespørsel fra Det europeiske legemiddelkontoret (the European Medicines Agency);</w:t>
      </w:r>
    </w:p>
    <w:p w14:paraId="3416F330" w14:textId="77777777" w:rsidR="004E65A9" w:rsidRPr="00BD1AD5" w:rsidRDefault="004E65A9" w:rsidP="003F09AA">
      <w:pPr>
        <w:numPr>
          <w:ilvl w:val="0"/>
          <w:numId w:val="30"/>
        </w:numPr>
        <w:tabs>
          <w:tab w:val="clear" w:pos="468"/>
          <w:tab w:val="clear" w:pos="567"/>
        </w:tabs>
        <w:autoSpaceDE w:val="0"/>
        <w:autoSpaceDN w:val="0"/>
        <w:adjustRightInd w:val="0"/>
        <w:ind w:left="567" w:hanging="567"/>
        <w:rPr>
          <w:rFonts w:eastAsia="SimSun"/>
        </w:rPr>
      </w:pPr>
      <w: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6F7C4D2E" w14:textId="77777777" w:rsidR="004E65A9" w:rsidRPr="00BD1AD5" w:rsidRDefault="004E65A9" w:rsidP="003F09AA">
      <w:r>
        <w:br w:type="page"/>
      </w:r>
    </w:p>
    <w:p w14:paraId="0EA9C843" w14:textId="77777777" w:rsidR="004E65A9" w:rsidRPr="00BD1AD5" w:rsidRDefault="004E65A9" w:rsidP="003F09AA"/>
    <w:p w14:paraId="22747135" w14:textId="77777777" w:rsidR="004E65A9" w:rsidRPr="00BD1AD5" w:rsidRDefault="004E65A9" w:rsidP="003F09AA"/>
    <w:p w14:paraId="6827C0F0" w14:textId="77777777" w:rsidR="004E65A9" w:rsidRPr="00BD1AD5" w:rsidRDefault="004E65A9" w:rsidP="003F09AA"/>
    <w:p w14:paraId="5821AA5A" w14:textId="77777777" w:rsidR="004E65A9" w:rsidRPr="00BD1AD5" w:rsidRDefault="004E65A9" w:rsidP="003F09AA"/>
    <w:p w14:paraId="1E911F81" w14:textId="77777777" w:rsidR="004E65A9" w:rsidRPr="00BD1AD5" w:rsidRDefault="004E65A9" w:rsidP="003F09AA"/>
    <w:p w14:paraId="4072656A" w14:textId="77777777" w:rsidR="004E65A9" w:rsidRPr="00BD1AD5" w:rsidRDefault="004E65A9" w:rsidP="003F09AA"/>
    <w:p w14:paraId="7FA96D45" w14:textId="77777777" w:rsidR="004E65A9" w:rsidRPr="00BD1AD5" w:rsidRDefault="004E65A9" w:rsidP="003F09AA"/>
    <w:p w14:paraId="21D1E123" w14:textId="77777777" w:rsidR="004E65A9" w:rsidRPr="00BD1AD5" w:rsidRDefault="004E65A9" w:rsidP="003F09AA"/>
    <w:p w14:paraId="0BB6B2F1" w14:textId="77777777" w:rsidR="004E65A9" w:rsidRPr="00BD1AD5" w:rsidRDefault="004E65A9" w:rsidP="003F09AA"/>
    <w:p w14:paraId="7AFB7601" w14:textId="77777777" w:rsidR="004E65A9" w:rsidRPr="00BD1AD5" w:rsidRDefault="004E65A9" w:rsidP="003F09AA"/>
    <w:p w14:paraId="1BEAF5E2" w14:textId="77777777" w:rsidR="004E65A9" w:rsidRPr="00BD1AD5" w:rsidRDefault="004E65A9" w:rsidP="003F09AA"/>
    <w:p w14:paraId="1FE799C6" w14:textId="77777777" w:rsidR="004E65A9" w:rsidRPr="00BD1AD5" w:rsidRDefault="004E65A9" w:rsidP="003F09AA"/>
    <w:p w14:paraId="1302FD06" w14:textId="77777777" w:rsidR="004E65A9" w:rsidRPr="00BD1AD5" w:rsidRDefault="004E65A9" w:rsidP="003F09AA"/>
    <w:p w14:paraId="74B19C94" w14:textId="77777777" w:rsidR="004E65A9" w:rsidRPr="00BD1AD5" w:rsidRDefault="004E65A9" w:rsidP="003F09AA"/>
    <w:p w14:paraId="5CD0CBF4" w14:textId="77777777" w:rsidR="004E65A9" w:rsidRPr="00BD1AD5" w:rsidRDefault="004E65A9" w:rsidP="003F09AA"/>
    <w:p w14:paraId="512D48F3" w14:textId="77777777" w:rsidR="004E65A9" w:rsidRPr="00BD1AD5" w:rsidRDefault="004E65A9" w:rsidP="003F09AA"/>
    <w:p w14:paraId="51546F0A" w14:textId="77777777" w:rsidR="004E65A9" w:rsidRPr="00BD1AD5" w:rsidRDefault="004E65A9" w:rsidP="003F09AA"/>
    <w:p w14:paraId="2F34A787" w14:textId="77777777" w:rsidR="004E65A9" w:rsidRPr="00BD1AD5" w:rsidRDefault="004E65A9" w:rsidP="003F09AA"/>
    <w:p w14:paraId="120BB82B" w14:textId="77777777" w:rsidR="004E65A9" w:rsidRPr="00BD1AD5" w:rsidRDefault="004E65A9" w:rsidP="003F09AA"/>
    <w:p w14:paraId="66A50018" w14:textId="77777777" w:rsidR="004E65A9" w:rsidRPr="00BD1AD5" w:rsidRDefault="004E65A9" w:rsidP="003F09AA"/>
    <w:p w14:paraId="63017494" w14:textId="77777777" w:rsidR="004E65A9" w:rsidRPr="00BD1AD5" w:rsidRDefault="004E65A9" w:rsidP="003F09AA"/>
    <w:p w14:paraId="49E24621" w14:textId="77777777" w:rsidR="004E65A9" w:rsidRPr="00BD1AD5" w:rsidRDefault="004E65A9" w:rsidP="003F09AA"/>
    <w:p w14:paraId="08A93D34" w14:textId="77777777" w:rsidR="004E65A9" w:rsidRPr="00BD1AD5" w:rsidRDefault="004E65A9" w:rsidP="003F09AA">
      <w:pPr>
        <w:jc w:val="center"/>
        <w:outlineLvl w:val="0"/>
        <w:rPr>
          <w:b/>
        </w:rPr>
      </w:pPr>
      <w:r>
        <w:rPr>
          <w:b/>
        </w:rPr>
        <w:t>VEDLEGG III</w:t>
      </w:r>
    </w:p>
    <w:p w14:paraId="5F9DA5DE" w14:textId="77777777" w:rsidR="004E65A9" w:rsidRPr="00BD1AD5" w:rsidRDefault="004E65A9" w:rsidP="003F09AA">
      <w:pPr>
        <w:jc w:val="center"/>
        <w:rPr>
          <w:b/>
        </w:rPr>
      </w:pPr>
    </w:p>
    <w:p w14:paraId="3DF11568" w14:textId="77777777" w:rsidR="004E65A9" w:rsidRPr="00BD1AD5" w:rsidRDefault="004E65A9" w:rsidP="003F09AA">
      <w:pPr>
        <w:jc w:val="center"/>
        <w:rPr>
          <w:b/>
        </w:rPr>
      </w:pPr>
      <w:r>
        <w:rPr>
          <w:b/>
        </w:rPr>
        <w:t>MERKING OG PAKNINGSVEDLEGG</w:t>
      </w:r>
    </w:p>
    <w:p w14:paraId="64CF15DD" w14:textId="77777777" w:rsidR="004E65A9" w:rsidRPr="00BD1AD5" w:rsidRDefault="004E65A9" w:rsidP="003F09AA">
      <w:r>
        <w:br w:type="page"/>
      </w:r>
    </w:p>
    <w:p w14:paraId="7786AC61" w14:textId="77777777" w:rsidR="004E65A9" w:rsidRPr="00BD1AD5" w:rsidRDefault="004E65A9" w:rsidP="003F09AA"/>
    <w:p w14:paraId="048FF110" w14:textId="77777777" w:rsidR="004E65A9" w:rsidRPr="00BD1AD5" w:rsidRDefault="004E65A9" w:rsidP="003F09AA"/>
    <w:p w14:paraId="211FB4FA" w14:textId="77777777" w:rsidR="004E65A9" w:rsidRPr="00BD1AD5" w:rsidRDefault="004E65A9" w:rsidP="003F09AA"/>
    <w:p w14:paraId="586E9D35" w14:textId="77777777" w:rsidR="004E65A9" w:rsidRPr="00BD1AD5" w:rsidRDefault="004E65A9" w:rsidP="003F09AA"/>
    <w:p w14:paraId="2691D18C" w14:textId="77777777" w:rsidR="004E65A9" w:rsidRPr="00BD1AD5" w:rsidRDefault="004E65A9" w:rsidP="003F09AA"/>
    <w:p w14:paraId="4320B2CA" w14:textId="77777777" w:rsidR="004E65A9" w:rsidRPr="00BD1AD5" w:rsidRDefault="004E65A9" w:rsidP="003F09AA"/>
    <w:p w14:paraId="5877BB6F" w14:textId="77777777" w:rsidR="004E65A9" w:rsidRPr="00BD1AD5" w:rsidRDefault="004E65A9" w:rsidP="003F09AA"/>
    <w:p w14:paraId="045E792E" w14:textId="77777777" w:rsidR="004E65A9" w:rsidRPr="00BD1AD5" w:rsidRDefault="004E65A9" w:rsidP="003F09AA"/>
    <w:p w14:paraId="375B83BF" w14:textId="77777777" w:rsidR="004E65A9" w:rsidRPr="00BD1AD5" w:rsidRDefault="004E65A9" w:rsidP="003F09AA"/>
    <w:p w14:paraId="4CDA0C67" w14:textId="77777777" w:rsidR="004E65A9" w:rsidRPr="00BD1AD5" w:rsidRDefault="004E65A9" w:rsidP="003F09AA"/>
    <w:p w14:paraId="641AB956" w14:textId="77777777" w:rsidR="004E65A9" w:rsidRPr="00BD1AD5" w:rsidRDefault="004E65A9" w:rsidP="003F09AA"/>
    <w:p w14:paraId="704503FD" w14:textId="77777777" w:rsidR="004E65A9" w:rsidRPr="00BD1AD5" w:rsidRDefault="004E65A9" w:rsidP="003F09AA"/>
    <w:p w14:paraId="22B6E265" w14:textId="77777777" w:rsidR="004E65A9" w:rsidRPr="00BD1AD5" w:rsidRDefault="004E65A9" w:rsidP="003F09AA"/>
    <w:p w14:paraId="5D17FC4E" w14:textId="77777777" w:rsidR="004E65A9" w:rsidRPr="00BD1AD5" w:rsidRDefault="004E65A9" w:rsidP="003F09AA"/>
    <w:p w14:paraId="7C371E57" w14:textId="77777777" w:rsidR="004E65A9" w:rsidRPr="00BD1AD5" w:rsidRDefault="004E65A9" w:rsidP="003F09AA"/>
    <w:p w14:paraId="6993DFEC" w14:textId="77777777" w:rsidR="004E65A9" w:rsidRPr="00BD1AD5" w:rsidRDefault="004E65A9" w:rsidP="003F09AA"/>
    <w:p w14:paraId="6902455C" w14:textId="77777777" w:rsidR="004E65A9" w:rsidRPr="00BD1AD5" w:rsidRDefault="004E65A9" w:rsidP="003F09AA"/>
    <w:p w14:paraId="172BD874" w14:textId="77777777" w:rsidR="004E65A9" w:rsidRPr="00BD1AD5" w:rsidRDefault="004E65A9" w:rsidP="003F09AA"/>
    <w:p w14:paraId="081BA18D" w14:textId="77777777" w:rsidR="004E65A9" w:rsidRPr="00BD1AD5" w:rsidRDefault="004E65A9" w:rsidP="003F09AA"/>
    <w:p w14:paraId="271155AC" w14:textId="77777777" w:rsidR="004E65A9" w:rsidRPr="00BD1AD5" w:rsidRDefault="004E65A9" w:rsidP="003F09AA"/>
    <w:p w14:paraId="5F106AD8" w14:textId="77777777" w:rsidR="004E65A9" w:rsidRPr="00BD1AD5" w:rsidRDefault="004E65A9" w:rsidP="003F09AA"/>
    <w:p w14:paraId="13DFC5A0" w14:textId="77777777" w:rsidR="004E65A9" w:rsidRPr="00BD1AD5" w:rsidRDefault="004E65A9" w:rsidP="003F09AA"/>
    <w:p w14:paraId="0AAD46D9" w14:textId="77777777" w:rsidR="004E65A9" w:rsidRDefault="004E65A9" w:rsidP="003F09AA">
      <w:pPr>
        <w:pStyle w:val="TitleA"/>
      </w:pPr>
      <w:r>
        <w:t>A. MERKING</w:t>
      </w:r>
    </w:p>
    <w:p w14:paraId="34839D64" w14:textId="77777777" w:rsidR="004E65A9" w:rsidRPr="00104611" w:rsidRDefault="004E65A9" w:rsidP="003F09AA">
      <w:pPr>
        <w:pStyle w:val="Stylebold"/>
        <w:pBdr>
          <w:top w:val="single" w:sz="4" w:space="1" w:color="auto"/>
          <w:left w:val="single" w:sz="4" w:space="4" w:color="auto"/>
          <w:bottom w:val="single" w:sz="4" w:space="1" w:color="auto"/>
          <w:right w:val="single" w:sz="4" w:space="4" w:color="auto"/>
        </w:pBdr>
      </w:pPr>
      <w:r>
        <w:br w:type="page"/>
      </w:r>
      <w:r>
        <w:lastRenderedPageBreak/>
        <w:t>OPPLYSNINGER SOM SKAL ANGIS PÅ YTRE EMBALLASJE</w:t>
      </w:r>
    </w:p>
    <w:p w14:paraId="3839E5C3" w14:textId="77777777" w:rsidR="004E65A9" w:rsidRPr="00104611" w:rsidRDefault="004E65A9" w:rsidP="003F09AA">
      <w:pPr>
        <w:pStyle w:val="Stylebold"/>
        <w:pBdr>
          <w:top w:val="single" w:sz="4" w:space="1" w:color="auto"/>
          <w:left w:val="single" w:sz="4" w:space="4" w:color="auto"/>
          <w:bottom w:val="single" w:sz="4" w:space="1" w:color="auto"/>
          <w:right w:val="single" w:sz="4" w:space="4" w:color="auto"/>
        </w:pBdr>
      </w:pPr>
    </w:p>
    <w:p w14:paraId="20303AEA" w14:textId="77777777" w:rsidR="004E65A9" w:rsidRPr="00104611" w:rsidRDefault="004E65A9" w:rsidP="003F09AA">
      <w:pPr>
        <w:pStyle w:val="Stylebold"/>
        <w:pBdr>
          <w:top w:val="single" w:sz="4" w:space="1" w:color="auto"/>
          <w:left w:val="single" w:sz="4" w:space="4" w:color="auto"/>
          <w:bottom w:val="single" w:sz="4" w:space="1" w:color="auto"/>
          <w:right w:val="single" w:sz="4" w:space="4" w:color="auto"/>
        </w:pBdr>
      </w:pPr>
      <w:r>
        <w:t>Mappe inneholdende 2</w:t>
      </w:r>
      <w:r>
        <w:noBreakHyphen/>
        <w:t>ukers behandlingsinitieringspakke</w:t>
      </w:r>
    </w:p>
    <w:p w14:paraId="7550EB03" w14:textId="77777777" w:rsidR="004E65A9" w:rsidRPr="004F295B" w:rsidRDefault="004E65A9" w:rsidP="003F09AA">
      <w:pPr>
        <w:keepNext/>
      </w:pPr>
    </w:p>
    <w:p w14:paraId="3C54C149" w14:textId="77777777" w:rsidR="004E65A9" w:rsidRPr="004F295B" w:rsidRDefault="004E65A9" w:rsidP="003F09AA"/>
    <w:p w14:paraId="1A87D647" w14:textId="77777777" w:rsidR="004E65A9" w:rsidRPr="00104611" w:rsidRDefault="004E65A9" w:rsidP="003F09AA">
      <w:pPr>
        <w:pStyle w:val="Stylebold"/>
        <w:pBdr>
          <w:top w:val="single" w:sz="4" w:space="1" w:color="auto"/>
          <w:left w:val="single" w:sz="4" w:space="4" w:color="auto"/>
          <w:bottom w:val="single" w:sz="4" w:space="1" w:color="auto"/>
          <w:right w:val="single" w:sz="4" w:space="4" w:color="auto"/>
        </w:pBdr>
        <w:ind w:left="567" w:hanging="567"/>
      </w:pPr>
      <w:r>
        <w:t>1.</w:t>
      </w:r>
      <w:r>
        <w:tab/>
        <w:t>LEGEMIDLETS NAVN</w:t>
      </w:r>
    </w:p>
    <w:p w14:paraId="68342394" w14:textId="77777777" w:rsidR="004E65A9" w:rsidRPr="00394DF8" w:rsidRDefault="004E65A9" w:rsidP="003F09AA">
      <w:pPr>
        <w:keepNext/>
      </w:pPr>
    </w:p>
    <w:p w14:paraId="3345D10A" w14:textId="77777777" w:rsidR="004E65A9" w:rsidRPr="00394DF8" w:rsidRDefault="004E65A9" w:rsidP="003F09AA">
      <w:pPr>
        <w:keepNext/>
      </w:pPr>
      <w:r>
        <w:t>Otezla 10 mg tabletter, filmdrasjerte</w:t>
      </w:r>
    </w:p>
    <w:p w14:paraId="1871322B" w14:textId="77777777" w:rsidR="004E65A9" w:rsidRPr="00394DF8" w:rsidRDefault="004E65A9" w:rsidP="003F09AA">
      <w:pPr>
        <w:keepNext/>
      </w:pPr>
      <w:r>
        <w:t>Otezla 20 mg tabletter, filmdrasjerte</w:t>
      </w:r>
    </w:p>
    <w:p w14:paraId="499E64AD" w14:textId="77777777" w:rsidR="004E65A9" w:rsidRPr="00394DF8" w:rsidRDefault="004E65A9" w:rsidP="003F09AA">
      <w:pPr>
        <w:rPr>
          <w:b/>
        </w:rPr>
      </w:pPr>
      <w:r>
        <w:t>apremilast</w:t>
      </w:r>
    </w:p>
    <w:p w14:paraId="5C891E82" w14:textId="77777777" w:rsidR="004E65A9" w:rsidRPr="00394DF8" w:rsidRDefault="004E65A9" w:rsidP="003F09AA"/>
    <w:p w14:paraId="13643D04" w14:textId="77777777" w:rsidR="004E65A9" w:rsidRPr="00394DF8" w:rsidRDefault="004E65A9" w:rsidP="003F09AA"/>
    <w:p w14:paraId="0785897D" w14:textId="77777777" w:rsidR="004E65A9" w:rsidRPr="00104611" w:rsidRDefault="004E65A9" w:rsidP="003F09AA">
      <w:pPr>
        <w:pStyle w:val="Stylebold"/>
        <w:pBdr>
          <w:top w:val="single" w:sz="4" w:space="1" w:color="auto"/>
          <w:left w:val="single" w:sz="4" w:space="4" w:color="auto"/>
          <w:bottom w:val="single" w:sz="4" w:space="1" w:color="auto"/>
          <w:right w:val="single" w:sz="4" w:space="4" w:color="auto"/>
        </w:pBdr>
        <w:ind w:left="567" w:hanging="567"/>
      </w:pPr>
      <w:r>
        <w:t>2.</w:t>
      </w:r>
      <w:r>
        <w:tab/>
        <w:t>DEKLARASJON AV VIRKESTOFF(ER)</w:t>
      </w:r>
    </w:p>
    <w:p w14:paraId="28F83B61" w14:textId="77777777" w:rsidR="004E65A9" w:rsidRPr="0065580F" w:rsidRDefault="004E65A9" w:rsidP="003F09AA">
      <w:pPr>
        <w:keepNext/>
        <w:rPr>
          <w:iCs/>
        </w:rPr>
      </w:pPr>
    </w:p>
    <w:p w14:paraId="560AD034" w14:textId="77777777" w:rsidR="004E65A9" w:rsidRPr="00394DF8" w:rsidRDefault="004E65A9" w:rsidP="003F09AA">
      <w:pPr>
        <w:widowControl w:val="0"/>
      </w:pPr>
      <w:r>
        <w:t>Én filmdrasjert tablett inneholder 10 mg eller 20 mg apremilast.</w:t>
      </w:r>
    </w:p>
    <w:p w14:paraId="77E23E2B" w14:textId="77777777" w:rsidR="004E65A9" w:rsidRPr="00394DF8" w:rsidRDefault="004E65A9" w:rsidP="003F09AA"/>
    <w:p w14:paraId="3D77EB50" w14:textId="77777777" w:rsidR="004E65A9" w:rsidRPr="00394DF8" w:rsidRDefault="004E65A9" w:rsidP="003F09AA"/>
    <w:p w14:paraId="3C8B20EC" w14:textId="77777777" w:rsidR="004E65A9" w:rsidRPr="00394DF8" w:rsidRDefault="004E65A9" w:rsidP="003F09AA">
      <w:pPr>
        <w:pStyle w:val="Stylebold"/>
        <w:pBdr>
          <w:top w:val="single" w:sz="4" w:space="1" w:color="auto"/>
          <w:left w:val="single" w:sz="4" w:space="4" w:color="auto"/>
          <w:bottom w:val="single" w:sz="4" w:space="1" w:color="auto"/>
          <w:right w:val="single" w:sz="4" w:space="4" w:color="auto"/>
        </w:pBdr>
        <w:ind w:left="567" w:hanging="567"/>
      </w:pPr>
      <w:r>
        <w:t>3.</w:t>
      </w:r>
      <w:r>
        <w:tab/>
        <w:t>LISTE OVER HJELPESTOFFER</w:t>
      </w:r>
    </w:p>
    <w:p w14:paraId="407AD4CD" w14:textId="77777777" w:rsidR="004E65A9" w:rsidRPr="00394DF8" w:rsidRDefault="004E65A9" w:rsidP="003F09AA">
      <w:pPr>
        <w:keepNext/>
      </w:pPr>
    </w:p>
    <w:p w14:paraId="434298DC" w14:textId="77777777" w:rsidR="004E65A9" w:rsidRPr="0065580F" w:rsidRDefault="004E65A9" w:rsidP="003F09AA">
      <w:r>
        <w:t>Inneholder laktose. Se pakningsvedlegg for ytterligere informasjon.</w:t>
      </w:r>
    </w:p>
    <w:p w14:paraId="6CEF0856" w14:textId="77777777" w:rsidR="004E65A9" w:rsidRPr="00394DF8" w:rsidRDefault="004E65A9" w:rsidP="003F09AA"/>
    <w:p w14:paraId="291FB1F8" w14:textId="77777777" w:rsidR="004E65A9" w:rsidRPr="00394DF8" w:rsidRDefault="004E65A9" w:rsidP="003F09AA"/>
    <w:p w14:paraId="3FFB5222" w14:textId="77777777" w:rsidR="004E65A9" w:rsidRPr="00394DF8" w:rsidRDefault="004E65A9" w:rsidP="003F09AA">
      <w:pPr>
        <w:pStyle w:val="Stylebold"/>
        <w:pBdr>
          <w:top w:val="single" w:sz="4" w:space="1" w:color="auto"/>
          <w:left w:val="single" w:sz="4" w:space="4" w:color="auto"/>
          <w:bottom w:val="single" w:sz="4" w:space="1" w:color="auto"/>
          <w:right w:val="single" w:sz="4" w:space="4" w:color="auto"/>
        </w:pBdr>
        <w:ind w:left="567" w:hanging="567"/>
      </w:pPr>
      <w:r>
        <w:t>4.</w:t>
      </w:r>
      <w:r>
        <w:tab/>
        <w:t>LEGEMIDDELFORM OG INNHOLD (PAKNINGSSTØRRELSE)</w:t>
      </w:r>
    </w:p>
    <w:p w14:paraId="278AB06E" w14:textId="77777777" w:rsidR="004E65A9" w:rsidRPr="00394DF8" w:rsidRDefault="004E65A9" w:rsidP="003F09AA">
      <w:pPr>
        <w:keepNext/>
      </w:pPr>
    </w:p>
    <w:p w14:paraId="0E9F29C8" w14:textId="77777777" w:rsidR="004E65A9" w:rsidRPr="00394DF8" w:rsidRDefault="004E65A9" w:rsidP="003F09AA">
      <w:pPr>
        <w:keepNext/>
      </w:pPr>
      <w:r>
        <w:rPr>
          <w:highlight w:val="lightGray"/>
        </w:rPr>
        <w:t>Tablett, filmdrasjert</w:t>
      </w:r>
    </w:p>
    <w:p w14:paraId="0B128B84" w14:textId="77777777" w:rsidR="004E65A9" w:rsidRPr="00394DF8" w:rsidRDefault="004E65A9" w:rsidP="003F09AA">
      <w:r>
        <w:t>Startpakning</w:t>
      </w:r>
    </w:p>
    <w:p w14:paraId="617F00B9" w14:textId="77777777" w:rsidR="004E65A9" w:rsidRDefault="004E65A9" w:rsidP="003F09AA"/>
    <w:p w14:paraId="604B94C5" w14:textId="77777777" w:rsidR="004E65A9" w:rsidRDefault="004E65A9" w:rsidP="003F09AA">
      <w:pPr>
        <w:keepNext/>
      </w:pPr>
      <w:r>
        <w:t>Hver pakning med 27 tabletter, filmdrasjerte til en 2 ukers behandlingsplan inneholder:</w:t>
      </w:r>
    </w:p>
    <w:p w14:paraId="4E97220E" w14:textId="77777777" w:rsidR="004E65A9" w:rsidRPr="00394DF8" w:rsidRDefault="004E65A9" w:rsidP="003F09AA">
      <w:pPr>
        <w:keepNext/>
      </w:pPr>
      <w:r>
        <w:t>4 </w:t>
      </w:r>
      <w:bookmarkStart w:id="14" w:name="_Hlk179377268"/>
      <w:r>
        <w:t xml:space="preserve">filmdrasjerte </w:t>
      </w:r>
      <w:bookmarkEnd w:id="14"/>
      <w:r>
        <w:t>tabletter à 10 mg</w:t>
      </w:r>
    </w:p>
    <w:p w14:paraId="170260C9" w14:textId="77777777" w:rsidR="004E65A9" w:rsidRPr="00394DF8" w:rsidRDefault="004E65A9" w:rsidP="003F09AA">
      <w:r>
        <w:t>23 filmdrasjerte tabletter à 20 mg</w:t>
      </w:r>
    </w:p>
    <w:p w14:paraId="5147AF7F" w14:textId="77777777" w:rsidR="004E65A9" w:rsidRPr="00394DF8" w:rsidRDefault="004E65A9" w:rsidP="003F09AA"/>
    <w:p w14:paraId="462488FB" w14:textId="77777777" w:rsidR="004E65A9" w:rsidRPr="00394DF8" w:rsidRDefault="004E65A9" w:rsidP="003F09AA">
      <w:pPr>
        <w:rPr>
          <w:rFonts w:eastAsia="SimSun"/>
          <w:noProof/>
          <w:lang w:eastAsia="zh-CN"/>
        </w:rPr>
      </w:pPr>
    </w:p>
    <w:p w14:paraId="02A7E9F7" w14:textId="77777777" w:rsidR="004E65A9" w:rsidRPr="00394DF8" w:rsidRDefault="004E65A9" w:rsidP="003F09AA">
      <w:pPr>
        <w:pStyle w:val="Stylebold"/>
        <w:pBdr>
          <w:top w:val="single" w:sz="4" w:space="1" w:color="auto"/>
          <w:left w:val="single" w:sz="4" w:space="4" w:color="auto"/>
          <w:bottom w:val="single" w:sz="4" w:space="1" w:color="auto"/>
          <w:right w:val="single" w:sz="4" w:space="4" w:color="auto"/>
        </w:pBdr>
        <w:ind w:left="567" w:hanging="567"/>
      </w:pPr>
      <w:r>
        <w:t>5.</w:t>
      </w:r>
      <w:r>
        <w:tab/>
        <w:t>ADMINISTRASJONSMÅTE OG -VEI(ER)</w:t>
      </w:r>
    </w:p>
    <w:p w14:paraId="7EC767F7" w14:textId="77777777" w:rsidR="004E65A9" w:rsidRPr="00394DF8" w:rsidRDefault="004E65A9" w:rsidP="003F09AA">
      <w:pPr>
        <w:keepNext/>
      </w:pPr>
    </w:p>
    <w:p w14:paraId="42EC7AA0" w14:textId="77777777" w:rsidR="004E65A9" w:rsidRPr="00394DF8" w:rsidRDefault="004E65A9" w:rsidP="003F09AA">
      <w:pPr>
        <w:keepNext/>
      </w:pPr>
      <w:r>
        <w:rPr>
          <w:highlight w:val="lightGray"/>
        </w:rPr>
        <w:t>Les pakningsvedlegget før bruk.</w:t>
      </w:r>
    </w:p>
    <w:p w14:paraId="05291B54" w14:textId="77777777" w:rsidR="004E65A9" w:rsidRPr="00394DF8" w:rsidRDefault="004E65A9" w:rsidP="003F09AA">
      <w:pPr>
        <w:keepNext/>
        <w:rPr>
          <w:rFonts w:eastAsia="SimSun"/>
          <w:noProof/>
        </w:rPr>
      </w:pPr>
      <w:r>
        <w:t>Til oral bruk.</w:t>
      </w:r>
    </w:p>
    <w:p w14:paraId="150A18C5" w14:textId="77777777" w:rsidR="004E65A9" w:rsidRPr="001436B1" w:rsidRDefault="004E65A9" w:rsidP="003F09AA">
      <w:pPr>
        <w:keepNext/>
        <w:autoSpaceDE w:val="0"/>
        <w:autoSpaceDN w:val="0"/>
        <w:adjustRightInd w:val="0"/>
      </w:pPr>
      <w:r>
        <w:t xml:space="preserve">Uke 1 </w:t>
      </w:r>
    </w:p>
    <w:p w14:paraId="3F64FA55" w14:textId="77777777" w:rsidR="004E65A9" w:rsidRPr="001436B1" w:rsidRDefault="004E65A9" w:rsidP="003F09AA">
      <w:pPr>
        <w:keepNext/>
        <w:autoSpaceDE w:val="0"/>
        <w:autoSpaceDN w:val="0"/>
        <w:adjustRightInd w:val="0"/>
      </w:pPr>
      <w:r>
        <w:t>Uke 2</w:t>
      </w:r>
    </w:p>
    <w:p w14:paraId="1FE474A2" w14:textId="77777777" w:rsidR="004E65A9" w:rsidRPr="00FE67EF" w:rsidRDefault="004E65A9" w:rsidP="003F09AA">
      <w:pPr>
        <w:keepNext/>
        <w:autoSpaceDE w:val="0"/>
        <w:autoSpaceDN w:val="0"/>
        <w:adjustRightInd w:val="0"/>
        <w:rPr>
          <w:b/>
        </w:rPr>
      </w:pPr>
      <w:r w:rsidRPr="00FE67EF">
        <w:t xml:space="preserve">Dag 1 </w:t>
      </w:r>
      <w:r w:rsidRPr="00FE67EF">
        <w:tab/>
        <w:t>Dag 8</w:t>
      </w:r>
    </w:p>
    <w:p w14:paraId="1A5B37F5" w14:textId="77777777" w:rsidR="004E65A9" w:rsidRPr="00002BC9" w:rsidRDefault="004E65A9" w:rsidP="003F09AA">
      <w:pPr>
        <w:keepNext/>
        <w:autoSpaceDE w:val="0"/>
        <w:autoSpaceDN w:val="0"/>
        <w:adjustRightInd w:val="0"/>
        <w:rPr>
          <w:b/>
        </w:rPr>
      </w:pPr>
      <w:r w:rsidRPr="00002BC9">
        <w:t xml:space="preserve">Dag 2 </w:t>
      </w:r>
      <w:r w:rsidRPr="00002BC9">
        <w:tab/>
        <w:t>Dag 9</w:t>
      </w:r>
    </w:p>
    <w:p w14:paraId="387E61F5" w14:textId="77777777" w:rsidR="004E65A9" w:rsidRPr="00002BC9" w:rsidRDefault="004E65A9" w:rsidP="003F09AA">
      <w:pPr>
        <w:keepNext/>
        <w:autoSpaceDE w:val="0"/>
        <w:autoSpaceDN w:val="0"/>
        <w:adjustRightInd w:val="0"/>
        <w:rPr>
          <w:b/>
        </w:rPr>
      </w:pPr>
      <w:r w:rsidRPr="00002BC9">
        <w:t xml:space="preserve">Dag 3 </w:t>
      </w:r>
      <w:r w:rsidRPr="00002BC9">
        <w:tab/>
        <w:t>Dag 10</w:t>
      </w:r>
    </w:p>
    <w:p w14:paraId="6380D76F" w14:textId="77777777" w:rsidR="004E65A9" w:rsidRPr="00002BC9" w:rsidRDefault="004E65A9" w:rsidP="003F09AA">
      <w:pPr>
        <w:keepNext/>
        <w:autoSpaceDE w:val="0"/>
        <w:autoSpaceDN w:val="0"/>
        <w:adjustRightInd w:val="0"/>
        <w:rPr>
          <w:b/>
        </w:rPr>
      </w:pPr>
      <w:r w:rsidRPr="00002BC9">
        <w:t xml:space="preserve">Dag 4 </w:t>
      </w:r>
      <w:r w:rsidRPr="00002BC9">
        <w:tab/>
        <w:t>Dag 11</w:t>
      </w:r>
    </w:p>
    <w:p w14:paraId="60D59896" w14:textId="77777777" w:rsidR="004E65A9" w:rsidRPr="00002BC9" w:rsidRDefault="004E65A9" w:rsidP="003F09AA">
      <w:pPr>
        <w:keepNext/>
        <w:autoSpaceDE w:val="0"/>
        <w:autoSpaceDN w:val="0"/>
        <w:adjustRightInd w:val="0"/>
        <w:rPr>
          <w:b/>
        </w:rPr>
      </w:pPr>
      <w:r w:rsidRPr="00002BC9">
        <w:t xml:space="preserve">Dag 5 </w:t>
      </w:r>
      <w:r w:rsidRPr="00002BC9">
        <w:tab/>
        <w:t>Dag 12</w:t>
      </w:r>
    </w:p>
    <w:p w14:paraId="7D4B9578" w14:textId="77777777" w:rsidR="004E65A9" w:rsidRPr="00002BC9" w:rsidRDefault="004E65A9" w:rsidP="003F09AA">
      <w:pPr>
        <w:keepNext/>
        <w:autoSpaceDE w:val="0"/>
        <w:autoSpaceDN w:val="0"/>
        <w:adjustRightInd w:val="0"/>
        <w:rPr>
          <w:b/>
        </w:rPr>
      </w:pPr>
      <w:r w:rsidRPr="00002BC9">
        <w:t xml:space="preserve">Dag 6 </w:t>
      </w:r>
      <w:r w:rsidRPr="00002BC9">
        <w:tab/>
        <w:t>Dag 13</w:t>
      </w:r>
    </w:p>
    <w:p w14:paraId="57B21AC6" w14:textId="77777777" w:rsidR="004E65A9" w:rsidRPr="00002BC9" w:rsidRDefault="004E65A9" w:rsidP="003F09AA">
      <w:pPr>
        <w:keepNext/>
        <w:autoSpaceDE w:val="0"/>
        <w:autoSpaceDN w:val="0"/>
        <w:adjustRightInd w:val="0"/>
        <w:rPr>
          <w:b/>
        </w:rPr>
      </w:pPr>
      <w:r w:rsidRPr="00002BC9">
        <w:t xml:space="preserve">Dag 7 </w:t>
      </w:r>
      <w:r w:rsidRPr="00002BC9">
        <w:tab/>
        <w:t>Dag 14</w:t>
      </w:r>
    </w:p>
    <w:p w14:paraId="66B9F345" w14:textId="77777777" w:rsidR="004E65A9" w:rsidRPr="00FE67EF" w:rsidRDefault="004E65A9" w:rsidP="003F09AA">
      <w:pPr>
        <w:pStyle w:val="StyleItalic"/>
      </w:pPr>
      <w:r w:rsidRPr="00FE67EF">
        <w:t>Sol som symbol for morgendose</w:t>
      </w:r>
    </w:p>
    <w:p w14:paraId="06B69A00" w14:textId="77777777" w:rsidR="004E65A9" w:rsidRPr="00FE67EF" w:rsidRDefault="004E65A9" w:rsidP="003F09AA">
      <w:pPr>
        <w:pStyle w:val="StyleItalic"/>
      </w:pPr>
      <w:r w:rsidRPr="00FE67EF">
        <w:t>Måne som symbol for kveldsdose</w:t>
      </w:r>
    </w:p>
    <w:p w14:paraId="263EB61D" w14:textId="77777777" w:rsidR="004E65A9" w:rsidRPr="00FE67EF" w:rsidRDefault="004E65A9" w:rsidP="003F09AA">
      <w:pPr>
        <w:keepNext/>
      </w:pPr>
      <w:r>
        <w:rPr>
          <w:highlight w:val="lightGray"/>
        </w:rPr>
        <w:t>Se mappen for daglig dose</w:t>
      </w:r>
    </w:p>
    <w:p w14:paraId="4EDD2E48" w14:textId="77777777" w:rsidR="004E65A9" w:rsidRPr="00FE67EF" w:rsidRDefault="004E65A9" w:rsidP="003F09AA">
      <w:pPr>
        <w:keepNext/>
        <w:autoSpaceDE w:val="0"/>
        <w:autoSpaceDN w:val="0"/>
        <w:adjustRightInd w:val="0"/>
      </w:pPr>
    </w:p>
    <w:p w14:paraId="16455F65" w14:textId="77777777" w:rsidR="004E65A9" w:rsidRDefault="004E65A9" w:rsidP="003F09AA">
      <w:pPr>
        <w:keepNext/>
        <w:widowControl w:val="0"/>
        <w:rPr>
          <w:highlight w:val="lightGray"/>
        </w:rPr>
      </w:pPr>
      <w:r>
        <w:rPr>
          <w:highlight w:val="lightGray"/>
        </w:rPr>
        <w:t>QR-kode settes inn</w:t>
      </w:r>
    </w:p>
    <w:p w14:paraId="7E6953FE" w14:textId="77777777" w:rsidR="004E65A9" w:rsidRPr="00E61F33" w:rsidRDefault="004E65A9" w:rsidP="003F09AA">
      <w:pPr>
        <w:autoSpaceDE w:val="0"/>
        <w:autoSpaceDN w:val="0"/>
        <w:adjustRightInd w:val="0"/>
        <w:rPr>
          <w:i/>
        </w:rPr>
      </w:pPr>
      <w:hyperlink r:id="rId23" w:history="1">
        <w:r>
          <w:rPr>
            <w:rStyle w:val="Hyperlink"/>
          </w:rPr>
          <w:t>www.otezla-eu-pil.com</w:t>
        </w:r>
      </w:hyperlink>
    </w:p>
    <w:p w14:paraId="29C84138" w14:textId="77777777" w:rsidR="004E65A9" w:rsidRDefault="004E65A9" w:rsidP="003F09AA">
      <w:pPr>
        <w:autoSpaceDE w:val="0"/>
        <w:autoSpaceDN w:val="0"/>
        <w:adjustRightInd w:val="0"/>
      </w:pPr>
    </w:p>
    <w:p w14:paraId="027AC442" w14:textId="77777777" w:rsidR="004E65A9" w:rsidRPr="00394DF8" w:rsidRDefault="004E65A9" w:rsidP="003F09AA">
      <w:pPr>
        <w:autoSpaceDE w:val="0"/>
        <w:autoSpaceDN w:val="0"/>
        <w:adjustRightInd w:val="0"/>
      </w:pPr>
    </w:p>
    <w:p w14:paraId="3AC7D352" w14:textId="77777777" w:rsidR="004E65A9" w:rsidRPr="00394DF8" w:rsidRDefault="004E65A9" w:rsidP="003F09AA">
      <w:pPr>
        <w:pStyle w:val="Stylebold"/>
        <w:pBdr>
          <w:top w:val="single" w:sz="4" w:space="1" w:color="auto"/>
          <w:left w:val="single" w:sz="4" w:space="4" w:color="auto"/>
          <w:bottom w:val="single" w:sz="4" w:space="1" w:color="auto"/>
          <w:right w:val="single" w:sz="4" w:space="4" w:color="auto"/>
        </w:pBdr>
        <w:ind w:left="567" w:hanging="567"/>
      </w:pPr>
      <w:r>
        <w:lastRenderedPageBreak/>
        <w:t>6.</w:t>
      </w:r>
      <w:r>
        <w:tab/>
        <w:t>ADVARSEL OM AT LEGEMIDLET SKAL OPPBEVARES UTILGJENGELIG FOR BARN</w:t>
      </w:r>
    </w:p>
    <w:p w14:paraId="1F02C53D" w14:textId="77777777" w:rsidR="004E65A9" w:rsidRPr="00394DF8" w:rsidRDefault="004E65A9" w:rsidP="003F09AA">
      <w:pPr>
        <w:keepNext/>
      </w:pPr>
    </w:p>
    <w:p w14:paraId="48557479" w14:textId="77777777" w:rsidR="004E65A9" w:rsidRPr="00394DF8" w:rsidRDefault="004E65A9" w:rsidP="003F09AA">
      <w:pPr>
        <w:autoSpaceDE w:val="0"/>
        <w:autoSpaceDN w:val="0"/>
        <w:adjustRightInd w:val="0"/>
      </w:pPr>
      <w:r>
        <w:t>Oppbevares utilgjengelig for barn.</w:t>
      </w:r>
    </w:p>
    <w:p w14:paraId="11623275" w14:textId="77777777" w:rsidR="004E65A9" w:rsidRPr="00394DF8" w:rsidRDefault="004E65A9" w:rsidP="003F09AA"/>
    <w:p w14:paraId="7F366693" w14:textId="77777777" w:rsidR="004E65A9" w:rsidRPr="00394DF8" w:rsidRDefault="004E65A9" w:rsidP="003F09AA"/>
    <w:p w14:paraId="650A1ED2" w14:textId="77777777" w:rsidR="004E65A9" w:rsidRPr="00104611" w:rsidRDefault="004E65A9" w:rsidP="003F09AA">
      <w:pPr>
        <w:pStyle w:val="Stylebold"/>
        <w:pBdr>
          <w:top w:val="single" w:sz="4" w:space="1" w:color="auto"/>
          <w:left w:val="single" w:sz="4" w:space="4" w:color="auto"/>
          <w:bottom w:val="single" w:sz="4" w:space="1" w:color="auto"/>
          <w:right w:val="single" w:sz="4" w:space="4" w:color="auto"/>
        </w:pBdr>
        <w:ind w:left="567" w:hanging="567"/>
      </w:pPr>
      <w:r>
        <w:t>7.</w:t>
      </w:r>
      <w:r>
        <w:tab/>
        <w:t>EVENTUELLE ANDRE SPESIELLE ADVARSLER</w:t>
      </w:r>
    </w:p>
    <w:p w14:paraId="504D3D39" w14:textId="77777777" w:rsidR="004E65A9" w:rsidRPr="00394DF8" w:rsidRDefault="004E65A9" w:rsidP="003F09AA">
      <w:pPr>
        <w:keepNext/>
        <w:tabs>
          <w:tab w:val="left" w:pos="749"/>
        </w:tabs>
      </w:pPr>
    </w:p>
    <w:p w14:paraId="3E3292DE" w14:textId="77777777" w:rsidR="004E65A9" w:rsidRPr="00394DF8" w:rsidRDefault="004E65A9" w:rsidP="003F09AA">
      <w:pPr>
        <w:tabs>
          <w:tab w:val="left" w:pos="749"/>
        </w:tabs>
      </w:pPr>
    </w:p>
    <w:p w14:paraId="35391C5A" w14:textId="77777777" w:rsidR="004E65A9" w:rsidRPr="00394DF8" w:rsidRDefault="004E65A9" w:rsidP="003F09AA">
      <w:pPr>
        <w:pStyle w:val="Stylebold"/>
        <w:pBdr>
          <w:top w:val="single" w:sz="4" w:space="1" w:color="auto"/>
          <w:left w:val="single" w:sz="4" w:space="4" w:color="auto"/>
          <w:bottom w:val="single" w:sz="4" w:space="1" w:color="auto"/>
          <w:right w:val="single" w:sz="4" w:space="4" w:color="auto"/>
        </w:pBdr>
        <w:ind w:left="567" w:hanging="567"/>
      </w:pPr>
      <w:r>
        <w:t>8.</w:t>
      </w:r>
      <w:r>
        <w:tab/>
        <w:t>UTLØPSDATO</w:t>
      </w:r>
    </w:p>
    <w:p w14:paraId="6B016A08" w14:textId="77777777" w:rsidR="004E65A9" w:rsidRPr="00394DF8" w:rsidRDefault="004E65A9" w:rsidP="003F09AA">
      <w:pPr>
        <w:keepNext/>
      </w:pPr>
    </w:p>
    <w:p w14:paraId="304D9DBB" w14:textId="77777777" w:rsidR="004E65A9" w:rsidRPr="00394DF8" w:rsidRDefault="004E65A9" w:rsidP="003F09AA">
      <w:r>
        <w:t>EXP</w:t>
      </w:r>
    </w:p>
    <w:p w14:paraId="2CA8ED45" w14:textId="77777777" w:rsidR="004E65A9" w:rsidRPr="00394DF8" w:rsidRDefault="004E65A9" w:rsidP="003F09AA"/>
    <w:p w14:paraId="67A33DD7" w14:textId="77777777" w:rsidR="004E65A9" w:rsidRPr="00394DF8" w:rsidRDefault="004E65A9" w:rsidP="003F09AA">
      <w:pPr>
        <w:rPr>
          <w:rFonts w:eastAsia="SimSun"/>
          <w:noProof/>
          <w:lang w:eastAsia="zh-CN"/>
        </w:rPr>
      </w:pPr>
    </w:p>
    <w:p w14:paraId="7C884FC5" w14:textId="77777777" w:rsidR="004E65A9" w:rsidRPr="00394DF8" w:rsidRDefault="004E65A9" w:rsidP="003F09AA">
      <w:pPr>
        <w:pStyle w:val="Stylebold"/>
        <w:pBdr>
          <w:top w:val="single" w:sz="4" w:space="1" w:color="auto"/>
          <w:left w:val="single" w:sz="4" w:space="4" w:color="auto"/>
          <w:bottom w:val="single" w:sz="4" w:space="1" w:color="auto"/>
          <w:right w:val="single" w:sz="4" w:space="4" w:color="auto"/>
        </w:pBdr>
        <w:ind w:left="567" w:hanging="567"/>
      </w:pPr>
      <w:r>
        <w:t>9.</w:t>
      </w:r>
      <w:r>
        <w:tab/>
        <w:t>OPPBEVARINGSBETINGELSER</w:t>
      </w:r>
    </w:p>
    <w:p w14:paraId="146943A3" w14:textId="77777777" w:rsidR="004E65A9" w:rsidRPr="00394DF8" w:rsidRDefault="004E65A9" w:rsidP="003F09AA">
      <w:pPr>
        <w:keepNext/>
      </w:pPr>
    </w:p>
    <w:p w14:paraId="25547C7D" w14:textId="77777777" w:rsidR="004E65A9" w:rsidRPr="00394DF8" w:rsidRDefault="004E65A9" w:rsidP="003F09AA">
      <w:r>
        <w:t>Oppbevares ved høyst 30 °C.</w:t>
      </w:r>
    </w:p>
    <w:p w14:paraId="35388AB2" w14:textId="77777777" w:rsidR="004E65A9" w:rsidRPr="00394DF8" w:rsidRDefault="004E65A9" w:rsidP="003F09AA"/>
    <w:p w14:paraId="552DACD9" w14:textId="77777777" w:rsidR="004E65A9" w:rsidRPr="00394DF8" w:rsidRDefault="004E65A9" w:rsidP="003F09AA">
      <w:pPr>
        <w:ind w:left="567" w:hanging="567"/>
      </w:pPr>
    </w:p>
    <w:p w14:paraId="544CE709" w14:textId="77777777" w:rsidR="004E65A9" w:rsidRPr="00104611" w:rsidRDefault="004E65A9" w:rsidP="003F09AA">
      <w:pPr>
        <w:pStyle w:val="Stylebold"/>
        <w:pBdr>
          <w:top w:val="single" w:sz="4" w:space="1" w:color="auto"/>
          <w:left w:val="single" w:sz="4" w:space="4" w:color="auto"/>
          <w:bottom w:val="single" w:sz="4" w:space="1" w:color="auto"/>
          <w:right w:val="single" w:sz="4" w:space="4" w:color="auto"/>
        </w:pBdr>
        <w:ind w:left="567" w:hanging="567"/>
      </w:pPr>
      <w:r>
        <w:t>10.</w:t>
      </w:r>
      <w:r>
        <w:tab/>
        <w:t>EVENTUELLE SPESIELLE FORHOLDSREGLER VED DESTRUKSJON AV UBRUKTE LEGEMIDLER ELLER AVFALL</w:t>
      </w:r>
    </w:p>
    <w:p w14:paraId="254814D2" w14:textId="77777777" w:rsidR="004E65A9" w:rsidRPr="00394DF8" w:rsidRDefault="004E65A9" w:rsidP="003F09AA">
      <w:pPr>
        <w:keepNext/>
      </w:pPr>
    </w:p>
    <w:p w14:paraId="595379E1" w14:textId="77777777" w:rsidR="004E65A9" w:rsidRPr="00394DF8" w:rsidRDefault="004E65A9" w:rsidP="003F09AA">
      <w:pPr>
        <w:rPr>
          <w:rFonts w:eastAsia="SimSun"/>
          <w:noProof/>
          <w:lang w:eastAsia="zh-CN"/>
        </w:rPr>
      </w:pPr>
    </w:p>
    <w:p w14:paraId="7277926A" w14:textId="77777777" w:rsidR="004E65A9" w:rsidRPr="00104611" w:rsidRDefault="004E65A9" w:rsidP="003F09AA">
      <w:pPr>
        <w:pStyle w:val="Stylebold"/>
        <w:pBdr>
          <w:top w:val="single" w:sz="4" w:space="1" w:color="auto"/>
          <w:left w:val="single" w:sz="4" w:space="4" w:color="auto"/>
          <w:bottom w:val="single" w:sz="4" w:space="1" w:color="auto"/>
          <w:right w:val="single" w:sz="4" w:space="4" w:color="auto"/>
        </w:pBdr>
        <w:ind w:left="567" w:hanging="567"/>
      </w:pPr>
      <w:r>
        <w:t>11.</w:t>
      </w:r>
      <w:r>
        <w:tab/>
        <w:t>NAVN OG ADRESSE PÅ INNEHAVEREN AV MARKEDSFØRINGSTILLATELSEN</w:t>
      </w:r>
    </w:p>
    <w:p w14:paraId="7038D900" w14:textId="77777777" w:rsidR="004E65A9" w:rsidRPr="00394DF8" w:rsidRDefault="004E65A9" w:rsidP="003F09AA">
      <w:pPr>
        <w:keepNext/>
      </w:pPr>
    </w:p>
    <w:p w14:paraId="4FE9D5CD" w14:textId="77777777" w:rsidR="004E65A9" w:rsidRPr="006C78BA" w:rsidRDefault="004E65A9" w:rsidP="003F09AA">
      <w:pPr>
        <w:keepNext/>
        <w:ind w:right="-1"/>
        <w:rPr>
          <w:lang w:val="sv-SE"/>
        </w:rPr>
      </w:pPr>
      <w:r w:rsidRPr="006C78BA">
        <w:rPr>
          <w:lang w:val="sv-SE"/>
        </w:rPr>
        <w:t>Amgen Europe B.V.</w:t>
      </w:r>
    </w:p>
    <w:p w14:paraId="58BBFC9A" w14:textId="77777777" w:rsidR="004E65A9" w:rsidRPr="006C78BA" w:rsidRDefault="004E65A9" w:rsidP="003F09AA">
      <w:pPr>
        <w:keepNext/>
        <w:ind w:right="-1"/>
        <w:rPr>
          <w:lang w:val="sv-SE"/>
        </w:rPr>
      </w:pPr>
      <w:r w:rsidRPr="006C78BA">
        <w:rPr>
          <w:lang w:val="sv-SE"/>
        </w:rPr>
        <w:t>Minervum 7061,</w:t>
      </w:r>
    </w:p>
    <w:p w14:paraId="3ED685B3" w14:textId="77777777" w:rsidR="004E65A9" w:rsidRPr="006D1CB7" w:rsidRDefault="004E65A9" w:rsidP="003F09AA">
      <w:pPr>
        <w:keepNext/>
        <w:ind w:right="-1"/>
      </w:pPr>
      <w:r>
        <w:t>4817 ZK Breda,</w:t>
      </w:r>
    </w:p>
    <w:p w14:paraId="46D3F121" w14:textId="77777777" w:rsidR="004E65A9" w:rsidRDefault="004E65A9" w:rsidP="003F09AA">
      <w:pPr>
        <w:tabs>
          <w:tab w:val="clear" w:pos="567"/>
        </w:tabs>
      </w:pPr>
      <w:r>
        <w:t>Nederland</w:t>
      </w:r>
    </w:p>
    <w:p w14:paraId="4BD6554E" w14:textId="77777777" w:rsidR="004E65A9" w:rsidRPr="00394DF8" w:rsidRDefault="004E65A9" w:rsidP="003F09AA"/>
    <w:p w14:paraId="789374C3" w14:textId="77777777" w:rsidR="004E65A9" w:rsidRPr="00394DF8" w:rsidRDefault="004E65A9" w:rsidP="003F09AA"/>
    <w:p w14:paraId="4BF35E77" w14:textId="77777777" w:rsidR="004E65A9" w:rsidRPr="00394DF8" w:rsidRDefault="004E65A9" w:rsidP="003F09AA">
      <w:pPr>
        <w:pStyle w:val="Stylebold"/>
        <w:pBdr>
          <w:top w:val="single" w:sz="4" w:space="1" w:color="auto"/>
          <w:left w:val="single" w:sz="4" w:space="4" w:color="auto"/>
          <w:bottom w:val="single" w:sz="4" w:space="1" w:color="auto"/>
          <w:right w:val="single" w:sz="4" w:space="4" w:color="auto"/>
        </w:pBdr>
        <w:ind w:left="567" w:hanging="567"/>
      </w:pPr>
      <w:r>
        <w:t>12.</w:t>
      </w:r>
      <w:r>
        <w:tab/>
        <w:t xml:space="preserve">MARKEDSFØRINGSTILLATELSESNUMMER (NUMRE) </w:t>
      </w:r>
    </w:p>
    <w:p w14:paraId="527BDE5C" w14:textId="77777777" w:rsidR="004E65A9" w:rsidRPr="00394DF8" w:rsidRDefault="004E65A9" w:rsidP="003F09AA">
      <w:pPr>
        <w:keepNext/>
      </w:pPr>
    </w:p>
    <w:p w14:paraId="750E552C" w14:textId="77777777" w:rsidR="004E65A9" w:rsidRPr="009A0146" w:rsidRDefault="004E65A9" w:rsidP="003F09AA">
      <w:r>
        <w:t>EU/1/14/981/004</w:t>
      </w:r>
    </w:p>
    <w:p w14:paraId="41E66C73" w14:textId="77777777" w:rsidR="004E65A9" w:rsidRPr="000B27C9" w:rsidRDefault="004E65A9" w:rsidP="003F09AA"/>
    <w:p w14:paraId="3FDB4E2C" w14:textId="77777777" w:rsidR="004E65A9" w:rsidRPr="000B27C9" w:rsidRDefault="004E65A9" w:rsidP="003F09AA"/>
    <w:p w14:paraId="5B52B205" w14:textId="77777777" w:rsidR="004E65A9" w:rsidRPr="00104611" w:rsidRDefault="004E65A9" w:rsidP="003F09AA">
      <w:pPr>
        <w:pStyle w:val="Stylebold"/>
        <w:pBdr>
          <w:top w:val="single" w:sz="4" w:space="1" w:color="auto"/>
          <w:left w:val="single" w:sz="4" w:space="4" w:color="auto"/>
          <w:bottom w:val="single" w:sz="4" w:space="1" w:color="auto"/>
          <w:right w:val="single" w:sz="4" w:space="4" w:color="auto"/>
        </w:pBdr>
        <w:ind w:left="567" w:hanging="567"/>
      </w:pPr>
      <w:r>
        <w:t>13.</w:t>
      </w:r>
      <w:r>
        <w:tab/>
        <w:t>PRODUKSJONSNUMMER</w:t>
      </w:r>
    </w:p>
    <w:p w14:paraId="0E8440F6" w14:textId="77777777" w:rsidR="004E65A9" w:rsidRPr="000B27C9" w:rsidRDefault="004E65A9" w:rsidP="003F09AA">
      <w:pPr>
        <w:keepNext/>
        <w:rPr>
          <w:i/>
        </w:rPr>
      </w:pPr>
    </w:p>
    <w:p w14:paraId="02BCDA5D" w14:textId="77777777" w:rsidR="004E65A9" w:rsidRPr="00394DF8" w:rsidRDefault="004E65A9" w:rsidP="003F09AA">
      <w:r>
        <w:t>Lot</w:t>
      </w:r>
    </w:p>
    <w:p w14:paraId="2211CFB8" w14:textId="77777777" w:rsidR="004E65A9" w:rsidRPr="00394DF8" w:rsidRDefault="004E65A9" w:rsidP="003F09AA"/>
    <w:p w14:paraId="205A8696" w14:textId="77777777" w:rsidR="004E65A9" w:rsidRPr="00394DF8" w:rsidRDefault="004E65A9" w:rsidP="003F09AA">
      <w:pPr>
        <w:rPr>
          <w:rFonts w:eastAsia="SimSun"/>
          <w:noProof/>
          <w:lang w:eastAsia="zh-CN"/>
        </w:rPr>
      </w:pPr>
    </w:p>
    <w:p w14:paraId="4BE9F093" w14:textId="77777777" w:rsidR="004E65A9" w:rsidRPr="00394DF8" w:rsidRDefault="004E65A9" w:rsidP="003F09AA">
      <w:pPr>
        <w:pStyle w:val="Stylebold"/>
        <w:pBdr>
          <w:top w:val="single" w:sz="4" w:space="1" w:color="auto"/>
          <w:left w:val="single" w:sz="4" w:space="4" w:color="auto"/>
          <w:bottom w:val="single" w:sz="4" w:space="1" w:color="auto"/>
          <w:right w:val="single" w:sz="4" w:space="4" w:color="auto"/>
        </w:pBdr>
        <w:ind w:left="567" w:hanging="567"/>
      </w:pPr>
      <w:r>
        <w:t>14.</w:t>
      </w:r>
      <w:r>
        <w:tab/>
        <w:t>GENERELL KLASSIFIKASJON FOR UTLEVERING</w:t>
      </w:r>
    </w:p>
    <w:p w14:paraId="68BF0733" w14:textId="77777777" w:rsidR="004E65A9" w:rsidRPr="0065580F" w:rsidRDefault="004E65A9" w:rsidP="003F09AA">
      <w:pPr>
        <w:keepNext/>
        <w:rPr>
          <w:iCs/>
        </w:rPr>
      </w:pPr>
    </w:p>
    <w:p w14:paraId="03841A87" w14:textId="77777777" w:rsidR="004E65A9" w:rsidRPr="00394DF8" w:rsidRDefault="004E65A9" w:rsidP="003F09AA"/>
    <w:p w14:paraId="7DFA6F34" w14:textId="77777777" w:rsidR="004E65A9" w:rsidRPr="00394DF8" w:rsidRDefault="004E65A9" w:rsidP="003F09AA">
      <w:pPr>
        <w:pStyle w:val="Stylebold"/>
        <w:pBdr>
          <w:top w:val="single" w:sz="4" w:space="1" w:color="auto"/>
          <w:left w:val="single" w:sz="4" w:space="4" w:color="auto"/>
          <w:bottom w:val="single" w:sz="4" w:space="1" w:color="auto"/>
          <w:right w:val="single" w:sz="4" w:space="4" w:color="auto"/>
        </w:pBdr>
        <w:ind w:left="567" w:hanging="567"/>
      </w:pPr>
      <w:r>
        <w:t>15.</w:t>
      </w:r>
      <w:r>
        <w:tab/>
        <w:t>BRUKSANVISNING</w:t>
      </w:r>
    </w:p>
    <w:p w14:paraId="0B8906A5" w14:textId="77777777" w:rsidR="004E65A9" w:rsidRPr="00257CA8" w:rsidRDefault="004E65A9" w:rsidP="003F09AA">
      <w:pPr>
        <w:keepNext/>
      </w:pPr>
    </w:p>
    <w:p w14:paraId="22D09906" w14:textId="77777777" w:rsidR="004E65A9" w:rsidRPr="00394DF8" w:rsidRDefault="004E65A9" w:rsidP="003F09AA"/>
    <w:p w14:paraId="378B2DAF" w14:textId="77777777" w:rsidR="004E65A9" w:rsidRPr="00394DF8" w:rsidRDefault="004E65A9" w:rsidP="003F09AA">
      <w:pPr>
        <w:pStyle w:val="Stylebold"/>
        <w:pBdr>
          <w:top w:val="single" w:sz="4" w:space="1" w:color="auto"/>
          <w:left w:val="single" w:sz="4" w:space="4" w:color="auto"/>
          <w:bottom w:val="single" w:sz="4" w:space="1" w:color="auto"/>
          <w:right w:val="single" w:sz="4" w:space="4" w:color="auto"/>
        </w:pBdr>
        <w:ind w:left="567" w:hanging="567"/>
      </w:pPr>
      <w:r>
        <w:t>16.</w:t>
      </w:r>
      <w:r>
        <w:tab/>
        <w:t>INFORMASJON PÅ BLINDESKRIFT</w:t>
      </w:r>
    </w:p>
    <w:p w14:paraId="71645662" w14:textId="77777777" w:rsidR="004E65A9" w:rsidRPr="00394DF8" w:rsidRDefault="004E65A9" w:rsidP="003F09AA">
      <w:pPr>
        <w:keepNext/>
      </w:pPr>
    </w:p>
    <w:p w14:paraId="3152D634" w14:textId="77777777" w:rsidR="004E65A9" w:rsidRPr="00394DF8" w:rsidRDefault="004E65A9" w:rsidP="003F09AA">
      <w:pPr>
        <w:keepNext/>
      </w:pPr>
      <w:r>
        <w:t>Otezla 10 mg</w:t>
      </w:r>
    </w:p>
    <w:p w14:paraId="51F0523F" w14:textId="77777777" w:rsidR="004E65A9" w:rsidRPr="00394DF8" w:rsidRDefault="004E65A9" w:rsidP="003F09AA">
      <w:r>
        <w:t>Otezla 20 mg</w:t>
      </w:r>
    </w:p>
    <w:p w14:paraId="0B900E10" w14:textId="77777777" w:rsidR="004E65A9" w:rsidRPr="00394DF8" w:rsidRDefault="004E65A9" w:rsidP="003F09AA">
      <w:pPr>
        <w:tabs>
          <w:tab w:val="clear" w:pos="567"/>
        </w:tabs>
      </w:pPr>
    </w:p>
    <w:p w14:paraId="307820C1" w14:textId="77777777" w:rsidR="004E65A9" w:rsidRPr="00394DF8" w:rsidRDefault="004E65A9" w:rsidP="003F09AA"/>
    <w:p w14:paraId="0B8D54A6" w14:textId="77777777" w:rsidR="004E65A9" w:rsidRPr="00394DF8" w:rsidRDefault="004E65A9" w:rsidP="003F09AA">
      <w:pPr>
        <w:pStyle w:val="Stylebold"/>
        <w:pBdr>
          <w:top w:val="single" w:sz="4" w:space="1" w:color="auto"/>
          <w:left w:val="single" w:sz="4" w:space="4" w:color="auto"/>
          <w:bottom w:val="single" w:sz="4" w:space="1" w:color="auto"/>
          <w:right w:val="single" w:sz="4" w:space="4" w:color="auto"/>
        </w:pBdr>
        <w:ind w:left="567" w:hanging="567"/>
      </w:pPr>
      <w:r>
        <w:lastRenderedPageBreak/>
        <w:t>17.</w:t>
      </w:r>
      <w:r>
        <w:tab/>
        <w:t>SIKKERHETSANORDNING (UNIK IDENTITET) – TODIMENSJONAL STREKKODE</w:t>
      </w:r>
    </w:p>
    <w:p w14:paraId="47F51130" w14:textId="77777777" w:rsidR="004E65A9" w:rsidRDefault="004E65A9" w:rsidP="003F09AA">
      <w:pPr>
        <w:keepNext/>
      </w:pPr>
    </w:p>
    <w:p w14:paraId="1FA130B6" w14:textId="77777777" w:rsidR="004E65A9" w:rsidRPr="005531F1" w:rsidRDefault="004E65A9" w:rsidP="003F09AA">
      <w:r>
        <w:rPr>
          <w:highlight w:val="lightGray"/>
        </w:rPr>
        <w:t>Todimensjonal strekkode, inkludert unik identitet</w:t>
      </w:r>
    </w:p>
    <w:p w14:paraId="05D67A88" w14:textId="77777777" w:rsidR="004E65A9" w:rsidRDefault="004E65A9" w:rsidP="003F09AA"/>
    <w:p w14:paraId="102760AB" w14:textId="77777777" w:rsidR="004E65A9" w:rsidRPr="00997253" w:rsidRDefault="004E65A9" w:rsidP="003F09AA"/>
    <w:p w14:paraId="51B42882" w14:textId="77777777" w:rsidR="004E65A9" w:rsidRPr="004F295B" w:rsidRDefault="004E65A9" w:rsidP="003F09AA">
      <w:pPr>
        <w:pStyle w:val="Stylebold"/>
        <w:pBdr>
          <w:top w:val="single" w:sz="4" w:space="1" w:color="auto"/>
          <w:left w:val="single" w:sz="4" w:space="4" w:color="auto"/>
          <w:bottom w:val="single" w:sz="4" w:space="1" w:color="auto"/>
          <w:right w:val="single" w:sz="4" w:space="4" w:color="auto"/>
        </w:pBdr>
        <w:ind w:left="567" w:hanging="567"/>
      </w:pPr>
      <w:r>
        <w:t>18.</w:t>
      </w:r>
      <w:r>
        <w:tab/>
        <w:t>SIKKERHETSANORDNING (UNIK IDENTITET) – I ET FORMAT LESBART FOR MENNESKER</w:t>
      </w:r>
    </w:p>
    <w:p w14:paraId="0782D966" w14:textId="77777777" w:rsidR="004E65A9" w:rsidRDefault="004E65A9" w:rsidP="003F09AA">
      <w:pPr>
        <w:keepNext/>
      </w:pPr>
    </w:p>
    <w:p w14:paraId="41DACD2F" w14:textId="77777777" w:rsidR="004E65A9" w:rsidRPr="002F7BF5" w:rsidRDefault="004E65A9" w:rsidP="003F09AA">
      <w:r>
        <w:t>PC</w:t>
      </w:r>
    </w:p>
    <w:p w14:paraId="01FE6795" w14:textId="77777777" w:rsidR="004E65A9" w:rsidRPr="002F7BF5" w:rsidRDefault="004E65A9" w:rsidP="003F09AA">
      <w:r>
        <w:t>SN</w:t>
      </w:r>
    </w:p>
    <w:p w14:paraId="17D87B00" w14:textId="77777777" w:rsidR="004E65A9" w:rsidRDefault="004E65A9" w:rsidP="003F09AA">
      <w:r>
        <w:t>NN</w:t>
      </w:r>
    </w:p>
    <w:p w14:paraId="66F3677F" w14:textId="77777777" w:rsidR="004E65A9" w:rsidRDefault="004E65A9" w:rsidP="003F09AA"/>
    <w:p w14:paraId="22D66255" w14:textId="77777777" w:rsidR="004E65A9" w:rsidRPr="00B426DF" w:rsidRDefault="004E65A9" w:rsidP="003F09AA">
      <w:pPr>
        <w:pBdr>
          <w:top w:val="single" w:sz="4" w:space="1" w:color="auto"/>
          <w:left w:val="single" w:sz="4" w:space="4" w:color="auto"/>
          <w:bottom w:val="single" w:sz="4" w:space="1" w:color="auto"/>
          <w:right w:val="single" w:sz="4" w:space="4" w:color="auto"/>
        </w:pBdr>
        <w:rPr>
          <w:b/>
        </w:rPr>
      </w:pPr>
      <w:r>
        <w:br w:type="page"/>
      </w:r>
      <w:r>
        <w:rPr>
          <w:b/>
        </w:rPr>
        <w:lastRenderedPageBreak/>
        <w:t>OPPLYSNINGER SOM SKAL ANGIS PÅ YTRE EMBALLASJE</w:t>
      </w:r>
    </w:p>
    <w:p w14:paraId="15871FA3" w14:textId="77777777" w:rsidR="004E65A9" w:rsidRPr="00BD1AD5" w:rsidRDefault="004E65A9" w:rsidP="003F09AA">
      <w:pPr>
        <w:pBdr>
          <w:top w:val="single" w:sz="4" w:space="1" w:color="auto"/>
          <w:left w:val="single" w:sz="4" w:space="4" w:color="auto"/>
          <w:bottom w:val="single" w:sz="4" w:space="1" w:color="auto"/>
          <w:right w:val="single" w:sz="4" w:space="4" w:color="auto"/>
        </w:pBdr>
      </w:pPr>
    </w:p>
    <w:p w14:paraId="7BD57200" w14:textId="77777777" w:rsidR="004E65A9" w:rsidRDefault="004E65A9" w:rsidP="003F09AA">
      <w:pPr>
        <w:pBdr>
          <w:top w:val="single" w:sz="4" w:space="1" w:color="auto"/>
          <w:left w:val="single" w:sz="4" w:space="4" w:color="auto"/>
          <w:bottom w:val="single" w:sz="4" w:space="1" w:color="auto"/>
          <w:right w:val="single" w:sz="4" w:space="4" w:color="auto"/>
        </w:pBdr>
      </w:pPr>
      <w:r>
        <w:rPr>
          <w:b/>
        </w:rPr>
        <w:t>Mappe inneholdende 2</w:t>
      </w:r>
      <w:r>
        <w:rPr>
          <w:b/>
        </w:rPr>
        <w:noBreakHyphen/>
        <w:t>ukers behandlingsinitieringspakke</w:t>
      </w:r>
    </w:p>
    <w:p w14:paraId="46835645" w14:textId="77777777" w:rsidR="004E65A9" w:rsidRDefault="004E65A9" w:rsidP="003F09AA"/>
    <w:p w14:paraId="3791810A" w14:textId="77777777" w:rsidR="004E65A9" w:rsidRPr="00BD1AD5" w:rsidRDefault="004E65A9" w:rsidP="003F09AA"/>
    <w:p w14:paraId="64102CA8" w14:textId="77777777" w:rsidR="004E65A9" w:rsidRPr="00BD1AD5" w:rsidRDefault="004E65A9" w:rsidP="003F09AA">
      <w:pPr>
        <w:keepNext/>
        <w:pBdr>
          <w:top w:val="single" w:sz="4" w:space="1" w:color="auto"/>
          <w:left w:val="single" w:sz="4" w:space="4" w:color="auto"/>
          <w:bottom w:val="single" w:sz="4" w:space="1" w:color="auto"/>
          <w:right w:val="single" w:sz="4" w:space="4" w:color="auto"/>
        </w:pBdr>
        <w:ind w:left="567" w:hanging="567"/>
        <w:outlineLvl w:val="0"/>
      </w:pPr>
      <w:r>
        <w:rPr>
          <w:b/>
        </w:rPr>
        <w:t>1.</w:t>
      </w:r>
      <w:r>
        <w:rPr>
          <w:b/>
        </w:rPr>
        <w:tab/>
        <w:t>LEGEMIDLETS NAVN</w:t>
      </w:r>
    </w:p>
    <w:p w14:paraId="5B8E0292" w14:textId="77777777" w:rsidR="004E65A9" w:rsidRPr="00BD1AD5" w:rsidRDefault="004E65A9" w:rsidP="003F09AA">
      <w:pPr>
        <w:keepNext/>
      </w:pPr>
    </w:p>
    <w:p w14:paraId="72057733" w14:textId="77777777" w:rsidR="004E65A9" w:rsidRPr="00BD1AD5" w:rsidRDefault="004E65A9" w:rsidP="003F09AA">
      <w:r>
        <w:t>Otezla 10 mg tabletter, filmdrasjerte</w:t>
      </w:r>
    </w:p>
    <w:p w14:paraId="56BAC966" w14:textId="77777777" w:rsidR="004E65A9" w:rsidRPr="00BD1AD5" w:rsidRDefault="004E65A9" w:rsidP="003F09AA">
      <w:r>
        <w:t>Otezla 20 mg tabletter, filmdrasjerte</w:t>
      </w:r>
    </w:p>
    <w:p w14:paraId="56CD4138" w14:textId="77777777" w:rsidR="004E65A9" w:rsidRPr="00BD1AD5" w:rsidRDefault="004E65A9" w:rsidP="003F09AA">
      <w:r>
        <w:t>Otezla 30 mg tabletter, filmdrasjerte</w:t>
      </w:r>
    </w:p>
    <w:p w14:paraId="1B4BE227" w14:textId="77777777" w:rsidR="004E65A9" w:rsidRPr="00BD1AD5" w:rsidRDefault="004E65A9" w:rsidP="003F09AA">
      <w:r>
        <w:t>apremilast</w:t>
      </w:r>
    </w:p>
    <w:p w14:paraId="492FBFB8" w14:textId="77777777" w:rsidR="004E65A9" w:rsidRPr="00BD1AD5" w:rsidRDefault="004E65A9" w:rsidP="003F09AA"/>
    <w:p w14:paraId="47DACF9C" w14:textId="77777777" w:rsidR="004E65A9" w:rsidRPr="00BD1AD5" w:rsidRDefault="004E65A9" w:rsidP="003F09AA"/>
    <w:p w14:paraId="305B5E60" w14:textId="77777777" w:rsidR="004E65A9" w:rsidRPr="00BD1AD5" w:rsidRDefault="004E65A9" w:rsidP="003F09AA">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DEKLARASJON AV VIRKESTOFF(ER)</w:t>
      </w:r>
    </w:p>
    <w:p w14:paraId="3C406663" w14:textId="77777777" w:rsidR="004E65A9" w:rsidRPr="00BD1AD5" w:rsidRDefault="004E65A9" w:rsidP="003F09AA">
      <w:pPr>
        <w:keepNext/>
        <w:rPr>
          <w:i/>
        </w:rPr>
      </w:pPr>
    </w:p>
    <w:p w14:paraId="0DA4B1D2" w14:textId="77777777" w:rsidR="004E65A9" w:rsidRPr="00BD1AD5" w:rsidRDefault="004E65A9" w:rsidP="003F09AA">
      <w:r>
        <w:t>Én filmdrasjert tablett inneholder 10 mg, 20 mg eller 30 mg apremilast.</w:t>
      </w:r>
    </w:p>
    <w:p w14:paraId="02466E34" w14:textId="77777777" w:rsidR="004E65A9" w:rsidRPr="00BD1AD5" w:rsidRDefault="004E65A9" w:rsidP="003F09AA"/>
    <w:p w14:paraId="62FE7B1C" w14:textId="77777777" w:rsidR="004E65A9" w:rsidRPr="00BD1AD5" w:rsidRDefault="004E65A9" w:rsidP="003F09AA"/>
    <w:p w14:paraId="57C5C02F" w14:textId="77777777" w:rsidR="004E65A9" w:rsidRPr="00BD1AD5" w:rsidRDefault="004E65A9" w:rsidP="003F09AA">
      <w:pPr>
        <w:keepNext/>
        <w:pBdr>
          <w:top w:val="single" w:sz="4" w:space="1" w:color="auto"/>
          <w:left w:val="single" w:sz="4" w:space="4" w:color="auto"/>
          <w:bottom w:val="single" w:sz="4" w:space="1" w:color="auto"/>
          <w:right w:val="single" w:sz="4" w:space="4" w:color="auto"/>
        </w:pBdr>
        <w:ind w:left="567" w:hanging="567"/>
        <w:outlineLvl w:val="0"/>
      </w:pPr>
      <w:r>
        <w:rPr>
          <w:b/>
        </w:rPr>
        <w:t>3.</w:t>
      </w:r>
      <w:r>
        <w:rPr>
          <w:b/>
        </w:rPr>
        <w:tab/>
        <w:t>LISTE OVER HJELPESTOFFER</w:t>
      </w:r>
    </w:p>
    <w:p w14:paraId="586AA1D7" w14:textId="77777777" w:rsidR="004E65A9" w:rsidRPr="00BD1AD5" w:rsidRDefault="004E65A9" w:rsidP="003F09AA">
      <w:pPr>
        <w:keepNext/>
      </w:pPr>
    </w:p>
    <w:p w14:paraId="0DCF9BFC" w14:textId="77777777" w:rsidR="004E65A9" w:rsidRPr="00BD1AD5" w:rsidRDefault="004E65A9" w:rsidP="003F09AA">
      <w:r>
        <w:t>Inneholder laktose.</w:t>
      </w:r>
      <w:r>
        <w:rPr>
          <w:shd w:val="clear" w:color="auto" w:fill="FFFFFF"/>
        </w:rPr>
        <w:t xml:space="preserve"> Se pakningsvedlegg for ytterligere informasjon.</w:t>
      </w:r>
    </w:p>
    <w:p w14:paraId="709FD515" w14:textId="77777777" w:rsidR="004E65A9" w:rsidRPr="00BD1AD5" w:rsidRDefault="004E65A9" w:rsidP="003F09AA"/>
    <w:p w14:paraId="3EBE6BDC" w14:textId="77777777" w:rsidR="004E65A9" w:rsidRPr="00BD1AD5" w:rsidRDefault="004E65A9" w:rsidP="003F09AA"/>
    <w:p w14:paraId="2A3C99AF" w14:textId="77777777" w:rsidR="004E65A9" w:rsidRPr="00BD1AD5" w:rsidRDefault="004E65A9" w:rsidP="003F09AA">
      <w:pPr>
        <w:keepNext/>
        <w:pBdr>
          <w:top w:val="single" w:sz="4" w:space="1" w:color="auto"/>
          <w:left w:val="single" w:sz="4" w:space="4" w:color="auto"/>
          <w:bottom w:val="single" w:sz="4" w:space="1" w:color="auto"/>
          <w:right w:val="single" w:sz="4" w:space="4" w:color="auto"/>
        </w:pBdr>
        <w:ind w:left="567" w:hanging="567"/>
        <w:outlineLvl w:val="0"/>
      </w:pPr>
      <w:r>
        <w:rPr>
          <w:b/>
        </w:rPr>
        <w:t>4.</w:t>
      </w:r>
      <w:r>
        <w:rPr>
          <w:b/>
        </w:rPr>
        <w:tab/>
        <w:t>LEGEMIDDELFORM OG INNHOLD (PAKNINGSSTØRRELSE)</w:t>
      </w:r>
    </w:p>
    <w:p w14:paraId="71E0A257" w14:textId="77777777" w:rsidR="004E65A9" w:rsidRPr="00BD1AD5" w:rsidRDefault="004E65A9" w:rsidP="003F09AA">
      <w:pPr>
        <w:keepNext/>
      </w:pPr>
    </w:p>
    <w:p w14:paraId="51C0E6A7" w14:textId="77777777" w:rsidR="004E65A9" w:rsidRDefault="004E65A9" w:rsidP="003F09AA">
      <w:pPr>
        <w:rPr>
          <w:highlight w:val="lightGray"/>
        </w:rPr>
      </w:pPr>
      <w:r>
        <w:rPr>
          <w:highlight w:val="lightGray"/>
        </w:rPr>
        <w:t>Tablett, filmdrasjert</w:t>
      </w:r>
    </w:p>
    <w:p w14:paraId="705D8907" w14:textId="77777777" w:rsidR="004E65A9" w:rsidRPr="00BD1AD5" w:rsidRDefault="004E65A9" w:rsidP="003F09AA">
      <w:r>
        <w:t>Startpakning</w:t>
      </w:r>
    </w:p>
    <w:p w14:paraId="4F5ED51E" w14:textId="77777777" w:rsidR="004E65A9" w:rsidRPr="00BD1AD5" w:rsidRDefault="004E65A9" w:rsidP="003F09AA"/>
    <w:p w14:paraId="0422B83E" w14:textId="77777777" w:rsidR="004E65A9" w:rsidRPr="00BD1AD5" w:rsidRDefault="004E65A9" w:rsidP="003F09AA">
      <w:r>
        <w:t>Hver pakning med 27 tabletter, filmdrasjerte til en 2 ukers behandlingsplan inneholder:</w:t>
      </w:r>
    </w:p>
    <w:p w14:paraId="4302DBEB" w14:textId="77777777" w:rsidR="004E65A9" w:rsidRPr="00BD1AD5" w:rsidRDefault="004E65A9" w:rsidP="003F09AA">
      <w:r>
        <w:t>4 tabletter, filmdrasjerte à 10 mg</w:t>
      </w:r>
    </w:p>
    <w:p w14:paraId="5FBBA574" w14:textId="77777777" w:rsidR="004E65A9" w:rsidRPr="00BD1AD5" w:rsidRDefault="004E65A9" w:rsidP="003F09AA">
      <w:r>
        <w:t>4 tabletter, filmdrasjerte à 20 mg</w:t>
      </w:r>
    </w:p>
    <w:p w14:paraId="3CC7403D" w14:textId="77777777" w:rsidR="004E65A9" w:rsidRPr="00BD1AD5" w:rsidRDefault="004E65A9" w:rsidP="003F09AA">
      <w:r>
        <w:t>19 tabletter, filmdrasjerte à 30 mg</w:t>
      </w:r>
    </w:p>
    <w:p w14:paraId="42F8299E" w14:textId="77777777" w:rsidR="004E65A9" w:rsidRPr="00BD1AD5" w:rsidRDefault="004E65A9" w:rsidP="003F09AA"/>
    <w:p w14:paraId="45617AD9" w14:textId="77777777" w:rsidR="004E65A9" w:rsidRPr="00BD1AD5" w:rsidRDefault="004E65A9" w:rsidP="003F09AA">
      <w:pPr>
        <w:rPr>
          <w:rFonts w:eastAsia="SimSun"/>
          <w:noProof/>
          <w:lang w:eastAsia="zh-CN"/>
        </w:rPr>
      </w:pPr>
    </w:p>
    <w:p w14:paraId="47B2B89D" w14:textId="77777777" w:rsidR="004E65A9" w:rsidRPr="00BD1AD5" w:rsidRDefault="004E65A9" w:rsidP="003F09AA">
      <w:pPr>
        <w:keepNext/>
        <w:pBdr>
          <w:top w:val="single" w:sz="4" w:space="1" w:color="auto"/>
          <w:left w:val="single" w:sz="4" w:space="4" w:color="auto"/>
          <w:bottom w:val="single" w:sz="4" w:space="1" w:color="auto"/>
          <w:right w:val="single" w:sz="4" w:space="4" w:color="auto"/>
        </w:pBdr>
        <w:ind w:left="567" w:hanging="567"/>
        <w:outlineLvl w:val="0"/>
      </w:pPr>
      <w:r>
        <w:rPr>
          <w:b/>
        </w:rPr>
        <w:t>5.</w:t>
      </w:r>
      <w:r>
        <w:rPr>
          <w:b/>
        </w:rPr>
        <w:tab/>
        <w:t>ADMINISTRASJONSMÅTE OG -VEI(ER)</w:t>
      </w:r>
    </w:p>
    <w:p w14:paraId="2E613A73" w14:textId="77777777" w:rsidR="004E65A9" w:rsidRPr="00BD1AD5" w:rsidRDefault="004E65A9" w:rsidP="003F09AA">
      <w:pPr>
        <w:keepNext/>
      </w:pPr>
    </w:p>
    <w:p w14:paraId="630C1854" w14:textId="77777777" w:rsidR="004E65A9" w:rsidRPr="00BD1AD5" w:rsidRDefault="004E65A9" w:rsidP="003F09AA">
      <w:r>
        <w:rPr>
          <w:highlight w:val="lightGray"/>
        </w:rPr>
        <w:t>Les pakningsvedlegget før bruk.</w:t>
      </w:r>
    </w:p>
    <w:p w14:paraId="620E4473" w14:textId="77777777" w:rsidR="004E65A9" w:rsidRPr="00BD1AD5" w:rsidRDefault="004E65A9" w:rsidP="003F09AA">
      <w:pPr>
        <w:rPr>
          <w:rFonts w:eastAsia="SimSun"/>
          <w:noProof/>
        </w:rPr>
      </w:pPr>
      <w:r>
        <w:t>Til oral bruk.</w:t>
      </w:r>
    </w:p>
    <w:p w14:paraId="5864EC3B" w14:textId="77777777" w:rsidR="004E65A9" w:rsidRPr="00BD1AD5" w:rsidRDefault="004E65A9" w:rsidP="003F09AA">
      <w:pPr>
        <w:autoSpaceDE w:val="0"/>
        <w:autoSpaceDN w:val="0"/>
        <w:adjustRightInd w:val="0"/>
      </w:pPr>
      <w:r>
        <w:t>Uke 1</w:t>
      </w:r>
    </w:p>
    <w:p w14:paraId="32C78853" w14:textId="77777777" w:rsidR="004E65A9" w:rsidRPr="00BD1AD5" w:rsidRDefault="004E65A9" w:rsidP="003F09AA">
      <w:pPr>
        <w:autoSpaceDE w:val="0"/>
        <w:autoSpaceDN w:val="0"/>
        <w:adjustRightInd w:val="0"/>
      </w:pPr>
      <w:r>
        <w:t>Uke 2</w:t>
      </w:r>
    </w:p>
    <w:p w14:paraId="2BC5996B" w14:textId="77777777" w:rsidR="004E65A9" w:rsidRPr="00AB2796" w:rsidRDefault="004E65A9" w:rsidP="003F09AA">
      <w:pPr>
        <w:suppressLineNumbers/>
        <w:autoSpaceDE w:val="0"/>
        <w:autoSpaceDN w:val="0"/>
        <w:adjustRightInd w:val="0"/>
        <w:rPr>
          <w:b/>
        </w:rPr>
      </w:pPr>
      <w:r w:rsidRPr="00AB2796">
        <w:t xml:space="preserve">Dag 1 </w:t>
      </w:r>
      <w:r w:rsidRPr="00AB2796">
        <w:tab/>
        <w:t>Dag 8</w:t>
      </w:r>
    </w:p>
    <w:p w14:paraId="569B595D" w14:textId="77777777" w:rsidR="004E65A9" w:rsidRPr="00002BC9" w:rsidRDefault="004E65A9" w:rsidP="003F09AA">
      <w:pPr>
        <w:suppressLineNumbers/>
        <w:autoSpaceDE w:val="0"/>
        <w:autoSpaceDN w:val="0"/>
        <w:adjustRightInd w:val="0"/>
        <w:rPr>
          <w:b/>
        </w:rPr>
      </w:pPr>
      <w:r w:rsidRPr="00002BC9">
        <w:t xml:space="preserve">Dag 2 </w:t>
      </w:r>
      <w:r w:rsidRPr="00002BC9">
        <w:tab/>
        <w:t>Dag 9</w:t>
      </w:r>
    </w:p>
    <w:p w14:paraId="20C0272B" w14:textId="77777777" w:rsidR="004E65A9" w:rsidRPr="00002BC9" w:rsidRDefault="004E65A9" w:rsidP="003F09AA">
      <w:pPr>
        <w:suppressLineNumbers/>
        <w:autoSpaceDE w:val="0"/>
        <w:autoSpaceDN w:val="0"/>
        <w:adjustRightInd w:val="0"/>
        <w:rPr>
          <w:b/>
        </w:rPr>
      </w:pPr>
      <w:r w:rsidRPr="00002BC9">
        <w:t xml:space="preserve">Dag 3 </w:t>
      </w:r>
      <w:r w:rsidRPr="00002BC9">
        <w:tab/>
        <w:t>Dag 10</w:t>
      </w:r>
    </w:p>
    <w:p w14:paraId="06AB630F" w14:textId="77777777" w:rsidR="004E65A9" w:rsidRPr="00002BC9" w:rsidRDefault="004E65A9" w:rsidP="003F09AA">
      <w:pPr>
        <w:suppressLineNumbers/>
        <w:autoSpaceDE w:val="0"/>
        <w:autoSpaceDN w:val="0"/>
        <w:adjustRightInd w:val="0"/>
        <w:rPr>
          <w:b/>
        </w:rPr>
      </w:pPr>
      <w:r w:rsidRPr="00002BC9">
        <w:t xml:space="preserve">Dag 4 </w:t>
      </w:r>
      <w:r w:rsidRPr="00002BC9">
        <w:tab/>
        <w:t>Dag 11</w:t>
      </w:r>
    </w:p>
    <w:p w14:paraId="7803E008" w14:textId="77777777" w:rsidR="004E65A9" w:rsidRPr="00002BC9" w:rsidRDefault="004E65A9" w:rsidP="003F09AA">
      <w:pPr>
        <w:suppressLineNumbers/>
        <w:autoSpaceDE w:val="0"/>
        <w:autoSpaceDN w:val="0"/>
        <w:adjustRightInd w:val="0"/>
        <w:rPr>
          <w:b/>
        </w:rPr>
      </w:pPr>
      <w:r w:rsidRPr="00002BC9">
        <w:t xml:space="preserve">Dag 5 </w:t>
      </w:r>
      <w:r w:rsidRPr="00002BC9">
        <w:tab/>
        <w:t>Dag 12</w:t>
      </w:r>
    </w:p>
    <w:p w14:paraId="47B68BD7" w14:textId="77777777" w:rsidR="004E65A9" w:rsidRPr="00002BC9" w:rsidRDefault="004E65A9" w:rsidP="003F09AA">
      <w:pPr>
        <w:suppressLineNumbers/>
        <w:autoSpaceDE w:val="0"/>
        <w:autoSpaceDN w:val="0"/>
        <w:adjustRightInd w:val="0"/>
        <w:rPr>
          <w:b/>
        </w:rPr>
      </w:pPr>
      <w:r w:rsidRPr="00002BC9">
        <w:t xml:space="preserve">Dag 6 </w:t>
      </w:r>
      <w:r w:rsidRPr="00002BC9">
        <w:tab/>
        <w:t>Dag 13</w:t>
      </w:r>
    </w:p>
    <w:p w14:paraId="411F978A" w14:textId="77777777" w:rsidR="004E65A9" w:rsidRPr="00002BC9" w:rsidRDefault="004E65A9" w:rsidP="003F09AA">
      <w:pPr>
        <w:suppressLineNumbers/>
        <w:autoSpaceDE w:val="0"/>
        <w:autoSpaceDN w:val="0"/>
        <w:adjustRightInd w:val="0"/>
        <w:rPr>
          <w:b/>
        </w:rPr>
      </w:pPr>
      <w:r w:rsidRPr="00002BC9">
        <w:t xml:space="preserve">Dag 7 </w:t>
      </w:r>
      <w:r w:rsidRPr="00002BC9">
        <w:tab/>
        <w:t>Dag 14</w:t>
      </w:r>
    </w:p>
    <w:p w14:paraId="74055A34" w14:textId="77777777" w:rsidR="004E65A9" w:rsidRPr="00BD1AD5" w:rsidRDefault="004E65A9" w:rsidP="003F09AA">
      <w:pPr>
        <w:autoSpaceDE w:val="0"/>
        <w:autoSpaceDN w:val="0"/>
        <w:adjustRightInd w:val="0"/>
        <w:rPr>
          <w:i/>
        </w:rPr>
      </w:pPr>
      <w:r>
        <w:rPr>
          <w:i/>
        </w:rPr>
        <w:t>Sol som symbol for morgendose</w:t>
      </w:r>
    </w:p>
    <w:p w14:paraId="0C626B43" w14:textId="77777777" w:rsidR="004E65A9" w:rsidRPr="00BD1AD5" w:rsidRDefault="004E65A9" w:rsidP="003F09AA">
      <w:pPr>
        <w:autoSpaceDE w:val="0"/>
        <w:autoSpaceDN w:val="0"/>
        <w:adjustRightInd w:val="0"/>
        <w:rPr>
          <w:i/>
        </w:rPr>
      </w:pPr>
      <w:r>
        <w:rPr>
          <w:i/>
        </w:rPr>
        <w:t>Måne som symbol for kveldsdose</w:t>
      </w:r>
    </w:p>
    <w:p w14:paraId="36B9B23F" w14:textId="77777777" w:rsidR="004E65A9" w:rsidRPr="00BD1AD5" w:rsidRDefault="004E65A9" w:rsidP="003F09AA">
      <w:r>
        <w:rPr>
          <w:highlight w:val="lightGray"/>
        </w:rPr>
        <w:t>Se mappen for daglig dose</w:t>
      </w:r>
    </w:p>
    <w:p w14:paraId="0CF7EA9D" w14:textId="77777777" w:rsidR="004E65A9" w:rsidRPr="00BD1AD5" w:rsidRDefault="004E65A9" w:rsidP="003F09AA">
      <w:pPr>
        <w:autoSpaceDE w:val="0"/>
        <w:autoSpaceDN w:val="0"/>
        <w:adjustRightInd w:val="0"/>
      </w:pPr>
    </w:p>
    <w:p w14:paraId="1DF046B4" w14:textId="77777777" w:rsidR="004E65A9" w:rsidRDefault="004E65A9" w:rsidP="003F09AA">
      <w:pPr>
        <w:rPr>
          <w:highlight w:val="lightGray"/>
        </w:rPr>
      </w:pPr>
      <w:r>
        <w:rPr>
          <w:highlight w:val="lightGray"/>
        </w:rPr>
        <w:t>QR-kode settes inn</w:t>
      </w:r>
    </w:p>
    <w:p w14:paraId="25D52DAD" w14:textId="77777777" w:rsidR="004E65A9" w:rsidRPr="00BD1AD5" w:rsidRDefault="004E65A9" w:rsidP="003F09AA">
      <w:pPr>
        <w:autoSpaceDE w:val="0"/>
        <w:autoSpaceDN w:val="0"/>
        <w:adjustRightInd w:val="0"/>
        <w:rPr>
          <w:i/>
        </w:rPr>
      </w:pPr>
      <w:hyperlink r:id="rId24" w:history="1">
        <w:r>
          <w:rPr>
            <w:rStyle w:val="Hyperlink"/>
          </w:rPr>
          <w:t>www.otezla-eu-pil.com</w:t>
        </w:r>
      </w:hyperlink>
    </w:p>
    <w:p w14:paraId="7E4607DB" w14:textId="77777777" w:rsidR="004E65A9" w:rsidRPr="00BD1AD5" w:rsidRDefault="004E65A9" w:rsidP="003F09AA">
      <w:pPr>
        <w:autoSpaceDE w:val="0"/>
        <w:autoSpaceDN w:val="0"/>
        <w:adjustRightInd w:val="0"/>
      </w:pPr>
    </w:p>
    <w:p w14:paraId="5FA85DBC" w14:textId="77777777" w:rsidR="004E65A9" w:rsidRPr="00BD1AD5" w:rsidRDefault="004E65A9" w:rsidP="003F09AA">
      <w:pPr>
        <w:autoSpaceDE w:val="0"/>
        <w:autoSpaceDN w:val="0"/>
        <w:adjustRightInd w:val="0"/>
      </w:pPr>
    </w:p>
    <w:p w14:paraId="5920D4D4" w14:textId="77777777" w:rsidR="004E65A9" w:rsidRPr="00BD1AD5" w:rsidRDefault="004E65A9" w:rsidP="003F09AA">
      <w:pPr>
        <w:keepNext/>
        <w:pBdr>
          <w:top w:val="single" w:sz="4" w:space="1" w:color="auto"/>
          <w:left w:val="single" w:sz="4" w:space="4" w:color="auto"/>
          <w:bottom w:val="single" w:sz="4" w:space="1" w:color="auto"/>
          <w:right w:val="single" w:sz="4" w:space="4" w:color="auto"/>
        </w:pBdr>
        <w:ind w:left="567" w:hanging="567"/>
        <w:outlineLvl w:val="0"/>
      </w:pPr>
      <w:r>
        <w:rPr>
          <w:b/>
        </w:rPr>
        <w:lastRenderedPageBreak/>
        <w:t>6.</w:t>
      </w:r>
      <w:r>
        <w:rPr>
          <w:b/>
        </w:rPr>
        <w:tab/>
        <w:t>ADVARSEL OM AT LEGEMIDLET SKAL OPPBEVARES UTILGJENGELIG FOR BARN</w:t>
      </w:r>
    </w:p>
    <w:p w14:paraId="5B91B98E" w14:textId="77777777" w:rsidR="004E65A9" w:rsidRPr="00BD1AD5" w:rsidRDefault="004E65A9" w:rsidP="003F09AA">
      <w:pPr>
        <w:keepNext/>
      </w:pPr>
    </w:p>
    <w:p w14:paraId="0088760D" w14:textId="77777777" w:rsidR="004E65A9" w:rsidRPr="00BD1AD5" w:rsidRDefault="004E65A9" w:rsidP="003F09AA">
      <w:pPr>
        <w:autoSpaceDE w:val="0"/>
        <w:autoSpaceDN w:val="0"/>
        <w:adjustRightInd w:val="0"/>
      </w:pPr>
      <w:r>
        <w:t>Oppbevares utilgjengelig for barn.</w:t>
      </w:r>
    </w:p>
    <w:p w14:paraId="0E256EB3" w14:textId="77777777" w:rsidR="004E65A9" w:rsidRPr="00BD1AD5" w:rsidRDefault="004E65A9" w:rsidP="003F09AA"/>
    <w:p w14:paraId="4D146F51" w14:textId="77777777" w:rsidR="004E65A9" w:rsidRPr="00BD1AD5" w:rsidRDefault="004E65A9" w:rsidP="003F09AA"/>
    <w:p w14:paraId="23FF54CD" w14:textId="77777777" w:rsidR="004E65A9" w:rsidRPr="00BD1AD5" w:rsidRDefault="004E65A9" w:rsidP="003F09AA">
      <w:pPr>
        <w:keepNext/>
        <w:pBdr>
          <w:top w:val="single" w:sz="4" w:space="1" w:color="auto"/>
          <w:left w:val="single" w:sz="4" w:space="4" w:color="auto"/>
          <w:bottom w:val="single" w:sz="4" w:space="1" w:color="auto"/>
          <w:right w:val="single" w:sz="4" w:space="4" w:color="auto"/>
        </w:pBdr>
        <w:ind w:left="567" w:hanging="567"/>
        <w:outlineLvl w:val="0"/>
        <w:rPr>
          <w:rFonts w:eastAsia="SimSun"/>
          <w:noProof/>
        </w:rPr>
      </w:pPr>
      <w:r>
        <w:rPr>
          <w:b/>
        </w:rPr>
        <w:t>7.</w:t>
      </w:r>
      <w:r>
        <w:rPr>
          <w:b/>
        </w:rPr>
        <w:tab/>
        <w:t>EVENTUELLE ANDRE SPESIELLE ADVARSLER</w:t>
      </w:r>
    </w:p>
    <w:p w14:paraId="1564FA84" w14:textId="77777777" w:rsidR="004E65A9" w:rsidRPr="00BD1AD5" w:rsidRDefault="004E65A9" w:rsidP="003F09AA">
      <w:pPr>
        <w:keepNext/>
        <w:tabs>
          <w:tab w:val="left" w:pos="749"/>
        </w:tabs>
      </w:pPr>
    </w:p>
    <w:p w14:paraId="5DEB5CB6" w14:textId="77777777" w:rsidR="004E65A9" w:rsidRPr="00BD1AD5" w:rsidRDefault="004E65A9" w:rsidP="003F09AA">
      <w:pPr>
        <w:tabs>
          <w:tab w:val="left" w:pos="749"/>
        </w:tabs>
      </w:pPr>
    </w:p>
    <w:p w14:paraId="2950AC41" w14:textId="77777777" w:rsidR="004E65A9" w:rsidRPr="00BD1AD5" w:rsidRDefault="004E65A9" w:rsidP="003F09AA">
      <w:pPr>
        <w:keepNext/>
        <w:pBdr>
          <w:top w:val="single" w:sz="4" w:space="1" w:color="auto"/>
          <w:left w:val="single" w:sz="4" w:space="4" w:color="auto"/>
          <w:bottom w:val="single" w:sz="4" w:space="1" w:color="auto"/>
          <w:right w:val="single" w:sz="4" w:space="4" w:color="auto"/>
        </w:pBdr>
        <w:ind w:left="567" w:hanging="567"/>
        <w:outlineLvl w:val="0"/>
      </w:pPr>
      <w:r>
        <w:rPr>
          <w:b/>
        </w:rPr>
        <w:t>8.</w:t>
      </w:r>
      <w:r>
        <w:rPr>
          <w:b/>
        </w:rPr>
        <w:tab/>
        <w:t>UTLØPSDATO</w:t>
      </w:r>
    </w:p>
    <w:p w14:paraId="16ECEFF0" w14:textId="77777777" w:rsidR="004E65A9" w:rsidRPr="00BD1AD5" w:rsidRDefault="004E65A9" w:rsidP="003F09AA">
      <w:pPr>
        <w:keepNext/>
      </w:pPr>
    </w:p>
    <w:p w14:paraId="1ABD981E" w14:textId="77777777" w:rsidR="004E65A9" w:rsidRPr="00BD1AD5" w:rsidRDefault="004E65A9" w:rsidP="003F09AA">
      <w:r>
        <w:t>EXP</w:t>
      </w:r>
    </w:p>
    <w:p w14:paraId="768166C6" w14:textId="77777777" w:rsidR="004E65A9" w:rsidRPr="00BD1AD5" w:rsidRDefault="004E65A9" w:rsidP="003F09AA"/>
    <w:p w14:paraId="5D50BCC1" w14:textId="77777777" w:rsidR="004E65A9" w:rsidRPr="00BD1AD5" w:rsidRDefault="004E65A9" w:rsidP="003F09AA">
      <w:pPr>
        <w:rPr>
          <w:rFonts w:eastAsia="SimSun"/>
          <w:noProof/>
          <w:lang w:eastAsia="zh-CN"/>
        </w:rPr>
      </w:pPr>
    </w:p>
    <w:p w14:paraId="7D6617A5" w14:textId="77777777" w:rsidR="004E65A9" w:rsidRPr="00BD1AD5" w:rsidRDefault="004E65A9" w:rsidP="003F09AA">
      <w:pPr>
        <w:keepNext/>
        <w:pBdr>
          <w:top w:val="single" w:sz="4" w:space="1" w:color="auto"/>
          <w:left w:val="single" w:sz="4" w:space="4" w:color="auto"/>
          <w:bottom w:val="single" w:sz="4" w:space="1" w:color="auto"/>
          <w:right w:val="single" w:sz="4" w:space="4" w:color="auto"/>
        </w:pBdr>
        <w:ind w:left="567" w:hanging="567"/>
        <w:outlineLvl w:val="0"/>
      </w:pPr>
      <w:r>
        <w:rPr>
          <w:b/>
        </w:rPr>
        <w:t>9.</w:t>
      </w:r>
      <w:r>
        <w:rPr>
          <w:b/>
        </w:rPr>
        <w:tab/>
        <w:t>OPPBEVARINGSBETINGELSER</w:t>
      </w:r>
    </w:p>
    <w:p w14:paraId="50A6057C" w14:textId="77777777" w:rsidR="004E65A9" w:rsidRPr="00BD1AD5" w:rsidRDefault="004E65A9" w:rsidP="003F09AA">
      <w:pPr>
        <w:keepNext/>
      </w:pPr>
    </w:p>
    <w:p w14:paraId="0C2D394C" w14:textId="77777777" w:rsidR="004E65A9" w:rsidRPr="00BD1AD5" w:rsidRDefault="004E65A9" w:rsidP="003F09AA">
      <w:pPr>
        <w:keepNext/>
      </w:pPr>
      <w:r>
        <w:t>Oppbevares ved høyst 30 °C.</w:t>
      </w:r>
    </w:p>
    <w:p w14:paraId="3DFBC485" w14:textId="77777777" w:rsidR="004E65A9" w:rsidRPr="00BD1AD5" w:rsidRDefault="004E65A9" w:rsidP="003F09AA">
      <w:pPr>
        <w:keepNext/>
      </w:pPr>
    </w:p>
    <w:p w14:paraId="7EAEE6B9" w14:textId="77777777" w:rsidR="004E65A9" w:rsidRPr="00BD1AD5" w:rsidRDefault="004E65A9" w:rsidP="003F09AA">
      <w:pPr>
        <w:ind w:left="567" w:hanging="567"/>
      </w:pPr>
    </w:p>
    <w:p w14:paraId="16D64131" w14:textId="77777777" w:rsidR="004E65A9" w:rsidRPr="00BD1AD5" w:rsidRDefault="004E65A9" w:rsidP="003F09AA">
      <w:pPr>
        <w:keepNext/>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t>EVENTUELLE SPESIELLE FORHOLDSREGLER VED DESTRUKSJON AV UBRUKTE LEGEMIDLER ELLER AVFALL</w:t>
      </w:r>
    </w:p>
    <w:p w14:paraId="348FC38D" w14:textId="77777777" w:rsidR="004E65A9" w:rsidRPr="00BD1AD5" w:rsidRDefault="004E65A9" w:rsidP="003F09AA">
      <w:pPr>
        <w:keepNext/>
      </w:pPr>
    </w:p>
    <w:p w14:paraId="0A4DCE65" w14:textId="77777777" w:rsidR="004E65A9" w:rsidRPr="00BD1AD5" w:rsidRDefault="004E65A9" w:rsidP="003F09AA">
      <w:pPr>
        <w:rPr>
          <w:rFonts w:eastAsia="SimSun"/>
          <w:noProof/>
          <w:lang w:eastAsia="zh-CN"/>
        </w:rPr>
      </w:pPr>
    </w:p>
    <w:p w14:paraId="65F3A7D2" w14:textId="77777777" w:rsidR="004E65A9" w:rsidRPr="00BD1AD5" w:rsidRDefault="004E65A9" w:rsidP="003F09AA">
      <w:pPr>
        <w:keepNext/>
        <w:pBdr>
          <w:top w:val="single" w:sz="4" w:space="1" w:color="auto"/>
          <w:left w:val="single" w:sz="4" w:space="4" w:color="auto"/>
          <w:bottom w:val="single" w:sz="4" w:space="1" w:color="auto"/>
          <w:right w:val="single" w:sz="4" w:space="4" w:color="auto"/>
        </w:pBdr>
        <w:ind w:left="567" w:hanging="567"/>
        <w:outlineLvl w:val="0"/>
        <w:rPr>
          <w:b/>
        </w:rPr>
      </w:pPr>
      <w:r>
        <w:rPr>
          <w:b/>
        </w:rPr>
        <w:t>11.</w:t>
      </w:r>
      <w:r>
        <w:rPr>
          <w:b/>
        </w:rPr>
        <w:tab/>
        <w:t>NAVN OG ADRESSE PÅ INNEHAVEREN AV MARKEDSFØRINGSTILLATELSEN</w:t>
      </w:r>
    </w:p>
    <w:p w14:paraId="4F7A06CB" w14:textId="77777777" w:rsidR="004E65A9" w:rsidRPr="00BD1AD5" w:rsidRDefault="004E65A9" w:rsidP="003F09AA">
      <w:pPr>
        <w:keepNext/>
      </w:pPr>
    </w:p>
    <w:p w14:paraId="17637BFB" w14:textId="77777777" w:rsidR="004E65A9" w:rsidRPr="006C78BA" w:rsidRDefault="004E65A9" w:rsidP="003F09AA">
      <w:pPr>
        <w:keepNext/>
        <w:ind w:right="-1"/>
        <w:rPr>
          <w:lang w:val="sv-SE"/>
        </w:rPr>
      </w:pPr>
      <w:r w:rsidRPr="006C78BA">
        <w:rPr>
          <w:lang w:val="sv-SE"/>
        </w:rPr>
        <w:t>Amgen Europe B.V.</w:t>
      </w:r>
    </w:p>
    <w:p w14:paraId="5E9804AE" w14:textId="77777777" w:rsidR="004E65A9" w:rsidRPr="006C78BA" w:rsidRDefault="004E65A9" w:rsidP="003F09AA">
      <w:pPr>
        <w:keepNext/>
        <w:ind w:right="-1"/>
        <w:rPr>
          <w:lang w:val="sv-SE"/>
        </w:rPr>
      </w:pPr>
      <w:r w:rsidRPr="006C78BA">
        <w:rPr>
          <w:lang w:val="sv-SE"/>
        </w:rPr>
        <w:t>Minervum 7061,</w:t>
      </w:r>
    </w:p>
    <w:p w14:paraId="08F85F68" w14:textId="77777777" w:rsidR="004E65A9" w:rsidRPr="00BD1AD5" w:rsidRDefault="004E65A9" w:rsidP="003F09AA">
      <w:pPr>
        <w:keepNext/>
        <w:ind w:right="-1"/>
      </w:pPr>
      <w:r>
        <w:t>4817 ZK Breda,</w:t>
      </w:r>
    </w:p>
    <w:p w14:paraId="3B70C43E" w14:textId="77777777" w:rsidR="004E65A9" w:rsidRPr="00BD1AD5" w:rsidRDefault="004E65A9" w:rsidP="003F09AA">
      <w:pPr>
        <w:tabs>
          <w:tab w:val="clear" w:pos="567"/>
        </w:tabs>
      </w:pPr>
      <w:r>
        <w:t>Nederland</w:t>
      </w:r>
    </w:p>
    <w:p w14:paraId="70253F7C" w14:textId="77777777" w:rsidR="004E65A9" w:rsidRPr="00BD1AD5" w:rsidRDefault="004E65A9" w:rsidP="003F09AA"/>
    <w:p w14:paraId="60016464" w14:textId="77777777" w:rsidR="004E65A9" w:rsidRPr="00BD1AD5" w:rsidRDefault="004E65A9" w:rsidP="003F09AA"/>
    <w:p w14:paraId="30754358" w14:textId="77777777" w:rsidR="004E65A9" w:rsidRPr="00BD1AD5" w:rsidRDefault="004E65A9" w:rsidP="003F09AA">
      <w:pPr>
        <w:keepNext/>
        <w:pBdr>
          <w:top w:val="single" w:sz="4" w:space="1" w:color="auto"/>
          <w:left w:val="single" w:sz="4" w:space="4" w:color="auto"/>
          <w:bottom w:val="single" w:sz="4" w:space="1" w:color="auto"/>
          <w:right w:val="single" w:sz="4" w:space="4" w:color="auto"/>
        </w:pBdr>
        <w:ind w:left="567" w:hanging="567"/>
        <w:outlineLvl w:val="0"/>
        <w:rPr>
          <w:b/>
        </w:rPr>
      </w:pPr>
      <w:r>
        <w:rPr>
          <w:b/>
        </w:rPr>
        <w:t>12.</w:t>
      </w:r>
      <w:r>
        <w:rPr>
          <w:b/>
        </w:rPr>
        <w:tab/>
        <w:t>MARKEDSFØRINGSTILLATELSESNUMMER (NUMRE)</w:t>
      </w:r>
    </w:p>
    <w:p w14:paraId="1DA559D8" w14:textId="77777777" w:rsidR="004E65A9" w:rsidRPr="00BD1AD5" w:rsidRDefault="004E65A9" w:rsidP="003F09AA">
      <w:pPr>
        <w:keepNext/>
      </w:pPr>
    </w:p>
    <w:p w14:paraId="6B7462E5" w14:textId="77777777" w:rsidR="004E65A9" w:rsidRPr="00BD1AD5" w:rsidRDefault="004E65A9" w:rsidP="003F09AA">
      <w:r>
        <w:t>EU/1/14/981/001</w:t>
      </w:r>
    </w:p>
    <w:p w14:paraId="6B02EA91" w14:textId="77777777" w:rsidR="004E65A9" w:rsidRPr="00BD1AD5" w:rsidRDefault="004E65A9" w:rsidP="003F09AA"/>
    <w:p w14:paraId="69EDB4C9" w14:textId="77777777" w:rsidR="004E65A9" w:rsidRPr="00BD1AD5" w:rsidRDefault="004E65A9" w:rsidP="003F09AA"/>
    <w:p w14:paraId="5F3D6373" w14:textId="77777777" w:rsidR="004E65A9" w:rsidRPr="00BD1AD5" w:rsidRDefault="004E65A9" w:rsidP="003F09AA">
      <w:pPr>
        <w:keepNext/>
        <w:pBdr>
          <w:top w:val="single" w:sz="4" w:space="1" w:color="auto"/>
          <w:left w:val="single" w:sz="4" w:space="4" w:color="auto"/>
          <w:bottom w:val="single" w:sz="4" w:space="1" w:color="auto"/>
          <w:right w:val="single" w:sz="4" w:space="4" w:color="auto"/>
        </w:pBdr>
        <w:ind w:left="567" w:hanging="567"/>
        <w:outlineLvl w:val="0"/>
      </w:pPr>
      <w:r>
        <w:rPr>
          <w:b/>
        </w:rPr>
        <w:t>13.</w:t>
      </w:r>
      <w:r>
        <w:rPr>
          <w:b/>
        </w:rPr>
        <w:tab/>
        <w:t>PRODUKSJONSNUMMER</w:t>
      </w:r>
    </w:p>
    <w:p w14:paraId="511D2A36" w14:textId="77777777" w:rsidR="004E65A9" w:rsidRPr="00BD1AD5" w:rsidRDefault="004E65A9" w:rsidP="003F09AA">
      <w:pPr>
        <w:keepNext/>
        <w:rPr>
          <w:i/>
        </w:rPr>
      </w:pPr>
    </w:p>
    <w:p w14:paraId="66E947FC" w14:textId="77777777" w:rsidR="004E65A9" w:rsidRPr="00BD1AD5" w:rsidRDefault="004E65A9" w:rsidP="003F09AA">
      <w:r>
        <w:t>Lot</w:t>
      </w:r>
    </w:p>
    <w:p w14:paraId="1E7B7DBE" w14:textId="77777777" w:rsidR="004E65A9" w:rsidRPr="00BD1AD5" w:rsidRDefault="004E65A9" w:rsidP="003F09AA"/>
    <w:p w14:paraId="0293AAC8" w14:textId="77777777" w:rsidR="004E65A9" w:rsidRPr="00BD1AD5" w:rsidRDefault="004E65A9" w:rsidP="003F09AA">
      <w:pPr>
        <w:rPr>
          <w:rFonts w:eastAsia="SimSun"/>
          <w:noProof/>
          <w:lang w:eastAsia="zh-CN"/>
        </w:rPr>
      </w:pPr>
    </w:p>
    <w:p w14:paraId="760B7C71" w14:textId="77777777" w:rsidR="004E65A9" w:rsidRPr="00BD1AD5" w:rsidRDefault="004E65A9" w:rsidP="003F09AA">
      <w:pPr>
        <w:keepNext/>
        <w:pBdr>
          <w:top w:val="single" w:sz="4" w:space="1" w:color="auto"/>
          <w:left w:val="single" w:sz="4" w:space="4" w:color="auto"/>
          <w:bottom w:val="single" w:sz="4" w:space="1" w:color="auto"/>
          <w:right w:val="single" w:sz="4" w:space="4" w:color="auto"/>
        </w:pBdr>
        <w:ind w:left="567" w:hanging="567"/>
        <w:outlineLvl w:val="0"/>
      </w:pPr>
      <w:r>
        <w:rPr>
          <w:b/>
        </w:rPr>
        <w:t>14.</w:t>
      </w:r>
      <w:r>
        <w:rPr>
          <w:b/>
        </w:rPr>
        <w:tab/>
        <w:t>GENERELL KLASSIFIKASJON FOR UTLEVERING</w:t>
      </w:r>
    </w:p>
    <w:p w14:paraId="31B1E753" w14:textId="77777777" w:rsidR="004E65A9" w:rsidRPr="00BD1AD5" w:rsidRDefault="004E65A9" w:rsidP="003F09AA">
      <w:pPr>
        <w:keepNext/>
        <w:rPr>
          <w:i/>
        </w:rPr>
      </w:pPr>
    </w:p>
    <w:p w14:paraId="110437B1" w14:textId="77777777" w:rsidR="004E65A9" w:rsidRPr="00BD1AD5" w:rsidRDefault="004E65A9" w:rsidP="003F09AA"/>
    <w:p w14:paraId="69D9414A" w14:textId="77777777" w:rsidR="004E65A9" w:rsidRPr="00BD1AD5" w:rsidRDefault="004E65A9" w:rsidP="003F09AA">
      <w:pPr>
        <w:keepNext/>
        <w:pBdr>
          <w:top w:val="single" w:sz="4" w:space="1" w:color="auto"/>
          <w:left w:val="single" w:sz="4" w:space="4" w:color="auto"/>
          <w:bottom w:val="single" w:sz="4" w:space="1" w:color="auto"/>
          <w:right w:val="single" w:sz="4" w:space="4" w:color="auto"/>
        </w:pBdr>
        <w:ind w:left="567" w:hanging="567"/>
        <w:outlineLvl w:val="0"/>
      </w:pPr>
      <w:r>
        <w:rPr>
          <w:b/>
        </w:rPr>
        <w:t>15.</w:t>
      </w:r>
      <w:r>
        <w:rPr>
          <w:b/>
        </w:rPr>
        <w:tab/>
        <w:t>BRUKSANVISNING</w:t>
      </w:r>
    </w:p>
    <w:p w14:paraId="4EAA925E" w14:textId="77777777" w:rsidR="004E65A9" w:rsidRPr="00BD1AD5" w:rsidRDefault="004E65A9" w:rsidP="003F09AA">
      <w:pPr>
        <w:keepNext/>
      </w:pPr>
    </w:p>
    <w:p w14:paraId="00BDFBDD" w14:textId="77777777" w:rsidR="004E65A9" w:rsidRPr="00BD1AD5" w:rsidRDefault="004E65A9" w:rsidP="003F09AA"/>
    <w:p w14:paraId="13740D5A" w14:textId="77777777" w:rsidR="004E65A9" w:rsidRPr="00BD1AD5" w:rsidRDefault="004E65A9" w:rsidP="003F09AA">
      <w:pPr>
        <w:keepNext/>
        <w:pBdr>
          <w:top w:val="single" w:sz="4" w:space="1" w:color="auto"/>
          <w:left w:val="single" w:sz="4" w:space="4" w:color="auto"/>
          <w:bottom w:val="single" w:sz="4" w:space="1" w:color="auto"/>
          <w:right w:val="single" w:sz="4" w:space="4" w:color="auto"/>
        </w:pBdr>
        <w:ind w:left="567" w:hanging="567"/>
        <w:outlineLvl w:val="0"/>
      </w:pPr>
      <w:r>
        <w:rPr>
          <w:b/>
        </w:rPr>
        <w:t>16.</w:t>
      </w:r>
      <w:r>
        <w:rPr>
          <w:b/>
        </w:rPr>
        <w:tab/>
        <w:t>INFORMASJON PÅ BLINDESKRIFT</w:t>
      </w:r>
    </w:p>
    <w:p w14:paraId="6630F4C9" w14:textId="77777777" w:rsidR="004E65A9" w:rsidRPr="00BD1AD5" w:rsidRDefault="004E65A9" w:rsidP="003F09AA">
      <w:pPr>
        <w:keepNext/>
      </w:pPr>
    </w:p>
    <w:p w14:paraId="7F2BA61C" w14:textId="77777777" w:rsidR="004E65A9" w:rsidRPr="00BD1AD5" w:rsidRDefault="004E65A9" w:rsidP="003F09AA">
      <w:pPr>
        <w:keepNext/>
      </w:pPr>
      <w:r>
        <w:t>Otezla 10 mg</w:t>
      </w:r>
    </w:p>
    <w:p w14:paraId="489075A9" w14:textId="77777777" w:rsidR="004E65A9" w:rsidRPr="00BD1AD5" w:rsidRDefault="004E65A9" w:rsidP="003F09AA">
      <w:pPr>
        <w:keepNext/>
      </w:pPr>
      <w:r>
        <w:t>Otezla 20 mg</w:t>
      </w:r>
    </w:p>
    <w:p w14:paraId="68FEA70A" w14:textId="77777777" w:rsidR="004E65A9" w:rsidRPr="00BD1AD5" w:rsidRDefault="004E65A9" w:rsidP="003F09AA">
      <w:pPr>
        <w:keepNext/>
        <w:tabs>
          <w:tab w:val="clear" w:pos="567"/>
        </w:tabs>
      </w:pPr>
      <w:r>
        <w:t>Otezla 30 mg</w:t>
      </w:r>
    </w:p>
    <w:p w14:paraId="0C5B11E3" w14:textId="77777777" w:rsidR="004E65A9" w:rsidRPr="00BD1AD5" w:rsidRDefault="004E65A9" w:rsidP="003F09AA">
      <w:pPr>
        <w:tabs>
          <w:tab w:val="clear" w:pos="567"/>
        </w:tabs>
      </w:pPr>
    </w:p>
    <w:p w14:paraId="1CC9F07B" w14:textId="77777777" w:rsidR="004E65A9" w:rsidRPr="00BD1AD5" w:rsidRDefault="004E65A9" w:rsidP="003F09AA"/>
    <w:p w14:paraId="0A1B6F4F" w14:textId="77777777" w:rsidR="004E65A9" w:rsidRPr="00BD1AD5" w:rsidRDefault="004E65A9" w:rsidP="003F09AA">
      <w:pPr>
        <w:keepNext/>
        <w:pBdr>
          <w:top w:val="single" w:sz="4" w:space="1" w:color="auto"/>
          <w:left w:val="single" w:sz="4" w:space="4" w:color="auto"/>
          <w:bottom w:val="single" w:sz="4" w:space="1" w:color="auto"/>
          <w:right w:val="single" w:sz="4" w:space="4" w:color="auto"/>
        </w:pBdr>
        <w:ind w:left="567" w:hanging="567"/>
        <w:outlineLvl w:val="0"/>
      </w:pPr>
      <w:r>
        <w:rPr>
          <w:b/>
        </w:rPr>
        <w:lastRenderedPageBreak/>
        <w:t>17.</w:t>
      </w:r>
      <w:r>
        <w:rPr>
          <w:b/>
        </w:rPr>
        <w:tab/>
        <w:t>SIKKERHETSANORDNING (UNIK IDENTITET) – TODIMENSJONAL STREKKODE</w:t>
      </w:r>
    </w:p>
    <w:p w14:paraId="5989EE42" w14:textId="77777777" w:rsidR="004E65A9" w:rsidRPr="00BD1AD5" w:rsidRDefault="004E65A9" w:rsidP="003F09AA">
      <w:pPr>
        <w:keepNext/>
      </w:pPr>
    </w:p>
    <w:p w14:paraId="1B863B89" w14:textId="77777777" w:rsidR="004E65A9" w:rsidRPr="00BD1AD5" w:rsidRDefault="004E65A9" w:rsidP="003F09AA">
      <w:pPr>
        <w:keepNext/>
      </w:pPr>
      <w:r>
        <w:rPr>
          <w:shd w:val="clear" w:color="auto" w:fill="CCCCCC"/>
        </w:rPr>
        <w:t>Todimensjonal strekkode, inkludert unik identitet</w:t>
      </w:r>
    </w:p>
    <w:p w14:paraId="07A6BD48" w14:textId="77777777" w:rsidR="004E65A9" w:rsidRPr="00BD1AD5" w:rsidRDefault="004E65A9" w:rsidP="003F09AA">
      <w:pPr>
        <w:keepNext/>
      </w:pPr>
    </w:p>
    <w:p w14:paraId="22B823B6" w14:textId="77777777" w:rsidR="004E65A9" w:rsidRPr="00BD1AD5" w:rsidRDefault="004E65A9" w:rsidP="003F09AA"/>
    <w:p w14:paraId="0D3ECB92" w14:textId="77777777" w:rsidR="004E65A9" w:rsidRPr="00BD1AD5" w:rsidRDefault="004E65A9" w:rsidP="003F09AA">
      <w:pPr>
        <w:keepNext/>
        <w:pBdr>
          <w:top w:val="single" w:sz="4" w:space="1" w:color="auto"/>
          <w:left w:val="single" w:sz="4" w:space="4" w:color="auto"/>
          <w:bottom w:val="single" w:sz="4" w:space="1" w:color="auto"/>
          <w:right w:val="single" w:sz="4" w:space="4" w:color="auto"/>
        </w:pBdr>
        <w:ind w:left="567" w:hanging="567"/>
        <w:outlineLvl w:val="0"/>
      </w:pPr>
      <w:r>
        <w:rPr>
          <w:b/>
        </w:rPr>
        <w:t>18.</w:t>
      </w:r>
      <w:r>
        <w:rPr>
          <w:b/>
        </w:rPr>
        <w:tab/>
        <w:t>SIKKERHETSANORDNING (UNIK IDENTITET) – I ET FORMAT LESBART FOR MENNESKER</w:t>
      </w:r>
    </w:p>
    <w:p w14:paraId="3D145A55" w14:textId="77777777" w:rsidR="004E65A9" w:rsidRPr="00BD1AD5" w:rsidRDefault="004E65A9" w:rsidP="003F09AA">
      <w:pPr>
        <w:keepNext/>
      </w:pPr>
    </w:p>
    <w:p w14:paraId="50DA54DB" w14:textId="77777777" w:rsidR="004E65A9" w:rsidRPr="00BD1AD5" w:rsidRDefault="004E65A9" w:rsidP="003F09AA">
      <w:pPr>
        <w:keepNext/>
      </w:pPr>
      <w:r>
        <w:t>PC</w:t>
      </w:r>
    </w:p>
    <w:p w14:paraId="62F63790" w14:textId="77777777" w:rsidR="004E65A9" w:rsidRPr="00BD1AD5" w:rsidRDefault="004E65A9" w:rsidP="003F09AA">
      <w:pPr>
        <w:keepNext/>
      </w:pPr>
      <w:r>
        <w:t>SN</w:t>
      </w:r>
    </w:p>
    <w:p w14:paraId="1ABE7FA2" w14:textId="77777777" w:rsidR="004E65A9" w:rsidRPr="00BD1AD5" w:rsidRDefault="004E65A9" w:rsidP="003F09AA">
      <w:r>
        <w:t>NN</w:t>
      </w:r>
    </w:p>
    <w:p w14:paraId="1933280B" w14:textId="77777777" w:rsidR="004E65A9" w:rsidRPr="00BD1AD5" w:rsidRDefault="004E65A9" w:rsidP="003F09AA"/>
    <w:p w14:paraId="5A93FEB1" w14:textId="77777777" w:rsidR="004E65A9" w:rsidRPr="00BD1AD5" w:rsidRDefault="004E65A9" w:rsidP="003F09AA">
      <w:pPr>
        <w:tabs>
          <w:tab w:val="clear" w:pos="567"/>
        </w:tabs>
        <w:rPr>
          <w:rFonts w:eastAsia="SimSun"/>
          <w:noProof/>
          <w:lang w:eastAsia="zh-CN"/>
        </w:rPr>
      </w:pPr>
    </w:p>
    <w:p w14:paraId="7A9EBE30" w14:textId="77777777" w:rsidR="004E65A9" w:rsidRPr="00223494" w:rsidRDefault="004E65A9" w:rsidP="003F09AA">
      <w:pPr>
        <w:pStyle w:val="Stylebold"/>
        <w:pBdr>
          <w:top w:val="single" w:sz="4" w:space="1" w:color="auto"/>
          <w:left w:val="single" w:sz="4" w:space="4" w:color="auto"/>
          <w:bottom w:val="single" w:sz="4" w:space="1" w:color="auto"/>
          <w:right w:val="single" w:sz="4" w:space="4" w:color="auto"/>
        </w:pBdr>
      </w:pPr>
      <w:r>
        <w:br w:type="page"/>
      </w:r>
      <w:r>
        <w:lastRenderedPageBreak/>
        <w:t>MINSTEKRAV TIL OPPLYSNINGER SOM SKAL ANGIS PÅ BLISTER ELLER STRIP</w:t>
      </w:r>
    </w:p>
    <w:p w14:paraId="36F33B3D" w14:textId="77777777" w:rsidR="004E65A9" w:rsidRPr="00223494" w:rsidRDefault="004E65A9" w:rsidP="003F09AA">
      <w:pPr>
        <w:pStyle w:val="Stylebold"/>
        <w:pBdr>
          <w:top w:val="single" w:sz="4" w:space="1" w:color="auto"/>
          <w:left w:val="single" w:sz="4" w:space="4" w:color="auto"/>
          <w:bottom w:val="single" w:sz="4" w:space="1" w:color="auto"/>
          <w:right w:val="single" w:sz="4" w:space="4" w:color="auto"/>
        </w:pBdr>
      </w:pPr>
    </w:p>
    <w:p w14:paraId="2C345A1E" w14:textId="77777777" w:rsidR="004E65A9" w:rsidRPr="00223494" w:rsidRDefault="004E65A9" w:rsidP="003F09AA">
      <w:pPr>
        <w:pStyle w:val="Stylebold"/>
        <w:pBdr>
          <w:top w:val="single" w:sz="4" w:space="1" w:color="auto"/>
          <w:left w:val="single" w:sz="4" w:space="4" w:color="auto"/>
          <w:bottom w:val="single" w:sz="4" w:space="1" w:color="auto"/>
          <w:right w:val="single" w:sz="4" w:space="4" w:color="auto"/>
        </w:pBdr>
      </w:pPr>
      <w:r>
        <w:rPr>
          <w:highlight w:val="lightGray"/>
        </w:rPr>
        <w:t>Blister (Opplysninger som trykkes direkte på mappen inneholdende umerket forseglet blister)</w:t>
      </w:r>
    </w:p>
    <w:p w14:paraId="6F720B42" w14:textId="77777777" w:rsidR="004E65A9" w:rsidRPr="00997253" w:rsidRDefault="004E65A9" w:rsidP="003F09AA">
      <w:pPr>
        <w:keepNext/>
      </w:pPr>
    </w:p>
    <w:p w14:paraId="0526E56E" w14:textId="77777777" w:rsidR="004E65A9" w:rsidRPr="004F295B" w:rsidRDefault="004E65A9" w:rsidP="003F09AA"/>
    <w:p w14:paraId="403C6994" w14:textId="77777777" w:rsidR="004E65A9" w:rsidRPr="00223494" w:rsidRDefault="004E65A9" w:rsidP="003F09AA">
      <w:pPr>
        <w:pStyle w:val="Stylebold"/>
        <w:pBdr>
          <w:top w:val="single" w:sz="4" w:space="1" w:color="auto"/>
          <w:left w:val="single" w:sz="4" w:space="4" w:color="auto"/>
          <w:bottom w:val="single" w:sz="4" w:space="1" w:color="auto"/>
          <w:right w:val="single" w:sz="4" w:space="4" w:color="auto"/>
        </w:pBdr>
        <w:ind w:left="567" w:hanging="567"/>
      </w:pPr>
      <w:r>
        <w:t>1.</w:t>
      </w:r>
      <w:r>
        <w:tab/>
        <w:t>LEGEMIDLETS NAVN</w:t>
      </w:r>
    </w:p>
    <w:p w14:paraId="68AB2A94" w14:textId="77777777" w:rsidR="004E65A9" w:rsidRPr="004F295B" w:rsidRDefault="004E65A9" w:rsidP="003F09AA">
      <w:pPr>
        <w:keepNext/>
      </w:pPr>
    </w:p>
    <w:p w14:paraId="098D6B7A" w14:textId="77777777" w:rsidR="004E65A9" w:rsidRPr="008429B0" w:rsidRDefault="004E65A9" w:rsidP="008429B0">
      <w:pPr>
        <w:rPr>
          <w:highlight w:val="lightGray"/>
        </w:rPr>
      </w:pPr>
      <w:r w:rsidRPr="008429B0">
        <w:rPr>
          <w:highlight w:val="lightGray"/>
        </w:rPr>
        <w:t>Otezla 10 mg tabletter</w:t>
      </w:r>
    </w:p>
    <w:p w14:paraId="1160D687" w14:textId="77777777" w:rsidR="004E65A9" w:rsidRPr="008429B0" w:rsidRDefault="004E65A9" w:rsidP="008429B0">
      <w:pPr>
        <w:rPr>
          <w:highlight w:val="lightGray"/>
        </w:rPr>
      </w:pPr>
      <w:r w:rsidRPr="008429B0">
        <w:rPr>
          <w:highlight w:val="lightGray"/>
        </w:rPr>
        <w:t>Otezla 20 mg tabletter</w:t>
      </w:r>
    </w:p>
    <w:p w14:paraId="4B12BD27" w14:textId="77777777" w:rsidR="004E65A9" w:rsidRPr="008429B0" w:rsidRDefault="004E65A9" w:rsidP="008429B0">
      <w:pPr>
        <w:rPr>
          <w:highlight w:val="lightGray"/>
        </w:rPr>
      </w:pPr>
    </w:p>
    <w:p w14:paraId="28EF5F48" w14:textId="77777777" w:rsidR="004E65A9" w:rsidRPr="00394DF8" w:rsidRDefault="004E65A9" w:rsidP="008429B0">
      <w:pPr>
        <w:rPr>
          <w:shd w:val="clear" w:color="auto" w:fill="CCCCCC"/>
        </w:rPr>
      </w:pPr>
      <w:r w:rsidRPr="008429B0">
        <w:rPr>
          <w:highlight w:val="lightGray"/>
        </w:rPr>
        <w:t>apremilast</w:t>
      </w:r>
    </w:p>
    <w:p w14:paraId="02270608" w14:textId="77777777" w:rsidR="004E65A9" w:rsidRPr="00394DF8" w:rsidRDefault="004E65A9" w:rsidP="003F09AA"/>
    <w:p w14:paraId="2E1F0F37" w14:textId="77777777" w:rsidR="004E65A9" w:rsidRPr="00394DF8" w:rsidRDefault="004E65A9" w:rsidP="003F09AA"/>
    <w:p w14:paraId="78976E32" w14:textId="77777777" w:rsidR="004E65A9" w:rsidRPr="00223494" w:rsidRDefault="004E65A9" w:rsidP="003F09AA">
      <w:pPr>
        <w:pStyle w:val="Stylebold"/>
        <w:pBdr>
          <w:top w:val="single" w:sz="4" w:space="1" w:color="auto"/>
          <w:left w:val="single" w:sz="4" w:space="4" w:color="auto"/>
          <w:bottom w:val="single" w:sz="4" w:space="1" w:color="auto"/>
          <w:right w:val="single" w:sz="4" w:space="4" w:color="auto"/>
        </w:pBdr>
        <w:ind w:left="567" w:hanging="567"/>
      </w:pPr>
      <w:r>
        <w:t>2.</w:t>
      </w:r>
      <w:r>
        <w:tab/>
        <w:t>NAVN PÅ INNEHAVEREN AV MARKEDSFØRINGSTILLATELSEN</w:t>
      </w:r>
    </w:p>
    <w:p w14:paraId="646B745D" w14:textId="77777777" w:rsidR="004E65A9" w:rsidRPr="00394DF8" w:rsidRDefault="004E65A9" w:rsidP="003F09AA">
      <w:pPr>
        <w:keepNext/>
      </w:pPr>
    </w:p>
    <w:p w14:paraId="095C0BE6" w14:textId="77777777" w:rsidR="004E65A9" w:rsidRPr="00394DF8" w:rsidRDefault="004E65A9" w:rsidP="003F09AA">
      <w:r>
        <w:t>Amgen</w:t>
      </w:r>
    </w:p>
    <w:p w14:paraId="2B41308D" w14:textId="77777777" w:rsidR="004E65A9" w:rsidRDefault="004E65A9" w:rsidP="003F09AA"/>
    <w:p w14:paraId="7EF05B53" w14:textId="77777777" w:rsidR="004E65A9" w:rsidRPr="00394DF8" w:rsidRDefault="004E65A9" w:rsidP="003F09AA"/>
    <w:p w14:paraId="65EC71A4" w14:textId="77777777" w:rsidR="004E65A9" w:rsidRPr="00223494" w:rsidRDefault="004E65A9" w:rsidP="003F09AA">
      <w:pPr>
        <w:pStyle w:val="Stylebold"/>
        <w:pBdr>
          <w:top w:val="single" w:sz="4" w:space="1" w:color="auto"/>
          <w:left w:val="single" w:sz="4" w:space="4" w:color="auto"/>
          <w:bottom w:val="single" w:sz="4" w:space="1" w:color="auto"/>
          <w:right w:val="single" w:sz="4" w:space="4" w:color="auto"/>
        </w:pBdr>
        <w:ind w:left="567" w:hanging="567"/>
      </w:pPr>
      <w:r>
        <w:t>3.</w:t>
      </w:r>
      <w:r>
        <w:tab/>
        <w:t>UTLØPSDATO</w:t>
      </w:r>
    </w:p>
    <w:p w14:paraId="3AD08F66" w14:textId="77777777" w:rsidR="004E65A9" w:rsidRPr="00394DF8" w:rsidRDefault="004E65A9" w:rsidP="003F09AA">
      <w:pPr>
        <w:keepNext/>
      </w:pPr>
    </w:p>
    <w:p w14:paraId="6E1A0854" w14:textId="77777777" w:rsidR="004E65A9" w:rsidRPr="00394DF8" w:rsidRDefault="004E65A9" w:rsidP="008429B0">
      <w:r w:rsidRPr="008429B0">
        <w:rPr>
          <w:highlight w:val="lightGray"/>
        </w:rPr>
        <w:t>EXP</w:t>
      </w:r>
    </w:p>
    <w:p w14:paraId="77BE7B45" w14:textId="77777777" w:rsidR="004E65A9" w:rsidRPr="00394DF8" w:rsidRDefault="004E65A9" w:rsidP="003F09AA"/>
    <w:p w14:paraId="618BF08A" w14:textId="77777777" w:rsidR="004E65A9" w:rsidRPr="00394DF8" w:rsidRDefault="004E65A9" w:rsidP="003F09AA">
      <w:pPr>
        <w:rPr>
          <w:rFonts w:eastAsia="SimSun"/>
          <w:noProof/>
          <w:lang w:eastAsia="zh-CN"/>
        </w:rPr>
      </w:pPr>
    </w:p>
    <w:p w14:paraId="5097BC51" w14:textId="77777777" w:rsidR="004E65A9" w:rsidRPr="00223494" w:rsidRDefault="004E65A9" w:rsidP="003F09AA">
      <w:pPr>
        <w:pStyle w:val="Stylebold"/>
        <w:pBdr>
          <w:top w:val="single" w:sz="4" w:space="1" w:color="auto"/>
          <w:left w:val="single" w:sz="4" w:space="4" w:color="auto"/>
          <w:bottom w:val="single" w:sz="4" w:space="1" w:color="auto"/>
          <w:right w:val="single" w:sz="4" w:space="4" w:color="auto"/>
        </w:pBdr>
        <w:ind w:left="567" w:hanging="567"/>
      </w:pPr>
      <w:r>
        <w:t>4.</w:t>
      </w:r>
      <w:r>
        <w:tab/>
        <w:t>PRODUKSJONSNUMMER</w:t>
      </w:r>
    </w:p>
    <w:p w14:paraId="682055A0" w14:textId="77777777" w:rsidR="004E65A9" w:rsidRPr="00394DF8" w:rsidRDefault="004E65A9" w:rsidP="003F09AA">
      <w:pPr>
        <w:keepNext/>
      </w:pPr>
    </w:p>
    <w:p w14:paraId="3B81D209" w14:textId="77777777" w:rsidR="004E65A9" w:rsidRPr="00394DF8" w:rsidRDefault="004E65A9" w:rsidP="008429B0">
      <w:r w:rsidRPr="008429B0">
        <w:rPr>
          <w:highlight w:val="lightGray"/>
        </w:rPr>
        <w:t>Lot</w:t>
      </w:r>
    </w:p>
    <w:p w14:paraId="7E638738" w14:textId="77777777" w:rsidR="004E65A9" w:rsidRPr="009A0146" w:rsidRDefault="004E65A9" w:rsidP="003F09AA"/>
    <w:p w14:paraId="4B477B62" w14:textId="77777777" w:rsidR="004E65A9" w:rsidRPr="009A0146" w:rsidRDefault="004E65A9" w:rsidP="003F09AA"/>
    <w:p w14:paraId="10554B2D" w14:textId="77777777" w:rsidR="004E65A9" w:rsidRPr="00223494" w:rsidRDefault="004E65A9" w:rsidP="003F09AA">
      <w:pPr>
        <w:pStyle w:val="Stylebold"/>
        <w:pBdr>
          <w:top w:val="single" w:sz="4" w:space="1" w:color="auto"/>
          <w:left w:val="single" w:sz="4" w:space="4" w:color="auto"/>
          <w:bottom w:val="single" w:sz="4" w:space="1" w:color="auto"/>
          <w:right w:val="single" w:sz="4" w:space="4" w:color="auto"/>
        </w:pBdr>
        <w:ind w:left="567" w:hanging="567"/>
      </w:pPr>
      <w:r>
        <w:t>5.</w:t>
      </w:r>
      <w:r>
        <w:tab/>
        <w:t>ANNET</w:t>
      </w:r>
    </w:p>
    <w:p w14:paraId="3331B864" w14:textId="77777777" w:rsidR="004E65A9" w:rsidRPr="009A0146" w:rsidRDefault="004E65A9" w:rsidP="003F09AA">
      <w:pPr>
        <w:keepNext/>
        <w:rPr>
          <w:rFonts w:eastAsia="Calibri"/>
        </w:rPr>
      </w:pPr>
    </w:p>
    <w:p w14:paraId="157BB344" w14:textId="77777777" w:rsidR="004E65A9" w:rsidRPr="009A0146" w:rsidRDefault="004E65A9" w:rsidP="003F09AA">
      <w:pPr>
        <w:rPr>
          <w:rFonts w:eastAsia="Calibri"/>
        </w:rPr>
      </w:pPr>
    </w:p>
    <w:p w14:paraId="4598F080" w14:textId="77777777" w:rsidR="004E65A9" w:rsidRPr="00BD1AD5" w:rsidRDefault="004E65A9" w:rsidP="003F09AA">
      <w:pPr>
        <w:pBdr>
          <w:top w:val="single" w:sz="4" w:space="1" w:color="auto"/>
          <w:left w:val="single" w:sz="4" w:space="4" w:color="auto"/>
          <w:bottom w:val="single" w:sz="4" w:space="1" w:color="auto"/>
          <w:right w:val="single" w:sz="4" w:space="4" w:color="auto"/>
        </w:pBdr>
        <w:tabs>
          <w:tab w:val="clear" w:pos="567"/>
        </w:tabs>
        <w:rPr>
          <w:b/>
        </w:rPr>
      </w:pPr>
      <w:r>
        <w:br w:type="page"/>
      </w:r>
      <w:r>
        <w:rPr>
          <w:b/>
        </w:rPr>
        <w:lastRenderedPageBreak/>
        <w:t>MINSTEKRAV TIL OPPLYSNINGER SOM SKAL ANGIS PÅ BLISTER ELLER STRIP</w:t>
      </w:r>
    </w:p>
    <w:p w14:paraId="174F2C34" w14:textId="77777777" w:rsidR="004E65A9" w:rsidRPr="00BD1AD5" w:rsidRDefault="004E65A9" w:rsidP="003F09AA">
      <w:pPr>
        <w:pBdr>
          <w:top w:val="single" w:sz="4" w:space="1" w:color="auto"/>
          <w:left w:val="single" w:sz="4" w:space="4" w:color="auto"/>
          <w:bottom w:val="single" w:sz="4" w:space="1" w:color="auto"/>
          <w:right w:val="single" w:sz="4" w:space="4" w:color="auto"/>
        </w:pBdr>
        <w:tabs>
          <w:tab w:val="clear" w:pos="567"/>
        </w:tabs>
        <w:rPr>
          <w:b/>
        </w:rPr>
      </w:pPr>
    </w:p>
    <w:p w14:paraId="535F883A" w14:textId="77777777" w:rsidR="004E65A9" w:rsidRPr="00BD1AD5" w:rsidRDefault="004E65A9" w:rsidP="003F09AA">
      <w:pPr>
        <w:pBdr>
          <w:top w:val="single" w:sz="4" w:space="1" w:color="auto"/>
          <w:left w:val="single" w:sz="4" w:space="4" w:color="auto"/>
          <w:bottom w:val="single" w:sz="4" w:space="1" w:color="auto"/>
          <w:right w:val="single" w:sz="4" w:space="4" w:color="auto"/>
        </w:pBdr>
        <w:tabs>
          <w:tab w:val="clear" w:pos="567"/>
        </w:tabs>
        <w:rPr>
          <w:b/>
          <w:bCs/>
          <w:shd w:val="clear" w:color="auto" w:fill="D9D9D9"/>
        </w:rPr>
      </w:pPr>
      <w:r>
        <w:rPr>
          <w:b/>
          <w:shd w:val="clear" w:color="auto" w:fill="D9D9D9"/>
        </w:rPr>
        <w:t>Blister (Opplysninger som trykkes direkte på mappen inneholdende umerket forseglet blister)</w:t>
      </w:r>
    </w:p>
    <w:p w14:paraId="12FA01E6" w14:textId="77777777" w:rsidR="004E65A9" w:rsidRPr="00BD1AD5" w:rsidRDefault="004E65A9" w:rsidP="003F09AA"/>
    <w:p w14:paraId="1C278C74" w14:textId="77777777" w:rsidR="004E65A9" w:rsidRPr="00BD1AD5" w:rsidRDefault="004E65A9" w:rsidP="003F09AA"/>
    <w:p w14:paraId="344404F3" w14:textId="77777777" w:rsidR="004E65A9" w:rsidRPr="00BD1AD5" w:rsidRDefault="004E65A9" w:rsidP="003F09AA">
      <w:pPr>
        <w:keepNext/>
        <w:pBdr>
          <w:top w:val="single" w:sz="4" w:space="1" w:color="auto"/>
          <w:left w:val="single" w:sz="4" w:space="4" w:color="auto"/>
          <w:bottom w:val="single" w:sz="4" w:space="1" w:color="auto"/>
          <w:right w:val="single" w:sz="4" w:space="4" w:color="auto"/>
        </w:pBdr>
        <w:ind w:left="567" w:hanging="567"/>
        <w:outlineLvl w:val="0"/>
        <w:rPr>
          <w:b/>
        </w:rPr>
      </w:pPr>
      <w:r>
        <w:rPr>
          <w:b/>
        </w:rPr>
        <w:t>1.</w:t>
      </w:r>
      <w:r>
        <w:rPr>
          <w:b/>
        </w:rPr>
        <w:tab/>
        <w:t>LEGEMIDLETS NAVN</w:t>
      </w:r>
    </w:p>
    <w:p w14:paraId="307EAAB5" w14:textId="77777777" w:rsidR="004E65A9" w:rsidRPr="00BD1AD5" w:rsidRDefault="004E65A9" w:rsidP="003F09AA">
      <w:pPr>
        <w:keepNext/>
      </w:pPr>
    </w:p>
    <w:p w14:paraId="06679FB9" w14:textId="77777777" w:rsidR="004E65A9" w:rsidRPr="008429B0" w:rsidRDefault="004E65A9" w:rsidP="008429B0">
      <w:pPr>
        <w:rPr>
          <w:highlight w:val="lightGray"/>
        </w:rPr>
      </w:pPr>
      <w:r w:rsidRPr="008429B0">
        <w:rPr>
          <w:highlight w:val="lightGray"/>
        </w:rPr>
        <w:t>Otezla 10 mg tabletter</w:t>
      </w:r>
    </w:p>
    <w:p w14:paraId="50673800" w14:textId="77777777" w:rsidR="004E65A9" w:rsidRPr="008429B0" w:rsidRDefault="004E65A9" w:rsidP="008429B0">
      <w:pPr>
        <w:rPr>
          <w:highlight w:val="lightGray"/>
        </w:rPr>
      </w:pPr>
      <w:r w:rsidRPr="008429B0">
        <w:rPr>
          <w:highlight w:val="lightGray"/>
        </w:rPr>
        <w:t>Otezla 20 mg tabletter</w:t>
      </w:r>
    </w:p>
    <w:p w14:paraId="22DC2FE5" w14:textId="77777777" w:rsidR="004E65A9" w:rsidRPr="008429B0" w:rsidRDefault="004E65A9" w:rsidP="008429B0">
      <w:pPr>
        <w:rPr>
          <w:highlight w:val="lightGray"/>
        </w:rPr>
      </w:pPr>
      <w:r w:rsidRPr="008429B0">
        <w:rPr>
          <w:highlight w:val="lightGray"/>
        </w:rPr>
        <w:t>Otezla 30 mg tabletter</w:t>
      </w:r>
    </w:p>
    <w:p w14:paraId="74261A23" w14:textId="77777777" w:rsidR="004E65A9" w:rsidRPr="008429B0" w:rsidRDefault="004E65A9" w:rsidP="008429B0">
      <w:pPr>
        <w:rPr>
          <w:highlight w:val="lightGray"/>
        </w:rPr>
      </w:pPr>
    </w:p>
    <w:p w14:paraId="74C5A886" w14:textId="77777777" w:rsidR="004E65A9" w:rsidRPr="00BD1AD5" w:rsidRDefault="004E65A9" w:rsidP="008429B0">
      <w:r w:rsidRPr="008429B0">
        <w:rPr>
          <w:highlight w:val="lightGray"/>
        </w:rPr>
        <w:t>apremilast</w:t>
      </w:r>
    </w:p>
    <w:p w14:paraId="5DDF079A" w14:textId="77777777" w:rsidR="004E65A9" w:rsidRPr="00BD1AD5" w:rsidRDefault="004E65A9" w:rsidP="003F09AA"/>
    <w:p w14:paraId="50338094" w14:textId="77777777" w:rsidR="004E65A9" w:rsidRPr="00BD1AD5" w:rsidRDefault="004E65A9" w:rsidP="003F09AA"/>
    <w:p w14:paraId="62D87B3D" w14:textId="77777777" w:rsidR="004E65A9" w:rsidRPr="00BD1AD5" w:rsidRDefault="004E65A9" w:rsidP="003F09AA">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NAVN PÅ INNEHAVEREN AV MARKEDSFØRINGSTILLATELSEN</w:t>
      </w:r>
    </w:p>
    <w:p w14:paraId="25FCCC52" w14:textId="77777777" w:rsidR="004E65A9" w:rsidRPr="00BD1AD5" w:rsidRDefault="004E65A9" w:rsidP="003F09AA">
      <w:pPr>
        <w:keepNext/>
      </w:pPr>
    </w:p>
    <w:p w14:paraId="6E37349C" w14:textId="77777777" w:rsidR="004E65A9" w:rsidRPr="00BD1AD5" w:rsidRDefault="004E65A9" w:rsidP="003F09AA">
      <w:r>
        <w:t>Amgen</w:t>
      </w:r>
    </w:p>
    <w:p w14:paraId="56EA482C" w14:textId="77777777" w:rsidR="004E65A9" w:rsidRDefault="004E65A9" w:rsidP="003F09AA"/>
    <w:p w14:paraId="74DF916E" w14:textId="77777777" w:rsidR="004E65A9" w:rsidRPr="00BD1AD5" w:rsidRDefault="004E65A9" w:rsidP="003F09AA"/>
    <w:p w14:paraId="3FDB13CF" w14:textId="77777777" w:rsidR="004E65A9" w:rsidRPr="00BD1AD5" w:rsidRDefault="004E65A9" w:rsidP="003F09AA">
      <w:pPr>
        <w:keepNext/>
        <w:pBdr>
          <w:top w:val="single" w:sz="4" w:space="1" w:color="auto"/>
          <w:left w:val="single" w:sz="4" w:space="4" w:color="auto"/>
          <w:bottom w:val="single" w:sz="4" w:space="1" w:color="auto"/>
          <w:right w:val="single" w:sz="4" w:space="4" w:color="auto"/>
        </w:pBdr>
        <w:ind w:left="567" w:hanging="567"/>
        <w:outlineLvl w:val="0"/>
        <w:rPr>
          <w:b/>
        </w:rPr>
      </w:pPr>
      <w:r>
        <w:rPr>
          <w:b/>
        </w:rPr>
        <w:t>3.</w:t>
      </w:r>
      <w:r>
        <w:rPr>
          <w:b/>
        </w:rPr>
        <w:tab/>
        <w:t>UTLØPSDATO</w:t>
      </w:r>
    </w:p>
    <w:p w14:paraId="5293C6F0" w14:textId="77777777" w:rsidR="004E65A9" w:rsidRPr="00BD1AD5" w:rsidRDefault="004E65A9" w:rsidP="003F09AA">
      <w:pPr>
        <w:keepNext/>
      </w:pPr>
    </w:p>
    <w:p w14:paraId="0A43BDC2" w14:textId="77777777" w:rsidR="004E65A9" w:rsidRPr="00BD1AD5" w:rsidRDefault="004E65A9" w:rsidP="008429B0">
      <w:r w:rsidRPr="008429B0">
        <w:rPr>
          <w:highlight w:val="lightGray"/>
        </w:rPr>
        <w:t>EXP</w:t>
      </w:r>
    </w:p>
    <w:p w14:paraId="63D36369" w14:textId="77777777" w:rsidR="004E65A9" w:rsidRPr="00BD1AD5" w:rsidRDefault="004E65A9" w:rsidP="003F09AA"/>
    <w:p w14:paraId="3F99AC3B" w14:textId="77777777" w:rsidR="004E65A9" w:rsidRPr="00BD1AD5" w:rsidRDefault="004E65A9" w:rsidP="003F09AA">
      <w:pPr>
        <w:rPr>
          <w:rFonts w:eastAsia="SimSun"/>
          <w:noProof/>
          <w:lang w:eastAsia="zh-CN"/>
        </w:rPr>
      </w:pPr>
    </w:p>
    <w:p w14:paraId="05711B4B" w14:textId="77777777" w:rsidR="004E65A9" w:rsidRPr="00BD1AD5" w:rsidRDefault="004E65A9" w:rsidP="003F09AA">
      <w:pPr>
        <w:keepNext/>
        <w:pBdr>
          <w:top w:val="single" w:sz="4" w:space="1" w:color="auto"/>
          <w:left w:val="single" w:sz="4" w:space="4" w:color="auto"/>
          <w:bottom w:val="single" w:sz="4" w:space="1" w:color="auto"/>
          <w:right w:val="single" w:sz="4" w:space="4" w:color="auto"/>
        </w:pBdr>
        <w:ind w:left="567" w:hanging="567"/>
        <w:outlineLvl w:val="0"/>
        <w:rPr>
          <w:b/>
        </w:rPr>
      </w:pPr>
      <w:r>
        <w:rPr>
          <w:b/>
        </w:rPr>
        <w:t>4.</w:t>
      </w:r>
      <w:r>
        <w:rPr>
          <w:b/>
        </w:rPr>
        <w:tab/>
        <w:t>PRODUKSJONSNUMMER</w:t>
      </w:r>
    </w:p>
    <w:p w14:paraId="5F30C723" w14:textId="77777777" w:rsidR="004E65A9" w:rsidRPr="00BD1AD5" w:rsidRDefault="004E65A9" w:rsidP="003F09AA">
      <w:pPr>
        <w:keepNext/>
      </w:pPr>
    </w:p>
    <w:p w14:paraId="6D548113" w14:textId="77777777" w:rsidR="004E65A9" w:rsidRPr="00BD1AD5" w:rsidRDefault="004E65A9" w:rsidP="008429B0">
      <w:r w:rsidRPr="008429B0">
        <w:rPr>
          <w:highlight w:val="lightGray"/>
        </w:rPr>
        <w:t>Lot</w:t>
      </w:r>
    </w:p>
    <w:p w14:paraId="5DE89D4D" w14:textId="77777777" w:rsidR="004E65A9" w:rsidRPr="00BD1AD5" w:rsidRDefault="004E65A9" w:rsidP="003F09AA"/>
    <w:p w14:paraId="3FE7864A" w14:textId="77777777" w:rsidR="004E65A9" w:rsidRPr="00BD1AD5" w:rsidRDefault="004E65A9" w:rsidP="003F09AA"/>
    <w:p w14:paraId="30178D44" w14:textId="77777777" w:rsidR="004E65A9" w:rsidRDefault="004E65A9" w:rsidP="003F09AA">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5.</w:t>
      </w:r>
      <w:r>
        <w:rPr>
          <w:b/>
        </w:rPr>
        <w:tab/>
        <w:t>ANNET</w:t>
      </w:r>
    </w:p>
    <w:p w14:paraId="12932F04" w14:textId="77777777" w:rsidR="004E65A9" w:rsidRPr="00BD1AD5" w:rsidRDefault="004E65A9" w:rsidP="003F09AA">
      <w:pPr>
        <w:keepNext/>
        <w:rPr>
          <w:rFonts w:eastAsia="Calibri"/>
        </w:rPr>
      </w:pPr>
    </w:p>
    <w:p w14:paraId="337F609B" w14:textId="77777777" w:rsidR="004E65A9" w:rsidRPr="00BD1AD5" w:rsidRDefault="004E65A9" w:rsidP="003F09AA">
      <w:pPr>
        <w:rPr>
          <w:rFonts w:eastAsia="Calibri"/>
        </w:rPr>
      </w:pPr>
    </w:p>
    <w:p w14:paraId="38A9DDF8" w14:textId="77777777" w:rsidR="004E65A9" w:rsidRPr="000701B9" w:rsidRDefault="004E65A9" w:rsidP="003F09AA">
      <w:pPr>
        <w:pStyle w:val="Stylebold"/>
        <w:pBdr>
          <w:top w:val="single" w:sz="4" w:space="1" w:color="auto"/>
          <w:left w:val="single" w:sz="4" w:space="4" w:color="auto"/>
          <w:bottom w:val="single" w:sz="4" w:space="1" w:color="auto"/>
          <w:right w:val="single" w:sz="4" w:space="4" w:color="auto"/>
        </w:pBdr>
      </w:pPr>
      <w:r>
        <w:br w:type="page"/>
      </w:r>
      <w:r>
        <w:lastRenderedPageBreak/>
        <w:t>OPPLYSNINGER SOM SKAL ANGIS PÅ YTRE EMBALLASJE</w:t>
      </w:r>
    </w:p>
    <w:p w14:paraId="67B54DC1" w14:textId="77777777" w:rsidR="004E65A9" w:rsidRPr="000701B9" w:rsidRDefault="004E65A9" w:rsidP="003F09AA">
      <w:pPr>
        <w:pStyle w:val="Stylebold"/>
        <w:pBdr>
          <w:top w:val="single" w:sz="4" w:space="1" w:color="auto"/>
          <w:left w:val="single" w:sz="4" w:space="4" w:color="auto"/>
          <w:bottom w:val="single" w:sz="4" w:space="1" w:color="auto"/>
          <w:right w:val="single" w:sz="4" w:space="4" w:color="auto"/>
        </w:pBdr>
      </w:pPr>
    </w:p>
    <w:p w14:paraId="3174DD13" w14:textId="77777777" w:rsidR="004E65A9" w:rsidRPr="000701B9" w:rsidRDefault="004E65A9" w:rsidP="003F09AA">
      <w:pPr>
        <w:pStyle w:val="Stylebold"/>
        <w:pBdr>
          <w:top w:val="single" w:sz="4" w:space="1" w:color="auto"/>
          <w:left w:val="single" w:sz="4" w:space="4" w:color="auto"/>
          <w:bottom w:val="single" w:sz="4" w:space="1" w:color="auto"/>
          <w:right w:val="single" w:sz="4" w:space="4" w:color="auto"/>
        </w:pBdr>
      </w:pPr>
      <w:r>
        <w:t>Eske</w:t>
      </w:r>
    </w:p>
    <w:p w14:paraId="6B51F452" w14:textId="77777777" w:rsidR="004E65A9" w:rsidRPr="00394DF8" w:rsidRDefault="004E65A9" w:rsidP="003F09AA">
      <w:pPr>
        <w:keepNext/>
      </w:pPr>
    </w:p>
    <w:p w14:paraId="4216E680" w14:textId="77777777" w:rsidR="004E65A9" w:rsidRPr="00394DF8" w:rsidRDefault="004E65A9" w:rsidP="003F09AA"/>
    <w:p w14:paraId="039587F5" w14:textId="77777777" w:rsidR="004E65A9" w:rsidRPr="00394DF8" w:rsidRDefault="004E65A9" w:rsidP="003F09AA">
      <w:pPr>
        <w:pStyle w:val="Stylebold"/>
        <w:pBdr>
          <w:top w:val="single" w:sz="4" w:space="1" w:color="auto"/>
          <w:left w:val="single" w:sz="4" w:space="4" w:color="auto"/>
          <w:bottom w:val="single" w:sz="4" w:space="1" w:color="auto"/>
          <w:right w:val="single" w:sz="4" w:space="4" w:color="auto"/>
        </w:pBdr>
        <w:ind w:left="567" w:hanging="567"/>
      </w:pPr>
      <w:r>
        <w:t>1.</w:t>
      </w:r>
      <w:r>
        <w:tab/>
        <w:t>LEGEMIDLETS NAVN</w:t>
      </w:r>
    </w:p>
    <w:p w14:paraId="1A8D721C" w14:textId="77777777" w:rsidR="004E65A9" w:rsidRPr="00394DF8" w:rsidRDefault="004E65A9" w:rsidP="003F09AA">
      <w:pPr>
        <w:keepNext/>
      </w:pPr>
    </w:p>
    <w:p w14:paraId="3F5F672D" w14:textId="77777777" w:rsidR="004E65A9" w:rsidRPr="00394DF8" w:rsidRDefault="004E65A9" w:rsidP="003F09AA">
      <w:pPr>
        <w:keepNext/>
      </w:pPr>
      <w:r>
        <w:t>Otezla 20 mg tabletter, filmdrasjerte</w:t>
      </w:r>
    </w:p>
    <w:p w14:paraId="4A05FC5E" w14:textId="77777777" w:rsidR="004E65A9" w:rsidRPr="00394DF8" w:rsidRDefault="004E65A9" w:rsidP="003F09AA">
      <w:pPr>
        <w:rPr>
          <w:b/>
        </w:rPr>
      </w:pPr>
      <w:r>
        <w:t>apremilast</w:t>
      </w:r>
    </w:p>
    <w:p w14:paraId="62AF85E0" w14:textId="77777777" w:rsidR="004E65A9" w:rsidRPr="00394DF8" w:rsidRDefault="004E65A9" w:rsidP="003F09AA"/>
    <w:p w14:paraId="02AFD984" w14:textId="77777777" w:rsidR="004E65A9" w:rsidRPr="00394DF8" w:rsidRDefault="004E65A9" w:rsidP="003F09AA"/>
    <w:p w14:paraId="2F384916" w14:textId="77777777" w:rsidR="004E65A9" w:rsidRPr="00481615" w:rsidRDefault="004E65A9" w:rsidP="003F09AA">
      <w:pPr>
        <w:pStyle w:val="Stylebold"/>
        <w:pBdr>
          <w:top w:val="single" w:sz="4" w:space="1" w:color="auto"/>
          <w:left w:val="single" w:sz="4" w:space="4" w:color="auto"/>
          <w:bottom w:val="single" w:sz="4" w:space="1" w:color="auto"/>
          <w:right w:val="single" w:sz="4" w:space="4" w:color="auto"/>
        </w:pBdr>
        <w:ind w:left="567" w:hanging="567"/>
      </w:pPr>
      <w:r>
        <w:t>2.</w:t>
      </w:r>
      <w:r>
        <w:tab/>
        <w:t>DEKLARASJON AV VIRKESTOFF(ER)</w:t>
      </w:r>
    </w:p>
    <w:p w14:paraId="1D58AA50" w14:textId="77777777" w:rsidR="004E65A9" w:rsidRPr="00394DF8" w:rsidRDefault="004E65A9" w:rsidP="003F09AA">
      <w:pPr>
        <w:keepNext/>
        <w:rPr>
          <w:i/>
        </w:rPr>
      </w:pPr>
    </w:p>
    <w:p w14:paraId="6D8A76F5" w14:textId="77777777" w:rsidR="004E65A9" w:rsidRPr="00394DF8" w:rsidRDefault="004E65A9" w:rsidP="003F09AA">
      <w:pPr>
        <w:widowControl w:val="0"/>
      </w:pPr>
      <w:r>
        <w:t>Én filmdrasjert tablett inneholder 20 mg apremilast.</w:t>
      </w:r>
    </w:p>
    <w:p w14:paraId="7402822C" w14:textId="77777777" w:rsidR="004E65A9" w:rsidRPr="00394DF8" w:rsidRDefault="004E65A9" w:rsidP="003F09AA"/>
    <w:p w14:paraId="1F48C4DA" w14:textId="77777777" w:rsidR="004E65A9" w:rsidRPr="00394DF8" w:rsidRDefault="004E65A9" w:rsidP="003F09AA"/>
    <w:p w14:paraId="45B4A434" w14:textId="77777777" w:rsidR="004E65A9" w:rsidRPr="00394DF8" w:rsidRDefault="004E65A9" w:rsidP="003F09AA">
      <w:pPr>
        <w:pStyle w:val="Stylebold"/>
        <w:pBdr>
          <w:top w:val="single" w:sz="4" w:space="1" w:color="auto"/>
          <w:left w:val="single" w:sz="4" w:space="4" w:color="auto"/>
          <w:bottom w:val="single" w:sz="4" w:space="1" w:color="auto"/>
          <w:right w:val="single" w:sz="4" w:space="4" w:color="auto"/>
        </w:pBdr>
        <w:ind w:left="567" w:hanging="567"/>
      </w:pPr>
      <w:r>
        <w:t>3.</w:t>
      </w:r>
      <w:r>
        <w:tab/>
        <w:t>LISTE OVER HJELPESTOFFER</w:t>
      </w:r>
    </w:p>
    <w:p w14:paraId="3E0C43E5" w14:textId="77777777" w:rsidR="004E65A9" w:rsidRPr="00394DF8" w:rsidRDefault="004E65A9" w:rsidP="003F09AA">
      <w:pPr>
        <w:keepNext/>
      </w:pPr>
    </w:p>
    <w:p w14:paraId="77957C55" w14:textId="77777777" w:rsidR="004E65A9" w:rsidRPr="00394DF8" w:rsidRDefault="004E65A9" w:rsidP="003F09AA">
      <w:pPr>
        <w:widowControl w:val="0"/>
      </w:pPr>
      <w:r>
        <w:t>Inneholder laktose. Se pakningsvedlegg for ytterligere informasjon.</w:t>
      </w:r>
    </w:p>
    <w:p w14:paraId="3CCFC868" w14:textId="77777777" w:rsidR="004E65A9" w:rsidRPr="00394DF8" w:rsidRDefault="004E65A9" w:rsidP="003F09AA"/>
    <w:p w14:paraId="0A481D9E" w14:textId="77777777" w:rsidR="004E65A9" w:rsidRPr="00394DF8" w:rsidRDefault="004E65A9" w:rsidP="003F09AA"/>
    <w:p w14:paraId="0BA4F617" w14:textId="77777777" w:rsidR="004E65A9" w:rsidRPr="00394DF8" w:rsidRDefault="004E65A9" w:rsidP="003F09AA">
      <w:pPr>
        <w:pStyle w:val="Stylebold"/>
        <w:pBdr>
          <w:top w:val="single" w:sz="4" w:space="1" w:color="auto"/>
          <w:left w:val="single" w:sz="4" w:space="4" w:color="auto"/>
          <w:bottom w:val="single" w:sz="4" w:space="1" w:color="auto"/>
          <w:right w:val="single" w:sz="4" w:space="4" w:color="auto"/>
        </w:pBdr>
        <w:ind w:left="567" w:hanging="567"/>
      </w:pPr>
      <w:r>
        <w:t>4.</w:t>
      </w:r>
      <w:r>
        <w:tab/>
        <w:t>LEGEMIDDELFORM OG INNHOLD (PAKNINGSSTØRRELSE)</w:t>
      </w:r>
    </w:p>
    <w:p w14:paraId="528192F7" w14:textId="77777777" w:rsidR="004E65A9" w:rsidRPr="00394DF8" w:rsidRDefault="004E65A9" w:rsidP="003F09AA">
      <w:pPr>
        <w:keepNext/>
      </w:pPr>
    </w:p>
    <w:p w14:paraId="4FEFF9ED" w14:textId="77777777" w:rsidR="004E65A9" w:rsidRPr="00394DF8" w:rsidRDefault="004E65A9" w:rsidP="003F09AA">
      <w:pPr>
        <w:keepNext/>
      </w:pPr>
      <w:r>
        <w:rPr>
          <w:highlight w:val="lightGray"/>
        </w:rPr>
        <w:t>Tablett, filmdrasjert</w:t>
      </w:r>
    </w:p>
    <w:p w14:paraId="4453DE07" w14:textId="77777777" w:rsidR="004E65A9" w:rsidRPr="00394DF8" w:rsidRDefault="004E65A9" w:rsidP="003F09AA">
      <w:r>
        <w:t>56 filmdrasjerte tabletter</w:t>
      </w:r>
    </w:p>
    <w:p w14:paraId="60797FB8" w14:textId="77777777" w:rsidR="004E65A9" w:rsidRPr="00394DF8" w:rsidRDefault="004E65A9" w:rsidP="003F09AA"/>
    <w:p w14:paraId="30259321" w14:textId="77777777" w:rsidR="004E65A9" w:rsidRPr="00394DF8" w:rsidRDefault="004E65A9" w:rsidP="003F09AA">
      <w:pPr>
        <w:rPr>
          <w:rFonts w:eastAsia="SimSun"/>
          <w:noProof/>
          <w:lang w:eastAsia="zh-CN"/>
        </w:rPr>
      </w:pPr>
    </w:p>
    <w:p w14:paraId="2C8A384C" w14:textId="77777777" w:rsidR="004E65A9" w:rsidRPr="00394DF8" w:rsidRDefault="004E65A9" w:rsidP="003F09AA">
      <w:pPr>
        <w:pStyle w:val="Stylebold"/>
        <w:pBdr>
          <w:top w:val="single" w:sz="4" w:space="1" w:color="auto"/>
          <w:left w:val="single" w:sz="4" w:space="4" w:color="auto"/>
          <w:bottom w:val="single" w:sz="4" w:space="1" w:color="auto"/>
          <w:right w:val="single" w:sz="4" w:space="4" w:color="auto"/>
        </w:pBdr>
        <w:ind w:left="567" w:hanging="567"/>
      </w:pPr>
      <w:r>
        <w:t>5.</w:t>
      </w:r>
      <w:r>
        <w:tab/>
        <w:t>ADMINISTRASJONSMÅTE OG -VEI(ER)</w:t>
      </w:r>
    </w:p>
    <w:p w14:paraId="4D9E973F" w14:textId="77777777" w:rsidR="004E65A9" w:rsidRPr="00394DF8" w:rsidRDefault="004E65A9" w:rsidP="003F09AA">
      <w:pPr>
        <w:keepNext/>
      </w:pPr>
    </w:p>
    <w:p w14:paraId="581D2B58" w14:textId="77777777" w:rsidR="004E65A9" w:rsidRPr="00394DF8" w:rsidRDefault="004E65A9" w:rsidP="003F09AA">
      <w:pPr>
        <w:keepNext/>
      </w:pPr>
      <w:r>
        <w:rPr>
          <w:highlight w:val="lightGray"/>
        </w:rPr>
        <w:t>Les pakningsvedlegget før bruk.</w:t>
      </w:r>
    </w:p>
    <w:p w14:paraId="7214B88A" w14:textId="77777777" w:rsidR="004E65A9" w:rsidRPr="00394DF8" w:rsidRDefault="004E65A9" w:rsidP="003F09AA">
      <w:pPr>
        <w:rPr>
          <w:rFonts w:eastAsia="SimSun"/>
          <w:noProof/>
        </w:rPr>
      </w:pPr>
      <w:r>
        <w:t>Til oral bruk.</w:t>
      </w:r>
    </w:p>
    <w:p w14:paraId="1FF883B7" w14:textId="77777777" w:rsidR="004E65A9" w:rsidRDefault="004E65A9" w:rsidP="003F09AA">
      <w:pPr>
        <w:autoSpaceDE w:val="0"/>
        <w:autoSpaceDN w:val="0"/>
        <w:adjustRightInd w:val="0"/>
      </w:pPr>
    </w:p>
    <w:p w14:paraId="1BE1C771" w14:textId="77777777" w:rsidR="004E65A9" w:rsidRDefault="004E65A9" w:rsidP="003F09AA">
      <w:pPr>
        <w:keepNext/>
        <w:widowControl w:val="0"/>
        <w:rPr>
          <w:highlight w:val="lightGray"/>
        </w:rPr>
      </w:pPr>
      <w:r>
        <w:rPr>
          <w:highlight w:val="lightGray"/>
        </w:rPr>
        <w:t>QR-kode settes inn</w:t>
      </w:r>
    </w:p>
    <w:p w14:paraId="3FAD0A39" w14:textId="77777777" w:rsidR="004E65A9" w:rsidRPr="00E61F33" w:rsidRDefault="004E65A9" w:rsidP="003F09AA">
      <w:pPr>
        <w:autoSpaceDE w:val="0"/>
        <w:autoSpaceDN w:val="0"/>
        <w:adjustRightInd w:val="0"/>
        <w:rPr>
          <w:i/>
        </w:rPr>
      </w:pPr>
      <w:hyperlink r:id="rId25" w:history="1">
        <w:r>
          <w:rPr>
            <w:rStyle w:val="Hyperlink"/>
          </w:rPr>
          <w:t>www.otezla-eu-pil.com</w:t>
        </w:r>
      </w:hyperlink>
    </w:p>
    <w:p w14:paraId="6C6E142E" w14:textId="77777777" w:rsidR="004E65A9" w:rsidRPr="00394DF8" w:rsidRDefault="004E65A9" w:rsidP="003F09AA">
      <w:pPr>
        <w:autoSpaceDE w:val="0"/>
        <w:autoSpaceDN w:val="0"/>
        <w:adjustRightInd w:val="0"/>
      </w:pPr>
    </w:p>
    <w:p w14:paraId="560922FE" w14:textId="77777777" w:rsidR="004E65A9" w:rsidRPr="00394DF8" w:rsidRDefault="004E65A9" w:rsidP="003F09AA">
      <w:pPr>
        <w:autoSpaceDE w:val="0"/>
        <w:autoSpaceDN w:val="0"/>
        <w:adjustRightInd w:val="0"/>
      </w:pPr>
    </w:p>
    <w:p w14:paraId="379054E6" w14:textId="77777777" w:rsidR="004E65A9" w:rsidRPr="00394DF8" w:rsidRDefault="004E65A9" w:rsidP="003F09AA">
      <w:pPr>
        <w:pStyle w:val="Stylebold"/>
        <w:pBdr>
          <w:top w:val="single" w:sz="4" w:space="1" w:color="auto"/>
          <w:left w:val="single" w:sz="4" w:space="4" w:color="auto"/>
          <w:bottom w:val="single" w:sz="4" w:space="1" w:color="auto"/>
          <w:right w:val="single" w:sz="4" w:space="4" w:color="auto"/>
        </w:pBdr>
        <w:ind w:left="567" w:hanging="567"/>
      </w:pPr>
      <w:r>
        <w:t>6.</w:t>
      </w:r>
      <w:r>
        <w:tab/>
        <w:t>ADVARSEL OM AT LEGEMIDLET SKAL OPPBEVARES UTILGJENGELIG FOR BARN</w:t>
      </w:r>
    </w:p>
    <w:p w14:paraId="3715C13D" w14:textId="77777777" w:rsidR="004E65A9" w:rsidRPr="00394DF8" w:rsidRDefault="004E65A9" w:rsidP="003F09AA">
      <w:pPr>
        <w:keepNext/>
      </w:pPr>
    </w:p>
    <w:p w14:paraId="58A31827" w14:textId="77777777" w:rsidR="004E65A9" w:rsidRPr="009A0146" w:rsidRDefault="004E65A9" w:rsidP="003F09AA">
      <w:pPr>
        <w:rPr>
          <w:rFonts w:eastAsia="SimSun"/>
          <w:noProof/>
        </w:rPr>
      </w:pPr>
      <w:r>
        <w:t>Oppbevares utilgjengelig for barn.</w:t>
      </w:r>
    </w:p>
    <w:p w14:paraId="03E26597" w14:textId="77777777" w:rsidR="004E65A9" w:rsidRPr="00394DF8" w:rsidRDefault="004E65A9" w:rsidP="003F09AA"/>
    <w:p w14:paraId="1F600808" w14:textId="77777777" w:rsidR="004E65A9" w:rsidRPr="00394DF8" w:rsidRDefault="004E65A9" w:rsidP="003F09AA"/>
    <w:p w14:paraId="4220DAE5" w14:textId="77777777" w:rsidR="004E65A9" w:rsidRPr="00394DF8" w:rsidRDefault="004E65A9" w:rsidP="003F09AA">
      <w:pPr>
        <w:pStyle w:val="Stylebold"/>
        <w:pBdr>
          <w:top w:val="single" w:sz="4" w:space="1" w:color="auto"/>
          <w:left w:val="single" w:sz="4" w:space="4" w:color="auto"/>
          <w:bottom w:val="single" w:sz="4" w:space="1" w:color="auto"/>
          <w:right w:val="single" w:sz="4" w:space="4" w:color="auto"/>
        </w:pBdr>
        <w:ind w:left="567" w:hanging="567"/>
      </w:pPr>
      <w:r>
        <w:t>7.</w:t>
      </w:r>
      <w:r>
        <w:tab/>
        <w:t>EVENTUELLE ANDRE SPESIELLE ADVARSLER</w:t>
      </w:r>
    </w:p>
    <w:p w14:paraId="017A61AE" w14:textId="77777777" w:rsidR="004E65A9" w:rsidRPr="00394DF8" w:rsidRDefault="004E65A9" w:rsidP="003F09AA">
      <w:pPr>
        <w:keepNext/>
      </w:pPr>
    </w:p>
    <w:p w14:paraId="4F02058F" w14:textId="77777777" w:rsidR="004E65A9" w:rsidRPr="00394DF8" w:rsidRDefault="004E65A9" w:rsidP="003F09AA">
      <w:pPr>
        <w:tabs>
          <w:tab w:val="left" w:pos="749"/>
        </w:tabs>
      </w:pPr>
    </w:p>
    <w:p w14:paraId="1B9C2561" w14:textId="77777777" w:rsidR="004E65A9" w:rsidRPr="00394DF8" w:rsidRDefault="004E65A9" w:rsidP="003F09AA">
      <w:pPr>
        <w:pStyle w:val="Stylebold"/>
        <w:pBdr>
          <w:top w:val="single" w:sz="4" w:space="1" w:color="auto"/>
          <w:left w:val="single" w:sz="4" w:space="4" w:color="auto"/>
          <w:bottom w:val="single" w:sz="4" w:space="1" w:color="auto"/>
          <w:right w:val="single" w:sz="4" w:space="4" w:color="auto"/>
        </w:pBdr>
        <w:ind w:left="567" w:hanging="567"/>
      </w:pPr>
      <w:r>
        <w:t>8.</w:t>
      </w:r>
      <w:r>
        <w:tab/>
        <w:t>UTLØPSDATO</w:t>
      </w:r>
    </w:p>
    <w:p w14:paraId="5052C4CB" w14:textId="77777777" w:rsidR="004E65A9" w:rsidRPr="00394DF8" w:rsidRDefault="004E65A9" w:rsidP="003F09AA">
      <w:pPr>
        <w:keepNext/>
      </w:pPr>
    </w:p>
    <w:p w14:paraId="12546F53" w14:textId="77777777" w:rsidR="004E65A9" w:rsidRPr="00394DF8" w:rsidRDefault="004E65A9" w:rsidP="003F09AA">
      <w:r>
        <w:t>EXP</w:t>
      </w:r>
    </w:p>
    <w:p w14:paraId="4C3F72E2" w14:textId="77777777" w:rsidR="004E65A9" w:rsidRPr="00394DF8" w:rsidRDefault="004E65A9" w:rsidP="003F09AA"/>
    <w:p w14:paraId="392716A1" w14:textId="77777777" w:rsidR="004E65A9" w:rsidRPr="00394DF8" w:rsidRDefault="004E65A9" w:rsidP="003F09AA">
      <w:pPr>
        <w:rPr>
          <w:rFonts w:eastAsia="SimSun"/>
          <w:noProof/>
          <w:lang w:eastAsia="zh-CN"/>
        </w:rPr>
      </w:pPr>
    </w:p>
    <w:p w14:paraId="2B9BDFC1" w14:textId="77777777" w:rsidR="004E65A9" w:rsidRPr="00394DF8" w:rsidRDefault="004E65A9" w:rsidP="003F09AA">
      <w:pPr>
        <w:pStyle w:val="Stylebold"/>
        <w:pBdr>
          <w:top w:val="single" w:sz="4" w:space="1" w:color="auto"/>
          <w:left w:val="single" w:sz="4" w:space="4" w:color="auto"/>
          <w:bottom w:val="single" w:sz="4" w:space="1" w:color="auto"/>
          <w:right w:val="single" w:sz="4" w:space="4" w:color="auto"/>
        </w:pBdr>
        <w:ind w:left="567" w:hanging="567"/>
      </w:pPr>
      <w:r>
        <w:t>9.</w:t>
      </w:r>
      <w:r>
        <w:tab/>
        <w:t>OPPBEVARINGSBETINGELSER</w:t>
      </w:r>
    </w:p>
    <w:p w14:paraId="15E3AA9C" w14:textId="77777777" w:rsidR="004E65A9" w:rsidRPr="00394DF8" w:rsidRDefault="004E65A9" w:rsidP="003F09AA">
      <w:pPr>
        <w:keepNext/>
      </w:pPr>
    </w:p>
    <w:p w14:paraId="5A14DEB0" w14:textId="77777777" w:rsidR="004E65A9" w:rsidRPr="00394DF8" w:rsidRDefault="004E65A9" w:rsidP="003F09AA">
      <w:r>
        <w:t>Oppbevares ved høyst 30 °C.</w:t>
      </w:r>
    </w:p>
    <w:p w14:paraId="6DAFF2BB" w14:textId="77777777" w:rsidR="004E65A9" w:rsidRPr="00394DF8" w:rsidRDefault="004E65A9" w:rsidP="003F09AA"/>
    <w:p w14:paraId="11FFE640" w14:textId="77777777" w:rsidR="004E65A9" w:rsidRPr="00394DF8" w:rsidRDefault="004E65A9" w:rsidP="003F09AA">
      <w:pPr>
        <w:ind w:left="567" w:hanging="567"/>
      </w:pPr>
    </w:p>
    <w:p w14:paraId="2130D189" w14:textId="77777777" w:rsidR="004E65A9" w:rsidRPr="00481615" w:rsidRDefault="004E65A9" w:rsidP="003F09AA">
      <w:pPr>
        <w:pStyle w:val="Stylebold"/>
        <w:pBdr>
          <w:top w:val="single" w:sz="4" w:space="1" w:color="auto"/>
          <w:left w:val="single" w:sz="4" w:space="4" w:color="auto"/>
          <w:bottom w:val="single" w:sz="4" w:space="1" w:color="auto"/>
          <w:right w:val="single" w:sz="4" w:space="4" w:color="auto"/>
        </w:pBdr>
        <w:ind w:left="567" w:hanging="567"/>
      </w:pPr>
      <w:r>
        <w:lastRenderedPageBreak/>
        <w:t>10.</w:t>
      </w:r>
      <w:r>
        <w:tab/>
        <w:t>EVENTUELLE SPESIELLE FORHOLDSREGLER VED DESTRUKSJON AV UBRUKTE LEGEMIDLER ELLER AVFALL</w:t>
      </w:r>
    </w:p>
    <w:p w14:paraId="68E335A8" w14:textId="77777777" w:rsidR="004E65A9" w:rsidRPr="00394DF8" w:rsidRDefault="004E65A9" w:rsidP="003F09AA">
      <w:pPr>
        <w:keepNext/>
      </w:pPr>
    </w:p>
    <w:p w14:paraId="6F8E5368" w14:textId="77777777" w:rsidR="004E65A9" w:rsidRPr="00394DF8" w:rsidRDefault="004E65A9" w:rsidP="003F09AA">
      <w:pPr>
        <w:rPr>
          <w:rFonts w:eastAsia="SimSun"/>
          <w:noProof/>
          <w:lang w:eastAsia="zh-CN"/>
        </w:rPr>
      </w:pPr>
    </w:p>
    <w:p w14:paraId="4222B3C4" w14:textId="77777777" w:rsidR="004E65A9" w:rsidRPr="00481615" w:rsidRDefault="004E65A9" w:rsidP="003F09AA">
      <w:pPr>
        <w:pStyle w:val="Stylebold"/>
        <w:pBdr>
          <w:top w:val="single" w:sz="4" w:space="1" w:color="auto"/>
          <w:left w:val="single" w:sz="4" w:space="4" w:color="auto"/>
          <w:bottom w:val="single" w:sz="4" w:space="1" w:color="auto"/>
          <w:right w:val="single" w:sz="4" w:space="4" w:color="auto"/>
        </w:pBdr>
        <w:ind w:left="567" w:hanging="567"/>
      </w:pPr>
      <w:r>
        <w:t>11.</w:t>
      </w:r>
      <w:r>
        <w:tab/>
        <w:t>NAVN OG ADRESSE PÅ INNEHAVEREN AV MARKEDSFØRINGSTILLATELSEN</w:t>
      </w:r>
    </w:p>
    <w:p w14:paraId="48575120" w14:textId="77777777" w:rsidR="004E65A9" w:rsidRPr="00394DF8" w:rsidRDefault="004E65A9" w:rsidP="003F09AA">
      <w:pPr>
        <w:keepNext/>
      </w:pPr>
    </w:p>
    <w:p w14:paraId="58D01A2E" w14:textId="77777777" w:rsidR="004E65A9" w:rsidRPr="006C78BA" w:rsidRDefault="004E65A9" w:rsidP="003F09AA">
      <w:pPr>
        <w:keepNext/>
        <w:ind w:right="-1"/>
        <w:rPr>
          <w:lang w:val="sv-SE"/>
        </w:rPr>
      </w:pPr>
      <w:r w:rsidRPr="006C78BA">
        <w:rPr>
          <w:lang w:val="sv-SE"/>
        </w:rPr>
        <w:t>Amgen Europe B.V.</w:t>
      </w:r>
    </w:p>
    <w:p w14:paraId="42894395" w14:textId="77777777" w:rsidR="004E65A9" w:rsidRPr="006C78BA" w:rsidRDefault="004E65A9" w:rsidP="003F09AA">
      <w:pPr>
        <w:keepNext/>
        <w:ind w:right="-1"/>
        <w:rPr>
          <w:lang w:val="sv-SE"/>
        </w:rPr>
      </w:pPr>
      <w:r w:rsidRPr="006C78BA">
        <w:rPr>
          <w:lang w:val="sv-SE"/>
        </w:rPr>
        <w:t>Minervum 7061,</w:t>
      </w:r>
    </w:p>
    <w:p w14:paraId="26F2820C" w14:textId="77777777" w:rsidR="004E65A9" w:rsidRPr="006D1CB7" w:rsidRDefault="004E65A9" w:rsidP="003F09AA">
      <w:pPr>
        <w:keepNext/>
        <w:ind w:right="-1"/>
      </w:pPr>
      <w:r>
        <w:t>4817 ZK Breda,</w:t>
      </w:r>
    </w:p>
    <w:p w14:paraId="4073D4CF" w14:textId="77777777" w:rsidR="004E65A9" w:rsidRDefault="004E65A9" w:rsidP="003F09AA">
      <w:pPr>
        <w:tabs>
          <w:tab w:val="clear" w:pos="567"/>
        </w:tabs>
      </w:pPr>
      <w:r>
        <w:t>Nederland</w:t>
      </w:r>
    </w:p>
    <w:p w14:paraId="36B7E9DC" w14:textId="77777777" w:rsidR="004E65A9" w:rsidRPr="00394DF8" w:rsidRDefault="004E65A9" w:rsidP="003F09AA"/>
    <w:p w14:paraId="48935C89" w14:textId="77777777" w:rsidR="004E65A9" w:rsidRPr="00394DF8" w:rsidRDefault="004E65A9" w:rsidP="003F09AA"/>
    <w:p w14:paraId="5851D5C6" w14:textId="77777777" w:rsidR="004E65A9" w:rsidRPr="00394DF8" w:rsidRDefault="004E65A9" w:rsidP="003F09AA">
      <w:pPr>
        <w:pStyle w:val="Stylebold"/>
        <w:pBdr>
          <w:top w:val="single" w:sz="4" w:space="1" w:color="auto"/>
          <w:left w:val="single" w:sz="4" w:space="4" w:color="auto"/>
          <w:bottom w:val="single" w:sz="4" w:space="1" w:color="auto"/>
          <w:right w:val="single" w:sz="4" w:space="4" w:color="auto"/>
        </w:pBdr>
        <w:ind w:left="567" w:hanging="567"/>
      </w:pPr>
      <w:r>
        <w:t>12.</w:t>
      </w:r>
      <w:r>
        <w:tab/>
        <w:t>MARKEDSFØRINGSTILLATELSESNUMMER (NUMRE)</w:t>
      </w:r>
    </w:p>
    <w:p w14:paraId="5682FD3F" w14:textId="77777777" w:rsidR="004E65A9" w:rsidRPr="009A0146" w:rsidRDefault="004E65A9" w:rsidP="003F09AA">
      <w:pPr>
        <w:keepNext/>
        <w:rPr>
          <w:rFonts w:eastAsia="SimSun"/>
          <w:noProof/>
          <w:lang w:eastAsia="zh-CN"/>
        </w:rPr>
      </w:pPr>
    </w:p>
    <w:p w14:paraId="7A3A3E70" w14:textId="77777777" w:rsidR="004E65A9" w:rsidRPr="002D06C1" w:rsidRDefault="004E65A9" w:rsidP="003F09AA">
      <w:pPr>
        <w:rPr>
          <w:noProof/>
          <w:shd w:val="clear" w:color="auto" w:fill="CCCCCC"/>
        </w:rPr>
      </w:pPr>
      <w:r>
        <w:t>EU/1/14/981/005</w:t>
      </w:r>
    </w:p>
    <w:p w14:paraId="277A45C0" w14:textId="77777777" w:rsidR="004E65A9" w:rsidRPr="000B27C9" w:rsidRDefault="004E65A9" w:rsidP="003F09AA"/>
    <w:p w14:paraId="18D2A25B" w14:textId="77777777" w:rsidR="004E65A9" w:rsidRPr="000B27C9" w:rsidRDefault="004E65A9" w:rsidP="003F09AA"/>
    <w:p w14:paraId="63AB3B19" w14:textId="77777777" w:rsidR="004E65A9" w:rsidRPr="00481615" w:rsidRDefault="004E65A9" w:rsidP="003F09AA">
      <w:pPr>
        <w:pStyle w:val="Stylebold"/>
        <w:pBdr>
          <w:top w:val="single" w:sz="4" w:space="1" w:color="auto"/>
          <w:left w:val="single" w:sz="4" w:space="4" w:color="auto"/>
          <w:bottom w:val="single" w:sz="4" w:space="1" w:color="auto"/>
          <w:right w:val="single" w:sz="4" w:space="4" w:color="auto"/>
        </w:pBdr>
        <w:ind w:left="567" w:hanging="567"/>
      </w:pPr>
      <w:r>
        <w:t>13.</w:t>
      </w:r>
      <w:r>
        <w:tab/>
        <w:t>PRODUKSJONSNUMMER</w:t>
      </w:r>
    </w:p>
    <w:p w14:paraId="3B071735" w14:textId="77777777" w:rsidR="004E65A9" w:rsidRPr="000B27C9" w:rsidRDefault="004E65A9" w:rsidP="003F09AA">
      <w:pPr>
        <w:keepNext/>
        <w:rPr>
          <w:i/>
        </w:rPr>
      </w:pPr>
    </w:p>
    <w:p w14:paraId="1A122007" w14:textId="77777777" w:rsidR="004E65A9" w:rsidRPr="00394DF8" w:rsidRDefault="004E65A9" w:rsidP="003F09AA">
      <w:r>
        <w:t>Lot</w:t>
      </w:r>
    </w:p>
    <w:p w14:paraId="446362DE" w14:textId="77777777" w:rsidR="004E65A9" w:rsidRPr="00394DF8" w:rsidRDefault="004E65A9" w:rsidP="003F09AA"/>
    <w:p w14:paraId="33D4AC93" w14:textId="77777777" w:rsidR="004E65A9" w:rsidRPr="00394DF8" w:rsidRDefault="004E65A9" w:rsidP="003F09AA">
      <w:pPr>
        <w:rPr>
          <w:rFonts w:eastAsia="SimSun"/>
          <w:noProof/>
          <w:lang w:eastAsia="zh-CN"/>
        </w:rPr>
      </w:pPr>
    </w:p>
    <w:p w14:paraId="00ED59A6" w14:textId="77777777" w:rsidR="004E65A9" w:rsidRPr="00394DF8" w:rsidRDefault="004E65A9" w:rsidP="003F09AA">
      <w:pPr>
        <w:pStyle w:val="Stylebold"/>
        <w:pBdr>
          <w:top w:val="single" w:sz="4" w:space="1" w:color="auto"/>
          <w:left w:val="single" w:sz="4" w:space="4" w:color="auto"/>
          <w:bottom w:val="single" w:sz="4" w:space="1" w:color="auto"/>
          <w:right w:val="single" w:sz="4" w:space="4" w:color="auto"/>
        </w:pBdr>
        <w:ind w:left="567" w:hanging="567"/>
      </w:pPr>
      <w:r>
        <w:t>14.</w:t>
      </w:r>
      <w:r>
        <w:tab/>
        <w:t>GENERELL KLASSIFIKASJON FOR UTLEVERING</w:t>
      </w:r>
    </w:p>
    <w:p w14:paraId="2C94EB68" w14:textId="77777777" w:rsidR="004E65A9" w:rsidRPr="000701B9" w:rsidRDefault="004E65A9" w:rsidP="003F09AA">
      <w:pPr>
        <w:keepNext/>
        <w:rPr>
          <w:iCs/>
        </w:rPr>
      </w:pPr>
    </w:p>
    <w:p w14:paraId="6817ADCD" w14:textId="77777777" w:rsidR="004E65A9" w:rsidRPr="00394DF8" w:rsidRDefault="004E65A9" w:rsidP="003F09AA"/>
    <w:p w14:paraId="6F737F94" w14:textId="77777777" w:rsidR="004E65A9" w:rsidRPr="00394DF8" w:rsidRDefault="004E65A9" w:rsidP="003F09AA">
      <w:pPr>
        <w:pStyle w:val="Stylebold"/>
        <w:pBdr>
          <w:top w:val="single" w:sz="4" w:space="1" w:color="auto"/>
          <w:left w:val="single" w:sz="4" w:space="4" w:color="auto"/>
          <w:bottom w:val="single" w:sz="4" w:space="1" w:color="auto"/>
          <w:right w:val="single" w:sz="4" w:space="4" w:color="auto"/>
        </w:pBdr>
        <w:ind w:left="567" w:hanging="567"/>
      </w:pPr>
      <w:r>
        <w:t>15.</w:t>
      </w:r>
      <w:r>
        <w:tab/>
        <w:t>BRUKSANVISNING</w:t>
      </w:r>
    </w:p>
    <w:p w14:paraId="3CF23AB7" w14:textId="77777777" w:rsidR="004E65A9" w:rsidRPr="00394DF8" w:rsidRDefault="004E65A9" w:rsidP="003F09AA">
      <w:pPr>
        <w:keepNext/>
      </w:pPr>
    </w:p>
    <w:p w14:paraId="33C35254" w14:textId="77777777" w:rsidR="004E65A9" w:rsidRPr="00394DF8" w:rsidRDefault="004E65A9" w:rsidP="003F09AA"/>
    <w:p w14:paraId="673A1DCE" w14:textId="77777777" w:rsidR="004E65A9" w:rsidRPr="00394DF8" w:rsidRDefault="004E65A9" w:rsidP="003F09AA">
      <w:pPr>
        <w:pStyle w:val="Stylebold"/>
        <w:pBdr>
          <w:top w:val="single" w:sz="4" w:space="1" w:color="auto"/>
          <w:left w:val="single" w:sz="4" w:space="4" w:color="auto"/>
          <w:bottom w:val="single" w:sz="4" w:space="1" w:color="auto"/>
          <w:right w:val="single" w:sz="4" w:space="4" w:color="auto"/>
        </w:pBdr>
        <w:ind w:left="567" w:hanging="567"/>
      </w:pPr>
      <w:r>
        <w:t>16.</w:t>
      </w:r>
      <w:r>
        <w:tab/>
        <w:t>INFORMASJON PÅ BLINDESKRIFT</w:t>
      </w:r>
    </w:p>
    <w:p w14:paraId="3B965801" w14:textId="77777777" w:rsidR="004E65A9" w:rsidRPr="00394DF8" w:rsidRDefault="004E65A9" w:rsidP="003F09AA">
      <w:pPr>
        <w:keepNext/>
      </w:pPr>
    </w:p>
    <w:p w14:paraId="11BAF4FC" w14:textId="77777777" w:rsidR="004E65A9" w:rsidRPr="00394DF8" w:rsidRDefault="004E65A9" w:rsidP="003F09AA">
      <w:r>
        <w:t>Otezla 20 mg</w:t>
      </w:r>
    </w:p>
    <w:p w14:paraId="4C551A20" w14:textId="77777777" w:rsidR="004E65A9" w:rsidRPr="00394DF8" w:rsidRDefault="004E65A9" w:rsidP="003F09AA"/>
    <w:p w14:paraId="77D80866" w14:textId="77777777" w:rsidR="004E65A9" w:rsidRPr="00394DF8" w:rsidRDefault="004E65A9" w:rsidP="003F09AA"/>
    <w:p w14:paraId="35C73BE6" w14:textId="77777777" w:rsidR="004E65A9" w:rsidRPr="00394DF8" w:rsidRDefault="004E65A9" w:rsidP="003F09AA">
      <w:pPr>
        <w:pStyle w:val="Stylebold"/>
        <w:pBdr>
          <w:top w:val="single" w:sz="4" w:space="1" w:color="auto"/>
          <w:left w:val="single" w:sz="4" w:space="4" w:color="auto"/>
          <w:bottom w:val="single" w:sz="4" w:space="1" w:color="auto"/>
          <w:right w:val="single" w:sz="4" w:space="4" w:color="auto"/>
        </w:pBdr>
        <w:ind w:left="567" w:hanging="567"/>
      </w:pPr>
      <w:r>
        <w:t>17.</w:t>
      </w:r>
      <w:r>
        <w:tab/>
        <w:t>SIKKERHETSANORDNING (UNIK IDENTITET) – TODIMENSJONAL STREKKODE</w:t>
      </w:r>
    </w:p>
    <w:p w14:paraId="3751B05C" w14:textId="77777777" w:rsidR="004E65A9" w:rsidRPr="00997253" w:rsidRDefault="004E65A9" w:rsidP="003F09AA">
      <w:pPr>
        <w:keepNext/>
      </w:pPr>
    </w:p>
    <w:p w14:paraId="53E7900A" w14:textId="77777777" w:rsidR="004E65A9" w:rsidRPr="005531F1" w:rsidRDefault="004E65A9" w:rsidP="003F09AA">
      <w:r>
        <w:rPr>
          <w:highlight w:val="lightGray"/>
        </w:rPr>
        <w:t>Todimensjonal strekkode, inkludert unik identitet</w:t>
      </w:r>
    </w:p>
    <w:p w14:paraId="758DA892" w14:textId="77777777" w:rsidR="004E65A9" w:rsidRDefault="004E65A9" w:rsidP="003F09AA"/>
    <w:p w14:paraId="5688DA2E" w14:textId="77777777" w:rsidR="004E65A9" w:rsidRPr="00997253" w:rsidRDefault="004E65A9" w:rsidP="003F09AA"/>
    <w:p w14:paraId="5B26FB57" w14:textId="77777777" w:rsidR="004E65A9" w:rsidRPr="004F295B" w:rsidRDefault="004E65A9" w:rsidP="003F09AA">
      <w:pPr>
        <w:pStyle w:val="Stylebold"/>
        <w:pBdr>
          <w:top w:val="single" w:sz="4" w:space="1" w:color="auto"/>
          <w:left w:val="single" w:sz="4" w:space="4" w:color="auto"/>
          <w:bottom w:val="single" w:sz="4" w:space="1" w:color="auto"/>
          <w:right w:val="single" w:sz="4" w:space="4" w:color="auto"/>
        </w:pBdr>
        <w:ind w:left="567" w:hanging="567"/>
      </w:pPr>
      <w:r>
        <w:t>18.</w:t>
      </w:r>
      <w:r>
        <w:tab/>
        <w:t>SIKKERHETSANORDNING (UNIK IDENTITET) – I ET FORMAT LESBART FOR MENNESKER</w:t>
      </w:r>
    </w:p>
    <w:p w14:paraId="01851047" w14:textId="77777777" w:rsidR="004E65A9" w:rsidRDefault="004E65A9" w:rsidP="003F09AA">
      <w:pPr>
        <w:keepNext/>
      </w:pPr>
    </w:p>
    <w:p w14:paraId="68CE14D6" w14:textId="77777777" w:rsidR="004E65A9" w:rsidRPr="002F7BF5" w:rsidRDefault="004E65A9" w:rsidP="003F09AA">
      <w:r>
        <w:t>PC</w:t>
      </w:r>
    </w:p>
    <w:p w14:paraId="4502338E" w14:textId="77777777" w:rsidR="004E65A9" w:rsidRPr="002F7BF5" w:rsidRDefault="004E65A9" w:rsidP="003F09AA">
      <w:r>
        <w:t>SN</w:t>
      </w:r>
    </w:p>
    <w:p w14:paraId="00809D6A" w14:textId="77777777" w:rsidR="004E65A9" w:rsidRPr="002F7BF5" w:rsidRDefault="004E65A9" w:rsidP="003F09AA">
      <w:r>
        <w:t>NN</w:t>
      </w:r>
    </w:p>
    <w:p w14:paraId="6123A247" w14:textId="77777777" w:rsidR="004E65A9" w:rsidRPr="009A0146" w:rsidRDefault="004E65A9" w:rsidP="003F09AA">
      <w:pPr>
        <w:rPr>
          <w:rFonts w:eastAsia="Calibri"/>
        </w:rPr>
      </w:pPr>
    </w:p>
    <w:p w14:paraId="2F157588" w14:textId="77777777" w:rsidR="004E65A9" w:rsidRPr="00BD1AD5" w:rsidRDefault="004E65A9" w:rsidP="003F09AA">
      <w:pPr>
        <w:keepNext/>
        <w:pBdr>
          <w:top w:val="single" w:sz="4" w:space="4" w:color="auto"/>
          <w:left w:val="single" w:sz="4" w:space="4" w:color="auto"/>
          <w:bottom w:val="single" w:sz="4" w:space="1" w:color="auto"/>
          <w:right w:val="single" w:sz="4" w:space="4" w:color="auto"/>
        </w:pBdr>
        <w:tabs>
          <w:tab w:val="clear" w:pos="567"/>
        </w:tabs>
        <w:rPr>
          <w:b/>
        </w:rPr>
      </w:pPr>
      <w:r>
        <w:br w:type="page"/>
      </w:r>
      <w:r>
        <w:rPr>
          <w:b/>
        </w:rPr>
        <w:lastRenderedPageBreak/>
        <w:t>OPPLYSNINGER SOM SKAL ANGIS PÅ YTRE EMBALLASJE</w:t>
      </w:r>
    </w:p>
    <w:p w14:paraId="654AAB62" w14:textId="77777777" w:rsidR="004E65A9" w:rsidRPr="00BD1AD5" w:rsidRDefault="004E65A9" w:rsidP="003F09AA">
      <w:pPr>
        <w:pBdr>
          <w:top w:val="single" w:sz="4" w:space="4" w:color="auto"/>
          <w:left w:val="single" w:sz="4" w:space="4" w:color="auto"/>
          <w:bottom w:val="single" w:sz="4" w:space="1" w:color="auto"/>
          <w:right w:val="single" w:sz="4" w:space="4" w:color="auto"/>
        </w:pBdr>
        <w:tabs>
          <w:tab w:val="clear" w:pos="567"/>
        </w:tabs>
        <w:rPr>
          <w:b/>
        </w:rPr>
      </w:pPr>
    </w:p>
    <w:p w14:paraId="7C9DCBA7" w14:textId="77777777" w:rsidR="004E65A9" w:rsidRPr="00BD1AD5" w:rsidRDefault="004E65A9" w:rsidP="003F09AA">
      <w:pPr>
        <w:pBdr>
          <w:top w:val="single" w:sz="4" w:space="4" w:color="auto"/>
          <w:left w:val="single" w:sz="4" w:space="4" w:color="auto"/>
          <w:bottom w:val="single" w:sz="4" w:space="1" w:color="auto"/>
          <w:right w:val="single" w:sz="4" w:space="4" w:color="auto"/>
        </w:pBdr>
        <w:tabs>
          <w:tab w:val="clear" w:pos="567"/>
        </w:tabs>
      </w:pPr>
      <w:r>
        <w:rPr>
          <w:b/>
        </w:rPr>
        <w:t>Eske</w:t>
      </w:r>
    </w:p>
    <w:p w14:paraId="4C9ACBF0" w14:textId="77777777" w:rsidR="004E65A9" w:rsidRPr="00BD1AD5" w:rsidRDefault="004E65A9" w:rsidP="003F09AA"/>
    <w:p w14:paraId="698EA335" w14:textId="77777777" w:rsidR="004E65A9" w:rsidRPr="00BD1AD5" w:rsidRDefault="004E65A9" w:rsidP="003F09AA"/>
    <w:p w14:paraId="20180D1C" w14:textId="77777777" w:rsidR="004E65A9" w:rsidRPr="00BD1AD5" w:rsidRDefault="004E65A9" w:rsidP="003F09AA">
      <w:pPr>
        <w:keepNext/>
        <w:pBdr>
          <w:top w:val="single" w:sz="4" w:space="1" w:color="auto"/>
          <w:left w:val="single" w:sz="4" w:space="4" w:color="auto"/>
          <w:bottom w:val="single" w:sz="4" w:space="1" w:color="auto"/>
          <w:right w:val="single" w:sz="4" w:space="4" w:color="auto"/>
        </w:pBdr>
        <w:ind w:left="567" w:hanging="567"/>
        <w:outlineLvl w:val="0"/>
      </w:pPr>
      <w:r>
        <w:rPr>
          <w:b/>
        </w:rPr>
        <w:t>1.</w:t>
      </w:r>
      <w:r>
        <w:rPr>
          <w:b/>
        </w:rPr>
        <w:tab/>
        <w:t>LEGEMIDLETS NAVN</w:t>
      </w:r>
    </w:p>
    <w:p w14:paraId="55BBB161" w14:textId="77777777" w:rsidR="004E65A9" w:rsidRPr="00BD1AD5" w:rsidRDefault="004E65A9" w:rsidP="003F09AA">
      <w:pPr>
        <w:keepNext/>
      </w:pPr>
    </w:p>
    <w:p w14:paraId="1C90B7A6" w14:textId="77777777" w:rsidR="004E65A9" w:rsidRPr="00BD1AD5" w:rsidRDefault="004E65A9" w:rsidP="003F09AA">
      <w:r>
        <w:t>Otezla 30 mg tabletter, filmdrasjerte</w:t>
      </w:r>
    </w:p>
    <w:p w14:paraId="76E213DF" w14:textId="77777777" w:rsidR="004E65A9" w:rsidRPr="00BD1AD5" w:rsidRDefault="004E65A9" w:rsidP="003F09AA">
      <w:r>
        <w:t>apremilast</w:t>
      </w:r>
    </w:p>
    <w:p w14:paraId="5A215788" w14:textId="77777777" w:rsidR="004E65A9" w:rsidRPr="00BD1AD5" w:rsidRDefault="004E65A9" w:rsidP="003F09AA"/>
    <w:p w14:paraId="4C27F09F" w14:textId="77777777" w:rsidR="004E65A9" w:rsidRPr="00BD1AD5" w:rsidRDefault="004E65A9" w:rsidP="003F09AA"/>
    <w:p w14:paraId="3346D309" w14:textId="77777777" w:rsidR="004E65A9" w:rsidRPr="00BD1AD5" w:rsidRDefault="004E65A9" w:rsidP="003F09AA">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DEKLARASJON AV VIRKESTOFF(ER)</w:t>
      </w:r>
    </w:p>
    <w:p w14:paraId="3F1AE0DA" w14:textId="77777777" w:rsidR="004E65A9" w:rsidRPr="00BD1AD5" w:rsidRDefault="004E65A9" w:rsidP="003F09AA">
      <w:pPr>
        <w:keepNext/>
        <w:rPr>
          <w:i/>
        </w:rPr>
      </w:pPr>
    </w:p>
    <w:p w14:paraId="0530EA35" w14:textId="77777777" w:rsidR="004E65A9" w:rsidRPr="00BD1AD5" w:rsidRDefault="004E65A9" w:rsidP="003F09AA">
      <w:r>
        <w:t>Én filmdrasjert tablett inneholder 30 mg apremilast.</w:t>
      </w:r>
    </w:p>
    <w:p w14:paraId="4095B305" w14:textId="77777777" w:rsidR="004E65A9" w:rsidRPr="00BD1AD5" w:rsidRDefault="004E65A9" w:rsidP="003F09AA"/>
    <w:p w14:paraId="4A019065" w14:textId="77777777" w:rsidR="004E65A9" w:rsidRPr="00BD1AD5" w:rsidRDefault="004E65A9" w:rsidP="003F09AA"/>
    <w:p w14:paraId="390D5AC4" w14:textId="77777777" w:rsidR="004E65A9" w:rsidRPr="00BD1AD5" w:rsidRDefault="004E65A9" w:rsidP="003F09AA">
      <w:pPr>
        <w:keepNext/>
        <w:pBdr>
          <w:top w:val="single" w:sz="4" w:space="1" w:color="auto"/>
          <w:left w:val="single" w:sz="4" w:space="4" w:color="auto"/>
          <w:bottom w:val="single" w:sz="4" w:space="1" w:color="auto"/>
          <w:right w:val="single" w:sz="4" w:space="4" w:color="auto"/>
        </w:pBdr>
        <w:ind w:left="567" w:hanging="567"/>
        <w:outlineLvl w:val="0"/>
      </w:pPr>
      <w:r>
        <w:rPr>
          <w:b/>
        </w:rPr>
        <w:t>3.</w:t>
      </w:r>
      <w:r>
        <w:rPr>
          <w:b/>
        </w:rPr>
        <w:tab/>
        <w:t>LISTE OVER HJELPESTOFFER</w:t>
      </w:r>
    </w:p>
    <w:p w14:paraId="505FF681" w14:textId="77777777" w:rsidR="004E65A9" w:rsidRPr="00BD1AD5" w:rsidRDefault="004E65A9" w:rsidP="003F09AA">
      <w:pPr>
        <w:keepNext/>
      </w:pPr>
    </w:p>
    <w:p w14:paraId="0C80A2E2" w14:textId="77777777" w:rsidR="004E65A9" w:rsidRPr="00BD1AD5" w:rsidRDefault="004E65A9" w:rsidP="003F09AA">
      <w:r>
        <w:t>Inneholder laktose. Se pakningsvedlegg for ytterligere informasjon.</w:t>
      </w:r>
    </w:p>
    <w:p w14:paraId="3DF580C8" w14:textId="77777777" w:rsidR="004E65A9" w:rsidRPr="00BD1AD5" w:rsidRDefault="004E65A9" w:rsidP="003F09AA"/>
    <w:p w14:paraId="0E5A59D7" w14:textId="77777777" w:rsidR="004E65A9" w:rsidRPr="00BD1AD5" w:rsidRDefault="004E65A9" w:rsidP="003F09AA"/>
    <w:p w14:paraId="3B355723" w14:textId="77777777" w:rsidR="004E65A9" w:rsidRPr="00BD1AD5" w:rsidRDefault="004E65A9" w:rsidP="003F09AA">
      <w:pPr>
        <w:keepNext/>
        <w:pBdr>
          <w:top w:val="single" w:sz="4" w:space="1" w:color="auto"/>
          <w:left w:val="single" w:sz="4" w:space="4" w:color="auto"/>
          <w:bottom w:val="single" w:sz="4" w:space="1" w:color="auto"/>
          <w:right w:val="single" w:sz="4" w:space="4" w:color="auto"/>
        </w:pBdr>
        <w:ind w:left="567" w:hanging="567"/>
        <w:outlineLvl w:val="0"/>
      </w:pPr>
      <w:r>
        <w:rPr>
          <w:b/>
        </w:rPr>
        <w:t>4.</w:t>
      </w:r>
      <w:r>
        <w:rPr>
          <w:b/>
        </w:rPr>
        <w:tab/>
        <w:t>LEGEMIDDELFORM OG INNHOLD (PAKNINGSSTØRRELSE)</w:t>
      </w:r>
    </w:p>
    <w:p w14:paraId="085C9EE1" w14:textId="77777777" w:rsidR="004E65A9" w:rsidRPr="00BD1AD5" w:rsidRDefault="004E65A9" w:rsidP="003F09AA">
      <w:pPr>
        <w:keepNext/>
      </w:pPr>
    </w:p>
    <w:p w14:paraId="6447C3F3" w14:textId="77777777" w:rsidR="004E65A9" w:rsidRPr="00BD1AD5" w:rsidRDefault="004E65A9" w:rsidP="003F09AA">
      <w:r>
        <w:rPr>
          <w:highlight w:val="lightGray"/>
        </w:rPr>
        <w:t>Tablett, filmdrasjert</w:t>
      </w:r>
    </w:p>
    <w:p w14:paraId="3035338B" w14:textId="77777777" w:rsidR="004E65A9" w:rsidRPr="00BD1AD5" w:rsidRDefault="004E65A9" w:rsidP="003F09AA">
      <w:r>
        <w:t>56 tabletter, filmdrasjerte</w:t>
      </w:r>
    </w:p>
    <w:p w14:paraId="0407356A" w14:textId="77777777" w:rsidR="004E65A9" w:rsidRPr="00BD1AD5" w:rsidRDefault="004E65A9" w:rsidP="003F09AA">
      <w:r>
        <w:rPr>
          <w:highlight w:val="lightGray"/>
        </w:rPr>
        <w:t>168 tabletter, filmdrasjerte</w:t>
      </w:r>
    </w:p>
    <w:p w14:paraId="2398D5C9" w14:textId="77777777" w:rsidR="004E65A9" w:rsidRPr="00BD1AD5" w:rsidRDefault="004E65A9" w:rsidP="003F09AA"/>
    <w:p w14:paraId="394E554A" w14:textId="77777777" w:rsidR="004E65A9" w:rsidRPr="00BD1AD5" w:rsidRDefault="004E65A9" w:rsidP="003F09AA">
      <w:pPr>
        <w:rPr>
          <w:rFonts w:eastAsia="SimSun"/>
          <w:noProof/>
          <w:lang w:eastAsia="zh-CN"/>
        </w:rPr>
      </w:pPr>
    </w:p>
    <w:p w14:paraId="0D2AC67C" w14:textId="77777777" w:rsidR="004E65A9" w:rsidRPr="00BD1AD5" w:rsidRDefault="004E65A9" w:rsidP="003F09AA">
      <w:pPr>
        <w:keepNext/>
        <w:pBdr>
          <w:top w:val="single" w:sz="4" w:space="1" w:color="auto"/>
          <w:left w:val="single" w:sz="4" w:space="4" w:color="auto"/>
          <w:bottom w:val="single" w:sz="4" w:space="1" w:color="auto"/>
          <w:right w:val="single" w:sz="4" w:space="4" w:color="auto"/>
        </w:pBdr>
        <w:ind w:left="567" w:hanging="567"/>
        <w:outlineLvl w:val="0"/>
      </w:pPr>
      <w:r>
        <w:rPr>
          <w:b/>
        </w:rPr>
        <w:t>5.</w:t>
      </w:r>
      <w:r>
        <w:rPr>
          <w:b/>
        </w:rPr>
        <w:tab/>
        <w:t>ADMINISTRASJONSMÅTE OG -VEI(ER)</w:t>
      </w:r>
    </w:p>
    <w:p w14:paraId="3D0D4B47" w14:textId="77777777" w:rsidR="004E65A9" w:rsidRPr="00BD1AD5" w:rsidRDefault="004E65A9" w:rsidP="003F09AA">
      <w:pPr>
        <w:keepNext/>
      </w:pPr>
    </w:p>
    <w:p w14:paraId="420DC087" w14:textId="77777777" w:rsidR="004E65A9" w:rsidRPr="00BD1AD5" w:rsidRDefault="004E65A9" w:rsidP="003F09AA">
      <w:r>
        <w:rPr>
          <w:highlight w:val="lightGray"/>
        </w:rPr>
        <w:t>Les pakningsvedlegget før bruk.</w:t>
      </w:r>
    </w:p>
    <w:p w14:paraId="249FDDCD" w14:textId="77777777" w:rsidR="004E65A9" w:rsidRPr="00BD1AD5" w:rsidRDefault="004E65A9" w:rsidP="003F09AA">
      <w:pPr>
        <w:rPr>
          <w:rFonts w:eastAsia="SimSun"/>
          <w:noProof/>
        </w:rPr>
      </w:pPr>
      <w:r>
        <w:t>Til oral bruk.</w:t>
      </w:r>
    </w:p>
    <w:p w14:paraId="240CC463" w14:textId="77777777" w:rsidR="004E65A9" w:rsidRPr="00BD1AD5" w:rsidRDefault="004E65A9" w:rsidP="003F09AA">
      <w:pPr>
        <w:autoSpaceDE w:val="0"/>
        <w:autoSpaceDN w:val="0"/>
        <w:adjustRightInd w:val="0"/>
      </w:pPr>
    </w:p>
    <w:p w14:paraId="18D6C550" w14:textId="77777777" w:rsidR="004E65A9" w:rsidRDefault="004E65A9" w:rsidP="003F09AA">
      <w:pPr>
        <w:rPr>
          <w:highlight w:val="lightGray"/>
        </w:rPr>
      </w:pPr>
      <w:r>
        <w:rPr>
          <w:highlight w:val="lightGray"/>
        </w:rPr>
        <w:t>QR-kode settes inn</w:t>
      </w:r>
    </w:p>
    <w:p w14:paraId="025C3C26" w14:textId="77777777" w:rsidR="004E65A9" w:rsidRPr="00BD1AD5" w:rsidRDefault="004E65A9" w:rsidP="003F09AA">
      <w:pPr>
        <w:autoSpaceDE w:val="0"/>
        <w:autoSpaceDN w:val="0"/>
        <w:adjustRightInd w:val="0"/>
        <w:rPr>
          <w:i/>
        </w:rPr>
      </w:pPr>
      <w:hyperlink r:id="rId26" w:history="1">
        <w:r>
          <w:rPr>
            <w:rStyle w:val="Hyperlink"/>
          </w:rPr>
          <w:t>www.otezla-eu-pil.com</w:t>
        </w:r>
      </w:hyperlink>
    </w:p>
    <w:p w14:paraId="277C261E" w14:textId="77777777" w:rsidR="004E65A9" w:rsidRPr="00BD1AD5" w:rsidRDefault="004E65A9" w:rsidP="003F09AA">
      <w:pPr>
        <w:autoSpaceDE w:val="0"/>
        <w:autoSpaceDN w:val="0"/>
        <w:adjustRightInd w:val="0"/>
      </w:pPr>
    </w:p>
    <w:p w14:paraId="60CF1C19" w14:textId="77777777" w:rsidR="004E65A9" w:rsidRPr="00BD1AD5" w:rsidRDefault="004E65A9" w:rsidP="003F09AA">
      <w:pPr>
        <w:autoSpaceDE w:val="0"/>
        <w:autoSpaceDN w:val="0"/>
        <w:adjustRightInd w:val="0"/>
      </w:pPr>
    </w:p>
    <w:p w14:paraId="0475DBB4" w14:textId="77777777" w:rsidR="004E65A9" w:rsidRPr="00BD1AD5" w:rsidRDefault="004E65A9" w:rsidP="003F09AA">
      <w:pPr>
        <w:keepNext/>
        <w:pBdr>
          <w:top w:val="single" w:sz="4" w:space="1" w:color="auto"/>
          <w:left w:val="single" w:sz="4" w:space="4" w:color="auto"/>
          <w:bottom w:val="single" w:sz="4" w:space="1" w:color="auto"/>
          <w:right w:val="single" w:sz="4" w:space="4" w:color="auto"/>
        </w:pBdr>
        <w:ind w:left="567" w:hanging="567"/>
        <w:outlineLvl w:val="0"/>
      </w:pPr>
      <w:r>
        <w:rPr>
          <w:b/>
        </w:rPr>
        <w:t>6.</w:t>
      </w:r>
      <w:r>
        <w:rPr>
          <w:b/>
        </w:rPr>
        <w:tab/>
        <w:t>ADVARSEL OM AT LEGEMIDLET SKAL OPPBEVARES UTILGJENGELIG FOR BARN</w:t>
      </w:r>
    </w:p>
    <w:p w14:paraId="387A3C18" w14:textId="77777777" w:rsidR="004E65A9" w:rsidRPr="00BD1AD5" w:rsidRDefault="004E65A9" w:rsidP="003F09AA">
      <w:pPr>
        <w:keepNext/>
      </w:pPr>
    </w:p>
    <w:p w14:paraId="446024EF" w14:textId="77777777" w:rsidR="004E65A9" w:rsidRPr="00BD1AD5" w:rsidRDefault="004E65A9" w:rsidP="003F09AA">
      <w:pPr>
        <w:rPr>
          <w:rFonts w:eastAsia="SimSun"/>
          <w:noProof/>
        </w:rPr>
      </w:pPr>
      <w:r>
        <w:t>Oppbevares utilgjengelig for barn.</w:t>
      </w:r>
    </w:p>
    <w:p w14:paraId="3775B1DA" w14:textId="77777777" w:rsidR="004E65A9" w:rsidRPr="00BD1AD5" w:rsidRDefault="004E65A9" w:rsidP="003F09AA"/>
    <w:p w14:paraId="3934C78C" w14:textId="77777777" w:rsidR="004E65A9" w:rsidRPr="00BD1AD5" w:rsidRDefault="004E65A9" w:rsidP="003F09AA"/>
    <w:p w14:paraId="38D8070C" w14:textId="77777777" w:rsidR="004E65A9" w:rsidRPr="00BD1AD5" w:rsidRDefault="004E65A9" w:rsidP="003F09AA">
      <w:pPr>
        <w:keepNext/>
        <w:pBdr>
          <w:top w:val="single" w:sz="4" w:space="1" w:color="auto"/>
          <w:left w:val="single" w:sz="4" w:space="4" w:color="auto"/>
          <w:bottom w:val="single" w:sz="4" w:space="1" w:color="auto"/>
          <w:right w:val="single" w:sz="4" w:space="4" w:color="auto"/>
        </w:pBdr>
        <w:ind w:left="567" w:hanging="567"/>
        <w:outlineLvl w:val="0"/>
      </w:pPr>
      <w:r>
        <w:rPr>
          <w:b/>
        </w:rPr>
        <w:t>7.</w:t>
      </w:r>
      <w:r>
        <w:rPr>
          <w:b/>
        </w:rPr>
        <w:tab/>
        <w:t>EVENTUELLE ANDRE SPESIELLE ADVARSLER</w:t>
      </w:r>
    </w:p>
    <w:p w14:paraId="5293323F" w14:textId="77777777" w:rsidR="004E65A9" w:rsidRPr="00BD1AD5" w:rsidRDefault="004E65A9" w:rsidP="003F09AA">
      <w:pPr>
        <w:keepNext/>
      </w:pPr>
    </w:p>
    <w:p w14:paraId="73FB8163" w14:textId="77777777" w:rsidR="004E65A9" w:rsidRPr="00BD1AD5" w:rsidRDefault="004E65A9" w:rsidP="003F09AA">
      <w:pPr>
        <w:tabs>
          <w:tab w:val="left" w:pos="749"/>
        </w:tabs>
      </w:pPr>
    </w:p>
    <w:p w14:paraId="129F9F64" w14:textId="77777777" w:rsidR="004E65A9" w:rsidRPr="00BD1AD5" w:rsidRDefault="004E65A9" w:rsidP="003F09AA">
      <w:pPr>
        <w:keepNext/>
        <w:pBdr>
          <w:top w:val="single" w:sz="4" w:space="1" w:color="auto"/>
          <w:left w:val="single" w:sz="4" w:space="4" w:color="auto"/>
          <w:bottom w:val="single" w:sz="4" w:space="1" w:color="auto"/>
          <w:right w:val="single" w:sz="4" w:space="4" w:color="auto"/>
        </w:pBdr>
        <w:ind w:left="567" w:hanging="567"/>
        <w:outlineLvl w:val="0"/>
      </w:pPr>
      <w:r>
        <w:rPr>
          <w:b/>
        </w:rPr>
        <w:t>8.</w:t>
      </w:r>
      <w:r>
        <w:rPr>
          <w:b/>
        </w:rPr>
        <w:tab/>
        <w:t>UTLØPSDATO</w:t>
      </w:r>
    </w:p>
    <w:p w14:paraId="10B26C83" w14:textId="77777777" w:rsidR="004E65A9" w:rsidRPr="00BD1AD5" w:rsidRDefault="004E65A9" w:rsidP="003F09AA">
      <w:pPr>
        <w:keepNext/>
      </w:pPr>
    </w:p>
    <w:p w14:paraId="27F9A55F" w14:textId="77777777" w:rsidR="004E65A9" w:rsidRPr="00BD1AD5" w:rsidRDefault="004E65A9" w:rsidP="003F09AA">
      <w:r>
        <w:t>EXP</w:t>
      </w:r>
    </w:p>
    <w:p w14:paraId="2F4A07CD" w14:textId="77777777" w:rsidR="004E65A9" w:rsidRPr="00BD1AD5" w:rsidRDefault="004E65A9" w:rsidP="003F09AA"/>
    <w:p w14:paraId="461A1897" w14:textId="77777777" w:rsidR="004E65A9" w:rsidRPr="00BD1AD5" w:rsidRDefault="004E65A9" w:rsidP="003F09AA">
      <w:pPr>
        <w:rPr>
          <w:rFonts w:eastAsia="SimSun"/>
          <w:noProof/>
          <w:lang w:eastAsia="zh-CN"/>
        </w:rPr>
      </w:pPr>
    </w:p>
    <w:p w14:paraId="722E3FE1" w14:textId="77777777" w:rsidR="004E65A9" w:rsidRPr="00BD1AD5" w:rsidRDefault="004E65A9" w:rsidP="003F09AA">
      <w:pPr>
        <w:keepNext/>
        <w:pBdr>
          <w:top w:val="single" w:sz="4" w:space="1" w:color="auto"/>
          <w:left w:val="single" w:sz="4" w:space="4" w:color="auto"/>
          <w:bottom w:val="single" w:sz="4" w:space="1" w:color="auto"/>
          <w:right w:val="single" w:sz="4" w:space="4" w:color="auto"/>
        </w:pBdr>
        <w:ind w:left="567" w:hanging="567"/>
        <w:outlineLvl w:val="0"/>
      </w:pPr>
      <w:r>
        <w:rPr>
          <w:b/>
        </w:rPr>
        <w:lastRenderedPageBreak/>
        <w:t>9.</w:t>
      </w:r>
      <w:r>
        <w:rPr>
          <w:b/>
        </w:rPr>
        <w:tab/>
        <w:t>OPPBEVARINGSBETINGELSER</w:t>
      </w:r>
    </w:p>
    <w:p w14:paraId="73559192" w14:textId="77777777" w:rsidR="004E65A9" w:rsidRPr="00BD1AD5" w:rsidRDefault="004E65A9" w:rsidP="003F09AA">
      <w:pPr>
        <w:keepNext/>
      </w:pPr>
    </w:p>
    <w:p w14:paraId="34BE918A" w14:textId="77777777" w:rsidR="004E65A9" w:rsidRPr="00BD1AD5" w:rsidRDefault="004E65A9" w:rsidP="003F09AA">
      <w:pPr>
        <w:keepNext/>
      </w:pPr>
      <w:r>
        <w:t>Oppbevares ved høyst 30 °C.</w:t>
      </w:r>
    </w:p>
    <w:p w14:paraId="0DE22C95" w14:textId="77777777" w:rsidR="004E65A9" w:rsidRPr="00BD1AD5" w:rsidRDefault="004E65A9" w:rsidP="003F09AA"/>
    <w:p w14:paraId="38D5149D" w14:textId="77777777" w:rsidR="004E65A9" w:rsidRPr="00BD1AD5" w:rsidRDefault="004E65A9" w:rsidP="003F09AA">
      <w:pPr>
        <w:ind w:left="567" w:hanging="567"/>
      </w:pPr>
    </w:p>
    <w:p w14:paraId="6184A59F" w14:textId="77777777" w:rsidR="004E65A9" w:rsidRPr="00BD1AD5" w:rsidRDefault="004E65A9" w:rsidP="003F09AA">
      <w:pPr>
        <w:keepNext/>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t>EVENTUELLE SPESIELLE FORHOLDSREGLER VED DESTRUKSJON AV UBRUKTE LEGEMIDLER ELLER AVFALL</w:t>
      </w:r>
    </w:p>
    <w:p w14:paraId="38D2B5C1" w14:textId="77777777" w:rsidR="004E65A9" w:rsidRPr="00BD1AD5" w:rsidRDefault="004E65A9" w:rsidP="003F09AA">
      <w:pPr>
        <w:keepNext/>
      </w:pPr>
    </w:p>
    <w:p w14:paraId="069383A9" w14:textId="77777777" w:rsidR="004E65A9" w:rsidRPr="00BD1AD5" w:rsidRDefault="004E65A9" w:rsidP="003F09AA">
      <w:pPr>
        <w:rPr>
          <w:rFonts w:eastAsia="SimSun"/>
          <w:noProof/>
          <w:lang w:eastAsia="zh-CN"/>
        </w:rPr>
      </w:pPr>
    </w:p>
    <w:p w14:paraId="642E9600" w14:textId="77777777" w:rsidR="004E65A9" w:rsidRPr="00BD1AD5" w:rsidRDefault="004E65A9" w:rsidP="003F09AA">
      <w:pPr>
        <w:keepNext/>
        <w:pBdr>
          <w:top w:val="single" w:sz="4" w:space="1" w:color="auto"/>
          <w:left w:val="single" w:sz="4" w:space="4" w:color="auto"/>
          <w:bottom w:val="single" w:sz="4" w:space="1" w:color="auto"/>
          <w:right w:val="single" w:sz="4" w:space="4" w:color="auto"/>
        </w:pBdr>
        <w:ind w:left="567" w:hanging="567"/>
        <w:outlineLvl w:val="0"/>
        <w:rPr>
          <w:b/>
        </w:rPr>
      </w:pPr>
      <w:r>
        <w:rPr>
          <w:b/>
        </w:rPr>
        <w:t>11.</w:t>
      </w:r>
      <w:r>
        <w:rPr>
          <w:b/>
        </w:rPr>
        <w:tab/>
        <w:t>NAVN OG ADRESSE PÅ INNEHAVEREN AV MARKEDSFØRINGSTILLATELSEN</w:t>
      </w:r>
    </w:p>
    <w:p w14:paraId="6A3D7343" w14:textId="77777777" w:rsidR="004E65A9" w:rsidRPr="00BD1AD5" w:rsidRDefault="004E65A9" w:rsidP="003F09AA">
      <w:pPr>
        <w:keepNext/>
      </w:pPr>
    </w:p>
    <w:p w14:paraId="527BB571" w14:textId="77777777" w:rsidR="004E65A9" w:rsidRPr="006C78BA" w:rsidRDefault="004E65A9" w:rsidP="003F09AA">
      <w:pPr>
        <w:keepNext/>
        <w:ind w:right="-1"/>
        <w:rPr>
          <w:lang w:val="sv-SE"/>
        </w:rPr>
      </w:pPr>
      <w:r w:rsidRPr="006C78BA">
        <w:rPr>
          <w:lang w:val="sv-SE"/>
        </w:rPr>
        <w:t>Amgen Europe B.V.</w:t>
      </w:r>
    </w:p>
    <w:p w14:paraId="6EECA3AA" w14:textId="77777777" w:rsidR="004E65A9" w:rsidRPr="006C78BA" w:rsidRDefault="004E65A9" w:rsidP="003F09AA">
      <w:pPr>
        <w:keepNext/>
        <w:ind w:right="-1"/>
        <w:rPr>
          <w:lang w:val="sv-SE"/>
        </w:rPr>
      </w:pPr>
      <w:r w:rsidRPr="006C78BA">
        <w:rPr>
          <w:lang w:val="sv-SE"/>
        </w:rPr>
        <w:t>Minervum 7061,</w:t>
      </w:r>
    </w:p>
    <w:p w14:paraId="074F9504" w14:textId="77777777" w:rsidR="004E65A9" w:rsidRPr="00BD1AD5" w:rsidRDefault="004E65A9" w:rsidP="003F09AA">
      <w:pPr>
        <w:keepNext/>
        <w:ind w:right="-1"/>
      </w:pPr>
      <w:r>
        <w:t>4817 ZK Breda,</w:t>
      </w:r>
    </w:p>
    <w:p w14:paraId="13146F6E" w14:textId="77777777" w:rsidR="004E65A9" w:rsidRPr="00BD1AD5" w:rsidRDefault="004E65A9" w:rsidP="003F09AA">
      <w:pPr>
        <w:tabs>
          <w:tab w:val="clear" w:pos="567"/>
        </w:tabs>
      </w:pPr>
      <w:r>
        <w:t>Nederland</w:t>
      </w:r>
    </w:p>
    <w:p w14:paraId="1203928D" w14:textId="77777777" w:rsidR="004E65A9" w:rsidRPr="00BD1AD5" w:rsidRDefault="004E65A9" w:rsidP="003F09AA"/>
    <w:p w14:paraId="2E19D88E" w14:textId="77777777" w:rsidR="004E65A9" w:rsidRPr="00BD1AD5" w:rsidRDefault="004E65A9" w:rsidP="003F09AA"/>
    <w:p w14:paraId="3095954E" w14:textId="77777777" w:rsidR="004E65A9" w:rsidRPr="00BD1AD5" w:rsidRDefault="004E65A9" w:rsidP="003F09AA">
      <w:pPr>
        <w:keepNext/>
        <w:pBdr>
          <w:top w:val="single" w:sz="4" w:space="1" w:color="auto"/>
          <w:left w:val="single" w:sz="4" w:space="4" w:color="auto"/>
          <w:bottom w:val="single" w:sz="4" w:space="1" w:color="auto"/>
          <w:right w:val="single" w:sz="4" w:space="4" w:color="auto"/>
        </w:pBdr>
        <w:ind w:left="567" w:hanging="567"/>
        <w:outlineLvl w:val="0"/>
        <w:rPr>
          <w:b/>
        </w:rPr>
      </w:pPr>
      <w:r>
        <w:rPr>
          <w:b/>
        </w:rPr>
        <w:t>12.</w:t>
      </w:r>
      <w:r>
        <w:rPr>
          <w:b/>
        </w:rPr>
        <w:tab/>
        <w:t>MARKEDSFØRINGSTILLATELSESNUMMER (NUMRE)</w:t>
      </w:r>
    </w:p>
    <w:p w14:paraId="758DA361" w14:textId="77777777" w:rsidR="004E65A9" w:rsidRPr="00BD1AD5" w:rsidRDefault="004E65A9" w:rsidP="003F09AA">
      <w:pPr>
        <w:keepNext/>
        <w:rPr>
          <w:rFonts w:eastAsia="SimSun"/>
          <w:noProof/>
          <w:lang w:eastAsia="zh-CN"/>
        </w:rPr>
      </w:pPr>
    </w:p>
    <w:p w14:paraId="55C1BC78" w14:textId="77777777" w:rsidR="004E65A9" w:rsidRPr="00BD1AD5" w:rsidRDefault="004E65A9" w:rsidP="003F09AA">
      <w:r>
        <w:t xml:space="preserve">EU/1/14/981/002 </w:t>
      </w:r>
      <w:r>
        <w:rPr>
          <w:highlight w:val="lightGray"/>
        </w:rPr>
        <w:t>56 tabletter, filmdrasjerte</w:t>
      </w:r>
    </w:p>
    <w:p w14:paraId="046827BB" w14:textId="77777777" w:rsidR="004E65A9" w:rsidRDefault="004E65A9" w:rsidP="003F09AA">
      <w:pPr>
        <w:rPr>
          <w:highlight w:val="lightGray"/>
        </w:rPr>
      </w:pPr>
      <w:r>
        <w:rPr>
          <w:highlight w:val="lightGray"/>
        </w:rPr>
        <w:t>EU/1/14/981/003 168 tabletter, filmdrasjerte</w:t>
      </w:r>
    </w:p>
    <w:p w14:paraId="2AC8E622" w14:textId="77777777" w:rsidR="004E65A9" w:rsidRPr="00BD1AD5" w:rsidRDefault="004E65A9" w:rsidP="003F09AA"/>
    <w:p w14:paraId="78317ED7" w14:textId="77777777" w:rsidR="004E65A9" w:rsidRPr="00BD1AD5" w:rsidRDefault="004E65A9" w:rsidP="003F09AA"/>
    <w:p w14:paraId="1DDBEBCE" w14:textId="77777777" w:rsidR="004E65A9" w:rsidRPr="00BD1AD5" w:rsidRDefault="004E65A9" w:rsidP="003F09AA">
      <w:pPr>
        <w:keepNext/>
        <w:pBdr>
          <w:top w:val="single" w:sz="4" w:space="1" w:color="auto"/>
          <w:left w:val="single" w:sz="4" w:space="4" w:color="auto"/>
          <w:bottom w:val="single" w:sz="4" w:space="1" w:color="auto"/>
          <w:right w:val="single" w:sz="4" w:space="4" w:color="auto"/>
        </w:pBdr>
        <w:ind w:left="567" w:hanging="567"/>
        <w:outlineLvl w:val="0"/>
      </w:pPr>
      <w:r>
        <w:rPr>
          <w:b/>
        </w:rPr>
        <w:t>13.</w:t>
      </w:r>
      <w:r>
        <w:rPr>
          <w:b/>
        </w:rPr>
        <w:tab/>
        <w:t>PRODUKSJONSNUMMER</w:t>
      </w:r>
    </w:p>
    <w:p w14:paraId="18F1EE51" w14:textId="77777777" w:rsidR="004E65A9" w:rsidRPr="00BD1AD5" w:rsidRDefault="004E65A9" w:rsidP="003F09AA">
      <w:pPr>
        <w:keepNext/>
        <w:rPr>
          <w:i/>
        </w:rPr>
      </w:pPr>
    </w:p>
    <w:p w14:paraId="145060E9" w14:textId="77777777" w:rsidR="004E65A9" w:rsidRPr="00BD1AD5" w:rsidRDefault="004E65A9" w:rsidP="003F09AA">
      <w:r>
        <w:t>Lot</w:t>
      </w:r>
    </w:p>
    <w:p w14:paraId="6AA2890F" w14:textId="77777777" w:rsidR="004E65A9" w:rsidRPr="00BD1AD5" w:rsidRDefault="004E65A9" w:rsidP="003F09AA"/>
    <w:p w14:paraId="7870EA0D" w14:textId="77777777" w:rsidR="004E65A9" w:rsidRPr="00BD1AD5" w:rsidRDefault="004E65A9" w:rsidP="003F09AA">
      <w:pPr>
        <w:rPr>
          <w:rFonts w:eastAsia="SimSun"/>
          <w:noProof/>
          <w:lang w:eastAsia="zh-CN"/>
        </w:rPr>
      </w:pPr>
    </w:p>
    <w:p w14:paraId="1ECFDA41" w14:textId="77777777" w:rsidR="004E65A9" w:rsidRPr="00BD1AD5" w:rsidRDefault="004E65A9" w:rsidP="003F09AA">
      <w:pPr>
        <w:keepNext/>
        <w:pBdr>
          <w:top w:val="single" w:sz="4" w:space="1" w:color="auto"/>
          <w:left w:val="single" w:sz="4" w:space="4" w:color="auto"/>
          <w:bottom w:val="single" w:sz="4" w:space="1" w:color="auto"/>
          <w:right w:val="single" w:sz="4" w:space="4" w:color="auto"/>
        </w:pBdr>
        <w:ind w:left="567" w:hanging="567"/>
        <w:outlineLvl w:val="0"/>
      </w:pPr>
      <w:r>
        <w:rPr>
          <w:b/>
        </w:rPr>
        <w:t>14.</w:t>
      </w:r>
      <w:r>
        <w:rPr>
          <w:b/>
        </w:rPr>
        <w:tab/>
        <w:t>GENERELL KLASSIFIKASJON FOR UTLEVERING</w:t>
      </w:r>
    </w:p>
    <w:p w14:paraId="26F4A7E3" w14:textId="77777777" w:rsidR="004E65A9" w:rsidRPr="00BD1AD5" w:rsidRDefault="004E65A9" w:rsidP="003F09AA">
      <w:pPr>
        <w:keepNext/>
        <w:rPr>
          <w:i/>
        </w:rPr>
      </w:pPr>
    </w:p>
    <w:p w14:paraId="12D972C1" w14:textId="77777777" w:rsidR="004E65A9" w:rsidRPr="00BD1AD5" w:rsidRDefault="004E65A9" w:rsidP="003F09AA"/>
    <w:p w14:paraId="3B140DEF" w14:textId="77777777" w:rsidR="004E65A9" w:rsidRPr="00BD1AD5" w:rsidRDefault="004E65A9" w:rsidP="003F09AA">
      <w:pPr>
        <w:keepNext/>
        <w:pBdr>
          <w:top w:val="single" w:sz="4" w:space="2" w:color="auto"/>
          <w:left w:val="single" w:sz="4" w:space="4" w:color="auto"/>
          <w:bottom w:val="single" w:sz="4" w:space="1" w:color="auto"/>
          <w:right w:val="single" w:sz="4" w:space="4" w:color="auto"/>
        </w:pBdr>
        <w:ind w:left="567" w:hanging="567"/>
        <w:outlineLvl w:val="0"/>
      </w:pPr>
      <w:r>
        <w:rPr>
          <w:b/>
        </w:rPr>
        <w:t>15.</w:t>
      </w:r>
      <w:r>
        <w:rPr>
          <w:b/>
        </w:rPr>
        <w:tab/>
        <w:t>BRUKSANVISNING</w:t>
      </w:r>
    </w:p>
    <w:p w14:paraId="0B677008" w14:textId="77777777" w:rsidR="004E65A9" w:rsidRPr="00BD1AD5" w:rsidRDefault="004E65A9" w:rsidP="003F09AA">
      <w:pPr>
        <w:keepNext/>
      </w:pPr>
    </w:p>
    <w:p w14:paraId="1A418D18" w14:textId="77777777" w:rsidR="004E65A9" w:rsidRPr="00BD1AD5" w:rsidRDefault="004E65A9" w:rsidP="003F09AA"/>
    <w:p w14:paraId="5FCE8F4F" w14:textId="77777777" w:rsidR="004E65A9" w:rsidRPr="00A649EE" w:rsidRDefault="004E65A9" w:rsidP="003F09AA">
      <w:pPr>
        <w:keepNext/>
        <w:pBdr>
          <w:top w:val="single" w:sz="4" w:space="1" w:color="auto"/>
          <w:left w:val="single" w:sz="4" w:space="4" w:color="auto"/>
          <w:bottom w:val="single" w:sz="4" w:space="0" w:color="auto"/>
          <w:right w:val="single" w:sz="4" w:space="4" w:color="auto"/>
        </w:pBdr>
        <w:ind w:left="567" w:hanging="567"/>
      </w:pPr>
      <w:r>
        <w:rPr>
          <w:b/>
        </w:rPr>
        <w:t>16.</w:t>
      </w:r>
      <w:r>
        <w:rPr>
          <w:b/>
        </w:rPr>
        <w:tab/>
        <w:t>INFORMASJON PÅ BLINDESKRIFT</w:t>
      </w:r>
    </w:p>
    <w:p w14:paraId="125CAF61" w14:textId="77777777" w:rsidR="004E65A9" w:rsidRPr="000B27C9" w:rsidRDefault="004E65A9" w:rsidP="003F09AA">
      <w:pPr>
        <w:keepNext/>
      </w:pPr>
    </w:p>
    <w:p w14:paraId="08C0E260" w14:textId="77777777" w:rsidR="004E65A9" w:rsidRPr="00A649EE" w:rsidRDefault="004E65A9" w:rsidP="003F09AA">
      <w:r>
        <w:t>Otezla 30 mg</w:t>
      </w:r>
    </w:p>
    <w:p w14:paraId="6AB930F3" w14:textId="77777777" w:rsidR="004E65A9" w:rsidRPr="000B27C9" w:rsidRDefault="004E65A9" w:rsidP="003F09AA"/>
    <w:p w14:paraId="5D97BD55" w14:textId="77777777" w:rsidR="004E65A9" w:rsidRPr="000B27C9" w:rsidRDefault="004E65A9" w:rsidP="003F09AA"/>
    <w:p w14:paraId="214744AA" w14:textId="77777777" w:rsidR="004E65A9" w:rsidRPr="00A649EE" w:rsidRDefault="004E65A9" w:rsidP="003F09AA">
      <w:pPr>
        <w:keepNext/>
        <w:pBdr>
          <w:top w:val="single" w:sz="4" w:space="1" w:color="auto"/>
          <w:left w:val="single" w:sz="4" w:space="4" w:color="auto"/>
          <w:bottom w:val="single" w:sz="4" w:space="1" w:color="auto"/>
          <w:right w:val="single" w:sz="4" w:space="4" w:color="auto"/>
        </w:pBdr>
        <w:ind w:left="567" w:hanging="567"/>
        <w:outlineLvl w:val="0"/>
      </w:pPr>
      <w:r>
        <w:rPr>
          <w:b/>
        </w:rPr>
        <w:t>17.</w:t>
      </w:r>
      <w:r>
        <w:rPr>
          <w:b/>
        </w:rPr>
        <w:tab/>
        <w:t>SIKKERHETSANORDNING (UNIK IDENTITET) – TODIMENSJONAL STREKKODE</w:t>
      </w:r>
    </w:p>
    <w:p w14:paraId="4621FEFB" w14:textId="77777777" w:rsidR="004E65A9" w:rsidRPr="000B27C9" w:rsidRDefault="004E65A9" w:rsidP="003F09AA">
      <w:pPr>
        <w:keepNext/>
      </w:pPr>
    </w:p>
    <w:p w14:paraId="213FB921" w14:textId="77777777" w:rsidR="004E65A9" w:rsidRPr="00BD1AD5" w:rsidRDefault="004E65A9" w:rsidP="003F09AA">
      <w:pPr>
        <w:pStyle w:val="Date"/>
        <w:rPr>
          <w:noProof/>
          <w:shd w:val="clear" w:color="auto" w:fill="CCCCCC"/>
        </w:rPr>
      </w:pPr>
      <w:r>
        <w:rPr>
          <w:shd w:val="clear" w:color="auto" w:fill="CCCCCC"/>
        </w:rPr>
        <w:t>Todimensjonal strekkode, inkludert unik identitet</w:t>
      </w:r>
    </w:p>
    <w:p w14:paraId="24ADE794" w14:textId="77777777" w:rsidR="004E65A9" w:rsidRPr="00BD1AD5" w:rsidRDefault="004E65A9" w:rsidP="003F09AA"/>
    <w:p w14:paraId="3E99E245" w14:textId="77777777" w:rsidR="004E65A9" w:rsidRPr="00BD1AD5" w:rsidRDefault="004E65A9" w:rsidP="003F09AA"/>
    <w:p w14:paraId="308A522D" w14:textId="77777777" w:rsidR="004E65A9" w:rsidRPr="00BD1AD5" w:rsidRDefault="004E65A9" w:rsidP="003F09AA">
      <w:pPr>
        <w:keepNext/>
        <w:pBdr>
          <w:top w:val="single" w:sz="4" w:space="1" w:color="auto"/>
          <w:left w:val="single" w:sz="4" w:space="4" w:color="auto"/>
          <w:bottom w:val="single" w:sz="4" w:space="1" w:color="auto"/>
          <w:right w:val="single" w:sz="4" w:space="4" w:color="auto"/>
        </w:pBdr>
        <w:ind w:left="567" w:hanging="567"/>
        <w:outlineLvl w:val="0"/>
      </w:pPr>
      <w:r>
        <w:rPr>
          <w:b/>
        </w:rPr>
        <w:t>18.</w:t>
      </w:r>
      <w:r>
        <w:rPr>
          <w:b/>
        </w:rPr>
        <w:tab/>
        <w:t>SIKKERHETSANORDNING (UNIK IDENTITET) – I ET FORMAT LESBART FOR MENNESKER</w:t>
      </w:r>
    </w:p>
    <w:p w14:paraId="457F4B69" w14:textId="77777777" w:rsidR="004E65A9" w:rsidRPr="00BD1AD5" w:rsidRDefault="004E65A9" w:rsidP="003F09AA">
      <w:pPr>
        <w:keepNext/>
      </w:pPr>
    </w:p>
    <w:p w14:paraId="3F7CC46D" w14:textId="77777777" w:rsidR="004E65A9" w:rsidRPr="00BD1AD5" w:rsidRDefault="004E65A9" w:rsidP="003F09AA">
      <w:pPr>
        <w:keepNext/>
      </w:pPr>
      <w:r>
        <w:t>PC</w:t>
      </w:r>
    </w:p>
    <w:p w14:paraId="308855CD" w14:textId="77777777" w:rsidR="004E65A9" w:rsidRPr="00BD1AD5" w:rsidRDefault="004E65A9" w:rsidP="003F09AA">
      <w:pPr>
        <w:keepNext/>
      </w:pPr>
      <w:r>
        <w:t>SN</w:t>
      </w:r>
    </w:p>
    <w:p w14:paraId="795068E5" w14:textId="77777777" w:rsidR="004E65A9" w:rsidRPr="00BD1AD5" w:rsidRDefault="004E65A9" w:rsidP="003F09AA">
      <w:pPr>
        <w:keepNext/>
      </w:pPr>
      <w:r>
        <w:t>NN</w:t>
      </w:r>
    </w:p>
    <w:p w14:paraId="1CD507B7" w14:textId="77777777" w:rsidR="004E65A9" w:rsidRPr="00BD1AD5" w:rsidRDefault="004E65A9" w:rsidP="003F09AA">
      <w:pPr>
        <w:keepNext/>
      </w:pPr>
    </w:p>
    <w:p w14:paraId="3395A7F6" w14:textId="77777777" w:rsidR="004E65A9" w:rsidRPr="00BD1AD5" w:rsidRDefault="004E65A9" w:rsidP="003F09AA">
      <w:pPr>
        <w:keepNext/>
      </w:pPr>
    </w:p>
    <w:p w14:paraId="0F594FDA" w14:textId="77777777" w:rsidR="004E65A9" w:rsidRPr="003F4A85" w:rsidRDefault="004E65A9" w:rsidP="003F09AA">
      <w:pPr>
        <w:pStyle w:val="Stylebold"/>
        <w:pBdr>
          <w:top w:val="single" w:sz="4" w:space="1" w:color="auto"/>
          <w:left w:val="single" w:sz="4" w:space="4" w:color="auto"/>
          <w:bottom w:val="single" w:sz="4" w:space="1" w:color="auto"/>
          <w:right w:val="single" w:sz="4" w:space="4" w:color="auto"/>
        </w:pBdr>
      </w:pPr>
      <w:r>
        <w:br w:type="page"/>
      </w:r>
      <w:r>
        <w:lastRenderedPageBreak/>
        <w:t>MINSTEKRAV TIL OPPLYSNINGER SOM SKAL ANGIS PÅ BLISTER ELLER STRIP</w:t>
      </w:r>
    </w:p>
    <w:p w14:paraId="70591C9C" w14:textId="77777777" w:rsidR="004E65A9" w:rsidRPr="003F4A85" w:rsidRDefault="004E65A9" w:rsidP="003F09AA">
      <w:pPr>
        <w:pStyle w:val="Stylebold"/>
        <w:pBdr>
          <w:top w:val="single" w:sz="4" w:space="1" w:color="auto"/>
          <w:left w:val="single" w:sz="4" w:space="4" w:color="auto"/>
          <w:bottom w:val="single" w:sz="4" w:space="1" w:color="auto"/>
          <w:right w:val="single" w:sz="4" w:space="4" w:color="auto"/>
        </w:pBdr>
      </w:pPr>
    </w:p>
    <w:p w14:paraId="25AB7247" w14:textId="77777777" w:rsidR="004E65A9" w:rsidRPr="003F4A85" w:rsidRDefault="004E65A9" w:rsidP="003F09AA">
      <w:pPr>
        <w:pStyle w:val="Stylebold"/>
        <w:pBdr>
          <w:top w:val="single" w:sz="4" w:space="1" w:color="auto"/>
          <w:left w:val="single" w:sz="4" w:space="4" w:color="auto"/>
          <w:bottom w:val="single" w:sz="4" w:space="1" w:color="auto"/>
          <w:right w:val="single" w:sz="4" w:space="4" w:color="auto"/>
        </w:pBdr>
      </w:pPr>
      <w:r>
        <w:t>BLISTER</w:t>
      </w:r>
    </w:p>
    <w:p w14:paraId="3D4BCCF5" w14:textId="77777777" w:rsidR="004E65A9" w:rsidRPr="00997253" w:rsidRDefault="004E65A9" w:rsidP="003F09AA">
      <w:pPr>
        <w:keepNext/>
      </w:pPr>
    </w:p>
    <w:p w14:paraId="2002B191" w14:textId="77777777" w:rsidR="004E65A9" w:rsidRPr="004F295B" w:rsidRDefault="004E65A9" w:rsidP="003F09AA"/>
    <w:p w14:paraId="2262C3FF" w14:textId="77777777" w:rsidR="004E65A9" w:rsidRPr="003F4A85" w:rsidRDefault="004E65A9" w:rsidP="003F09AA">
      <w:pPr>
        <w:pStyle w:val="Stylebold"/>
        <w:pBdr>
          <w:top w:val="single" w:sz="4" w:space="1" w:color="auto"/>
          <w:left w:val="single" w:sz="4" w:space="4" w:color="auto"/>
          <w:bottom w:val="single" w:sz="4" w:space="1" w:color="auto"/>
          <w:right w:val="single" w:sz="4" w:space="4" w:color="auto"/>
        </w:pBdr>
        <w:ind w:left="567" w:hanging="567"/>
      </w:pPr>
      <w:r>
        <w:t>1.</w:t>
      </w:r>
      <w:r>
        <w:tab/>
        <w:t>LEGEMIDLETS NAVN</w:t>
      </w:r>
    </w:p>
    <w:p w14:paraId="4205C994" w14:textId="77777777" w:rsidR="004E65A9" w:rsidRPr="004F295B" w:rsidRDefault="004E65A9" w:rsidP="003F09AA">
      <w:pPr>
        <w:keepNext/>
      </w:pPr>
    </w:p>
    <w:p w14:paraId="73131897" w14:textId="77777777" w:rsidR="004E65A9" w:rsidRPr="004F295B" w:rsidRDefault="004E65A9" w:rsidP="003F09AA">
      <w:pPr>
        <w:keepNext/>
      </w:pPr>
      <w:r>
        <w:t>Otezla 20 mg tabletter</w:t>
      </w:r>
    </w:p>
    <w:p w14:paraId="3EA3534A" w14:textId="77777777" w:rsidR="004E65A9" w:rsidRPr="004F295B" w:rsidRDefault="004E65A9" w:rsidP="003F09AA">
      <w:pPr>
        <w:rPr>
          <w:shd w:val="clear" w:color="auto" w:fill="CCCCCC"/>
        </w:rPr>
      </w:pPr>
      <w:r>
        <w:t>apremilast</w:t>
      </w:r>
    </w:p>
    <w:p w14:paraId="1ABF103B" w14:textId="77777777" w:rsidR="004E65A9" w:rsidRPr="004F295B" w:rsidRDefault="004E65A9" w:rsidP="003F09AA"/>
    <w:p w14:paraId="2EDE72D0" w14:textId="77777777" w:rsidR="004E65A9" w:rsidRPr="004F295B" w:rsidRDefault="004E65A9" w:rsidP="003F09AA"/>
    <w:p w14:paraId="26E76510" w14:textId="77777777" w:rsidR="004E65A9" w:rsidRPr="003F4A85" w:rsidRDefault="004E65A9" w:rsidP="003F09AA">
      <w:pPr>
        <w:pStyle w:val="Stylebold"/>
        <w:pBdr>
          <w:top w:val="single" w:sz="4" w:space="1" w:color="auto"/>
          <w:left w:val="single" w:sz="4" w:space="4" w:color="auto"/>
          <w:bottom w:val="single" w:sz="4" w:space="1" w:color="auto"/>
          <w:right w:val="single" w:sz="4" w:space="4" w:color="auto"/>
        </w:pBdr>
        <w:ind w:left="567" w:hanging="567"/>
      </w:pPr>
      <w:r>
        <w:t>2.</w:t>
      </w:r>
      <w:r>
        <w:tab/>
        <w:t>NAVN PÅ INNEHAVEREN AV MARKEDSFØRINGSTILLATELSEN</w:t>
      </w:r>
    </w:p>
    <w:p w14:paraId="161CE5F1" w14:textId="77777777" w:rsidR="004E65A9" w:rsidRPr="00394DF8" w:rsidRDefault="004E65A9" w:rsidP="003F09AA">
      <w:pPr>
        <w:keepNext/>
      </w:pPr>
    </w:p>
    <w:p w14:paraId="6DADFAD5" w14:textId="77777777" w:rsidR="004E65A9" w:rsidRPr="00394DF8" w:rsidRDefault="004E65A9" w:rsidP="003F09AA">
      <w:r>
        <w:t>Amgen</w:t>
      </w:r>
    </w:p>
    <w:p w14:paraId="467CA4A1" w14:textId="77777777" w:rsidR="004E65A9" w:rsidRDefault="004E65A9" w:rsidP="003F09AA"/>
    <w:p w14:paraId="36C49A04" w14:textId="77777777" w:rsidR="004E65A9" w:rsidRPr="00394DF8" w:rsidRDefault="004E65A9" w:rsidP="003F09AA"/>
    <w:p w14:paraId="2F556A04" w14:textId="77777777" w:rsidR="004E65A9" w:rsidRPr="003F4A85" w:rsidRDefault="004E65A9" w:rsidP="003F09AA">
      <w:pPr>
        <w:pStyle w:val="Stylebold"/>
        <w:pBdr>
          <w:top w:val="single" w:sz="4" w:space="1" w:color="auto"/>
          <w:left w:val="single" w:sz="4" w:space="4" w:color="auto"/>
          <w:bottom w:val="single" w:sz="4" w:space="1" w:color="auto"/>
          <w:right w:val="single" w:sz="4" w:space="4" w:color="auto"/>
        </w:pBdr>
        <w:ind w:left="567" w:hanging="567"/>
      </w:pPr>
      <w:r>
        <w:t>3.</w:t>
      </w:r>
      <w:r>
        <w:tab/>
        <w:t>UTLØPSDATO</w:t>
      </w:r>
    </w:p>
    <w:p w14:paraId="7AD0D7C4" w14:textId="77777777" w:rsidR="004E65A9" w:rsidRPr="00394DF8" w:rsidRDefault="004E65A9" w:rsidP="003F09AA">
      <w:pPr>
        <w:keepNext/>
      </w:pPr>
    </w:p>
    <w:p w14:paraId="38F282E0" w14:textId="77777777" w:rsidR="004E65A9" w:rsidRPr="00394DF8" w:rsidRDefault="004E65A9" w:rsidP="003F09AA">
      <w:r>
        <w:t>EXP</w:t>
      </w:r>
    </w:p>
    <w:p w14:paraId="4A938AD7" w14:textId="77777777" w:rsidR="004E65A9" w:rsidRPr="00394DF8" w:rsidRDefault="004E65A9" w:rsidP="003F09AA"/>
    <w:p w14:paraId="19422E2D" w14:textId="77777777" w:rsidR="004E65A9" w:rsidRPr="00394DF8" w:rsidRDefault="004E65A9" w:rsidP="003F09AA">
      <w:pPr>
        <w:rPr>
          <w:rFonts w:eastAsia="SimSun"/>
          <w:noProof/>
          <w:lang w:eastAsia="zh-CN"/>
        </w:rPr>
      </w:pPr>
    </w:p>
    <w:p w14:paraId="1AF2468C" w14:textId="77777777" w:rsidR="004E65A9" w:rsidRPr="003F4A85" w:rsidRDefault="004E65A9" w:rsidP="003F09AA">
      <w:pPr>
        <w:pStyle w:val="Stylebold"/>
        <w:pBdr>
          <w:top w:val="single" w:sz="4" w:space="1" w:color="auto"/>
          <w:left w:val="single" w:sz="4" w:space="4" w:color="auto"/>
          <w:bottom w:val="single" w:sz="4" w:space="1" w:color="auto"/>
          <w:right w:val="single" w:sz="4" w:space="4" w:color="auto"/>
        </w:pBdr>
        <w:ind w:left="567" w:hanging="567"/>
      </w:pPr>
      <w:r>
        <w:t>4.</w:t>
      </w:r>
      <w:r>
        <w:tab/>
        <w:t>PRODUKSJONSNUMMER</w:t>
      </w:r>
    </w:p>
    <w:p w14:paraId="5B89264D" w14:textId="77777777" w:rsidR="004E65A9" w:rsidRPr="00394DF8" w:rsidRDefault="004E65A9" w:rsidP="003F09AA">
      <w:pPr>
        <w:keepNext/>
      </w:pPr>
    </w:p>
    <w:p w14:paraId="378F2FB7" w14:textId="77777777" w:rsidR="004E65A9" w:rsidRPr="00394DF8" w:rsidRDefault="004E65A9" w:rsidP="003F09AA">
      <w:r>
        <w:t>Lot</w:t>
      </w:r>
    </w:p>
    <w:p w14:paraId="0B264DDC" w14:textId="77777777" w:rsidR="004E65A9" w:rsidRPr="009A0146" w:rsidRDefault="004E65A9" w:rsidP="003F09AA"/>
    <w:p w14:paraId="5785A43F" w14:textId="77777777" w:rsidR="004E65A9" w:rsidRPr="009A0146" w:rsidRDefault="004E65A9" w:rsidP="003F09AA"/>
    <w:p w14:paraId="3CFAEEFC" w14:textId="77777777" w:rsidR="004E65A9" w:rsidRPr="003F4A85" w:rsidRDefault="004E65A9" w:rsidP="003F09AA">
      <w:pPr>
        <w:pStyle w:val="Stylebold"/>
        <w:pBdr>
          <w:top w:val="single" w:sz="4" w:space="1" w:color="auto"/>
          <w:left w:val="single" w:sz="4" w:space="4" w:color="auto"/>
          <w:bottom w:val="single" w:sz="4" w:space="1" w:color="auto"/>
          <w:right w:val="single" w:sz="4" w:space="4" w:color="auto"/>
        </w:pBdr>
        <w:ind w:left="567" w:hanging="567"/>
      </w:pPr>
      <w:r>
        <w:t>5.</w:t>
      </w:r>
      <w:r>
        <w:tab/>
        <w:t>ANNET</w:t>
      </w:r>
    </w:p>
    <w:p w14:paraId="01AF1B2F" w14:textId="77777777" w:rsidR="004E65A9" w:rsidRDefault="004E65A9" w:rsidP="003F09AA">
      <w:pPr>
        <w:keepNext/>
        <w:shd w:val="clear" w:color="auto" w:fill="FFFFFF"/>
        <w:rPr>
          <w:rFonts w:eastAsia="SimSun"/>
          <w:noProof/>
          <w:lang w:eastAsia="zh-CN"/>
        </w:rPr>
      </w:pPr>
    </w:p>
    <w:p w14:paraId="35B28130" w14:textId="77777777" w:rsidR="004E65A9" w:rsidRPr="004F295B" w:rsidRDefault="004E65A9" w:rsidP="003F09AA">
      <w:pPr>
        <w:shd w:val="clear" w:color="auto" w:fill="FFFFFF"/>
        <w:rPr>
          <w:rFonts w:eastAsia="SimSun"/>
          <w:noProof/>
          <w:lang w:eastAsia="zh-CN"/>
        </w:rPr>
      </w:pPr>
    </w:p>
    <w:p w14:paraId="1C12E13D" w14:textId="77777777" w:rsidR="004E65A9" w:rsidRPr="00BD1AD5" w:rsidRDefault="004E65A9" w:rsidP="003F09AA">
      <w:pPr>
        <w:pBdr>
          <w:top w:val="single" w:sz="4" w:space="1" w:color="auto"/>
          <w:left w:val="single" w:sz="4" w:space="4" w:color="auto"/>
          <w:bottom w:val="single" w:sz="4" w:space="1" w:color="auto"/>
          <w:right w:val="single" w:sz="4" w:space="4" w:color="auto"/>
        </w:pBdr>
        <w:tabs>
          <w:tab w:val="clear" w:pos="567"/>
        </w:tabs>
        <w:rPr>
          <w:b/>
        </w:rPr>
      </w:pPr>
      <w:r>
        <w:br w:type="page"/>
      </w:r>
      <w:r>
        <w:rPr>
          <w:b/>
        </w:rPr>
        <w:lastRenderedPageBreak/>
        <w:t>MINSTEKRAV TIL OPPLYSNINGER SOM SKAL ANGIS PÅ BLISTER ELLER STRIP</w:t>
      </w:r>
    </w:p>
    <w:p w14:paraId="1B57A0A1" w14:textId="77777777" w:rsidR="004E65A9" w:rsidRPr="00BD1AD5" w:rsidRDefault="004E65A9" w:rsidP="003F09AA">
      <w:pPr>
        <w:pBdr>
          <w:top w:val="single" w:sz="4" w:space="1" w:color="auto"/>
          <w:left w:val="single" w:sz="4" w:space="4" w:color="auto"/>
          <w:bottom w:val="single" w:sz="4" w:space="1" w:color="auto"/>
          <w:right w:val="single" w:sz="4" w:space="4" w:color="auto"/>
        </w:pBdr>
        <w:rPr>
          <w:b/>
        </w:rPr>
      </w:pPr>
    </w:p>
    <w:p w14:paraId="0BB9EE33" w14:textId="77777777" w:rsidR="004E65A9" w:rsidRPr="00BD1AD5" w:rsidRDefault="004E65A9" w:rsidP="003F09AA">
      <w:pPr>
        <w:pBdr>
          <w:top w:val="single" w:sz="4" w:space="1" w:color="auto"/>
          <w:left w:val="single" w:sz="4" w:space="4" w:color="auto"/>
          <w:bottom w:val="single" w:sz="4" w:space="1" w:color="auto"/>
          <w:right w:val="single" w:sz="4" w:space="4" w:color="auto"/>
        </w:pBdr>
        <w:rPr>
          <w:b/>
        </w:rPr>
      </w:pPr>
      <w:r>
        <w:rPr>
          <w:b/>
        </w:rPr>
        <w:t>BLISTER</w:t>
      </w:r>
    </w:p>
    <w:p w14:paraId="76F3C65B" w14:textId="77777777" w:rsidR="004E65A9" w:rsidRPr="00BD1AD5" w:rsidRDefault="004E65A9" w:rsidP="003F09AA"/>
    <w:p w14:paraId="010D9B3B" w14:textId="77777777" w:rsidR="004E65A9" w:rsidRPr="00BD1AD5" w:rsidRDefault="004E65A9" w:rsidP="003F09AA"/>
    <w:p w14:paraId="0208D7D1" w14:textId="77777777" w:rsidR="004E65A9" w:rsidRPr="00BD1AD5" w:rsidRDefault="004E65A9" w:rsidP="003F09AA">
      <w:pPr>
        <w:keepNext/>
        <w:pBdr>
          <w:top w:val="single" w:sz="4" w:space="1" w:color="auto"/>
          <w:left w:val="single" w:sz="4" w:space="4" w:color="auto"/>
          <w:bottom w:val="single" w:sz="4" w:space="1" w:color="auto"/>
          <w:right w:val="single" w:sz="4" w:space="4" w:color="auto"/>
        </w:pBdr>
        <w:ind w:left="567" w:hanging="567"/>
        <w:outlineLvl w:val="0"/>
        <w:rPr>
          <w:b/>
        </w:rPr>
      </w:pPr>
      <w:r>
        <w:rPr>
          <w:b/>
        </w:rPr>
        <w:t>1.</w:t>
      </w:r>
      <w:r>
        <w:rPr>
          <w:b/>
        </w:rPr>
        <w:tab/>
        <w:t>LEGEMIDLETS NAVN</w:t>
      </w:r>
    </w:p>
    <w:p w14:paraId="284C14F1" w14:textId="77777777" w:rsidR="004E65A9" w:rsidRPr="00BD1AD5" w:rsidRDefault="004E65A9" w:rsidP="003F09AA">
      <w:pPr>
        <w:keepNext/>
      </w:pPr>
    </w:p>
    <w:p w14:paraId="09CC2061" w14:textId="77777777" w:rsidR="004E65A9" w:rsidRPr="00BD1AD5" w:rsidRDefault="004E65A9" w:rsidP="003F09AA">
      <w:r>
        <w:t>Otezla 30 mg tabletter</w:t>
      </w:r>
    </w:p>
    <w:p w14:paraId="7702E49E" w14:textId="77777777" w:rsidR="004E65A9" w:rsidRPr="00BD1AD5" w:rsidRDefault="004E65A9" w:rsidP="003F09AA">
      <w:r>
        <w:t>apremilast</w:t>
      </w:r>
    </w:p>
    <w:p w14:paraId="45096C82" w14:textId="77777777" w:rsidR="004E65A9" w:rsidRPr="00BD1AD5" w:rsidRDefault="004E65A9" w:rsidP="003F09AA"/>
    <w:p w14:paraId="15949710" w14:textId="77777777" w:rsidR="004E65A9" w:rsidRPr="00BD1AD5" w:rsidRDefault="004E65A9" w:rsidP="003F09AA"/>
    <w:p w14:paraId="00740081" w14:textId="77777777" w:rsidR="004E65A9" w:rsidRPr="00BD1AD5" w:rsidRDefault="004E65A9" w:rsidP="003F09AA">
      <w:pPr>
        <w:keepNext/>
        <w:pBdr>
          <w:top w:val="single" w:sz="4" w:space="2" w:color="auto"/>
          <w:left w:val="single" w:sz="4" w:space="4" w:color="auto"/>
          <w:bottom w:val="single" w:sz="4" w:space="1" w:color="auto"/>
          <w:right w:val="single" w:sz="4" w:space="4" w:color="auto"/>
        </w:pBdr>
        <w:ind w:left="567" w:hanging="567"/>
        <w:outlineLvl w:val="0"/>
        <w:rPr>
          <w:b/>
        </w:rPr>
      </w:pPr>
      <w:r>
        <w:rPr>
          <w:b/>
        </w:rPr>
        <w:t>2.</w:t>
      </w:r>
      <w:r>
        <w:rPr>
          <w:b/>
        </w:rPr>
        <w:tab/>
        <w:t>NAVN PÅ INNEHAVEREN AV MARKEDSFØRINGSTILLATELSEN</w:t>
      </w:r>
    </w:p>
    <w:p w14:paraId="7D441779" w14:textId="77777777" w:rsidR="004E65A9" w:rsidRPr="00BD1AD5" w:rsidRDefault="004E65A9" w:rsidP="003F09AA">
      <w:pPr>
        <w:keepNext/>
      </w:pPr>
    </w:p>
    <w:p w14:paraId="38456928" w14:textId="77777777" w:rsidR="004E65A9" w:rsidRPr="00BD1AD5" w:rsidRDefault="004E65A9" w:rsidP="003F09AA">
      <w:r>
        <w:t>Amgen</w:t>
      </w:r>
    </w:p>
    <w:p w14:paraId="59DFEDA2" w14:textId="77777777" w:rsidR="004E65A9" w:rsidRDefault="004E65A9" w:rsidP="003F09AA"/>
    <w:p w14:paraId="7EAC5257" w14:textId="77777777" w:rsidR="004E65A9" w:rsidRPr="00BD1AD5" w:rsidRDefault="004E65A9" w:rsidP="003F09AA"/>
    <w:p w14:paraId="33DFC26D" w14:textId="77777777" w:rsidR="004E65A9" w:rsidRPr="00BD1AD5" w:rsidRDefault="004E65A9" w:rsidP="003F09AA">
      <w:pPr>
        <w:keepNext/>
        <w:pBdr>
          <w:top w:val="single" w:sz="4" w:space="1" w:color="auto"/>
          <w:left w:val="single" w:sz="4" w:space="4" w:color="auto"/>
          <w:bottom w:val="single" w:sz="4" w:space="2" w:color="auto"/>
          <w:right w:val="single" w:sz="4" w:space="4" w:color="auto"/>
        </w:pBdr>
        <w:ind w:left="567" w:hanging="567"/>
        <w:outlineLvl w:val="0"/>
        <w:rPr>
          <w:b/>
        </w:rPr>
      </w:pPr>
      <w:r>
        <w:rPr>
          <w:b/>
        </w:rPr>
        <w:t>3.</w:t>
      </w:r>
      <w:r>
        <w:rPr>
          <w:b/>
        </w:rPr>
        <w:tab/>
        <w:t>UTLØPSDATO</w:t>
      </w:r>
    </w:p>
    <w:p w14:paraId="2A329BF4" w14:textId="77777777" w:rsidR="004E65A9" w:rsidRPr="00BD1AD5" w:rsidRDefault="004E65A9" w:rsidP="003F09AA">
      <w:pPr>
        <w:keepNext/>
      </w:pPr>
    </w:p>
    <w:p w14:paraId="729596A3" w14:textId="77777777" w:rsidR="004E65A9" w:rsidRPr="00BD1AD5" w:rsidRDefault="004E65A9" w:rsidP="003F09AA">
      <w:r>
        <w:t>EXP</w:t>
      </w:r>
    </w:p>
    <w:p w14:paraId="6FC0D17D" w14:textId="77777777" w:rsidR="004E65A9" w:rsidRPr="00BD1AD5" w:rsidRDefault="004E65A9" w:rsidP="003F09AA"/>
    <w:p w14:paraId="5331A65D" w14:textId="77777777" w:rsidR="004E65A9" w:rsidRPr="00BD1AD5" w:rsidRDefault="004E65A9" w:rsidP="003F09AA">
      <w:pPr>
        <w:rPr>
          <w:rFonts w:eastAsia="SimSun"/>
          <w:noProof/>
          <w:lang w:eastAsia="zh-CN"/>
        </w:rPr>
      </w:pPr>
    </w:p>
    <w:p w14:paraId="32C824AA" w14:textId="77777777" w:rsidR="004E65A9" w:rsidRPr="00BD1AD5" w:rsidRDefault="004E65A9" w:rsidP="003F09AA">
      <w:pPr>
        <w:keepNext/>
        <w:pBdr>
          <w:top w:val="single" w:sz="4" w:space="1" w:color="auto"/>
          <w:left w:val="single" w:sz="4" w:space="4" w:color="auto"/>
          <w:bottom w:val="single" w:sz="4" w:space="1" w:color="auto"/>
          <w:right w:val="single" w:sz="4" w:space="4" w:color="auto"/>
        </w:pBdr>
        <w:ind w:left="567" w:hanging="567"/>
        <w:outlineLvl w:val="0"/>
        <w:rPr>
          <w:b/>
        </w:rPr>
      </w:pPr>
      <w:r>
        <w:rPr>
          <w:b/>
        </w:rPr>
        <w:t>4.</w:t>
      </w:r>
      <w:r>
        <w:rPr>
          <w:b/>
        </w:rPr>
        <w:tab/>
        <w:t>PRODUKSJONSNUMMER</w:t>
      </w:r>
    </w:p>
    <w:p w14:paraId="4333504B" w14:textId="77777777" w:rsidR="004E65A9" w:rsidRPr="00BD1AD5" w:rsidRDefault="004E65A9" w:rsidP="003F09AA">
      <w:pPr>
        <w:keepNext/>
      </w:pPr>
    </w:p>
    <w:p w14:paraId="229C327A" w14:textId="77777777" w:rsidR="004E65A9" w:rsidRPr="00BD1AD5" w:rsidRDefault="004E65A9" w:rsidP="003F09AA">
      <w:r>
        <w:t>Lot</w:t>
      </w:r>
    </w:p>
    <w:p w14:paraId="5D493501" w14:textId="77777777" w:rsidR="004E65A9" w:rsidRPr="00BD1AD5" w:rsidRDefault="004E65A9" w:rsidP="003F09AA"/>
    <w:p w14:paraId="5C835A87" w14:textId="77777777" w:rsidR="004E65A9" w:rsidRPr="00BD1AD5" w:rsidRDefault="004E65A9" w:rsidP="003F09AA"/>
    <w:p w14:paraId="3634CDDA" w14:textId="77777777" w:rsidR="004E65A9" w:rsidRDefault="004E65A9" w:rsidP="003F09AA">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5.</w:t>
      </w:r>
      <w:r>
        <w:rPr>
          <w:b/>
        </w:rPr>
        <w:tab/>
        <w:t>ANNET</w:t>
      </w:r>
    </w:p>
    <w:p w14:paraId="22C9F1C0" w14:textId="77777777" w:rsidR="004E65A9" w:rsidRPr="00BD1AD5" w:rsidRDefault="004E65A9" w:rsidP="003F09AA">
      <w:pPr>
        <w:keepNext/>
      </w:pPr>
    </w:p>
    <w:p w14:paraId="384C0627" w14:textId="77777777" w:rsidR="004E65A9" w:rsidRPr="00BD1AD5" w:rsidRDefault="004E65A9" w:rsidP="003F09AA"/>
    <w:p w14:paraId="5794D0DF" w14:textId="77777777" w:rsidR="004E65A9" w:rsidRPr="00BD1AD5" w:rsidRDefault="004E65A9" w:rsidP="003F09AA">
      <w:r>
        <w:br w:type="page"/>
      </w:r>
    </w:p>
    <w:p w14:paraId="031DD887" w14:textId="77777777" w:rsidR="004E65A9" w:rsidRPr="00BD1AD5" w:rsidRDefault="004E65A9" w:rsidP="003F09AA"/>
    <w:p w14:paraId="2B085A88" w14:textId="77777777" w:rsidR="004E65A9" w:rsidRPr="00BD1AD5" w:rsidRDefault="004E65A9" w:rsidP="003F09AA"/>
    <w:p w14:paraId="7A85E2AE" w14:textId="77777777" w:rsidR="004E65A9" w:rsidRPr="00BD1AD5" w:rsidRDefault="004E65A9" w:rsidP="003F09AA"/>
    <w:p w14:paraId="7D5624CB" w14:textId="77777777" w:rsidR="004E65A9" w:rsidRPr="00BD1AD5" w:rsidRDefault="004E65A9" w:rsidP="003F09AA"/>
    <w:p w14:paraId="6CCE7C0D" w14:textId="77777777" w:rsidR="004E65A9" w:rsidRPr="00BD1AD5" w:rsidRDefault="004E65A9" w:rsidP="003F09AA"/>
    <w:p w14:paraId="4879E5C0" w14:textId="77777777" w:rsidR="004E65A9" w:rsidRPr="00BD1AD5" w:rsidRDefault="004E65A9" w:rsidP="003F09AA"/>
    <w:p w14:paraId="076FC74D" w14:textId="77777777" w:rsidR="004E65A9" w:rsidRPr="00BD1AD5" w:rsidRDefault="004E65A9" w:rsidP="003F09AA"/>
    <w:p w14:paraId="663D9290" w14:textId="77777777" w:rsidR="004E65A9" w:rsidRPr="00BD1AD5" w:rsidRDefault="004E65A9" w:rsidP="003F09AA"/>
    <w:p w14:paraId="632C83FD" w14:textId="77777777" w:rsidR="004E65A9" w:rsidRPr="00BD1AD5" w:rsidRDefault="004E65A9" w:rsidP="003F09AA"/>
    <w:p w14:paraId="3DD06D68" w14:textId="77777777" w:rsidR="004E65A9" w:rsidRPr="00BD1AD5" w:rsidRDefault="004E65A9" w:rsidP="003F09AA"/>
    <w:p w14:paraId="00020939" w14:textId="77777777" w:rsidR="004E65A9" w:rsidRPr="00BD1AD5" w:rsidRDefault="004E65A9" w:rsidP="003F09AA"/>
    <w:p w14:paraId="69288C66" w14:textId="77777777" w:rsidR="004E65A9" w:rsidRPr="00BD1AD5" w:rsidRDefault="004E65A9" w:rsidP="003F09AA"/>
    <w:p w14:paraId="539F03D7" w14:textId="77777777" w:rsidR="004E65A9" w:rsidRPr="00BD1AD5" w:rsidRDefault="004E65A9" w:rsidP="003F09AA"/>
    <w:p w14:paraId="16632E31" w14:textId="77777777" w:rsidR="004E65A9" w:rsidRPr="00BD1AD5" w:rsidRDefault="004E65A9" w:rsidP="003F09AA"/>
    <w:p w14:paraId="75EFD488" w14:textId="77777777" w:rsidR="004E65A9" w:rsidRPr="00BD1AD5" w:rsidRDefault="004E65A9" w:rsidP="003F09AA"/>
    <w:p w14:paraId="0CB9513B" w14:textId="77777777" w:rsidR="004E65A9" w:rsidRPr="00BD1AD5" w:rsidRDefault="004E65A9" w:rsidP="003F09AA"/>
    <w:p w14:paraId="3C6E0699" w14:textId="77777777" w:rsidR="004E65A9" w:rsidRPr="00BD1AD5" w:rsidRDefault="004E65A9" w:rsidP="003F09AA"/>
    <w:p w14:paraId="63FFDDF7" w14:textId="77777777" w:rsidR="004E65A9" w:rsidRPr="00BD1AD5" w:rsidRDefault="004E65A9" w:rsidP="003F09AA"/>
    <w:p w14:paraId="69F34A62" w14:textId="77777777" w:rsidR="004E65A9" w:rsidRPr="00BD1AD5" w:rsidRDefault="004E65A9" w:rsidP="003F09AA"/>
    <w:p w14:paraId="357982E5" w14:textId="77777777" w:rsidR="004E65A9" w:rsidRPr="00BD1AD5" w:rsidRDefault="004E65A9" w:rsidP="003F09AA"/>
    <w:p w14:paraId="119F573F" w14:textId="77777777" w:rsidR="004E65A9" w:rsidRPr="00BD1AD5" w:rsidRDefault="004E65A9" w:rsidP="003F09AA"/>
    <w:p w14:paraId="28E2CD60" w14:textId="77777777" w:rsidR="004E65A9" w:rsidRPr="00BD1AD5" w:rsidRDefault="004E65A9" w:rsidP="003F09AA"/>
    <w:p w14:paraId="1FEDAC46" w14:textId="77777777" w:rsidR="004E65A9" w:rsidRPr="00BD1AD5" w:rsidRDefault="004E65A9" w:rsidP="003F09AA">
      <w:pPr>
        <w:pStyle w:val="TitleA"/>
      </w:pPr>
      <w:r>
        <w:t>B. PAKNINGSVEDLEGG</w:t>
      </w:r>
    </w:p>
    <w:p w14:paraId="7BF6CF72" w14:textId="77777777" w:rsidR="004E65A9" w:rsidRPr="00BD1AD5" w:rsidRDefault="004E65A9" w:rsidP="003F09AA"/>
    <w:p w14:paraId="46813655" w14:textId="77777777" w:rsidR="004E65A9" w:rsidRPr="00BD1AD5" w:rsidRDefault="004E65A9" w:rsidP="003F09AA"/>
    <w:p w14:paraId="660E46B3" w14:textId="77777777" w:rsidR="004E65A9" w:rsidRPr="00BD1AD5" w:rsidRDefault="004E65A9" w:rsidP="003F09AA">
      <w:r>
        <w:br w:type="page"/>
      </w:r>
    </w:p>
    <w:p w14:paraId="4CBB297A" w14:textId="77777777" w:rsidR="004E65A9" w:rsidRPr="00BD1AD5" w:rsidRDefault="004E65A9" w:rsidP="003F09AA">
      <w:pPr>
        <w:jc w:val="center"/>
        <w:rPr>
          <w:b/>
        </w:rPr>
      </w:pPr>
      <w:r>
        <w:rPr>
          <w:b/>
        </w:rPr>
        <w:t>Pakningsvedlegg: Informasjon til pasienten</w:t>
      </w:r>
    </w:p>
    <w:p w14:paraId="43330F1A" w14:textId="77777777" w:rsidR="004E65A9" w:rsidRPr="00BD1AD5" w:rsidRDefault="004E65A9" w:rsidP="003F09AA">
      <w:pPr>
        <w:numPr>
          <w:ilvl w:val="12"/>
          <w:numId w:val="0"/>
        </w:numPr>
        <w:shd w:val="clear" w:color="auto" w:fill="FFFFFF"/>
        <w:jc w:val="center"/>
        <w:rPr>
          <w:noProof/>
        </w:rPr>
      </w:pPr>
    </w:p>
    <w:p w14:paraId="18D733DC" w14:textId="77777777" w:rsidR="004E65A9" w:rsidRPr="00BD1AD5" w:rsidRDefault="004E65A9" w:rsidP="003F09AA">
      <w:pPr>
        <w:numPr>
          <w:ilvl w:val="12"/>
          <w:numId w:val="0"/>
        </w:numPr>
        <w:shd w:val="clear" w:color="auto" w:fill="FFFFFF"/>
        <w:jc w:val="center"/>
        <w:rPr>
          <w:b/>
          <w:noProof/>
        </w:rPr>
      </w:pPr>
      <w:r>
        <w:rPr>
          <w:b/>
        </w:rPr>
        <w:t>Otezla 10 mg tabletter, filmdrasjerte</w:t>
      </w:r>
    </w:p>
    <w:p w14:paraId="12ED497B" w14:textId="77777777" w:rsidR="004E65A9" w:rsidRPr="00BD1AD5" w:rsidRDefault="004E65A9" w:rsidP="003F09AA">
      <w:pPr>
        <w:numPr>
          <w:ilvl w:val="12"/>
          <w:numId w:val="0"/>
        </w:numPr>
        <w:shd w:val="clear" w:color="auto" w:fill="FFFFFF"/>
        <w:jc w:val="center"/>
        <w:rPr>
          <w:b/>
          <w:noProof/>
        </w:rPr>
      </w:pPr>
      <w:r>
        <w:rPr>
          <w:b/>
        </w:rPr>
        <w:t>Otezla 20 mg tabletter, filmdrasjerte</w:t>
      </w:r>
    </w:p>
    <w:p w14:paraId="34289CE5" w14:textId="77777777" w:rsidR="004E65A9" w:rsidRPr="00BD1AD5" w:rsidRDefault="004E65A9" w:rsidP="003F09AA">
      <w:pPr>
        <w:numPr>
          <w:ilvl w:val="12"/>
          <w:numId w:val="0"/>
        </w:numPr>
        <w:shd w:val="clear" w:color="auto" w:fill="FFFFFF"/>
        <w:jc w:val="center"/>
        <w:rPr>
          <w:b/>
          <w:iCs/>
          <w:noProof/>
        </w:rPr>
      </w:pPr>
      <w:r>
        <w:rPr>
          <w:b/>
        </w:rPr>
        <w:t>Otezla 30 mg tabletter, filmdrasjerte</w:t>
      </w:r>
    </w:p>
    <w:p w14:paraId="1517D349" w14:textId="77777777" w:rsidR="004E65A9" w:rsidRPr="00BD1AD5" w:rsidRDefault="004E65A9" w:rsidP="003F09AA">
      <w:pPr>
        <w:jc w:val="center"/>
        <w:rPr>
          <w:b/>
          <w:shd w:val="pct15" w:color="auto" w:fill="FFFFFF"/>
        </w:rPr>
      </w:pPr>
      <w:r>
        <w:t>apremilast</w:t>
      </w:r>
    </w:p>
    <w:p w14:paraId="4E11660B" w14:textId="77777777" w:rsidR="004E65A9" w:rsidRPr="00BD1AD5" w:rsidRDefault="004E65A9" w:rsidP="003F09AA"/>
    <w:p w14:paraId="0C849BA0" w14:textId="77777777" w:rsidR="004E65A9" w:rsidRPr="00BD1AD5" w:rsidRDefault="004E65A9" w:rsidP="003F09AA">
      <w:pPr>
        <w:suppressAutoHyphens/>
        <w:rPr>
          <w:rFonts w:eastAsia="SimSun"/>
          <w:b/>
          <w:noProof/>
          <w:lang w:eastAsia="zh-CN"/>
        </w:rPr>
      </w:pPr>
    </w:p>
    <w:p w14:paraId="5653049E" w14:textId="77777777" w:rsidR="004E65A9" w:rsidRPr="00BD1AD5" w:rsidRDefault="004E65A9" w:rsidP="003F09AA">
      <w:pPr>
        <w:suppressAutoHyphens/>
        <w:rPr>
          <w:b/>
        </w:rPr>
      </w:pPr>
      <w:r>
        <w:rPr>
          <w:b/>
        </w:rPr>
        <w:t>Les nøye gjennom dette pakningsvedlegget før du begynner å bruke dette legemidlet. Det inneholder informasjon som er viktig for deg.</w:t>
      </w:r>
    </w:p>
    <w:p w14:paraId="49E503C7" w14:textId="77777777" w:rsidR="004E65A9" w:rsidRPr="00BD1AD5" w:rsidRDefault="004E65A9" w:rsidP="003F09AA">
      <w:pPr>
        <w:numPr>
          <w:ilvl w:val="0"/>
          <w:numId w:val="27"/>
        </w:numPr>
        <w:ind w:left="567" w:hanging="567"/>
        <w:contextualSpacing/>
      </w:pPr>
      <w:r>
        <w:t>Ta vare på dette pakningsvedlegget. Du kan få behov for å lese det igjen.</w:t>
      </w:r>
    </w:p>
    <w:p w14:paraId="71CED616" w14:textId="77777777" w:rsidR="004E65A9" w:rsidRPr="00BD1AD5" w:rsidRDefault="004E65A9" w:rsidP="003F09AA">
      <w:pPr>
        <w:numPr>
          <w:ilvl w:val="0"/>
          <w:numId w:val="27"/>
        </w:numPr>
        <w:ind w:left="567" w:hanging="567"/>
        <w:contextualSpacing/>
      </w:pPr>
      <w:r>
        <w:t>Spør lege, apotek eller sykepleier hvis du har flere spørsmål eller trenger mer informasjon.</w:t>
      </w:r>
    </w:p>
    <w:p w14:paraId="26F8004E" w14:textId="77777777" w:rsidR="004E65A9" w:rsidRPr="00BD1AD5" w:rsidRDefault="004E65A9" w:rsidP="003F09AA">
      <w:pPr>
        <w:numPr>
          <w:ilvl w:val="0"/>
          <w:numId w:val="27"/>
        </w:numPr>
        <w:ind w:left="567" w:hanging="567"/>
        <w:contextualSpacing/>
      </w:pPr>
      <w:r>
        <w:t>Dette legemidlet er skrevet ut kun til deg. Ikke gi det videre til andre. Det kan skade dem, selv om de har symptomer på sykdom som ligner dine.</w:t>
      </w:r>
    </w:p>
    <w:p w14:paraId="133082FC" w14:textId="77777777" w:rsidR="004E65A9" w:rsidRPr="00BD1AD5" w:rsidRDefault="004E65A9" w:rsidP="003F09AA">
      <w:pPr>
        <w:numPr>
          <w:ilvl w:val="0"/>
          <w:numId w:val="27"/>
        </w:numPr>
        <w:ind w:left="567" w:hanging="567"/>
      </w:pPr>
      <w:r>
        <w:t>Kontakt lege, apotek eller sykepleier dersom du opplever bivirkninger, inkludert mulige bivirkninger som ikke er nevnt i dette pakningsvedlegget. Se avsnitt 4.</w:t>
      </w:r>
    </w:p>
    <w:p w14:paraId="471DBE6F" w14:textId="77777777" w:rsidR="004E65A9" w:rsidRPr="00BD1AD5" w:rsidRDefault="004E65A9" w:rsidP="003F09AA">
      <w:pPr>
        <w:ind w:right="-2"/>
      </w:pPr>
    </w:p>
    <w:p w14:paraId="5B1F8DB3" w14:textId="77777777" w:rsidR="004E65A9" w:rsidRPr="00BD1AD5" w:rsidRDefault="004E65A9" w:rsidP="003F09AA">
      <w:pPr>
        <w:keepNext/>
        <w:rPr>
          <w:b/>
        </w:rPr>
      </w:pPr>
      <w:r>
        <w:rPr>
          <w:b/>
        </w:rPr>
        <w:t>I dette pakningsvedlegget finner du informasjon om:</w:t>
      </w:r>
    </w:p>
    <w:p w14:paraId="648C0303" w14:textId="77777777" w:rsidR="004E65A9" w:rsidRPr="00BD1AD5" w:rsidRDefault="004E65A9" w:rsidP="003F09AA">
      <w:pPr>
        <w:keepNext/>
      </w:pPr>
    </w:p>
    <w:p w14:paraId="6A5C7503" w14:textId="77777777" w:rsidR="004E65A9" w:rsidRPr="00BD1AD5" w:rsidRDefault="004E65A9" w:rsidP="003F09AA">
      <w:pPr>
        <w:numPr>
          <w:ilvl w:val="0"/>
          <w:numId w:val="40"/>
        </w:numPr>
      </w:pPr>
      <w:r>
        <w:t>Hva Otezla er og hva det brukes mot</w:t>
      </w:r>
    </w:p>
    <w:p w14:paraId="7801D5A5" w14:textId="77777777" w:rsidR="004E65A9" w:rsidRPr="00BD1AD5" w:rsidRDefault="004E65A9" w:rsidP="003F09AA">
      <w:pPr>
        <w:numPr>
          <w:ilvl w:val="0"/>
          <w:numId w:val="40"/>
        </w:numPr>
      </w:pPr>
      <w:r>
        <w:t>Hva du må vite før du bruker Otezla</w:t>
      </w:r>
    </w:p>
    <w:p w14:paraId="796E07CF" w14:textId="77777777" w:rsidR="004E65A9" w:rsidRPr="00BD1AD5" w:rsidRDefault="004E65A9" w:rsidP="003F09AA">
      <w:pPr>
        <w:numPr>
          <w:ilvl w:val="0"/>
          <w:numId w:val="40"/>
        </w:numPr>
      </w:pPr>
      <w:r>
        <w:t>Hvordan du bruker Otezla</w:t>
      </w:r>
    </w:p>
    <w:p w14:paraId="0D2E8D8F" w14:textId="77777777" w:rsidR="004E65A9" w:rsidRPr="00BD1AD5" w:rsidRDefault="004E65A9" w:rsidP="003F09AA">
      <w:pPr>
        <w:numPr>
          <w:ilvl w:val="0"/>
          <w:numId w:val="40"/>
        </w:numPr>
      </w:pPr>
      <w:r>
        <w:t>Mulige bivirkninger</w:t>
      </w:r>
    </w:p>
    <w:p w14:paraId="4DF95614" w14:textId="77777777" w:rsidR="004E65A9" w:rsidRPr="00BD1AD5" w:rsidRDefault="004E65A9" w:rsidP="003F09AA">
      <w:pPr>
        <w:keepNext/>
        <w:numPr>
          <w:ilvl w:val="0"/>
          <w:numId w:val="40"/>
        </w:numPr>
      </w:pPr>
      <w:r>
        <w:t>Hvordan du oppbevarer Otezla</w:t>
      </w:r>
    </w:p>
    <w:p w14:paraId="716820C5" w14:textId="77777777" w:rsidR="004E65A9" w:rsidRPr="00BD1AD5" w:rsidRDefault="004E65A9" w:rsidP="003F09AA">
      <w:pPr>
        <w:numPr>
          <w:ilvl w:val="0"/>
          <w:numId w:val="40"/>
        </w:numPr>
      </w:pPr>
      <w:r>
        <w:t>Innholdet i pakningen og ytterligere informasjon</w:t>
      </w:r>
    </w:p>
    <w:p w14:paraId="42BE07CC" w14:textId="77777777" w:rsidR="004E65A9" w:rsidRPr="00BD1AD5" w:rsidRDefault="004E65A9" w:rsidP="003F09AA">
      <w:pPr>
        <w:numPr>
          <w:ilvl w:val="12"/>
          <w:numId w:val="0"/>
        </w:numPr>
      </w:pPr>
    </w:p>
    <w:p w14:paraId="0F3DFC0C" w14:textId="77777777" w:rsidR="004E65A9" w:rsidRPr="00BD1AD5" w:rsidRDefault="004E65A9" w:rsidP="003F09AA">
      <w:pPr>
        <w:numPr>
          <w:ilvl w:val="12"/>
          <w:numId w:val="0"/>
        </w:numPr>
      </w:pPr>
    </w:p>
    <w:p w14:paraId="57FB1127" w14:textId="77777777" w:rsidR="004E65A9" w:rsidRPr="00BD1AD5" w:rsidRDefault="004E65A9" w:rsidP="003F09AA">
      <w:pPr>
        <w:keepNext/>
        <w:numPr>
          <w:ilvl w:val="12"/>
          <w:numId w:val="0"/>
        </w:numPr>
        <w:shd w:val="clear" w:color="auto" w:fill="FFFFFF"/>
        <w:ind w:left="562" w:hanging="562"/>
        <w:outlineLvl w:val="0"/>
        <w:rPr>
          <w:b/>
          <w:szCs w:val="24"/>
        </w:rPr>
      </w:pPr>
      <w:r>
        <w:rPr>
          <w:b/>
        </w:rPr>
        <w:t>1.</w:t>
      </w:r>
      <w:r>
        <w:rPr>
          <w:b/>
        </w:rPr>
        <w:tab/>
        <w:t>Hva Otezla er og hva det brukes mot</w:t>
      </w:r>
    </w:p>
    <w:p w14:paraId="55CDF93B" w14:textId="77777777" w:rsidR="004E65A9" w:rsidRPr="00BD1AD5" w:rsidRDefault="004E65A9" w:rsidP="003F09AA">
      <w:pPr>
        <w:keepNext/>
        <w:rPr>
          <w:rFonts w:eastAsia="SimSun"/>
          <w:b/>
          <w:noProof/>
          <w:lang w:eastAsia="zh-CN"/>
        </w:rPr>
      </w:pPr>
    </w:p>
    <w:p w14:paraId="59DF3422" w14:textId="77777777" w:rsidR="004E65A9" w:rsidRPr="00BD1AD5" w:rsidRDefault="004E65A9" w:rsidP="003F09AA">
      <w:pPr>
        <w:keepNext/>
        <w:rPr>
          <w:b/>
        </w:rPr>
      </w:pPr>
      <w:r>
        <w:rPr>
          <w:b/>
        </w:rPr>
        <w:t>Hva Otezla er</w:t>
      </w:r>
    </w:p>
    <w:p w14:paraId="62DFE52D" w14:textId="77777777" w:rsidR="004E65A9" w:rsidRPr="00BD1AD5" w:rsidRDefault="004E65A9" w:rsidP="003F09AA">
      <w:pPr>
        <w:ind w:right="-2"/>
      </w:pPr>
    </w:p>
    <w:p w14:paraId="4267CD9C" w14:textId="77777777" w:rsidR="004E65A9" w:rsidRPr="00BD1AD5" w:rsidRDefault="004E65A9" w:rsidP="003F09AA">
      <w:pPr>
        <w:ind w:right="-2"/>
      </w:pPr>
      <w:r>
        <w:t>Otezla inneholder virkestoffet apremilast. Dette tilhører en legemiddelgruppe som kalles fosfodiesterase 4-hemmere, som bidrar til å dempe betennelse.</w:t>
      </w:r>
    </w:p>
    <w:p w14:paraId="2347A07B" w14:textId="77777777" w:rsidR="004E65A9" w:rsidRPr="00BD1AD5" w:rsidRDefault="004E65A9" w:rsidP="003F09AA">
      <w:pPr>
        <w:ind w:right="-2"/>
      </w:pPr>
    </w:p>
    <w:p w14:paraId="0DE45B1D" w14:textId="77777777" w:rsidR="004E65A9" w:rsidRPr="00BD1AD5" w:rsidRDefault="004E65A9" w:rsidP="003F09AA">
      <w:pPr>
        <w:keepNext/>
        <w:ind w:right="-2"/>
        <w:rPr>
          <w:b/>
        </w:rPr>
      </w:pPr>
      <w:r>
        <w:rPr>
          <w:b/>
        </w:rPr>
        <w:t>Hva Otezla brukes mot</w:t>
      </w:r>
    </w:p>
    <w:p w14:paraId="0C882581" w14:textId="77777777" w:rsidR="004E65A9" w:rsidRPr="00BD1AD5" w:rsidRDefault="004E65A9" w:rsidP="003F09AA">
      <w:pPr>
        <w:keepNext/>
      </w:pPr>
    </w:p>
    <w:p w14:paraId="5E1381A8" w14:textId="77777777" w:rsidR="004E65A9" w:rsidRPr="00BD1AD5" w:rsidRDefault="004E65A9" w:rsidP="003F09AA">
      <w:pPr>
        <w:keepNext/>
      </w:pPr>
      <w:r>
        <w:t>Otezla brukes til å behandle voksne med følgende tilstander:</w:t>
      </w:r>
    </w:p>
    <w:p w14:paraId="2D61E1EC" w14:textId="77777777" w:rsidR="004E65A9" w:rsidRPr="00BD1AD5" w:rsidRDefault="004E65A9" w:rsidP="003F09AA">
      <w:pPr>
        <w:numPr>
          <w:ilvl w:val="0"/>
          <w:numId w:val="10"/>
        </w:numPr>
        <w:ind w:left="567" w:hanging="567"/>
      </w:pPr>
      <w:r>
        <w:rPr>
          <w:b/>
        </w:rPr>
        <w:t>Aktiv psoriasisartritt –</w:t>
      </w:r>
      <w:r>
        <w:t xml:space="preserve"> dersom du ikke kan bruke en annen type legemidler som kalles sykdomsmodifiserende antirevmatiske legemidler (DMARDs), eller dersom du har prøvd et av disse legemidlene og det ikke virket.</w:t>
      </w:r>
    </w:p>
    <w:p w14:paraId="1F24F70C" w14:textId="77777777" w:rsidR="004E65A9" w:rsidRPr="00BD1AD5" w:rsidRDefault="004E65A9" w:rsidP="003F09AA">
      <w:pPr>
        <w:pStyle w:val="StyleBullets"/>
      </w:pPr>
      <w:r>
        <w:rPr>
          <w:b/>
        </w:rPr>
        <w:t>Moderat til alvorlig kronisk plakkpsoriasis</w:t>
      </w:r>
      <w:r>
        <w:t xml:space="preserve"> – dersom du ikke kan bruke en av følgende behandlinger, eller dersom du har prøvd en av disse behandlingene og den ikke virket:</w:t>
      </w:r>
    </w:p>
    <w:p w14:paraId="682658CE" w14:textId="77777777" w:rsidR="004E65A9" w:rsidRPr="00BD1AD5" w:rsidRDefault="004E65A9" w:rsidP="003F09AA">
      <w:pPr>
        <w:numPr>
          <w:ilvl w:val="1"/>
          <w:numId w:val="9"/>
        </w:numPr>
        <w:tabs>
          <w:tab w:val="clear" w:pos="567"/>
          <w:tab w:val="left" w:pos="1134"/>
        </w:tabs>
        <w:ind w:left="1134" w:hanging="567"/>
      </w:pPr>
      <w:r>
        <w:t>lysbehandling – en behandling hvor visse hudområder utsettes for ultrafiolett lys</w:t>
      </w:r>
    </w:p>
    <w:p w14:paraId="2229C1B0" w14:textId="77777777" w:rsidR="004E65A9" w:rsidRPr="00BD1AD5" w:rsidRDefault="004E65A9" w:rsidP="003F09AA">
      <w:pPr>
        <w:keepNext/>
        <w:numPr>
          <w:ilvl w:val="1"/>
          <w:numId w:val="9"/>
        </w:numPr>
        <w:tabs>
          <w:tab w:val="clear" w:pos="567"/>
          <w:tab w:val="left" w:pos="1134"/>
        </w:tabs>
        <w:ind w:left="1134" w:hanging="567"/>
      </w:pPr>
      <w:r>
        <w:t>systemisk behandling – en behandling som påvirker hele kroppen, ikke bare et lokalt område, som ciklosporin, metotreksat eller psoralen.</w:t>
      </w:r>
    </w:p>
    <w:p w14:paraId="36F8312A" w14:textId="77777777" w:rsidR="004E65A9" w:rsidRDefault="004E65A9" w:rsidP="003F09AA">
      <w:pPr>
        <w:numPr>
          <w:ilvl w:val="0"/>
          <w:numId w:val="10"/>
        </w:numPr>
        <w:ind w:left="567" w:hanging="567"/>
        <w:rPr>
          <w:noProof/>
        </w:rPr>
      </w:pPr>
      <w:r>
        <w:rPr>
          <w:b/>
        </w:rPr>
        <w:t>Behcets sykdom (BD)</w:t>
      </w:r>
      <w:r>
        <w:t xml:space="preserve"> – for å behandle sår i munnen som er et vanlig problem for personer med denne sykdommen.</w:t>
      </w:r>
    </w:p>
    <w:p w14:paraId="6A82E2E2" w14:textId="77777777" w:rsidR="004E65A9" w:rsidRPr="00503B56" w:rsidRDefault="004E65A9" w:rsidP="003F09AA">
      <w:pPr>
        <w:rPr>
          <w:noProof/>
        </w:rPr>
      </w:pPr>
    </w:p>
    <w:p w14:paraId="3A46F502" w14:textId="77777777" w:rsidR="004E65A9" w:rsidRPr="007E5954" w:rsidRDefault="004E65A9" w:rsidP="003F09AA">
      <w:pPr>
        <w:keepNext/>
        <w:ind w:right="-2"/>
      </w:pPr>
      <w:r>
        <w:t>Otezla brukes til behandling av barn og ungdom som er 6 år og eldre og som veier minst 20 kg, med følgende tilstand</w:t>
      </w:r>
    </w:p>
    <w:p w14:paraId="4F321FB3" w14:textId="77777777" w:rsidR="004E65A9" w:rsidRPr="000A78B7" w:rsidRDefault="004E65A9" w:rsidP="003F09AA">
      <w:pPr>
        <w:numPr>
          <w:ilvl w:val="0"/>
          <w:numId w:val="41"/>
        </w:numPr>
        <w:tabs>
          <w:tab w:val="clear" w:pos="567"/>
        </w:tabs>
        <w:ind w:left="567" w:right="-2" w:hanging="567"/>
      </w:pPr>
      <w:r>
        <w:rPr>
          <w:b/>
        </w:rPr>
        <w:t xml:space="preserve">Moderat til alvorlig plakkpsoriasis – </w:t>
      </w:r>
      <w:r>
        <w:t>hvis legen din bestemmer at det er hensiktsmessig for deg å ta en systemisk behandling som Otezla.</w:t>
      </w:r>
    </w:p>
    <w:p w14:paraId="50F6E4ED" w14:textId="77777777" w:rsidR="004E65A9" w:rsidRDefault="004E65A9" w:rsidP="003F09AA">
      <w:pPr>
        <w:tabs>
          <w:tab w:val="clear" w:pos="567"/>
        </w:tabs>
        <w:ind w:left="567" w:right="-2"/>
        <w:rPr>
          <w:b/>
          <w:bCs/>
        </w:rPr>
      </w:pPr>
    </w:p>
    <w:p w14:paraId="2AB93C34" w14:textId="77777777" w:rsidR="004E65A9" w:rsidRPr="00BD1AD5" w:rsidRDefault="004E65A9" w:rsidP="003F09AA">
      <w:pPr>
        <w:keepNext/>
        <w:rPr>
          <w:b/>
        </w:rPr>
      </w:pPr>
      <w:r>
        <w:rPr>
          <w:b/>
        </w:rPr>
        <w:lastRenderedPageBreak/>
        <w:t>Hva psoriasisartritt er</w:t>
      </w:r>
    </w:p>
    <w:p w14:paraId="1F476425" w14:textId="77777777" w:rsidR="004E65A9" w:rsidRPr="00BD1AD5" w:rsidRDefault="004E65A9" w:rsidP="003F09AA">
      <w:pPr>
        <w:keepNext/>
        <w:ind w:right="-2"/>
        <w:rPr>
          <w:rFonts w:eastAsia="SimSun"/>
        </w:rPr>
      </w:pPr>
    </w:p>
    <w:p w14:paraId="10D99D56" w14:textId="77777777" w:rsidR="004E65A9" w:rsidRPr="00BD1AD5" w:rsidRDefault="004E65A9" w:rsidP="003F09AA">
      <w:pPr>
        <w:ind w:right="-2"/>
        <w:rPr>
          <w:rFonts w:eastAsia="SimSun"/>
        </w:rPr>
      </w:pPr>
      <w:r>
        <w:t>Psoriasisartritt er en betennelsessykdom i leddene, vanligvis med psoriasis, som er en betennelsessykdom i huden.</w:t>
      </w:r>
    </w:p>
    <w:p w14:paraId="0775A112" w14:textId="77777777" w:rsidR="004E65A9" w:rsidRPr="00BD1AD5" w:rsidRDefault="004E65A9" w:rsidP="003F09AA">
      <w:pPr>
        <w:ind w:right="-2"/>
      </w:pPr>
    </w:p>
    <w:p w14:paraId="46B0E530" w14:textId="77777777" w:rsidR="004E65A9" w:rsidRPr="00BD1AD5" w:rsidRDefault="004E65A9" w:rsidP="003F09AA">
      <w:pPr>
        <w:keepNext/>
        <w:rPr>
          <w:b/>
        </w:rPr>
      </w:pPr>
      <w:r>
        <w:rPr>
          <w:b/>
        </w:rPr>
        <w:t>Hva plakkpsoriasis er</w:t>
      </w:r>
    </w:p>
    <w:p w14:paraId="0B553E61" w14:textId="77777777" w:rsidR="004E65A9" w:rsidRPr="00BD1AD5" w:rsidRDefault="004E65A9" w:rsidP="003F09AA">
      <w:pPr>
        <w:keepNext/>
        <w:ind w:right="-2"/>
        <w:rPr>
          <w:rFonts w:eastAsia="SimSun"/>
        </w:rPr>
      </w:pPr>
    </w:p>
    <w:p w14:paraId="6046BDD8" w14:textId="77777777" w:rsidR="004E65A9" w:rsidRPr="00BD1AD5" w:rsidRDefault="004E65A9" w:rsidP="003F09AA">
      <w:pPr>
        <w:ind w:right="-2"/>
      </w:pPr>
      <w:r>
        <w:t>Psoriasis er en betennelsessykdom i huden, som kan gi røde, flassende, tykke, kløende, smertefulle flekker på huden og også kan ramme hodebunnen og neglene.</w:t>
      </w:r>
    </w:p>
    <w:p w14:paraId="14EDE090" w14:textId="77777777" w:rsidR="004E65A9" w:rsidRPr="00BD1AD5" w:rsidRDefault="004E65A9" w:rsidP="003F09AA">
      <w:pPr>
        <w:ind w:right="-2"/>
      </w:pPr>
    </w:p>
    <w:p w14:paraId="04CCA6AB" w14:textId="77777777" w:rsidR="004E65A9" w:rsidRPr="00BD1AD5" w:rsidRDefault="004E65A9" w:rsidP="003F09AA">
      <w:pPr>
        <w:keepNext/>
        <w:rPr>
          <w:b/>
        </w:rPr>
      </w:pPr>
      <w:r>
        <w:rPr>
          <w:b/>
        </w:rPr>
        <w:t>Hva Behcets sykdom er</w:t>
      </w:r>
    </w:p>
    <w:p w14:paraId="3A22A3FF" w14:textId="77777777" w:rsidR="004E65A9" w:rsidRPr="00BD1AD5" w:rsidRDefault="004E65A9" w:rsidP="003F09AA">
      <w:pPr>
        <w:keepNext/>
      </w:pPr>
    </w:p>
    <w:p w14:paraId="5DFA381D" w14:textId="77777777" w:rsidR="004E65A9" w:rsidRPr="00BD1AD5" w:rsidRDefault="004E65A9" w:rsidP="003F09AA">
      <w:r>
        <w:t>Behcets sykdom er en sjelden type inflammatorisk sykdom som påvirker mange deler av kroppen. Det vanligste problemet er sår i munnen.</w:t>
      </w:r>
    </w:p>
    <w:p w14:paraId="63479F81" w14:textId="77777777" w:rsidR="004E65A9" w:rsidRPr="00BD1AD5" w:rsidRDefault="004E65A9" w:rsidP="003F09AA">
      <w:pPr>
        <w:ind w:right="-2"/>
      </w:pPr>
    </w:p>
    <w:p w14:paraId="4DBEF214" w14:textId="77777777" w:rsidR="004E65A9" w:rsidRPr="00BD1AD5" w:rsidRDefault="004E65A9" w:rsidP="003F09AA">
      <w:pPr>
        <w:keepNext/>
        <w:rPr>
          <w:b/>
        </w:rPr>
      </w:pPr>
      <w:r>
        <w:rPr>
          <w:b/>
        </w:rPr>
        <w:t>Hvordan Otezla virker</w:t>
      </w:r>
    </w:p>
    <w:p w14:paraId="3159B76B" w14:textId="77777777" w:rsidR="004E65A9" w:rsidRPr="00BD1AD5" w:rsidRDefault="004E65A9" w:rsidP="003F09AA">
      <w:pPr>
        <w:keepNext/>
        <w:tabs>
          <w:tab w:val="clear" w:pos="567"/>
        </w:tabs>
        <w:autoSpaceDE w:val="0"/>
        <w:autoSpaceDN w:val="0"/>
        <w:adjustRightInd w:val="0"/>
      </w:pPr>
    </w:p>
    <w:p w14:paraId="59DE48A7" w14:textId="77777777" w:rsidR="004E65A9" w:rsidRPr="00BD1AD5" w:rsidRDefault="004E65A9" w:rsidP="003F09AA">
      <w:pPr>
        <w:tabs>
          <w:tab w:val="clear" w:pos="567"/>
        </w:tabs>
        <w:autoSpaceDE w:val="0"/>
        <w:autoSpaceDN w:val="0"/>
        <w:adjustRightInd w:val="0"/>
      </w:pPr>
      <w:r>
        <w:t>Psoriasisartritt, psoriasis og Behcets sykdom er vanligvis livsvarige tilstander, og det foreligger for tiden ingen kur. Otezla virker ved å redusere aktiviteten til et enzym i kroppen som kalles fosfodiesterase 4, som er involvert i betennelsesprosessen. Ved å redusere aktiviteten til dette enzymet, kan Otezla bidra til å kontrollere betennelsen som er forbundet med psoriasisartritt, psoriasis og Behcets sykdom, og dermed redusere tegn og symptomer ved disse tilstandene.</w:t>
      </w:r>
    </w:p>
    <w:p w14:paraId="3F962521" w14:textId="77777777" w:rsidR="004E65A9" w:rsidRPr="00BD1AD5" w:rsidRDefault="004E65A9" w:rsidP="003F09AA">
      <w:pPr>
        <w:tabs>
          <w:tab w:val="clear" w:pos="567"/>
        </w:tabs>
        <w:autoSpaceDE w:val="0"/>
        <w:autoSpaceDN w:val="0"/>
        <w:adjustRightInd w:val="0"/>
      </w:pPr>
    </w:p>
    <w:p w14:paraId="7E1B437E" w14:textId="77777777" w:rsidR="004E65A9" w:rsidRPr="00BD1AD5" w:rsidRDefault="004E65A9" w:rsidP="003F09AA">
      <w:pPr>
        <w:tabs>
          <w:tab w:val="clear" w:pos="567"/>
        </w:tabs>
        <w:autoSpaceDE w:val="0"/>
        <w:autoSpaceDN w:val="0"/>
        <w:adjustRightInd w:val="0"/>
      </w:pPr>
      <w:r>
        <w:t>Ved psoriasisartritt hos voksne gir behandling med Otezla bedring av hovne og smertefulle ledd, og det kan gi bedre generell fysisk funksjon.</w:t>
      </w:r>
    </w:p>
    <w:p w14:paraId="76F9372D" w14:textId="77777777" w:rsidR="004E65A9" w:rsidRPr="00BD1AD5" w:rsidRDefault="004E65A9" w:rsidP="003F09AA">
      <w:pPr>
        <w:tabs>
          <w:tab w:val="clear" w:pos="567"/>
        </w:tabs>
        <w:autoSpaceDE w:val="0"/>
        <w:autoSpaceDN w:val="0"/>
        <w:adjustRightInd w:val="0"/>
      </w:pPr>
    </w:p>
    <w:p w14:paraId="51C6A3AC" w14:textId="77777777" w:rsidR="004E65A9" w:rsidRPr="00BD1AD5" w:rsidRDefault="004E65A9" w:rsidP="003F09AA">
      <w:pPr>
        <w:tabs>
          <w:tab w:val="clear" w:pos="567"/>
        </w:tabs>
        <w:autoSpaceDE w:val="0"/>
        <w:autoSpaceDN w:val="0"/>
        <w:adjustRightInd w:val="0"/>
        <w:rPr>
          <w:b/>
        </w:rPr>
      </w:pPr>
      <w:r>
        <w:t>Ved psoriasis hos voksne og hos barn og ungdom fra 6 års alder og som veier minst 20 kg, gir behandling med Otezla en reduksjon av psoriasishudplakk og andre tegn og symptomer ved sykdommen.</w:t>
      </w:r>
    </w:p>
    <w:p w14:paraId="4C81CDBB" w14:textId="77777777" w:rsidR="004E65A9" w:rsidRPr="00BD1AD5" w:rsidRDefault="004E65A9" w:rsidP="003F09AA">
      <w:pPr>
        <w:tabs>
          <w:tab w:val="clear" w:pos="567"/>
        </w:tabs>
        <w:autoSpaceDE w:val="0"/>
        <w:autoSpaceDN w:val="0"/>
        <w:adjustRightInd w:val="0"/>
        <w:rPr>
          <w:b/>
        </w:rPr>
      </w:pPr>
    </w:p>
    <w:p w14:paraId="2ABE6D61" w14:textId="77777777" w:rsidR="004E65A9" w:rsidRPr="00BD1AD5" w:rsidRDefault="004E65A9" w:rsidP="003F09AA">
      <w:pPr>
        <w:tabs>
          <w:tab w:val="clear" w:pos="567"/>
          <w:tab w:val="left" w:pos="0"/>
        </w:tabs>
        <w:autoSpaceDE w:val="0"/>
        <w:autoSpaceDN w:val="0"/>
        <w:adjustRightInd w:val="0"/>
      </w:pPr>
      <w:r>
        <w:t>Ved Behcets sykdom hos voksne gir behandling med Otezla redusert antall sår i munnen, og kan stoppe dem helt. Det kan også redusere de medfølgende smertene.</w:t>
      </w:r>
    </w:p>
    <w:p w14:paraId="6676F209" w14:textId="77777777" w:rsidR="004E65A9" w:rsidRPr="00BD1AD5" w:rsidRDefault="004E65A9" w:rsidP="003F09AA">
      <w:pPr>
        <w:tabs>
          <w:tab w:val="clear" w:pos="567"/>
        </w:tabs>
        <w:autoSpaceDE w:val="0"/>
        <w:autoSpaceDN w:val="0"/>
        <w:adjustRightInd w:val="0"/>
      </w:pPr>
    </w:p>
    <w:p w14:paraId="7C302E44" w14:textId="77777777" w:rsidR="004E65A9" w:rsidRPr="00BD1AD5" w:rsidRDefault="004E65A9" w:rsidP="003F09AA">
      <w:pPr>
        <w:ind w:right="-2"/>
      </w:pPr>
      <w:r>
        <w:t>Det er også vist at Otezla bedrer livskvaliteten hos voksne og pediatriske pasienter med psoriasis, voksne pasienter med psoriasisartritt og voksne pasienter med Behcets sykdom. Dette innebærer at tilstanden i mindre grad enn før påvirker daglige gjøremål, relasjoner og andre faktorer.</w:t>
      </w:r>
    </w:p>
    <w:p w14:paraId="5F6BCF3A" w14:textId="77777777" w:rsidR="004E65A9" w:rsidRPr="00BD1AD5" w:rsidRDefault="004E65A9" w:rsidP="003F09AA">
      <w:pPr>
        <w:ind w:right="-2"/>
        <w:rPr>
          <w:szCs w:val="24"/>
        </w:rPr>
      </w:pPr>
    </w:p>
    <w:p w14:paraId="45F9CCE5" w14:textId="77777777" w:rsidR="004E65A9" w:rsidRPr="00BD1AD5" w:rsidRDefault="004E65A9" w:rsidP="003F09AA">
      <w:pPr>
        <w:ind w:right="-2"/>
        <w:rPr>
          <w:szCs w:val="24"/>
        </w:rPr>
      </w:pPr>
    </w:p>
    <w:p w14:paraId="1B364B74" w14:textId="77777777" w:rsidR="004E65A9" w:rsidRPr="00BD1AD5" w:rsidRDefault="004E65A9" w:rsidP="003F09AA">
      <w:pPr>
        <w:keepNext/>
        <w:numPr>
          <w:ilvl w:val="12"/>
          <w:numId w:val="0"/>
        </w:numPr>
        <w:shd w:val="clear" w:color="auto" w:fill="FFFFFF"/>
        <w:ind w:left="562" w:hanging="562"/>
        <w:outlineLvl w:val="0"/>
        <w:rPr>
          <w:b/>
          <w:szCs w:val="24"/>
        </w:rPr>
      </w:pPr>
      <w:r>
        <w:rPr>
          <w:b/>
        </w:rPr>
        <w:t>2.</w:t>
      </w:r>
      <w:r>
        <w:rPr>
          <w:b/>
        </w:rPr>
        <w:tab/>
        <w:t>Hva du må vite før du bruker Otezla</w:t>
      </w:r>
    </w:p>
    <w:p w14:paraId="0CF967F4" w14:textId="77777777" w:rsidR="004E65A9" w:rsidRPr="00BD1AD5" w:rsidRDefault="004E65A9" w:rsidP="003F09AA">
      <w:pPr>
        <w:keepNext/>
        <w:rPr>
          <w:rFonts w:eastAsia="SimSun"/>
        </w:rPr>
      </w:pPr>
    </w:p>
    <w:p w14:paraId="5715A1B4" w14:textId="77777777" w:rsidR="004E65A9" w:rsidRPr="00BD1AD5" w:rsidRDefault="004E65A9" w:rsidP="003F09AA">
      <w:pPr>
        <w:keepNext/>
        <w:rPr>
          <w:b/>
        </w:rPr>
      </w:pPr>
      <w:r>
        <w:rPr>
          <w:b/>
        </w:rPr>
        <w:t>Bruk ikke Otezla:</w:t>
      </w:r>
    </w:p>
    <w:p w14:paraId="73E95AB7" w14:textId="77777777" w:rsidR="004E65A9" w:rsidRPr="00BD1AD5" w:rsidRDefault="004E65A9" w:rsidP="003F09AA">
      <w:pPr>
        <w:keepNext/>
        <w:rPr>
          <w:b/>
        </w:rPr>
      </w:pPr>
    </w:p>
    <w:p w14:paraId="5A4A2700" w14:textId="77777777" w:rsidR="004E65A9" w:rsidRPr="00BD1AD5" w:rsidRDefault="004E65A9" w:rsidP="003F09AA">
      <w:pPr>
        <w:numPr>
          <w:ilvl w:val="0"/>
          <w:numId w:val="2"/>
        </w:numPr>
        <w:ind w:left="567" w:hanging="567"/>
        <w:contextualSpacing/>
      </w:pPr>
      <w:r>
        <w:t>dersom du er allergisk overfor apremilast eller noen av de andre innholdsstoffene i dette legemidlet (listet opp i avsnitt 6).</w:t>
      </w:r>
    </w:p>
    <w:p w14:paraId="69C7030A" w14:textId="77777777" w:rsidR="004E65A9" w:rsidRPr="00BD1AD5" w:rsidRDefault="004E65A9" w:rsidP="003F09AA">
      <w:pPr>
        <w:numPr>
          <w:ilvl w:val="0"/>
          <w:numId w:val="2"/>
        </w:numPr>
        <w:ind w:left="567" w:hanging="567"/>
        <w:contextualSpacing/>
      </w:pPr>
      <w:r>
        <w:t>dersom du er gravid eller tror at du kan være gravid.</w:t>
      </w:r>
    </w:p>
    <w:p w14:paraId="12CC80E2" w14:textId="77777777" w:rsidR="004E65A9" w:rsidRPr="00BD1AD5" w:rsidRDefault="004E65A9" w:rsidP="003F09AA"/>
    <w:p w14:paraId="4A79274E" w14:textId="77777777" w:rsidR="004E65A9" w:rsidRPr="00BD1AD5" w:rsidRDefault="004E65A9" w:rsidP="003F09AA">
      <w:pPr>
        <w:keepNext/>
        <w:rPr>
          <w:b/>
        </w:rPr>
      </w:pPr>
      <w:r>
        <w:rPr>
          <w:b/>
        </w:rPr>
        <w:t>Advarsler og forsiktighetsregler</w:t>
      </w:r>
    </w:p>
    <w:p w14:paraId="24E5C6EF" w14:textId="77777777" w:rsidR="004E65A9" w:rsidRPr="00BD1AD5" w:rsidRDefault="004E65A9" w:rsidP="003F09AA">
      <w:pPr>
        <w:keepNext/>
      </w:pPr>
    </w:p>
    <w:p w14:paraId="1E0D925F" w14:textId="77777777" w:rsidR="004E65A9" w:rsidRPr="00BD1AD5" w:rsidRDefault="004E65A9" w:rsidP="003F09AA">
      <w:r>
        <w:t>Snakk med lege eller apotek før du bruker Otezla.</w:t>
      </w:r>
    </w:p>
    <w:p w14:paraId="09B50E4C" w14:textId="77777777" w:rsidR="004E65A9" w:rsidRPr="00BD1AD5" w:rsidRDefault="004E65A9" w:rsidP="003F09AA">
      <w:pPr>
        <w:rPr>
          <w:u w:val="single"/>
        </w:rPr>
      </w:pPr>
    </w:p>
    <w:p w14:paraId="01F22D8A" w14:textId="77777777" w:rsidR="004E65A9" w:rsidRPr="00BD1AD5" w:rsidRDefault="004E65A9" w:rsidP="003F09AA">
      <w:pPr>
        <w:keepNext/>
        <w:tabs>
          <w:tab w:val="clear" w:pos="567"/>
        </w:tabs>
        <w:rPr>
          <w:b/>
        </w:rPr>
      </w:pPr>
      <w:r>
        <w:rPr>
          <w:b/>
        </w:rPr>
        <w:t>Depresjon og selvmordstanker</w:t>
      </w:r>
    </w:p>
    <w:p w14:paraId="42C9B5E3" w14:textId="77777777" w:rsidR="004E65A9" w:rsidRPr="00BD1AD5" w:rsidRDefault="004E65A9" w:rsidP="003F09AA">
      <w:pPr>
        <w:keepNext/>
        <w:tabs>
          <w:tab w:val="clear" w:pos="567"/>
        </w:tabs>
      </w:pPr>
    </w:p>
    <w:p w14:paraId="4F53AC7E" w14:textId="77777777" w:rsidR="004E65A9" w:rsidRPr="00BD1AD5" w:rsidRDefault="004E65A9" w:rsidP="003F09AA">
      <w:pPr>
        <w:tabs>
          <w:tab w:val="clear" w:pos="567"/>
        </w:tabs>
      </w:pPr>
      <w:r>
        <w:t>Fortell legen din før du begynner Otezla hvis du har depresjon som blir verre og du opplever å ha tanker om selvmord.</w:t>
      </w:r>
    </w:p>
    <w:p w14:paraId="580D4540" w14:textId="77777777" w:rsidR="004E65A9" w:rsidRPr="00BD1AD5" w:rsidRDefault="004E65A9" w:rsidP="003F09AA">
      <w:pPr>
        <w:tabs>
          <w:tab w:val="clear" w:pos="567"/>
        </w:tabs>
      </w:pPr>
    </w:p>
    <w:p w14:paraId="10267C2C" w14:textId="77777777" w:rsidR="004E65A9" w:rsidRPr="00BD1AD5" w:rsidRDefault="004E65A9" w:rsidP="003F09AA">
      <w:pPr>
        <w:tabs>
          <w:tab w:val="clear" w:pos="567"/>
        </w:tabs>
      </w:pPr>
      <w:r>
        <w:t>Du eller din omsorgsperson bør også umiddelbart fortelle legen om eventuelle endringer i atferd eller sinnsstemning, følelse av depresjonen og eventuelle selvmordstanker du kan ha etter å ha tatt Otezla.</w:t>
      </w:r>
    </w:p>
    <w:p w14:paraId="2F76683F" w14:textId="77777777" w:rsidR="004E65A9" w:rsidRPr="00BD1AD5" w:rsidRDefault="004E65A9" w:rsidP="003F09AA">
      <w:pPr>
        <w:rPr>
          <w:u w:val="single"/>
        </w:rPr>
      </w:pPr>
    </w:p>
    <w:p w14:paraId="6C89FE91" w14:textId="77777777" w:rsidR="004E65A9" w:rsidRPr="00BD1AD5" w:rsidRDefault="004E65A9" w:rsidP="003F09AA">
      <w:pPr>
        <w:keepNext/>
        <w:rPr>
          <w:b/>
        </w:rPr>
      </w:pPr>
      <w:r>
        <w:rPr>
          <w:b/>
        </w:rPr>
        <w:t>Alvorlige nyreproblemer</w:t>
      </w:r>
    </w:p>
    <w:p w14:paraId="04F7FE09" w14:textId="77777777" w:rsidR="004E65A9" w:rsidRPr="00BD1AD5" w:rsidRDefault="004E65A9" w:rsidP="003F09AA">
      <w:pPr>
        <w:keepNext/>
        <w:tabs>
          <w:tab w:val="clear" w:pos="567"/>
        </w:tabs>
      </w:pPr>
    </w:p>
    <w:p w14:paraId="38D94E66" w14:textId="77777777" w:rsidR="004E65A9" w:rsidRPr="00BD1AD5" w:rsidRDefault="004E65A9" w:rsidP="003F09AA">
      <w:pPr>
        <w:tabs>
          <w:tab w:val="clear" w:pos="567"/>
        </w:tabs>
      </w:pPr>
      <w:r>
        <w:t>Hvis du har alvorlige nyreproblemer, skal dosen din endres – se avsnitt 3.</w:t>
      </w:r>
    </w:p>
    <w:p w14:paraId="03A18290" w14:textId="77777777" w:rsidR="004E65A9" w:rsidRPr="00BD1AD5" w:rsidRDefault="004E65A9" w:rsidP="003F09AA">
      <w:pPr>
        <w:rPr>
          <w:u w:val="single"/>
        </w:rPr>
      </w:pPr>
    </w:p>
    <w:p w14:paraId="661A8A2E" w14:textId="77777777" w:rsidR="004E65A9" w:rsidRPr="00BD1AD5" w:rsidRDefault="004E65A9" w:rsidP="003F09AA">
      <w:pPr>
        <w:pStyle w:val="LUTOtabletext"/>
        <w:keepNext/>
        <w:spacing w:after="0" w:line="240" w:lineRule="auto"/>
        <w:ind w:right="113"/>
        <w:rPr>
          <w:rFonts w:ascii="Times New Roman" w:eastAsia="Times New Roman" w:hAnsi="Times New Roman" w:cs="Times New Roman"/>
          <w:szCs w:val="20"/>
        </w:rPr>
      </w:pPr>
      <w:r>
        <w:rPr>
          <w:rFonts w:ascii="Times New Roman" w:hAnsi="Times New Roman"/>
          <w:b/>
        </w:rPr>
        <w:t>Hvis du er undervektig</w:t>
      </w:r>
    </w:p>
    <w:p w14:paraId="2333E592" w14:textId="77777777" w:rsidR="004E65A9" w:rsidRPr="000B27C9" w:rsidRDefault="004E65A9" w:rsidP="003F09AA">
      <w:pPr>
        <w:pStyle w:val="LUTOtabletext"/>
        <w:keepNext/>
        <w:spacing w:after="0" w:line="240" w:lineRule="auto"/>
        <w:ind w:right="113"/>
        <w:rPr>
          <w:rFonts w:ascii="Times New Roman" w:eastAsia="Times New Roman" w:hAnsi="Times New Roman" w:cs="Times New Roman"/>
          <w:szCs w:val="20"/>
        </w:rPr>
      </w:pPr>
    </w:p>
    <w:p w14:paraId="18FAEA3B" w14:textId="77777777" w:rsidR="004E65A9" w:rsidRPr="00BD1AD5" w:rsidRDefault="004E65A9" w:rsidP="003F09AA">
      <w:r>
        <w:t>Snakk med legen din hvis du utilsiktet går ned i vekt mens du tar Otezla.</w:t>
      </w:r>
    </w:p>
    <w:p w14:paraId="6CF8AB41" w14:textId="77777777" w:rsidR="004E65A9" w:rsidRPr="00BD1AD5" w:rsidRDefault="004E65A9" w:rsidP="003F09AA">
      <w:pPr>
        <w:rPr>
          <w:u w:val="single"/>
        </w:rPr>
      </w:pPr>
    </w:p>
    <w:p w14:paraId="1ACEC3F1" w14:textId="77777777" w:rsidR="004E65A9" w:rsidRPr="00BD1AD5" w:rsidRDefault="004E65A9" w:rsidP="003F09AA">
      <w:pPr>
        <w:pStyle w:val="LUTOtabletext"/>
        <w:keepNext/>
        <w:spacing w:after="0" w:line="240" w:lineRule="auto"/>
        <w:ind w:right="113"/>
        <w:rPr>
          <w:rFonts w:ascii="Times New Roman" w:eastAsia="Times New Roman" w:hAnsi="Times New Roman" w:cs="Times New Roman"/>
          <w:szCs w:val="20"/>
        </w:rPr>
      </w:pPr>
      <w:r>
        <w:rPr>
          <w:rFonts w:ascii="Times New Roman" w:hAnsi="Times New Roman"/>
          <w:b/>
        </w:rPr>
        <w:t>Mageproblemer</w:t>
      </w:r>
    </w:p>
    <w:p w14:paraId="093FBA9D" w14:textId="77777777" w:rsidR="004E65A9" w:rsidRPr="00BD1AD5" w:rsidRDefault="004E65A9" w:rsidP="003F09AA">
      <w:pPr>
        <w:keepNext/>
        <w:rPr>
          <w:noProof/>
        </w:rPr>
      </w:pPr>
    </w:p>
    <w:p w14:paraId="6CE6C624" w14:textId="77777777" w:rsidR="004E65A9" w:rsidRPr="00BD1AD5" w:rsidRDefault="004E65A9" w:rsidP="003F09AA">
      <w:pPr>
        <w:rPr>
          <w:noProof/>
        </w:rPr>
      </w:pPr>
      <w:r>
        <w:t>Snakk med legen din hvis du får alvorlig diaré, kvalme eller oppkast.</w:t>
      </w:r>
    </w:p>
    <w:p w14:paraId="6C4C3A41" w14:textId="77777777" w:rsidR="004E65A9" w:rsidRPr="00BD1AD5" w:rsidRDefault="004E65A9" w:rsidP="003F09AA">
      <w:pPr>
        <w:rPr>
          <w:noProof/>
        </w:rPr>
      </w:pPr>
    </w:p>
    <w:p w14:paraId="4363AE19" w14:textId="77777777" w:rsidR="004E65A9" w:rsidRPr="00BD1AD5" w:rsidRDefault="004E65A9" w:rsidP="003F09AA">
      <w:pPr>
        <w:keepNext/>
        <w:numPr>
          <w:ilvl w:val="12"/>
          <w:numId w:val="0"/>
        </w:numPr>
        <w:rPr>
          <w:b/>
        </w:rPr>
      </w:pPr>
      <w:r>
        <w:rPr>
          <w:b/>
        </w:rPr>
        <w:t>Barn og ungdom</w:t>
      </w:r>
    </w:p>
    <w:p w14:paraId="621AD0DE" w14:textId="77777777" w:rsidR="004E65A9" w:rsidRPr="00BD1AD5" w:rsidRDefault="004E65A9" w:rsidP="003F09AA">
      <w:pPr>
        <w:keepNext/>
        <w:numPr>
          <w:ilvl w:val="12"/>
          <w:numId w:val="0"/>
        </w:numPr>
        <w:ind w:right="-2"/>
      </w:pPr>
    </w:p>
    <w:p w14:paraId="39CBC20B" w14:textId="77777777" w:rsidR="004E65A9" w:rsidRDefault="004E65A9" w:rsidP="003F09AA">
      <w:r>
        <w:t>Otezla anbefales ikke til bruk hos barn som har moderat til alvorlig plakkpsoriasis og som er under 6 år eller veier mindre enn 20 kg, fordi det ikke er undersøkt i disse alders- og vektgruppene.</w:t>
      </w:r>
    </w:p>
    <w:p w14:paraId="58E00154" w14:textId="77777777" w:rsidR="004E65A9" w:rsidRDefault="004E65A9" w:rsidP="003F09AA">
      <w:pPr>
        <w:numPr>
          <w:ilvl w:val="12"/>
          <w:numId w:val="0"/>
        </w:numPr>
        <w:ind w:right="-2"/>
      </w:pPr>
    </w:p>
    <w:p w14:paraId="249FCB7C" w14:textId="77777777" w:rsidR="004E65A9" w:rsidRPr="00394DF8" w:rsidRDefault="004E65A9" w:rsidP="003F09AA">
      <w:r>
        <w:t>Otezla anbefales ikke til bruk hos barn og ungdom under 18 år ved andre indikasjoner, fordi sikkerhet og effekt ikke er fastslått i denne aldersgruppen.</w:t>
      </w:r>
    </w:p>
    <w:p w14:paraId="214E10F7" w14:textId="77777777" w:rsidR="004E65A9" w:rsidRPr="00BD1AD5" w:rsidRDefault="004E65A9" w:rsidP="003F09AA">
      <w:pPr>
        <w:numPr>
          <w:ilvl w:val="12"/>
          <w:numId w:val="0"/>
        </w:numPr>
        <w:ind w:right="-2"/>
      </w:pPr>
    </w:p>
    <w:p w14:paraId="4AEDA10E" w14:textId="77777777" w:rsidR="004E65A9" w:rsidRPr="00BD1AD5" w:rsidRDefault="004E65A9" w:rsidP="003F09AA">
      <w:pPr>
        <w:pStyle w:val="StyleSubheading"/>
      </w:pPr>
      <w:r>
        <w:t>Andre legemidler og Otezla</w:t>
      </w:r>
    </w:p>
    <w:p w14:paraId="19488150" w14:textId="77777777" w:rsidR="004E65A9" w:rsidRPr="00BD1AD5" w:rsidRDefault="004E65A9" w:rsidP="003F09AA">
      <w:pPr>
        <w:keepNext/>
        <w:numPr>
          <w:ilvl w:val="12"/>
          <w:numId w:val="0"/>
        </w:numPr>
        <w:ind w:right="-2"/>
        <w:rPr>
          <w:rFonts w:eastAsia="SimSun"/>
          <w:noProof/>
          <w:lang w:eastAsia="zh-CN"/>
        </w:rPr>
      </w:pPr>
    </w:p>
    <w:p w14:paraId="0D958AC5" w14:textId="77777777" w:rsidR="004E65A9" w:rsidRPr="00BD1AD5" w:rsidRDefault="004E65A9" w:rsidP="003F09AA">
      <w:pPr>
        <w:numPr>
          <w:ilvl w:val="12"/>
          <w:numId w:val="0"/>
        </w:numPr>
        <w:ind w:right="-2"/>
        <w:rPr>
          <w:rFonts w:eastAsia="SimSun"/>
          <w:noProof/>
        </w:rPr>
      </w:pPr>
      <w:r>
        <w:t>Snakk med lege eller apotek dersom du bruker, nylig har brukt eller planlegger å bruke andre legemidler. Dette gjelder også reseptfrie legemidler og naturlegemidler. Dette fordi Otezla kan påvirke hvordan visse andre legemidler virker. Visse andre legemidler kan også påvirke hvordan Otezla virker.</w:t>
      </w:r>
    </w:p>
    <w:p w14:paraId="3CF95D97" w14:textId="77777777" w:rsidR="004E65A9" w:rsidRPr="00BD1AD5" w:rsidRDefault="004E65A9" w:rsidP="003F09AA">
      <w:pPr>
        <w:numPr>
          <w:ilvl w:val="12"/>
          <w:numId w:val="0"/>
        </w:numPr>
        <w:ind w:right="-2"/>
        <w:rPr>
          <w:rFonts w:eastAsia="SimSun"/>
          <w:noProof/>
          <w:lang w:eastAsia="zh-CN"/>
        </w:rPr>
      </w:pPr>
    </w:p>
    <w:p w14:paraId="45884245" w14:textId="77777777" w:rsidR="004E65A9" w:rsidRPr="00BD1AD5" w:rsidRDefault="004E65A9" w:rsidP="003F09AA">
      <w:pPr>
        <w:keepNext/>
        <w:numPr>
          <w:ilvl w:val="12"/>
          <w:numId w:val="0"/>
        </w:numPr>
        <w:rPr>
          <w:rFonts w:eastAsia="SimSun"/>
          <w:noProof/>
        </w:rPr>
      </w:pPr>
      <w:r>
        <w:t>Rådfør deg særlig med lege eller apotek før du bruker Otezla dersom du bruker noen av følgende legemidler:</w:t>
      </w:r>
    </w:p>
    <w:p w14:paraId="176337CC" w14:textId="77777777" w:rsidR="004E65A9" w:rsidRPr="00BD1AD5" w:rsidRDefault="004E65A9" w:rsidP="003F09AA">
      <w:pPr>
        <w:keepNext/>
        <w:numPr>
          <w:ilvl w:val="12"/>
          <w:numId w:val="0"/>
        </w:numPr>
        <w:rPr>
          <w:rFonts w:eastAsia="SimSun"/>
          <w:noProof/>
          <w:lang w:eastAsia="zh-CN"/>
        </w:rPr>
      </w:pPr>
    </w:p>
    <w:p w14:paraId="546041B5" w14:textId="77777777" w:rsidR="004E65A9" w:rsidRPr="00BD1AD5" w:rsidRDefault="004E65A9" w:rsidP="003F09AA">
      <w:pPr>
        <w:pStyle w:val="ListParagraph"/>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rifampicin – et antibiotikum som brukes mot tuberkulose</w:t>
      </w:r>
    </w:p>
    <w:p w14:paraId="0BC5AA3A" w14:textId="77777777" w:rsidR="004E65A9" w:rsidRPr="00BD1AD5" w:rsidRDefault="004E65A9" w:rsidP="003F09AA">
      <w:pPr>
        <w:pStyle w:val="ListParagraph"/>
        <w:keepNext/>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fenytoin, fenobarbital og karbamazepin – legemidler som brukes ved behandling av krampeanfall eller epilepsi</w:t>
      </w:r>
    </w:p>
    <w:p w14:paraId="39203502" w14:textId="77777777" w:rsidR="004E65A9" w:rsidRPr="00BD1AD5" w:rsidRDefault="004E65A9" w:rsidP="003F09AA">
      <w:pPr>
        <w:pStyle w:val="ListParagraph"/>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johannesurt – et naturlegemiddel mot lett angst og depresjon</w:t>
      </w:r>
    </w:p>
    <w:p w14:paraId="239E6193" w14:textId="77777777" w:rsidR="004E65A9" w:rsidRPr="00BD1AD5" w:rsidRDefault="004E65A9" w:rsidP="003F09AA"/>
    <w:p w14:paraId="0E1201B2" w14:textId="77777777" w:rsidR="004E65A9" w:rsidRDefault="004E65A9" w:rsidP="003F09AA">
      <w:pPr>
        <w:keepNext/>
        <w:rPr>
          <w:b/>
        </w:rPr>
      </w:pPr>
      <w:r>
        <w:rPr>
          <w:b/>
        </w:rPr>
        <w:t>Graviditet og amming</w:t>
      </w:r>
    </w:p>
    <w:p w14:paraId="63D7D377" w14:textId="77777777" w:rsidR="004E65A9" w:rsidRDefault="004E65A9" w:rsidP="003F09AA">
      <w:pPr>
        <w:keepNext/>
        <w:rPr>
          <w:b/>
        </w:rPr>
      </w:pPr>
    </w:p>
    <w:p w14:paraId="69D87935" w14:textId="77777777" w:rsidR="004E65A9" w:rsidRPr="00A90683" w:rsidRDefault="004E65A9" w:rsidP="003F09AA">
      <w:pPr>
        <w:pStyle w:val="Stylebold"/>
      </w:pPr>
      <w:r>
        <w:t>Bruk ikke Otezla dersom du er gravid eller tror at du kan være gravid.</w:t>
      </w:r>
    </w:p>
    <w:p w14:paraId="30AEE58F" w14:textId="77777777" w:rsidR="004E65A9" w:rsidRPr="00BD1AD5" w:rsidRDefault="004E65A9" w:rsidP="003F09AA">
      <w:pPr>
        <w:rPr>
          <w:rFonts w:eastAsia="SimSun"/>
          <w:bCs/>
          <w:noProof/>
          <w:lang w:eastAsia="zh-CN"/>
        </w:rPr>
      </w:pPr>
    </w:p>
    <w:p w14:paraId="40A969BA" w14:textId="77777777" w:rsidR="004E65A9" w:rsidRPr="00BD1AD5" w:rsidRDefault="004E65A9" w:rsidP="003F09AA">
      <w:pPr>
        <w:rPr>
          <w:rFonts w:eastAsia="SimSun"/>
          <w:bCs/>
          <w:noProof/>
        </w:rPr>
      </w:pPr>
      <w:r>
        <w:t>Snakk med lege eller apotek før du tar dette legemidlet dersom du er gravid eller ammer, tror at du kan være gravid eller planlegger å bli gravid.</w:t>
      </w:r>
    </w:p>
    <w:p w14:paraId="3E49E90D" w14:textId="77777777" w:rsidR="004E65A9" w:rsidRPr="00BD1AD5" w:rsidRDefault="004E65A9" w:rsidP="003F09AA">
      <w:pPr>
        <w:rPr>
          <w:rFonts w:eastAsia="SimSun"/>
          <w:bCs/>
          <w:noProof/>
          <w:lang w:eastAsia="zh-CN"/>
        </w:rPr>
      </w:pPr>
    </w:p>
    <w:p w14:paraId="347E6174" w14:textId="77777777" w:rsidR="004E65A9" w:rsidRPr="00BD1AD5" w:rsidRDefault="004E65A9" w:rsidP="003F09AA">
      <w:pPr>
        <w:rPr>
          <w:rFonts w:eastAsia="SimSun"/>
          <w:bCs/>
          <w:noProof/>
        </w:rPr>
      </w:pPr>
      <w:r>
        <w:t>Det finnes lite informasjon om hvordan Otezla påvirker graviditet. Du må ikke bli gravid mens du bruker dette legemidlet, og du skal bruke en sikker prevensjonsmetode under behandling med Otezla.</w:t>
      </w:r>
    </w:p>
    <w:p w14:paraId="6F6D6EC9" w14:textId="77777777" w:rsidR="004E65A9" w:rsidRPr="00BD1AD5" w:rsidRDefault="004E65A9" w:rsidP="003F09AA">
      <w:pPr>
        <w:rPr>
          <w:rFonts w:eastAsia="SimSun"/>
          <w:bCs/>
          <w:noProof/>
          <w:lang w:eastAsia="zh-CN"/>
        </w:rPr>
      </w:pPr>
    </w:p>
    <w:p w14:paraId="54401871" w14:textId="77777777" w:rsidR="004E65A9" w:rsidRPr="00BD1AD5" w:rsidRDefault="004E65A9" w:rsidP="003F09AA">
      <w:pPr>
        <w:rPr>
          <w:rFonts w:eastAsia="SimSun"/>
          <w:bCs/>
          <w:noProof/>
        </w:rPr>
      </w:pPr>
      <w:r>
        <w:t>Det er ikke kjent om dette legemidlet går over i morsmelk. Du skal ikke bruke Otezla mens du ammer.</w:t>
      </w:r>
    </w:p>
    <w:p w14:paraId="39F697F8" w14:textId="77777777" w:rsidR="004E65A9" w:rsidRPr="00BD1AD5" w:rsidRDefault="004E65A9" w:rsidP="003F09AA">
      <w:pPr>
        <w:rPr>
          <w:rFonts w:eastAsia="SimSun"/>
          <w:bCs/>
          <w:noProof/>
          <w:lang w:eastAsia="zh-CN"/>
        </w:rPr>
      </w:pPr>
    </w:p>
    <w:p w14:paraId="4430D4AB" w14:textId="77777777" w:rsidR="004E65A9" w:rsidRPr="00BD1AD5" w:rsidRDefault="004E65A9" w:rsidP="003F09AA">
      <w:pPr>
        <w:keepNext/>
        <w:rPr>
          <w:b/>
        </w:rPr>
      </w:pPr>
      <w:r>
        <w:rPr>
          <w:b/>
        </w:rPr>
        <w:t>Kjøring og bruk av maskiner</w:t>
      </w:r>
    </w:p>
    <w:p w14:paraId="205B7A37" w14:textId="77777777" w:rsidR="004E65A9" w:rsidRPr="00BD1AD5" w:rsidRDefault="004E65A9" w:rsidP="003F09AA">
      <w:pPr>
        <w:keepNext/>
        <w:contextualSpacing/>
        <w:rPr>
          <w:noProof/>
        </w:rPr>
      </w:pPr>
    </w:p>
    <w:p w14:paraId="706C5E81" w14:textId="77777777" w:rsidR="004E65A9" w:rsidRPr="00BD1AD5" w:rsidRDefault="004E65A9" w:rsidP="003F09AA">
      <w:pPr>
        <w:contextualSpacing/>
      </w:pPr>
      <w:r>
        <w:t>Otezla påvirker ikke evnen til å kjøre bil eller bruke maskiner.</w:t>
      </w:r>
    </w:p>
    <w:p w14:paraId="0872627E" w14:textId="77777777" w:rsidR="004E65A9" w:rsidRPr="00BD1AD5" w:rsidRDefault="004E65A9" w:rsidP="003F09AA">
      <w:pPr>
        <w:contextualSpacing/>
      </w:pPr>
    </w:p>
    <w:p w14:paraId="27393758" w14:textId="77777777" w:rsidR="004E65A9" w:rsidRPr="00BD1AD5" w:rsidRDefault="004E65A9" w:rsidP="003F09AA">
      <w:pPr>
        <w:keepNext/>
        <w:tabs>
          <w:tab w:val="clear" w:pos="567"/>
        </w:tabs>
        <w:rPr>
          <w:b/>
        </w:rPr>
      </w:pPr>
      <w:r>
        <w:rPr>
          <w:b/>
        </w:rPr>
        <w:t>Otezla inneholder laktose</w:t>
      </w:r>
    </w:p>
    <w:p w14:paraId="590CEDF4" w14:textId="77777777" w:rsidR="004E65A9" w:rsidRPr="00BD1AD5" w:rsidRDefault="004E65A9" w:rsidP="003F09AA">
      <w:pPr>
        <w:keepNext/>
        <w:ind w:right="-2"/>
        <w:contextualSpacing/>
      </w:pPr>
    </w:p>
    <w:p w14:paraId="60119250" w14:textId="77777777" w:rsidR="004E65A9" w:rsidRPr="00BD1AD5" w:rsidRDefault="004E65A9" w:rsidP="003F09AA">
      <w:pPr>
        <w:ind w:right="-2"/>
        <w:contextualSpacing/>
      </w:pPr>
      <w:r>
        <w:t>Otezla inneholder laktose (en sukkertype). Dersom legen din har fortalt deg at du har intoleranse overfor noen sukkertyper, bør du kontakte legen din før du tar dette legemidlet.</w:t>
      </w:r>
    </w:p>
    <w:p w14:paraId="1D26FDC0" w14:textId="77777777" w:rsidR="004E65A9" w:rsidRPr="00BD1AD5" w:rsidRDefault="004E65A9" w:rsidP="003F09AA">
      <w:pPr>
        <w:contextualSpacing/>
      </w:pPr>
    </w:p>
    <w:p w14:paraId="7BE17DCC" w14:textId="77777777" w:rsidR="004E65A9" w:rsidRPr="00BD1AD5" w:rsidRDefault="004E65A9" w:rsidP="003F09AA">
      <w:pPr>
        <w:numPr>
          <w:ilvl w:val="12"/>
          <w:numId w:val="0"/>
        </w:numPr>
        <w:ind w:left="562" w:hanging="562"/>
      </w:pPr>
    </w:p>
    <w:p w14:paraId="14A3ED27" w14:textId="77777777" w:rsidR="004E65A9" w:rsidRPr="00BD1AD5" w:rsidRDefault="004E65A9" w:rsidP="003F09AA">
      <w:pPr>
        <w:keepNext/>
        <w:numPr>
          <w:ilvl w:val="12"/>
          <w:numId w:val="0"/>
        </w:numPr>
        <w:shd w:val="clear" w:color="auto" w:fill="FFFFFF"/>
        <w:ind w:left="562" w:hanging="562"/>
        <w:outlineLvl w:val="0"/>
        <w:rPr>
          <w:b/>
          <w:szCs w:val="24"/>
        </w:rPr>
      </w:pPr>
      <w:r>
        <w:rPr>
          <w:b/>
        </w:rPr>
        <w:lastRenderedPageBreak/>
        <w:t>3.</w:t>
      </w:r>
      <w:r>
        <w:rPr>
          <w:b/>
        </w:rPr>
        <w:tab/>
        <w:t>Hvordan du bruker Otezla</w:t>
      </w:r>
    </w:p>
    <w:p w14:paraId="6FCDB653" w14:textId="77777777" w:rsidR="004E65A9" w:rsidRPr="00BD1AD5" w:rsidRDefault="004E65A9" w:rsidP="003F09AA">
      <w:pPr>
        <w:keepNext/>
        <w:numPr>
          <w:ilvl w:val="12"/>
          <w:numId w:val="0"/>
        </w:numPr>
      </w:pPr>
    </w:p>
    <w:p w14:paraId="41D88118" w14:textId="77777777" w:rsidR="004E65A9" w:rsidRPr="00BD1AD5" w:rsidRDefault="004E65A9" w:rsidP="003F09AA">
      <w:pPr>
        <w:numPr>
          <w:ilvl w:val="12"/>
          <w:numId w:val="0"/>
        </w:numPr>
        <w:rPr>
          <w:i/>
        </w:rPr>
      </w:pPr>
      <w:r>
        <w:t>Bruk alltid dette legemidlet nøyaktig slik legen har fortalt deg. Kontakt lege eller apotek hvis du er usikker.</w:t>
      </w:r>
    </w:p>
    <w:p w14:paraId="29DD41C6" w14:textId="77777777" w:rsidR="004E65A9" w:rsidRPr="00BD1AD5" w:rsidRDefault="004E65A9" w:rsidP="003F09AA">
      <w:pPr>
        <w:rPr>
          <w:rFonts w:eastAsia="SimSun"/>
          <w:noProof/>
          <w:lang w:eastAsia="zh-CN"/>
        </w:rPr>
      </w:pPr>
    </w:p>
    <w:p w14:paraId="28310A6B" w14:textId="77777777" w:rsidR="004E65A9" w:rsidRPr="00BD1AD5" w:rsidRDefault="004E65A9" w:rsidP="003F09AA">
      <w:pPr>
        <w:keepNext/>
        <w:numPr>
          <w:ilvl w:val="12"/>
          <w:numId w:val="0"/>
        </w:numPr>
        <w:rPr>
          <w:b/>
        </w:rPr>
      </w:pPr>
      <w:r>
        <w:rPr>
          <w:b/>
        </w:rPr>
        <w:t>Hvor mye du skal ta</w:t>
      </w:r>
    </w:p>
    <w:p w14:paraId="7C697B44" w14:textId="77777777" w:rsidR="004E65A9" w:rsidRPr="00BD1AD5" w:rsidRDefault="004E65A9" w:rsidP="003F09AA">
      <w:pPr>
        <w:keepNext/>
        <w:numPr>
          <w:ilvl w:val="12"/>
          <w:numId w:val="0"/>
        </w:numPr>
        <w:rPr>
          <w:b/>
        </w:rPr>
      </w:pPr>
    </w:p>
    <w:p w14:paraId="75AADC15" w14:textId="77777777" w:rsidR="004E65A9" w:rsidRPr="00BD1AD5" w:rsidRDefault="004E65A9" w:rsidP="003F09AA">
      <w:pPr>
        <w:numPr>
          <w:ilvl w:val="0"/>
          <w:numId w:val="5"/>
        </w:numPr>
        <w:ind w:left="567" w:hanging="567"/>
        <w:contextualSpacing/>
      </w:pPr>
      <w:r>
        <w:t>Når du begynner med Otezla får du en "startpakning" som inneholder nok tabletter til totalt to ukers behandling.</w:t>
      </w:r>
    </w:p>
    <w:p w14:paraId="36C9FF8D" w14:textId="77777777" w:rsidR="004E65A9" w:rsidRPr="00BD1AD5" w:rsidRDefault="004E65A9" w:rsidP="003F09AA">
      <w:pPr>
        <w:numPr>
          <w:ilvl w:val="0"/>
          <w:numId w:val="5"/>
        </w:numPr>
        <w:ind w:left="567" w:hanging="567"/>
        <w:contextualSpacing/>
      </w:pPr>
      <w:r>
        <w:t>"Startpakningen" er klart merket slik at du skal ta riktig tablett til riktig tid.</w:t>
      </w:r>
    </w:p>
    <w:p w14:paraId="7E5D89AD" w14:textId="77777777" w:rsidR="004E65A9" w:rsidRPr="00BD1AD5" w:rsidRDefault="004E65A9" w:rsidP="003F09AA">
      <w:pPr>
        <w:numPr>
          <w:ilvl w:val="0"/>
          <w:numId w:val="5"/>
        </w:numPr>
        <w:ind w:left="567" w:hanging="567"/>
        <w:contextualSpacing/>
      </w:pPr>
      <w:r>
        <w:t>Behandlingen starter med en lav dose og økes gradvis uken av behandlingen (titreringsfase).</w:t>
      </w:r>
    </w:p>
    <w:p w14:paraId="6577C0A9" w14:textId="77777777" w:rsidR="004E65A9" w:rsidRDefault="004E65A9" w:rsidP="003F09AA">
      <w:pPr>
        <w:numPr>
          <w:ilvl w:val="0"/>
          <w:numId w:val="5"/>
        </w:numPr>
        <w:ind w:left="567" w:hanging="567"/>
        <w:contextualSpacing/>
      </w:pPr>
      <w:r>
        <w:t>"Startpakningen" inneholder nok tabletter til ytterligere en uke med anbefalt dose.</w:t>
      </w:r>
    </w:p>
    <w:p w14:paraId="3E26F554" w14:textId="77777777" w:rsidR="004E65A9" w:rsidRPr="00A90683" w:rsidRDefault="004E65A9" w:rsidP="003F09AA">
      <w:pPr>
        <w:keepNext/>
        <w:numPr>
          <w:ilvl w:val="0"/>
          <w:numId w:val="5"/>
        </w:numPr>
        <w:ind w:left="567" w:hanging="567"/>
        <w:contextualSpacing/>
      </w:pPr>
      <w:r>
        <w:t>Når anbefalt dose er nådd, får du kun én enkelt tablett i dine foreskrevne pakker.</w:t>
      </w:r>
    </w:p>
    <w:p w14:paraId="779E5A80" w14:textId="77777777" w:rsidR="004E65A9" w:rsidRPr="00021CB4" w:rsidRDefault="004E65A9" w:rsidP="003F09AA">
      <w:pPr>
        <w:numPr>
          <w:ilvl w:val="0"/>
          <w:numId w:val="5"/>
        </w:numPr>
        <w:ind w:left="567" w:hanging="567"/>
        <w:contextualSpacing/>
      </w:pPr>
      <w:r>
        <w:t>Du trenger aldri senere gå gjennom perioden med gradvis doseøkning, heller ikke hvis du slutter og gjenopptar behandlingen.</w:t>
      </w:r>
    </w:p>
    <w:p w14:paraId="1102C92E" w14:textId="77777777" w:rsidR="004E65A9" w:rsidRDefault="004E65A9" w:rsidP="003F09AA">
      <w:pPr>
        <w:contextualSpacing/>
      </w:pPr>
    </w:p>
    <w:p w14:paraId="32EC93BF" w14:textId="77777777" w:rsidR="004E65A9" w:rsidRDefault="004E65A9" w:rsidP="003F09AA">
      <w:pPr>
        <w:contextualSpacing/>
      </w:pPr>
      <w:r>
        <w:t>Voksne</w:t>
      </w:r>
    </w:p>
    <w:p w14:paraId="38ECDC68" w14:textId="77777777" w:rsidR="004E65A9" w:rsidRPr="00BD1AD5" w:rsidRDefault="004E65A9" w:rsidP="003F09AA">
      <w:pPr>
        <w:numPr>
          <w:ilvl w:val="0"/>
          <w:numId w:val="5"/>
        </w:numPr>
        <w:ind w:left="567" w:hanging="567"/>
        <w:contextualSpacing/>
      </w:pPr>
      <w:r>
        <w:t>Den anbefalte dosen av Otezla for voksne pasienter er 30 mg to ganger daglig etter at "startfasen" (de første 6 behandlingsdagene) er fullført, som vist i tabellen nedenfor – én 30 mg dose om morgenen og én 30 mg dose om kvelden, med ca. 12 timers mellomrom, med eller uten mat. Dette gir en total døgndose på 60 mg.</w:t>
      </w:r>
    </w:p>
    <w:p w14:paraId="71D04956" w14:textId="77777777" w:rsidR="004E65A9" w:rsidRPr="00BD1AD5" w:rsidRDefault="004E65A9" w:rsidP="003F09AA">
      <w:pPr>
        <w:keepNext/>
      </w:pPr>
    </w:p>
    <w:tbl>
      <w:tblPr>
        <w:tblpPr w:leftFromText="180" w:rightFromText="180" w:vertAnchor="text" w:tblpXSpec="center" w:tblpY="1"/>
        <w:tblOverlap w:val="never"/>
        <w:tblW w:w="489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074"/>
        <w:gridCol w:w="2803"/>
        <w:gridCol w:w="2629"/>
        <w:gridCol w:w="1577"/>
      </w:tblGrid>
      <w:tr w:rsidR="004E65A9" w:rsidRPr="00BD1AD5" w14:paraId="68BC6670" w14:textId="77777777" w:rsidTr="008600F3">
        <w:trPr>
          <w:cantSplit/>
          <w:tblHeader/>
        </w:trPr>
        <w:tc>
          <w:tcPr>
            <w:tcW w:w="1142" w:type="pct"/>
            <w:tcBorders>
              <w:top w:val="single" w:sz="12" w:space="0" w:color="auto"/>
              <w:bottom w:val="single" w:sz="12" w:space="0" w:color="auto"/>
            </w:tcBorders>
            <w:shd w:val="clear" w:color="auto" w:fill="D9D9D9"/>
            <w:vAlign w:val="center"/>
          </w:tcPr>
          <w:p w14:paraId="5E9A53FD" w14:textId="77777777" w:rsidR="004E65A9" w:rsidRPr="00BD1AD5" w:rsidRDefault="004E65A9" w:rsidP="008600F3">
            <w:pPr>
              <w:keepNext/>
              <w:ind w:right="-2"/>
              <w:contextualSpacing/>
              <w:rPr>
                <w:b/>
              </w:rPr>
            </w:pPr>
            <w:bookmarkStart w:id="15" w:name="_Hlk178065545"/>
            <w:r>
              <w:rPr>
                <w:b/>
              </w:rPr>
              <w:t>Dag</w:t>
            </w:r>
          </w:p>
        </w:tc>
        <w:tc>
          <w:tcPr>
            <w:tcW w:w="1543" w:type="pct"/>
            <w:tcBorders>
              <w:top w:val="single" w:sz="12" w:space="0" w:color="auto"/>
              <w:bottom w:val="single" w:sz="12" w:space="0" w:color="auto"/>
            </w:tcBorders>
            <w:shd w:val="clear" w:color="auto" w:fill="D9D9D9"/>
            <w:vAlign w:val="center"/>
          </w:tcPr>
          <w:p w14:paraId="6194F28A" w14:textId="77777777" w:rsidR="004E65A9" w:rsidRPr="00BD1AD5" w:rsidRDefault="004E65A9" w:rsidP="008600F3">
            <w:pPr>
              <w:keepNext/>
              <w:ind w:right="-2"/>
              <w:contextualSpacing/>
              <w:rPr>
                <w:b/>
              </w:rPr>
            </w:pPr>
            <w:r>
              <w:rPr>
                <w:b/>
              </w:rPr>
              <w:t>Morgendose</w:t>
            </w:r>
          </w:p>
        </w:tc>
        <w:tc>
          <w:tcPr>
            <w:tcW w:w="1447" w:type="pct"/>
            <w:tcBorders>
              <w:top w:val="single" w:sz="12" w:space="0" w:color="auto"/>
              <w:bottom w:val="single" w:sz="12" w:space="0" w:color="auto"/>
            </w:tcBorders>
            <w:shd w:val="clear" w:color="auto" w:fill="D9D9D9"/>
            <w:vAlign w:val="center"/>
          </w:tcPr>
          <w:p w14:paraId="2A298BF9" w14:textId="77777777" w:rsidR="004E65A9" w:rsidRPr="00BD1AD5" w:rsidRDefault="004E65A9" w:rsidP="008600F3">
            <w:pPr>
              <w:keepNext/>
              <w:ind w:right="-2"/>
              <w:contextualSpacing/>
              <w:rPr>
                <w:b/>
              </w:rPr>
            </w:pPr>
            <w:r>
              <w:rPr>
                <w:b/>
              </w:rPr>
              <w:t>Kveldsdose</w:t>
            </w:r>
          </w:p>
        </w:tc>
        <w:tc>
          <w:tcPr>
            <w:tcW w:w="868" w:type="pct"/>
            <w:tcBorders>
              <w:top w:val="single" w:sz="12" w:space="0" w:color="auto"/>
              <w:bottom w:val="single" w:sz="12" w:space="0" w:color="auto"/>
            </w:tcBorders>
            <w:shd w:val="clear" w:color="auto" w:fill="D9D9D9"/>
            <w:vAlign w:val="center"/>
          </w:tcPr>
          <w:p w14:paraId="16EBA241" w14:textId="77777777" w:rsidR="004E65A9" w:rsidRPr="00BD1AD5" w:rsidRDefault="004E65A9" w:rsidP="008600F3">
            <w:pPr>
              <w:keepNext/>
              <w:ind w:right="-2"/>
              <w:contextualSpacing/>
              <w:rPr>
                <w:b/>
              </w:rPr>
            </w:pPr>
            <w:r>
              <w:rPr>
                <w:b/>
              </w:rPr>
              <w:t>Total døgndose</w:t>
            </w:r>
          </w:p>
        </w:tc>
      </w:tr>
      <w:tr w:rsidR="004E65A9" w:rsidRPr="00BD1AD5" w14:paraId="3541C226" w14:textId="77777777" w:rsidTr="008600F3">
        <w:trPr>
          <w:cantSplit/>
          <w:trHeight w:val="333"/>
        </w:trPr>
        <w:tc>
          <w:tcPr>
            <w:tcW w:w="1142" w:type="pct"/>
            <w:tcBorders>
              <w:top w:val="single" w:sz="12" w:space="0" w:color="auto"/>
              <w:bottom w:val="single" w:sz="4" w:space="0" w:color="auto"/>
              <w:right w:val="single" w:sz="12" w:space="0" w:color="auto"/>
            </w:tcBorders>
            <w:shd w:val="clear" w:color="auto" w:fill="EAEAEA"/>
            <w:vAlign w:val="center"/>
          </w:tcPr>
          <w:p w14:paraId="1EB2B3D3" w14:textId="77777777" w:rsidR="004E65A9" w:rsidRPr="00BD1AD5" w:rsidRDefault="004E65A9" w:rsidP="008600F3">
            <w:pPr>
              <w:keepNext/>
              <w:ind w:right="-2"/>
              <w:contextualSpacing/>
              <w:rPr>
                <w:b/>
              </w:rPr>
            </w:pPr>
            <w:r>
              <w:rPr>
                <w:b/>
              </w:rPr>
              <w:t>Dag 1</w:t>
            </w:r>
          </w:p>
        </w:tc>
        <w:tc>
          <w:tcPr>
            <w:tcW w:w="1543" w:type="pct"/>
            <w:tcBorders>
              <w:top w:val="single" w:sz="12" w:space="0" w:color="auto"/>
              <w:left w:val="single" w:sz="12" w:space="0" w:color="auto"/>
            </w:tcBorders>
            <w:vAlign w:val="center"/>
          </w:tcPr>
          <w:p w14:paraId="48A97706" w14:textId="77777777" w:rsidR="004E65A9" w:rsidRPr="00BD1AD5" w:rsidRDefault="004E65A9" w:rsidP="008600F3">
            <w:pPr>
              <w:keepNext/>
              <w:ind w:right="-2"/>
              <w:contextualSpacing/>
            </w:pPr>
            <w:r>
              <w:t>10 mg (rosa)</w:t>
            </w:r>
          </w:p>
        </w:tc>
        <w:tc>
          <w:tcPr>
            <w:tcW w:w="1447" w:type="pct"/>
            <w:tcBorders>
              <w:top w:val="single" w:sz="12" w:space="0" w:color="auto"/>
              <w:right w:val="single" w:sz="12" w:space="0" w:color="auto"/>
            </w:tcBorders>
            <w:shd w:val="clear" w:color="auto" w:fill="000000"/>
            <w:vAlign w:val="center"/>
          </w:tcPr>
          <w:p w14:paraId="28480510" w14:textId="77777777" w:rsidR="004E65A9" w:rsidRPr="00BD1AD5" w:rsidRDefault="004E65A9" w:rsidP="008600F3">
            <w:pPr>
              <w:keepNext/>
              <w:ind w:right="-2"/>
              <w:contextualSpacing/>
              <w:rPr>
                <w:b/>
              </w:rPr>
            </w:pPr>
            <w:r>
              <w:rPr>
                <w:b/>
              </w:rPr>
              <w:t>Ta ingen dose</w:t>
            </w:r>
          </w:p>
        </w:tc>
        <w:tc>
          <w:tcPr>
            <w:tcW w:w="868" w:type="pct"/>
            <w:tcBorders>
              <w:top w:val="single" w:sz="12" w:space="0" w:color="auto"/>
              <w:left w:val="single" w:sz="12" w:space="0" w:color="auto"/>
              <w:bottom w:val="single" w:sz="4" w:space="0" w:color="auto"/>
            </w:tcBorders>
            <w:shd w:val="clear" w:color="auto" w:fill="EAEAEA"/>
            <w:vAlign w:val="center"/>
          </w:tcPr>
          <w:p w14:paraId="6DF6EF28" w14:textId="77777777" w:rsidR="004E65A9" w:rsidRPr="00BD1AD5" w:rsidRDefault="004E65A9" w:rsidP="008600F3">
            <w:pPr>
              <w:keepNext/>
              <w:ind w:right="-2"/>
              <w:contextualSpacing/>
            </w:pPr>
            <w:r>
              <w:t>10 mg</w:t>
            </w:r>
          </w:p>
        </w:tc>
      </w:tr>
      <w:tr w:rsidR="004E65A9" w:rsidRPr="00BD1AD5" w14:paraId="7EA3AAE1" w14:textId="77777777" w:rsidTr="008600F3">
        <w:trPr>
          <w:cantSplit/>
          <w:trHeight w:val="216"/>
        </w:trPr>
        <w:tc>
          <w:tcPr>
            <w:tcW w:w="1142" w:type="pct"/>
            <w:tcBorders>
              <w:top w:val="single" w:sz="4" w:space="0" w:color="auto"/>
              <w:bottom w:val="single" w:sz="4" w:space="0" w:color="auto"/>
              <w:right w:val="single" w:sz="12" w:space="0" w:color="auto"/>
            </w:tcBorders>
            <w:shd w:val="clear" w:color="auto" w:fill="EAEAEA"/>
            <w:vAlign w:val="center"/>
          </w:tcPr>
          <w:p w14:paraId="36C205F2" w14:textId="77777777" w:rsidR="004E65A9" w:rsidRPr="00BD1AD5" w:rsidRDefault="004E65A9" w:rsidP="008600F3">
            <w:pPr>
              <w:keepNext/>
              <w:ind w:right="-2"/>
              <w:contextualSpacing/>
              <w:rPr>
                <w:b/>
              </w:rPr>
            </w:pPr>
            <w:r>
              <w:rPr>
                <w:b/>
              </w:rPr>
              <w:t>Dag 2</w:t>
            </w:r>
          </w:p>
        </w:tc>
        <w:tc>
          <w:tcPr>
            <w:tcW w:w="1543" w:type="pct"/>
            <w:tcBorders>
              <w:left w:val="single" w:sz="12" w:space="0" w:color="auto"/>
            </w:tcBorders>
            <w:vAlign w:val="center"/>
          </w:tcPr>
          <w:p w14:paraId="4C6ADC18" w14:textId="77777777" w:rsidR="004E65A9" w:rsidRPr="00BD1AD5" w:rsidRDefault="004E65A9" w:rsidP="008600F3">
            <w:pPr>
              <w:keepNext/>
              <w:ind w:right="-2"/>
              <w:contextualSpacing/>
            </w:pPr>
            <w:r>
              <w:t>10 mg (rosa)</w:t>
            </w:r>
          </w:p>
        </w:tc>
        <w:tc>
          <w:tcPr>
            <w:tcW w:w="1447" w:type="pct"/>
            <w:tcBorders>
              <w:right w:val="single" w:sz="12" w:space="0" w:color="auto"/>
            </w:tcBorders>
            <w:vAlign w:val="center"/>
          </w:tcPr>
          <w:p w14:paraId="3A8A73FD" w14:textId="77777777" w:rsidR="004E65A9" w:rsidRPr="00BD1AD5" w:rsidRDefault="004E65A9" w:rsidP="008600F3">
            <w:pPr>
              <w:keepNext/>
              <w:ind w:right="-2"/>
              <w:contextualSpacing/>
            </w:pPr>
            <w:r>
              <w:t>10 mg (rosa)</w:t>
            </w:r>
          </w:p>
        </w:tc>
        <w:tc>
          <w:tcPr>
            <w:tcW w:w="868" w:type="pct"/>
            <w:tcBorders>
              <w:top w:val="single" w:sz="4" w:space="0" w:color="auto"/>
              <w:left w:val="single" w:sz="12" w:space="0" w:color="auto"/>
              <w:bottom w:val="single" w:sz="4" w:space="0" w:color="auto"/>
            </w:tcBorders>
            <w:shd w:val="clear" w:color="auto" w:fill="EAEAEA"/>
            <w:vAlign w:val="center"/>
          </w:tcPr>
          <w:p w14:paraId="6C9080A2" w14:textId="77777777" w:rsidR="004E65A9" w:rsidRPr="00BD1AD5" w:rsidRDefault="004E65A9" w:rsidP="008600F3">
            <w:pPr>
              <w:keepNext/>
              <w:ind w:right="-2"/>
              <w:contextualSpacing/>
            </w:pPr>
            <w:r>
              <w:t>20 mg</w:t>
            </w:r>
          </w:p>
        </w:tc>
      </w:tr>
      <w:tr w:rsidR="004E65A9" w:rsidRPr="00BD1AD5" w14:paraId="6E687337" w14:textId="77777777" w:rsidTr="008600F3">
        <w:trPr>
          <w:cantSplit/>
          <w:trHeight w:val="216"/>
        </w:trPr>
        <w:tc>
          <w:tcPr>
            <w:tcW w:w="1142" w:type="pct"/>
            <w:tcBorders>
              <w:top w:val="single" w:sz="4" w:space="0" w:color="auto"/>
              <w:bottom w:val="single" w:sz="4" w:space="0" w:color="auto"/>
              <w:right w:val="single" w:sz="12" w:space="0" w:color="auto"/>
            </w:tcBorders>
            <w:shd w:val="clear" w:color="auto" w:fill="EAEAEA"/>
            <w:vAlign w:val="center"/>
          </w:tcPr>
          <w:p w14:paraId="67DF6675" w14:textId="77777777" w:rsidR="004E65A9" w:rsidRPr="00BD1AD5" w:rsidRDefault="004E65A9" w:rsidP="008600F3">
            <w:pPr>
              <w:keepNext/>
              <w:ind w:right="-2"/>
              <w:contextualSpacing/>
              <w:rPr>
                <w:b/>
              </w:rPr>
            </w:pPr>
            <w:r>
              <w:rPr>
                <w:b/>
              </w:rPr>
              <w:t>Dag 3</w:t>
            </w:r>
          </w:p>
        </w:tc>
        <w:tc>
          <w:tcPr>
            <w:tcW w:w="1543" w:type="pct"/>
            <w:tcBorders>
              <w:left w:val="single" w:sz="12" w:space="0" w:color="auto"/>
            </w:tcBorders>
            <w:vAlign w:val="center"/>
          </w:tcPr>
          <w:p w14:paraId="006A85ED" w14:textId="77777777" w:rsidR="004E65A9" w:rsidRPr="00BD1AD5" w:rsidRDefault="004E65A9" w:rsidP="008600F3">
            <w:pPr>
              <w:keepNext/>
              <w:ind w:right="-2"/>
              <w:contextualSpacing/>
            </w:pPr>
            <w:r>
              <w:t>10 mg (rosa)</w:t>
            </w:r>
          </w:p>
        </w:tc>
        <w:tc>
          <w:tcPr>
            <w:tcW w:w="1447" w:type="pct"/>
            <w:tcBorders>
              <w:right w:val="single" w:sz="12" w:space="0" w:color="auto"/>
            </w:tcBorders>
            <w:vAlign w:val="center"/>
          </w:tcPr>
          <w:p w14:paraId="11A08C66" w14:textId="77777777" w:rsidR="004E65A9" w:rsidRPr="00BD1AD5" w:rsidRDefault="004E65A9" w:rsidP="008600F3">
            <w:pPr>
              <w:keepNext/>
              <w:ind w:right="-2"/>
              <w:contextualSpacing/>
            </w:pPr>
            <w:r>
              <w:t>20 mg (brun)</w:t>
            </w:r>
          </w:p>
        </w:tc>
        <w:tc>
          <w:tcPr>
            <w:tcW w:w="868" w:type="pct"/>
            <w:tcBorders>
              <w:top w:val="single" w:sz="4" w:space="0" w:color="auto"/>
              <w:left w:val="single" w:sz="12" w:space="0" w:color="auto"/>
              <w:bottom w:val="single" w:sz="4" w:space="0" w:color="auto"/>
            </w:tcBorders>
            <w:shd w:val="clear" w:color="auto" w:fill="EAEAEA"/>
            <w:vAlign w:val="center"/>
          </w:tcPr>
          <w:p w14:paraId="5736DA7B" w14:textId="77777777" w:rsidR="004E65A9" w:rsidRPr="00BD1AD5" w:rsidRDefault="004E65A9" w:rsidP="008600F3">
            <w:pPr>
              <w:keepNext/>
              <w:ind w:right="-2"/>
              <w:contextualSpacing/>
            </w:pPr>
            <w:r>
              <w:t>30 mg</w:t>
            </w:r>
          </w:p>
        </w:tc>
      </w:tr>
      <w:tr w:rsidR="004E65A9" w:rsidRPr="00BD1AD5" w14:paraId="0B798468" w14:textId="77777777" w:rsidTr="008600F3">
        <w:trPr>
          <w:cantSplit/>
          <w:trHeight w:val="216"/>
        </w:trPr>
        <w:tc>
          <w:tcPr>
            <w:tcW w:w="1142" w:type="pct"/>
            <w:tcBorders>
              <w:top w:val="single" w:sz="4" w:space="0" w:color="auto"/>
              <w:bottom w:val="single" w:sz="4" w:space="0" w:color="auto"/>
              <w:right w:val="single" w:sz="12" w:space="0" w:color="auto"/>
            </w:tcBorders>
            <w:shd w:val="clear" w:color="auto" w:fill="EAEAEA"/>
            <w:vAlign w:val="center"/>
          </w:tcPr>
          <w:p w14:paraId="3818F4ED" w14:textId="77777777" w:rsidR="004E65A9" w:rsidRPr="00BD1AD5" w:rsidRDefault="004E65A9" w:rsidP="008600F3">
            <w:pPr>
              <w:keepNext/>
              <w:ind w:right="-2"/>
              <w:contextualSpacing/>
              <w:rPr>
                <w:b/>
              </w:rPr>
            </w:pPr>
            <w:r>
              <w:rPr>
                <w:b/>
              </w:rPr>
              <w:t>Dag 4</w:t>
            </w:r>
          </w:p>
        </w:tc>
        <w:tc>
          <w:tcPr>
            <w:tcW w:w="1543" w:type="pct"/>
            <w:tcBorders>
              <w:left w:val="single" w:sz="12" w:space="0" w:color="auto"/>
            </w:tcBorders>
            <w:vAlign w:val="center"/>
          </w:tcPr>
          <w:p w14:paraId="3078E9F6" w14:textId="77777777" w:rsidR="004E65A9" w:rsidRPr="00BD1AD5" w:rsidRDefault="004E65A9" w:rsidP="008600F3">
            <w:pPr>
              <w:keepNext/>
              <w:ind w:right="-2"/>
              <w:contextualSpacing/>
            </w:pPr>
            <w:r>
              <w:t>20 mg (brun)</w:t>
            </w:r>
          </w:p>
        </w:tc>
        <w:tc>
          <w:tcPr>
            <w:tcW w:w="1447" w:type="pct"/>
            <w:tcBorders>
              <w:right w:val="single" w:sz="12" w:space="0" w:color="auto"/>
            </w:tcBorders>
            <w:vAlign w:val="center"/>
          </w:tcPr>
          <w:p w14:paraId="29B44F3F" w14:textId="77777777" w:rsidR="004E65A9" w:rsidRPr="00BD1AD5" w:rsidRDefault="004E65A9" w:rsidP="008600F3">
            <w:pPr>
              <w:keepNext/>
              <w:ind w:right="-2"/>
              <w:contextualSpacing/>
            </w:pPr>
            <w:r>
              <w:t>20 mg (brun)</w:t>
            </w:r>
          </w:p>
        </w:tc>
        <w:tc>
          <w:tcPr>
            <w:tcW w:w="868" w:type="pct"/>
            <w:tcBorders>
              <w:top w:val="single" w:sz="4" w:space="0" w:color="auto"/>
              <w:left w:val="single" w:sz="12" w:space="0" w:color="auto"/>
              <w:bottom w:val="single" w:sz="4" w:space="0" w:color="auto"/>
            </w:tcBorders>
            <w:shd w:val="clear" w:color="auto" w:fill="EAEAEA"/>
            <w:vAlign w:val="center"/>
          </w:tcPr>
          <w:p w14:paraId="0550E54E" w14:textId="77777777" w:rsidR="004E65A9" w:rsidRPr="00BD1AD5" w:rsidRDefault="004E65A9" w:rsidP="008600F3">
            <w:pPr>
              <w:keepNext/>
              <w:ind w:right="-2"/>
              <w:contextualSpacing/>
            </w:pPr>
            <w:r>
              <w:t>40 mg</w:t>
            </w:r>
          </w:p>
        </w:tc>
      </w:tr>
      <w:tr w:rsidR="004E65A9" w:rsidRPr="00BD1AD5" w14:paraId="4C183D0E" w14:textId="77777777" w:rsidTr="008600F3">
        <w:trPr>
          <w:cantSplit/>
          <w:trHeight w:val="216"/>
        </w:trPr>
        <w:tc>
          <w:tcPr>
            <w:tcW w:w="1142" w:type="pct"/>
            <w:tcBorders>
              <w:top w:val="single" w:sz="4" w:space="0" w:color="auto"/>
              <w:bottom w:val="single" w:sz="4" w:space="0" w:color="auto"/>
              <w:right w:val="single" w:sz="12" w:space="0" w:color="auto"/>
            </w:tcBorders>
            <w:shd w:val="clear" w:color="auto" w:fill="EAEAEA"/>
            <w:vAlign w:val="center"/>
          </w:tcPr>
          <w:p w14:paraId="4FD93D8E" w14:textId="77777777" w:rsidR="004E65A9" w:rsidRPr="00BD1AD5" w:rsidRDefault="004E65A9" w:rsidP="008600F3">
            <w:pPr>
              <w:keepNext/>
              <w:contextualSpacing/>
              <w:rPr>
                <w:b/>
              </w:rPr>
            </w:pPr>
            <w:r>
              <w:rPr>
                <w:b/>
              </w:rPr>
              <w:t>Dag 5</w:t>
            </w:r>
          </w:p>
        </w:tc>
        <w:tc>
          <w:tcPr>
            <w:tcW w:w="1543" w:type="pct"/>
            <w:tcBorders>
              <w:left w:val="single" w:sz="12" w:space="0" w:color="auto"/>
            </w:tcBorders>
            <w:vAlign w:val="center"/>
          </w:tcPr>
          <w:p w14:paraId="5C1B5E21" w14:textId="77777777" w:rsidR="004E65A9" w:rsidRPr="00BD1AD5" w:rsidRDefault="004E65A9" w:rsidP="008600F3">
            <w:pPr>
              <w:keepNext/>
              <w:contextualSpacing/>
            </w:pPr>
            <w:r>
              <w:t>20 mg (brun)</w:t>
            </w:r>
          </w:p>
        </w:tc>
        <w:tc>
          <w:tcPr>
            <w:tcW w:w="1447" w:type="pct"/>
            <w:tcBorders>
              <w:right w:val="single" w:sz="12" w:space="0" w:color="auto"/>
            </w:tcBorders>
            <w:vAlign w:val="center"/>
          </w:tcPr>
          <w:p w14:paraId="20F70742" w14:textId="77777777" w:rsidR="004E65A9" w:rsidRPr="00BD1AD5" w:rsidRDefault="004E65A9" w:rsidP="008600F3">
            <w:pPr>
              <w:keepNext/>
              <w:contextualSpacing/>
            </w:pPr>
            <w:r>
              <w:t>30 mg (beige)</w:t>
            </w:r>
          </w:p>
        </w:tc>
        <w:tc>
          <w:tcPr>
            <w:tcW w:w="868" w:type="pct"/>
            <w:tcBorders>
              <w:top w:val="single" w:sz="4" w:space="0" w:color="auto"/>
              <w:left w:val="single" w:sz="12" w:space="0" w:color="auto"/>
              <w:bottom w:val="single" w:sz="4" w:space="0" w:color="auto"/>
            </w:tcBorders>
            <w:shd w:val="clear" w:color="auto" w:fill="EAEAEA"/>
            <w:vAlign w:val="center"/>
          </w:tcPr>
          <w:p w14:paraId="3FDE3EB3" w14:textId="77777777" w:rsidR="004E65A9" w:rsidRPr="00BD1AD5" w:rsidRDefault="004E65A9" w:rsidP="008600F3">
            <w:pPr>
              <w:keepNext/>
              <w:contextualSpacing/>
            </w:pPr>
            <w:r>
              <w:t>50 mg</w:t>
            </w:r>
          </w:p>
        </w:tc>
      </w:tr>
      <w:tr w:rsidR="004E65A9" w:rsidRPr="00BD1AD5" w14:paraId="7C559FCD" w14:textId="77777777" w:rsidTr="008600F3">
        <w:trPr>
          <w:cantSplit/>
          <w:trHeight w:val="216"/>
        </w:trPr>
        <w:tc>
          <w:tcPr>
            <w:tcW w:w="1142" w:type="pct"/>
            <w:tcBorders>
              <w:top w:val="single" w:sz="4" w:space="0" w:color="auto"/>
              <w:bottom w:val="single" w:sz="12" w:space="0" w:color="auto"/>
              <w:right w:val="single" w:sz="12" w:space="0" w:color="auto"/>
            </w:tcBorders>
            <w:shd w:val="clear" w:color="auto" w:fill="EAEAEA"/>
            <w:vAlign w:val="center"/>
          </w:tcPr>
          <w:p w14:paraId="58EB2EBB" w14:textId="77777777" w:rsidR="004E65A9" w:rsidRPr="00BD1AD5" w:rsidRDefault="004E65A9" w:rsidP="008600F3">
            <w:pPr>
              <w:keepNext/>
              <w:contextualSpacing/>
              <w:rPr>
                <w:b/>
              </w:rPr>
            </w:pPr>
            <w:r>
              <w:rPr>
                <w:b/>
              </w:rPr>
              <w:t>Dag 6 og deretter</w:t>
            </w:r>
          </w:p>
        </w:tc>
        <w:tc>
          <w:tcPr>
            <w:tcW w:w="1543" w:type="pct"/>
            <w:tcBorders>
              <w:left w:val="single" w:sz="12" w:space="0" w:color="auto"/>
            </w:tcBorders>
            <w:vAlign w:val="center"/>
          </w:tcPr>
          <w:p w14:paraId="516CA44F" w14:textId="77777777" w:rsidR="004E65A9" w:rsidRPr="00BD1AD5" w:rsidRDefault="004E65A9" w:rsidP="008600F3">
            <w:pPr>
              <w:keepNext/>
              <w:contextualSpacing/>
            </w:pPr>
            <w:r>
              <w:t>30 mg (beige)</w:t>
            </w:r>
          </w:p>
        </w:tc>
        <w:tc>
          <w:tcPr>
            <w:tcW w:w="1447" w:type="pct"/>
            <w:tcBorders>
              <w:right w:val="single" w:sz="12" w:space="0" w:color="auto"/>
            </w:tcBorders>
            <w:vAlign w:val="center"/>
          </w:tcPr>
          <w:p w14:paraId="4FE84583" w14:textId="77777777" w:rsidR="004E65A9" w:rsidRPr="00BD1AD5" w:rsidRDefault="004E65A9" w:rsidP="008600F3">
            <w:pPr>
              <w:keepNext/>
              <w:contextualSpacing/>
            </w:pPr>
            <w:r>
              <w:t>30 mg (beige)</w:t>
            </w:r>
          </w:p>
        </w:tc>
        <w:tc>
          <w:tcPr>
            <w:tcW w:w="868" w:type="pct"/>
            <w:tcBorders>
              <w:top w:val="single" w:sz="4" w:space="0" w:color="auto"/>
              <w:left w:val="single" w:sz="12" w:space="0" w:color="auto"/>
              <w:bottom w:val="single" w:sz="12" w:space="0" w:color="auto"/>
            </w:tcBorders>
            <w:shd w:val="clear" w:color="auto" w:fill="EAEAEA"/>
            <w:vAlign w:val="center"/>
          </w:tcPr>
          <w:p w14:paraId="1CBF9220" w14:textId="77777777" w:rsidR="004E65A9" w:rsidRPr="00BD1AD5" w:rsidRDefault="004E65A9" w:rsidP="008600F3">
            <w:pPr>
              <w:keepNext/>
              <w:contextualSpacing/>
            </w:pPr>
            <w:r>
              <w:t>60 mg</w:t>
            </w:r>
          </w:p>
        </w:tc>
      </w:tr>
      <w:bookmarkEnd w:id="15"/>
    </w:tbl>
    <w:p w14:paraId="7BE074EE" w14:textId="77777777" w:rsidR="004E65A9" w:rsidRDefault="004E65A9" w:rsidP="003F09AA">
      <w:pPr>
        <w:numPr>
          <w:ilvl w:val="12"/>
          <w:numId w:val="0"/>
        </w:numPr>
        <w:rPr>
          <w:rFonts w:eastAsia="SimSun"/>
          <w:highlight w:val="yellow"/>
          <w:lang w:eastAsia="zh-CN"/>
        </w:rPr>
      </w:pPr>
    </w:p>
    <w:p w14:paraId="6CF2B93B" w14:textId="77777777" w:rsidR="004E65A9" w:rsidRPr="00E14AD4" w:rsidRDefault="004E65A9" w:rsidP="003F09AA">
      <w:pPr>
        <w:pStyle w:val="Styleunderline"/>
        <w:keepNext/>
        <w:rPr>
          <w:rFonts w:eastAsia="SimSun"/>
        </w:rPr>
      </w:pPr>
      <w:r>
        <w:t>Barn og ungdom fra 6 år og oppover</w:t>
      </w:r>
    </w:p>
    <w:p w14:paraId="36B9067E" w14:textId="77777777" w:rsidR="004E65A9" w:rsidRDefault="004E65A9" w:rsidP="003F09AA">
      <w:pPr>
        <w:keepNext/>
        <w:numPr>
          <w:ilvl w:val="0"/>
          <w:numId w:val="42"/>
        </w:numPr>
        <w:rPr>
          <w:rFonts w:eastAsia="SimSun"/>
        </w:rPr>
      </w:pPr>
      <w:r>
        <w:t>Dosen med Otezla vil være basert på kroppsvekt.</w:t>
      </w:r>
    </w:p>
    <w:p w14:paraId="733AE590" w14:textId="77777777" w:rsidR="004E65A9" w:rsidRDefault="004E65A9" w:rsidP="003F09AA">
      <w:pPr>
        <w:keepNext/>
        <w:rPr>
          <w:rFonts w:eastAsia="SimSun"/>
          <w:lang w:eastAsia="zh-CN"/>
        </w:rPr>
      </w:pPr>
    </w:p>
    <w:p w14:paraId="3585C4B1" w14:textId="77777777" w:rsidR="004E65A9" w:rsidRPr="00E0686C" w:rsidRDefault="004E65A9" w:rsidP="003F09AA">
      <w:pPr>
        <w:keepNext/>
        <w:numPr>
          <w:ilvl w:val="12"/>
          <w:numId w:val="0"/>
        </w:numPr>
        <w:rPr>
          <w:rFonts w:eastAsia="SimSun"/>
        </w:rPr>
      </w:pPr>
      <w:r>
        <w:rPr>
          <w:i/>
        </w:rPr>
        <w:t>For pasienter som veier fra 20 kg til mindre enn 50 kg:</w:t>
      </w:r>
      <w:r>
        <w:t xml:space="preserve"> Den anbefalte dosen av Otezla er 20 mg to ganger daglig etter at titreringsfasen er fullført, én 20 mg dose om morgenen og én 20 mg dose om kvelden, med ca. 12 timers mellomrom, med eller uten mat. Dette gir en total døgndose på 40 mg.</w:t>
      </w:r>
    </w:p>
    <w:p w14:paraId="67D78C0C" w14:textId="77777777" w:rsidR="004E65A9" w:rsidRDefault="004E65A9" w:rsidP="003F09AA">
      <w:pPr>
        <w:keepNext/>
        <w:rPr>
          <w:rFonts w:eastAsia="SimSun"/>
          <w:lang w:eastAsia="zh-CN"/>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317"/>
        <w:gridCol w:w="2323"/>
        <w:gridCol w:w="2325"/>
        <w:gridCol w:w="2326"/>
      </w:tblGrid>
      <w:tr w:rsidR="004E65A9" w:rsidRPr="0016014C" w14:paraId="2E996A68" w14:textId="77777777" w:rsidTr="008600F3">
        <w:trPr>
          <w:cantSplit/>
          <w:tblHeader/>
        </w:trPr>
        <w:tc>
          <w:tcPr>
            <w:tcW w:w="1245" w:type="pct"/>
            <w:tcBorders>
              <w:top w:val="single" w:sz="12" w:space="0" w:color="auto"/>
              <w:left w:val="single" w:sz="12" w:space="0" w:color="auto"/>
              <w:right w:val="single" w:sz="12" w:space="0" w:color="auto"/>
            </w:tcBorders>
            <w:shd w:val="clear" w:color="auto" w:fill="D9D9D9"/>
            <w:vAlign w:val="center"/>
          </w:tcPr>
          <w:p w14:paraId="532488B7" w14:textId="77777777" w:rsidR="004E65A9" w:rsidRPr="00A34B81" w:rsidRDefault="004E65A9" w:rsidP="008600F3">
            <w:pPr>
              <w:pStyle w:val="Styletablebold"/>
              <w:rPr>
                <w:sz w:val="22"/>
                <w:szCs w:val="24"/>
              </w:rPr>
            </w:pPr>
          </w:p>
        </w:tc>
        <w:tc>
          <w:tcPr>
            <w:tcW w:w="3755" w:type="pct"/>
            <w:gridSpan w:val="3"/>
            <w:tcBorders>
              <w:top w:val="single" w:sz="12" w:space="0" w:color="auto"/>
              <w:left w:val="single" w:sz="12" w:space="0" w:color="auto"/>
              <w:right w:val="single" w:sz="12" w:space="0" w:color="auto"/>
            </w:tcBorders>
            <w:shd w:val="clear" w:color="auto" w:fill="D9D9D9"/>
            <w:vAlign w:val="center"/>
          </w:tcPr>
          <w:p w14:paraId="3B9DC4F3" w14:textId="77777777" w:rsidR="004E65A9" w:rsidRPr="00877412" w:rsidRDefault="004E65A9" w:rsidP="008600F3">
            <w:pPr>
              <w:pStyle w:val="Styletablebold"/>
              <w:jc w:val="center"/>
              <w:rPr>
                <w:sz w:val="22"/>
                <w:szCs w:val="24"/>
              </w:rPr>
            </w:pPr>
            <w:r w:rsidRPr="00A34B81">
              <w:rPr>
                <w:sz w:val="22"/>
                <w:szCs w:val="24"/>
              </w:rPr>
              <w:t>Vekt på 20 kg til under 50 kg</w:t>
            </w:r>
          </w:p>
        </w:tc>
      </w:tr>
      <w:tr w:rsidR="004E65A9" w:rsidRPr="0016014C" w14:paraId="36F05CE6" w14:textId="77777777" w:rsidTr="008600F3">
        <w:trPr>
          <w:cantSplit/>
          <w:tblHeader/>
        </w:trPr>
        <w:tc>
          <w:tcPr>
            <w:tcW w:w="1247" w:type="pct"/>
            <w:tcBorders>
              <w:top w:val="single" w:sz="12" w:space="0" w:color="auto"/>
              <w:left w:val="single" w:sz="12" w:space="0" w:color="auto"/>
              <w:bottom w:val="single" w:sz="12" w:space="0" w:color="auto"/>
              <w:right w:val="single" w:sz="12" w:space="0" w:color="auto"/>
            </w:tcBorders>
            <w:shd w:val="clear" w:color="auto" w:fill="D9D9D9"/>
          </w:tcPr>
          <w:p w14:paraId="4E93E03D" w14:textId="77777777" w:rsidR="004E65A9" w:rsidRPr="00A34B81" w:rsidRDefault="004E65A9" w:rsidP="008600F3">
            <w:pPr>
              <w:pStyle w:val="Styletablebold"/>
              <w:rPr>
                <w:sz w:val="22"/>
                <w:szCs w:val="24"/>
              </w:rPr>
            </w:pPr>
            <w:r w:rsidRPr="00A34B81">
              <w:rPr>
                <w:sz w:val="22"/>
                <w:szCs w:val="24"/>
              </w:rPr>
              <w:t>Dag</w:t>
            </w:r>
          </w:p>
        </w:tc>
        <w:tc>
          <w:tcPr>
            <w:tcW w:w="1250" w:type="pct"/>
            <w:tcBorders>
              <w:top w:val="single" w:sz="12" w:space="0" w:color="auto"/>
              <w:left w:val="single" w:sz="12" w:space="0" w:color="auto"/>
              <w:bottom w:val="single" w:sz="12" w:space="0" w:color="auto"/>
              <w:right w:val="single" w:sz="12" w:space="0" w:color="auto"/>
            </w:tcBorders>
            <w:shd w:val="clear" w:color="auto" w:fill="D9D9D9"/>
            <w:vAlign w:val="center"/>
          </w:tcPr>
          <w:p w14:paraId="1A0E5071" w14:textId="77777777" w:rsidR="004E65A9" w:rsidRPr="00A34B81" w:rsidRDefault="004E65A9" w:rsidP="008600F3">
            <w:pPr>
              <w:pStyle w:val="Styletablebold"/>
              <w:jc w:val="center"/>
              <w:rPr>
                <w:sz w:val="22"/>
                <w:szCs w:val="24"/>
              </w:rPr>
            </w:pPr>
            <w:r w:rsidRPr="00A34B81">
              <w:rPr>
                <w:sz w:val="22"/>
                <w:szCs w:val="24"/>
              </w:rPr>
              <w:t>Morgendose</w:t>
            </w:r>
          </w:p>
        </w:tc>
        <w:tc>
          <w:tcPr>
            <w:tcW w:w="1251" w:type="pct"/>
            <w:tcBorders>
              <w:top w:val="single" w:sz="12" w:space="0" w:color="auto"/>
              <w:left w:val="single" w:sz="12" w:space="0" w:color="auto"/>
              <w:bottom w:val="single" w:sz="12" w:space="0" w:color="auto"/>
              <w:right w:val="single" w:sz="12" w:space="0" w:color="auto"/>
            </w:tcBorders>
            <w:shd w:val="clear" w:color="auto" w:fill="D9D9D9"/>
            <w:vAlign w:val="center"/>
          </w:tcPr>
          <w:p w14:paraId="3230AF15" w14:textId="77777777" w:rsidR="004E65A9" w:rsidRPr="00A34B81" w:rsidRDefault="004E65A9" w:rsidP="008600F3">
            <w:pPr>
              <w:pStyle w:val="Styletablebold"/>
              <w:jc w:val="center"/>
              <w:rPr>
                <w:sz w:val="22"/>
                <w:szCs w:val="24"/>
              </w:rPr>
            </w:pPr>
            <w:r w:rsidRPr="00A34B81">
              <w:rPr>
                <w:sz w:val="22"/>
                <w:szCs w:val="24"/>
              </w:rPr>
              <w:t>Kveldsdose</w:t>
            </w:r>
          </w:p>
        </w:tc>
        <w:tc>
          <w:tcPr>
            <w:tcW w:w="1252" w:type="pct"/>
            <w:tcBorders>
              <w:top w:val="single" w:sz="12" w:space="0" w:color="auto"/>
              <w:left w:val="single" w:sz="12" w:space="0" w:color="auto"/>
              <w:bottom w:val="single" w:sz="12" w:space="0" w:color="auto"/>
              <w:right w:val="single" w:sz="12" w:space="0" w:color="auto"/>
            </w:tcBorders>
            <w:shd w:val="clear" w:color="auto" w:fill="D9D9D9"/>
            <w:vAlign w:val="center"/>
          </w:tcPr>
          <w:p w14:paraId="10B97CAB" w14:textId="77777777" w:rsidR="004E65A9" w:rsidRPr="00A34B81" w:rsidRDefault="004E65A9" w:rsidP="008600F3">
            <w:pPr>
              <w:pStyle w:val="Styletablebold"/>
              <w:jc w:val="center"/>
              <w:rPr>
                <w:sz w:val="22"/>
                <w:szCs w:val="24"/>
              </w:rPr>
            </w:pPr>
            <w:r w:rsidRPr="00A34B81">
              <w:rPr>
                <w:sz w:val="22"/>
                <w:szCs w:val="24"/>
              </w:rPr>
              <w:t>Total døgndose</w:t>
            </w:r>
          </w:p>
        </w:tc>
      </w:tr>
      <w:tr w:rsidR="004E65A9" w:rsidRPr="0016014C" w14:paraId="64B56904" w14:textId="77777777" w:rsidTr="008600F3">
        <w:trPr>
          <w:cantSplit/>
        </w:trPr>
        <w:tc>
          <w:tcPr>
            <w:tcW w:w="1247" w:type="pct"/>
            <w:tcBorders>
              <w:top w:val="single" w:sz="12" w:space="0" w:color="auto"/>
              <w:left w:val="single" w:sz="12" w:space="0" w:color="auto"/>
              <w:right w:val="single" w:sz="12" w:space="0" w:color="auto"/>
            </w:tcBorders>
            <w:shd w:val="clear" w:color="auto" w:fill="EAEAEA"/>
            <w:vAlign w:val="center"/>
          </w:tcPr>
          <w:p w14:paraId="3E28C6E9" w14:textId="77777777" w:rsidR="004E65A9" w:rsidRPr="00A34B81" w:rsidRDefault="004E65A9" w:rsidP="008600F3">
            <w:pPr>
              <w:pStyle w:val="Styletablebold"/>
              <w:keepNext w:val="0"/>
              <w:rPr>
                <w:sz w:val="22"/>
                <w:szCs w:val="24"/>
              </w:rPr>
            </w:pPr>
            <w:r w:rsidRPr="00A34B81">
              <w:rPr>
                <w:sz w:val="22"/>
                <w:szCs w:val="24"/>
              </w:rPr>
              <w:t>Dag 1</w:t>
            </w:r>
          </w:p>
        </w:tc>
        <w:tc>
          <w:tcPr>
            <w:tcW w:w="1250" w:type="pct"/>
            <w:tcBorders>
              <w:top w:val="single" w:sz="12" w:space="0" w:color="auto"/>
              <w:left w:val="single" w:sz="12" w:space="0" w:color="auto"/>
              <w:right w:val="single" w:sz="12" w:space="0" w:color="auto"/>
            </w:tcBorders>
            <w:vAlign w:val="center"/>
          </w:tcPr>
          <w:p w14:paraId="3D63ACF0" w14:textId="77777777" w:rsidR="004E65A9" w:rsidRPr="00A34B81" w:rsidRDefault="004E65A9" w:rsidP="008600F3">
            <w:pPr>
              <w:pStyle w:val="Styletable10pts"/>
              <w:suppressAutoHyphens/>
              <w:rPr>
                <w:sz w:val="22"/>
                <w:szCs w:val="24"/>
              </w:rPr>
            </w:pPr>
            <w:r w:rsidRPr="00A34B81">
              <w:rPr>
                <w:sz w:val="22"/>
                <w:szCs w:val="24"/>
              </w:rPr>
              <w:t>10 mg (rosa)</w:t>
            </w:r>
          </w:p>
        </w:tc>
        <w:tc>
          <w:tcPr>
            <w:tcW w:w="1251" w:type="pct"/>
            <w:tcBorders>
              <w:top w:val="single" w:sz="12" w:space="0" w:color="auto"/>
              <w:left w:val="single" w:sz="12" w:space="0" w:color="auto"/>
              <w:right w:val="single" w:sz="12" w:space="0" w:color="auto"/>
            </w:tcBorders>
            <w:shd w:val="clear" w:color="auto" w:fill="000000"/>
            <w:vAlign w:val="center"/>
          </w:tcPr>
          <w:p w14:paraId="33EE5A4A" w14:textId="77777777" w:rsidR="004E65A9" w:rsidRPr="00A34B81" w:rsidRDefault="004E65A9" w:rsidP="008600F3">
            <w:pPr>
              <w:pStyle w:val="Styletablebold"/>
              <w:keepNext w:val="0"/>
              <w:rPr>
                <w:color w:val="FFFFFF"/>
                <w:sz w:val="22"/>
                <w:szCs w:val="24"/>
              </w:rPr>
            </w:pPr>
            <w:r w:rsidRPr="00A34B81">
              <w:rPr>
                <w:color w:val="FFFFFF"/>
                <w:sz w:val="22"/>
                <w:szCs w:val="24"/>
              </w:rPr>
              <w:t>Ta ingen dose</w:t>
            </w:r>
          </w:p>
        </w:tc>
        <w:tc>
          <w:tcPr>
            <w:tcW w:w="1252" w:type="pct"/>
            <w:tcBorders>
              <w:top w:val="single" w:sz="12" w:space="0" w:color="auto"/>
              <w:left w:val="single" w:sz="12" w:space="0" w:color="auto"/>
              <w:right w:val="single" w:sz="12" w:space="0" w:color="auto"/>
            </w:tcBorders>
            <w:shd w:val="clear" w:color="auto" w:fill="EAEAEA"/>
            <w:vAlign w:val="center"/>
          </w:tcPr>
          <w:p w14:paraId="5A0AA053" w14:textId="77777777" w:rsidR="004E65A9" w:rsidRPr="00A34B81" w:rsidRDefault="004E65A9" w:rsidP="008600F3">
            <w:pPr>
              <w:pStyle w:val="Styletable10pts"/>
              <w:suppressAutoHyphens/>
              <w:rPr>
                <w:sz w:val="22"/>
                <w:szCs w:val="24"/>
              </w:rPr>
            </w:pPr>
            <w:r w:rsidRPr="00A34B81">
              <w:rPr>
                <w:sz w:val="22"/>
                <w:szCs w:val="24"/>
              </w:rPr>
              <w:t>10 mg</w:t>
            </w:r>
          </w:p>
        </w:tc>
      </w:tr>
      <w:tr w:rsidR="004E65A9" w:rsidRPr="0016014C" w14:paraId="2E98375F" w14:textId="77777777" w:rsidTr="008600F3">
        <w:trPr>
          <w:cantSplit/>
        </w:trPr>
        <w:tc>
          <w:tcPr>
            <w:tcW w:w="1247" w:type="pct"/>
            <w:tcBorders>
              <w:left w:val="single" w:sz="12" w:space="0" w:color="auto"/>
              <w:right w:val="single" w:sz="12" w:space="0" w:color="auto"/>
            </w:tcBorders>
            <w:shd w:val="clear" w:color="auto" w:fill="EAEAEA"/>
            <w:vAlign w:val="center"/>
          </w:tcPr>
          <w:p w14:paraId="1E8AA8A1" w14:textId="77777777" w:rsidR="004E65A9" w:rsidRPr="00A34B81" w:rsidRDefault="004E65A9" w:rsidP="008600F3">
            <w:pPr>
              <w:pStyle w:val="Styletablebold"/>
              <w:keepNext w:val="0"/>
              <w:rPr>
                <w:sz w:val="22"/>
                <w:szCs w:val="24"/>
              </w:rPr>
            </w:pPr>
            <w:r w:rsidRPr="00A34B81">
              <w:rPr>
                <w:sz w:val="22"/>
                <w:szCs w:val="24"/>
              </w:rPr>
              <w:t>Dag 2</w:t>
            </w:r>
          </w:p>
        </w:tc>
        <w:tc>
          <w:tcPr>
            <w:tcW w:w="1250" w:type="pct"/>
            <w:tcBorders>
              <w:left w:val="single" w:sz="12" w:space="0" w:color="auto"/>
              <w:right w:val="single" w:sz="12" w:space="0" w:color="auto"/>
            </w:tcBorders>
            <w:vAlign w:val="center"/>
          </w:tcPr>
          <w:p w14:paraId="4873EABA" w14:textId="77777777" w:rsidR="004E65A9" w:rsidRPr="00A34B81" w:rsidRDefault="004E65A9" w:rsidP="008600F3">
            <w:pPr>
              <w:pStyle w:val="Styletable10pts"/>
              <w:suppressAutoHyphens/>
              <w:rPr>
                <w:sz w:val="22"/>
                <w:szCs w:val="24"/>
              </w:rPr>
            </w:pPr>
            <w:r w:rsidRPr="00A34B81">
              <w:rPr>
                <w:sz w:val="22"/>
                <w:szCs w:val="24"/>
              </w:rPr>
              <w:t>10 mg (rosa)</w:t>
            </w:r>
          </w:p>
        </w:tc>
        <w:tc>
          <w:tcPr>
            <w:tcW w:w="1251" w:type="pct"/>
            <w:tcBorders>
              <w:left w:val="single" w:sz="12" w:space="0" w:color="auto"/>
              <w:right w:val="single" w:sz="12" w:space="0" w:color="auto"/>
            </w:tcBorders>
            <w:vAlign w:val="center"/>
          </w:tcPr>
          <w:p w14:paraId="2200AAED" w14:textId="77777777" w:rsidR="004E65A9" w:rsidRPr="00A34B81" w:rsidRDefault="004E65A9" w:rsidP="008600F3">
            <w:pPr>
              <w:pStyle w:val="Styletable10pts"/>
              <w:suppressAutoHyphens/>
              <w:rPr>
                <w:sz w:val="22"/>
                <w:szCs w:val="24"/>
              </w:rPr>
            </w:pPr>
            <w:r w:rsidRPr="00A34B81">
              <w:rPr>
                <w:sz w:val="22"/>
                <w:szCs w:val="24"/>
              </w:rPr>
              <w:t>10 mg (rosa)</w:t>
            </w:r>
          </w:p>
        </w:tc>
        <w:tc>
          <w:tcPr>
            <w:tcW w:w="1252" w:type="pct"/>
            <w:tcBorders>
              <w:left w:val="single" w:sz="12" w:space="0" w:color="auto"/>
              <w:right w:val="single" w:sz="12" w:space="0" w:color="auto"/>
            </w:tcBorders>
            <w:shd w:val="clear" w:color="auto" w:fill="EAEAEA"/>
            <w:vAlign w:val="center"/>
          </w:tcPr>
          <w:p w14:paraId="0EAA1945" w14:textId="77777777" w:rsidR="004E65A9" w:rsidRPr="00A34B81" w:rsidRDefault="004E65A9" w:rsidP="008600F3">
            <w:pPr>
              <w:pStyle w:val="Styletable10pts"/>
              <w:suppressAutoHyphens/>
              <w:rPr>
                <w:sz w:val="22"/>
                <w:szCs w:val="24"/>
              </w:rPr>
            </w:pPr>
            <w:r w:rsidRPr="00A34B81">
              <w:rPr>
                <w:sz w:val="22"/>
                <w:szCs w:val="24"/>
              </w:rPr>
              <w:t>20 mg</w:t>
            </w:r>
          </w:p>
        </w:tc>
      </w:tr>
      <w:tr w:rsidR="004E65A9" w:rsidRPr="0016014C" w14:paraId="61E218AD" w14:textId="77777777" w:rsidTr="008600F3">
        <w:trPr>
          <w:cantSplit/>
        </w:trPr>
        <w:tc>
          <w:tcPr>
            <w:tcW w:w="1247" w:type="pct"/>
            <w:tcBorders>
              <w:left w:val="single" w:sz="12" w:space="0" w:color="auto"/>
              <w:right w:val="single" w:sz="12" w:space="0" w:color="auto"/>
            </w:tcBorders>
            <w:shd w:val="clear" w:color="auto" w:fill="EAEAEA"/>
            <w:vAlign w:val="center"/>
          </w:tcPr>
          <w:p w14:paraId="2091000B" w14:textId="77777777" w:rsidR="004E65A9" w:rsidRPr="00A34B81" w:rsidRDefault="004E65A9" w:rsidP="008600F3">
            <w:pPr>
              <w:pStyle w:val="Styletablebold"/>
              <w:keepNext w:val="0"/>
              <w:rPr>
                <w:sz w:val="22"/>
                <w:szCs w:val="24"/>
              </w:rPr>
            </w:pPr>
            <w:r w:rsidRPr="00A34B81">
              <w:rPr>
                <w:sz w:val="22"/>
                <w:szCs w:val="24"/>
              </w:rPr>
              <w:t>Dag 3</w:t>
            </w:r>
          </w:p>
        </w:tc>
        <w:tc>
          <w:tcPr>
            <w:tcW w:w="1250" w:type="pct"/>
            <w:tcBorders>
              <w:left w:val="single" w:sz="12" w:space="0" w:color="auto"/>
              <w:right w:val="single" w:sz="12" w:space="0" w:color="auto"/>
            </w:tcBorders>
            <w:vAlign w:val="center"/>
          </w:tcPr>
          <w:p w14:paraId="75BB793D" w14:textId="77777777" w:rsidR="004E65A9" w:rsidRPr="00A34B81" w:rsidRDefault="004E65A9" w:rsidP="008600F3">
            <w:pPr>
              <w:pStyle w:val="Styletable10pts"/>
              <w:suppressAutoHyphens/>
              <w:rPr>
                <w:sz w:val="22"/>
                <w:szCs w:val="24"/>
              </w:rPr>
            </w:pPr>
            <w:r w:rsidRPr="00A34B81">
              <w:rPr>
                <w:sz w:val="22"/>
                <w:szCs w:val="24"/>
              </w:rPr>
              <w:t>10 mg (rosa)</w:t>
            </w:r>
          </w:p>
        </w:tc>
        <w:tc>
          <w:tcPr>
            <w:tcW w:w="1251" w:type="pct"/>
            <w:tcBorders>
              <w:left w:val="single" w:sz="12" w:space="0" w:color="auto"/>
              <w:right w:val="single" w:sz="12" w:space="0" w:color="auto"/>
            </w:tcBorders>
            <w:vAlign w:val="center"/>
          </w:tcPr>
          <w:p w14:paraId="342711CC" w14:textId="77777777" w:rsidR="004E65A9" w:rsidRPr="00A34B81" w:rsidRDefault="004E65A9" w:rsidP="008600F3">
            <w:pPr>
              <w:pStyle w:val="Styletable10pts"/>
              <w:suppressAutoHyphens/>
              <w:rPr>
                <w:sz w:val="22"/>
                <w:szCs w:val="24"/>
              </w:rPr>
            </w:pPr>
            <w:r w:rsidRPr="00A34B81">
              <w:rPr>
                <w:sz w:val="22"/>
                <w:szCs w:val="24"/>
              </w:rPr>
              <w:t>20 mg (brun)</w:t>
            </w:r>
          </w:p>
        </w:tc>
        <w:tc>
          <w:tcPr>
            <w:tcW w:w="1252" w:type="pct"/>
            <w:tcBorders>
              <w:left w:val="single" w:sz="12" w:space="0" w:color="auto"/>
              <w:right w:val="single" w:sz="12" w:space="0" w:color="auto"/>
            </w:tcBorders>
            <w:shd w:val="clear" w:color="auto" w:fill="EAEAEA"/>
            <w:vAlign w:val="center"/>
          </w:tcPr>
          <w:p w14:paraId="59E283AB" w14:textId="77777777" w:rsidR="004E65A9" w:rsidRPr="00A34B81" w:rsidRDefault="004E65A9" w:rsidP="008600F3">
            <w:pPr>
              <w:pStyle w:val="Styletable10pts"/>
              <w:suppressAutoHyphens/>
              <w:rPr>
                <w:sz w:val="22"/>
                <w:szCs w:val="24"/>
              </w:rPr>
            </w:pPr>
            <w:r w:rsidRPr="00A34B81">
              <w:rPr>
                <w:sz w:val="22"/>
                <w:szCs w:val="24"/>
              </w:rPr>
              <w:t>30 mg</w:t>
            </w:r>
          </w:p>
        </w:tc>
      </w:tr>
      <w:tr w:rsidR="004E65A9" w:rsidRPr="0016014C" w14:paraId="1E733C1D" w14:textId="77777777" w:rsidTr="008600F3">
        <w:trPr>
          <w:cantSplit/>
        </w:trPr>
        <w:tc>
          <w:tcPr>
            <w:tcW w:w="1247" w:type="pct"/>
            <w:tcBorders>
              <w:left w:val="single" w:sz="12" w:space="0" w:color="auto"/>
              <w:right w:val="single" w:sz="12" w:space="0" w:color="auto"/>
            </w:tcBorders>
            <w:shd w:val="clear" w:color="auto" w:fill="EAEAEA"/>
            <w:vAlign w:val="center"/>
          </w:tcPr>
          <w:p w14:paraId="39D991B8" w14:textId="77777777" w:rsidR="004E65A9" w:rsidRPr="00A34B81" w:rsidRDefault="004E65A9" w:rsidP="008600F3">
            <w:pPr>
              <w:pStyle w:val="Styletablebold"/>
              <w:keepNext w:val="0"/>
              <w:rPr>
                <w:sz w:val="22"/>
                <w:szCs w:val="24"/>
              </w:rPr>
            </w:pPr>
            <w:r w:rsidRPr="00A34B81">
              <w:rPr>
                <w:sz w:val="22"/>
                <w:szCs w:val="24"/>
              </w:rPr>
              <w:t>Dag 4</w:t>
            </w:r>
          </w:p>
        </w:tc>
        <w:tc>
          <w:tcPr>
            <w:tcW w:w="1250" w:type="pct"/>
            <w:tcBorders>
              <w:left w:val="single" w:sz="12" w:space="0" w:color="auto"/>
              <w:right w:val="single" w:sz="12" w:space="0" w:color="auto"/>
            </w:tcBorders>
            <w:vAlign w:val="center"/>
          </w:tcPr>
          <w:p w14:paraId="6AB816C2" w14:textId="77777777" w:rsidR="004E65A9" w:rsidRPr="00A34B81" w:rsidRDefault="004E65A9" w:rsidP="008600F3">
            <w:pPr>
              <w:pStyle w:val="Styletable10pts"/>
              <w:suppressAutoHyphens/>
              <w:rPr>
                <w:sz w:val="22"/>
                <w:szCs w:val="24"/>
              </w:rPr>
            </w:pPr>
            <w:r w:rsidRPr="00A34B81">
              <w:rPr>
                <w:sz w:val="22"/>
                <w:szCs w:val="24"/>
              </w:rPr>
              <w:t>20 mg (brun)</w:t>
            </w:r>
          </w:p>
        </w:tc>
        <w:tc>
          <w:tcPr>
            <w:tcW w:w="1251" w:type="pct"/>
            <w:tcBorders>
              <w:left w:val="single" w:sz="12" w:space="0" w:color="auto"/>
              <w:right w:val="single" w:sz="12" w:space="0" w:color="auto"/>
            </w:tcBorders>
            <w:vAlign w:val="center"/>
          </w:tcPr>
          <w:p w14:paraId="334E054A" w14:textId="77777777" w:rsidR="004E65A9" w:rsidRPr="00A34B81" w:rsidRDefault="004E65A9" w:rsidP="008600F3">
            <w:pPr>
              <w:pStyle w:val="Styletable10pts"/>
              <w:suppressAutoHyphens/>
              <w:rPr>
                <w:sz w:val="22"/>
                <w:szCs w:val="24"/>
              </w:rPr>
            </w:pPr>
            <w:r w:rsidRPr="00A34B81">
              <w:rPr>
                <w:sz w:val="22"/>
                <w:szCs w:val="24"/>
              </w:rPr>
              <w:t>20 mg (brun)</w:t>
            </w:r>
          </w:p>
        </w:tc>
        <w:tc>
          <w:tcPr>
            <w:tcW w:w="1252" w:type="pct"/>
            <w:tcBorders>
              <w:left w:val="single" w:sz="12" w:space="0" w:color="auto"/>
              <w:right w:val="single" w:sz="12" w:space="0" w:color="auto"/>
            </w:tcBorders>
            <w:shd w:val="clear" w:color="auto" w:fill="EAEAEA"/>
            <w:vAlign w:val="center"/>
          </w:tcPr>
          <w:p w14:paraId="532DC88A" w14:textId="77777777" w:rsidR="004E65A9" w:rsidRPr="00A34B81" w:rsidRDefault="004E65A9" w:rsidP="008600F3">
            <w:pPr>
              <w:pStyle w:val="Styletable10pts"/>
              <w:suppressAutoHyphens/>
              <w:rPr>
                <w:sz w:val="22"/>
                <w:szCs w:val="24"/>
              </w:rPr>
            </w:pPr>
            <w:r w:rsidRPr="00A34B81">
              <w:rPr>
                <w:sz w:val="22"/>
                <w:szCs w:val="24"/>
              </w:rPr>
              <w:t>40 mg</w:t>
            </w:r>
          </w:p>
        </w:tc>
      </w:tr>
      <w:tr w:rsidR="004E65A9" w:rsidRPr="0016014C" w14:paraId="4A2E915E" w14:textId="77777777" w:rsidTr="008600F3">
        <w:trPr>
          <w:cantSplit/>
        </w:trPr>
        <w:tc>
          <w:tcPr>
            <w:tcW w:w="1247" w:type="pct"/>
            <w:tcBorders>
              <w:left w:val="single" w:sz="12" w:space="0" w:color="auto"/>
              <w:right w:val="single" w:sz="12" w:space="0" w:color="auto"/>
            </w:tcBorders>
            <w:shd w:val="clear" w:color="auto" w:fill="EAEAEA"/>
            <w:vAlign w:val="center"/>
          </w:tcPr>
          <w:p w14:paraId="45D5E02E" w14:textId="77777777" w:rsidR="004E65A9" w:rsidRPr="00A34B81" w:rsidRDefault="004E65A9" w:rsidP="008600F3">
            <w:pPr>
              <w:pStyle w:val="Styletablebold"/>
              <w:rPr>
                <w:sz w:val="22"/>
                <w:szCs w:val="24"/>
              </w:rPr>
            </w:pPr>
            <w:r w:rsidRPr="00A34B81">
              <w:rPr>
                <w:sz w:val="22"/>
                <w:szCs w:val="24"/>
              </w:rPr>
              <w:t>Dag 5</w:t>
            </w:r>
          </w:p>
        </w:tc>
        <w:tc>
          <w:tcPr>
            <w:tcW w:w="1250" w:type="pct"/>
            <w:tcBorders>
              <w:left w:val="single" w:sz="12" w:space="0" w:color="auto"/>
              <w:right w:val="single" w:sz="12" w:space="0" w:color="auto"/>
            </w:tcBorders>
            <w:vAlign w:val="center"/>
          </w:tcPr>
          <w:p w14:paraId="39060EAA" w14:textId="77777777" w:rsidR="004E65A9" w:rsidRPr="00A34B81" w:rsidRDefault="004E65A9" w:rsidP="008600F3">
            <w:pPr>
              <w:pStyle w:val="Styletable10pts"/>
              <w:keepNext/>
              <w:suppressAutoHyphens/>
              <w:rPr>
                <w:sz w:val="22"/>
                <w:szCs w:val="24"/>
              </w:rPr>
            </w:pPr>
            <w:r w:rsidRPr="00A34B81">
              <w:rPr>
                <w:sz w:val="22"/>
                <w:szCs w:val="24"/>
              </w:rPr>
              <w:t>20 mg (brun)</w:t>
            </w:r>
          </w:p>
        </w:tc>
        <w:tc>
          <w:tcPr>
            <w:tcW w:w="1251" w:type="pct"/>
            <w:tcBorders>
              <w:left w:val="single" w:sz="12" w:space="0" w:color="auto"/>
              <w:right w:val="single" w:sz="12" w:space="0" w:color="auto"/>
            </w:tcBorders>
            <w:vAlign w:val="center"/>
          </w:tcPr>
          <w:p w14:paraId="386D7450" w14:textId="77777777" w:rsidR="004E65A9" w:rsidRPr="00A34B81" w:rsidRDefault="004E65A9" w:rsidP="008600F3">
            <w:pPr>
              <w:pStyle w:val="Styletable10pts"/>
              <w:keepNext/>
              <w:suppressAutoHyphens/>
              <w:rPr>
                <w:sz w:val="22"/>
                <w:szCs w:val="24"/>
              </w:rPr>
            </w:pPr>
            <w:r w:rsidRPr="00A34B81">
              <w:rPr>
                <w:sz w:val="22"/>
                <w:szCs w:val="24"/>
              </w:rPr>
              <w:t>20 mg (brun)</w:t>
            </w:r>
          </w:p>
        </w:tc>
        <w:tc>
          <w:tcPr>
            <w:tcW w:w="1252" w:type="pct"/>
            <w:tcBorders>
              <w:left w:val="single" w:sz="12" w:space="0" w:color="auto"/>
              <w:right w:val="single" w:sz="12" w:space="0" w:color="auto"/>
            </w:tcBorders>
            <w:shd w:val="clear" w:color="auto" w:fill="EAEAEA"/>
            <w:vAlign w:val="center"/>
          </w:tcPr>
          <w:p w14:paraId="5A13F1C2" w14:textId="77777777" w:rsidR="004E65A9" w:rsidRPr="00A34B81" w:rsidRDefault="004E65A9" w:rsidP="008600F3">
            <w:pPr>
              <w:pStyle w:val="Styletable10pts"/>
              <w:keepNext/>
              <w:suppressAutoHyphens/>
              <w:rPr>
                <w:sz w:val="22"/>
                <w:szCs w:val="24"/>
              </w:rPr>
            </w:pPr>
            <w:r w:rsidRPr="00A34B81">
              <w:rPr>
                <w:sz w:val="22"/>
                <w:szCs w:val="24"/>
              </w:rPr>
              <w:t>40 mg</w:t>
            </w:r>
          </w:p>
        </w:tc>
      </w:tr>
      <w:tr w:rsidR="004E65A9" w:rsidRPr="0016014C" w14:paraId="564E79BE" w14:textId="77777777" w:rsidTr="008600F3">
        <w:trPr>
          <w:cantSplit/>
        </w:trPr>
        <w:tc>
          <w:tcPr>
            <w:tcW w:w="1247" w:type="pct"/>
            <w:tcBorders>
              <w:left w:val="single" w:sz="12" w:space="0" w:color="auto"/>
              <w:bottom w:val="single" w:sz="12" w:space="0" w:color="auto"/>
              <w:right w:val="single" w:sz="12" w:space="0" w:color="auto"/>
            </w:tcBorders>
            <w:shd w:val="clear" w:color="auto" w:fill="EAEAEA"/>
            <w:vAlign w:val="center"/>
          </w:tcPr>
          <w:p w14:paraId="778BA095" w14:textId="77777777" w:rsidR="004E65A9" w:rsidRPr="00A34B81" w:rsidRDefault="004E65A9" w:rsidP="008600F3">
            <w:pPr>
              <w:pStyle w:val="Styletablebold"/>
              <w:keepNext w:val="0"/>
              <w:rPr>
                <w:sz w:val="22"/>
                <w:szCs w:val="24"/>
              </w:rPr>
            </w:pPr>
            <w:r w:rsidRPr="00A34B81">
              <w:rPr>
                <w:sz w:val="22"/>
                <w:szCs w:val="24"/>
              </w:rPr>
              <w:t>Dag 6 og deretter</w:t>
            </w:r>
          </w:p>
        </w:tc>
        <w:tc>
          <w:tcPr>
            <w:tcW w:w="1250" w:type="pct"/>
            <w:tcBorders>
              <w:left w:val="single" w:sz="12" w:space="0" w:color="auto"/>
              <w:bottom w:val="single" w:sz="12" w:space="0" w:color="auto"/>
              <w:right w:val="single" w:sz="12" w:space="0" w:color="auto"/>
            </w:tcBorders>
            <w:vAlign w:val="center"/>
          </w:tcPr>
          <w:p w14:paraId="429C6160" w14:textId="77777777" w:rsidR="004E65A9" w:rsidRPr="00A34B81" w:rsidRDefault="004E65A9" w:rsidP="008600F3">
            <w:pPr>
              <w:pStyle w:val="Styletable10pts"/>
              <w:suppressAutoHyphens/>
              <w:rPr>
                <w:sz w:val="22"/>
                <w:szCs w:val="24"/>
              </w:rPr>
            </w:pPr>
            <w:r w:rsidRPr="00A34B81">
              <w:rPr>
                <w:sz w:val="22"/>
                <w:szCs w:val="24"/>
              </w:rPr>
              <w:t>20 mg (brun)</w:t>
            </w:r>
          </w:p>
        </w:tc>
        <w:tc>
          <w:tcPr>
            <w:tcW w:w="1251" w:type="pct"/>
            <w:tcBorders>
              <w:left w:val="single" w:sz="12" w:space="0" w:color="auto"/>
              <w:bottom w:val="single" w:sz="12" w:space="0" w:color="auto"/>
              <w:right w:val="single" w:sz="12" w:space="0" w:color="auto"/>
            </w:tcBorders>
            <w:vAlign w:val="center"/>
          </w:tcPr>
          <w:p w14:paraId="0450736D" w14:textId="77777777" w:rsidR="004E65A9" w:rsidRPr="00A34B81" w:rsidRDefault="004E65A9" w:rsidP="008600F3">
            <w:pPr>
              <w:pStyle w:val="Styletable10pts"/>
              <w:suppressAutoHyphens/>
              <w:rPr>
                <w:sz w:val="22"/>
                <w:szCs w:val="24"/>
              </w:rPr>
            </w:pPr>
            <w:r w:rsidRPr="00A34B81">
              <w:rPr>
                <w:sz w:val="22"/>
                <w:szCs w:val="24"/>
              </w:rPr>
              <w:t>20 mg (brun)</w:t>
            </w:r>
          </w:p>
        </w:tc>
        <w:tc>
          <w:tcPr>
            <w:tcW w:w="1252" w:type="pct"/>
            <w:tcBorders>
              <w:left w:val="single" w:sz="12" w:space="0" w:color="auto"/>
              <w:bottom w:val="single" w:sz="12" w:space="0" w:color="auto"/>
              <w:right w:val="single" w:sz="12" w:space="0" w:color="auto"/>
            </w:tcBorders>
            <w:shd w:val="clear" w:color="auto" w:fill="EAEAEA"/>
            <w:vAlign w:val="center"/>
          </w:tcPr>
          <w:p w14:paraId="1D68BE05" w14:textId="77777777" w:rsidR="004E65A9" w:rsidRPr="00A34B81" w:rsidRDefault="004E65A9" w:rsidP="008600F3">
            <w:pPr>
              <w:pStyle w:val="Styletable10pts"/>
              <w:suppressAutoHyphens/>
              <w:rPr>
                <w:sz w:val="22"/>
                <w:szCs w:val="24"/>
              </w:rPr>
            </w:pPr>
            <w:r w:rsidRPr="00A34B81">
              <w:rPr>
                <w:sz w:val="22"/>
                <w:szCs w:val="24"/>
              </w:rPr>
              <w:t>40 mg</w:t>
            </w:r>
          </w:p>
        </w:tc>
      </w:tr>
    </w:tbl>
    <w:p w14:paraId="1BA14325" w14:textId="77777777" w:rsidR="004E65A9" w:rsidRDefault="004E65A9" w:rsidP="003F09AA">
      <w:pPr>
        <w:keepNext/>
        <w:numPr>
          <w:ilvl w:val="12"/>
          <w:numId w:val="0"/>
        </w:numPr>
        <w:rPr>
          <w:i/>
        </w:rPr>
      </w:pPr>
    </w:p>
    <w:p w14:paraId="1499A31C" w14:textId="77777777" w:rsidR="004E65A9" w:rsidRDefault="004E65A9" w:rsidP="003F09AA">
      <w:pPr>
        <w:keepNext/>
        <w:numPr>
          <w:ilvl w:val="12"/>
          <w:numId w:val="0"/>
        </w:numPr>
        <w:rPr>
          <w:rFonts w:eastAsia="SimSun"/>
        </w:rPr>
      </w:pPr>
      <w:r>
        <w:rPr>
          <w:i/>
        </w:rPr>
        <w:t>For pasienter som veier minst 50 kg:</w:t>
      </w:r>
      <w:r>
        <w:t xml:space="preserve"> Den anbefalte dosen av Otezla er 30 mg to ganger daglig etter at titreringsfasen er fullført (det samme som voksen dose), én 30 mg dose om morgenen og én 30 mg dose om kvelden, med ca. 12 timers mellomrom, med eller uten mat. Dette gir en total døgndose på 60 mg.</w:t>
      </w:r>
    </w:p>
    <w:p w14:paraId="65131348" w14:textId="77777777" w:rsidR="004E65A9" w:rsidRPr="00E14AD4" w:rsidRDefault="004E65A9" w:rsidP="003F09AA">
      <w:pPr>
        <w:rPr>
          <w:rFonts w:eastAsia="SimSun"/>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323"/>
        <w:gridCol w:w="2328"/>
        <w:gridCol w:w="2325"/>
        <w:gridCol w:w="2315"/>
      </w:tblGrid>
      <w:tr w:rsidR="004E65A9" w:rsidRPr="0016014C" w14:paraId="067D5180" w14:textId="77777777" w:rsidTr="008600F3">
        <w:trPr>
          <w:cantSplit/>
          <w:tblHeader/>
        </w:trPr>
        <w:tc>
          <w:tcPr>
            <w:tcW w:w="1250" w:type="pct"/>
            <w:tcBorders>
              <w:top w:val="single" w:sz="12" w:space="0" w:color="auto"/>
              <w:left w:val="single" w:sz="12" w:space="0" w:color="auto"/>
              <w:bottom w:val="single" w:sz="12" w:space="0" w:color="auto"/>
              <w:right w:val="single" w:sz="12" w:space="0" w:color="auto"/>
            </w:tcBorders>
            <w:shd w:val="clear" w:color="auto" w:fill="D9D9D9"/>
            <w:vAlign w:val="center"/>
          </w:tcPr>
          <w:p w14:paraId="27D78E25" w14:textId="77777777" w:rsidR="004E65A9" w:rsidRPr="007668DA" w:rsidRDefault="004E65A9" w:rsidP="008600F3">
            <w:pPr>
              <w:pStyle w:val="Styletablebold"/>
              <w:jc w:val="center"/>
              <w:rPr>
                <w:sz w:val="22"/>
                <w:szCs w:val="24"/>
              </w:rPr>
            </w:pPr>
          </w:p>
        </w:tc>
        <w:tc>
          <w:tcPr>
            <w:tcW w:w="3750" w:type="pct"/>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1374E4E1" w14:textId="77777777" w:rsidR="004E65A9" w:rsidRPr="00A34B81" w:rsidRDefault="004E65A9" w:rsidP="008600F3">
            <w:pPr>
              <w:pStyle w:val="Styletablebold"/>
              <w:jc w:val="center"/>
              <w:rPr>
                <w:sz w:val="22"/>
                <w:szCs w:val="24"/>
              </w:rPr>
            </w:pPr>
            <w:r w:rsidRPr="00F94205">
              <w:rPr>
                <w:sz w:val="22"/>
                <w:szCs w:val="24"/>
              </w:rPr>
              <w:t>Vekt på 50 kg eller mer</w:t>
            </w:r>
          </w:p>
        </w:tc>
      </w:tr>
      <w:tr w:rsidR="004E65A9" w:rsidRPr="0016014C" w14:paraId="4995A418" w14:textId="77777777" w:rsidTr="008600F3">
        <w:trPr>
          <w:cantSplit/>
          <w:tblHeader/>
        </w:trPr>
        <w:tc>
          <w:tcPr>
            <w:tcW w:w="1250" w:type="pct"/>
            <w:tcBorders>
              <w:top w:val="single" w:sz="12" w:space="0" w:color="auto"/>
              <w:left w:val="single" w:sz="12" w:space="0" w:color="auto"/>
              <w:bottom w:val="single" w:sz="12" w:space="0" w:color="auto"/>
              <w:right w:val="single" w:sz="12" w:space="0" w:color="auto"/>
            </w:tcBorders>
            <w:shd w:val="clear" w:color="auto" w:fill="D9D9D9"/>
          </w:tcPr>
          <w:p w14:paraId="10AC531A" w14:textId="77777777" w:rsidR="004E65A9" w:rsidRPr="00A34B81" w:rsidRDefault="004E65A9" w:rsidP="008600F3">
            <w:pPr>
              <w:pStyle w:val="Styletablebold"/>
              <w:rPr>
                <w:sz w:val="22"/>
                <w:szCs w:val="24"/>
              </w:rPr>
            </w:pPr>
            <w:r w:rsidRPr="00A34B81">
              <w:rPr>
                <w:sz w:val="22"/>
                <w:szCs w:val="24"/>
              </w:rPr>
              <w:t>Dag</w:t>
            </w:r>
          </w:p>
        </w:tc>
        <w:tc>
          <w:tcPr>
            <w:tcW w:w="1253" w:type="pct"/>
            <w:tcBorders>
              <w:top w:val="single" w:sz="12" w:space="0" w:color="auto"/>
              <w:left w:val="single" w:sz="12" w:space="0" w:color="auto"/>
              <w:bottom w:val="single" w:sz="12" w:space="0" w:color="auto"/>
              <w:right w:val="single" w:sz="12" w:space="0" w:color="auto"/>
            </w:tcBorders>
            <w:shd w:val="clear" w:color="auto" w:fill="D9D9D9"/>
            <w:vAlign w:val="center"/>
          </w:tcPr>
          <w:p w14:paraId="3DFCB761" w14:textId="77777777" w:rsidR="004E65A9" w:rsidRPr="00A34B81" w:rsidRDefault="004E65A9" w:rsidP="008600F3">
            <w:pPr>
              <w:pStyle w:val="Styletablebold"/>
              <w:jc w:val="center"/>
              <w:rPr>
                <w:sz w:val="22"/>
                <w:szCs w:val="24"/>
              </w:rPr>
            </w:pPr>
            <w:r w:rsidRPr="00A34B81">
              <w:rPr>
                <w:sz w:val="22"/>
                <w:szCs w:val="24"/>
              </w:rPr>
              <w:t>Morgendose</w:t>
            </w:r>
          </w:p>
        </w:tc>
        <w:tc>
          <w:tcPr>
            <w:tcW w:w="1251" w:type="pct"/>
            <w:tcBorders>
              <w:top w:val="single" w:sz="12" w:space="0" w:color="auto"/>
              <w:left w:val="single" w:sz="12" w:space="0" w:color="auto"/>
              <w:bottom w:val="single" w:sz="12" w:space="0" w:color="auto"/>
              <w:right w:val="single" w:sz="12" w:space="0" w:color="auto"/>
            </w:tcBorders>
            <w:shd w:val="clear" w:color="auto" w:fill="D9D9D9"/>
            <w:vAlign w:val="center"/>
          </w:tcPr>
          <w:p w14:paraId="2313E127" w14:textId="77777777" w:rsidR="004E65A9" w:rsidRPr="00A34B81" w:rsidRDefault="004E65A9" w:rsidP="008600F3">
            <w:pPr>
              <w:pStyle w:val="Styletablebold"/>
              <w:jc w:val="center"/>
              <w:rPr>
                <w:sz w:val="22"/>
                <w:szCs w:val="24"/>
              </w:rPr>
            </w:pPr>
            <w:r w:rsidRPr="00A34B81">
              <w:rPr>
                <w:sz w:val="22"/>
                <w:szCs w:val="24"/>
              </w:rPr>
              <w:t>Kveldsdose</w:t>
            </w:r>
          </w:p>
        </w:tc>
        <w:tc>
          <w:tcPr>
            <w:tcW w:w="1246" w:type="pct"/>
            <w:tcBorders>
              <w:top w:val="single" w:sz="12" w:space="0" w:color="auto"/>
              <w:left w:val="single" w:sz="12" w:space="0" w:color="auto"/>
              <w:bottom w:val="single" w:sz="12" w:space="0" w:color="auto"/>
              <w:right w:val="single" w:sz="12" w:space="0" w:color="auto"/>
            </w:tcBorders>
            <w:shd w:val="clear" w:color="auto" w:fill="D9D9D9"/>
            <w:vAlign w:val="center"/>
          </w:tcPr>
          <w:p w14:paraId="4CB151A2" w14:textId="77777777" w:rsidR="004E65A9" w:rsidRPr="00A34B81" w:rsidRDefault="004E65A9" w:rsidP="008600F3">
            <w:pPr>
              <w:pStyle w:val="Styletablebold"/>
              <w:jc w:val="center"/>
              <w:rPr>
                <w:sz w:val="22"/>
                <w:szCs w:val="24"/>
              </w:rPr>
            </w:pPr>
            <w:r w:rsidRPr="00A34B81">
              <w:rPr>
                <w:sz w:val="22"/>
                <w:szCs w:val="24"/>
              </w:rPr>
              <w:t>Total døgndose</w:t>
            </w:r>
          </w:p>
        </w:tc>
      </w:tr>
      <w:tr w:rsidR="004E65A9" w:rsidRPr="0016014C" w14:paraId="1F9F22C4" w14:textId="77777777" w:rsidTr="008600F3">
        <w:trPr>
          <w:cantSplit/>
        </w:trPr>
        <w:tc>
          <w:tcPr>
            <w:tcW w:w="1250" w:type="pct"/>
            <w:tcBorders>
              <w:top w:val="single" w:sz="12" w:space="0" w:color="auto"/>
              <w:left w:val="single" w:sz="12" w:space="0" w:color="auto"/>
              <w:right w:val="single" w:sz="12" w:space="0" w:color="auto"/>
            </w:tcBorders>
            <w:shd w:val="clear" w:color="auto" w:fill="EAEAEA"/>
            <w:vAlign w:val="center"/>
          </w:tcPr>
          <w:p w14:paraId="0CC50A4F" w14:textId="77777777" w:rsidR="004E65A9" w:rsidRPr="00A34B81" w:rsidRDefault="004E65A9" w:rsidP="008600F3">
            <w:pPr>
              <w:pStyle w:val="Styletablebold"/>
              <w:keepNext w:val="0"/>
              <w:rPr>
                <w:sz w:val="22"/>
                <w:szCs w:val="24"/>
              </w:rPr>
            </w:pPr>
            <w:r w:rsidRPr="00A34B81">
              <w:rPr>
                <w:sz w:val="22"/>
                <w:szCs w:val="24"/>
              </w:rPr>
              <w:t>Dag 1</w:t>
            </w:r>
          </w:p>
        </w:tc>
        <w:tc>
          <w:tcPr>
            <w:tcW w:w="1253" w:type="pct"/>
            <w:tcBorders>
              <w:top w:val="single" w:sz="12" w:space="0" w:color="auto"/>
              <w:left w:val="single" w:sz="12" w:space="0" w:color="auto"/>
              <w:right w:val="single" w:sz="12" w:space="0" w:color="auto"/>
            </w:tcBorders>
            <w:vAlign w:val="center"/>
          </w:tcPr>
          <w:p w14:paraId="7E292727" w14:textId="77777777" w:rsidR="004E65A9" w:rsidRPr="00A34B81" w:rsidRDefault="004E65A9" w:rsidP="008600F3">
            <w:pPr>
              <w:pStyle w:val="Styletable10pts"/>
              <w:suppressAutoHyphens/>
              <w:rPr>
                <w:sz w:val="22"/>
                <w:szCs w:val="24"/>
              </w:rPr>
            </w:pPr>
            <w:r w:rsidRPr="00A34B81">
              <w:rPr>
                <w:sz w:val="22"/>
                <w:szCs w:val="24"/>
              </w:rPr>
              <w:t>10 mg (rosa)</w:t>
            </w:r>
          </w:p>
        </w:tc>
        <w:tc>
          <w:tcPr>
            <w:tcW w:w="1251" w:type="pct"/>
            <w:tcBorders>
              <w:top w:val="single" w:sz="12" w:space="0" w:color="auto"/>
              <w:left w:val="single" w:sz="12" w:space="0" w:color="auto"/>
              <w:right w:val="single" w:sz="12" w:space="0" w:color="auto"/>
            </w:tcBorders>
            <w:shd w:val="clear" w:color="auto" w:fill="000000"/>
            <w:vAlign w:val="center"/>
          </w:tcPr>
          <w:p w14:paraId="0BCFF4B0" w14:textId="77777777" w:rsidR="004E65A9" w:rsidRPr="00A34B81" w:rsidRDefault="004E65A9" w:rsidP="008600F3">
            <w:pPr>
              <w:pStyle w:val="Styletablebold"/>
              <w:keepNext w:val="0"/>
              <w:rPr>
                <w:color w:val="FFFFFF"/>
                <w:sz w:val="22"/>
                <w:szCs w:val="24"/>
              </w:rPr>
            </w:pPr>
            <w:r w:rsidRPr="00A34B81">
              <w:rPr>
                <w:color w:val="FFFFFF"/>
                <w:sz w:val="22"/>
                <w:szCs w:val="24"/>
              </w:rPr>
              <w:t>Ta ingen dose</w:t>
            </w:r>
          </w:p>
        </w:tc>
        <w:tc>
          <w:tcPr>
            <w:tcW w:w="1246" w:type="pct"/>
            <w:tcBorders>
              <w:top w:val="single" w:sz="12" w:space="0" w:color="auto"/>
              <w:left w:val="single" w:sz="12" w:space="0" w:color="auto"/>
              <w:right w:val="single" w:sz="12" w:space="0" w:color="auto"/>
            </w:tcBorders>
            <w:shd w:val="clear" w:color="auto" w:fill="EAEAEA"/>
            <w:vAlign w:val="center"/>
          </w:tcPr>
          <w:p w14:paraId="43EABE9B" w14:textId="77777777" w:rsidR="004E65A9" w:rsidRPr="00A34B81" w:rsidRDefault="004E65A9" w:rsidP="008600F3">
            <w:pPr>
              <w:pStyle w:val="Styletable10pts"/>
              <w:suppressAutoHyphens/>
              <w:rPr>
                <w:sz w:val="22"/>
                <w:szCs w:val="24"/>
              </w:rPr>
            </w:pPr>
            <w:r w:rsidRPr="00A34B81">
              <w:rPr>
                <w:sz w:val="22"/>
                <w:szCs w:val="24"/>
              </w:rPr>
              <w:t>10 mg</w:t>
            </w:r>
          </w:p>
        </w:tc>
      </w:tr>
      <w:tr w:rsidR="004E65A9" w:rsidRPr="0016014C" w14:paraId="6C9F206C" w14:textId="77777777" w:rsidTr="008600F3">
        <w:trPr>
          <w:cantSplit/>
        </w:trPr>
        <w:tc>
          <w:tcPr>
            <w:tcW w:w="1250" w:type="pct"/>
            <w:tcBorders>
              <w:left w:val="single" w:sz="12" w:space="0" w:color="auto"/>
              <w:right w:val="single" w:sz="12" w:space="0" w:color="auto"/>
            </w:tcBorders>
            <w:shd w:val="clear" w:color="auto" w:fill="EAEAEA"/>
            <w:vAlign w:val="center"/>
          </w:tcPr>
          <w:p w14:paraId="3705869B" w14:textId="77777777" w:rsidR="004E65A9" w:rsidRPr="00A34B81" w:rsidRDefault="004E65A9" w:rsidP="008600F3">
            <w:pPr>
              <w:pStyle w:val="Styletablebold"/>
              <w:keepNext w:val="0"/>
              <w:rPr>
                <w:sz w:val="22"/>
                <w:szCs w:val="24"/>
              </w:rPr>
            </w:pPr>
            <w:r w:rsidRPr="00A34B81">
              <w:rPr>
                <w:sz w:val="22"/>
                <w:szCs w:val="24"/>
              </w:rPr>
              <w:t>Dag 2</w:t>
            </w:r>
          </w:p>
        </w:tc>
        <w:tc>
          <w:tcPr>
            <w:tcW w:w="1253" w:type="pct"/>
            <w:tcBorders>
              <w:left w:val="single" w:sz="12" w:space="0" w:color="auto"/>
              <w:right w:val="single" w:sz="12" w:space="0" w:color="auto"/>
            </w:tcBorders>
            <w:vAlign w:val="center"/>
          </w:tcPr>
          <w:p w14:paraId="6A09B422" w14:textId="77777777" w:rsidR="004E65A9" w:rsidRPr="00A34B81" w:rsidRDefault="004E65A9" w:rsidP="008600F3">
            <w:pPr>
              <w:pStyle w:val="Styletable10pts"/>
              <w:suppressAutoHyphens/>
              <w:rPr>
                <w:sz w:val="22"/>
                <w:szCs w:val="24"/>
              </w:rPr>
            </w:pPr>
            <w:r w:rsidRPr="00A34B81">
              <w:rPr>
                <w:sz w:val="22"/>
                <w:szCs w:val="24"/>
              </w:rPr>
              <w:t>10 mg (rosa)</w:t>
            </w:r>
          </w:p>
        </w:tc>
        <w:tc>
          <w:tcPr>
            <w:tcW w:w="1251" w:type="pct"/>
            <w:tcBorders>
              <w:left w:val="single" w:sz="12" w:space="0" w:color="auto"/>
              <w:right w:val="single" w:sz="12" w:space="0" w:color="auto"/>
            </w:tcBorders>
            <w:vAlign w:val="center"/>
          </w:tcPr>
          <w:p w14:paraId="115075AA" w14:textId="77777777" w:rsidR="004E65A9" w:rsidRPr="00A34B81" w:rsidRDefault="004E65A9" w:rsidP="008600F3">
            <w:pPr>
              <w:pStyle w:val="Styletable10pts"/>
              <w:suppressAutoHyphens/>
              <w:rPr>
                <w:sz w:val="22"/>
                <w:szCs w:val="24"/>
              </w:rPr>
            </w:pPr>
            <w:r w:rsidRPr="00A34B81">
              <w:rPr>
                <w:sz w:val="22"/>
                <w:szCs w:val="24"/>
              </w:rPr>
              <w:t>10 mg (rosa)</w:t>
            </w:r>
          </w:p>
        </w:tc>
        <w:tc>
          <w:tcPr>
            <w:tcW w:w="1246" w:type="pct"/>
            <w:tcBorders>
              <w:left w:val="single" w:sz="12" w:space="0" w:color="auto"/>
              <w:right w:val="single" w:sz="12" w:space="0" w:color="auto"/>
            </w:tcBorders>
            <w:shd w:val="clear" w:color="auto" w:fill="EAEAEA"/>
            <w:vAlign w:val="center"/>
          </w:tcPr>
          <w:p w14:paraId="56BEB128" w14:textId="77777777" w:rsidR="004E65A9" w:rsidRPr="00A34B81" w:rsidRDefault="004E65A9" w:rsidP="008600F3">
            <w:pPr>
              <w:pStyle w:val="Styletable10pts"/>
              <w:suppressAutoHyphens/>
              <w:rPr>
                <w:sz w:val="22"/>
                <w:szCs w:val="24"/>
              </w:rPr>
            </w:pPr>
            <w:r w:rsidRPr="00A34B81">
              <w:rPr>
                <w:sz w:val="22"/>
                <w:szCs w:val="24"/>
              </w:rPr>
              <w:t>20 mg</w:t>
            </w:r>
          </w:p>
        </w:tc>
      </w:tr>
      <w:tr w:rsidR="004E65A9" w:rsidRPr="0016014C" w14:paraId="275DD1DF" w14:textId="77777777" w:rsidTr="008600F3">
        <w:trPr>
          <w:cantSplit/>
        </w:trPr>
        <w:tc>
          <w:tcPr>
            <w:tcW w:w="1250" w:type="pct"/>
            <w:tcBorders>
              <w:left w:val="single" w:sz="12" w:space="0" w:color="auto"/>
              <w:right w:val="single" w:sz="12" w:space="0" w:color="auto"/>
            </w:tcBorders>
            <w:shd w:val="clear" w:color="auto" w:fill="EAEAEA"/>
            <w:vAlign w:val="center"/>
          </w:tcPr>
          <w:p w14:paraId="2FABC7B8" w14:textId="77777777" w:rsidR="004E65A9" w:rsidRPr="00A34B81" w:rsidRDefault="004E65A9" w:rsidP="008600F3">
            <w:pPr>
              <w:pStyle w:val="Styletablebold"/>
              <w:keepNext w:val="0"/>
              <w:rPr>
                <w:sz w:val="22"/>
                <w:szCs w:val="24"/>
              </w:rPr>
            </w:pPr>
            <w:r w:rsidRPr="00A34B81">
              <w:rPr>
                <w:sz w:val="22"/>
                <w:szCs w:val="24"/>
              </w:rPr>
              <w:t>Dag 3</w:t>
            </w:r>
          </w:p>
        </w:tc>
        <w:tc>
          <w:tcPr>
            <w:tcW w:w="1253" w:type="pct"/>
            <w:tcBorders>
              <w:left w:val="single" w:sz="12" w:space="0" w:color="auto"/>
              <w:right w:val="single" w:sz="12" w:space="0" w:color="auto"/>
            </w:tcBorders>
            <w:vAlign w:val="center"/>
          </w:tcPr>
          <w:p w14:paraId="6C19BAAD" w14:textId="77777777" w:rsidR="004E65A9" w:rsidRPr="00A34B81" w:rsidRDefault="004E65A9" w:rsidP="008600F3">
            <w:pPr>
              <w:pStyle w:val="Styletable10pts"/>
              <w:suppressAutoHyphens/>
              <w:rPr>
                <w:sz w:val="22"/>
                <w:szCs w:val="24"/>
              </w:rPr>
            </w:pPr>
            <w:r w:rsidRPr="00A34B81">
              <w:rPr>
                <w:sz w:val="22"/>
                <w:szCs w:val="24"/>
              </w:rPr>
              <w:t>10 mg (rosa)</w:t>
            </w:r>
          </w:p>
        </w:tc>
        <w:tc>
          <w:tcPr>
            <w:tcW w:w="1251" w:type="pct"/>
            <w:tcBorders>
              <w:left w:val="single" w:sz="12" w:space="0" w:color="auto"/>
              <w:right w:val="single" w:sz="12" w:space="0" w:color="auto"/>
            </w:tcBorders>
            <w:vAlign w:val="center"/>
          </w:tcPr>
          <w:p w14:paraId="321B8113" w14:textId="77777777" w:rsidR="004E65A9" w:rsidRPr="00A34B81" w:rsidRDefault="004E65A9" w:rsidP="008600F3">
            <w:pPr>
              <w:pStyle w:val="Styletable10pts"/>
              <w:suppressAutoHyphens/>
              <w:rPr>
                <w:sz w:val="22"/>
                <w:szCs w:val="24"/>
              </w:rPr>
            </w:pPr>
            <w:r w:rsidRPr="00A34B81">
              <w:rPr>
                <w:sz w:val="22"/>
                <w:szCs w:val="24"/>
              </w:rPr>
              <w:t>20 mg (brun)</w:t>
            </w:r>
          </w:p>
        </w:tc>
        <w:tc>
          <w:tcPr>
            <w:tcW w:w="1246" w:type="pct"/>
            <w:tcBorders>
              <w:left w:val="single" w:sz="12" w:space="0" w:color="auto"/>
              <w:right w:val="single" w:sz="12" w:space="0" w:color="auto"/>
            </w:tcBorders>
            <w:shd w:val="clear" w:color="auto" w:fill="EAEAEA"/>
            <w:vAlign w:val="center"/>
          </w:tcPr>
          <w:p w14:paraId="6433840D" w14:textId="77777777" w:rsidR="004E65A9" w:rsidRPr="00A34B81" w:rsidRDefault="004E65A9" w:rsidP="008600F3">
            <w:pPr>
              <w:pStyle w:val="Styletable10pts"/>
              <w:suppressAutoHyphens/>
              <w:rPr>
                <w:sz w:val="22"/>
                <w:szCs w:val="24"/>
              </w:rPr>
            </w:pPr>
            <w:r w:rsidRPr="00A34B81">
              <w:rPr>
                <w:sz w:val="22"/>
                <w:szCs w:val="24"/>
              </w:rPr>
              <w:t>30 mg</w:t>
            </w:r>
          </w:p>
        </w:tc>
      </w:tr>
      <w:tr w:rsidR="004E65A9" w:rsidRPr="0016014C" w14:paraId="6EBA3993" w14:textId="77777777" w:rsidTr="008600F3">
        <w:trPr>
          <w:cantSplit/>
        </w:trPr>
        <w:tc>
          <w:tcPr>
            <w:tcW w:w="1250" w:type="pct"/>
            <w:tcBorders>
              <w:left w:val="single" w:sz="12" w:space="0" w:color="auto"/>
              <w:right w:val="single" w:sz="12" w:space="0" w:color="auto"/>
            </w:tcBorders>
            <w:shd w:val="clear" w:color="auto" w:fill="EAEAEA"/>
            <w:vAlign w:val="center"/>
          </w:tcPr>
          <w:p w14:paraId="5549281C" w14:textId="77777777" w:rsidR="004E65A9" w:rsidRPr="00A34B81" w:rsidRDefault="004E65A9" w:rsidP="008600F3">
            <w:pPr>
              <w:pStyle w:val="Styletablebold"/>
              <w:keepNext w:val="0"/>
              <w:rPr>
                <w:sz w:val="22"/>
                <w:szCs w:val="24"/>
              </w:rPr>
            </w:pPr>
            <w:r w:rsidRPr="00A34B81">
              <w:rPr>
                <w:sz w:val="22"/>
                <w:szCs w:val="24"/>
              </w:rPr>
              <w:t>Dag 4</w:t>
            </w:r>
          </w:p>
        </w:tc>
        <w:tc>
          <w:tcPr>
            <w:tcW w:w="1253" w:type="pct"/>
            <w:tcBorders>
              <w:left w:val="single" w:sz="12" w:space="0" w:color="auto"/>
              <w:right w:val="single" w:sz="12" w:space="0" w:color="auto"/>
            </w:tcBorders>
            <w:vAlign w:val="center"/>
          </w:tcPr>
          <w:p w14:paraId="72949AAD" w14:textId="77777777" w:rsidR="004E65A9" w:rsidRPr="00A34B81" w:rsidRDefault="004E65A9" w:rsidP="008600F3">
            <w:pPr>
              <w:pStyle w:val="Styletable10pts"/>
              <w:suppressAutoHyphens/>
              <w:rPr>
                <w:sz w:val="22"/>
                <w:szCs w:val="24"/>
              </w:rPr>
            </w:pPr>
            <w:r w:rsidRPr="00A34B81">
              <w:rPr>
                <w:sz w:val="22"/>
                <w:szCs w:val="24"/>
              </w:rPr>
              <w:t>20 mg (brun)</w:t>
            </w:r>
          </w:p>
        </w:tc>
        <w:tc>
          <w:tcPr>
            <w:tcW w:w="1251" w:type="pct"/>
            <w:tcBorders>
              <w:left w:val="single" w:sz="12" w:space="0" w:color="auto"/>
              <w:right w:val="single" w:sz="12" w:space="0" w:color="auto"/>
            </w:tcBorders>
            <w:vAlign w:val="center"/>
          </w:tcPr>
          <w:p w14:paraId="49FEDD40" w14:textId="77777777" w:rsidR="004E65A9" w:rsidRPr="00A34B81" w:rsidRDefault="004E65A9" w:rsidP="008600F3">
            <w:pPr>
              <w:pStyle w:val="Styletable10pts"/>
              <w:suppressAutoHyphens/>
              <w:rPr>
                <w:sz w:val="22"/>
                <w:szCs w:val="24"/>
              </w:rPr>
            </w:pPr>
            <w:r w:rsidRPr="00A34B81">
              <w:rPr>
                <w:sz w:val="22"/>
                <w:szCs w:val="24"/>
              </w:rPr>
              <w:t>20 mg (brun)</w:t>
            </w:r>
          </w:p>
        </w:tc>
        <w:tc>
          <w:tcPr>
            <w:tcW w:w="1246" w:type="pct"/>
            <w:tcBorders>
              <w:left w:val="single" w:sz="12" w:space="0" w:color="auto"/>
              <w:right w:val="single" w:sz="12" w:space="0" w:color="auto"/>
            </w:tcBorders>
            <w:shd w:val="clear" w:color="auto" w:fill="EAEAEA"/>
            <w:vAlign w:val="center"/>
          </w:tcPr>
          <w:p w14:paraId="517ACA93" w14:textId="77777777" w:rsidR="004E65A9" w:rsidRPr="00A34B81" w:rsidRDefault="004E65A9" w:rsidP="008600F3">
            <w:pPr>
              <w:pStyle w:val="Styletable10pts"/>
              <w:suppressAutoHyphens/>
              <w:rPr>
                <w:sz w:val="22"/>
                <w:szCs w:val="24"/>
              </w:rPr>
            </w:pPr>
            <w:r w:rsidRPr="00A34B81">
              <w:rPr>
                <w:sz w:val="22"/>
                <w:szCs w:val="24"/>
              </w:rPr>
              <w:t>40 mg</w:t>
            </w:r>
          </w:p>
        </w:tc>
      </w:tr>
      <w:tr w:rsidR="004E65A9" w:rsidRPr="0016014C" w14:paraId="115CC092" w14:textId="77777777" w:rsidTr="008600F3">
        <w:trPr>
          <w:cantSplit/>
        </w:trPr>
        <w:tc>
          <w:tcPr>
            <w:tcW w:w="1250" w:type="pct"/>
            <w:tcBorders>
              <w:left w:val="single" w:sz="12" w:space="0" w:color="auto"/>
              <w:right w:val="single" w:sz="12" w:space="0" w:color="auto"/>
            </w:tcBorders>
            <w:shd w:val="clear" w:color="auto" w:fill="EAEAEA"/>
            <w:vAlign w:val="center"/>
          </w:tcPr>
          <w:p w14:paraId="793FA3E0" w14:textId="77777777" w:rsidR="004E65A9" w:rsidRPr="00A34B81" w:rsidRDefault="004E65A9" w:rsidP="008600F3">
            <w:pPr>
              <w:pStyle w:val="Styletablebold"/>
              <w:rPr>
                <w:sz w:val="22"/>
                <w:szCs w:val="24"/>
              </w:rPr>
            </w:pPr>
            <w:r w:rsidRPr="00A34B81">
              <w:rPr>
                <w:sz w:val="22"/>
                <w:szCs w:val="24"/>
              </w:rPr>
              <w:t>Dag 5</w:t>
            </w:r>
          </w:p>
        </w:tc>
        <w:tc>
          <w:tcPr>
            <w:tcW w:w="1253" w:type="pct"/>
            <w:tcBorders>
              <w:left w:val="single" w:sz="12" w:space="0" w:color="auto"/>
              <w:right w:val="single" w:sz="12" w:space="0" w:color="auto"/>
            </w:tcBorders>
            <w:vAlign w:val="center"/>
          </w:tcPr>
          <w:p w14:paraId="197EC2BC" w14:textId="77777777" w:rsidR="004E65A9" w:rsidRPr="00A34B81" w:rsidRDefault="004E65A9" w:rsidP="008600F3">
            <w:pPr>
              <w:pStyle w:val="Styletable10pts"/>
              <w:keepNext/>
              <w:suppressAutoHyphens/>
              <w:rPr>
                <w:sz w:val="22"/>
                <w:szCs w:val="24"/>
              </w:rPr>
            </w:pPr>
            <w:r w:rsidRPr="00A34B81">
              <w:rPr>
                <w:sz w:val="22"/>
                <w:szCs w:val="24"/>
              </w:rPr>
              <w:t>20 mg (brun)</w:t>
            </w:r>
          </w:p>
        </w:tc>
        <w:tc>
          <w:tcPr>
            <w:tcW w:w="1251" w:type="pct"/>
            <w:tcBorders>
              <w:left w:val="single" w:sz="12" w:space="0" w:color="auto"/>
              <w:right w:val="single" w:sz="12" w:space="0" w:color="auto"/>
            </w:tcBorders>
            <w:vAlign w:val="center"/>
          </w:tcPr>
          <w:p w14:paraId="2F01719A" w14:textId="77777777" w:rsidR="004E65A9" w:rsidRPr="00A34B81" w:rsidRDefault="004E65A9" w:rsidP="008600F3">
            <w:pPr>
              <w:pStyle w:val="Styletable10pts"/>
              <w:keepNext/>
              <w:suppressAutoHyphens/>
              <w:rPr>
                <w:sz w:val="22"/>
                <w:szCs w:val="24"/>
              </w:rPr>
            </w:pPr>
            <w:r w:rsidRPr="00A34B81">
              <w:rPr>
                <w:sz w:val="22"/>
                <w:szCs w:val="24"/>
              </w:rPr>
              <w:t>30 mg (beige)</w:t>
            </w:r>
          </w:p>
        </w:tc>
        <w:tc>
          <w:tcPr>
            <w:tcW w:w="1246" w:type="pct"/>
            <w:tcBorders>
              <w:left w:val="single" w:sz="12" w:space="0" w:color="auto"/>
              <w:right w:val="single" w:sz="12" w:space="0" w:color="auto"/>
            </w:tcBorders>
            <w:shd w:val="clear" w:color="auto" w:fill="EAEAEA"/>
            <w:vAlign w:val="center"/>
          </w:tcPr>
          <w:p w14:paraId="656FE979" w14:textId="77777777" w:rsidR="004E65A9" w:rsidRPr="00A34B81" w:rsidRDefault="004E65A9" w:rsidP="008600F3">
            <w:pPr>
              <w:pStyle w:val="Styletable10pts"/>
              <w:keepNext/>
              <w:suppressAutoHyphens/>
              <w:rPr>
                <w:sz w:val="22"/>
                <w:szCs w:val="24"/>
              </w:rPr>
            </w:pPr>
            <w:r w:rsidRPr="00A34B81">
              <w:rPr>
                <w:sz w:val="22"/>
                <w:szCs w:val="24"/>
              </w:rPr>
              <w:t>50 mg</w:t>
            </w:r>
          </w:p>
        </w:tc>
      </w:tr>
      <w:tr w:rsidR="004E65A9" w:rsidRPr="0016014C" w14:paraId="76397231" w14:textId="77777777" w:rsidTr="008600F3">
        <w:trPr>
          <w:cantSplit/>
        </w:trPr>
        <w:tc>
          <w:tcPr>
            <w:tcW w:w="1250" w:type="pct"/>
            <w:tcBorders>
              <w:left w:val="single" w:sz="12" w:space="0" w:color="auto"/>
              <w:bottom w:val="single" w:sz="12" w:space="0" w:color="auto"/>
              <w:right w:val="single" w:sz="12" w:space="0" w:color="auto"/>
            </w:tcBorders>
            <w:shd w:val="clear" w:color="auto" w:fill="EAEAEA"/>
            <w:vAlign w:val="center"/>
          </w:tcPr>
          <w:p w14:paraId="2E544CF3" w14:textId="77777777" w:rsidR="004E65A9" w:rsidRPr="00A34B81" w:rsidRDefault="004E65A9" w:rsidP="008600F3">
            <w:pPr>
              <w:pStyle w:val="Styletablebold"/>
              <w:keepNext w:val="0"/>
              <w:rPr>
                <w:sz w:val="22"/>
                <w:szCs w:val="24"/>
              </w:rPr>
            </w:pPr>
            <w:r w:rsidRPr="00A34B81">
              <w:rPr>
                <w:sz w:val="22"/>
                <w:szCs w:val="24"/>
              </w:rPr>
              <w:t>Dag 6 og deretter</w:t>
            </w:r>
          </w:p>
        </w:tc>
        <w:tc>
          <w:tcPr>
            <w:tcW w:w="1253" w:type="pct"/>
            <w:tcBorders>
              <w:left w:val="single" w:sz="12" w:space="0" w:color="auto"/>
              <w:bottom w:val="single" w:sz="12" w:space="0" w:color="auto"/>
              <w:right w:val="single" w:sz="12" w:space="0" w:color="auto"/>
            </w:tcBorders>
            <w:vAlign w:val="center"/>
          </w:tcPr>
          <w:p w14:paraId="7318CAAF" w14:textId="77777777" w:rsidR="004E65A9" w:rsidRPr="00A34B81" w:rsidRDefault="004E65A9" w:rsidP="008600F3">
            <w:pPr>
              <w:pStyle w:val="Styletable10pts"/>
              <w:suppressAutoHyphens/>
              <w:rPr>
                <w:sz w:val="22"/>
                <w:szCs w:val="24"/>
              </w:rPr>
            </w:pPr>
            <w:r w:rsidRPr="00A34B81">
              <w:rPr>
                <w:sz w:val="22"/>
                <w:szCs w:val="24"/>
              </w:rPr>
              <w:t>30 mg (beige)</w:t>
            </w:r>
          </w:p>
        </w:tc>
        <w:tc>
          <w:tcPr>
            <w:tcW w:w="1251" w:type="pct"/>
            <w:tcBorders>
              <w:left w:val="single" w:sz="12" w:space="0" w:color="auto"/>
              <w:bottom w:val="single" w:sz="12" w:space="0" w:color="auto"/>
              <w:right w:val="single" w:sz="12" w:space="0" w:color="auto"/>
            </w:tcBorders>
            <w:vAlign w:val="center"/>
          </w:tcPr>
          <w:p w14:paraId="1924958F" w14:textId="77777777" w:rsidR="004E65A9" w:rsidRPr="00A34B81" w:rsidRDefault="004E65A9" w:rsidP="008600F3">
            <w:pPr>
              <w:pStyle w:val="Styletable10pts"/>
              <w:suppressAutoHyphens/>
              <w:rPr>
                <w:sz w:val="22"/>
                <w:szCs w:val="24"/>
              </w:rPr>
            </w:pPr>
            <w:r w:rsidRPr="00A34B81">
              <w:rPr>
                <w:sz w:val="22"/>
                <w:szCs w:val="24"/>
              </w:rPr>
              <w:t>30 mg (beige)</w:t>
            </w:r>
          </w:p>
        </w:tc>
        <w:tc>
          <w:tcPr>
            <w:tcW w:w="1246" w:type="pct"/>
            <w:tcBorders>
              <w:left w:val="single" w:sz="12" w:space="0" w:color="auto"/>
              <w:bottom w:val="single" w:sz="12" w:space="0" w:color="auto"/>
              <w:right w:val="single" w:sz="12" w:space="0" w:color="auto"/>
            </w:tcBorders>
            <w:shd w:val="clear" w:color="auto" w:fill="EAEAEA"/>
            <w:vAlign w:val="center"/>
          </w:tcPr>
          <w:p w14:paraId="2B8A5DB3" w14:textId="77777777" w:rsidR="004E65A9" w:rsidRPr="00A34B81" w:rsidRDefault="004E65A9" w:rsidP="008600F3">
            <w:pPr>
              <w:pStyle w:val="Styletable10pts"/>
              <w:suppressAutoHyphens/>
              <w:rPr>
                <w:sz w:val="22"/>
                <w:szCs w:val="24"/>
              </w:rPr>
            </w:pPr>
            <w:r w:rsidRPr="00A34B81">
              <w:rPr>
                <w:sz w:val="22"/>
                <w:szCs w:val="24"/>
              </w:rPr>
              <w:t>60 mg</w:t>
            </w:r>
          </w:p>
        </w:tc>
      </w:tr>
    </w:tbl>
    <w:p w14:paraId="14DEBDA9" w14:textId="77777777" w:rsidR="004E65A9" w:rsidRPr="00BD1AD5" w:rsidRDefault="004E65A9" w:rsidP="003F09AA">
      <w:pPr>
        <w:numPr>
          <w:ilvl w:val="12"/>
          <w:numId w:val="0"/>
        </w:numPr>
        <w:rPr>
          <w:rFonts w:eastAsia="SimSun"/>
          <w:highlight w:val="yellow"/>
          <w:lang w:eastAsia="zh-CN"/>
        </w:rPr>
      </w:pPr>
    </w:p>
    <w:p w14:paraId="401EB99C" w14:textId="77777777" w:rsidR="004E65A9" w:rsidRPr="00BD1AD5" w:rsidRDefault="004E65A9" w:rsidP="003F09AA">
      <w:pPr>
        <w:keepNext/>
        <w:numPr>
          <w:ilvl w:val="12"/>
          <w:numId w:val="0"/>
        </w:numPr>
        <w:rPr>
          <w:rFonts w:eastAsia="SimSun"/>
          <w:b/>
        </w:rPr>
      </w:pPr>
      <w:r>
        <w:rPr>
          <w:b/>
        </w:rPr>
        <w:t>Pasienter med alvorlige nyreproblemer</w:t>
      </w:r>
    </w:p>
    <w:p w14:paraId="75C37EDE" w14:textId="77777777" w:rsidR="004E65A9" w:rsidRPr="00BD1AD5" w:rsidRDefault="004E65A9" w:rsidP="003F09AA">
      <w:pPr>
        <w:keepNext/>
        <w:numPr>
          <w:ilvl w:val="12"/>
          <w:numId w:val="0"/>
        </w:numPr>
        <w:rPr>
          <w:rFonts w:eastAsia="SimSun"/>
          <w:b/>
          <w:lang w:eastAsia="zh-CN"/>
        </w:rPr>
      </w:pPr>
    </w:p>
    <w:p w14:paraId="67E70BBF" w14:textId="77777777" w:rsidR="004E65A9" w:rsidRDefault="004E65A9" w:rsidP="003F09AA">
      <w:pPr>
        <w:numPr>
          <w:ilvl w:val="12"/>
          <w:numId w:val="0"/>
        </w:numPr>
      </w:pPr>
      <w:r>
        <w:t xml:space="preserve">Dersom du er en voksen med alvorlige nyreproblemer, er den anbefalte dosen av Otezla 30 mg </w:t>
      </w:r>
      <w:r>
        <w:rPr>
          <w:b/>
        </w:rPr>
        <w:t>én gang daglig (morgendose)</w:t>
      </w:r>
      <w:r>
        <w:t>.</w:t>
      </w:r>
    </w:p>
    <w:p w14:paraId="25BA9D64" w14:textId="77777777" w:rsidR="004E65A9" w:rsidRDefault="004E65A9" w:rsidP="003F09AA">
      <w:pPr>
        <w:numPr>
          <w:ilvl w:val="12"/>
          <w:numId w:val="0"/>
        </w:numPr>
      </w:pPr>
    </w:p>
    <w:p w14:paraId="0334DA9A" w14:textId="77777777" w:rsidR="004E65A9" w:rsidRPr="00870960" w:rsidRDefault="004E65A9" w:rsidP="003F09AA">
      <w:pPr>
        <w:numPr>
          <w:ilvl w:val="12"/>
          <w:numId w:val="0"/>
        </w:numPr>
        <w:rPr>
          <w:rFonts w:eastAsia="SimSun"/>
          <w:bCs/>
        </w:rPr>
      </w:pPr>
      <w:r>
        <w:t xml:space="preserve">Hos barn og ungdom fra 6 år og oppover med alvorlig nedsatt nyrefunksjon er den anbefalte dosen av Otezla 30 mg </w:t>
      </w:r>
      <w:r>
        <w:rPr>
          <w:b/>
        </w:rPr>
        <w:t>én gang daglig (morgendose)</w:t>
      </w:r>
      <w:r>
        <w:t xml:space="preserve"> for pasienter som veier minst 50 kg, og 20 mg </w:t>
      </w:r>
      <w:r>
        <w:rPr>
          <w:b/>
        </w:rPr>
        <w:t>én gang daglig (morgendose)</w:t>
      </w:r>
      <w:r>
        <w:t xml:space="preserve"> for barn som veier 20 kg til mindre enn 50 kg.</w:t>
      </w:r>
    </w:p>
    <w:p w14:paraId="1DB2EE2F" w14:textId="77777777" w:rsidR="004E65A9" w:rsidRDefault="004E65A9" w:rsidP="003F09AA">
      <w:pPr>
        <w:numPr>
          <w:ilvl w:val="12"/>
          <w:numId w:val="0"/>
        </w:numPr>
        <w:rPr>
          <w:rFonts w:eastAsia="SimSun"/>
          <w:lang w:eastAsia="zh-CN"/>
        </w:rPr>
      </w:pPr>
    </w:p>
    <w:p w14:paraId="7468494E" w14:textId="77777777" w:rsidR="004E65A9" w:rsidRPr="00B977DD" w:rsidRDefault="004E65A9" w:rsidP="003F09AA">
      <w:pPr>
        <w:numPr>
          <w:ilvl w:val="12"/>
          <w:numId w:val="0"/>
        </w:numPr>
        <w:rPr>
          <w:rFonts w:eastAsia="SimSun"/>
        </w:rPr>
      </w:pPr>
      <w:r>
        <w:t>Legen forteller deg hvordan du skal øke dosen når du begynner med Otezla. Legen din kan råde deg til å bare ta morgendosen som er vist i tabellen ovenfor som gjelder for deg (for voksne eller for barn/ungdom), og at du hopper over kveldsdosen.</w:t>
      </w:r>
    </w:p>
    <w:p w14:paraId="5FD12A13" w14:textId="77777777" w:rsidR="004E65A9" w:rsidRPr="00BD1AD5" w:rsidRDefault="004E65A9" w:rsidP="003F09AA">
      <w:pPr>
        <w:numPr>
          <w:ilvl w:val="12"/>
          <w:numId w:val="0"/>
        </w:numPr>
        <w:rPr>
          <w:rFonts w:eastAsia="SimSun"/>
          <w:lang w:eastAsia="zh-CN"/>
        </w:rPr>
      </w:pPr>
    </w:p>
    <w:p w14:paraId="7647F4BD" w14:textId="77777777" w:rsidR="004E65A9" w:rsidRPr="00BD1AD5" w:rsidRDefault="004E65A9" w:rsidP="003F09AA">
      <w:pPr>
        <w:keepNext/>
        <w:numPr>
          <w:ilvl w:val="12"/>
          <w:numId w:val="0"/>
        </w:numPr>
        <w:ind w:right="-2"/>
        <w:rPr>
          <w:rFonts w:eastAsia="SimSun"/>
          <w:b/>
        </w:rPr>
      </w:pPr>
      <w:r>
        <w:rPr>
          <w:b/>
        </w:rPr>
        <w:t>Hvordan og når du skal ta Otezla</w:t>
      </w:r>
    </w:p>
    <w:p w14:paraId="4184EEB2" w14:textId="77777777" w:rsidR="004E65A9" w:rsidRPr="00BD1AD5" w:rsidRDefault="004E65A9" w:rsidP="003F09AA">
      <w:pPr>
        <w:keepNext/>
        <w:numPr>
          <w:ilvl w:val="12"/>
          <w:numId w:val="0"/>
        </w:numPr>
        <w:ind w:right="-2"/>
        <w:rPr>
          <w:rFonts w:eastAsia="SimSun"/>
          <w:b/>
          <w:lang w:eastAsia="zh-CN"/>
        </w:rPr>
      </w:pPr>
    </w:p>
    <w:p w14:paraId="23C5FC35" w14:textId="77777777" w:rsidR="004E65A9" w:rsidRPr="00BD1AD5" w:rsidRDefault="004E65A9" w:rsidP="003F09AA">
      <w:pPr>
        <w:keepNext/>
        <w:numPr>
          <w:ilvl w:val="0"/>
          <w:numId w:val="3"/>
        </w:numPr>
        <w:ind w:left="567" w:hanging="567"/>
        <w:contextualSpacing/>
      </w:pPr>
      <w:r>
        <w:t>Otezla skal inntas via munnen.</w:t>
      </w:r>
    </w:p>
    <w:p w14:paraId="7D69330D" w14:textId="77777777" w:rsidR="004E65A9" w:rsidRPr="00BD1AD5" w:rsidRDefault="004E65A9" w:rsidP="003F09AA">
      <w:pPr>
        <w:numPr>
          <w:ilvl w:val="0"/>
          <w:numId w:val="3"/>
        </w:numPr>
        <w:ind w:left="567" w:hanging="567"/>
        <w:contextualSpacing/>
      </w:pPr>
      <w:r>
        <w:t>Svelg tablettene hele, helst med vann.</w:t>
      </w:r>
    </w:p>
    <w:p w14:paraId="47D86399" w14:textId="77777777" w:rsidR="004E65A9" w:rsidRPr="00BD1AD5" w:rsidRDefault="004E65A9" w:rsidP="003F09AA">
      <w:pPr>
        <w:keepNext/>
        <w:numPr>
          <w:ilvl w:val="0"/>
          <w:numId w:val="3"/>
        </w:numPr>
        <w:ind w:left="567" w:hanging="567"/>
        <w:contextualSpacing/>
      </w:pPr>
      <w:r>
        <w:t>Du kan ta tablettene med eller uten mat.</w:t>
      </w:r>
    </w:p>
    <w:p w14:paraId="5371B162" w14:textId="77777777" w:rsidR="004E65A9" w:rsidRPr="00BD1AD5" w:rsidRDefault="004E65A9" w:rsidP="003F09AA">
      <w:pPr>
        <w:numPr>
          <w:ilvl w:val="0"/>
          <w:numId w:val="3"/>
        </w:numPr>
        <w:ind w:left="567" w:hanging="567"/>
        <w:contextualSpacing/>
      </w:pPr>
      <w:r>
        <w:t>Ta Otezla til omtrent samme tid hver dag, én tablett om morgenen og én tablett om kvelden.</w:t>
      </w:r>
    </w:p>
    <w:p w14:paraId="4BAEDD69" w14:textId="77777777" w:rsidR="004E65A9" w:rsidRPr="00BD1AD5" w:rsidRDefault="004E65A9" w:rsidP="003F09AA">
      <w:pPr>
        <w:contextualSpacing/>
      </w:pPr>
    </w:p>
    <w:p w14:paraId="0E70D2B3" w14:textId="77777777" w:rsidR="004E65A9" w:rsidRPr="00BD1AD5" w:rsidRDefault="004E65A9" w:rsidP="003F09AA">
      <w:pPr>
        <w:contextualSpacing/>
      </w:pPr>
      <w:r>
        <w:t>Du må kontakte lege dersom tilstanden din ikke har blitt bedre etter seks måneders behandling.</w:t>
      </w:r>
    </w:p>
    <w:p w14:paraId="194FD06E" w14:textId="77777777" w:rsidR="004E65A9" w:rsidRPr="00BD1AD5" w:rsidRDefault="004E65A9" w:rsidP="003F09AA">
      <w:pPr>
        <w:ind w:right="-2"/>
        <w:contextualSpacing/>
      </w:pPr>
    </w:p>
    <w:p w14:paraId="25FBD6AB" w14:textId="77777777" w:rsidR="004E65A9" w:rsidRPr="00BD1AD5" w:rsidRDefault="004E65A9" w:rsidP="003F09AA">
      <w:pPr>
        <w:keepNext/>
        <w:rPr>
          <w:b/>
        </w:rPr>
      </w:pPr>
      <w:r>
        <w:rPr>
          <w:b/>
        </w:rPr>
        <w:t>Dersom du tar for mye av Otezla</w:t>
      </w:r>
    </w:p>
    <w:p w14:paraId="49671545" w14:textId="77777777" w:rsidR="004E65A9" w:rsidRPr="00BD1AD5" w:rsidRDefault="004E65A9" w:rsidP="003F09AA">
      <w:pPr>
        <w:keepNext/>
        <w:rPr>
          <w:b/>
        </w:rPr>
      </w:pPr>
    </w:p>
    <w:p w14:paraId="12A7C5EC" w14:textId="77777777" w:rsidR="004E65A9" w:rsidRPr="00BD1AD5" w:rsidRDefault="004E65A9" w:rsidP="003F09AA">
      <w:r>
        <w:t>Kontakt lege eller oppsøk et sykehus umiddelbart dersom du tar for mye av Otezla. Ta med deg legemiddelpakningen og dette pakningsvedlegget.</w:t>
      </w:r>
    </w:p>
    <w:p w14:paraId="496097A5" w14:textId="77777777" w:rsidR="004E65A9" w:rsidRPr="00BD1AD5" w:rsidRDefault="004E65A9" w:rsidP="003F09AA"/>
    <w:p w14:paraId="19A67587" w14:textId="77777777" w:rsidR="004E65A9" w:rsidRPr="00BD1AD5" w:rsidRDefault="004E65A9" w:rsidP="003F09AA">
      <w:pPr>
        <w:keepNext/>
        <w:autoSpaceDE w:val="0"/>
        <w:autoSpaceDN w:val="0"/>
        <w:adjustRightInd w:val="0"/>
        <w:rPr>
          <w:b/>
          <w:bCs/>
        </w:rPr>
      </w:pPr>
      <w:r>
        <w:rPr>
          <w:b/>
        </w:rPr>
        <w:t>Dersom du har glemt å ta Otezla</w:t>
      </w:r>
    </w:p>
    <w:p w14:paraId="21F774B1" w14:textId="77777777" w:rsidR="004E65A9" w:rsidRPr="00BD1AD5" w:rsidRDefault="004E65A9" w:rsidP="003F09AA">
      <w:pPr>
        <w:keepNext/>
        <w:autoSpaceDE w:val="0"/>
        <w:autoSpaceDN w:val="0"/>
        <w:adjustRightInd w:val="0"/>
        <w:rPr>
          <w:b/>
          <w:bCs/>
          <w:lang w:eastAsia="en-GB"/>
        </w:rPr>
      </w:pPr>
    </w:p>
    <w:p w14:paraId="2D446A11" w14:textId="77777777" w:rsidR="004E65A9" w:rsidRPr="00BD1AD5" w:rsidRDefault="004E65A9" w:rsidP="003F09AA">
      <w:pPr>
        <w:pStyle w:val="ListParagraph"/>
        <w:keepNext/>
        <w:numPr>
          <w:ilvl w:val="0"/>
          <w:numId w:val="12"/>
        </w:numPr>
        <w:tabs>
          <w:tab w:val="left" w:pos="567"/>
        </w:tabs>
        <w:autoSpaceDE w:val="0"/>
        <w:autoSpaceDN w:val="0"/>
        <w:adjustRightInd w:val="0"/>
        <w:spacing w:after="0" w:line="240" w:lineRule="auto"/>
        <w:ind w:left="567" w:hanging="567"/>
        <w:rPr>
          <w:rFonts w:ascii="Times New Roman" w:eastAsia="SimSun" w:hAnsi="Times New Roman"/>
        </w:rPr>
      </w:pPr>
      <w:r>
        <w:rPr>
          <w:rFonts w:ascii="Times New Roman" w:hAnsi="Times New Roman"/>
        </w:rPr>
        <w:t>Dersom du har glemt en dose med Otezla, skal du ta den så snart du husker det. Dersom det snart er tid for neste dose, skal du droppe den glemte dosen. Ta neste dose til vanlig tid.</w:t>
      </w:r>
    </w:p>
    <w:p w14:paraId="34A5D7C2" w14:textId="77777777" w:rsidR="004E65A9" w:rsidRPr="00BD1AD5" w:rsidRDefault="004E65A9" w:rsidP="003F09AA">
      <w:pPr>
        <w:pStyle w:val="CommentText"/>
        <w:numPr>
          <w:ilvl w:val="0"/>
          <w:numId w:val="12"/>
        </w:numPr>
        <w:ind w:left="567" w:hanging="567"/>
        <w:rPr>
          <w:rFonts w:eastAsia="SimSun"/>
          <w:sz w:val="22"/>
        </w:rPr>
      </w:pPr>
      <w:r>
        <w:rPr>
          <w:sz w:val="22"/>
        </w:rPr>
        <w:t>Du skal ikke ta dobbel dose som erstatning for en glemt dose.</w:t>
      </w:r>
    </w:p>
    <w:p w14:paraId="5952EF30" w14:textId="77777777" w:rsidR="004E65A9" w:rsidRPr="00BD1AD5" w:rsidRDefault="004E65A9" w:rsidP="003F09AA">
      <w:pPr>
        <w:ind w:right="-2"/>
        <w:contextualSpacing/>
        <w:rPr>
          <w:i/>
        </w:rPr>
      </w:pPr>
    </w:p>
    <w:p w14:paraId="5DAEE9BD" w14:textId="77777777" w:rsidR="004E65A9" w:rsidRPr="00BD1AD5" w:rsidRDefault="004E65A9" w:rsidP="003F09AA">
      <w:pPr>
        <w:keepNext/>
        <w:autoSpaceDE w:val="0"/>
        <w:autoSpaceDN w:val="0"/>
        <w:adjustRightInd w:val="0"/>
        <w:rPr>
          <w:b/>
          <w:bCs/>
        </w:rPr>
      </w:pPr>
      <w:r>
        <w:rPr>
          <w:b/>
        </w:rPr>
        <w:t>Dersom du avbryter behandling med Otezla</w:t>
      </w:r>
    </w:p>
    <w:p w14:paraId="1A49E7AE" w14:textId="77777777" w:rsidR="004E65A9" w:rsidRPr="00BD1AD5" w:rsidRDefault="004E65A9" w:rsidP="003F09AA">
      <w:pPr>
        <w:keepNext/>
        <w:autoSpaceDE w:val="0"/>
        <w:autoSpaceDN w:val="0"/>
        <w:adjustRightInd w:val="0"/>
        <w:rPr>
          <w:b/>
          <w:bCs/>
          <w:lang w:eastAsia="en-GB"/>
        </w:rPr>
      </w:pPr>
    </w:p>
    <w:p w14:paraId="2049C6E5" w14:textId="77777777" w:rsidR="004E65A9" w:rsidRPr="00BD1AD5" w:rsidRDefault="004E65A9" w:rsidP="003F09AA">
      <w:pPr>
        <w:keepNext/>
        <w:numPr>
          <w:ilvl w:val="0"/>
          <w:numId w:val="3"/>
        </w:numPr>
        <w:ind w:right="-2"/>
        <w:contextualSpacing/>
      </w:pPr>
      <w:r>
        <w:t>Du skal fortsette å ta Otezla til legen ber deg slutte.</w:t>
      </w:r>
    </w:p>
    <w:p w14:paraId="495FFA03" w14:textId="77777777" w:rsidR="004E65A9" w:rsidRPr="00BD1AD5" w:rsidRDefault="004E65A9" w:rsidP="003F09AA">
      <w:pPr>
        <w:numPr>
          <w:ilvl w:val="0"/>
          <w:numId w:val="3"/>
        </w:numPr>
        <w:ind w:right="-2"/>
        <w:contextualSpacing/>
      </w:pPr>
      <w:r>
        <w:t>Avbryt ikke behandling med Otezla uten å rådføre deg med legen først.</w:t>
      </w:r>
    </w:p>
    <w:p w14:paraId="02070F20" w14:textId="77777777" w:rsidR="004E65A9" w:rsidRPr="00BD1AD5" w:rsidRDefault="004E65A9" w:rsidP="003F09AA">
      <w:pPr>
        <w:numPr>
          <w:ilvl w:val="12"/>
          <w:numId w:val="0"/>
        </w:numPr>
        <w:rPr>
          <w:rFonts w:eastAsia="SimSun"/>
          <w:noProof/>
          <w:lang w:eastAsia="zh-CN"/>
        </w:rPr>
      </w:pPr>
    </w:p>
    <w:p w14:paraId="63DBDD6B" w14:textId="77777777" w:rsidR="004E65A9" w:rsidRPr="00BD1AD5" w:rsidRDefault="004E65A9" w:rsidP="003F09AA">
      <w:r>
        <w:t>Spør lege eller apotek dersom du har noen spørsmål om bruken av dette legemidlet.</w:t>
      </w:r>
    </w:p>
    <w:p w14:paraId="04CA44D1" w14:textId="77777777" w:rsidR="004E65A9" w:rsidRPr="00BD1AD5" w:rsidRDefault="004E65A9" w:rsidP="003F09AA">
      <w:pPr>
        <w:numPr>
          <w:ilvl w:val="12"/>
          <w:numId w:val="0"/>
        </w:numPr>
        <w:rPr>
          <w:rFonts w:eastAsia="SimSun"/>
          <w:noProof/>
          <w:lang w:eastAsia="zh-CN"/>
        </w:rPr>
      </w:pPr>
    </w:p>
    <w:p w14:paraId="5EBEC277" w14:textId="77777777" w:rsidR="004E65A9" w:rsidRPr="00BD1AD5" w:rsidRDefault="004E65A9" w:rsidP="003F09AA">
      <w:pPr>
        <w:numPr>
          <w:ilvl w:val="12"/>
          <w:numId w:val="0"/>
        </w:numPr>
        <w:rPr>
          <w:rFonts w:eastAsia="SimSun"/>
          <w:noProof/>
          <w:lang w:eastAsia="zh-CN"/>
        </w:rPr>
      </w:pPr>
    </w:p>
    <w:p w14:paraId="57374671" w14:textId="77777777" w:rsidR="004E65A9" w:rsidRPr="00BD1AD5" w:rsidRDefault="004E65A9" w:rsidP="003F09AA">
      <w:pPr>
        <w:keepNext/>
        <w:numPr>
          <w:ilvl w:val="12"/>
          <w:numId w:val="0"/>
        </w:numPr>
        <w:shd w:val="clear" w:color="auto" w:fill="FFFFFF"/>
        <w:ind w:left="562" w:hanging="562"/>
        <w:outlineLvl w:val="0"/>
        <w:rPr>
          <w:b/>
          <w:szCs w:val="24"/>
        </w:rPr>
      </w:pPr>
      <w:r>
        <w:rPr>
          <w:b/>
        </w:rPr>
        <w:t>4.</w:t>
      </w:r>
      <w:r>
        <w:rPr>
          <w:b/>
        </w:rPr>
        <w:tab/>
        <w:t>Mulige bivirkninger</w:t>
      </w:r>
    </w:p>
    <w:p w14:paraId="7E963683" w14:textId="77777777" w:rsidR="004E65A9" w:rsidRPr="00BD1AD5" w:rsidRDefault="004E65A9" w:rsidP="003F09AA">
      <w:pPr>
        <w:keepNext/>
        <w:numPr>
          <w:ilvl w:val="12"/>
          <w:numId w:val="0"/>
        </w:numPr>
        <w:ind w:right="-29"/>
      </w:pPr>
    </w:p>
    <w:p w14:paraId="63B63B25" w14:textId="77777777" w:rsidR="004E65A9" w:rsidRPr="00BD1AD5" w:rsidRDefault="004E65A9" w:rsidP="003F09AA">
      <w:pPr>
        <w:numPr>
          <w:ilvl w:val="12"/>
          <w:numId w:val="0"/>
        </w:numPr>
      </w:pPr>
      <w:r>
        <w:t>Som alle legemidler kan dette legemidlet forårsake bivirkninger, men ikke alle får det.</w:t>
      </w:r>
    </w:p>
    <w:p w14:paraId="6107E882" w14:textId="77777777" w:rsidR="004E65A9" w:rsidRPr="00BD1AD5" w:rsidRDefault="004E65A9" w:rsidP="003F09AA">
      <w:pPr>
        <w:numPr>
          <w:ilvl w:val="12"/>
          <w:numId w:val="0"/>
        </w:numPr>
      </w:pPr>
    </w:p>
    <w:p w14:paraId="076FBCEA" w14:textId="77777777" w:rsidR="004E65A9" w:rsidRPr="00BD1AD5" w:rsidRDefault="004E65A9" w:rsidP="003F09AA">
      <w:pPr>
        <w:keepNext/>
        <w:numPr>
          <w:ilvl w:val="12"/>
          <w:numId w:val="0"/>
        </w:numPr>
        <w:rPr>
          <w:b/>
        </w:rPr>
      </w:pPr>
      <w:r>
        <w:rPr>
          <w:b/>
        </w:rPr>
        <w:lastRenderedPageBreak/>
        <w:t>Alvorlige bivirkninger – depresjon og selvmordstanker</w:t>
      </w:r>
    </w:p>
    <w:p w14:paraId="64AF0FE2" w14:textId="77777777" w:rsidR="004E65A9" w:rsidRPr="00BD1AD5" w:rsidRDefault="004E65A9" w:rsidP="003F09AA">
      <w:pPr>
        <w:keepNext/>
        <w:numPr>
          <w:ilvl w:val="12"/>
          <w:numId w:val="0"/>
        </w:numPr>
      </w:pPr>
    </w:p>
    <w:p w14:paraId="2B0137C1" w14:textId="77777777" w:rsidR="004E65A9" w:rsidRPr="00BD1AD5" w:rsidRDefault="004E65A9" w:rsidP="003F09AA">
      <w:pPr>
        <w:numPr>
          <w:ilvl w:val="12"/>
          <w:numId w:val="0"/>
        </w:numPr>
      </w:pPr>
      <w:r>
        <w:t>Fortell legen umiddelbart om eventuelle endringer i atferd eller sinnsstemning, følelse av depresjon, tanker om selvmord eller selvmordsatferd (dette er mindre vanlig).</w:t>
      </w:r>
    </w:p>
    <w:p w14:paraId="68C4BB1B" w14:textId="77777777" w:rsidR="004E65A9" w:rsidRPr="00BD1AD5" w:rsidRDefault="004E65A9" w:rsidP="003F09AA">
      <w:pPr>
        <w:numPr>
          <w:ilvl w:val="12"/>
          <w:numId w:val="0"/>
        </w:numPr>
      </w:pPr>
    </w:p>
    <w:p w14:paraId="5E4AEC66" w14:textId="77777777" w:rsidR="004E65A9" w:rsidRPr="00BD1AD5" w:rsidRDefault="004E65A9" w:rsidP="003F09AA">
      <w:pPr>
        <w:keepNext/>
        <w:numPr>
          <w:ilvl w:val="12"/>
          <w:numId w:val="0"/>
        </w:numPr>
      </w:pPr>
      <w:r>
        <w:rPr>
          <w:b/>
        </w:rPr>
        <w:t>Svært vanlige bivirkninger</w:t>
      </w:r>
      <w:r>
        <w:t xml:space="preserve"> (kan ramme flere enn 1 av 10 personer)</w:t>
      </w:r>
    </w:p>
    <w:p w14:paraId="7B5BECFA" w14:textId="77777777" w:rsidR="004E65A9" w:rsidRPr="00BD1AD5" w:rsidRDefault="004E65A9" w:rsidP="003F09AA">
      <w:pPr>
        <w:numPr>
          <w:ilvl w:val="0"/>
          <w:numId w:val="1"/>
        </w:numPr>
        <w:tabs>
          <w:tab w:val="clear" w:pos="720"/>
        </w:tabs>
        <w:ind w:left="567" w:hanging="567"/>
        <w:rPr>
          <w:rStyle w:val="st"/>
          <w:rFonts w:eastAsia="MS Mincho"/>
        </w:rPr>
      </w:pPr>
      <w:r>
        <w:t>diaré</w:t>
      </w:r>
    </w:p>
    <w:p w14:paraId="109F308E" w14:textId="77777777" w:rsidR="004E65A9" w:rsidRPr="00BD1AD5" w:rsidRDefault="004E65A9" w:rsidP="003F09AA">
      <w:pPr>
        <w:numPr>
          <w:ilvl w:val="0"/>
          <w:numId w:val="1"/>
        </w:numPr>
        <w:tabs>
          <w:tab w:val="clear" w:pos="720"/>
          <w:tab w:val="num" w:pos="567"/>
        </w:tabs>
        <w:ind w:left="567" w:hanging="567"/>
        <w:rPr>
          <w:rStyle w:val="st"/>
        </w:rPr>
      </w:pPr>
      <w:r>
        <w:rPr>
          <w:rStyle w:val="st"/>
        </w:rPr>
        <w:t>kvalme</w:t>
      </w:r>
    </w:p>
    <w:p w14:paraId="46166345" w14:textId="77777777" w:rsidR="004E65A9" w:rsidRPr="00BD1AD5" w:rsidRDefault="004E65A9" w:rsidP="003F09AA">
      <w:pPr>
        <w:keepNext/>
        <w:numPr>
          <w:ilvl w:val="0"/>
          <w:numId w:val="1"/>
        </w:numPr>
        <w:tabs>
          <w:tab w:val="clear" w:pos="720"/>
          <w:tab w:val="num" w:pos="567"/>
        </w:tabs>
        <w:ind w:left="567" w:hanging="567"/>
      </w:pPr>
      <w:r>
        <w:t>hodepine</w:t>
      </w:r>
    </w:p>
    <w:p w14:paraId="63EB23EF" w14:textId="77777777" w:rsidR="004E65A9" w:rsidRPr="00BD1AD5" w:rsidRDefault="004E65A9" w:rsidP="003F09AA">
      <w:pPr>
        <w:numPr>
          <w:ilvl w:val="0"/>
          <w:numId w:val="1"/>
        </w:numPr>
        <w:tabs>
          <w:tab w:val="clear" w:pos="720"/>
          <w:tab w:val="num" w:pos="567"/>
        </w:tabs>
        <w:ind w:left="567" w:hanging="567"/>
      </w:pPr>
      <w:r>
        <w:t>øvre luftveisinfeksjoner som forkjølelse, rennende nese, bihulebetennelse</w:t>
      </w:r>
    </w:p>
    <w:p w14:paraId="4ECE67CF" w14:textId="77777777" w:rsidR="004E65A9" w:rsidRPr="00BD1AD5" w:rsidRDefault="004E65A9" w:rsidP="003F09AA">
      <w:pPr>
        <w:ind w:left="567" w:right="-2" w:hanging="567"/>
        <w:rPr>
          <w:rFonts w:eastAsia="SimSun"/>
          <w:lang w:eastAsia="zh-CN"/>
        </w:rPr>
      </w:pPr>
    </w:p>
    <w:p w14:paraId="5F713DD3" w14:textId="77777777" w:rsidR="004E65A9" w:rsidRPr="00BD1AD5" w:rsidRDefault="004E65A9" w:rsidP="003F09AA">
      <w:pPr>
        <w:keepNext/>
        <w:numPr>
          <w:ilvl w:val="12"/>
          <w:numId w:val="0"/>
        </w:numPr>
        <w:rPr>
          <w:strike/>
        </w:rPr>
      </w:pPr>
      <w:r>
        <w:rPr>
          <w:b/>
        </w:rPr>
        <w:t>Vanlige bivirkninger</w:t>
      </w:r>
      <w:r>
        <w:t xml:space="preserve"> (kan ramme inntil 1 av 10 personer)</w:t>
      </w:r>
    </w:p>
    <w:p w14:paraId="165DA863" w14:textId="77777777" w:rsidR="004E65A9" w:rsidRPr="00BD1AD5" w:rsidRDefault="004E65A9" w:rsidP="003F09AA">
      <w:pPr>
        <w:numPr>
          <w:ilvl w:val="0"/>
          <w:numId w:val="1"/>
        </w:numPr>
        <w:tabs>
          <w:tab w:val="clear" w:pos="720"/>
          <w:tab w:val="num" w:pos="567"/>
        </w:tabs>
        <w:ind w:left="567" w:hanging="567"/>
      </w:pPr>
      <w:r>
        <w:t>hoste</w:t>
      </w:r>
    </w:p>
    <w:p w14:paraId="2211A48D" w14:textId="77777777" w:rsidR="004E65A9" w:rsidRPr="00BD1AD5" w:rsidRDefault="004E65A9" w:rsidP="003F09AA">
      <w:pPr>
        <w:numPr>
          <w:ilvl w:val="0"/>
          <w:numId w:val="1"/>
        </w:numPr>
        <w:tabs>
          <w:tab w:val="clear" w:pos="720"/>
          <w:tab w:val="num" w:pos="567"/>
        </w:tabs>
        <w:ind w:left="567" w:hanging="567"/>
      </w:pPr>
      <w:r>
        <w:t>ryggsmerter</w:t>
      </w:r>
    </w:p>
    <w:p w14:paraId="19E26CBF" w14:textId="77777777" w:rsidR="004E65A9" w:rsidRPr="00BD1AD5" w:rsidRDefault="004E65A9" w:rsidP="003F09AA">
      <w:pPr>
        <w:numPr>
          <w:ilvl w:val="0"/>
          <w:numId w:val="1"/>
        </w:numPr>
        <w:tabs>
          <w:tab w:val="clear" w:pos="720"/>
          <w:tab w:val="num" w:pos="567"/>
        </w:tabs>
        <w:ind w:left="567" w:hanging="567"/>
      </w:pPr>
      <w:r>
        <w:t>oppkast</w:t>
      </w:r>
    </w:p>
    <w:p w14:paraId="1E72A5B8" w14:textId="77777777" w:rsidR="004E65A9" w:rsidRPr="00BD1AD5" w:rsidRDefault="004E65A9" w:rsidP="003F09AA">
      <w:pPr>
        <w:numPr>
          <w:ilvl w:val="0"/>
          <w:numId w:val="1"/>
        </w:numPr>
        <w:tabs>
          <w:tab w:val="clear" w:pos="720"/>
          <w:tab w:val="num" w:pos="567"/>
        </w:tabs>
        <w:ind w:left="567" w:hanging="567"/>
      </w:pPr>
      <w:r>
        <w:t>tretthet (fatigue)</w:t>
      </w:r>
    </w:p>
    <w:p w14:paraId="2F4C3E84" w14:textId="77777777" w:rsidR="004E65A9" w:rsidRPr="00BD1AD5" w:rsidRDefault="004E65A9" w:rsidP="003F09AA">
      <w:pPr>
        <w:numPr>
          <w:ilvl w:val="0"/>
          <w:numId w:val="1"/>
        </w:numPr>
        <w:tabs>
          <w:tab w:val="clear" w:pos="720"/>
          <w:tab w:val="num" w:pos="567"/>
        </w:tabs>
        <w:ind w:left="567" w:hanging="567"/>
      </w:pPr>
      <w:r>
        <w:t>magesmerter</w:t>
      </w:r>
    </w:p>
    <w:p w14:paraId="1B070A0C" w14:textId="77777777" w:rsidR="004E65A9" w:rsidRPr="00BD1AD5" w:rsidRDefault="004E65A9" w:rsidP="003F09AA">
      <w:pPr>
        <w:numPr>
          <w:ilvl w:val="0"/>
          <w:numId w:val="1"/>
        </w:numPr>
        <w:tabs>
          <w:tab w:val="clear" w:pos="720"/>
          <w:tab w:val="num" w:pos="567"/>
        </w:tabs>
        <w:ind w:left="567" w:hanging="567"/>
      </w:pPr>
      <w:r>
        <w:t>tap av appetitt</w:t>
      </w:r>
    </w:p>
    <w:p w14:paraId="78193BC2" w14:textId="77777777" w:rsidR="004E65A9" w:rsidRPr="00BD1AD5" w:rsidRDefault="004E65A9" w:rsidP="003F09AA">
      <w:pPr>
        <w:numPr>
          <w:ilvl w:val="0"/>
          <w:numId w:val="1"/>
        </w:numPr>
        <w:tabs>
          <w:tab w:val="clear" w:pos="720"/>
          <w:tab w:val="num" w:pos="567"/>
        </w:tabs>
        <w:ind w:left="567" w:hanging="567"/>
      </w:pPr>
      <w:r>
        <w:t>hyppig avføring</w:t>
      </w:r>
    </w:p>
    <w:p w14:paraId="7B1673AA" w14:textId="77777777" w:rsidR="004E65A9" w:rsidRPr="00BD1AD5" w:rsidRDefault="004E65A9" w:rsidP="003F09AA">
      <w:pPr>
        <w:numPr>
          <w:ilvl w:val="0"/>
          <w:numId w:val="1"/>
        </w:numPr>
        <w:tabs>
          <w:tab w:val="clear" w:pos="720"/>
          <w:tab w:val="num" w:pos="567"/>
        </w:tabs>
        <w:ind w:left="567" w:hanging="567"/>
      </w:pPr>
      <w:r>
        <w:t>søvnvansker (insomni)</w:t>
      </w:r>
    </w:p>
    <w:p w14:paraId="27603A12" w14:textId="77777777" w:rsidR="004E65A9" w:rsidRPr="00BD1AD5" w:rsidRDefault="004E65A9" w:rsidP="003F09AA">
      <w:pPr>
        <w:numPr>
          <w:ilvl w:val="0"/>
          <w:numId w:val="1"/>
        </w:numPr>
        <w:tabs>
          <w:tab w:val="clear" w:pos="720"/>
          <w:tab w:val="num" w:pos="567"/>
        </w:tabs>
        <w:ind w:left="567" w:hanging="567"/>
      </w:pPr>
      <w:r>
        <w:t>fordøyelsesbesvær eller halsbrann</w:t>
      </w:r>
    </w:p>
    <w:p w14:paraId="31A07B03" w14:textId="77777777" w:rsidR="004E65A9" w:rsidRPr="00BD1AD5" w:rsidRDefault="004E65A9" w:rsidP="003F09AA">
      <w:pPr>
        <w:numPr>
          <w:ilvl w:val="0"/>
          <w:numId w:val="1"/>
        </w:numPr>
        <w:tabs>
          <w:tab w:val="clear" w:pos="720"/>
          <w:tab w:val="num" w:pos="567"/>
        </w:tabs>
        <w:ind w:left="567" w:hanging="567"/>
      </w:pPr>
      <w:r>
        <w:t>betennelse og hevelse i lungenes luftveier (bronkitt)</w:t>
      </w:r>
    </w:p>
    <w:p w14:paraId="749BFDF3" w14:textId="77777777" w:rsidR="004E65A9" w:rsidRPr="00BD1AD5" w:rsidRDefault="004E65A9" w:rsidP="003F09AA">
      <w:pPr>
        <w:numPr>
          <w:ilvl w:val="0"/>
          <w:numId w:val="1"/>
        </w:numPr>
        <w:tabs>
          <w:tab w:val="clear" w:pos="720"/>
          <w:tab w:val="num" w:pos="567"/>
        </w:tabs>
        <w:ind w:left="567" w:hanging="567"/>
      </w:pPr>
      <w:r>
        <w:t>vanlig forkjølelse (nasofaryngitt)</w:t>
      </w:r>
    </w:p>
    <w:p w14:paraId="1F6A47A5" w14:textId="77777777" w:rsidR="004E65A9" w:rsidRPr="00BD1AD5" w:rsidRDefault="004E65A9" w:rsidP="003F09AA">
      <w:pPr>
        <w:numPr>
          <w:ilvl w:val="0"/>
          <w:numId w:val="1"/>
        </w:numPr>
        <w:tabs>
          <w:tab w:val="clear" w:pos="720"/>
          <w:tab w:val="num" w:pos="567"/>
        </w:tabs>
        <w:ind w:left="567" w:hanging="567"/>
      </w:pPr>
      <w:r>
        <w:t>depresjon</w:t>
      </w:r>
    </w:p>
    <w:p w14:paraId="4B4B3BDD" w14:textId="77777777" w:rsidR="004E65A9" w:rsidRPr="00BD1AD5" w:rsidRDefault="004E65A9" w:rsidP="003F09AA">
      <w:pPr>
        <w:keepNext/>
        <w:numPr>
          <w:ilvl w:val="0"/>
          <w:numId w:val="1"/>
        </w:numPr>
        <w:tabs>
          <w:tab w:val="clear" w:pos="720"/>
          <w:tab w:val="num" w:pos="567"/>
        </w:tabs>
        <w:ind w:left="567" w:hanging="567"/>
        <w:rPr>
          <w:szCs w:val="20"/>
        </w:rPr>
      </w:pPr>
      <w:r>
        <w:t>migrene</w:t>
      </w:r>
    </w:p>
    <w:p w14:paraId="20446C99" w14:textId="77777777" w:rsidR="004E65A9" w:rsidRPr="00BD1AD5" w:rsidRDefault="004E65A9" w:rsidP="003F09AA">
      <w:pPr>
        <w:numPr>
          <w:ilvl w:val="0"/>
          <w:numId w:val="1"/>
        </w:numPr>
        <w:tabs>
          <w:tab w:val="clear" w:pos="720"/>
          <w:tab w:val="num" w:pos="567"/>
        </w:tabs>
        <w:ind w:left="567" w:hanging="567"/>
        <w:rPr>
          <w:szCs w:val="20"/>
        </w:rPr>
      </w:pPr>
      <w:r>
        <w:t>spenningshodepine</w:t>
      </w:r>
    </w:p>
    <w:p w14:paraId="7C06DEDA" w14:textId="77777777" w:rsidR="004E65A9" w:rsidRPr="00BD1AD5" w:rsidRDefault="004E65A9" w:rsidP="003F09AA">
      <w:pPr>
        <w:rPr>
          <w:rFonts w:eastAsia="SimSun"/>
          <w:lang w:eastAsia="zh-CN"/>
        </w:rPr>
      </w:pPr>
    </w:p>
    <w:p w14:paraId="2EA05705" w14:textId="77777777" w:rsidR="004E65A9" w:rsidRPr="00BD1AD5" w:rsidRDefault="004E65A9" w:rsidP="003F09AA">
      <w:pPr>
        <w:keepNext/>
      </w:pPr>
      <w:r>
        <w:rPr>
          <w:b/>
        </w:rPr>
        <w:t>Mindre vanlige bivirkninger</w:t>
      </w:r>
      <w:r>
        <w:t xml:space="preserve"> (kan ramme inntil 1 av 100 personer)</w:t>
      </w:r>
    </w:p>
    <w:p w14:paraId="58371E2D" w14:textId="77777777" w:rsidR="004E65A9" w:rsidRPr="00BD1AD5" w:rsidRDefault="004E65A9" w:rsidP="003F09AA">
      <w:pPr>
        <w:numPr>
          <w:ilvl w:val="0"/>
          <w:numId w:val="1"/>
        </w:numPr>
        <w:tabs>
          <w:tab w:val="clear" w:pos="720"/>
          <w:tab w:val="num" w:pos="567"/>
        </w:tabs>
        <w:ind w:left="567" w:hanging="567"/>
      </w:pPr>
      <w:r>
        <w:t>utslett</w:t>
      </w:r>
    </w:p>
    <w:p w14:paraId="558D8980" w14:textId="77777777" w:rsidR="004E65A9" w:rsidRPr="00BD1AD5" w:rsidRDefault="004E65A9" w:rsidP="003F09AA">
      <w:pPr>
        <w:numPr>
          <w:ilvl w:val="0"/>
          <w:numId w:val="1"/>
        </w:numPr>
        <w:tabs>
          <w:tab w:val="clear" w:pos="720"/>
          <w:tab w:val="num" w:pos="567"/>
        </w:tabs>
        <w:ind w:left="567" w:hanging="567"/>
      </w:pPr>
      <w:r>
        <w:t>elveblest (urticaria)</w:t>
      </w:r>
    </w:p>
    <w:p w14:paraId="31E0D595" w14:textId="77777777" w:rsidR="004E65A9" w:rsidRPr="00BD1AD5" w:rsidRDefault="004E65A9" w:rsidP="003F09AA">
      <w:pPr>
        <w:numPr>
          <w:ilvl w:val="0"/>
          <w:numId w:val="1"/>
        </w:numPr>
        <w:tabs>
          <w:tab w:val="clear" w:pos="720"/>
          <w:tab w:val="num" w:pos="567"/>
        </w:tabs>
        <w:ind w:left="567" w:hanging="567"/>
      </w:pPr>
      <w:r>
        <w:t>vekttap</w:t>
      </w:r>
    </w:p>
    <w:p w14:paraId="196E860E" w14:textId="77777777" w:rsidR="004E65A9" w:rsidRPr="00BD1AD5" w:rsidRDefault="004E65A9" w:rsidP="003F09AA">
      <w:pPr>
        <w:numPr>
          <w:ilvl w:val="0"/>
          <w:numId w:val="1"/>
        </w:numPr>
        <w:tabs>
          <w:tab w:val="clear" w:pos="720"/>
          <w:tab w:val="num" w:pos="567"/>
        </w:tabs>
        <w:ind w:left="567" w:hanging="567"/>
      </w:pPr>
      <w:r>
        <w:t>allergisk reaksjon</w:t>
      </w:r>
    </w:p>
    <w:p w14:paraId="40198128" w14:textId="77777777" w:rsidR="004E65A9" w:rsidRPr="00BD1AD5" w:rsidRDefault="004E65A9" w:rsidP="003F09AA">
      <w:pPr>
        <w:keepNext/>
        <w:numPr>
          <w:ilvl w:val="0"/>
          <w:numId w:val="1"/>
        </w:numPr>
        <w:tabs>
          <w:tab w:val="clear" w:pos="720"/>
          <w:tab w:val="num" w:pos="567"/>
        </w:tabs>
        <w:ind w:left="567" w:hanging="567"/>
      </w:pPr>
      <w:r>
        <w:t>blødning i tarmen eller i magen</w:t>
      </w:r>
    </w:p>
    <w:p w14:paraId="2D7CAC9B" w14:textId="77777777" w:rsidR="004E65A9" w:rsidRDefault="004E65A9" w:rsidP="003F09AA">
      <w:pPr>
        <w:numPr>
          <w:ilvl w:val="0"/>
          <w:numId w:val="1"/>
        </w:numPr>
        <w:tabs>
          <w:tab w:val="clear" w:pos="720"/>
          <w:tab w:val="num" w:pos="567"/>
        </w:tabs>
        <w:ind w:left="567" w:hanging="567"/>
        <w:rPr>
          <w:ins w:id="16" w:author="Author"/>
        </w:rPr>
      </w:pPr>
      <w:r>
        <w:t>selvmordstanker (suicidal ideasjon) eller -atferd</w:t>
      </w:r>
    </w:p>
    <w:p w14:paraId="22F67E51" w14:textId="77777777" w:rsidR="004E65A9" w:rsidRDefault="004E65A9" w:rsidP="003F09AA">
      <w:pPr>
        <w:numPr>
          <w:ilvl w:val="0"/>
          <w:numId w:val="1"/>
        </w:numPr>
        <w:tabs>
          <w:tab w:val="clear" w:pos="720"/>
          <w:tab w:val="num" w:pos="567"/>
        </w:tabs>
        <w:ind w:left="567" w:hanging="567"/>
        <w:rPr>
          <w:ins w:id="17" w:author="Author"/>
        </w:rPr>
      </w:pPr>
      <w:ins w:id="18" w:author="Author">
        <w:r>
          <w:t>angst</w:t>
        </w:r>
      </w:ins>
    </w:p>
    <w:p w14:paraId="6558B241" w14:textId="77777777" w:rsidR="004E65A9" w:rsidRPr="00BD1AD5" w:rsidRDefault="004E65A9" w:rsidP="003F09AA">
      <w:pPr>
        <w:numPr>
          <w:ilvl w:val="0"/>
          <w:numId w:val="1"/>
        </w:numPr>
        <w:tabs>
          <w:tab w:val="clear" w:pos="720"/>
          <w:tab w:val="num" w:pos="567"/>
        </w:tabs>
        <w:ind w:left="567" w:hanging="567"/>
      </w:pPr>
      <w:ins w:id="19" w:author="Author">
        <w:r>
          <w:t>endret humør</w:t>
        </w:r>
      </w:ins>
    </w:p>
    <w:p w14:paraId="16BB56BC" w14:textId="77777777" w:rsidR="004E65A9" w:rsidRPr="00BD1AD5" w:rsidRDefault="004E65A9" w:rsidP="003F09AA">
      <w:pPr>
        <w:ind w:right="-2"/>
      </w:pPr>
    </w:p>
    <w:p w14:paraId="2BFB2C16" w14:textId="77777777" w:rsidR="004E65A9" w:rsidRPr="00BD1AD5" w:rsidRDefault="004E65A9" w:rsidP="003F09AA">
      <w:pPr>
        <w:keepNext/>
        <w:numPr>
          <w:ilvl w:val="12"/>
          <w:numId w:val="0"/>
        </w:numPr>
      </w:pPr>
      <w:r>
        <w:rPr>
          <w:b/>
        </w:rPr>
        <w:t>Ikke kjente bivirkninger</w:t>
      </w:r>
      <w:r>
        <w:t xml:space="preserve"> (hyppighet kan ikke anslås ut ifra tilgjengelige data)</w:t>
      </w:r>
    </w:p>
    <w:p w14:paraId="5DD70DE6" w14:textId="77777777" w:rsidR="004E65A9" w:rsidRPr="00BD1AD5" w:rsidRDefault="004E65A9" w:rsidP="003F09AA">
      <w:pPr>
        <w:keepNext/>
        <w:numPr>
          <w:ilvl w:val="0"/>
          <w:numId w:val="1"/>
        </w:numPr>
        <w:tabs>
          <w:tab w:val="clear" w:pos="720"/>
          <w:tab w:val="num" w:pos="567"/>
        </w:tabs>
        <w:ind w:left="567" w:hanging="567"/>
      </w:pPr>
      <w:r>
        <w:t>alvorlig allergisk reaksjon (kan omfatte hevelse i ansikt, lepper, munn, tunge eller svelg som kan medføre puste- eller svelgevansker)</w:t>
      </w:r>
    </w:p>
    <w:p w14:paraId="1E3D1C74" w14:textId="77777777" w:rsidR="004E65A9" w:rsidRPr="00BD1AD5" w:rsidRDefault="004E65A9" w:rsidP="003F09AA">
      <w:pPr>
        <w:ind w:right="-2"/>
      </w:pPr>
    </w:p>
    <w:p w14:paraId="29795733" w14:textId="77777777" w:rsidR="004E65A9" w:rsidRPr="00BD1AD5" w:rsidRDefault="004E65A9" w:rsidP="003F09AA">
      <w:r>
        <w:t>Hvis du er over 65 år, kan du ha en høyere risiko for komplikasjoner med alvorlig diaré, kvalme og oppkast. Hvis mageproblemene blir alvorlige, bør du snakke med legen din.</w:t>
      </w:r>
    </w:p>
    <w:p w14:paraId="2F12F6D3" w14:textId="77777777" w:rsidR="004E65A9" w:rsidRPr="00BD1AD5" w:rsidRDefault="004E65A9" w:rsidP="003F09AA">
      <w:pPr>
        <w:ind w:right="-2"/>
      </w:pPr>
    </w:p>
    <w:p w14:paraId="0593D872" w14:textId="77777777" w:rsidR="004E65A9" w:rsidRPr="00BD1AD5" w:rsidRDefault="004E65A9" w:rsidP="003F09AA">
      <w:pPr>
        <w:keepNext/>
        <w:numPr>
          <w:ilvl w:val="12"/>
          <w:numId w:val="0"/>
        </w:numPr>
        <w:ind w:right="-2"/>
        <w:rPr>
          <w:b/>
        </w:rPr>
      </w:pPr>
      <w:r>
        <w:rPr>
          <w:b/>
        </w:rPr>
        <w:t>Melding av bivirkninger</w:t>
      </w:r>
    </w:p>
    <w:p w14:paraId="13E32E16" w14:textId="77777777" w:rsidR="004E65A9" w:rsidRPr="00BD1AD5" w:rsidRDefault="004E65A9" w:rsidP="003F09AA">
      <w:pPr>
        <w:keepNext/>
      </w:pPr>
    </w:p>
    <w:p w14:paraId="0D6BBCF7" w14:textId="77777777" w:rsidR="004E65A9" w:rsidRPr="00BD1AD5" w:rsidRDefault="004E65A9" w:rsidP="003F09AA">
      <w:r>
        <w:t xml:space="preserve">Kontakt lege, apotek eller sykepleier dersom du opplever bivirkninger. Dette gjelder også bivirkninger som ikke er nevnt i pakningsvedlegget. Du kan også melde fra om bivirkninger direkte via </w:t>
      </w:r>
      <w:r>
        <w:rPr>
          <w:highlight w:val="lightGray"/>
        </w:rPr>
        <w:t xml:space="preserve">det nasjonale meldesystemet som beskrevet i </w:t>
      </w:r>
      <w:hyperlink r:id="rId27" w:history="1">
        <w:r>
          <w:rPr>
            <w:rStyle w:val="Hyperlink"/>
            <w:highlight w:val="lightGray"/>
          </w:rPr>
          <w:t>Appendix V</w:t>
        </w:r>
      </w:hyperlink>
      <w:r>
        <w:t>. Ved å melde fra om bivirkninger bidrar du med informasjon om sikkerheten ved bruk av dette legemidlet.</w:t>
      </w:r>
    </w:p>
    <w:p w14:paraId="793D0154" w14:textId="77777777" w:rsidR="004E65A9" w:rsidRPr="00BD1AD5" w:rsidRDefault="004E65A9" w:rsidP="003F09AA">
      <w:pPr>
        <w:numPr>
          <w:ilvl w:val="12"/>
          <w:numId w:val="0"/>
        </w:numPr>
        <w:rPr>
          <w:rFonts w:eastAsia="SimSun"/>
          <w:noProof/>
          <w:lang w:eastAsia="zh-CN"/>
        </w:rPr>
      </w:pPr>
    </w:p>
    <w:p w14:paraId="3468FD29" w14:textId="77777777" w:rsidR="004E65A9" w:rsidRPr="00BD1AD5" w:rsidRDefault="004E65A9" w:rsidP="003F09AA">
      <w:pPr>
        <w:numPr>
          <w:ilvl w:val="12"/>
          <w:numId w:val="0"/>
        </w:numPr>
      </w:pPr>
    </w:p>
    <w:p w14:paraId="3AC4DB4C" w14:textId="77777777" w:rsidR="004E65A9" w:rsidRPr="00BD1AD5" w:rsidRDefault="004E65A9" w:rsidP="003F09AA">
      <w:pPr>
        <w:keepNext/>
        <w:numPr>
          <w:ilvl w:val="12"/>
          <w:numId w:val="0"/>
        </w:numPr>
        <w:shd w:val="clear" w:color="auto" w:fill="FFFFFF"/>
        <w:ind w:left="562" w:hanging="562"/>
        <w:outlineLvl w:val="0"/>
        <w:rPr>
          <w:b/>
          <w:szCs w:val="24"/>
        </w:rPr>
      </w:pPr>
      <w:r>
        <w:rPr>
          <w:b/>
        </w:rPr>
        <w:t>5.</w:t>
      </w:r>
      <w:r>
        <w:rPr>
          <w:b/>
        </w:rPr>
        <w:tab/>
        <w:t>Hvordan du oppbevarer Otezla</w:t>
      </w:r>
    </w:p>
    <w:p w14:paraId="2D1DBE70" w14:textId="77777777" w:rsidR="004E65A9" w:rsidRPr="00BD1AD5" w:rsidRDefault="004E65A9" w:rsidP="003F09AA">
      <w:pPr>
        <w:keepNext/>
      </w:pPr>
    </w:p>
    <w:p w14:paraId="691FA1A2" w14:textId="77777777" w:rsidR="004E65A9" w:rsidRPr="00BD1AD5" w:rsidRDefault="004E65A9" w:rsidP="003F09AA">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t>Oppbevares utilgjengelig for barn.</w:t>
      </w:r>
    </w:p>
    <w:p w14:paraId="7D88A09C" w14:textId="77777777" w:rsidR="004E65A9" w:rsidRPr="00BD1AD5" w:rsidRDefault="004E65A9" w:rsidP="003F09AA">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lastRenderedPageBreak/>
        <w:t>Bruk ikke dette legemidlet etter utløpsdatoen som er angitt på blisterpakningen eller på mappen eller på esken etter EXP. Utløpsdatoen er den siste dagen i den angitte måneden.</w:t>
      </w:r>
    </w:p>
    <w:p w14:paraId="7D867BED" w14:textId="77777777" w:rsidR="004E65A9" w:rsidRPr="00BD1AD5" w:rsidRDefault="004E65A9" w:rsidP="003F09AA">
      <w:pPr>
        <w:pStyle w:val="ListParagraph"/>
        <w:keepNext/>
        <w:numPr>
          <w:ilvl w:val="0"/>
          <w:numId w:val="11"/>
        </w:numPr>
        <w:tabs>
          <w:tab w:val="left" w:pos="567"/>
        </w:tabs>
        <w:spacing w:after="0" w:line="240" w:lineRule="auto"/>
        <w:ind w:left="567" w:hanging="567"/>
        <w:rPr>
          <w:rFonts w:ascii="Times New Roman" w:hAnsi="Times New Roman"/>
        </w:rPr>
      </w:pPr>
      <w:r>
        <w:rPr>
          <w:rFonts w:ascii="Times New Roman" w:hAnsi="Times New Roman"/>
        </w:rPr>
        <w:t>Oppbevares ved høyst 30 °C.</w:t>
      </w:r>
    </w:p>
    <w:p w14:paraId="2B4D2BA9" w14:textId="77777777" w:rsidR="004E65A9" w:rsidRPr="00BD1AD5" w:rsidRDefault="004E65A9" w:rsidP="003F09AA">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t>Bruk ikke dette legemidlet hvis du oppdager skader eller tegn på manipulering av legemiddelpakningen.</w:t>
      </w:r>
    </w:p>
    <w:p w14:paraId="4A90AFE9" w14:textId="77777777" w:rsidR="004E65A9" w:rsidRPr="00BD1AD5" w:rsidRDefault="004E65A9" w:rsidP="003F09AA">
      <w:pPr>
        <w:numPr>
          <w:ilvl w:val="12"/>
          <w:numId w:val="0"/>
        </w:numPr>
      </w:pPr>
    </w:p>
    <w:p w14:paraId="2BB95C5B" w14:textId="77777777" w:rsidR="004E65A9" w:rsidRPr="00BD1AD5" w:rsidRDefault="004E65A9" w:rsidP="003F09AA">
      <w:pPr>
        <w:numPr>
          <w:ilvl w:val="12"/>
          <w:numId w:val="0"/>
        </w:numPr>
      </w:pPr>
      <w:r>
        <w:t>Legemidler skal ikke kastes i avløpsvann eller sammen med husholdningsavfall. Spør på apoteket hvordan du skal kaste legemidler som du ikke lenger bruker. Disse tiltakene bidrar til å beskytte miljøet.</w:t>
      </w:r>
    </w:p>
    <w:p w14:paraId="0118D951" w14:textId="77777777" w:rsidR="004E65A9" w:rsidRPr="000B27C9" w:rsidRDefault="004E65A9" w:rsidP="003F09AA">
      <w:pPr>
        <w:pStyle w:val="ListParagraph"/>
        <w:numPr>
          <w:ilvl w:val="12"/>
          <w:numId w:val="0"/>
        </w:numPr>
        <w:spacing w:after="0" w:line="240" w:lineRule="auto"/>
        <w:rPr>
          <w:rFonts w:ascii="Times New Roman" w:eastAsia="SimSun" w:hAnsi="Times New Roman"/>
          <w:noProof/>
          <w:lang w:eastAsia="zh-CN"/>
        </w:rPr>
      </w:pPr>
    </w:p>
    <w:p w14:paraId="3155AC21" w14:textId="77777777" w:rsidR="004E65A9" w:rsidRPr="000B27C9" w:rsidRDefault="004E65A9" w:rsidP="003F09AA">
      <w:pPr>
        <w:pStyle w:val="ListParagraph"/>
        <w:numPr>
          <w:ilvl w:val="12"/>
          <w:numId w:val="0"/>
        </w:numPr>
        <w:spacing w:after="0" w:line="240" w:lineRule="auto"/>
        <w:rPr>
          <w:rFonts w:ascii="Times New Roman" w:eastAsia="SimSun" w:hAnsi="Times New Roman"/>
          <w:noProof/>
          <w:lang w:eastAsia="zh-CN"/>
        </w:rPr>
      </w:pPr>
    </w:p>
    <w:p w14:paraId="3EB92E34" w14:textId="77777777" w:rsidR="004E65A9" w:rsidRPr="00BD1AD5" w:rsidRDefault="004E65A9" w:rsidP="003F09AA">
      <w:pPr>
        <w:keepNext/>
        <w:numPr>
          <w:ilvl w:val="12"/>
          <w:numId w:val="0"/>
        </w:numPr>
        <w:shd w:val="clear" w:color="auto" w:fill="FFFFFF"/>
        <w:ind w:left="562" w:hanging="562"/>
        <w:outlineLvl w:val="0"/>
        <w:rPr>
          <w:b/>
          <w:szCs w:val="24"/>
        </w:rPr>
      </w:pPr>
      <w:r>
        <w:rPr>
          <w:b/>
        </w:rPr>
        <w:t>6.</w:t>
      </w:r>
      <w:r>
        <w:rPr>
          <w:b/>
        </w:rPr>
        <w:tab/>
        <w:t>Innholdet i pakningen og ytterligere informasjon</w:t>
      </w:r>
    </w:p>
    <w:p w14:paraId="612E596B" w14:textId="77777777" w:rsidR="004E65A9" w:rsidRPr="00BD1AD5" w:rsidRDefault="004E65A9" w:rsidP="003F09AA">
      <w:pPr>
        <w:keepNext/>
        <w:numPr>
          <w:ilvl w:val="12"/>
          <w:numId w:val="0"/>
        </w:numPr>
        <w:ind w:right="-2"/>
        <w:rPr>
          <w:rFonts w:eastAsia="SimSun"/>
          <w:bCs/>
          <w:noProof/>
          <w:lang w:eastAsia="zh-CN"/>
        </w:rPr>
      </w:pPr>
    </w:p>
    <w:p w14:paraId="4A293BD5" w14:textId="77777777" w:rsidR="004E65A9" w:rsidRPr="00BD1AD5" w:rsidRDefault="004E65A9" w:rsidP="003F09AA">
      <w:pPr>
        <w:pStyle w:val="StyleSubheading"/>
      </w:pPr>
      <w:r>
        <w:t>Sammensetning av Otezla</w:t>
      </w:r>
    </w:p>
    <w:p w14:paraId="2AE92BAD" w14:textId="77777777" w:rsidR="004E65A9" w:rsidRPr="00BD1AD5" w:rsidRDefault="004E65A9" w:rsidP="003F09AA">
      <w:pPr>
        <w:keepNext/>
      </w:pPr>
    </w:p>
    <w:p w14:paraId="4E3D68C2" w14:textId="77777777" w:rsidR="004E65A9" w:rsidRPr="00BD1AD5" w:rsidRDefault="004E65A9" w:rsidP="003F09AA">
      <w:pPr>
        <w:keepNext/>
        <w:rPr>
          <w:i/>
        </w:rPr>
      </w:pPr>
      <w:r>
        <w:t>Virkestoff er apremilast.</w:t>
      </w:r>
    </w:p>
    <w:p w14:paraId="24E8BD4F" w14:textId="77777777" w:rsidR="004E65A9" w:rsidRPr="00BD1AD5" w:rsidRDefault="004E65A9" w:rsidP="003F09AA">
      <w:pPr>
        <w:numPr>
          <w:ilvl w:val="0"/>
          <w:numId w:val="6"/>
        </w:numPr>
        <w:ind w:left="567" w:hanging="567"/>
        <w:contextualSpacing/>
      </w:pPr>
      <w:r>
        <w:t>Otezla 10 mg filmdrasjerte tabletter: én filmdrasjert tablett inneholder 10 mg apremilast.</w:t>
      </w:r>
    </w:p>
    <w:p w14:paraId="0FB34995" w14:textId="77777777" w:rsidR="004E65A9" w:rsidRPr="00BD1AD5" w:rsidRDefault="004E65A9" w:rsidP="003F09AA">
      <w:pPr>
        <w:keepNext/>
        <w:numPr>
          <w:ilvl w:val="0"/>
          <w:numId w:val="6"/>
        </w:numPr>
        <w:ind w:left="567" w:hanging="567"/>
        <w:contextualSpacing/>
      </w:pPr>
      <w:r>
        <w:t>Otezla 20 mg filmdrasjerte tabletter: én filmdrasjert tablett inneholder 20 mg apremilast.</w:t>
      </w:r>
    </w:p>
    <w:p w14:paraId="6C1A9059" w14:textId="77777777" w:rsidR="004E65A9" w:rsidRPr="00BD1AD5" w:rsidRDefault="004E65A9" w:rsidP="003F09AA">
      <w:pPr>
        <w:numPr>
          <w:ilvl w:val="0"/>
          <w:numId w:val="6"/>
        </w:numPr>
        <w:ind w:left="567" w:hanging="567"/>
        <w:contextualSpacing/>
      </w:pPr>
      <w:r>
        <w:t>Otezla 30 mg filmdrasjerte tabletter: én filmdrasjert tablett inneholder 30 mg apremilast.</w:t>
      </w:r>
    </w:p>
    <w:p w14:paraId="5220A183" w14:textId="77777777" w:rsidR="004E65A9" w:rsidRPr="00BD1AD5" w:rsidRDefault="004E65A9" w:rsidP="003F09AA">
      <w:pPr>
        <w:ind w:left="567" w:hanging="567"/>
        <w:contextualSpacing/>
        <w:rPr>
          <w:noProof/>
        </w:rPr>
      </w:pPr>
    </w:p>
    <w:p w14:paraId="48E1101B" w14:textId="77777777" w:rsidR="004E65A9" w:rsidRPr="00BD1AD5" w:rsidRDefault="004E65A9" w:rsidP="003F09AA">
      <w:pPr>
        <w:pStyle w:val="EMEAEnBodyText"/>
        <w:keepNext/>
        <w:tabs>
          <w:tab w:val="left" w:pos="567"/>
        </w:tabs>
        <w:autoSpaceDE w:val="0"/>
        <w:autoSpaceDN w:val="0"/>
        <w:adjustRightInd w:val="0"/>
        <w:spacing w:before="0" w:after="0"/>
        <w:jc w:val="left"/>
      </w:pPr>
      <w:r>
        <w:t>Andre innholdsstoffer i tablettkjernen er cellulose mikrokrystallinsk, laktosemonohydrat, krysskarmellosenatrium og magnesiumstearat.</w:t>
      </w:r>
    </w:p>
    <w:p w14:paraId="7D33BCC3" w14:textId="77777777" w:rsidR="004E65A9" w:rsidRPr="00BD1AD5" w:rsidRDefault="004E65A9" w:rsidP="003F09AA">
      <w:pPr>
        <w:pStyle w:val="EMEAEnBodyText"/>
        <w:numPr>
          <w:ilvl w:val="0"/>
          <w:numId w:val="4"/>
        </w:numPr>
        <w:tabs>
          <w:tab w:val="left" w:pos="567"/>
        </w:tabs>
        <w:autoSpaceDE w:val="0"/>
        <w:autoSpaceDN w:val="0"/>
        <w:adjustRightInd w:val="0"/>
        <w:spacing w:before="0" w:after="0"/>
        <w:ind w:left="567" w:hanging="567"/>
        <w:jc w:val="left"/>
      </w:pPr>
      <w:r>
        <w:t>Filmdrasjeringen inneholder polyvinylalkohol, titandioksid (E171), makrogol (3350), talkum, rødt jernoksid (E172).</w:t>
      </w:r>
    </w:p>
    <w:p w14:paraId="44DD86B1" w14:textId="77777777" w:rsidR="004E65A9" w:rsidRPr="00BD1AD5" w:rsidRDefault="004E65A9" w:rsidP="003F09AA">
      <w:pPr>
        <w:pStyle w:val="EMEAEnBodyText"/>
        <w:keepNext/>
        <w:numPr>
          <w:ilvl w:val="0"/>
          <w:numId w:val="4"/>
        </w:numPr>
        <w:tabs>
          <w:tab w:val="left" w:pos="567"/>
        </w:tabs>
        <w:autoSpaceDE w:val="0"/>
        <w:autoSpaceDN w:val="0"/>
        <w:adjustRightInd w:val="0"/>
        <w:spacing w:before="0" w:after="0"/>
        <w:ind w:left="567" w:hanging="567"/>
        <w:jc w:val="left"/>
        <w:rPr>
          <w:bCs/>
        </w:rPr>
      </w:pPr>
      <w:r>
        <w:t>20 mg filmdrasjert tablett inneholder også gult jernoksid (E172).</w:t>
      </w:r>
    </w:p>
    <w:p w14:paraId="018505E7" w14:textId="77777777" w:rsidR="004E65A9" w:rsidRPr="00BD1AD5" w:rsidRDefault="004E65A9" w:rsidP="003F09AA">
      <w:pPr>
        <w:pStyle w:val="EMEAEnBodyText"/>
        <w:numPr>
          <w:ilvl w:val="0"/>
          <w:numId w:val="4"/>
        </w:numPr>
        <w:autoSpaceDE w:val="0"/>
        <w:autoSpaceDN w:val="0"/>
        <w:adjustRightInd w:val="0"/>
        <w:spacing w:before="0" w:after="0"/>
        <w:ind w:left="567" w:hanging="567"/>
        <w:jc w:val="left"/>
      </w:pPr>
      <w:r>
        <w:t>30 mg filmdrasjert tablett inneholder også gult jernoksid (E172) og svart jernoksid (E172).</w:t>
      </w:r>
    </w:p>
    <w:p w14:paraId="67401AF9" w14:textId="77777777" w:rsidR="004E65A9" w:rsidRPr="00BD1AD5" w:rsidRDefault="004E65A9" w:rsidP="003F09AA">
      <w:pPr>
        <w:contextualSpacing/>
      </w:pPr>
    </w:p>
    <w:p w14:paraId="2157BB2B" w14:textId="77777777" w:rsidR="004E65A9" w:rsidRPr="00BD1AD5" w:rsidRDefault="004E65A9" w:rsidP="003F09AA">
      <w:pPr>
        <w:keepNext/>
        <w:numPr>
          <w:ilvl w:val="12"/>
          <w:numId w:val="0"/>
        </w:numPr>
        <w:ind w:right="-2"/>
        <w:rPr>
          <w:b/>
        </w:rPr>
      </w:pPr>
      <w:r>
        <w:rPr>
          <w:b/>
        </w:rPr>
        <w:t>Hvordan Otezla ser ut og innholdet i pakningen</w:t>
      </w:r>
    </w:p>
    <w:p w14:paraId="3DB43777" w14:textId="77777777" w:rsidR="004E65A9" w:rsidRPr="000B27C9" w:rsidRDefault="004E65A9" w:rsidP="003F09AA">
      <w:pPr>
        <w:pStyle w:val="C-BodyText"/>
        <w:keepNext/>
        <w:spacing w:before="0" w:after="0" w:line="240" w:lineRule="auto"/>
        <w:rPr>
          <w:sz w:val="22"/>
          <w:szCs w:val="22"/>
        </w:rPr>
      </w:pPr>
    </w:p>
    <w:p w14:paraId="45C097B6" w14:textId="77777777" w:rsidR="004E65A9" w:rsidRPr="00BD1AD5" w:rsidRDefault="004E65A9" w:rsidP="003F09AA">
      <w:pPr>
        <w:pStyle w:val="C-BodyText"/>
        <w:spacing w:before="0" w:after="0" w:line="240" w:lineRule="auto"/>
        <w:rPr>
          <w:noProof/>
          <w:sz w:val="22"/>
          <w:szCs w:val="22"/>
        </w:rPr>
      </w:pPr>
      <w:r>
        <w:rPr>
          <w:sz w:val="22"/>
        </w:rPr>
        <w:t>Otezla 10 mg filmdrasjert tablett er en rosa, diamantformet, filmdrasjert tablett merket med "APR" på den ene siden og "10" på den andre siden.</w:t>
      </w:r>
    </w:p>
    <w:p w14:paraId="088905E6" w14:textId="77777777" w:rsidR="004E65A9" w:rsidRPr="00BD1AD5" w:rsidRDefault="004E65A9" w:rsidP="003F09AA">
      <w:pPr>
        <w:pStyle w:val="C-BodyText"/>
        <w:spacing w:before="0" w:after="0" w:line="240" w:lineRule="auto"/>
        <w:rPr>
          <w:noProof/>
          <w:sz w:val="22"/>
          <w:szCs w:val="22"/>
        </w:rPr>
      </w:pPr>
      <w:r>
        <w:rPr>
          <w:sz w:val="22"/>
        </w:rPr>
        <w:t>Otezla 20 mg filmdrasjert tablett er en brun, diamantformet, filmdrasjert tablett merket med "APR" på den ene siden og "20" på den andre siden.</w:t>
      </w:r>
    </w:p>
    <w:p w14:paraId="0BB407CC" w14:textId="77777777" w:rsidR="004E65A9" w:rsidRPr="00BD1AD5" w:rsidRDefault="004E65A9" w:rsidP="003F09AA">
      <w:pPr>
        <w:numPr>
          <w:ilvl w:val="12"/>
          <w:numId w:val="0"/>
        </w:numPr>
      </w:pPr>
      <w:r>
        <w:t>Otezla 30 mg filmdrasjert tablett er en beige, diamantformet, filmdrasjert tablett merket med "APR" på den ene siden og "30" på den andre siden.</w:t>
      </w:r>
    </w:p>
    <w:p w14:paraId="149BDC47" w14:textId="77777777" w:rsidR="004E65A9" w:rsidRPr="00BD1AD5" w:rsidRDefault="004E65A9" w:rsidP="003F09AA">
      <w:pPr>
        <w:numPr>
          <w:ilvl w:val="12"/>
          <w:numId w:val="0"/>
        </w:numPr>
      </w:pPr>
    </w:p>
    <w:p w14:paraId="3A5E47FD" w14:textId="77777777" w:rsidR="004E65A9" w:rsidRDefault="004E65A9" w:rsidP="003F09AA">
      <w:pPr>
        <w:keepNext/>
        <w:numPr>
          <w:ilvl w:val="12"/>
          <w:numId w:val="0"/>
        </w:numPr>
        <w:rPr>
          <w:u w:val="single"/>
        </w:rPr>
      </w:pPr>
      <w:r>
        <w:rPr>
          <w:u w:val="single"/>
        </w:rPr>
        <w:t>Pakningsstørrelser for startpakning</w:t>
      </w:r>
    </w:p>
    <w:p w14:paraId="4DFC9797" w14:textId="77777777" w:rsidR="004E65A9" w:rsidRPr="00BD1AD5" w:rsidRDefault="004E65A9" w:rsidP="003F09AA">
      <w:pPr>
        <w:keepNext/>
        <w:numPr>
          <w:ilvl w:val="12"/>
          <w:numId w:val="0"/>
        </w:numPr>
        <w:rPr>
          <w:u w:val="single"/>
        </w:rPr>
      </w:pPr>
    </w:p>
    <w:p w14:paraId="6E505E29" w14:textId="77777777" w:rsidR="004E65A9" w:rsidRDefault="004E65A9" w:rsidP="003F09AA">
      <w:pPr>
        <w:pStyle w:val="EMEAEnBodyText"/>
        <w:keepNext/>
        <w:tabs>
          <w:tab w:val="left" w:pos="567"/>
        </w:tabs>
        <w:autoSpaceDE w:val="0"/>
        <w:autoSpaceDN w:val="0"/>
        <w:adjustRightInd w:val="0"/>
        <w:spacing w:before="0" w:after="0"/>
        <w:jc w:val="left"/>
      </w:pPr>
      <w:r>
        <w:t>Startpakningene er foldemapper som inneholder:</w:t>
      </w:r>
    </w:p>
    <w:p w14:paraId="1C3930B9" w14:textId="77777777" w:rsidR="004E65A9" w:rsidRDefault="004E65A9" w:rsidP="003F09AA">
      <w:pPr>
        <w:pStyle w:val="EMEAEnBodyText"/>
        <w:keepNext/>
        <w:numPr>
          <w:ilvl w:val="0"/>
          <w:numId w:val="43"/>
        </w:numPr>
        <w:tabs>
          <w:tab w:val="left" w:pos="567"/>
        </w:tabs>
        <w:autoSpaceDE w:val="0"/>
        <w:autoSpaceDN w:val="0"/>
        <w:adjustRightInd w:val="0"/>
        <w:spacing w:before="0" w:after="0"/>
        <w:ind w:left="567" w:hanging="567"/>
        <w:jc w:val="left"/>
      </w:pPr>
      <w:r>
        <w:t>27 tabletter, filmdrasjerte: 4 × 10 mg tabletter og 23 × 20 mg tabletter.</w:t>
      </w:r>
    </w:p>
    <w:p w14:paraId="590EFD5A" w14:textId="77777777" w:rsidR="004E65A9" w:rsidRDefault="004E65A9" w:rsidP="003F09AA">
      <w:pPr>
        <w:pStyle w:val="EMEAEnBodyText"/>
        <w:numPr>
          <w:ilvl w:val="0"/>
          <w:numId w:val="4"/>
        </w:numPr>
        <w:tabs>
          <w:tab w:val="left" w:pos="567"/>
        </w:tabs>
        <w:autoSpaceDE w:val="0"/>
        <w:autoSpaceDN w:val="0"/>
        <w:adjustRightInd w:val="0"/>
        <w:spacing w:before="0" w:after="0"/>
        <w:ind w:left="567" w:hanging="567"/>
        <w:jc w:val="left"/>
      </w:pPr>
      <w:r>
        <w:t>27 tabletter, filmdrasjerte: 4 × 10 mg tabletter, 4 × 20 mg tabletter og 19 × 30 mg tabletter.</w:t>
      </w:r>
    </w:p>
    <w:p w14:paraId="2F1A3EDD" w14:textId="77777777" w:rsidR="004E65A9" w:rsidRPr="000B27C9" w:rsidRDefault="004E65A9" w:rsidP="003F09AA">
      <w:pPr>
        <w:pStyle w:val="EMEAEnBodyText"/>
        <w:tabs>
          <w:tab w:val="left" w:pos="567"/>
        </w:tabs>
        <w:autoSpaceDE w:val="0"/>
        <w:autoSpaceDN w:val="0"/>
        <w:adjustRightInd w:val="0"/>
        <w:spacing w:before="0" w:after="0"/>
        <w:jc w:val="left"/>
      </w:pPr>
    </w:p>
    <w:p w14:paraId="1CEA5D9C" w14:textId="77777777" w:rsidR="004E65A9" w:rsidRPr="00F82925" w:rsidRDefault="004E65A9" w:rsidP="003F09AA">
      <w:pPr>
        <w:pStyle w:val="Styleunderline"/>
        <w:keepNext/>
      </w:pPr>
      <w:r>
        <w:t>Pakningsstørrelser med Otezla 20 mg tabletter</w:t>
      </w:r>
    </w:p>
    <w:p w14:paraId="6615DB6C" w14:textId="77777777" w:rsidR="004E65A9" w:rsidRPr="00B977DD" w:rsidRDefault="004E65A9" w:rsidP="003F09AA">
      <w:pPr>
        <w:pStyle w:val="EMEAEnBodyText"/>
        <w:keepNext/>
        <w:tabs>
          <w:tab w:val="left" w:pos="567"/>
        </w:tabs>
        <w:autoSpaceDE w:val="0"/>
        <w:autoSpaceDN w:val="0"/>
        <w:adjustRightInd w:val="0"/>
        <w:spacing w:before="0" w:after="0"/>
        <w:jc w:val="left"/>
        <w:rPr>
          <w:u w:val="single"/>
        </w:rPr>
      </w:pPr>
    </w:p>
    <w:p w14:paraId="6F8FAF73" w14:textId="77777777" w:rsidR="004E65A9" w:rsidRPr="00394DF8" w:rsidRDefault="004E65A9" w:rsidP="003F09AA">
      <w:pPr>
        <w:pStyle w:val="EMEAEnBodyText"/>
        <w:numPr>
          <w:ilvl w:val="0"/>
          <w:numId w:val="43"/>
        </w:numPr>
        <w:tabs>
          <w:tab w:val="left" w:pos="567"/>
        </w:tabs>
        <w:autoSpaceDE w:val="0"/>
        <w:autoSpaceDN w:val="0"/>
        <w:adjustRightInd w:val="0"/>
        <w:spacing w:before="0" w:after="0"/>
        <w:ind w:left="567" w:hanging="567"/>
        <w:jc w:val="left"/>
      </w:pPr>
      <w:r>
        <w:t>Én</w:t>
      </w:r>
      <w:r>
        <w:noBreakHyphen/>
        <w:t>måneds standardpakning inneholder 56 × 20 mg filmdrasjerte tabletter.</w:t>
      </w:r>
    </w:p>
    <w:p w14:paraId="764ABA39" w14:textId="77777777" w:rsidR="004E65A9" w:rsidRDefault="004E65A9" w:rsidP="003F09AA">
      <w:pPr>
        <w:pStyle w:val="EMEAEnBodyText"/>
        <w:tabs>
          <w:tab w:val="left" w:pos="567"/>
        </w:tabs>
        <w:autoSpaceDE w:val="0"/>
        <w:autoSpaceDN w:val="0"/>
        <w:adjustRightInd w:val="0"/>
        <w:spacing w:before="0" w:after="0"/>
        <w:jc w:val="left"/>
        <w:rPr>
          <w:u w:val="single"/>
        </w:rPr>
      </w:pPr>
    </w:p>
    <w:p w14:paraId="2BD708D5" w14:textId="77777777" w:rsidR="004E65A9" w:rsidRPr="00F82925" w:rsidRDefault="004E65A9" w:rsidP="003F09AA">
      <w:pPr>
        <w:pStyle w:val="Styleunderline"/>
        <w:keepNext/>
      </w:pPr>
      <w:r>
        <w:t>Pakningsstørrelser med Otezla 30 mg tabletter</w:t>
      </w:r>
    </w:p>
    <w:p w14:paraId="737A8B0C" w14:textId="77777777" w:rsidR="004E65A9" w:rsidRPr="00BD1AD5" w:rsidRDefault="004E65A9" w:rsidP="003F09AA">
      <w:pPr>
        <w:pStyle w:val="EMEAEnBodyText"/>
        <w:keepNext/>
        <w:tabs>
          <w:tab w:val="left" w:pos="567"/>
        </w:tabs>
        <w:autoSpaceDE w:val="0"/>
        <w:autoSpaceDN w:val="0"/>
        <w:adjustRightInd w:val="0"/>
        <w:spacing w:before="0" w:after="0"/>
        <w:jc w:val="left"/>
        <w:rPr>
          <w:lang w:val="en-GB"/>
        </w:rPr>
      </w:pPr>
    </w:p>
    <w:p w14:paraId="3F3549FD" w14:textId="77777777" w:rsidR="004E65A9" w:rsidRPr="00BD1AD5" w:rsidRDefault="004E65A9" w:rsidP="003F09AA">
      <w:pPr>
        <w:pStyle w:val="EMEAEnBodyText"/>
        <w:keepNext/>
        <w:numPr>
          <w:ilvl w:val="0"/>
          <w:numId w:val="4"/>
        </w:numPr>
        <w:tabs>
          <w:tab w:val="left" w:pos="567"/>
        </w:tabs>
        <w:autoSpaceDE w:val="0"/>
        <w:autoSpaceDN w:val="0"/>
        <w:adjustRightInd w:val="0"/>
        <w:spacing w:before="0" w:after="0"/>
        <w:ind w:left="567" w:hanging="567"/>
        <w:jc w:val="left"/>
      </w:pPr>
      <w:r>
        <w:t>Én</w:t>
      </w:r>
      <w:r>
        <w:noBreakHyphen/>
        <w:t>måneds standardpakning inneholder 56 × 30 mg filmdrasjerte tabletter.</w:t>
      </w:r>
    </w:p>
    <w:p w14:paraId="7A6447D9" w14:textId="77777777" w:rsidR="004E65A9" w:rsidRPr="00BD1AD5" w:rsidRDefault="004E65A9" w:rsidP="003F09AA">
      <w:pPr>
        <w:pStyle w:val="EMEAEnBodyText"/>
        <w:numPr>
          <w:ilvl w:val="0"/>
          <w:numId w:val="4"/>
        </w:numPr>
        <w:tabs>
          <w:tab w:val="left" w:pos="567"/>
        </w:tabs>
        <w:autoSpaceDE w:val="0"/>
        <w:autoSpaceDN w:val="0"/>
        <w:adjustRightInd w:val="0"/>
        <w:spacing w:before="0" w:after="0"/>
        <w:ind w:left="567" w:hanging="567"/>
        <w:jc w:val="left"/>
      </w:pPr>
      <w:r>
        <w:t>Tre</w:t>
      </w:r>
      <w:r>
        <w:noBreakHyphen/>
        <w:t>måneders standardpakning inneholder 168 × 30 mg filmdrasjerte tabletter.</w:t>
      </w:r>
    </w:p>
    <w:p w14:paraId="742540F9" w14:textId="77777777" w:rsidR="004E65A9" w:rsidRPr="00BD1AD5" w:rsidRDefault="004E65A9" w:rsidP="003F09AA"/>
    <w:p w14:paraId="543A7516" w14:textId="77777777" w:rsidR="004E65A9" w:rsidRPr="00BD1AD5" w:rsidRDefault="004E65A9" w:rsidP="00184504">
      <w:pPr>
        <w:numPr>
          <w:ilvl w:val="12"/>
          <w:numId w:val="0"/>
        </w:numPr>
        <w:rPr>
          <w:b/>
          <w:bCs/>
        </w:rPr>
      </w:pPr>
      <w:r>
        <w:rPr>
          <w:b/>
        </w:rPr>
        <w:t>Innehaver av markedsføringstillatelsen og tilvirker</w:t>
      </w:r>
    </w:p>
    <w:p w14:paraId="61AAA4BB" w14:textId="77777777" w:rsidR="004E65A9" w:rsidRPr="00BD1AD5" w:rsidRDefault="004E65A9" w:rsidP="00184504">
      <w:pPr>
        <w:pStyle w:val="lbltxt"/>
        <w:tabs>
          <w:tab w:val="left" w:pos="567"/>
        </w:tabs>
        <w:rPr>
          <w:noProof w:val="0"/>
          <w:szCs w:val="22"/>
        </w:rPr>
      </w:pPr>
      <w:r>
        <w:t>Amgen Europe B.V.</w:t>
      </w:r>
    </w:p>
    <w:p w14:paraId="6A7E8EAB" w14:textId="77777777" w:rsidR="004E65A9" w:rsidRPr="00BD1AD5" w:rsidRDefault="004E65A9" w:rsidP="00184504">
      <w:pPr>
        <w:pStyle w:val="lbltxt"/>
        <w:tabs>
          <w:tab w:val="left" w:pos="567"/>
        </w:tabs>
        <w:rPr>
          <w:noProof w:val="0"/>
          <w:szCs w:val="22"/>
        </w:rPr>
      </w:pPr>
      <w:r>
        <w:t>Minervum 7061</w:t>
      </w:r>
    </w:p>
    <w:p w14:paraId="1434362D" w14:textId="77777777" w:rsidR="004E65A9" w:rsidRPr="00BD1AD5" w:rsidRDefault="004E65A9" w:rsidP="00184504">
      <w:pPr>
        <w:pStyle w:val="lbltxt"/>
        <w:tabs>
          <w:tab w:val="left" w:pos="567"/>
        </w:tabs>
        <w:rPr>
          <w:noProof w:val="0"/>
          <w:szCs w:val="22"/>
        </w:rPr>
      </w:pPr>
      <w:r>
        <w:t>4817 ZK Breda</w:t>
      </w:r>
    </w:p>
    <w:p w14:paraId="320F2016" w14:textId="77777777" w:rsidR="004E65A9" w:rsidRPr="00BD1AD5" w:rsidRDefault="004E65A9" w:rsidP="00184504">
      <w:pPr>
        <w:pStyle w:val="lbltxt"/>
        <w:tabs>
          <w:tab w:val="left" w:pos="567"/>
        </w:tabs>
        <w:rPr>
          <w:noProof w:val="0"/>
          <w:szCs w:val="22"/>
        </w:rPr>
      </w:pPr>
      <w:r>
        <w:t>Nederland</w:t>
      </w:r>
    </w:p>
    <w:p w14:paraId="094EA744" w14:textId="77777777" w:rsidR="004E65A9" w:rsidRPr="00BD1AD5" w:rsidRDefault="004E65A9" w:rsidP="003F09AA">
      <w:pPr>
        <w:numPr>
          <w:ilvl w:val="12"/>
          <w:numId w:val="0"/>
        </w:numPr>
        <w:ind w:right="-2"/>
        <w:rPr>
          <w:b/>
        </w:rPr>
      </w:pPr>
    </w:p>
    <w:p w14:paraId="297382D1" w14:textId="77777777" w:rsidR="004E65A9" w:rsidRDefault="004E65A9" w:rsidP="003F09AA">
      <w:pPr>
        <w:keepNext/>
        <w:numPr>
          <w:ilvl w:val="12"/>
          <w:numId w:val="0"/>
        </w:numPr>
        <w:rPr>
          <w:highlight w:val="lightGray"/>
        </w:rPr>
      </w:pPr>
      <w:r>
        <w:rPr>
          <w:b/>
          <w:highlight w:val="lightGray"/>
        </w:rPr>
        <w:t>Innehaver av markedsføringstillatelsen</w:t>
      </w:r>
    </w:p>
    <w:p w14:paraId="4F6E5EB9" w14:textId="77777777" w:rsidR="004E65A9" w:rsidRDefault="004E65A9" w:rsidP="003F09AA">
      <w:pPr>
        <w:keepNext/>
        <w:ind w:right="-1"/>
        <w:rPr>
          <w:highlight w:val="lightGray"/>
          <w:lang w:val="sv-SE"/>
        </w:rPr>
      </w:pPr>
      <w:r>
        <w:rPr>
          <w:highlight w:val="lightGray"/>
          <w:lang w:val="sv-SE"/>
        </w:rPr>
        <w:t>Amgen Europe B.V.</w:t>
      </w:r>
    </w:p>
    <w:p w14:paraId="5834AE08" w14:textId="77777777" w:rsidR="004E65A9" w:rsidRDefault="004E65A9" w:rsidP="003F09AA">
      <w:pPr>
        <w:keepNext/>
        <w:ind w:right="-1"/>
        <w:rPr>
          <w:highlight w:val="lightGray"/>
          <w:lang w:val="sv-SE"/>
        </w:rPr>
      </w:pPr>
      <w:r>
        <w:rPr>
          <w:highlight w:val="lightGray"/>
          <w:lang w:val="sv-SE"/>
        </w:rPr>
        <w:t>Minervum 7061</w:t>
      </w:r>
    </w:p>
    <w:p w14:paraId="7805460A" w14:textId="77777777" w:rsidR="004E65A9" w:rsidRDefault="004E65A9" w:rsidP="003F09AA">
      <w:pPr>
        <w:keepNext/>
        <w:ind w:right="-1"/>
        <w:rPr>
          <w:highlight w:val="lightGray"/>
        </w:rPr>
      </w:pPr>
      <w:r>
        <w:rPr>
          <w:highlight w:val="lightGray"/>
        </w:rPr>
        <w:t>4817 ZK Breda</w:t>
      </w:r>
    </w:p>
    <w:p w14:paraId="7D5CE55D" w14:textId="77777777" w:rsidR="004E65A9" w:rsidRDefault="004E65A9" w:rsidP="003F09AA">
      <w:pPr>
        <w:keepNext/>
        <w:tabs>
          <w:tab w:val="clear" w:pos="567"/>
        </w:tabs>
        <w:rPr>
          <w:highlight w:val="lightGray"/>
        </w:rPr>
      </w:pPr>
      <w:r>
        <w:rPr>
          <w:highlight w:val="lightGray"/>
        </w:rPr>
        <w:t>Nederland</w:t>
      </w:r>
    </w:p>
    <w:p w14:paraId="6FD82B2D" w14:textId="77777777" w:rsidR="004E65A9" w:rsidRDefault="004E65A9" w:rsidP="003F09AA">
      <w:pPr>
        <w:numPr>
          <w:ilvl w:val="12"/>
          <w:numId w:val="0"/>
        </w:numPr>
        <w:ind w:right="-2"/>
        <w:rPr>
          <w:highlight w:val="lightGray"/>
        </w:rPr>
      </w:pPr>
    </w:p>
    <w:p w14:paraId="52FD4A11" w14:textId="77777777" w:rsidR="004E65A9" w:rsidRDefault="004E65A9" w:rsidP="003F09AA">
      <w:pPr>
        <w:keepNext/>
        <w:rPr>
          <w:b/>
          <w:highlight w:val="lightGray"/>
        </w:rPr>
      </w:pPr>
      <w:r>
        <w:rPr>
          <w:b/>
          <w:highlight w:val="lightGray"/>
        </w:rPr>
        <w:t>Tilvirker</w:t>
      </w:r>
    </w:p>
    <w:p w14:paraId="5A0F5D98" w14:textId="77777777" w:rsidR="004E65A9" w:rsidRDefault="004E65A9" w:rsidP="003F09AA">
      <w:pPr>
        <w:keepNext/>
        <w:rPr>
          <w:highlight w:val="lightGray"/>
        </w:rPr>
      </w:pPr>
      <w:r>
        <w:rPr>
          <w:highlight w:val="lightGray"/>
        </w:rPr>
        <w:t>Amgen NV</w:t>
      </w:r>
    </w:p>
    <w:p w14:paraId="1A866DE2" w14:textId="77777777" w:rsidR="004E65A9" w:rsidRDefault="004E65A9" w:rsidP="003F09AA">
      <w:pPr>
        <w:keepNext/>
        <w:rPr>
          <w:highlight w:val="lightGray"/>
        </w:rPr>
      </w:pPr>
      <w:r>
        <w:rPr>
          <w:highlight w:val="lightGray"/>
        </w:rPr>
        <w:t>Telecomlaan 5</w:t>
      </w:r>
      <w:r>
        <w:rPr>
          <w:highlight w:val="lightGray"/>
        </w:rPr>
        <w:noBreakHyphen/>
        <w:t>7</w:t>
      </w:r>
    </w:p>
    <w:p w14:paraId="32322C87" w14:textId="77777777" w:rsidR="004E65A9" w:rsidRDefault="004E65A9" w:rsidP="003F09AA">
      <w:pPr>
        <w:keepNext/>
        <w:rPr>
          <w:highlight w:val="lightGray"/>
        </w:rPr>
      </w:pPr>
      <w:r>
        <w:rPr>
          <w:highlight w:val="lightGray"/>
        </w:rPr>
        <w:t>1831 Diegem</w:t>
      </w:r>
    </w:p>
    <w:p w14:paraId="49E2FE13" w14:textId="77777777" w:rsidR="004E65A9" w:rsidRPr="00BD1AD5" w:rsidRDefault="004E65A9" w:rsidP="003F09AA">
      <w:pPr>
        <w:keepNext/>
      </w:pPr>
      <w:r>
        <w:rPr>
          <w:highlight w:val="lightGray"/>
        </w:rPr>
        <w:t>Belgia</w:t>
      </w:r>
    </w:p>
    <w:p w14:paraId="243A003C" w14:textId="77777777" w:rsidR="004E65A9" w:rsidRPr="00BD1AD5" w:rsidRDefault="004E65A9" w:rsidP="003F09AA">
      <w:pPr>
        <w:numPr>
          <w:ilvl w:val="12"/>
          <w:numId w:val="0"/>
        </w:numPr>
        <w:ind w:right="-2"/>
      </w:pPr>
    </w:p>
    <w:p w14:paraId="6027D5C3" w14:textId="77777777" w:rsidR="004E65A9" w:rsidRPr="00BD1AD5" w:rsidRDefault="004E65A9" w:rsidP="003F09AA">
      <w:pPr>
        <w:keepNext/>
        <w:numPr>
          <w:ilvl w:val="12"/>
          <w:numId w:val="0"/>
        </w:numPr>
        <w:tabs>
          <w:tab w:val="clear" w:pos="567"/>
        </w:tabs>
        <w:ind w:right="-2"/>
      </w:pPr>
      <w:r>
        <w:t>Ta kontakt med den lokale representanten for innehaveren av markedsføringstillatelsen for ytterligere informasjon om dette legemidlet:</w:t>
      </w:r>
    </w:p>
    <w:p w14:paraId="73407D1E" w14:textId="77777777" w:rsidR="004E65A9" w:rsidRPr="00BD1AD5" w:rsidRDefault="004E65A9" w:rsidP="003F09AA">
      <w:pPr>
        <w:keepNext/>
        <w:numPr>
          <w:ilvl w:val="12"/>
          <w:numId w:val="0"/>
        </w:numPr>
        <w:tabs>
          <w:tab w:val="clear" w:pos="567"/>
        </w:tabs>
        <w:ind w:right="-2"/>
      </w:pPr>
    </w:p>
    <w:tbl>
      <w:tblPr>
        <w:tblW w:w="9360" w:type="dxa"/>
        <w:tblInd w:w="-34" w:type="dxa"/>
        <w:tblLayout w:type="fixed"/>
        <w:tblLook w:val="04A0" w:firstRow="1" w:lastRow="0" w:firstColumn="1" w:lastColumn="0" w:noHBand="0" w:noVBand="1"/>
      </w:tblPr>
      <w:tblGrid>
        <w:gridCol w:w="4680"/>
        <w:gridCol w:w="4680"/>
      </w:tblGrid>
      <w:tr w:rsidR="004E65A9" w:rsidRPr="00BD1AD5" w14:paraId="586EC48A" w14:textId="77777777" w:rsidTr="00184504">
        <w:trPr>
          <w:cantSplit/>
        </w:trPr>
        <w:tc>
          <w:tcPr>
            <w:tcW w:w="4680" w:type="dxa"/>
          </w:tcPr>
          <w:p w14:paraId="0C0CDB97" w14:textId="77777777" w:rsidR="004E65A9" w:rsidRPr="00BD1AD5" w:rsidRDefault="004E65A9" w:rsidP="008600F3">
            <w:pPr>
              <w:pStyle w:val="lbltxt"/>
              <w:rPr>
                <w:szCs w:val="22"/>
              </w:rPr>
            </w:pPr>
            <w:r>
              <w:rPr>
                <w:b/>
              </w:rPr>
              <w:t>België/Belgique/Belgien</w:t>
            </w:r>
          </w:p>
          <w:p w14:paraId="6450F4B6" w14:textId="77777777" w:rsidR="004E65A9" w:rsidRPr="00BD1AD5" w:rsidRDefault="004E65A9" w:rsidP="008600F3">
            <w:pPr>
              <w:pStyle w:val="lbltxt"/>
              <w:rPr>
                <w:szCs w:val="22"/>
              </w:rPr>
            </w:pPr>
            <w:r>
              <w:t>s.a. Amgen n.v.</w:t>
            </w:r>
          </w:p>
          <w:p w14:paraId="10C8E78D" w14:textId="77777777" w:rsidR="004E65A9" w:rsidRPr="00BD1AD5" w:rsidRDefault="004E65A9" w:rsidP="008600F3">
            <w:r>
              <w:t>Tél/Tel: +32 (0)2 7752711</w:t>
            </w:r>
          </w:p>
          <w:p w14:paraId="0667C240" w14:textId="77777777" w:rsidR="004E65A9" w:rsidRPr="00BD1AD5" w:rsidRDefault="004E65A9" w:rsidP="008600F3">
            <w:pPr>
              <w:pStyle w:val="lbltxt"/>
              <w:keepNext/>
              <w:rPr>
                <w:noProof w:val="0"/>
                <w:szCs w:val="22"/>
              </w:rPr>
            </w:pPr>
          </w:p>
        </w:tc>
        <w:tc>
          <w:tcPr>
            <w:tcW w:w="4680" w:type="dxa"/>
            <w:hideMark/>
          </w:tcPr>
          <w:p w14:paraId="5593C34D" w14:textId="77777777" w:rsidR="004E65A9" w:rsidRPr="006C78BA" w:rsidRDefault="004E65A9" w:rsidP="008600F3">
            <w:pPr>
              <w:pStyle w:val="lbltxt"/>
              <w:rPr>
                <w:b/>
                <w:szCs w:val="22"/>
                <w:lang w:val="sv-SE"/>
              </w:rPr>
            </w:pPr>
            <w:r w:rsidRPr="006C78BA">
              <w:rPr>
                <w:b/>
                <w:lang w:val="sv-SE"/>
              </w:rPr>
              <w:t>Lietuva</w:t>
            </w:r>
          </w:p>
          <w:p w14:paraId="20B847B4" w14:textId="77777777" w:rsidR="004E65A9" w:rsidRPr="006C78BA" w:rsidRDefault="004E65A9" w:rsidP="008600F3">
            <w:pPr>
              <w:pStyle w:val="lbltxt"/>
              <w:rPr>
                <w:bCs/>
                <w:szCs w:val="22"/>
                <w:lang w:val="sv-SE"/>
              </w:rPr>
            </w:pPr>
            <w:r w:rsidRPr="006C78BA">
              <w:rPr>
                <w:lang w:val="sv-SE"/>
              </w:rPr>
              <w:t>Amgen Switzerland AG Vilniaus filialas</w:t>
            </w:r>
          </w:p>
          <w:p w14:paraId="58A378FD" w14:textId="77777777" w:rsidR="004E65A9" w:rsidRPr="00BD1AD5" w:rsidRDefault="004E65A9" w:rsidP="008600F3">
            <w:pPr>
              <w:pStyle w:val="lbltxt"/>
              <w:rPr>
                <w:bCs/>
                <w:szCs w:val="22"/>
              </w:rPr>
            </w:pPr>
            <w:r>
              <w:t>Tel: +370 5 219 7474</w:t>
            </w:r>
          </w:p>
          <w:p w14:paraId="12656F62" w14:textId="77777777" w:rsidR="004E65A9" w:rsidRPr="00BD1AD5" w:rsidRDefault="004E65A9" w:rsidP="008600F3">
            <w:pPr>
              <w:pStyle w:val="lbltxt"/>
              <w:keepNext/>
              <w:rPr>
                <w:noProof w:val="0"/>
                <w:szCs w:val="22"/>
              </w:rPr>
            </w:pPr>
          </w:p>
        </w:tc>
      </w:tr>
      <w:tr w:rsidR="004E65A9" w:rsidRPr="00BD1AD5" w14:paraId="350FAFA2" w14:textId="77777777" w:rsidTr="00184504">
        <w:trPr>
          <w:cantSplit/>
        </w:trPr>
        <w:tc>
          <w:tcPr>
            <w:tcW w:w="4680" w:type="dxa"/>
            <w:hideMark/>
          </w:tcPr>
          <w:p w14:paraId="2C76B5FB" w14:textId="77777777" w:rsidR="004E65A9" w:rsidRPr="000B27C9" w:rsidRDefault="004E65A9" w:rsidP="008600F3">
            <w:pPr>
              <w:autoSpaceDE w:val="0"/>
              <w:autoSpaceDN w:val="0"/>
              <w:adjustRightInd w:val="0"/>
              <w:rPr>
                <w:rFonts w:eastAsia="Arial Unicode MS"/>
                <w:b/>
                <w:bCs/>
                <w:lang w:val="ru-RU"/>
              </w:rPr>
            </w:pPr>
            <w:r w:rsidRPr="000B27C9">
              <w:rPr>
                <w:b/>
                <w:lang w:val="ru-RU"/>
              </w:rPr>
              <w:t>България</w:t>
            </w:r>
          </w:p>
          <w:p w14:paraId="61301B79" w14:textId="77777777" w:rsidR="004E65A9" w:rsidRPr="000B27C9" w:rsidRDefault="004E65A9" w:rsidP="008600F3">
            <w:pPr>
              <w:pStyle w:val="lbltxt"/>
              <w:rPr>
                <w:rFonts w:eastAsia="Arial Unicode MS"/>
                <w:szCs w:val="22"/>
                <w:lang w:val="ru-RU"/>
              </w:rPr>
            </w:pPr>
            <w:r w:rsidRPr="000B27C9">
              <w:rPr>
                <w:lang w:val="ru-RU"/>
              </w:rPr>
              <w:t>Амджен България ЕООД</w:t>
            </w:r>
          </w:p>
          <w:p w14:paraId="0D9AE121" w14:textId="77777777" w:rsidR="004E65A9" w:rsidRPr="000B27C9" w:rsidRDefault="004E65A9" w:rsidP="008600F3">
            <w:pPr>
              <w:pStyle w:val="lbltxt"/>
              <w:rPr>
                <w:rFonts w:eastAsia="Arial Unicode MS"/>
                <w:bCs/>
                <w:szCs w:val="22"/>
                <w:lang w:val="ru-RU"/>
              </w:rPr>
            </w:pPr>
            <w:r w:rsidRPr="000B27C9">
              <w:rPr>
                <w:lang w:val="ru-RU"/>
              </w:rPr>
              <w:t>Тел.: +359 (0)2</w:t>
            </w:r>
            <w:r>
              <w:t> </w:t>
            </w:r>
            <w:r w:rsidRPr="000B27C9">
              <w:rPr>
                <w:lang w:val="ru-RU"/>
              </w:rPr>
              <w:t>424 7440</w:t>
            </w:r>
          </w:p>
          <w:p w14:paraId="09BB5F3F" w14:textId="77777777" w:rsidR="004E65A9" w:rsidRPr="00A84A07" w:rsidRDefault="004E65A9" w:rsidP="008600F3">
            <w:pPr>
              <w:pStyle w:val="lbltxt"/>
              <w:rPr>
                <w:bCs/>
                <w:noProof w:val="0"/>
                <w:szCs w:val="22"/>
                <w:lang w:val="ru-RU"/>
              </w:rPr>
            </w:pPr>
          </w:p>
        </w:tc>
        <w:tc>
          <w:tcPr>
            <w:tcW w:w="4680" w:type="dxa"/>
          </w:tcPr>
          <w:p w14:paraId="7441A676" w14:textId="77777777" w:rsidR="004E65A9" w:rsidRPr="000B27C9" w:rsidRDefault="004E65A9" w:rsidP="008600F3">
            <w:pPr>
              <w:pStyle w:val="lbltxt"/>
              <w:rPr>
                <w:szCs w:val="22"/>
                <w:lang w:val="de-DE"/>
              </w:rPr>
            </w:pPr>
            <w:r w:rsidRPr="000B27C9">
              <w:rPr>
                <w:b/>
                <w:lang w:val="de-DE"/>
              </w:rPr>
              <w:t>Luxembourg/Luxemburg</w:t>
            </w:r>
          </w:p>
          <w:p w14:paraId="159BEE03" w14:textId="77777777" w:rsidR="004E65A9" w:rsidRPr="000B27C9" w:rsidRDefault="004E65A9" w:rsidP="008600F3">
            <w:pPr>
              <w:pStyle w:val="lbltxt"/>
              <w:rPr>
                <w:szCs w:val="22"/>
                <w:lang w:val="de-DE"/>
              </w:rPr>
            </w:pPr>
            <w:r w:rsidRPr="000B27C9">
              <w:rPr>
                <w:lang w:val="de-DE"/>
              </w:rPr>
              <w:t>s.a. Amgen</w:t>
            </w:r>
          </w:p>
          <w:p w14:paraId="1A06A75C" w14:textId="77777777" w:rsidR="004E65A9" w:rsidRPr="000B27C9" w:rsidRDefault="004E65A9" w:rsidP="008600F3">
            <w:pPr>
              <w:pStyle w:val="lbltxt"/>
              <w:rPr>
                <w:szCs w:val="22"/>
                <w:lang w:val="de-DE"/>
              </w:rPr>
            </w:pPr>
            <w:r w:rsidRPr="000B27C9">
              <w:rPr>
                <w:lang w:val="de-DE"/>
              </w:rPr>
              <w:t>Belgique/Belgien</w:t>
            </w:r>
          </w:p>
          <w:p w14:paraId="0C4F25BA" w14:textId="77777777" w:rsidR="004E65A9" w:rsidRPr="00BD1AD5" w:rsidRDefault="004E65A9" w:rsidP="008600F3">
            <w:pPr>
              <w:pStyle w:val="lbltxt"/>
              <w:rPr>
                <w:szCs w:val="22"/>
              </w:rPr>
            </w:pPr>
            <w:r>
              <w:t>Tél/Tel: +32 (0)2 7752711</w:t>
            </w:r>
          </w:p>
          <w:p w14:paraId="536717FA" w14:textId="77777777" w:rsidR="004E65A9" w:rsidRPr="00BD1AD5" w:rsidRDefault="004E65A9" w:rsidP="008600F3">
            <w:pPr>
              <w:pStyle w:val="lbltxt"/>
              <w:rPr>
                <w:bCs/>
                <w:noProof w:val="0"/>
                <w:szCs w:val="22"/>
              </w:rPr>
            </w:pPr>
          </w:p>
        </w:tc>
      </w:tr>
      <w:tr w:rsidR="004E65A9" w:rsidRPr="00BD1AD5" w14:paraId="1138B357" w14:textId="77777777" w:rsidTr="00184504">
        <w:trPr>
          <w:cantSplit/>
          <w:trHeight w:val="969"/>
        </w:trPr>
        <w:tc>
          <w:tcPr>
            <w:tcW w:w="4680" w:type="dxa"/>
            <w:hideMark/>
          </w:tcPr>
          <w:p w14:paraId="35D19D37" w14:textId="77777777" w:rsidR="004E65A9" w:rsidRPr="000B27C9" w:rsidRDefault="004E65A9" w:rsidP="008600F3">
            <w:pPr>
              <w:pStyle w:val="lbltxt"/>
              <w:rPr>
                <w:b/>
                <w:szCs w:val="22"/>
                <w:lang w:val="sv-SE"/>
              </w:rPr>
            </w:pPr>
            <w:r w:rsidRPr="000B27C9">
              <w:rPr>
                <w:b/>
                <w:lang w:val="sv-SE"/>
              </w:rPr>
              <w:t>Česká republika</w:t>
            </w:r>
          </w:p>
          <w:p w14:paraId="458905C5" w14:textId="77777777" w:rsidR="004E65A9" w:rsidRPr="000B27C9" w:rsidRDefault="004E65A9" w:rsidP="008600F3">
            <w:pPr>
              <w:pStyle w:val="lbltxt"/>
              <w:rPr>
                <w:bCs/>
                <w:szCs w:val="22"/>
                <w:lang w:val="sv-SE"/>
              </w:rPr>
            </w:pPr>
            <w:r w:rsidRPr="000B27C9">
              <w:rPr>
                <w:lang w:val="sv-SE"/>
              </w:rPr>
              <w:t>Amgen s.r.o.</w:t>
            </w:r>
          </w:p>
          <w:p w14:paraId="34AF38A6" w14:textId="77777777" w:rsidR="004E65A9" w:rsidRPr="00BD1AD5" w:rsidRDefault="004E65A9" w:rsidP="008600F3">
            <w:pPr>
              <w:pStyle w:val="lbltxt"/>
              <w:rPr>
                <w:bCs/>
                <w:szCs w:val="22"/>
              </w:rPr>
            </w:pPr>
            <w:r>
              <w:t>Tel: +420 221 773 500</w:t>
            </w:r>
          </w:p>
          <w:p w14:paraId="411D093A" w14:textId="77777777" w:rsidR="004E65A9" w:rsidRPr="00BD1AD5" w:rsidRDefault="004E65A9" w:rsidP="008600F3">
            <w:pPr>
              <w:pStyle w:val="lbltxt"/>
              <w:rPr>
                <w:bCs/>
                <w:noProof w:val="0"/>
                <w:szCs w:val="22"/>
              </w:rPr>
            </w:pPr>
          </w:p>
        </w:tc>
        <w:tc>
          <w:tcPr>
            <w:tcW w:w="4680" w:type="dxa"/>
            <w:hideMark/>
          </w:tcPr>
          <w:p w14:paraId="11F7D682" w14:textId="77777777" w:rsidR="004E65A9" w:rsidRPr="00BD1AD5" w:rsidRDefault="004E65A9" w:rsidP="008600F3">
            <w:pPr>
              <w:pStyle w:val="lbltxt"/>
              <w:rPr>
                <w:b/>
                <w:szCs w:val="22"/>
              </w:rPr>
            </w:pPr>
            <w:r>
              <w:rPr>
                <w:b/>
              </w:rPr>
              <w:t>Magyarország</w:t>
            </w:r>
          </w:p>
          <w:p w14:paraId="6BECE3EF" w14:textId="77777777" w:rsidR="004E65A9" w:rsidRPr="00BD1AD5" w:rsidRDefault="004E65A9" w:rsidP="008600F3">
            <w:pPr>
              <w:pStyle w:val="lbltxt"/>
              <w:rPr>
                <w:bCs/>
                <w:szCs w:val="22"/>
              </w:rPr>
            </w:pPr>
            <w:r>
              <w:t>Amgen Kft.</w:t>
            </w:r>
          </w:p>
          <w:p w14:paraId="79F13631" w14:textId="77777777" w:rsidR="004E65A9" w:rsidRPr="00BD1AD5" w:rsidRDefault="004E65A9" w:rsidP="008600F3">
            <w:pPr>
              <w:pStyle w:val="lbltxt"/>
              <w:rPr>
                <w:bCs/>
                <w:szCs w:val="22"/>
              </w:rPr>
            </w:pPr>
            <w:r>
              <w:t>Tel.: +36 1 35 44 700</w:t>
            </w:r>
          </w:p>
          <w:p w14:paraId="35B8E512" w14:textId="77777777" w:rsidR="004E65A9" w:rsidRPr="00BD1AD5" w:rsidRDefault="004E65A9" w:rsidP="008600F3">
            <w:pPr>
              <w:pStyle w:val="lbltxt"/>
              <w:rPr>
                <w:noProof w:val="0"/>
                <w:szCs w:val="22"/>
              </w:rPr>
            </w:pPr>
          </w:p>
        </w:tc>
      </w:tr>
      <w:tr w:rsidR="004E65A9" w:rsidRPr="00BD1AD5" w14:paraId="08EBEB03" w14:textId="77777777" w:rsidTr="00184504">
        <w:trPr>
          <w:cantSplit/>
        </w:trPr>
        <w:tc>
          <w:tcPr>
            <w:tcW w:w="4680" w:type="dxa"/>
          </w:tcPr>
          <w:p w14:paraId="4744D53D" w14:textId="77777777" w:rsidR="004E65A9" w:rsidRPr="000B27C9" w:rsidRDefault="004E65A9" w:rsidP="008600F3">
            <w:pPr>
              <w:pStyle w:val="lbltxt"/>
              <w:rPr>
                <w:szCs w:val="22"/>
                <w:lang w:val="da-DK"/>
              </w:rPr>
            </w:pPr>
            <w:r w:rsidRPr="000B27C9">
              <w:rPr>
                <w:b/>
                <w:lang w:val="da-DK"/>
              </w:rPr>
              <w:t>Danmark</w:t>
            </w:r>
          </w:p>
          <w:p w14:paraId="36B56DB0" w14:textId="77777777" w:rsidR="004E65A9" w:rsidRPr="000B27C9" w:rsidRDefault="004E65A9" w:rsidP="008600F3">
            <w:pPr>
              <w:pStyle w:val="lbltxt"/>
              <w:rPr>
                <w:szCs w:val="22"/>
                <w:lang w:val="da-DK"/>
              </w:rPr>
            </w:pPr>
            <w:r w:rsidRPr="000B27C9">
              <w:rPr>
                <w:lang w:val="da-DK"/>
              </w:rPr>
              <w:t>Amgen, filial af Amgen AB, Sverige</w:t>
            </w:r>
          </w:p>
          <w:p w14:paraId="693DBB52" w14:textId="77777777" w:rsidR="004E65A9" w:rsidRPr="00BD1AD5" w:rsidRDefault="004E65A9" w:rsidP="008600F3">
            <w:pPr>
              <w:pStyle w:val="lbltxt"/>
              <w:rPr>
                <w:szCs w:val="22"/>
              </w:rPr>
            </w:pPr>
            <w:r>
              <w:t>Tlf.: +45 39617500</w:t>
            </w:r>
          </w:p>
          <w:p w14:paraId="00483673" w14:textId="77777777" w:rsidR="004E65A9" w:rsidRPr="00BD1AD5" w:rsidRDefault="004E65A9" w:rsidP="008600F3">
            <w:pPr>
              <w:pStyle w:val="lbltxt"/>
              <w:rPr>
                <w:noProof w:val="0"/>
                <w:szCs w:val="22"/>
              </w:rPr>
            </w:pPr>
          </w:p>
        </w:tc>
        <w:tc>
          <w:tcPr>
            <w:tcW w:w="4680" w:type="dxa"/>
          </w:tcPr>
          <w:p w14:paraId="6D5D7E57" w14:textId="77777777" w:rsidR="004E65A9" w:rsidRPr="000B27C9" w:rsidRDefault="004E65A9" w:rsidP="008600F3">
            <w:pPr>
              <w:pStyle w:val="lbltxt"/>
              <w:rPr>
                <w:b/>
                <w:szCs w:val="22"/>
                <w:lang w:val="fi-FI"/>
              </w:rPr>
            </w:pPr>
            <w:r w:rsidRPr="000B27C9">
              <w:rPr>
                <w:b/>
                <w:lang w:val="fi-FI"/>
              </w:rPr>
              <w:t>Malta</w:t>
            </w:r>
          </w:p>
          <w:p w14:paraId="36C4C206" w14:textId="77777777" w:rsidR="004E65A9" w:rsidRPr="000B27C9" w:rsidRDefault="004E65A9" w:rsidP="008600F3">
            <w:pPr>
              <w:pStyle w:val="lbltxt"/>
              <w:rPr>
                <w:bCs/>
                <w:szCs w:val="22"/>
                <w:lang w:val="fi-FI"/>
              </w:rPr>
            </w:pPr>
            <w:r w:rsidRPr="000B27C9">
              <w:rPr>
                <w:lang w:val="fi-FI"/>
              </w:rPr>
              <w:t>Amgen S.r.l</w:t>
            </w:r>
          </w:p>
          <w:p w14:paraId="35543021" w14:textId="77777777" w:rsidR="004E65A9" w:rsidRPr="000B27C9" w:rsidRDefault="004E65A9" w:rsidP="008600F3">
            <w:pPr>
              <w:pStyle w:val="lbltxt"/>
              <w:rPr>
                <w:bCs/>
                <w:szCs w:val="22"/>
                <w:lang w:val="fi-FI"/>
              </w:rPr>
            </w:pPr>
            <w:r w:rsidRPr="000B27C9">
              <w:rPr>
                <w:lang w:val="fi-FI"/>
              </w:rPr>
              <w:t>Ital</w:t>
            </w:r>
            <w:r>
              <w:rPr>
                <w:lang w:val="fi-FI"/>
              </w:rPr>
              <w:t>y</w:t>
            </w:r>
          </w:p>
          <w:p w14:paraId="79C7348E" w14:textId="77777777" w:rsidR="004E65A9" w:rsidRPr="00BD1AD5" w:rsidRDefault="004E65A9" w:rsidP="008600F3">
            <w:pPr>
              <w:pStyle w:val="lbltxt"/>
              <w:rPr>
                <w:bCs/>
                <w:szCs w:val="22"/>
              </w:rPr>
            </w:pPr>
            <w:r>
              <w:t>Tel: +39 02 6241121</w:t>
            </w:r>
          </w:p>
          <w:p w14:paraId="6A38323B" w14:textId="77777777" w:rsidR="004E65A9" w:rsidRPr="00BD1AD5" w:rsidRDefault="004E65A9" w:rsidP="008600F3">
            <w:pPr>
              <w:pStyle w:val="lbltxt"/>
              <w:rPr>
                <w:b/>
                <w:noProof w:val="0"/>
                <w:szCs w:val="22"/>
              </w:rPr>
            </w:pPr>
          </w:p>
        </w:tc>
      </w:tr>
      <w:tr w:rsidR="004E65A9" w:rsidRPr="00BD1AD5" w14:paraId="7AEA890F" w14:textId="77777777" w:rsidTr="00184504">
        <w:trPr>
          <w:cantSplit/>
        </w:trPr>
        <w:tc>
          <w:tcPr>
            <w:tcW w:w="4680" w:type="dxa"/>
          </w:tcPr>
          <w:p w14:paraId="5DA382F1" w14:textId="77777777" w:rsidR="004E65A9" w:rsidRPr="00BD1AD5" w:rsidRDefault="004E65A9" w:rsidP="008600F3">
            <w:pPr>
              <w:pStyle w:val="lbltxt"/>
              <w:rPr>
                <w:szCs w:val="22"/>
              </w:rPr>
            </w:pPr>
            <w:r>
              <w:rPr>
                <w:b/>
              </w:rPr>
              <w:t>Deutschland</w:t>
            </w:r>
          </w:p>
          <w:p w14:paraId="64E341DF" w14:textId="77777777" w:rsidR="004E65A9" w:rsidRPr="00BD1AD5" w:rsidRDefault="004E65A9" w:rsidP="008600F3">
            <w:pPr>
              <w:pStyle w:val="lbltxt"/>
              <w:rPr>
                <w:szCs w:val="22"/>
              </w:rPr>
            </w:pPr>
            <w:r>
              <w:t>Amgen GmbH</w:t>
            </w:r>
          </w:p>
          <w:p w14:paraId="7D62FE8B" w14:textId="77777777" w:rsidR="004E65A9" w:rsidRPr="00BD1AD5" w:rsidRDefault="004E65A9" w:rsidP="008600F3">
            <w:pPr>
              <w:pStyle w:val="lbltxt"/>
              <w:rPr>
                <w:szCs w:val="22"/>
              </w:rPr>
            </w:pPr>
            <w:r>
              <w:t>Tel.: +49 89 1490960</w:t>
            </w:r>
          </w:p>
          <w:p w14:paraId="59CC2856" w14:textId="77777777" w:rsidR="004E65A9" w:rsidRPr="00BD1AD5" w:rsidRDefault="004E65A9" w:rsidP="008600F3">
            <w:pPr>
              <w:pStyle w:val="lbltxt"/>
              <w:rPr>
                <w:b/>
                <w:noProof w:val="0"/>
                <w:szCs w:val="22"/>
              </w:rPr>
            </w:pPr>
          </w:p>
        </w:tc>
        <w:tc>
          <w:tcPr>
            <w:tcW w:w="4680" w:type="dxa"/>
          </w:tcPr>
          <w:p w14:paraId="08343F3E" w14:textId="77777777" w:rsidR="004E65A9" w:rsidRPr="00BD1AD5" w:rsidRDefault="004E65A9" w:rsidP="008600F3">
            <w:pPr>
              <w:pStyle w:val="lbltxt"/>
              <w:rPr>
                <w:szCs w:val="22"/>
              </w:rPr>
            </w:pPr>
            <w:r>
              <w:rPr>
                <w:b/>
              </w:rPr>
              <w:t>Nederland</w:t>
            </w:r>
          </w:p>
          <w:p w14:paraId="576AD263" w14:textId="77777777" w:rsidR="004E65A9" w:rsidRPr="00BD1AD5" w:rsidRDefault="004E65A9" w:rsidP="008600F3">
            <w:pPr>
              <w:pStyle w:val="lbltxt"/>
              <w:rPr>
                <w:szCs w:val="22"/>
              </w:rPr>
            </w:pPr>
            <w:r>
              <w:t>Amgen B.V.</w:t>
            </w:r>
          </w:p>
          <w:p w14:paraId="381607E4" w14:textId="77777777" w:rsidR="004E65A9" w:rsidRPr="00BD1AD5" w:rsidRDefault="004E65A9" w:rsidP="008600F3">
            <w:pPr>
              <w:pStyle w:val="lbltxt"/>
              <w:rPr>
                <w:bCs/>
                <w:szCs w:val="22"/>
              </w:rPr>
            </w:pPr>
            <w:r>
              <w:t>Tel: +31 (0)76 5732500</w:t>
            </w:r>
          </w:p>
          <w:p w14:paraId="40398D32" w14:textId="77777777" w:rsidR="004E65A9" w:rsidRPr="00BD1AD5" w:rsidRDefault="004E65A9" w:rsidP="008600F3">
            <w:pPr>
              <w:pStyle w:val="lbltxt"/>
              <w:rPr>
                <w:noProof w:val="0"/>
                <w:szCs w:val="22"/>
              </w:rPr>
            </w:pPr>
          </w:p>
        </w:tc>
      </w:tr>
      <w:tr w:rsidR="004E65A9" w:rsidRPr="00BD1AD5" w14:paraId="548DCF83" w14:textId="77777777" w:rsidTr="00184504">
        <w:trPr>
          <w:cantSplit/>
        </w:trPr>
        <w:tc>
          <w:tcPr>
            <w:tcW w:w="4680" w:type="dxa"/>
            <w:hideMark/>
          </w:tcPr>
          <w:p w14:paraId="1298F2BF" w14:textId="77777777" w:rsidR="004E65A9" w:rsidRPr="006C78BA" w:rsidRDefault="004E65A9" w:rsidP="008600F3">
            <w:pPr>
              <w:pStyle w:val="lbltxt"/>
              <w:rPr>
                <w:b/>
                <w:szCs w:val="22"/>
                <w:lang w:val="sv-SE"/>
              </w:rPr>
            </w:pPr>
            <w:r w:rsidRPr="006C78BA">
              <w:rPr>
                <w:b/>
                <w:lang w:val="sv-SE"/>
              </w:rPr>
              <w:t>Eesti</w:t>
            </w:r>
          </w:p>
          <w:p w14:paraId="10A54B40" w14:textId="77777777" w:rsidR="004E65A9" w:rsidRPr="006C78BA" w:rsidRDefault="004E65A9" w:rsidP="008600F3">
            <w:pPr>
              <w:pStyle w:val="lbltxt"/>
              <w:rPr>
                <w:bCs/>
                <w:szCs w:val="22"/>
                <w:lang w:val="sv-SE"/>
              </w:rPr>
            </w:pPr>
            <w:r w:rsidRPr="006C78BA">
              <w:rPr>
                <w:lang w:val="sv-SE"/>
              </w:rPr>
              <w:t>Amgen Switzerland AG Vilniaus filialas</w:t>
            </w:r>
          </w:p>
          <w:p w14:paraId="3044A321" w14:textId="77777777" w:rsidR="004E65A9" w:rsidRPr="00BD1AD5" w:rsidRDefault="004E65A9" w:rsidP="008600F3">
            <w:pPr>
              <w:pStyle w:val="lbltxt"/>
              <w:rPr>
                <w:szCs w:val="22"/>
              </w:rPr>
            </w:pPr>
            <w:r>
              <w:t>Tel: +372 586 09553</w:t>
            </w:r>
          </w:p>
          <w:p w14:paraId="5432EA66" w14:textId="77777777" w:rsidR="004E65A9" w:rsidRPr="00BD1AD5" w:rsidRDefault="004E65A9" w:rsidP="008600F3">
            <w:pPr>
              <w:pStyle w:val="lbltxt"/>
              <w:rPr>
                <w:b/>
                <w:noProof w:val="0"/>
                <w:szCs w:val="22"/>
              </w:rPr>
            </w:pPr>
          </w:p>
        </w:tc>
        <w:tc>
          <w:tcPr>
            <w:tcW w:w="4680" w:type="dxa"/>
          </w:tcPr>
          <w:p w14:paraId="40573AD9" w14:textId="77777777" w:rsidR="004E65A9" w:rsidRPr="00BD1AD5" w:rsidRDefault="004E65A9" w:rsidP="008600F3">
            <w:pPr>
              <w:pStyle w:val="lbltxt"/>
              <w:rPr>
                <w:b/>
                <w:bCs/>
                <w:szCs w:val="22"/>
              </w:rPr>
            </w:pPr>
            <w:r>
              <w:rPr>
                <w:b/>
              </w:rPr>
              <w:t>Norge</w:t>
            </w:r>
          </w:p>
          <w:p w14:paraId="6D7970F8" w14:textId="77777777" w:rsidR="004E65A9" w:rsidRPr="00BD1AD5" w:rsidRDefault="004E65A9" w:rsidP="008600F3">
            <w:pPr>
              <w:pStyle w:val="lbltxt"/>
              <w:rPr>
                <w:rStyle w:val="CommentReference"/>
                <w:sz w:val="22"/>
                <w:szCs w:val="22"/>
              </w:rPr>
            </w:pPr>
            <w:r>
              <w:t>Amgen AB</w:t>
            </w:r>
          </w:p>
          <w:p w14:paraId="66EFC7A3" w14:textId="77777777" w:rsidR="004E65A9" w:rsidRPr="00BD1AD5" w:rsidRDefault="004E65A9" w:rsidP="008600F3">
            <w:pPr>
              <w:pStyle w:val="lbltxt"/>
              <w:rPr>
                <w:szCs w:val="22"/>
              </w:rPr>
            </w:pPr>
            <w:r>
              <w:t>Tlf: +47 23308000</w:t>
            </w:r>
          </w:p>
          <w:p w14:paraId="17CAA7A3" w14:textId="77777777" w:rsidR="004E65A9" w:rsidRPr="00BD1AD5" w:rsidRDefault="004E65A9" w:rsidP="008600F3">
            <w:pPr>
              <w:pStyle w:val="lbltxt"/>
              <w:rPr>
                <w:noProof w:val="0"/>
                <w:szCs w:val="22"/>
              </w:rPr>
            </w:pPr>
          </w:p>
        </w:tc>
      </w:tr>
      <w:tr w:rsidR="004E65A9" w:rsidRPr="00BD1AD5" w14:paraId="3EBCEE8D" w14:textId="77777777" w:rsidTr="00184504">
        <w:trPr>
          <w:cantSplit/>
        </w:trPr>
        <w:tc>
          <w:tcPr>
            <w:tcW w:w="4680" w:type="dxa"/>
          </w:tcPr>
          <w:p w14:paraId="5F5EB060" w14:textId="77777777" w:rsidR="004E65A9" w:rsidRPr="000B27C9" w:rsidRDefault="004E65A9" w:rsidP="008600F3">
            <w:pPr>
              <w:pStyle w:val="lbltxt"/>
              <w:rPr>
                <w:b/>
                <w:bCs/>
                <w:szCs w:val="22"/>
                <w:lang w:val="el-GR"/>
              </w:rPr>
            </w:pPr>
            <w:r w:rsidRPr="000B27C9">
              <w:rPr>
                <w:b/>
                <w:lang w:val="el-GR"/>
              </w:rPr>
              <w:t>Ελλάδα</w:t>
            </w:r>
          </w:p>
          <w:p w14:paraId="4EA14045" w14:textId="77777777" w:rsidR="004E65A9" w:rsidRPr="000B27C9" w:rsidRDefault="004E65A9" w:rsidP="008600F3">
            <w:pPr>
              <w:pStyle w:val="lbltxt"/>
              <w:rPr>
                <w:noProof w:val="0"/>
                <w:szCs w:val="22"/>
                <w:lang w:val="el-GR"/>
              </w:rPr>
            </w:pPr>
            <w:r>
              <w:t>Amgen</w:t>
            </w:r>
            <w:r w:rsidRPr="000B27C9">
              <w:rPr>
                <w:lang w:val="el-GR"/>
              </w:rPr>
              <w:t xml:space="preserve"> Ελλάς Φαρμακευτικά Ε.Π.Ε.</w:t>
            </w:r>
          </w:p>
          <w:p w14:paraId="1B2B7867" w14:textId="77777777" w:rsidR="004E65A9" w:rsidRPr="00BD1AD5" w:rsidRDefault="004E65A9" w:rsidP="008600F3">
            <w:pPr>
              <w:pStyle w:val="lbltxt"/>
              <w:rPr>
                <w:noProof w:val="0"/>
                <w:szCs w:val="22"/>
              </w:rPr>
            </w:pPr>
            <w:r>
              <w:t>Τηλ: +30 210 3447000</w:t>
            </w:r>
          </w:p>
          <w:p w14:paraId="6DB6B905" w14:textId="77777777" w:rsidR="004E65A9" w:rsidRPr="00BD1AD5" w:rsidRDefault="004E65A9" w:rsidP="008600F3">
            <w:pPr>
              <w:pStyle w:val="lbltxt"/>
              <w:rPr>
                <w:noProof w:val="0"/>
                <w:szCs w:val="22"/>
              </w:rPr>
            </w:pPr>
          </w:p>
        </w:tc>
        <w:tc>
          <w:tcPr>
            <w:tcW w:w="4680" w:type="dxa"/>
          </w:tcPr>
          <w:p w14:paraId="15E4D819" w14:textId="77777777" w:rsidR="004E65A9" w:rsidRPr="00BD1AD5" w:rsidRDefault="004E65A9" w:rsidP="008600F3">
            <w:pPr>
              <w:pStyle w:val="lbltxt"/>
              <w:rPr>
                <w:szCs w:val="22"/>
              </w:rPr>
            </w:pPr>
            <w:r>
              <w:rPr>
                <w:b/>
              </w:rPr>
              <w:t>Österreich</w:t>
            </w:r>
          </w:p>
          <w:p w14:paraId="0743047D" w14:textId="77777777" w:rsidR="004E65A9" w:rsidRPr="00BD1AD5" w:rsidRDefault="004E65A9" w:rsidP="008600F3">
            <w:pPr>
              <w:pStyle w:val="lbltxt"/>
              <w:rPr>
                <w:szCs w:val="22"/>
              </w:rPr>
            </w:pPr>
            <w:r>
              <w:t>Amgen GmbH</w:t>
            </w:r>
          </w:p>
          <w:p w14:paraId="310FD4E0" w14:textId="77777777" w:rsidR="004E65A9" w:rsidRPr="00BD1AD5" w:rsidRDefault="004E65A9" w:rsidP="008600F3">
            <w:pPr>
              <w:pStyle w:val="lbltxt"/>
              <w:rPr>
                <w:szCs w:val="22"/>
              </w:rPr>
            </w:pPr>
            <w:r>
              <w:t>Tel: +43 (0)1 50 217</w:t>
            </w:r>
          </w:p>
          <w:p w14:paraId="47666852" w14:textId="77777777" w:rsidR="004E65A9" w:rsidRPr="00BD1AD5" w:rsidRDefault="004E65A9" w:rsidP="008600F3">
            <w:pPr>
              <w:pStyle w:val="lbltxt"/>
              <w:rPr>
                <w:b/>
                <w:noProof w:val="0"/>
                <w:szCs w:val="22"/>
              </w:rPr>
            </w:pPr>
          </w:p>
        </w:tc>
      </w:tr>
      <w:tr w:rsidR="004E65A9" w:rsidRPr="00BD1AD5" w14:paraId="246C20D5" w14:textId="77777777" w:rsidTr="00184504">
        <w:trPr>
          <w:cantSplit/>
        </w:trPr>
        <w:tc>
          <w:tcPr>
            <w:tcW w:w="4680" w:type="dxa"/>
          </w:tcPr>
          <w:p w14:paraId="71186C1D" w14:textId="77777777" w:rsidR="004E65A9" w:rsidRPr="000B27C9" w:rsidRDefault="004E65A9" w:rsidP="008600F3">
            <w:pPr>
              <w:pStyle w:val="lbltxt"/>
              <w:rPr>
                <w:szCs w:val="22"/>
                <w:lang w:val="es-ES"/>
              </w:rPr>
            </w:pPr>
            <w:r w:rsidRPr="000B27C9">
              <w:rPr>
                <w:b/>
                <w:lang w:val="es-ES"/>
              </w:rPr>
              <w:t>España</w:t>
            </w:r>
          </w:p>
          <w:p w14:paraId="50F88D05" w14:textId="77777777" w:rsidR="004E65A9" w:rsidRPr="000B27C9" w:rsidRDefault="004E65A9" w:rsidP="008600F3">
            <w:pPr>
              <w:pStyle w:val="lbltxt"/>
              <w:rPr>
                <w:spacing w:val="-2"/>
                <w:szCs w:val="22"/>
                <w:lang w:val="es-ES"/>
              </w:rPr>
            </w:pPr>
            <w:r w:rsidRPr="000B27C9">
              <w:rPr>
                <w:lang w:val="es-ES"/>
              </w:rPr>
              <w:t>Amgen S.A.</w:t>
            </w:r>
          </w:p>
          <w:p w14:paraId="6A46D5A6" w14:textId="77777777" w:rsidR="004E65A9" w:rsidRPr="000B27C9" w:rsidRDefault="004E65A9" w:rsidP="008600F3">
            <w:pPr>
              <w:pStyle w:val="lbltxt"/>
              <w:rPr>
                <w:szCs w:val="22"/>
                <w:lang w:val="es-ES"/>
              </w:rPr>
            </w:pPr>
            <w:r w:rsidRPr="000B27C9">
              <w:rPr>
                <w:lang w:val="es-ES"/>
              </w:rPr>
              <w:t>Tel: +34 93 600 18 60</w:t>
            </w:r>
          </w:p>
          <w:p w14:paraId="3A7F4388" w14:textId="77777777" w:rsidR="004E65A9" w:rsidRPr="00A84A07" w:rsidRDefault="004E65A9" w:rsidP="008600F3">
            <w:pPr>
              <w:pStyle w:val="lbltxt"/>
              <w:rPr>
                <w:bCs/>
                <w:noProof w:val="0"/>
                <w:lang w:val="es-ES"/>
              </w:rPr>
            </w:pPr>
          </w:p>
        </w:tc>
        <w:tc>
          <w:tcPr>
            <w:tcW w:w="4680" w:type="dxa"/>
            <w:hideMark/>
          </w:tcPr>
          <w:p w14:paraId="3F4E8668" w14:textId="77777777" w:rsidR="004E65A9" w:rsidRPr="000B27C9" w:rsidRDefault="004E65A9" w:rsidP="008600F3">
            <w:pPr>
              <w:pStyle w:val="lbltxt"/>
              <w:rPr>
                <w:b/>
                <w:szCs w:val="22"/>
                <w:lang w:val="pl-PL"/>
              </w:rPr>
            </w:pPr>
            <w:r w:rsidRPr="000B27C9">
              <w:rPr>
                <w:b/>
                <w:lang w:val="pl-PL"/>
              </w:rPr>
              <w:t>Polska</w:t>
            </w:r>
          </w:p>
          <w:p w14:paraId="428720FE" w14:textId="77777777" w:rsidR="004E65A9" w:rsidRPr="000B27C9" w:rsidRDefault="004E65A9" w:rsidP="008600F3">
            <w:pPr>
              <w:rPr>
                <w:lang w:val="pl-PL"/>
              </w:rPr>
            </w:pPr>
            <w:r w:rsidRPr="000B27C9">
              <w:rPr>
                <w:lang w:val="pl-PL"/>
              </w:rPr>
              <w:t>Amgen Biotechnologia Sp. z o.o.</w:t>
            </w:r>
          </w:p>
          <w:p w14:paraId="5509889D" w14:textId="77777777" w:rsidR="004E65A9" w:rsidRPr="00BD1AD5" w:rsidRDefault="004E65A9" w:rsidP="008600F3">
            <w:pPr>
              <w:pStyle w:val="lbltxt"/>
              <w:rPr>
                <w:bCs/>
                <w:szCs w:val="22"/>
              </w:rPr>
            </w:pPr>
            <w:r>
              <w:t>Tel.: +48 22 581 3000</w:t>
            </w:r>
          </w:p>
          <w:p w14:paraId="69CACECB" w14:textId="77777777" w:rsidR="004E65A9" w:rsidRPr="00BD1AD5" w:rsidRDefault="004E65A9" w:rsidP="008600F3">
            <w:pPr>
              <w:pStyle w:val="lbltxt"/>
              <w:rPr>
                <w:noProof w:val="0"/>
                <w:szCs w:val="22"/>
              </w:rPr>
            </w:pPr>
          </w:p>
        </w:tc>
      </w:tr>
      <w:tr w:rsidR="004E65A9" w:rsidRPr="00BD1AD5" w14:paraId="3B54C633" w14:textId="77777777" w:rsidTr="00184504">
        <w:trPr>
          <w:cantSplit/>
        </w:trPr>
        <w:tc>
          <w:tcPr>
            <w:tcW w:w="4680" w:type="dxa"/>
            <w:hideMark/>
          </w:tcPr>
          <w:p w14:paraId="6334521C" w14:textId="77777777" w:rsidR="004E65A9" w:rsidRPr="000B27C9" w:rsidRDefault="004E65A9" w:rsidP="008600F3">
            <w:pPr>
              <w:pStyle w:val="lbltxt"/>
              <w:rPr>
                <w:szCs w:val="22"/>
                <w:lang w:val="fr-FR"/>
              </w:rPr>
            </w:pPr>
            <w:r w:rsidRPr="000B27C9">
              <w:rPr>
                <w:b/>
                <w:lang w:val="fr-FR"/>
              </w:rPr>
              <w:t>France</w:t>
            </w:r>
          </w:p>
          <w:p w14:paraId="693EE7FE" w14:textId="77777777" w:rsidR="004E65A9" w:rsidRPr="000B27C9" w:rsidRDefault="004E65A9" w:rsidP="008600F3">
            <w:pPr>
              <w:pStyle w:val="lbltxt"/>
              <w:rPr>
                <w:szCs w:val="22"/>
                <w:lang w:val="fr-FR"/>
              </w:rPr>
            </w:pPr>
            <w:r w:rsidRPr="000B27C9">
              <w:rPr>
                <w:lang w:val="fr-FR"/>
              </w:rPr>
              <w:t>Amgen S.A.S.</w:t>
            </w:r>
          </w:p>
          <w:p w14:paraId="2D56E3BA" w14:textId="77777777" w:rsidR="004E65A9" w:rsidRPr="00BD1AD5" w:rsidRDefault="004E65A9" w:rsidP="008600F3">
            <w:r>
              <w:t>Tél: +33 (0)9 69 363 363</w:t>
            </w:r>
          </w:p>
          <w:p w14:paraId="796B11FC" w14:textId="77777777" w:rsidR="004E65A9" w:rsidRPr="00BD1AD5" w:rsidRDefault="004E65A9" w:rsidP="008600F3">
            <w:pPr>
              <w:rPr>
                <w:b/>
              </w:rPr>
            </w:pPr>
          </w:p>
        </w:tc>
        <w:tc>
          <w:tcPr>
            <w:tcW w:w="4680" w:type="dxa"/>
          </w:tcPr>
          <w:p w14:paraId="1B9DF253" w14:textId="77777777" w:rsidR="004E65A9" w:rsidRPr="00BD1AD5" w:rsidRDefault="004E65A9" w:rsidP="008600F3">
            <w:pPr>
              <w:pStyle w:val="lbltxt"/>
              <w:rPr>
                <w:szCs w:val="22"/>
              </w:rPr>
            </w:pPr>
            <w:r>
              <w:rPr>
                <w:b/>
              </w:rPr>
              <w:t>Portugal</w:t>
            </w:r>
          </w:p>
          <w:p w14:paraId="156624B5" w14:textId="77777777" w:rsidR="004E65A9" w:rsidRPr="00BD1AD5" w:rsidRDefault="004E65A9" w:rsidP="008600F3">
            <w:pPr>
              <w:pStyle w:val="lbltxt"/>
              <w:rPr>
                <w:szCs w:val="22"/>
              </w:rPr>
            </w:pPr>
            <w:r>
              <w:t>Amgen Biofarmacêutica, Lda.</w:t>
            </w:r>
          </w:p>
          <w:p w14:paraId="0A9B0355" w14:textId="77777777" w:rsidR="004E65A9" w:rsidRPr="00BD1AD5" w:rsidRDefault="004E65A9" w:rsidP="008600F3">
            <w:r>
              <w:t>Tel: +351 21 4220606</w:t>
            </w:r>
          </w:p>
          <w:p w14:paraId="77DB839B" w14:textId="77777777" w:rsidR="004E65A9" w:rsidRPr="00BD1AD5" w:rsidRDefault="004E65A9" w:rsidP="008600F3">
            <w:pPr>
              <w:pStyle w:val="lbltxt"/>
              <w:rPr>
                <w:noProof w:val="0"/>
                <w:szCs w:val="22"/>
              </w:rPr>
            </w:pPr>
          </w:p>
        </w:tc>
      </w:tr>
      <w:tr w:rsidR="004E65A9" w:rsidRPr="00BD1AD5" w14:paraId="5AD1FD0F" w14:textId="77777777" w:rsidTr="00184504">
        <w:trPr>
          <w:cantSplit/>
        </w:trPr>
        <w:tc>
          <w:tcPr>
            <w:tcW w:w="4680" w:type="dxa"/>
            <w:hideMark/>
          </w:tcPr>
          <w:p w14:paraId="3E4453CA" w14:textId="77777777" w:rsidR="004E65A9" w:rsidRPr="000B27C9" w:rsidRDefault="004E65A9" w:rsidP="008600F3">
            <w:pPr>
              <w:rPr>
                <w:noProof/>
                <w:lang w:val="sv-SE"/>
              </w:rPr>
            </w:pPr>
            <w:r w:rsidRPr="000B27C9">
              <w:rPr>
                <w:b/>
                <w:lang w:val="sv-SE"/>
              </w:rPr>
              <w:lastRenderedPageBreak/>
              <w:t>Hrvatska</w:t>
            </w:r>
          </w:p>
          <w:p w14:paraId="5E4F4E3D" w14:textId="77777777" w:rsidR="004E65A9" w:rsidRPr="000B27C9" w:rsidRDefault="004E65A9" w:rsidP="008600F3">
            <w:pPr>
              <w:rPr>
                <w:lang w:val="sv-SE"/>
              </w:rPr>
            </w:pPr>
            <w:r w:rsidRPr="000B27C9">
              <w:rPr>
                <w:lang w:val="sv-SE"/>
              </w:rPr>
              <w:t>Amgen d.o.o.</w:t>
            </w:r>
          </w:p>
          <w:p w14:paraId="23795C8B" w14:textId="77777777" w:rsidR="004E65A9" w:rsidRPr="00BD1AD5" w:rsidRDefault="004E65A9" w:rsidP="008600F3">
            <w:r>
              <w:t>Tel: +385 (0)1 562 57 20</w:t>
            </w:r>
          </w:p>
          <w:p w14:paraId="01E006EF" w14:textId="77777777" w:rsidR="004E65A9" w:rsidRPr="00BD1AD5" w:rsidRDefault="004E65A9" w:rsidP="008600F3"/>
        </w:tc>
        <w:tc>
          <w:tcPr>
            <w:tcW w:w="4680" w:type="dxa"/>
          </w:tcPr>
          <w:p w14:paraId="0A76A86A" w14:textId="77777777" w:rsidR="004E65A9" w:rsidRPr="00BD1AD5" w:rsidRDefault="004E65A9" w:rsidP="008600F3">
            <w:pPr>
              <w:suppressAutoHyphens/>
              <w:rPr>
                <w:b/>
                <w:noProof/>
              </w:rPr>
            </w:pPr>
            <w:r>
              <w:rPr>
                <w:b/>
              </w:rPr>
              <w:t>România</w:t>
            </w:r>
          </w:p>
          <w:p w14:paraId="052796B9" w14:textId="77777777" w:rsidR="004E65A9" w:rsidRPr="00BD1AD5" w:rsidRDefault="004E65A9" w:rsidP="008600F3">
            <w:pPr>
              <w:rPr>
                <w:color w:val="000000"/>
              </w:rPr>
            </w:pPr>
            <w:r>
              <w:rPr>
                <w:color w:val="000000"/>
              </w:rPr>
              <w:t>Amgen România SRL</w:t>
            </w:r>
          </w:p>
          <w:p w14:paraId="5ACDE1C1" w14:textId="77777777" w:rsidR="004E65A9" w:rsidRPr="00BD1AD5" w:rsidRDefault="004E65A9" w:rsidP="008600F3">
            <w:pPr>
              <w:rPr>
                <w:color w:val="000000"/>
              </w:rPr>
            </w:pPr>
            <w:r>
              <w:rPr>
                <w:color w:val="000000"/>
              </w:rPr>
              <w:t>Tel: +4021 527 3000</w:t>
            </w:r>
          </w:p>
          <w:p w14:paraId="275AA0A7" w14:textId="77777777" w:rsidR="004E65A9" w:rsidRPr="00BD1AD5" w:rsidRDefault="004E65A9" w:rsidP="008600F3">
            <w:pPr>
              <w:pStyle w:val="lbltxt"/>
              <w:rPr>
                <w:noProof w:val="0"/>
                <w:szCs w:val="22"/>
              </w:rPr>
            </w:pPr>
          </w:p>
        </w:tc>
      </w:tr>
      <w:tr w:rsidR="004E65A9" w:rsidRPr="00002BC9" w14:paraId="21FF7E95" w14:textId="77777777" w:rsidTr="00184504">
        <w:trPr>
          <w:cantSplit/>
        </w:trPr>
        <w:tc>
          <w:tcPr>
            <w:tcW w:w="4680" w:type="dxa"/>
          </w:tcPr>
          <w:p w14:paraId="44E612D9" w14:textId="77777777" w:rsidR="004E65A9" w:rsidRPr="000B27C9" w:rsidRDefault="004E65A9" w:rsidP="008600F3">
            <w:pPr>
              <w:pStyle w:val="lbltxt"/>
              <w:rPr>
                <w:rFonts w:eastAsia="Arial Unicode MS"/>
                <w:b/>
                <w:szCs w:val="22"/>
                <w:lang w:val="en-US"/>
              </w:rPr>
            </w:pPr>
            <w:r w:rsidRPr="000B27C9">
              <w:rPr>
                <w:b/>
                <w:lang w:val="en-US"/>
              </w:rPr>
              <w:t>Ireland</w:t>
            </w:r>
          </w:p>
          <w:p w14:paraId="496DE5F9" w14:textId="77777777" w:rsidR="004E65A9" w:rsidRPr="000B27C9" w:rsidRDefault="004E65A9" w:rsidP="008600F3">
            <w:pPr>
              <w:pStyle w:val="lbltxt"/>
              <w:rPr>
                <w:rFonts w:eastAsia="Arial Unicode MS"/>
                <w:bCs/>
                <w:szCs w:val="22"/>
                <w:lang w:val="en-US"/>
              </w:rPr>
            </w:pPr>
            <w:r w:rsidRPr="000B27C9">
              <w:rPr>
                <w:lang w:val="en-US"/>
              </w:rPr>
              <w:t>Amgen Ireland Limited</w:t>
            </w:r>
          </w:p>
          <w:p w14:paraId="181C64D1" w14:textId="77777777" w:rsidR="004E65A9" w:rsidRPr="000B27C9" w:rsidRDefault="004E65A9" w:rsidP="008600F3">
            <w:pPr>
              <w:pStyle w:val="lbltxt"/>
              <w:rPr>
                <w:rStyle w:val="Initial"/>
                <w:rFonts w:eastAsia="Arial Unicode MS"/>
                <w:bCs/>
                <w:szCs w:val="22"/>
                <w:lang w:val="en-US"/>
              </w:rPr>
            </w:pPr>
            <w:r w:rsidRPr="000B27C9">
              <w:rPr>
                <w:lang w:val="en-US"/>
              </w:rPr>
              <w:t>Tel: +353 1 8527400</w:t>
            </w:r>
          </w:p>
          <w:p w14:paraId="145453DC" w14:textId="77777777" w:rsidR="004E65A9" w:rsidRPr="000B27C9" w:rsidRDefault="004E65A9" w:rsidP="008600F3">
            <w:pPr>
              <w:rPr>
                <w:lang w:val="en-US"/>
              </w:rPr>
            </w:pPr>
          </w:p>
        </w:tc>
        <w:tc>
          <w:tcPr>
            <w:tcW w:w="4680" w:type="dxa"/>
          </w:tcPr>
          <w:p w14:paraId="0221DFAA" w14:textId="77777777" w:rsidR="004E65A9" w:rsidRPr="00246BD7" w:rsidRDefault="004E65A9" w:rsidP="008600F3">
            <w:pPr>
              <w:pStyle w:val="lbltxt"/>
              <w:rPr>
                <w:b/>
                <w:szCs w:val="22"/>
                <w:lang w:val="fi-FI"/>
              </w:rPr>
            </w:pPr>
            <w:r w:rsidRPr="00246BD7">
              <w:rPr>
                <w:b/>
                <w:lang w:val="fi-FI"/>
              </w:rPr>
              <w:t>Slovenija</w:t>
            </w:r>
          </w:p>
          <w:p w14:paraId="688E2DD5" w14:textId="77777777" w:rsidR="004E65A9" w:rsidRPr="00246BD7" w:rsidRDefault="004E65A9" w:rsidP="008600F3">
            <w:pPr>
              <w:pStyle w:val="lbltxt"/>
              <w:rPr>
                <w:bCs/>
                <w:szCs w:val="22"/>
                <w:lang w:val="fi-FI"/>
              </w:rPr>
            </w:pPr>
            <w:r w:rsidRPr="00246BD7">
              <w:rPr>
                <w:lang w:val="fi-FI"/>
              </w:rPr>
              <w:t>AMGEN zdravila d.o.o.</w:t>
            </w:r>
          </w:p>
          <w:p w14:paraId="3181439C" w14:textId="77777777" w:rsidR="004E65A9" w:rsidRPr="000B27C9" w:rsidRDefault="004E65A9" w:rsidP="008600F3">
            <w:pPr>
              <w:pStyle w:val="lbltxt"/>
              <w:rPr>
                <w:bCs/>
                <w:szCs w:val="22"/>
                <w:lang w:val="en-US"/>
              </w:rPr>
            </w:pPr>
            <w:r w:rsidRPr="000B27C9">
              <w:rPr>
                <w:lang w:val="en-US"/>
              </w:rPr>
              <w:t>Tel: +386 (0)1 585 1767</w:t>
            </w:r>
          </w:p>
          <w:p w14:paraId="470B927C" w14:textId="77777777" w:rsidR="004E65A9" w:rsidRPr="000B27C9" w:rsidRDefault="004E65A9" w:rsidP="008600F3">
            <w:pPr>
              <w:pStyle w:val="lbltxt"/>
              <w:rPr>
                <w:noProof w:val="0"/>
                <w:szCs w:val="22"/>
                <w:lang w:val="en-US"/>
              </w:rPr>
            </w:pPr>
          </w:p>
        </w:tc>
      </w:tr>
      <w:tr w:rsidR="004E65A9" w:rsidRPr="00BD1AD5" w14:paraId="7D51DF61" w14:textId="77777777" w:rsidTr="00184504">
        <w:trPr>
          <w:cantSplit/>
        </w:trPr>
        <w:tc>
          <w:tcPr>
            <w:tcW w:w="4680" w:type="dxa"/>
          </w:tcPr>
          <w:p w14:paraId="61A7E44E" w14:textId="77777777" w:rsidR="004E65A9" w:rsidRPr="00BD1AD5" w:rsidRDefault="004E65A9" w:rsidP="008600F3">
            <w:pPr>
              <w:pStyle w:val="lbltxt"/>
              <w:rPr>
                <w:b/>
                <w:szCs w:val="22"/>
              </w:rPr>
            </w:pPr>
            <w:r>
              <w:rPr>
                <w:b/>
              </w:rPr>
              <w:t>Ísland</w:t>
            </w:r>
          </w:p>
          <w:p w14:paraId="00EE7DCD" w14:textId="77777777" w:rsidR="004E65A9" w:rsidRPr="00BD1AD5" w:rsidRDefault="004E65A9" w:rsidP="008600F3">
            <w:pPr>
              <w:pStyle w:val="lbltxt"/>
              <w:rPr>
                <w:szCs w:val="22"/>
              </w:rPr>
            </w:pPr>
            <w:r>
              <w:t>Vistor hf.</w:t>
            </w:r>
          </w:p>
          <w:p w14:paraId="585CBF71" w14:textId="77777777" w:rsidR="004E65A9" w:rsidRPr="00BD1AD5" w:rsidRDefault="004E65A9" w:rsidP="008600F3">
            <w:pPr>
              <w:pStyle w:val="lbltxt"/>
              <w:rPr>
                <w:szCs w:val="22"/>
              </w:rPr>
            </w:pPr>
            <w:r>
              <w:t>Sími: +354 535 7000</w:t>
            </w:r>
          </w:p>
          <w:p w14:paraId="79294510" w14:textId="77777777" w:rsidR="004E65A9" w:rsidRPr="00BD1AD5" w:rsidRDefault="004E65A9" w:rsidP="008600F3">
            <w:pPr>
              <w:pStyle w:val="lbltxt"/>
              <w:rPr>
                <w:b/>
                <w:bCs/>
                <w:noProof w:val="0"/>
                <w:szCs w:val="22"/>
              </w:rPr>
            </w:pPr>
          </w:p>
        </w:tc>
        <w:tc>
          <w:tcPr>
            <w:tcW w:w="4680" w:type="dxa"/>
          </w:tcPr>
          <w:p w14:paraId="3F4B7B83" w14:textId="77777777" w:rsidR="004E65A9" w:rsidRPr="00002BC9" w:rsidRDefault="004E65A9" w:rsidP="008600F3">
            <w:pPr>
              <w:pStyle w:val="lbltxt"/>
              <w:rPr>
                <w:b/>
                <w:szCs w:val="22"/>
              </w:rPr>
            </w:pPr>
            <w:r w:rsidRPr="00002BC9">
              <w:rPr>
                <w:b/>
              </w:rPr>
              <w:t>Slovenská republika</w:t>
            </w:r>
          </w:p>
          <w:p w14:paraId="4DCE1E71" w14:textId="77777777" w:rsidR="004E65A9" w:rsidRPr="00002BC9" w:rsidRDefault="004E65A9" w:rsidP="008600F3">
            <w:pPr>
              <w:pStyle w:val="lbltxt"/>
              <w:rPr>
                <w:bCs/>
                <w:szCs w:val="22"/>
              </w:rPr>
            </w:pPr>
            <w:r w:rsidRPr="00002BC9">
              <w:t>Amgen Slovakia s.r.o.</w:t>
            </w:r>
          </w:p>
          <w:p w14:paraId="7772A452" w14:textId="77777777" w:rsidR="004E65A9" w:rsidRPr="00BD1AD5" w:rsidRDefault="004E65A9" w:rsidP="008600F3">
            <w:pPr>
              <w:pStyle w:val="lbltxt"/>
              <w:rPr>
                <w:bCs/>
                <w:noProof w:val="0"/>
                <w:szCs w:val="22"/>
              </w:rPr>
            </w:pPr>
            <w:r>
              <w:t>Tel: +421 2 321 114 49</w:t>
            </w:r>
          </w:p>
          <w:p w14:paraId="0416E4BD" w14:textId="77777777" w:rsidR="004E65A9" w:rsidRPr="00BD1AD5" w:rsidRDefault="004E65A9" w:rsidP="008600F3">
            <w:pPr>
              <w:pStyle w:val="lbltxt"/>
              <w:rPr>
                <w:noProof w:val="0"/>
                <w:szCs w:val="22"/>
              </w:rPr>
            </w:pPr>
          </w:p>
        </w:tc>
      </w:tr>
      <w:tr w:rsidR="004E65A9" w:rsidRPr="00BD1AD5" w14:paraId="79BBF2EF" w14:textId="77777777" w:rsidTr="00184504">
        <w:trPr>
          <w:cantSplit/>
        </w:trPr>
        <w:tc>
          <w:tcPr>
            <w:tcW w:w="4680" w:type="dxa"/>
            <w:hideMark/>
          </w:tcPr>
          <w:p w14:paraId="48F37955" w14:textId="77777777" w:rsidR="004E65A9" w:rsidRPr="000B27C9" w:rsidRDefault="004E65A9" w:rsidP="008600F3">
            <w:pPr>
              <w:pStyle w:val="lbltxt"/>
              <w:rPr>
                <w:szCs w:val="22"/>
                <w:lang w:val="es-ES"/>
              </w:rPr>
            </w:pPr>
            <w:r w:rsidRPr="000B27C9">
              <w:rPr>
                <w:b/>
                <w:lang w:val="es-ES"/>
              </w:rPr>
              <w:t>Italia</w:t>
            </w:r>
          </w:p>
          <w:p w14:paraId="3F829DB3" w14:textId="77777777" w:rsidR="004E65A9" w:rsidRPr="000B27C9" w:rsidRDefault="004E65A9" w:rsidP="008600F3">
            <w:pPr>
              <w:pStyle w:val="lbltxt"/>
              <w:rPr>
                <w:szCs w:val="22"/>
                <w:lang w:val="es-ES"/>
              </w:rPr>
            </w:pPr>
            <w:r w:rsidRPr="000B27C9">
              <w:rPr>
                <w:lang w:val="es-ES"/>
              </w:rPr>
              <w:t>Amgen S.r.l.</w:t>
            </w:r>
          </w:p>
          <w:p w14:paraId="10E8C47B" w14:textId="77777777" w:rsidR="004E65A9" w:rsidRPr="00BD1AD5" w:rsidRDefault="004E65A9" w:rsidP="008600F3">
            <w:pPr>
              <w:pStyle w:val="lbltxt"/>
              <w:rPr>
                <w:szCs w:val="22"/>
              </w:rPr>
            </w:pPr>
            <w:r>
              <w:t>Tel: +39 02 6241121</w:t>
            </w:r>
          </w:p>
          <w:p w14:paraId="4CC65E1A" w14:textId="77777777" w:rsidR="004E65A9" w:rsidRPr="00BD1AD5" w:rsidRDefault="004E65A9" w:rsidP="008600F3">
            <w:pPr>
              <w:pStyle w:val="lbltxt"/>
              <w:rPr>
                <w:noProof w:val="0"/>
                <w:szCs w:val="22"/>
              </w:rPr>
            </w:pPr>
          </w:p>
        </w:tc>
        <w:tc>
          <w:tcPr>
            <w:tcW w:w="4680" w:type="dxa"/>
          </w:tcPr>
          <w:p w14:paraId="7114E6DB" w14:textId="77777777" w:rsidR="004E65A9" w:rsidRPr="006C78BA" w:rsidRDefault="004E65A9" w:rsidP="008600F3">
            <w:pPr>
              <w:pStyle w:val="lbltxt"/>
              <w:rPr>
                <w:szCs w:val="22"/>
                <w:lang w:val="sv-SE"/>
              </w:rPr>
            </w:pPr>
            <w:r w:rsidRPr="006C78BA">
              <w:rPr>
                <w:b/>
                <w:lang w:val="sv-SE"/>
              </w:rPr>
              <w:t>Suomi/Finland</w:t>
            </w:r>
          </w:p>
          <w:p w14:paraId="49E9507A" w14:textId="77777777" w:rsidR="004E65A9" w:rsidRPr="006C78BA" w:rsidRDefault="004E65A9" w:rsidP="008600F3">
            <w:pPr>
              <w:pStyle w:val="lbltxt"/>
              <w:rPr>
                <w:szCs w:val="22"/>
                <w:lang w:val="sv-SE"/>
              </w:rPr>
            </w:pPr>
            <w:r w:rsidRPr="006C78BA">
              <w:rPr>
                <w:lang w:val="sv-SE"/>
              </w:rPr>
              <w:t>Amgen AB, sivuliike Suomessa/Amgen AB, filial i Finland</w:t>
            </w:r>
          </w:p>
          <w:p w14:paraId="16C127F9" w14:textId="77777777" w:rsidR="004E65A9" w:rsidRPr="00BD1AD5" w:rsidRDefault="004E65A9" w:rsidP="008600F3">
            <w:pPr>
              <w:pStyle w:val="lbltxt"/>
              <w:rPr>
                <w:szCs w:val="22"/>
              </w:rPr>
            </w:pPr>
            <w:r>
              <w:t>Puh/Tel: +358 (0)9 54900500</w:t>
            </w:r>
          </w:p>
          <w:p w14:paraId="0B273229" w14:textId="77777777" w:rsidR="004E65A9" w:rsidRPr="00BD1AD5" w:rsidRDefault="004E65A9" w:rsidP="008600F3">
            <w:pPr>
              <w:pStyle w:val="lbltxt"/>
              <w:rPr>
                <w:b/>
                <w:noProof w:val="0"/>
                <w:szCs w:val="22"/>
              </w:rPr>
            </w:pPr>
          </w:p>
        </w:tc>
      </w:tr>
      <w:tr w:rsidR="004E65A9" w:rsidRPr="00BD1AD5" w14:paraId="588E7FD1" w14:textId="77777777" w:rsidTr="00184504">
        <w:trPr>
          <w:cantSplit/>
        </w:trPr>
        <w:tc>
          <w:tcPr>
            <w:tcW w:w="4680" w:type="dxa"/>
            <w:hideMark/>
          </w:tcPr>
          <w:p w14:paraId="3A63A2D3" w14:textId="77777777" w:rsidR="004E65A9" w:rsidRPr="00BD1AD5" w:rsidRDefault="004E65A9" w:rsidP="008600F3">
            <w:pPr>
              <w:pStyle w:val="lbltxt"/>
              <w:rPr>
                <w:b/>
                <w:szCs w:val="22"/>
              </w:rPr>
            </w:pPr>
            <w:r>
              <w:rPr>
                <w:b/>
              </w:rPr>
              <w:t>Kύπρος</w:t>
            </w:r>
          </w:p>
          <w:p w14:paraId="1B6A56FD" w14:textId="77777777" w:rsidR="004E65A9" w:rsidRPr="00BD1AD5" w:rsidRDefault="004E65A9" w:rsidP="008600F3">
            <w:r>
              <w:t>C.A. Papaellinas Ltd</w:t>
            </w:r>
          </w:p>
          <w:p w14:paraId="5997F5AF" w14:textId="77777777" w:rsidR="004E65A9" w:rsidRPr="00BD1AD5" w:rsidRDefault="004E65A9" w:rsidP="008600F3">
            <w:pPr>
              <w:pStyle w:val="lbltxt"/>
              <w:keepNext/>
              <w:rPr>
                <w:noProof w:val="0"/>
                <w:szCs w:val="22"/>
              </w:rPr>
            </w:pPr>
            <w:r>
              <w:t>Τηλ: +357 22741 741</w:t>
            </w:r>
          </w:p>
        </w:tc>
        <w:tc>
          <w:tcPr>
            <w:tcW w:w="4680" w:type="dxa"/>
          </w:tcPr>
          <w:p w14:paraId="35B9293F" w14:textId="77777777" w:rsidR="004E65A9" w:rsidRPr="00BD1AD5" w:rsidRDefault="004E65A9" w:rsidP="008600F3">
            <w:pPr>
              <w:pStyle w:val="lbltxt"/>
              <w:rPr>
                <w:szCs w:val="22"/>
              </w:rPr>
            </w:pPr>
            <w:r>
              <w:rPr>
                <w:b/>
              </w:rPr>
              <w:t>Sverige</w:t>
            </w:r>
          </w:p>
          <w:p w14:paraId="1B70143B" w14:textId="77777777" w:rsidR="004E65A9" w:rsidRPr="00BD1AD5" w:rsidRDefault="004E65A9" w:rsidP="008600F3">
            <w:pPr>
              <w:pStyle w:val="lbltxt"/>
              <w:rPr>
                <w:szCs w:val="22"/>
              </w:rPr>
            </w:pPr>
            <w:r>
              <w:t>Amgen AB</w:t>
            </w:r>
          </w:p>
          <w:p w14:paraId="35C4D3B5" w14:textId="77777777" w:rsidR="004E65A9" w:rsidRPr="00BD1AD5" w:rsidRDefault="004E65A9" w:rsidP="008600F3">
            <w:pPr>
              <w:pStyle w:val="lbltxt"/>
              <w:rPr>
                <w:szCs w:val="22"/>
              </w:rPr>
            </w:pPr>
            <w:r>
              <w:t>Tel: +46 (0)8 6951100</w:t>
            </w:r>
          </w:p>
          <w:p w14:paraId="5AFA8A0A" w14:textId="77777777" w:rsidR="004E65A9" w:rsidRPr="00BD1AD5" w:rsidRDefault="004E65A9" w:rsidP="008600F3">
            <w:pPr>
              <w:pStyle w:val="lbltxt"/>
              <w:keepNext/>
              <w:rPr>
                <w:bCs/>
                <w:noProof w:val="0"/>
                <w:szCs w:val="22"/>
              </w:rPr>
            </w:pPr>
          </w:p>
        </w:tc>
      </w:tr>
      <w:tr w:rsidR="004E65A9" w:rsidRPr="00BD1AD5" w14:paraId="79D48A7C" w14:textId="77777777" w:rsidTr="00184504">
        <w:trPr>
          <w:cantSplit/>
        </w:trPr>
        <w:tc>
          <w:tcPr>
            <w:tcW w:w="4680" w:type="dxa"/>
          </w:tcPr>
          <w:p w14:paraId="6DCA5B20" w14:textId="77777777" w:rsidR="004E65A9" w:rsidRPr="00BD1AD5" w:rsidRDefault="004E65A9" w:rsidP="008600F3">
            <w:pPr>
              <w:pStyle w:val="lbltxt"/>
              <w:rPr>
                <w:b/>
                <w:bCs/>
                <w:szCs w:val="22"/>
              </w:rPr>
            </w:pPr>
            <w:r>
              <w:rPr>
                <w:b/>
              </w:rPr>
              <w:t>Latvija</w:t>
            </w:r>
          </w:p>
          <w:p w14:paraId="0716D18A" w14:textId="77777777" w:rsidR="004E65A9" w:rsidRPr="00BD1AD5" w:rsidRDefault="004E65A9" w:rsidP="008600F3">
            <w:pPr>
              <w:pStyle w:val="lbltxt"/>
              <w:rPr>
                <w:szCs w:val="22"/>
              </w:rPr>
            </w:pPr>
            <w:r>
              <w:t>Amgen Switzerland AG Rīgas filiāle</w:t>
            </w:r>
          </w:p>
          <w:p w14:paraId="117158CD" w14:textId="77777777" w:rsidR="004E65A9" w:rsidRPr="00BD1AD5" w:rsidRDefault="004E65A9" w:rsidP="008600F3">
            <w:pPr>
              <w:pStyle w:val="lbltxt"/>
              <w:rPr>
                <w:szCs w:val="22"/>
              </w:rPr>
            </w:pPr>
            <w:r>
              <w:t>Tel: +371 257 25888</w:t>
            </w:r>
          </w:p>
          <w:p w14:paraId="446876C1" w14:textId="77777777" w:rsidR="004E65A9" w:rsidRPr="00BD1AD5" w:rsidRDefault="004E65A9" w:rsidP="008600F3">
            <w:pPr>
              <w:pStyle w:val="lbltxt"/>
              <w:keepNext/>
              <w:rPr>
                <w:b/>
                <w:noProof w:val="0"/>
                <w:szCs w:val="22"/>
              </w:rPr>
            </w:pPr>
          </w:p>
        </w:tc>
        <w:tc>
          <w:tcPr>
            <w:tcW w:w="4680" w:type="dxa"/>
            <w:hideMark/>
          </w:tcPr>
          <w:p w14:paraId="76A0B27C" w14:textId="77777777" w:rsidR="004E65A9" w:rsidRPr="000B27C9" w:rsidRDefault="004E65A9" w:rsidP="008600F3">
            <w:pPr>
              <w:pStyle w:val="lbltxt"/>
              <w:rPr>
                <w:szCs w:val="22"/>
                <w:lang w:val="en-US"/>
              </w:rPr>
            </w:pPr>
            <w:r w:rsidRPr="000B27C9">
              <w:rPr>
                <w:b/>
                <w:lang w:val="en-US"/>
              </w:rPr>
              <w:t>United Kingdom (Northern Ireland)</w:t>
            </w:r>
          </w:p>
          <w:p w14:paraId="0DEC403A" w14:textId="77777777" w:rsidR="004E65A9" w:rsidRPr="000B27C9" w:rsidRDefault="004E65A9" w:rsidP="008600F3">
            <w:pPr>
              <w:pStyle w:val="lbltxt"/>
              <w:rPr>
                <w:szCs w:val="22"/>
                <w:lang w:val="en-US"/>
              </w:rPr>
            </w:pPr>
            <w:r w:rsidRPr="000B27C9">
              <w:rPr>
                <w:lang w:val="en-US"/>
              </w:rPr>
              <w:t>Amgen Limited</w:t>
            </w:r>
          </w:p>
          <w:p w14:paraId="3B68AA3E" w14:textId="77777777" w:rsidR="004E65A9" w:rsidRPr="00BD1AD5" w:rsidRDefault="004E65A9" w:rsidP="008600F3">
            <w:pPr>
              <w:pStyle w:val="lbltxt"/>
              <w:rPr>
                <w:szCs w:val="22"/>
              </w:rPr>
            </w:pPr>
            <w:r>
              <w:t>Tel: +44 (0)1223 420305</w:t>
            </w:r>
          </w:p>
          <w:p w14:paraId="3957D6B4" w14:textId="77777777" w:rsidR="004E65A9" w:rsidRPr="00BD1AD5" w:rsidRDefault="004E65A9" w:rsidP="008600F3">
            <w:pPr>
              <w:pStyle w:val="lbltxt"/>
              <w:keepNext/>
              <w:rPr>
                <w:bCs/>
                <w:noProof w:val="0"/>
                <w:szCs w:val="22"/>
              </w:rPr>
            </w:pPr>
          </w:p>
        </w:tc>
      </w:tr>
    </w:tbl>
    <w:p w14:paraId="69D1A1BE" w14:textId="77777777" w:rsidR="004E65A9" w:rsidRPr="00BD1AD5" w:rsidRDefault="004E65A9" w:rsidP="003F09AA">
      <w:pPr>
        <w:numPr>
          <w:ilvl w:val="12"/>
          <w:numId w:val="0"/>
        </w:numPr>
        <w:ind w:right="-2"/>
      </w:pPr>
    </w:p>
    <w:p w14:paraId="2A36E90A" w14:textId="77777777" w:rsidR="004E65A9" w:rsidRPr="00BD1AD5" w:rsidRDefault="004E65A9" w:rsidP="003F09AA">
      <w:pPr>
        <w:keepNext/>
        <w:numPr>
          <w:ilvl w:val="12"/>
          <w:numId w:val="0"/>
        </w:numPr>
        <w:ind w:right="-2"/>
        <w:rPr>
          <w:b/>
        </w:rPr>
      </w:pPr>
      <w:r>
        <w:rPr>
          <w:b/>
        </w:rPr>
        <w:t>Dette pakningsvedlegget ble sist oppdatert</w:t>
      </w:r>
    </w:p>
    <w:p w14:paraId="1796F782" w14:textId="77777777" w:rsidR="004E65A9" w:rsidRPr="00BD1AD5" w:rsidRDefault="004E65A9" w:rsidP="003F09AA">
      <w:pPr>
        <w:keepNext/>
        <w:numPr>
          <w:ilvl w:val="12"/>
          <w:numId w:val="0"/>
        </w:numPr>
        <w:ind w:right="-2"/>
      </w:pPr>
    </w:p>
    <w:p w14:paraId="15A1E5A9" w14:textId="77777777" w:rsidR="004E65A9" w:rsidRPr="00BD1AD5" w:rsidRDefault="004E65A9" w:rsidP="003F09AA">
      <w:pPr>
        <w:keepNext/>
        <w:numPr>
          <w:ilvl w:val="12"/>
          <w:numId w:val="0"/>
        </w:numPr>
        <w:ind w:right="-2"/>
        <w:rPr>
          <w:b/>
        </w:rPr>
      </w:pPr>
      <w:r>
        <w:rPr>
          <w:b/>
        </w:rPr>
        <w:t>Andre informasjonskilder</w:t>
      </w:r>
    </w:p>
    <w:p w14:paraId="7EF4370B" w14:textId="77777777" w:rsidR="004E65A9" w:rsidRPr="00BD1AD5" w:rsidRDefault="004E65A9" w:rsidP="003F09AA">
      <w:pPr>
        <w:keepNext/>
        <w:numPr>
          <w:ilvl w:val="12"/>
          <w:numId w:val="0"/>
        </w:numPr>
        <w:ind w:right="-2"/>
      </w:pPr>
    </w:p>
    <w:p w14:paraId="79F0991A" w14:textId="77777777" w:rsidR="004E65A9" w:rsidRPr="00BD1AD5" w:rsidRDefault="004E65A9" w:rsidP="003F09AA">
      <w:pPr>
        <w:autoSpaceDE w:val="0"/>
        <w:autoSpaceDN w:val="0"/>
        <w:rPr>
          <w:rStyle w:val="Hyperlink"/>
          <w:color w:val="auto"/>
          <w:u w:val="none"/>
        </w:rPr>
      </w:pPr>
      <w:r>
        <w:t xml:space="preserve">Detaljert og oppdatert informasjon om dette legemidlet er tilgjengelig ved avlesing av QR-koden på ytterpakningen med en smarttelefon. Samme informasjon er også tilgjengelig på følgende URL: </w:t>
      </w:r>
      <w:hyperlink r:id="rId28" w:history="1">
        <w:r>
          <w:rPr>
            <w:rStyle w:val="Hyperlink"/>
          </w:rPr>
          <w:t>www.otezla-eu-pil.com</w:t>
        </w:r>
      </w:hyperlink>
      <w:r>
        <w:t>.</w:t>
      </w:r>
    </w:p>
    <w:p w14:paraId="1E2E813E" w14:textId="77777777" w:rsidR="004E65A9" w:rsidRPr="00BD1AD5" w:rsidRDefault="004E65A9" w:rsidP="003F09AA">
      <w:pPr>
        <w:numPr>
          <w:ilvl w:val="12"/>
          <w:numId w:val="0"/>
        </w:numPr>
        <w:ind w:right="-2"/>
      </w:pPr>
    </w:p>
    <w:p w14:paraId="7920F8AB" w14:textId="77777777" w:rsidR="004E65A9" w:rsidRPr="00BD1AD5" w:rsidRDefault="004E65A9" w:rsidP="003F09AA">
      <w:pPr>
        <w:keepNext/>
        <w:rPr>
          <w:noProof/>
        </w:rPr>
      </w:pPr>
      <w:r>
        <w:t xml:space="preserve">Detaljert informasjon om dette legemidlet er tilgjengelig på nettstedet til Det europeiske legemiddelkontoret (the European Medicines Agency): </w:t>
      </w:r>
      <w:hyperlink r:id="rId29" w:history="1">
        <w:r>
          <w:rPr>
            <w:rStyle w:val="Hyperlink"/>
          </w:rPr>
          <w:t>https://www.ema.europa.eu</w:t>
        </w:r>
      </w:hyperlink>
      <w:r>
        <w:t xml:space="preserve"> og på nettstedet til </w:t>
      </w:r>
      <w:hyperlink r:id="rId30" w:history="1">
        <w:r w:rsidRPr="00A81CA1">
          <w:rPr>
            <w:rStyle w:val="Hyperlink"/>
          </w:rPr>
          <w:t>www.felleskatalogen.no</w:t>
        </w:r>
      </w:hyperlink>
      <w:r>
        <w:t>.</w:t>
      </w:r>
    </w:p>
    <w:p w14:paraId="00F0AD77" w14:textId="43A87097" w:rsidR="006A3F63" w:rsidRDefault="006A3F63">
      <w:pPr>
        <w:tabs>
          <w:tab w:val="clear" w:pos="567"/>
        </w:tabs>
        <w:rPr>
          <w:ins w:id="20" w:author="Author"/>
          <w:noProof/>
        </w:rPr>
      </w:pPr>
      <w:ins w:id="21" w:author="Author">
        <w:r>
          <w:rPr>
            <w:noProof/>
          </w:rPr>
          <w:br w:type="page"/>
        </w:r>
      </w:ins>
    </w:p>
    <w:p w14:paraId="256AB223" w14:textId="77777777" w:rsidR="006A3F63" w:rsidRPr="0077613A" w:rsidRDefault="006A3F63" w:rsidP="006A3F63">
      <w:pPr>
        <w:widowControl w:val="0"/>
        <w:ind w:left="127" w:right="120"/>
        <w:jc w:val="center"/>
        <w:rPr>
          <w:ins w:id="22" w:author="Author"/>
          <w:rFonts w:eastAsia="Verdana"/>
          <w:color w:val="000000"/>
        </w:rPr>
      </w:pPr>
    </w:p>
    <w:p w14:paraId="0940A9C2" w14:textId="77777777" w:rsidR="006A3F63" w:rsidRPr="0077613A" w:rsidRDefault="006A3F63" w:rsidP="006A3F63">
      <w:pPr>
        <w:widowControl w:val="0"/>
        <w:ind w:left="127" w:right="120"/>
        <w:jc w:val="center"/>
        <w:rPr>
          <w:ins w:id="23" w:author="Author"/>
          <w:rFonts w:eastAsia="Verdana"/>
          <w:color w:val="000000"/>
        </w:rPr>
      </w:pPr>
    </w:p>
    <w:p w14:paraId="10BD1E11" w14:textId="77777777" w:rsidR="006A3F63" w:rsidRPr="0077613A" w:rsidRDefault="006A3F63" w:rsidP="006A3F63">
      <w:pPr>
        <w:widowControl w:val="0"/>
        <w:ind w:left="127" w:right="120"/>
        <w:jc w:val="center"/>
        <w:rPr>
          <w:ins w:id="24" w:author="Author"/>
          <w:rFonts w:eastAsia="Verdana"/>
          <w:color w:val="000000"/>
        </w:rPr>
      </w:pPr>
    </w:p>
    <w:p w14:paraId="42373A8F" w14:textId="77777777" w:rsidR="006A3F63" w:rsidRPr="0077613A" w:rsidRDefault="006A3F63" w:rsidP="006A3F63">
      <w:pPr>
        <w:widowControl w:val="0"/>
        <w:ind w:left="127" w:right="120"/>
        <w:jc w:val="center"/>
        <w:rPr>
          <w:ins w:id="25" w:author="Author"/>
          <w:rFonts w:eastAsia="Verdana"/>
          <w:color w:val="000000"/>
        </w:rPr>
      </w:pPr>
    </w:p>
    <w:p w14:paraId="5BCE4542" w14:textId="77777777" w:rsidR="006A3F63" w:rsidRPr="0077613A" w:rsidRDefault="006A3F63" w:rsidP="006A3F63">
      <w:pPr>
        <w:widowControl w:val="0"/>
        <w:ind w:left="127" w:right="120"/>
        <w:jc w:val="center"/>
        <w:rPr>
          <w:ins w:id="26" w:author="Author"/>
          <w:rFonts w:eastAsia="Verdana"/>
          <w:color w:val="000000"/>
        </w:rPr>
      </w:pPr>
    </w:p>
    <w:p w14:paraId="1343CF7E" w14:textId="77777777" w:rsidR="006A3F63" w:rsidRPr="0077613A" w:rsidRDefault="006A3F63" w:rsidP="006A3F63">
      <w:pPr>
        <w:widowControl w:val="0"/>
        <w:ind w:left="127" w:right="120"/>
        <w:jc w:val="center"/>
        <w:rPr>
          <w:ins w:id="27" w:author="Author"/>
          <w:rFonts w:eastAsia="Verdana"/>
          <w:color w:val="000000"/>
        </w:rPr>
      </w:pPr>
    </w:p>
    <w:p w14:paraId="2B7BD86F" w14:textId="77777777" w:rsidR="006A3F63" w:rsidRPr="0077613A" w:rsidRDefault="006A3F63" w:rsidP="006A3F63">
      <w:pPr>
        <w:widowControl w:val="0"/>
        <w:ind w:left="127" w:right="120"/>
        <w:jc w:val="center"/>
        <w:rPr>
          <w:ins w:id="28" w:author="Author"/>
          <w:rFonts w:eastAsia="Verdana"/>
          <w:color w:val="000000"/>
        </w:rPr>
      </w:pPr>
    </w:p>
    <w:p w14:paraId="492AF4FD" w14:textId="77777777" w:rsidR="006A3F63" w:rsidRPr="0077613A" w:rsidRDefault="006A3F63" w:rsidP="006A3F63">
      <w:pPr>
        <w:widowControl w:val="0"/>
        <w:ind w:left="127" w:right="120"/>
        <w:jc w:val="center"/>
        <w:rPr>
          <w:ins w:id="29" w:author="Author"/>
          <w:rFonts w:eastAsia="Verdana"/>
          <w:color w:val="000000"/>
        </w:rPr>
      </w:pPr>
    </w:p>
    <w:p w14:paraId="10055F83" w14:textId="77777777" w:rsidR="006A3F63" w:rsidRPr="0077613A" w:rsidRDefault="006A3F63" w:rsidP="006A3F63">
      <w:pPr>
        <w:widowControl w:val="0"/>
        <w:ind w:left="127" w:right="120"/>
        <w:jc w:val="center"/>
        <w:rPr>
          <w:ins w:id="30" w:author="Author"/>
          <w:rFonts w:eastAsia="Verdana"/>
          <w:color w:val="000000"/>
        </w:rPr>
      </w:pPr>
    </w:p>
    <w:p w14:paraId="392DD0A6" w14:textId="77777777" w:rsidR="006A3F63" w:rsidRPr="0077613A" w:rsidRDefault="006A3F63" w:rsidP="006A3F63">
      <w:pPr>
        <w:widowControl w:val="0"/>
        <w:ind w:left="127" w:right="120"/>
        <w:jc w:val="center"/>
        <w:rPr>
          <w:ins w:id="31" w:author="Author"/>
          <w:rFonts w:eastAsia="Verdana"/>
          <w:color w:val="000000"/>
        </w:rPr>
      </w:pPr>
    </w:p>
    <w:p w14:paraId="2DAA42A7" w14:textId="77777777" w:rsidR="006A3F63" w:rsidRPr="0077613A" w:rsidRDefault="006A3F63" w:rsidP="006A3F63">
      <w:pPr>
        <w:widowControl w:val="0"/>
        <w:ind w:left="127" w:right="120"/>
        <w:jc w:val="center"/>
        <w:rPr>
          <w:ins w:id="32" w:author="Author"/>
          <w:rFonts w:eastAsia="Verdana"/>
          <w:color w:val="000000"/>
        </w:rPr>
      </w:pPr>
    </w:p>
    <w:p w14:paraId="77CBCC0B" w14:textId="77777777" w:rsidR="006A3F63" w:rsidRPr="0077613A" w:rsidRDefault="006A3F63" w:rsidP="006A3F63">
      <w:pPr>
        <w:widowControl w:val="0"/>
        <w:ind w:left="127" w:right="120"/>
        <w:jc w:val="center"/>
        <w:rPr>
          <w:ins w:id="33" w:author="Author"/>
          <w:rFonts w:eastAsia="Verdana"/>
          <w:color w:val="000000"/>
        </w:rPr>
      </w:pPr>
    </w:p>
    <w:p w14:paraId="605FB7DB" w14:textId="77777777" w:rsidR="006A3F63" w:rsidRPr="0077613A" w:rsidRDefault="006A3F63" w:rsidP="006A3F63">
      <w:pPr>
        <w:widowControl w:val="0"/>
        <w:ind w:left="127" w:right="120"/>
        <w:jc w:val="center"/>
        <w:rPr>
          <w:ins w:id="34" w:author="Author"/>
          <w:rFonts w:eastAsia="Verdana"/>
          <w:color w:val="000000"/>
        </w:rPr>
      </w:pPr>
    </w:p>
    <w:p w14:paraId="531D421F" w14:textId="77777777" w:rsidR="006A3F63" w:rsidRPr="0077613A" w:rsidRDefault="006A3F63" w:rsidP="006A3F63">
      <w:pPr>
        <w:widowControl w:val="0"/>
        <w:ind w:left="127" w:right="120"/>
        <w:jc w:val="center"/>
        <w:rPr>
          <w:ins w:id="35" w:author="Author"/>
          <w:rFonts w:eastAsia="Verdana"/>
          <w:color w:val="000000"/>
        </w:rPr>
      </w:pPr>
    </w:p>
    <w:p w14:paraId="247E78E1" w14:textId="77777777" w:rsidR="006A3F63" w:rsidRPr="0077613A" w:rsidRDefault="006A3F63" w:rsidP="006A3F63">
      <w:pPr>
        <w:widowControl w:val="0"/>
        <w:ind w:left="127" w:right="120"/>
        <w:jc w:val="center"/>
        <w:rPr>
          <w:ins w:id="36" w:author="Author"/>
          <w:rFonts w:eastAsia="Verdana"/>
          <w:color w:val="000000"/>
        </w:rPr>
      </w:pPr>
    </w:p>
    <w:p w14:paraId="22F00C82" w14:textId="77777777" w:rsidR="006A3F63" w:rsidRPr="0077613A" w:rsidRDefault="006A3F63" w:rsidP="006A3F63">
      <w:pPr>
        <w:widowControl w:val="0"/>
        <w:ind w:left="127" w:right="120"/>
        <w:jc w:val="center"/>
        <w:rPr>
          <w:ins w:id="37" w:author="Author"/>
          <w:rFonts w:eastAsia="Verdana"/>
          <w:color w:val="000000"/>
        </w:rPr>
      </w:pPr>
    </w:p>
    <w:p w14:paraId="6E1C969D" w14:textId="77777777" w:rsidR="006A3F63" w:rsidRPr="0077613A" w:rsidRDefault="006A3F63" w:rsidP="006A3F63">
      <w:pPr>
        <w:widowControl w:val="0"/>
        <w:ind w:left="127" w:right="120"/>
        <w:jc w:val="center"/>
        <w:rPr>
          <w:ins w:id="38" w:author="Author"/>
          <w:rFonts w:eastAsia="Verdana"/>
          <w:color w:val="000000"/>
        </w:rPr>
      </w:pPr>
    </w:p>
    <w:p w14:paraId="59CAF880" w14:textId="77777777" w:rsidR="006A3F63" w:rsidRPr="0077613A" w:rsidRDefault="006A3F63" w:rsidP="006A3F63">
      <w:pPr>
        <w:widowControl w:val="0"/>
        <w:ind w:left="127" w:right="120"/>
        <w:jc w:val="center"/>
        <w:rPr>
          <w:ins w:id="39" w:author="Author"/>
          <w:rFonts w:eastAsia="Verdana"/>
          <w:color w:val="000000"/>
        </w:rPr>
      </w:pPr>
    </w:p>
    <w:p w14:paraId="5AAC1CE4" w14:textId="77777777" w:rsidR="006A3F63" w:rsidRPr="0077613A" w:rsidRDefault="006A3F63" w:rsidP="006A3F63">
      <w:pPr>
        <w:widowControl w:val="0"/>
        <w:ind w:left="127" w:right="120"/>
        <w:jc w:val="center"/>
        <w:rPr>
          <w:ins w:id="40" w:author="Author"/>
          <w:rFonts w:eastAsia="Verdana"/>
          <w:color w:val="000000"/>
        </w:rPr>
      </w:pPr>
    </w:p>
    <w:p w14:paraId="17DD413B" w14:textId="77777777" w:rsidR="006A3F63" w:rsidRPr="0077613A" w:rsidRDefault="006A3F63" w:rsidP="006A3F63">
      <w:pPr>
        <w:widowControl w:val="0"/>
        <w:ind w:left="127" w:right="120"/>
        <w:jc w:val="center"/>
        <w:rPr>
          <w:ins w:id="41" w:author="Author"/>
          <w:rFonts w:eastAsia="Verdana"/>
          <w:color w:val="000000"/>
        </w:rPr>
      </w:pPr>
    </w:p>
    <w:p w14:paraId="1E1C2537" w14:textId="77777777" w:rsidR="006A3F63" w:rsidRPr="0077613A" w:rsidRDefault="006A3F63" w:rsidP="006A3F63">
      <w:pPr>
        <w:widowControl w:val="0"/>
        <w:ind w:left="127" w:right="120"/>
        <w:jc w:val="center"/>
        <w:rPr>
          <w:ins w:id="42" w:author="Author"/>
          <w:rFonts w:eastAsia="Verdana"/>
          <w:color w:val="000000"/>
        </w:rPr>
      </w:pPr>
    </w:p>
    <w:p w14:paraId="38CC6BF9" w14:textId="77777777" w:rsidR="006A3F63" w:rsidRPr="0077613A" w:rsidRDefault="006A3F63" w:rsidP="006A3F63">
      <w:pPr>
        <w:widowControl w:val="0"/>
        <w:ind w:left="127" w:right="120"/>
        <w:jc w:val="center"/>
        <w:rPr>
          <w:ins w:id="43" w:author="Author"/>
          <w:rFonts w:eastAsia="Verdana"/>
          <w:color w:val="000000"/>
        </w:rPr>
      </w:pPr>
    </w:p>
    <w:p w14:paraId="155703C1" w14:textId="77777777" w:rsidR="006A3F63" w:rsidRPr="0077613A" w:rsidRDefault="006A3F63" w:rsidP="006A3F63">
      <w:pPr>
        <w:widowControl w:val="0"/>
        <w:spacing w:line="280" w:lineRule="atLeast"/>
        <w:ind w:left="125" w:right="119"/>
        <w:jc w:val="center"/>
        <w:rPr>
          <w:ins w:id="44" w:author="Author"/>
          <w:rFonts w:eastAsia="Verdana"/>
          <w:b/>
          <w:bCs/>
          <w:color w:val="000000"/>
        </w:rPr>
      </w:pPr>
      <w:ins w:id="45" w:author="Author">
        <w:r>
          <w:rPr>
            <w:b/>
            <w:color w:val="000000"/>
          </w:rPr>
          <w:t>VEDLEGG IV</w:t>
        </w:r>
      </w:ins>
    </w:p>
    <w:p w14:paraId="4637C3DA" w14:textId="77777777" w:rsidR="006A3F63" w:rsidRPr="0077613A" w:rsidRDefault="006A3F63" w:rsidP="006A3F63">
      <w:pPr>
        <w:widowControl w:val="0"/>
        <w:spacing w:line="280" w:lineRule="atLeast"/>
        <w:ind w:left="125" w:right="119"/>
        <w:jc w:val="center"/>
        <w:rPr>
          <w:ins w:id="46" w:author="Author"/>
          <w:rFonts w:eastAsia="Verdana"/>
          <w:color w:val="000000"/>
        </w:rPr>
      </w:pPr>
    </w:p>
    <w:p w14:paraId="646159A2" w14:textId="77777777" w:rsidR="006A3F63" w:rsidRPr="0077613A" w:rsidRDefault="006A3F63" w:rsidP="00184504">
      <w:pPr>
        <w:pStyle w:val="TitleA"/>
        <w:rPr>
          <w:ins w:id="47" w:author="Author"/>
          <w:rFonts w:eastAsia="Verdana"/>
        </w:rPr>
      </w:pPr>
      <w:ins w:id="48" w:author="Author">
        <w:r>
          <w:t>VITENSKAPELIGE KONKLUSJONER OG GRUNNLAG FOR ENDRING I VILKÅRENE FOR MARKEDSFØRINGSTILLATELSEN(E)</w:t>
        </w:r>
      </w:ins>
    </w:p>
    <w:p w14:paraId="05B89B15" w14:textId="77777777" w:rsidR="006A3F63" w:rsidRDefault="006A3F63" w:rsidP="006A3F63">
      <w:pPr>
        <w:rPr>
          <w:ins w:id="49" w:author="Author"/>
        </w:rPr>
      </w:pPr>
      <w:ins w:id="50" w:author="Author">
        <w:r>
          <w:br w:type="page"/>
        </w:r>
      </w:ins>
    </w:p>
    <w:p w14:paraId="16223871" w14:textId="77777777" w:rsidR="006A3F63" w:rsidRDefault="006A3F63" w:rsidP="006A3F63">
      <w:pPr>
        <w:rPr>
          <w:ins w:id="51" w:author="Author"/>
          <w:rFonts w:eastAsia="Verdana"/>
          <w:b/>
          <w:bCs/>
        </w:rPr>
      </w:pPr>
      <w:ins w:id="52" w:author="Author">
        <w:r>
          <w:rPr>
            <w:b/>
          </w:rPr>
          <w:t>Vitenskapelige konklusjoner</w:t>
        </w:r>
      </w:ins>
    </w:p>
    <w:p w14:paraId="39DC094A" w14:textId="77777777" w:rsidR="006A3F63" w:rsidRPr="00A854E9" w:rsidRDefault="006A3F63" w:rsidP="006A3F63">
      <w:pPr>
        <w:rPr>
          <w:ins w:id="53" w:author="Author"/>
          <w:rFonts w:eastAsia="Verdana"/>
          <w:b/>
          <w:bCs/>
        </w:rPr>
      </w:pPr>
    </w:p>
    <w:p w14:paraId="495D253D" w14:textId="26E1A67C" w:rsidR="006A3F63" w:rsidRPr="00A854E9" w:rsidRDefault="006A3F63" w:rsidP="006A3F63">
      <w:pPr>
        <w:rPr>
          <w:ins w:id="54" w:author="Author"/>
          <w:rFonts w:eastAsia="Verdana"/>
        </w:rPr>
      </w:pPr>
      <w:ins w:id="55" w:author="Author">
        <w:r>
          <w:t>Basert på evalueringsrapporten fra PRAC vedrørende den/de periodiske sikkerhetsoppdateringsrapporten</w:t>
        </w:r>
        <w:r w:rsidR="00FD12F0">
          <w:t>e</w:t>
        </w:r>
        <w:r>
          <w:t xml:space="preserve">(e) (PSUR) for apremilast har PRAC kommet frem til følgende konklusjoner: </w:t>
        </w:r>
      </w:ins>
    </w:p>
    <w:p w14:paraId="156A6855" w14:textId="77777777" w:rsidR="006A3F63" w:rsidRDefault="006A3F63" w:rsidP="006A3F63">
      <w:pPr>
        <w:rPr>
          <w:ins w:id="56" w:author="Author"/>
          <w:rFonts w:eastAsia="Verdana"/>
        </w:rPr>
      </w:pPr>
    </w:p>
    <w:p w14:paraId="2E31502F" w14:textId="2A2985FE" w:rsidR="006A3F63" w:rsidRDefault="006A3F63" w:rsidP="006A3F63">
      <w:pPr>
        <w:rPr>
          <w:ins w:id="57" w:author="Author"/>
          <w:rFonts w:eastAsia="Verdana"/>
          <w:b/>
          <w:bCs/>
        </w:rPr>
      </w:pPr>
      <w:ins w:id="58" w:author="Author">
        <w:r>
          <w:rPr>
            <w:b/>
          </w:rPr>
          <w:t>Vitenskapelige konklusjoner og grunnlag for endring i vilkårene for markedsføringstillatelsene</w:t>
        </w:r>
      </w:ins>
    </w:p>
    <w:p w14:paraId="34DDE39B" w14:textId="77777777" w:rsidR="006A3F63" w:rsidRPr="00A854E9" w:rsidRDefault="006A3F63" w:rsidP="006A3F63">
      <w:pPr>
        <w:rPr>
          <w:ins w:id="59" w:author="Author"/>
          <w:rFonts w:eastAsia="Verdana"/>
          <w:b/>
          <w:bCs/>
        </w:rPr>
      </w:pPr>
    </w:p>
    <w:p w14:paraId="3F71848E" w14:textId="34A923C4" w:rsidR="006A3F63" w:rsidRDefault="006A3F63" w:rsidP="006A3F63">
      <w:pPr>
        <w:rPr>
          <w:ins w:id="60" w:author="Author"/>
          <w:rFonts w:eastAsia="Verdana"/>
        </w:rPr>
      </w:pPr>
      <w:ins w:id="61" w:author="Author">
        <w:r>
          <w:t>I lys av tilgjengelige data om angst og endret humør fra spontane rapporter, inkludert tilfeller med et nært tidsmessig forhold og symptombedring</w:t>
        </w:r>
        <w:r w:rsidR="005F4A2E">
          <w:t xml:space="preserve"> etter seponering</w:t>
        </w:r>
        <w:r>
          <w:t xml:space="preserve"> ("</w:t>
        </w:r>
        <w:r w:rsidRPr="00002BC9">
          <w:rPr>
            <w:i/>
            <w:iCs/>
          </w:rPr>
          <w:t>positive de</w:t>
        </w:r>
        <w:r w:rsidR="00AB3ECC">
          <w:rPr>
            <w:i/>
            <w:iCs/>
          </w:rPr>
          <w:t>-</w:t>
        </w:r>
        <w:r w:rsidRPr="00002BC9">
          <w:rPr>
            <w:i/>
            <w:iCs/>
          </w:rPr>
          <w:t>challenge</w:t>
        </w:r>
        <w:r>
          <w:t>") og med tanke på den potensielle klasseeffekten, vurderer PRAC det slik at en årsakssammenheng mellom apremilast og angst og endret humør er minst en rimelig mulighet. PRAC konkluderte med at produktinformasjonen til produkter som inneholder apremilast bør endres tilsvarende.</w:t>
        </w:r>
      </w:ins>
    </w:p>
    <w:p w14:paraId="00F70DDD" w14:textId="77777777" w:rsidR="006A3F63" w:rsidRPr="00A854E9" w:rsidRDefault="006A3F63" w:rsidP="006A3F63">
      <w:pPr>
        <w:rPr>
          <w:ins w:id="62" w:author="Author"/>
          <w:rFonts w:eastAsia="Verdana"/>
        </w:rPr>
      </w:pPr>
    </w:p>
    <w:p w14:paraId="20DB7555" w14:textId="706DB6BB" w:rsidR="006A3F63" w:rsidRPr="00A854E9" w:rsidRDefault="006A3F63" w:rsidP="006A3F63">
      <w:pPr>
        <w:rPr>
          <w:ins w:id="63" w:author="Author"/>
          <w:rFonts w:eastAsia="Verdana"/>
        </w:rPr>
      </w:pPr>
      <w:ins w:id="64" w:author="Author">
        <w:r>
          <w:t xml:space="preserve">Oppdatering av pkt. 4.4 i preparatomtalen for å endre den nåværende advarselen angående </w:t>
        </w:r>
        <w:r w:rsidR="00E41AA2">
          <w:t>p</w:t>
        </w:r>
        <w:r>
          <w:t>sykiatriske lidelser og oppdatering av pkt. 4.8 i preparatomtalen for å legge til bivirkningene angst og endret humør med frekvens mindre vanlige. Pakningsvedlegget oppdateres tilsvarende.</w:t>
        </w:r>
      </w:ins>
    </w:p>
    <w:p w14:paraId="1E311181" w14:textId="77777777" w:rsidR="006A3F63" w:rsidRDefault="006A3F63" w:rsidP="006A3F63">
      <w:pPr>
        <w:rPr>
          <w:ins w:id="65" w:author="Author"/>
          <w:rFonts w:eastAsia="Verdana"/>
        </w:rPr>
      </w:pPr>
    </w:p>
    <w:p w14:paraId="5B7935C0" w14:textId="77777777" w:rsidR="006A3F63" w:rsidRPr="00A854E9" w:rsidRDefault="006A3F63" w:rsidP="006A3F63">
      <w:pPr>
        <w:rPr>
          <w:ins w:id="66" w:author="Author"/>
          <w:rFonts w:eastAsia="Verdana"/>
        </w:rPr>
      </w:pPr>
      <w:ins w:id="67" w:author="Author">
        <w:r>
          <w:t xml:space="preserve">Følgende endringer i produktinformasjon for legemidler som inneholder apremilast, anbefales (ny tekst er </w:t>
        </w:r>
        <w:r>
          <w:rPr>
            <w:b/>
            <w:u w:val="single"/>
          </w:rPr>
          <w:t>understreket og i fet skrift</w:t>
        </w:r>
        <w:r>
          <w:t xml:space="preserve">, slettet tekst er gjennomstreket): </w:t>
        </w:r>
      </w:ins>
    </w:p>
    <w:p w14:paraId="540FEB91" w14:textId="77777777" w:rsidR="006A3F63" w:rsidRDefault="006A3F63" w:rsidP="006A3F63">
      <w:pPr>
        <w:rPr>
          <w:ins w:id="68" w:author="Author"/>
          <w:rFonts w:eastAsia="Verdana"/>
        </w:rPr>
      </w:pPr>
    </w:p>
    <w:p w14:paraId="01CCEF8C" w14:textId="77777777" w:rsidR="006A3F63" w:rsidRDefault="006A3F63" w:rsidP="006A3F63">
      <w:pPr>
        <w:rPr>
          <w:ins w:id="69" w:author="Author"/>
          <w:rFonts w:eastAsia="Verdana"/>
          <w:b/>
          <w:bCs/>
        </w:rPr>
      </w:pPr>
      <w:ins w:id="70" w:author="Author">
        <w:r>
          <w:rPr>
            <w:b/>
          </w:rPr>
          <w:t xml:space="preserve">Preparatomtale </w:t>
        </w:r>
      </w:ins>
    </w:p>
    <w:p w14:paraId="2E0E877B" w14:textId="77777777" w:rsidR="006A3F63" w:rsidRPr="00996193" w:rsidRDefault="006A3F63" w:rsidP="006A3F63">
      <w:pPr>
        <w:rPr>
          <w:ins w:id="71" w:author="Author"/>
          <w:rFonts w:eastAsia="Verdana"/>
          <w:b/>
          <w:bCs/>
        </w:rPr>
      </w:pPr>
    </w:p>
    <w:p w14:paraId="7E70474F" w14:textId="4CA92A6D" w:rsidR="006A3F63" w:rsidRPr="00FC4E2F" w:rsidRDefault="006A3F63" w:rsidP="006A3F63">
      <w:pPr>
        <w:pStyle w:val="ListParagraph"/>
        <w:widowControl w:val="0"/>
        <w:numPr>
          <w:ilvl w:val="0"/>
          <w:numId w:val="46"/>
        </w:numPr>
        <w:spacing w:after="0" w:line="240" w:lineRule="auto"/>
        <w:ind w:left="567" w:hanging="567"/>
        <w:rPr>
          <w:ins w:id="72" w:author="Author"/>
          <w:rFonts w:ascii="Times New Roman" w:eastAsia="Verdana" w:hAnsi="Times New Roman"/>
        </w:rPr>
      </w:pPr>
      <w:ins w:id="73" w:author="Author">
        <w:r w:rsidRPr="00FC4E2F">
          <w:rPr>
            <w:rFonts w:ascii="Times New Roman" w:hAnsi="Times New Roman"/>
          </w:rPr>
          <w:t>Pkt. 4.4</w:t>
        </w:r>
      </w:ins>
    </w:p>
    <w:p w14:paraId="346C9970" w14:textId="77777777" w:rsidR="006A3F63" w:rsidRPr="00996193" w:rsidRDefault="006A3F63" w:rsidP="006A3F63">
      <w:pPr>
        <w:widowControl w:val="0"/>
        <w:rPr>
          <w:ins w:id="74" w:author="Author"/>
          <w:rFonts w:eastAsia="Verdana"/>
        </w:rPr>
      </w:pPr>
    </w:p>
    <w:p w14:paraId="45471B5A" w14:textId="77777777" w:rsidR="006A3F63" w:rsidRPr="00996193" w:rsidRDefault="006A3F63" w:rsidP="006A3F63">
      <w:pPr>
        <w:widowControl w:val="0"/>
        <w:rPr>
          <w:ins w:id="75" w:author="Author"/>
          <w:rFonts w:eastAsia="Verdana"/>
        </w:rPr>
      </w:pPr>
      <w:ins w:id="76" w:author="Author">
        <w:r>
          <w:t>En advarsel skal endres som følger:</w:t>
        </w:r>
      </w:ins>
    </w:p>
    <w:p w14:paraId="53F13857" w14:textId="77777777" w:rsidR="006A3F63" w:rsidRPr="00996193" w:rsidRDefault="006A3F63" w:rsidP="006A3F63">
      <w:pPr>
        <w:rPr>
          <w:ins w:id="77" w:author="Author"/>
          <w:rFonts w:eastAsia="Verdana"/>
        </w:rPr>
      </w:pPr>
      <w:ins w:id="78" w:author="Author">
        <w:r>
          <w:t xml:space="preserve"> </w:t>
        </w:r>
      </w:ins>
    </w:p>
    <w:p w14:paraId="680B49FA" w14:textId="77777777" w:rsidR="006A3F63" w:rsidRPr="00996193" w:rsidRDefault="006A3F63" w:rsidP="006A3F63">
      <w:pPr>
        <w:rPr>
          <w:ins w:id="79" w:author="Author"/>
          <w:rFonts w:eastAsia="Verdana"/>
          <w:u w:val="single"/>
        </w:rPr>
      </w:pPr>
      <w:ins w:id="80" w:author="Author">
        <w:r>
          <w:rPr>
            <w:u w:val="single"/>
          </w:rPr>
          <w:t xml:space="preserve">Psykiatriske lidelser </w:t>
        </w:r>
      </w:ins>
    </w:p>
    <w:p w14:paraId="1421FD00" w14:textId="77777777" w:rsidR="006A3F63" w:rsidRPr="00996193" w:rsidRDefault="006A3F63" w:rsidP="006A3F63">
      <w:pPr>
        <w:rPr>
          <w:ins w:id="81" w:author="Author"/>
          <w:rFonts w:eastAsia="Verdana"/>
          <w:u w:val="single"/>
        </w:rPr>
      </w:pPr>
    </w:p>
    <w:p w14:paraId="762C3A97" w14:textId="77777777" w:rsidR="00FC4E2F" w:rsidRPr="00BD1AD5" w:rsidRDefault="00FC4E2F" w:rsidP="00FC4E2F">
      <w:pPr>
        <w:autoSpaceDE w:val="0"/>
        <w:autoSpaceDN w:val="0"/>
        <w:adjustRightInd w:val="0"/>
        <w:rPr>
          <w:ins w:id="82" w:author="Author"/>
          <w:noProof/>
        </w:rPr>
      </w:pPr>
      <w:ins w:id="83" w:author="Author">
        <w:r>
          <w:t xml:space="preserve">Apremilast er forbundet med en økt risiko for psykiatriske lidelser slik som insomni, </w:t>
        </w:r>
        <w:r w:rsidRPr="00002BC9">
          <w:rPr>
            <w:b/>
            <w:bCs/>
          </w:rPr>
          <w:t xml:space="preserve">angst, endret humør </w:t>
        </w:r>
        <w:r>
          <w:t>og depresjon. Tilfeller av suicidal ideasjon og atferd, inkludert selvmord, har vært observert hos pasienter med eller uten sykehistorie med depresjon (se pkt. 4.8). Risikoene og fordelene ved å starte eller fortsette behandling med apremilast bør vurderes nøye hvis pasientene rapporterer tidligere eller eksisterende psykiatriske symptomer, eller hvis samtidig behandling med andre legemidler som med sannsynlighet kan forårsake psykiatriske episoder, er planlagt. Pasienter og omsorgspersoner skal instrueres om å varsle forskriver om alle endringer i atferd eller sinnstilstand og enhver suicidal ideasjon. Hvis pasientene lider av nye eller forverrede psykiatriske symptomer, eller suicidal ideasjon eller selvmordsforsøk blir påvist, anbefales det å avbryte behandlingen med apremilast.</w:t>
        </w:r>
      </w:ins>
    </w:p>
    <w:p w14:paraId="7BA13C29" w14:textId="77777777" w:rsidR="006A3F63" w:rsidRPr="00996193" w:rsidRDefault="006A3F63" w:rsidP="006A3F63">
      <w:pPr>
        <w:rPr>
          <w:ins w:id="84" w:author="Author"/>
          <w:rFonts w:eastAsia="Verdana"/>
        </w:rPr>
      </w:pPr>
    </w:p>
    <w:p w14:paraId="738DEA80" w14:textId="7C89213A" w:rsidR="006A3F63" w:rsidRPr="00FC4E2F" w:rsidRDefault="006A3F63" w:rsidP="006A3F63">
      <w:pPr>
        <w:pStyle w:val="ListParagraph"/>
        <w:numPr>
          <w:ilvl w:val="2"/>
          <w:numId w:val="9"/>
        </w:numPr>
        <w:spacing w:after="0" w:line="240" w:lineRule="auto"/>
        <w:ind w:left="567" w:hanging="567"/>
        <w:rPr>
          <w:ins w:id="85" w:author="Author"/>
          <w:rFonts w:ascii="Times New Roman" w:eastAsia="Verdana" w:hAnsi="Times New Roman"/>
        </w:rPr>
      </w:pPr>
      <w:ins w:id="86" w:author="Author">
        <w:r w:rsidRPr="00FC4E2F">
          <w:rPr>
            <w:rFonts w:ascii="Times New Roman" w:hAnsi="Times New Roman"/>
          </w:rPr>
          <w:t>Pkt. 4.8</w:t>
        </w:r>
      </w:ins>
    </w:p>
    <w:p w14:paraId="266A2936" w14:textId="77777777" w:rsidR="006A3F63" w:rsidRPr="00996193" w:rsidRDefault="006A3F63" w:rsidP="006A3F63">
      <w:pPr>
        <w:rPr>
          <w:ins w:id="87" w:author="Author"/>
          <w:rFonts w:eastAsia="Verdana"/>
        </w:rPr>
      </w:pPr>
    </w:p>
    <w:p w14:paraId="51BBC812" w14:textId="7DC14278" w:rsidR="006A3F63" w:rsidRPr="00996193" w:rsidRDefault="006A3F63" w:rsidP="006A3F63">
      <w:pPr>
        <w:rPr>
          <w:ins w:id="88" w:author="Author"/>
          <w:rFonts w:eastAsia="Verdana"/>
          <w:b/>
          <w:bCs/>
          <w:u w:val="single"/>
        </w:rPr>
      </w:pPr>
      <w:ins w:id="89" w:author="Author">
        <w:r>
          <w:t xml:space="preserve">Følgende bivirkning skal tilføyes under organklassesystemets kategori "Psykiatriske sykdommer" med frekvens </w:t>
        </w:r>
        <w:r w:rsidR="008851B1">
          <w:t>mindre vanlige</w:t>
        </w:r>
        <w:r>
          <w:t>:</w:t>
        </w:r>
        <w:r w:rsidRPr="00002BC9">
          <w:rPr>
            <w:bCs/>
          </w:rPr>
          <w:t xml:space="preserve"> </w:t>
        </w:r>
        <w:r>
          <w:rPr>
            <w:b/>
            <w:u w:val="single"/>
          </w:rPr>
          <w:t xml:space="preserve">angst </w:t>
        </w:r>
        <w:r>
          <w:t xml:space="preserve">og </w:t>
        </w:r>
        <w:r>
          <w:rPr>
            <w:b/>
            <w:u w:val="single"/>
          </w:rPr>
          <w:t>endret humør.</w:t>
        </w:r>
      </w:ins>
    </w:p>
    <w:p w14:paraId="2BF73102" w14:textId="77777777" w:rsidR="006A3F63" w:rsidRPr="00996193" w:rsidRDefault="006A3F63" w:rsidP="006A3F63">
      <w:pPr>
        <w:rPr>
          <w:ins w:id="90" w:author="Author"/>
          <w:rFonts w:eastAsia="Verdana"/>
        </w:rPr>
      </w:pPr>
    </w:p>
    <w:p w14:paraId="451FE4BB" w14:textId="77777777" w:rsidR="006A3F63" w:rsidRPr="00996193" w:rsidRDefault="006A3F63" w:rsidP="006A3F63">
      <w:pPr>
        <w:rPr>
          <w:ins w:id="91" w:author="Author"/>
          <w:rFonts w:eastAsia="Verdana"/>
          <w:b/>
          <w:bCs/>
        </w:rPr>
      </w:pPr>
      <w:ins w:id="92" w:author="Author">
        <w:r>
          <w:rPr>
            <w:b/>
          </w:rPr>
          <w:t xml:space="preserve">Pakningsvedlegg </w:t>
        </w:r>
      </w:ins>
    </w:p>
    <w:p w14:paraId="7396ACF4" w14:textId="77777777" w:rsidR="006A3F63" w:rsidRPr="00996193" w:rsidRDefault="006A3F63" w:rsidP="006A3F63">
      <w:pPr>
        <w:rPr>
          <w:ins w:id="93" w:author="Author"/>
          <w:rFonts w:eastAsia="Verdana"/>
          <w:b/>
          <w:bCs/>
        </w:rPr>
      </w:pPr>
    </w:p>
    <w:p w14:paraId="7675F05E" w14:textId="77777777" w:rsidR="006A3F63" w:rsidRPr="00996193" w:rsidRDefault="006A3F63" w:rsidP="006A3F63">
      <w:pPr>
        <w:rPr>
          <w:ins w:id="94" w:author="Author"/>
          <w:rFonts w:eastAsia="Verdana"/>
        </w:rPr>
      </w:pPr>
      <w:ins w:id="95" w:author="Author">
        <w:r>
          <w:t>•Avsnitt 4 Mulige bivirkninger</w:t>
        </w:r>
      </w:ins>
    </w:p>
    <w:p w14:paraId="25933D5C" w14:textId="77777777" w:rsidR="006A3F63" w:rsidRPr="00996193" w:rsidRDefault="006A3F63" w:rsidP="006A3F63">
      <w:pPr>
        <w:rPr>
          <w:ins w:id="96" w:author="Author"/>
          <w:rFonts w:eastAsia="Verdana"/>
        </w:rPr>
      </w:pPr>
    </w:p>
    <w:p w14:paraId="1CA5CBF7" w14:textId="77777777" w:rsidR="006A3F63" w:rsidRPr="00996193" w:rsidRDefault="006A3F63" w:rsidP="006A3F63">
      <w:pPr>
        <w:rPr>
          <w:ins w:id="97" w:author="Author"/>
          <w:rFonts w:eastAsia="Verdana"/>
        </w:rPr>
      </w:pPr>
      <w:ins w:id="98" w:author="Author">
        <w:r>
          <w:rPr>
            <w:b/>
          </w:rPr>
          <w:t>Mindre vanlige bivirkninger</w:t>
        </w:r>
        <w:r>
          <w:t xml:space="preserve"> (kan ramme inntil 1 av 100 personer) </w:t>
        </w:r>
      </w:ins>
    </w:p>
    <w:p w14:paraId="1F8E7888" w14:textId="77777777" w:rsidR="006A3F63" w:rsidRPr="00996193" w:rsidRDefault="006A3F63" w:rsidP="006A3F63">
      <w:pPr>
        <w:rPr>
          <w:ins w:id="99" w:author="Author"/>
          <w:rFonts w:eastAsia="Verdana"/>
        </w:rPr>
      </w:pPr>
    </w:p>
    <w:p w14:paraId="37B2BCEB" w14:textId="1414BB98" w:rsidR="006A3F63" w:rsidRPr="00FC4E2F" w:rsidRDefault="00AB3ECC" w:rsidP="006A3F63">
      <w:pPr>
        <w:pStyle w:val="ListParagraph"/>
        <w:numPr>
          <w:ilvl w:val="0"/>
          <w:numId w:val="46"/>
        </w:numPr>
        <w:spacing w:line="240" w:lineRule="auto"/>
        <w:ind w:left="567" w:hanging="567"/>
        <w:rPr>
          <w:ins w:id="100" w:author="Author"/>
          <w:rFonts w:ascii="Times New Roman" w:eastAsia="Verdana" w:hAnsi="Times New Roman"/>
          <w:b/>
          <w:bCs/>
          <w:u w:val="single"/>
        </w:rPr>
      </w:pPr>
      <w:ins w:id="101" w:author="Author">
        <w:r>
          <w:rPr>
            <w:rFonts w:ascii="Times New Roman" w:hAnsi="Times New Roman"/>
            <w:b/>
            <w:u w:val="single"/>
          </w:rPr>
          <w:t>a</w:t>
        </w:r>
        <w:r w:rsidR="006A3F63" w:rsidRPr="00FC4E2F">
          <w:rPr>
            <w:rFonts w:ascii="Times New Roman" w:hAnsi="Times New Roman"/>
            <w:b/>
            <w:u w:val="single"/>
          </w:rPr>
          <w:t xml:space="preserve">ngst </w:t>
        </w:r>
      </w:ins>
    </w:p>
    <w:p w14:paraId="5F065019" w14:textId="18B92AC5" w:rsidR="006A3F63" w:rsidRPr="00FC4E2F" w:rsidRDefault="00AB3ECC" w:rsidP="006A3F63">
      <w:pPr>
        <w:pStyle w:val="ListParagraph"/>
        <w:numPr>
          <w:ilvl w:val="0"/>
          <w:numId w:val="46"/>
        </w:numPr>
        <w:spacing w:after="0" w:line="240" w:lineRule="auto"/>
        <w:ind w:left="567" w:hanging="567"/>
        <w:rPr>
          <w:ins w:id="102" w:author="Author"/>
          <w:rFonts w:ascii="Times New Roman" w:eastAsia="Verdana" w:hAnsi="Times New Roman"/>
          <w:b/>
          <w:bCs/>
          <w:u w:val="single"/>
        </w:rPr>
      </w:pPr>
      <w:ins w:id="103" w:author="Author">
        <w:r>
          <w:rPr>
            <w:rFonts w:ascii="Times New Roman" w:hAnsi="Times New Roman"/>
            <w:b/>
            <w:u w:val="single"/>
          </w:rPr>
          <w:t>e</w:t>
        </w:r>
        <w:r w:rsidR="006A3F63" w:rsidRPr="00FC4E2F">
          <w:rPr>
            <w:rFonts w:ascii="Times New Roman" w:hAnsi="Times New Roman"/>
            <w:b/>
            <w:u w:val="single"/>
          </w:rPr>
          <w:t>ndret humør</w:t>
        </w:r>
      </w:ins>
    </w:p>
    <w:p w14:paraId="103BA8ED" w14:textId="77777777" w:rsidR="006A3F63" w:rsidRPr="00996193" w:rsidRDefault="006A3F63" w:rsidP="006A3F63">
      <w:pPr>
        <w:rPr>
          <w:ins w:id="104" w:author="Author"/>
          <w:rFonts w:eastAsia="Verdana"/>
          <w:b/>
          <w:bCs/>
          <w:u w:val="single"/>
        </w:rPr>
      </w:pPr>
    </w:p>
    <w:p w14:paraId="5BCC3768" w14:textId="77777777" w:rsidR="006A3F63" w:rsidRPr="00996193" w:rsidRDefault="006A3F63" w:rsidP="006A3F63">
      <w:pPr>
        <w:rPr>
          <w:ins w:id="105" w:author="Author"/>
          <w:rFonts w:eastAsia="Verdana"/>
        </w:rPr>
      </w:pPr>
      <w:ins w:id="106" w:author="Author">
        <w:r>
          <w:t>Etter å ha gjennomgått PRACs anbefaling er CHMP enig med PRACs generelle konklusjoner og grunnlag for anbefaling.</w:t>
        </w:r>
      </w:ins>
    </w:p>
    <w:p w14:paraId="44766A2C" w14:textId="77777777" w:rsidR="006A3F63" w:rsidRPr="00A854E9" w:rsidRDefault="006A3F63" w:rsidP="006A3F63">
      <w:pPr>
        <w:rPr>
          <w:ins w:id="107" w:author="Author"/>
          <w:rFonts w:eastAsia="Verdana"/>
        </w:rPr>
      </w:pPr>
    </w:p>
    <w:p w14:paraId="0DD3E837" w14:textId="77777777" w:rsidR="006A3F63" w:rsidRDefault="006A3F63" w:rsidP="006A3F63">
      <w:pPr>
        <w:keepNext/>
        <w:keepLines/>
        <w:rPr>
          <w:ins w:id="108" w:author="Author"/>
          <w:rFonts w:eastAsia="Verdana"/>
          <w:b/>
          <w:bCs/>
        </w:rPr>
      </w:pPr>
      <w:ins w:id="109" w:author="Author">
        <w:r>
          <w:rPr>
            <w:b/>
          </w:rPr>
          <w:lastRenderedPageBreak/>
          <w:t>Grunnlag for endring i vilkårene for markedsføringstillatelsen(e)</w:t>
        </w:r>
      </w:ins>
    </w:p>
    <w:p w14:paraId="15802B5F" w14:textId="77777777" w:rsidR="006A3F63" w:rsidRPr="00A854E9" w:rsidRDefault="006A3F63" w:rsidP="006A3F63">
      <w:pPr>
        <w:keepNext/>
        <w:keepLines/>
        <w:rPr>
          <w:ins w:id="110" w:author="Author"/>
          <w:rFonts w:eastAsia="Verdana"/>
          <w:b/>
          <w:bCs/>
        </w:rPr>
      </w:pPr>
    </w:p>
    <w:p w14:paraId="710CA77D" w14:textId="739AFF93" w:rsidR="006A3F63" w:rsidRDefault="006A3F63" w:rsidP="006A3F63">
      <w:pPr>
        <w:keepNext/>
        <w:keepLines/>
        <w:rPr>
          <w:ins w:id="111" w:author="Author"/>
          <w:rFonts w:eastAsia="Verdana"/>
        </w:rPr>
      </w:pPr>
      <w:ins w:id="112" w:author="Author">
        <w:r>
          <w:t>Basert på de vitenskapelige konklusjonene for apremilast mener CHMP at nytte-/risikoforholdet for legemidler som inneholder apremilast er uforandret, under forutsetning av de foreslåtte endringene i produktinformasjonen.</w:t>
        </w:r>
      </w:ins>
    </w:p>
    <w:p w14:paraId="0D82474C" w14:textId="77777777" w:rsidR="006A3F63" w:rsidRPr="00A854E9" w:rsidRDefault="006A3F63" w:rsidP="006A3F63">
      <w:pPr>
        <w:keepNext/>
        <w:keepLines/>
        <w:rPr>
          <w:ins w:id="113" w:author="Author"/>
          <w:rFonts w:eastAsia="Verdana"/>
        </w:rPr>
      </w:pPr>
    </w:p>
    <w:p w14:paraId="59F5DCD7" w14:textId="77777777" w:rsidR="006A3F63" w:rsidRPr="00A854E9" w:rsidRDefault="006A3F63" w:rsidP="006A3F63">
      <w:pPr>
        <w:keepNext/>
        <w:keepLines/>
        <w:rPr>
          <w:ins w:id="114" w:author="Author"/>
          <w:rFonts w:eastAsia="Verdana"/>
        </w:rPr>
      </w:pPr>
      <w:ins w:id="115" w:author="Author">
        <w:r>
          <w:t>CHMP anbefaler å endre vilkårene for markedsføringstillatelsen(e).</w:t>
        </w:r>
      </w:ins>
    </w:p>
    <w:p w14:paraId="482600B7" w14:textId="77777777" w:rsidR="006A3F63" w:rsidRDefault="006A3F63" w:rsidP="006A3F63">
      <w:pPr>
        <w:rPr>
          <w:ins w:id="116" w:author="Author"/>
        </w:rPr>
      </w:pPr>
    </w:p>
    <w:p w14:paraId="2FF42AB2" w14:textId="050A1D73" w:rsidR="004E65A9" w:rsidRDefault="004E65A9" w:rsidP="003F09AA">
      <w:pPr>
        <w:rPr>
          <w:noProof/>
        </w:rPr>
      </w:pPr>
    </w:p>
    <w:sectPr w:rsidR="004E65A9" w:rsidSect="00026E41">
      <w:footerReference w:type="default" r:id="rId31"/>
      <w:footerReference w:type="first" r:id="rId32"/>
      <w:endnotePr>
        <w:numFmt w:val="decimal"/>
      </w:endnotePr>
      <w:type w:val="continuous"/>
      <w:pgSz w:w="11907" w:h="16839"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9110E" w14:textId="77777777" w:rsidR="003C4A51" w:rsidRDefault="003C4A51">
      <w:r>
        <w:separator/>
      </w:r>
    </w:p>
  </w:endnote>
  <w:endnote w:type="continuationSeparator" w:id="0">
    <w:p w14:paraId="5341AF96" w14:textId="77777777" w:rsidR="003C4A51" w:rsidRDefault="003C4A51">
      <w:r>
        <w:continuationSeparator/>
      </w:r>
    </w:p>
  </w:endnote>
  <w:endnote w:type="continuationNotice" w:id="1">
    <w:p w14:paraId="254041A1" w14:textId="77777777" w:rsidR="003C4A51" w:rsidRDefault="003C4A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280BF" w14:textId="77777777" w:rsidR="004E65A9" w:rsidRDefault="004E65A9" w:rsidP="001415B5">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0</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211E0" w14:textId="77777777" w:rsidR="004E65A9" w:rsidRDefault="004E65A9" w:rsidP="00752007">
    <w:pPr>
      <w:pStyle w:val="Footer"/>
      <w:tabs>
        <w:tab w:val="clear" w:pos="567"/>
        <w:tab w:val="clear" w:pos="4536"/>
        <w:tab w:val="clear" w:pos="8306"/>
      </w:tabs>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0</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52B05" w14:textId="77777777" w:rsidR="003C4A51" w:rsidRDefault="003C4A51">
      <w:r>
        <w:separator/>
      </w:r>
    </w:p>
  </w:footnote>
  <w:footnote w:type="continuationSeparator" w:id="0">
    <w:p w14:paraId="6F0E653E" w14:textId="77777777" w:rsidR="003C4A51" w:rsidRDefault="003C4A51">
      <w:r>
        <w:continuationSeparator/>
      </w:r>
    </w:p>
  </w:footnote>
  <w:footnote w:type="continuationNotice" w:id="1">
    <w:p w14:paraId="6C27E241" w14:textId="77777777" w:rsidR="003C4A51" w:rsidRDefault="003C4A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T_1000x858px" style="width:15.6pt;height:13.2pt;visibility:visible" o:bullet="t">
        <v:imagedata r:id="rId1" o:title="BT_1000x858px"/>
      </v:shape>
    </w:pict>
  </w:numPicBullet>
  <w:abstractNum w:abstractNumId="0" w15:restartNumberingAfterBreak="0">
    <w:nsid w:val="03CB4030"/>
    <w:multiLevelType w:val="hybridMultilevel"/>
    <w:tmpl w:val="17F46BAC"/>
    <w:lvl w:ilvl="0" w:tplc="7AE404DE">
      <w:start w:val="1"/>
      <w:numFmt w:val="bullet"/>
      <w:lvlText w:val=""/>
      <w:lvlJc w:val="left"/>
      <w:pPr>
        <w:tabs>
          <w:tab w:val="num" w:pos="720"/>
        </w:tabs>
        <w:ind w:left="720" w:hanging="360"/>
      </w:pPr>
      <w:rPr>
        <w:rFonts w:ascii="Symbol" w:hAnsi="Symbol" w:hint="default"/>
      </w:rPr>
    </w:lvl>
    <w:lvl w:ilvl="1" w:tplc="FA26492C" w:tentative="1">
      <w:start w:val="1"/>
      <w:numFmt w:val="bullet"/>
      <w:lvlText w:val="o"/>
      <w:lvlJc w:val="left"/>
      <w:pPr>
        <w:tabs>
          <w:tab w:val="num" w:pos="1440"/>
        </w:tabs>
        <w:ind w:left="1440" w:hanging="360"/>
      </w:pPr>
      <w:rPr>
        <w:rFonts w:ascii="Courier New" w:hAnsi="Courier New" w:hint="default"/>
      </w:rPr>
    </w:lvl>
    <w:lvl w:ilvl="2" w:tplc="7C58BCAA" w:tentative="1">
      <w:start w:val="1"/>
      <w:numFmt w:val="bullet"/>
      <w:lvlText w:val=""/>
      <w:lvlJc w:val="left"/>
      <w:pPr>
        <w:tabs>
          <w:tab w:val="num" w:pos="2160"/>
        </w:tabs>
        <w:ind w:left="2160" w:hanging="360"/>
      </w:pPr>
      <w:rPr>
        <w:rFonts w:ascii="Wingdings" w:hAnsi="Wingdings" w:hint="default"/>
      </w:rPr>
    </w:lvl>
    <w:lvl w:ilvl="3" w:tplc="7E8A09BC" w:tentative="1">
      <w:start w:val="1"/>
      <w:numFmt w:val="bullet"/>
      <w:lvlText w:val=""/>
      <w:lvlJc w:val="left"/>
      <w:pPr>
        <w:tabs>
          <w:tab w:val="num" w:pos="2880"/>
        </w:tabs>
        <w:ind w:left="2880" w:hanging="360"/>
      </w:pPr>
      <w:rPr>
        <w:rFonts w:ascii="Symbol" w:hAnsi="Symbol" w:hint="default"/>
      </w:rPr>
    </w:lvl>
    <w:lvl w:ilvl="4" w:tplc="B9E0366E" w:tentative="1">
      <w:start w:val="1"/>
      <w:numFmt w:val="bullet"/>
      <w:lvlText w:val="o"/>
      <w:lvlJc w:val="left"/>
      <w:pPr>
        <w:tabs>
          <w:tab w:val="num" w:pos="3600"/>
        </w:tabs>
        <w:ind w:left="3600" w:hanging="360"/>
      </w:pPr>
      <w:rPr>
        <w:rFonts w:ascii="Courier New" w:hAnsi="Courier New" w:hint="default"/>
      </w:rPr>
    </w:lvl>
    <w:lvl w:ilvl="5" w:tplc="7C9273F2" w:tentative="1">
      <w:start w:val="1"/>
      <w:numFmt w:val="bullet"/>
      <w:lvlText w:val=""/>
      <w:lvlJc w:val="left"/>
      <w:pPr>
        <w:tabs>
          <w:tab w:val="num" w:pos="4320"/>
        </w:tabs>
        <w:ind w:left="4320" w:hanging="360"/>
      </w:pPr>
      <w:rPr>
        <w:rFonts w:ascii="Wingdings" w:hAnsi="Wingdings" w:hint="default"/>
      </w:rPr>
    </w:lvl>
    <w:lvl w:ilvl="6" w:tplc="7E5E5662" w:tentative="1">
      <w:start w:val="1"/>
      <w:numFmt w:val="bullet"/>
      <w:lvlText w:val=""/>
      <w:lvlJc w:val="left"/>
      <w:pPr>
        <w:tabs>
          <w:tab w:val="num" w:pos="5040"/>
        </w:tabs>
        <w:ind w:left="5040" w:hanging="360"/>
      </w:pPr>
      <w:rPr>
        <w:rFonts w:ascii="Symbol" w:hAnsi="Symbol" w:hint="default"/>
      </w:rPr>
    </w:lvl>
    <w:lvl w:ilvl="7" w:tplc="50E24FA6" w:tentative="1">
      <w:start w:val="1"/>
      <w:numFmt w:val="bullet"/>
      <w:lvlText w:val="o"/>
      <w:lvlJc w:val="left"/>
      <w:pPr>
        <w:tabs>
          <w:tab w:val="num" w:pos="5760"/>
        </w:tabs>
        <w:ind w:left="5760" w:hanging="360"/>
      </w:pPr>
      <w:rPr>
        <w:rFonts w:ascii="Courier New" w:hAnsi="Courier New" w:hint="default"/>
      </w:rPr>
    </w:lvl>
    <w:lvl w:ilvl="8" w:tplc="FF749C0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00215"/>
    <w:multiLevelType w:val="hybridMultilevel"/>
    <w:tmpl w:val="13C23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8471C8"/>
    <w:multiLevelType w:val="hybridMultilevel"/>
    <w:tmpl w:val="438E1A14"/>
    <w:lvl w:ilvl="0" w:tplc="4680FA84">
      <w:start w:val="5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5690C"/>
    <w:multiLevelType w:val="hybridMultilevel"/>
    <w:tmpl w:val="00B68832"/>
    <w:lvl w:ilvl="0" w:tplc="B768AB98">
      <w:start w:val="1"/>
      <w:numFmt w:val="bullet"/>
      <w:lvlText w:val=""/>
      <w:lvlJc w:val="left"/>
      <w:pPr>
        <w:ind w:left="720" w:hanging="360"/>
      </w:pPr>
      <w:rPr>
        <w:rFonts w:ascii="Symbol" w:hAnsi="Symbol" w:hint="default"/>
      </w:rPr>
    </w:lvl>
    <w:lvl w:ilvl="1" w:tplc="9428444E" w:tentative="1">
      <w:start w:val="1"/>
      <w:numFmt w:val="bullet"/>
      <w:lvlText w:val="o"/>
      <w:lvlJc w:val="left"/>
      <w:pPr>
        <w:ind w:left="1440" w:hanging="360"/>
      </w:pPr>
      <w:rPr>
        <w:rFonts w:ascii="Courier New" w:hAnsi="Courier New" w:cs="Courier New" w:hint="default"/>
      </w:rPr>
    </w:lvl>
    <w:lvl w:ilvl="2" w:tplc="DD0CD19C" w:tentative="1">
      <w:start w:val="1"/>
      <w:numFmt w:val="bullet"/>
      <w:lvlText w:val=""/>
      <w:lvlJc w:val="left"/>
      <w:pPr>
        <w:ind w:left="2160" w:hanging="360"/>
      </w:pPr>
      <w:rPr>
        <w:rFonts w:ascii="Wingdings" w:hAnsi="Wingdings" w:hint="default"/>
      </w:rPr>
    </w:lvl>
    <w:lvl w:ilvl="3" w:tplc="F788B7A2" w:tentative="1">
      <w:start w:val="1"/>
      <w:numFmt w:val="bullet"/>
      <w:lvlText w:val=""/>
      <w:lvlJc w:val="left"/>
      <w:pPr>
        <w:ind w:left="2880" w:hanging="360"/>
      </w:pPr>
      <w:rPr>
        <w:rFonts w:ascii="Symbol" w:hAnsi="Symbol" w:hint="default"/>
      </w:rPr>
    </w:lvl>
    <w:lvl w:ilvl="4" w:tplc="32AA30E0" w:tentative="1">
      <w:start w:val="1"/>
      <w:numFmt w:val="bullet"/>
      <w:lvlText w:val="o"/>
      <w:lvlJc w:val="left"/>
      <w:pPr>
        <w:ind w:left="3600" w:hanging="360"/>
      </w:pPr>
      <w:rPr>
        <w:rFonts w:ascii="Courier New" w:hAnsi="Courier New" w:cs="Courier New" w:hint="default"/>
      </w:rPr>
    </w:lvl>
    <w:lvl w:ilvl="5" w:tplc="74E4BC32" w:tentative="1">
      <w:start w:val="1"/>
      <w:numFmt w:val="bullet"/>
      <w:lvlText w:val=""/>
      <w:lvlJc w:val="left"/>
      <w:pPr>
        <w:ind w:left="4320" w:hanging="360"/>
      </w:pPr>
      <w:rPr>
        <w:rFonts w:ascii="Wingdings" w:hAnsi="Wingdings" w:hint="default"/>
      </w:rPr>
    </w:lvl>
    <w:lvl w:ilvl="6" w:tplc="5262D232" w:tentative="1">
      <w:start w:val="1"/>
      <w:numFmt w:val="bullet"/>
      <w:lvlText w:val=""/>
      <w:lvlJc w:val="left"/>
      <w:pPr>
        <w:ind w:left="5040" w:hanging="360"/>
      </w:pPr>
      <w:rPr>
        <w:rFonts w:ascii="Symbol" w:hAnsi="Symbol" w:hint="default"/>
      </w:rPr>
    </w:lvl>
    <w:lvl w:ilvl="7" w:tplc="69AC7250" w:tentative="1">
      <w:start w:val="1"/>
      <w:numFmt w:val="bullet"/>
      <w:lvlText w:val="o"/>
      <w:lvlJc w:val="left"/>
      <w:pPr>
        <w:ind w:left="5760" w:hanging="360"/>
      </w:pPr>
      <w:rPr>
        <w:rFonts w:ascii="Courier New" w:hAnsi="Courier New" w:cs="Courier New" w:hint="default"/>
      </w:rPr>
    </w:lvl>
    <w:lvl w:ilvl="8" w:tplc="EEBAD40A" w:tentative="1">
      <w:start w:val="1"/>
      <w:numFmt w:val="bullet"/>
      <w:lvlText w:val=""/>
      <w:lvlJc w:val="left"/>
      <w:pPr>
        <w:ind w:left="6480" w:hanging="360"/>
      </w:pPr>
      <w:rPr>
        <w:rFonts w:ascii="Wingdings" w:hAnsi="Wingdings" w:hint="default"/>
      </w:rPr>
    </w:lvl>
  </w:abstractNum>
  <w:abstractNum w:abstractNumId="4" w15:restartNumberingAfterBreak="0">
    <w:nsid w:val="0B6F637B"/>
    <w:multiLevelType w:val="hybridMultilevel"/>
    <w:tmpl w:val="67E06D40"/>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5" w15:restartNumberingAfterBreak="0">
    <w:nsid w:val="0BB71D3E"/>
    <w:multiLevelType w:val="hybridMultilevel"/>
    <w:tmpl w:val="6818D262"/>
    <w:lvl w:ilvl="0" w:tplc="97DE8818">
      <w:start w:val="1"/>
      <w:numFmt w:val="bullet"/>
      <w:pStyle w:val="StyleBullets"/>
      <w:lvlText w:val=""/>
      <w:lvlJc w:val="left"/>
      <w:pPr>
        <w:ind w:left="1287" w:hanging="360"/>
      </w:pPr>
      <w:rPr>
        <w:rFonts w:ascii="Symbol" w:hAnsi="Symbol" w:hint="default"/>
      </w:rPr>
    </w:lvl>
    <w:lvl w:ilvl="1" w:tplc="48C29D66">
      <w:start w:val="1"/>
      <w:numFmt w:val="bullet"/>
      <w:lvlText w:val="o"/>
      <w:lvlJc w:val="left"/>
      <w:pPr>
        <w:ind w:left="2007" w:hanging="360"/>
      </w:pPr>
      <w:rPr>
        <w:rFonts w:ascii="Courier New" w:hAnsi="Courier New" w:cs="Courier New" w:hint="default"/>
      </w:rPr>
    </w:lvl>
    <w:lvl w:ilvl="2" w:tplc="DFFC6DF2" w:tentative="1">
      <w:start w:val="1"/>
      <w:numFmt w:val="bullet"/>
      <w:lvlText w:val=""/>
      <w:lvlJc w:val="left"/>
      <w:pPr>
        <w:ind w:left="2727" w:hanging="360"/>
      </w:pPr>
      <w:rPr>
        <w:rFonts w:ascii="Wingdings" w:hAnsi="Wingdings" w:hint="default"/>
      </w:rPr>
    </w:lvl>
    <w:lvl w:ilvl="3" w:tplc="80501E3A" w:tentative="1">
      <w:start w:val="1"/>
      <w:numFmt w:val="bullet"/>
      <w:lvlText w:val=""/>
      <w:lvlJc w:val="left"/>
      <w:pPr>
        <w:ind w:left="3447" w:hanging="360"/>
      </w:pPr>
      <w:rPr>
        <w:rFonts w:ascii="Symbol" w:hAnsi="Symbol" w:hint="default"/>
      </w:rPr>
    </w:lvl>
    <w:lvl w:ilvl="4" w:tplc="1C2E8D70" w:tentative="1">
      <w:start w:val="1"/>
      <w:numFmt w:val="bullet"/>
      <w:lvlText w:val="o"/>
      <w:lvlJc w:val="left"/>
      <w:pPr>
        <w:ind w:left="4167" w:hanging="360"/>
      </w:pPr>
      <w:rPr>
        <w:rFonts w:ascii="Courier New" w:hAnsi="Courier New" w:cs="Courier New" w:hint="default"/>
      </w:rPr>
    </w:lvl>
    <w:lvl w:ilvl="5" w:tplc="9A3ED476" w:tentative="1">
      <w:start w:val="1"/>
      <w:numFmt w:val="bullet"/>
      <w:lvlText w:val=""/>
      <w:lvlJc w:val="left"/>
      <w:pPr>
        <w:ind w:left="4887" w:hanging="360"/>
      </w:pPr>
      <w:rPr>
        <w:rFonts w:ascii="Wingdings" w:hAnsi="Wingdings" w:hint="default"/>
      </w:rPr>
    </w:lvl>
    <w:lvl w:ilvl="6" w:tplc="55D2E798" w:tentative="1">
      <w:start w:val="1"/>
      <w:numFmt w:val="bullet"/>
      <w:lvlText w:val=""/>
      <w:lvlJc w:val="left"/>
      <w:pPr>
        <w:ind w:left="5607" w:hanging="360"/>
      </w:pPr>
      <w:rPr>
        <w:rFonts w:ascii="Symbol" w:hAnsi="Symbol" w:hint="default"/>
      </w:rPr>
    </w:lvl>
    <w:lvl w:ilvl="7" w:tplc="3BA0CF4C" w:tentative="1">
      <w:start w:val="1"/>
      <w:numFmt w:val="bullet"/>
      <w:lvlText w:val="o"/>
      <w:lvlJc w:val="left"/>
      <w:pPr>
        <w:ind w:left="6327" w:hanging="360"/>
      </w:pPr>
      <w:rPr>
        <w:rFonts w:ascii="Courier New" w:hAnsi="Courier New" w:cs="Courier New" w:hint="default"/>
      </w:rPr>
    </w:lvl>
    <w:lvl w:ilvl="8" w:tplc="527A72F6" w:tentative="1">
      <w:start w:val="1"/>
      <w:numFmt w:val="bullet"/>
      <w:lvlText w:val=""/>
      <w:lvlJc w:val="left"/>
      <w:pPr>
        <w:ind w:left="7047" w:hanging="360"/>
      </w:pPr>
      <w:rPr>
        <w:rFonts w:ascii="Wingdings" w:hAnsi="Wingdings" w:hint="default"/>
      </w:rPr>
    </w:lvl>
  </w:abstractNum>
  <w:abstractNum w:abstractNumId="6" w15:restartNumberingAfterBreak="0">
    <w:nsid w:val="11CB3D60"/>
    <w:multiLevelType w:val="hybridMultilevel"/>
    <w:tmpl w:val="381E3340"/>
    <w:lvl w:ilvl="0" w:tplc="A238CF38">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8" w15:restartNumberingAfterBreak="0">
    <w:nsid w:val="1A683861"/>
    <w:multiLevelType w:val="hybridMultilevel"/>
    <w:tmpl w:val="27DEF8E4"/>
    <w:lvl w:ilvl="0" w:tplc="3020A948">
      <w:start w:val="1"/>
      <w:numFmt w:val="bullet"/>
      <w:lvlText w:val=""/>
      <w:lvlJc w:val="left"/>
      <w:pPr>
        <w:ind w:left="720" w:hanging="360"/>
      </w:pPr>
      <w:rPr>
        <w:rFonts w:ascii="Symbol" w:hAnsi="Symbol" w:hint="default"/>
      </w:rPr>
    </w:lvl>
    <w:lvl w:ilvl="1" w:tplc="D8A4CECA" w:tentative="1">
      <w:start w:val="1"/>
      <w:numFmt w:val="bullet"/>
      <w:lvlText w:val="o"/>
      <w:lvlJc w:val="left"/>
      <w:pPr>
        <w:ind w:left="1440" w:hanging="360"/>
      </w:pPr>
      <w:rPr>
        <w:rFonts w:ascii="Courier New" w:hAnsi="Courier New" w:cs="Courier New" w:hint="default"/>
      </w:rPr>
    </w:lvl>
    <w:lvl w:ilvl="2" w:tplc="D4F2BF82" w:tentative="1">
      <w:start w:val="1"/>
      <w:numFmt w:val="bullet"/>
      <w:lvlText w:val=""/>
      <w:lvlJc w:val="left"/>
      <w:pPr>
        <w:ind w:left="2160" w:hanging="360"/>
      </w:pPr>
      <w:rPr>
        <w:rFonts w:ascii="Wingdings" w:hAnsi="Wingdings" w:hint="default"/>
      </w:rPr>
    </w:lvl>
    <w:lvl w:ilvl="3" w:tplc="52F4CEE6" w:tentative="1">
      <w:start w:val="1"/>
      <w:numFmt w:val="bullet"/>
      <w:lvlText w:val=""/>
      <w:lvlJc w:val="left"/>
      <w:pPr>
        <w:ind w:left="2880" w:hanging="360"/>
      </w:pPr>
      <w:rPr>
        <w:rFonts w:ascii="Symbol" w:hAnsi="Symbol" w:hint="default"/>
      </w:rPr>
    </w:lvl>
    <w:lvl w:ilvl="4" w:tplc="EDFC8BA4" w:tentative="1">
      <w:start w:val="1"/>
      <w:numFmt w:val="bullet"/>
      <w:lvlText w:val="o"/>
      <w:lvlJc w:val="left"/>
      <w:pPr>
        <w:ind w:left="3600" w:hanging="360"/>
      </w:pPr>
      <w:rPr>
        <w:rFonts w:ascii="Courier New" w:hAnsi="Courier New" w:cs="Courier New" w:hint="default"/>
      </w:rPr>
    </w:lvl>
    <w:lvl w:ilvl="5" w:tplc="764E223A" w:tentative="1">
      <w:start w:val="1"/>
      <w:numFmt w:val="bullet"/>
      <w:lvlText w:val=""/>
      <w:lvlJc w:val="left"/>
      <w:pPr>
        <w:ind w:left="4320" w:hanging="360"/>
      </w:pPr>
      <w:rPr>
        <w:rFonts w:ascii="Wingdings" w:hAnsi="Wingdings" w:hint="default"/>
      </w:rPr>
    </w:lvl>
    <w:lvl w:ilvl="6" w:tplc="762250B6" w:tentative="1">
      <w:start w:val="1"/>
      <w:numFmt w:val="bullet"/>
      <w:lvlText w:val=""/>
      <w:lvlJc w:val="left"/>
      <w:pPr>
        <w:ind w:left="5040" w:hanging="360"/>
      </w:pPr>
      <w:rPr>
        <w:rFonts w:ascii="Symbol" w:hAnsi="Symbol" w:hint="default"/>
      </w:rPr>
    </w:lvl>
    <w:lvl w:ilvl="7" w:tplc="DAD809B0" w:tentative="1">
      <w:start w:val="1"/>
      <w:numFmt w:val="bullet"/>
      <w:lvlText w:val="o"/>
      <w:lvlJc w:val="left"/>
      <w:pPr>
        <w:ind w:left="5760" w:hanging="360"/>
      </w:pPr>
      <w:rPr>
        <w:rFonts w:ascii="Courier New" w:hAnsi="Courier New" w:cs="Courier New" w:hint="default"/>
      </w:rPr>
    </w:lvl>
    <w:lvl w:ilvl="8" w:tplc="E95042EA" w:tentative="1">
      <w:start w:val="1"/>
      <w:numFmt w:val="bullet"/>
      <w:lvlText w:val=""/>
      <w:lvlJc w:val="left"/>
      <w:pPr>
        <w:ind w:left="6480" w:hanging="360"/>
      </w:pPr>
      <w:rPr>
        <w:rFonts w:ascii="Wingdings" w:hAnsi="Wingdings" w:hint="default"/>
      </w:rPr>
    </w:lvl>
  </w:abstractNum>
  <w:abstractNum w:abstractNumId="9" w15:restartNumberingAfterBreak="0">
    <w:nsid w:val="1D697DE2"/>
    <w:multiLevelType w:val="hybridMultilevel"/>
    <w:tmpl w:val="AF84F394"/>
    <w:lvl w:ilvl="0" w:tplc="0DF4A8AA">
      <w:start w:val="1"/>
      <w:numFmt w:val="bullet"/>
      <w:lvlText w:val=""/>
      <w:lvlJc w:val="left"/>
      <w:pPr>
        <w:ind w:left="720" w:hanging="360"/>
      </w:pPr>
      <w:rPr>
        <w:rFonts w:ascii="Symbol" w:hAnsi="Symbol" w:hint="default"/>
      </w:rPr>
    </w:lvl>
    <w:lvl w:ilvl="1" w:tplc="2FC05DAA">
      <w:start w:val="1"/>
      <w:numFmt w:val="bullet"/>
      <w:lvlText w:val="o"/>
      <w:lvlJc w:val="left"/>
      <w:pPr>
        <w:ind w:left="1440" w:hanging="360"/>
      </w:pPr>
      <w:rPr>
        <w:rFonts w:ascii="Courier New" w:hAnsi="Courier New" w:hint="default"/>
      </w:rPr>
    </w:lvl>
    <w:lvl w:ilvl="2" w:tplc="AFC48170" w:tentative="1">
      <w:start w:val="1"/>
      <w:numFmt w:val="bullet"/>
      <w:lvlText w:val=""/>
      <w:lvlJc w:val="left"/>
      <w:pPr>
        <w:ind w:left="2160" w:hanging="360"/>
      </w:pPr>
      <w:rPr>
        <w:rFonts w:ascii="Wingdings" w:hAnsi="Wingdings" w:hint="default"/>
      </w:rPr>
    </w:lvl>
    <w:lvl w:ilvl="3" w:tplc="2D50A122" w:tentative="1">
      <w:start w:val="1"/>
      <w:numFmt w:val="bullet"/>
      <w:lvlText w:val=""/>
      <w:lvlJc w:val="left"/>
      <w:pPr>
        <w:ind w:left="2880" w:hanging="360"/>
      </w:pPr>
      <w:rPr>
        <w:rFonts w:ascii="Symbol" w:hAnsi="Symbol" w:hint="default"/>
      </w:rPr>
    </w:lvl>
    <w:lvl w:ilvl="4" w:tplc="0EF65B2A" w:tentative="1">
      <w:start w:val="1"/>
      <w:numFmt w:val="bullet"/>
      <w:lvlText w:val="o"/>
      <w:lvlJc w:val="left"/>
      <w:pPr>
        <w:ind w:left="3600" w:hanging="360"/>
      </w:pPr>
      <w:rPr>
        <w:rFonts w:ascii="Courier New" w:hAnsi="Courier New" w:hint="default"/>
      </w:rPr>
    </w:lvl>
    <w:lvl w:ilvl="5" w:tplc="B088BDD0" w:tentative="1">
      <w:start w:val="1"/>
      <w:numFmt w:val="bullet"/>
      <w:lvlText w:val=""/>
      <w:lvlJc w:val="left"/>
      <w:pPr>
        <w:ind w:left="4320" w:hanging="360"/>
      </w:pPr>
      <w:rPr>
        <w:rFonts w:ascii="Wingdings" w:hAnsi="Wingdings" w:hint="default"/>
      </w:rPr>
    </w:lvl>
    <w:lvl w:ilvl="6" w:tplc="43A0B26A" w:tentative="1">
      <w:start w:val="1"/>
      <w:numFmt w:val="bullet"/>
      <w:lvlText w:val=""/>
      <w:lvlJc w:val="left"/>
      <w:pPr>
        <w:ind w:left="5040" w:hanging="360"/>
      </w:pPr>
      <w:rPr>
        <w:rFonts w:ascii="Symbol" w:hAnsi="Symbol" w:hint="default"/>
      </w:rPr>
    </w:lvl>
    <w:lvl w:ilvl="7" w:tplc="1B8E8138" w:tentative="1">
      <w:start w:val="1"/>
      <w:numFmt w:val="bullet"/>
      <w:lvlText w:val="o"/>
      <w:lvlJc w:val="left"/>
      <w:pPr>
        <w:ind w:left="5760" w:hanging="360"/>
      </w:pPr>
      <w:rPr>
        <w:rFonts w:ascii="Courier New" w:hAnsi="Courier New" w:hint="default"/>
      </w:rPr>
    </w:lvl>
    <w:lvl w:ilvl="8" w:tplc="E88CF3C6" w:tentative="1">
      <w:start w:val="1"/>
      <w:numFmt w:val="bullet"/>
      <w:lvlText w:val=""/>
      <w:lvlJc w:val="left"/>
      <w:pPr>
        <w:ind w:left="6480" w:hanging="360"/>
      </w:pPr>
      <w:rPr>
        <w:rFonts w:ascii="Wingdings" w:hAnsi="Wingdings" w:hint="default"/>
      </w:rPr>
    </w:lvl>
  </w:abstractNum>
  <w:abstractNum w:abstractNumId="10" w15:restartNumberingAfterBreak="0">
    <w:nsid w:val="210F6398"/>
    <w:multiLevelType w:val="hybridMultilevel"/>
    <w:tmpl w:val="28245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05FD3"/>
    <w:multiLevelType w:val="hybridMultilevel"/>
    <w:tmpl w:val="E9285520"/>
    <w:lvl w:ilvl="0" w:tplc="EB20DC9A">
      <w:start w:val="1"/>
      <w:numFmt w:val="bullet"/>
      <w:lvlText w:val=""/>
      <w:lvlJc w:val="left"/>
      <w:pPr>
        <w:ind w:left="720" w:hanging="360"/>
      </w:pPr>
      <w:rPr>
        <w:rFonts w:ascii="Symbol" w:hAnsi="Symbol" w:hint="default"/>
      </w:rPr>
    </w:lvl>
    <w:lvl w:ilvl="1" w:tplc="C40C8604" w:tentative="1">
      <w:start w:val="1"/>
      <w:numFmt w:val="bullet"/>
      <w:lvlText w:val="o"/>
      <w:lvlJc w:val="left"/>
      <w:pPr>
        <w:ind w:left="1440" w:hanging="360"/>
      </w:pPr>
      <w:rPr>
        <w:rFonts w:ascii="Courier New" w:hAnsi="Courier New" w:cs="Courier New" w:hint="default"/>
      </w:rPr>
    </w:lvl>
    <w:lvl w:ilvl="2" w:tplc="AE16EE9E" w:tentative="1">
      <w:start w:val="1"/>
      <w:numFmt w:val="bullet"/>
      <w:lvlText w:val=""/>
      <w:lvlJc w:val="left"/>
      <w:pPr>
        <w:ind w:left="2160" w:hanging="360"/>
      </w:pPr>
      <w:rPr>
        <w:rFonts w:ascii="Wingdings" w:hAnsi="Wingdings" w:hint="default"/>
      </w:rPr>
    </w:lvl>
    <w:lvl w:ilvl="3" w:tplc="B010C12C" w:tentative="1">
      <w:start w:val="1"/>
      <w:numFmt w:val="bullet"/>
      <w:lvlText w:val=""/>
      <w:lvlJc w:val="left"/>
      <w:pPr>
        <w:ind w:left="2880" w:hanging="360"/>
      </w:pPr>
      <w:rPr>
        <w:rFonts w:ascii="Symbol" w:hAnsi="Symbol" w:hint="default"/>
      </w:rPr>
    </w:lvl>
    <w:lvl w:ilvl="4" w:tplc="2584A3DC" w:tentative="1">
      <w:start w:val="1"/>
      <w:numFmt w:val="bullet"/>
      <w:lvlText w:val="o"/>
      <w:lvlJc w:val="left"/>
      <w:pPr>
        <w:ind w:left="3600" w:hanging="360"/>
      </w:pPr>
      <w:rPr>
        <w:rFonts w:ascii="Courier New" w:hAnsi="Courier New" w:cs="Courier New" w:hint="default"/>
      </w:rPr>
    </w:lvl>
    <w:lvl w:ilvl="5" w:tplc="A4C496BE" w:tentative="1">
      <w:start w:val="1"/>
      <w:numFmt w:val="bullet"/>
      <w:lvlText w:val=""/>
      <w:lvlJc w:val="left"/>
      <w:pPr>
        <w:ind w:left="4320" w:hanging="360"/>
      </w:pPr>
      <w:rPr>
        <w:rFonts w:ascii="Wingdings" w:hAnsi="Wingdings" w:hint="default"/>
      </w:rPr>
    </w:lvl>
    <w:lvl w:ilvl="6" w:tplc="5D7836C2" w:tentative="1">
      <w:start w:val="1"/>
      <w:numFmt w:val="bullet"/>
      <w:lvlText w:val=""/>
      <w:lvlJc w:val="left"/>
      <w:pPr>
        <w:ind w:left="5040" w:hanging="360"/>
      </w:pPr>
      <w:rPr>
        <w:rFonts w:ascii="Symbol" w:hAnsi="Symbol" w:hint="default"/>
      </w:rPr>
    </w:lvl>
    <w:lvl w:ilvl="7" w:tplc="0764CAAC" w:tentative="1">
      <w:start w:val="1"/>
      <w:numFmt w:val="bullet"/>
      <w:lvlText w:val="o"/>
      <w:lvlJc w:val="left"/>
      <w:pPr>
        <w:ind w:left="5760" w:hanging="360"/>
      </w:pPr>
      <w:rPr>
        <w:rFonts w:ascii="Courier New" w:hAnsi="Courier New" w:cs="Courier New" w:hint="default"/>
      </w:rPr>
    </w:lvl>
    <w:lvl w:ilvl="8" w:tplc="D264C4F8" w:tentative="1">
      <w:start w:val="1"/>
      <w:numFmt w:val="bullet"/>
      <w:lvlText w:val=""/>
      <w:lvlJc w:val="left"/>
      <w:pPr>
        <w:ind w:left="6480" w:hanging="360"/>
      </w:pPr>
      <w:rPr>
        <w:rFonts w:ascii="Wingdings" w:hAnsi="Wingdings" w:hint="default"/>
      </w:rPr>
    </w:lvl>
  </w:abstractNum>
  <w:abstractNum w:abstractNumId="12" w15:restartNumberingAfterBreak="0">
    <w:nsid w:val="28DB0E86"/>
    <w:multiLevelType w:val="hybridMultilevel"/>
    <w:tmpl w:val="04989C54"/>
    <w:lvl w:ilvl="0" w:tplc="5176B540">
      <w:start w:val="1"/>
      <w:numFmt w:val="upperLetter"/>
      <w:lvlText w:val="%1."/>
      <w:lvlJc w:val="left"/>
      <w:pPr>
        <w:ind w:left="1689" w:hanging="555"/>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13" w15:restartNumberingAfterBreak="0">
    <w:nsid w:val="2A942C16"/>
    <w:multiLevelType w:val="hybridMultilevel"/>
    <w:tmpl w:val="9670B7DA"/>
    <w:lvl w:ilvl="0" w:tplc="D714AA30">
      <w:start w:val="1"/>
      <w:numFmt w:val="decimal"/>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A92C5E"/>
    <w:multiLevelType w:val="hybridMultilevel"/>
    <w:tmpl w:val="B4A00F4A"/>
    <w:lvl w:ilvl="0" w:tplc="B3B83258">
      <w:start w:val="1"/>
      <w:numFmt w:val="bullet"/>
      <w:lvlText w:val=""/>
      <w:lvlJc w:val="left"/>
      <w:pPr>
        <w:ind w:left="360" w:hanging="360"/>
      </w:pPr>
      <w:rPr>
        <w:rFonts w:ascii="Symbol" w:hAnsi="Symbol" w:hint="default"/>
      </w:rPr>
    </w:lvl>
    <w:lvl w:ilvl="1" w:tplc="B524D84A" w:tentative="1">
      <w:start w:val="1"/>
      <w:numFmt w:val="bullet"/>
      <w:lvlText w:val="o"/>
      <w:lvlJc w:val="left"/>
      <w:pPr>
        <w:ind w:left="1080" w:hanging="360"/>
      </w:pPr>
      <w:rPr>
        <w:rFonts w:ascii="Courier New" w:hAnsi="Courier New" w:cs="Courier New" w:hint="default"/>
      </w:rPr>
    </w:lvl>
    <w:lvl w:ilvl="2" w:tplc="2C68F7CC" w:tentative="1">
      <w:start w:val="1"/>
      <w:numFmt w:val="bullet"/>
      <w:lvlText w:val=""/>
      <w:lvlJc w:val="left"/>
      <w:pPr>
        <w:ind w:left="1800" w:hanging="360"/>
      </w:pPr>
      <w:rPr>
        <w:rFonts w:ascii="Wingdings" w:hAnsi="Wingdings" w:hint="default"/>
      </w:rPr>
    </w:lvl>
    <w:lvl w:ilvl="3" w:tplc="179E77A8" w:tentative="1">
      <w:start w:val="1"/>
      <w:numFmt w:val="bullet"/>
      <w:lvlText w:val=""/>
      <w:lvlJc w:val="left"/>
      <w:pPr>
        <w:ind w:left="2520" w:hanging="360"/>
      </w:pPr>
      <w:rPr>
        <w:rFonts w:ascii="Symbol" w:hAnsi="Symbol" w:hint="default"/>
      </w:rPr>
    </w:lvl>
    <w:lvl w:ilvl="4" w:tplc="E6ACDEEA" w:tentative="1">
      <w:start w:val="1"/>
      <w:numFmt w:val="bullet"/>
      <w:lvlText w:val="o"/>
      <w:lvlJc w:val="left"/>
      <w:pPr>
        <w:ind w:left="3240" w:hanging="360"/>
      </w:pPr>
      <w:rPr>
        <w:rFonts w:ascii="Courier New" w:hAnsi="Courier New" w:cs="Courier New" w:hint="default"/>
      </w:rPr>
    </w:lvl>
    <w:lvl w:ilvl="5" w:tplc="37DA18C6" w:tentative="1">
      <w:start w:val="1"/>
      <w:numFmt w:val="bullet"/>
      <w:lvlText w:val=""/>
      <w:lvlJc w:val="left"/>
      <w:pPr>
        <w:ind w:left="3960" w:hanging="360"/>
      </w:pPr>
      <w:rPr>
        <w:rFonts w:ascii="Wingdings" w:hAnsi="Wingdings" w:hint="default"/>
      </w:rPr>
    </w:lvl>
    <w:lvl w:ilvl="6" w:tplc="B922E212" w:tentative="1">
      <w:start w:val="1"/>
      <w:numFmt w:val="bullet"/>
      <w:lvlText w:val=""/>
      <w:lvlJc w:val="left"/>
      <w:pPr>
        <w:ind w:left="4680" w:hanging="360"/>
      </w:pPr>
      <w:rPr>
        <w:rFonts w:ascii="Symbol" w:hAnsi="Symbol" w:hint="default"/>
      </w:rPr>
    </w:lvl>
    <w:lvl w:ilvl="7" w:tplc="5C8CEE5A" w:tentative="1">
      <w:start w:val="1"/>
      <w:numFmt w:val="bullet"/>
      <w:lvlText w:val="o"/>
      <w:lvlJc w:val="left"/>
      <w:pPr>
        <w:ind w:left="5400" w:hanging="360"/>
      </w:pPr>
      <w:rPr>
        <w:rFonts w:ascii="Courier New" w:hAnsi="Courier New" w:cs="Courier New" w:hint="default"/>
      </w:rPr>
    </w:lvl>
    <w:lvl w:ilvl="8" w:tplc="A7A2686C" w:tentative="1">
      <w:start w:val="1"/>
      <w:numFmt w:val="bullet"/>
      <w:lvlText w:val=""/>
      <w:lvlJc w:val="left"/>
      <w:pPr>
        <w:ind w:left="6120" w:hanging="360"/>
      </w:pPr>
      <w:rPr>
        <w:rFonts w:ascii="Wingdings" w:hAnsi="Wingdings" w:hint="default"/>
      </w:rPr>
    </w:lvl>
  </w:abstractNum>
  <w:abstractNum w:abstractNumId="15" w15:restartNumberingAfterBreak="0">
    <w:nsid w:val="2D491006"/>
    <w:multiLevelType w:val="hybridMultilevel"/>
    <w:tmpl w:val="C032BED4"/>
    <w:lvl w:ilvl="0" w:tplc="E424DFBA">
      <w:start w:val="1"/>
      <w:numFmt w:val="bullet"/>
      <w:lvlText w:val=""/>
      <w:lvlJc w:val="left"/>
      <w:pPr>
        <w:ind w:left="720" w:hanging="360"/>
      </w:pPr>
      <w:rPr>
        <w:rFonts w:ascii="Symbol" w:hAnsi="Symbol" w:hint="default"/>
      </w:rPr>
    </w:lvl>
    <w:lvl w:ilvl="1" w:tplc="68EED80E" w:tentative="1">
      <w:start w:val="1"/>
      <w:numFmt w:val="bullet"/>
      <w:lvlText w:val="o"/>
      <w:lvlJc w:val="left"/>
      <w:pPr>
        <w:ind w:left="1440" w:hanging="360"/>
      </w:pPr>
      <w:rPr>
        <w:rFonts w:ascii="Courier New" w:hAnsi="Courier New" w:cs="Courier New" w:hint="default"/>
      </w:rPr>
    </w:lvl>
    <w:lvl w:ilvl="2" w:tplc="3232FB6C" w:tentative="1">
      <w:start w:val="1"/>
      <w:numFmt w:val="bullet"/>
      <w:lvlText w:val=""/>
      <w:lvlJc w:val="left"/>
      <w:pPr>
        <w:ind w:left="2160" w:hanging="360"/>
      </w:pPr>
      <w:rPr>
        <w:rFonts w:ascii="Wingdings" w:hAnsi="Wingdings" w:hint="default"/>
      </w:rPr>
    </w:lvl>
    <w:lvl w:ilvl="3" w:tplc="EA9CF93C" w:tentative="1">
      <w:start w:val="1"/>
      <w:numFmt w:val="bullet"/>
      <w:lvlText w:val=""/>
      <w:lvlJc w:val="left"/>
      <w:pPr>
        <w:ind w:left="2880" w:hanging="360"/>
      </w:pPr>
      <w:rPr>
        <w:rFonts w:ascii="Symbol" w:hAnsi="Symbol" w:hint="default"/>
      </w:rPr>
    </w:lvl>
    <w:lvl w:ilvl="4" w:tplc="3AD20A86" w:tentative="1">
      <w:start w:val="1"/>
      <w:numFmt w:val="bullet"/>
      <w:lvlText w:val="o"/>
      <w:lvlJc w:val="left"/>
      <w:pPr>
        <w:ind w:left="3600" w:hanging="360"/>
      </w:pPr>
      <w:rPr>
        <w:rFonts w:ascii="Courier New" w:hAnsi="Courier New" w:cs="Courier New" w:hint="default"/>
      </w:rPr>
    </w:lvl>
    <w:lvl w:ilvl="5" w:tplc="2A88135E" w:tentative="1">
      <w:start w:val="1"/>
      <w:numFmt w:val="bullet"/>
      <w:lvlText w:val=""/>
      <w:lvlJc w:val="left"/>
      <w:pPr>
        <w:ind w:left="4320" w:hanging="360"/>
      </w:pPr>
      <w:rPr>
        <w:rFonts w:ascii="Wingdings" w:hAnsi="Wingdings" w:hint="default"/>
      </w:rPr>
    </w:lvl>
    <w:lvl w:ilvl="6" w:tplc="403CB50E" w:tentative="1">
      <w:start w:val="1"/>
      <w:numFmt w:val="bullet"/>
      <w:lvlText w:val=""/>
      <w:lvlJc w:val="left"/>
      <w:pPr>
        <w:ind w:left="5040" w:hanging="360"/>
      </w:pPr>
      <w:rPr>
        <w:rFonts w:ascii="Symbol" w:hAnsi="Symbol" w:hint="default"/>
      </w:rPr>
    </w:lvl>
    <w:lvl w:ilvl="7" w:tplc="7CF43B78" w:tentative="1">
      <w:start w:val="1"/>
      <w:numFmt w:val="bullet"/>
      <w:lvlText w:val="o"/>
      <w:lvlJc w:val="left"/>
      <w:pPr>
        <w:ind w:left="5760" w:hanging="360"/>
      </w:pPr>
      <w:rPr>
        <w:rFonts w:ascii="Courier New" w:hAnsi="Courier New" w:cs="Courier New" w:hint="default"/>
      </w:rPr>
    </w:lvl>
    <w:lvl w:ilvl="8" w:tplc="CCD0E94C" w:tentative="1">
      <w:start w:val="1"/>
      <w:numFmt w:val="bullet"/>
      <w:lvlText w:val=""/>
      <w:lvlJc w:val="left"/>
      <w:pPr>
        <w:ind w:left="6480" w:hanging="360"/>
      </w:pPr>
      <w:rPr>
        <w:rFonts w:ascii="Wingdings" w:hAnsi="Wingdings" w:hint="default"/>
      </w:rPr>
    </w:lvl>
  </w:abstractNum>
  <w:abstractNum w:abstractNumId="16" w15:restartNumberingAfterBreak="0">
    <w:nsid w:val="2E8266E5"/>
    <w:multiLevelType w:val="hybridMultilevel"/>
    <w:tmpl w:val="797C24F0"/>
    <w:lvl w:ilvl="0" w:tplc="28E41210">
      <w:start w:val="1"/>
      <w:numFmt w:val="bullet"/>
      <w:lvlText w:val=""/>
      <w:lvlJc w:val="left"/>
      <w:pPr>
        <w:ind w:left="360" w:hanging="360"/>
      </w:pPr>
      <w:rPr>
        <w:rFonts w:ascii="Symbol" w:hAnsi="Symbol"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17" w15:restartNumberingAfterBreak="0">
    <w:nsid w:val="32412EFD"/>
    <w:multiLevelType w:val="hybridMultilevel"/>
    <w:tmpl w:val="CB703640"/>
    <w:lvl w:ilvl="0" w:tplc="08809278">
      <w:start w:val="1"/>
      <w:numFmt w:val="bullet"/>
      <w:lvlText w:val=""/>
      <w:lvlJc w:val="left"/>
      <w:pPr>
        <w:ind w:left="1287" w:hanging="360"/>
      </w:pPr>
      <w:rPr>
        <w:rFonts w:ascii="Symbol" w:hAnsi="Symbol" w:hint="default"/>
      </w:rPr>
    </w:lvl>
    <w:lvl w:ilvl="1" w:tplc="7E3EA990">
      <w:start w:val="1"/>
      <w:numFmt w:val="bullet"/>
      <w:lvlText w:val="-"/>
      <w:lvlJc w:val="left"/>
      <w:pPr>
        <w:ind w:left="2007" w:hanging="360"/>
      </w:pPr>
      <w:rPr>
        <w:rFonts w:hint="default"/>
      </w:rPr>
    </w:lvl>
    <w:lvl w:ilvl="2" w:tplc="67BAC136">
      <w:start w:val="1"/>
      <w:numFmt w:val="bullet"/>
      <w:lvlText w:val=""/>
      <w:lvlJc w:val="left"/>
      <w:pPr>
        <w:ind w:left="2727" w:hanging="360"/>
      </w:pPr>
      <w:rPr>
        <w:rFonts w:ascii="Wingdings" w:hAnsi="Wingdings" w:hint="default"/>
      </w:rPr>
    </w:lvl>
    <w:lvl w:ilvl="3" w:tplc="CF58F16E" w:tentative="1">
      <w:start w:val="1"/>
      <w:numFmt w:val="bullet"/>
      <w:lvlText w:val=""/>
      <w:lvlJc w:val="left"/>
      <w:pPr>
        <w:ind w:left="3447" w:hanging="360"/>
      </w:pPr>
      <w:rPr>
        <w:rFonts w:ascii="Symbol" w:hAnsi="Symbol" w:hint="default"/>
      </w:rPr>
    </w:lvl>
    <w:lvl w:ilvl="4" w:tplc="BFF84612" w:tentative="1">
      <w:start w:val="1"/>
      <w:numFmt w:val="bullet"/>
      <w:lvlText w:val="o"/>
      <w:lvlJc w:val="left"/>
      <w:pPr>
        <w:ind w:left="4167" w:hanging="360"/>
      </w:pPr>
      <w:rPr>
        <w:rFonts w:ascii="Courier New" w:hAnsi="Courier New" w:cs="Courier New" w:hint="default"/>
      </w:rPr>
    </w:lvl>
    <w:lvl w:ilvl="5" w:tplc="7326DCC6" w:tentative="1">
      <w:start w:val="1"/>
      <w:numFmt w:val="bullet"/>
      <w:lvlText w:val=""/>
      <w:lvlJc w:val="left"/>
      <w:pPr>
        <w:ind w:left="4887" w:hanging="360"/>
      </w:pPr>
      <w:rPr>
        <w:rFonts w:ascii="Wingdings" w:hAnsi="Wingdings" w:hint="default"/>
      </w:rPr>
    </w:lvl>
    <w:lvl w:ilvl="6" w:tplc="44DE7192" w:tentative="1">
      <w:start w:val="1"/>
      <w:numFmt w:val="bullet"/>
      <w:lvlText w:val=""/>
      <w:lvlJc w:val="left"/>
      <w:pPr>
        <w:ind w:left="5607" w:hanging="360"/>
      </w:pPr>
      <w:rPr>
        <w:rFonts w:ascii="Symbol" w:hAnsi="Symbol" w:hint="default"/>
      </w:rPr>
    </w:lvl>
    <w:lvl w:ilvl="7" w:tplc="66E00928" w:tentative="1">
      <w:start w:val="1"/>
      <w:numFmt w:val="bullet"/>
      <w:lvlText w:val="o"/>
      <w:lvlJc w:val="left"/>
      <w:pPr>
        <w:ind w:left="6327" w:hanging="360"/>
      </w:pPr>
      <w:rPr>
        <w:rFonts w:ascii="Courier New" w:hAnsi="Courier New" w:cs="Courier New" w:hint="default"/>
      </w:rPr>
    </w:lvl>
    <w:lvl w:ilvl="8" w:tplc="A972F00C" w:tentative="1">
      <w:start w:val="1"/>
      <w:numFmt w:val="bullet"/>
      <w:lvlText w:val=""/>
      <w:lvlJc w:val="left"/>
      <w:pPr>
        <w:ind w:left="7047" w:hanging="360"/>
      </w:pPr>
      <w:rPr>
        <w:rFonts w:ascii="Wingdings" w:hAnsi="Wingdings" w:hint="default"/>
      </w:rPr>
    </w:lvl>
  </w:abstractNum>
  <w:abstractNum w:abstractNumId="18" w15:restartNumberingAfterBreak="0">
    <w:nsid w:val="32A34AD8"/>
    <w:multiLevelType w:val="hybridMultilevel"/>
    <w:tmpl w:val="F440EFC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3051051"/>
    <w:multiLevelType w:val="hybridMultilevel"/>
    <w:tmpl w:val="57A6E990"/>
    <w:lvl w:ilvl="0" w:tplc="336AF054">
      <w:start w:val="1"/>
      <w:numFmt w:val="bullet"/>
      <w:lvlText w:val="-"/>
      <w:lvlJc w:val="left"/>
      <w:pPr>
        <w:ind w:left="720" w:hanging="360"/>
      </w:pPr>
      <w:rPr>
        <w:rFonts w:hint="default"/>
      </w:rPr>
    </w:lvl>
    <w:lvl w:ilvl="1" w:tplc="4A04FF44">
      <w:start w:val="1"/>
      <w:numFmt w:val="bullet"/>
      <w:lvlText w:val="o"/>
      <w:lvlJc w:val="left"/>
      <w:pPr>
        <w:ind w:left="1440" w:hanging="360"/>
      </w:pPr>
      <w:rPr>
        <w:rFonts w:ascii="Courier New" w:hAnsi="Courier New" w:cs="Courier New" w:hint="default"/>
      </w:rPr>
    </w:lvl>
    <w:lvl w:ilvl="2" w:tplc="8AA2EAD8" w:tentative="1">
      <w:start w:val="1"/>
      <w:numFmt w:val="bullet"/>
      <w:lvlText w:val=""/>
      <w:lvlJc w:val="left"/>
      <w:pPr>
        <w:ind w:left="2160" w:hanging="360"/>
      </w:pPr>
      <w:rPr>
        <w:rFonts w:ascii="Wingdings" w:hAnsi="Wingdings" w:hint="default"/>
      </w:rPr>
    </w:lvl>
    <w:lvl w:ilvl="3" w:tplc="12AE2036" w:tentative="1">
      <w:start w:val="1"/>
      <w:numFmt w:val="bullet"/>
      <w:lvlText w:val=""/>
      <w:lvlJc w:val="left"/>
      <w:pPr>
        <w:ind w:left="2880" w:hanging="360"/>
      </w:pPr>
      <w:rPr>
        <w:rFonts w:ascii="Symbol" w:hAnsi="Symbol" w:hint="default"/>
      </w:rPr>
    </w:lvl>
    <w:lvl w:ilvl="4" w:tplc="2EB0A684" w:tentative="1">
      <w:start w:val="1"/>
      <w:numFmt w:val="bullet"/>
      <w:lvlText w:val="o"/>
      <w:lvlJc w:val="left"/>
      <w:pPr>
        <w:ind w:left="3600" w:hanging="360"/>
      </w:pPr>
      <w:rPr>
        <w:rFonts w:ascii="Courier New" w:hAnsi="Courier New" w:cs="Courier New" w:hint="default"/>
      </w:rPr>
    </w:lvl>
    <w:lvl w:ilvl="5" w:tplc="8B607302" w:tentative="1">
      <w:start w:val="1"/>
      <w:numFmt w:val="bullet"/>
      <w:lvlText w:val=""/>
      <w:lvlJc w:val="left"/>
      <w:pPr>
        <w:ind w:left="4320" w:hanging="360"/>
      </w:pPr>
      <w:rPr>
        <w:rFonts w:ascii="Wingdings" w:hAnsi="Wingdings" w:hint="default"/>
      </w:rPr>
    </w:lvl>
    <w:lvl w:ilvl="6" w:tplc="83360CF6" w:tentative="1">
      <w:start w:val="1"/>
      <w:numFmt w:val="bullet"/>
      <w:lvlText w:val=""/>
      <w:lvlJc w:val="left"/>
      <w:pPr>
        <w:ind w:left="5040" w:hanging="360"/>
      </w:pPr>
      <w:rPr>
        <w:rFonts w:ascii="Symbol" w:hAnsi="Symbol" w:hint="default"/>
      </w:rPr>
    </w:lvl>
    <w:lvl w:ilvl="7" w:tplc="8DECF902" w:tentative="1">
      <w:start w:val="1"/>
      <w:numFmt w:val="bullet"/>
      <w:lvlText w:val="o"/>
      <w:lvlJc w:val="left"/>
      <w:pPr>
        <w:ind w:left="5760" w:hanging="360"/>
      </w:pPr>
      <w:rPr>
        <w:rFonts w:ascii="Courier New" w:hAnsi="Courier New" w:cs="Courier New" w:hint="default"/>
      </w:rPr>
    </w:lvl>
    <w:lvl w:ilvl="8" w:tplc="6FD6F1F6" w:tentative="1">
      <w:start w:val="1"/>
      <w:numFmt w:val="bullet"/>
      <w:lvlText w:val=""/>
      <w:lvlJc w:val="left"/>
      <w:pPr>
        <w:ind w:left="6480" w:hanging="360"/>
      </w:pPr>
      <w:rPr>
        <w:rFonts w:ascii="Wingdings" w:hAnsi="Wingdings" w:hint="default"/>
      </w:rPr>
    </w:lvl>
  </w:abstractNum>
  <w:abstractNum w:abstractNumId="20" w15:restartNumberingAfterBreak="0">
    <w:nsid w:val="37C54CEA"/>
    <w:multiLevelType w:val="hybridMultilevel"/>
    <w:tmpl w:val="CD4A0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8050F"/>
    <w:multiLevelType w:val="hybridMultilevel"/>
    <w:tmpl w:val="93F22584"/>
    <w:lvl w:ilvl="0" w:tplc="3F0894A0">
      <w:start w:val="1"/>
      <w:numFmt w:val="bullet"/>
      <w:lvlText w:val=""/>
      <w:lvlJc w:val="left"/>
      <w:pPr>
        <w:ind w:left="360" w:hanging="360"/>
      </w:pPr>
      <w:rPr>
        <w:rFonts w:ascii="Symbol" w:hAnsi="Symbol" w:hint="default"/>
      </w:rPr>
    </w:lvl>
    <w:lvl w:ilvl="1" w:tplc="52969B4A" w:tentative="1">
      <w:start w:val="1"/>
      <w:numFmt w:val="bullet"/>
      <w:lvlText w:val="o"/>
      <w:lvlJc w:val="left"/>
      <w:pPr>
        <w:ind w:left="1440" w:hanging="360"/>
      </w:pPr>
      <w:rPr>
        <w:rFonts w:ascii="Courier New" w:hAnsi="Courier New" w:hint="default"/>
      </w:rPr>
    </w:lvl>
    <w:lvl w:ilvl="2" w:tplc="D500DD46" w:tentative="1">
      <w:start w:val="1"/>
      <w:numFmt w:val="bullet"/>
      <w:lvlText w:val=""/>
      <w:lvlJc w:val="left"/>
      <w:pPr>
        <w:ind w:left="2160" w:hanging="360"/>
      </w:pPr>
      <w:rPr>
        <w:rFonts w:ascii="Wingdings" w:hAnsi="Wingdings" w:hint="default"/>
      </w:rPr>
    </w:lvl>
    <w:lvl w:ilvl="3" w:tplc="80829B1E" w:tentative="1">
      <w:start w:val="1"/>
      <w:numFmt w:val="bullet"/>
      <w:lvlText w:val=""/>
      <w:lvlJc w:val="left"/>
      <w:pPr>
        <w:ind w:left="2880" w:hanging="360"/>
      </w:pPr>
      <w:rPr>
        <w:rFonts w:ascii="Symbol" w:hAnsi="Symbol" w:hint="default"/>
      </w:rPr>
    </w:lvl>
    <w:lvl w:ilvl="4" w:tplc="3D1CD470" w:tentative="1">
      <w:start w:val="1"/>
      <w:numFmt w:val="bullet"/>
      <w:lvlText w:val="o"/>
      <w:lvlJc w:val="left"/>
      <w:pPr>
        <w:ind w:left="3600" w:hanging="360"/>
      </w:pPr>
      <w:rPr>
        <w:rFonts w:ascii="Courier New" w:hAnsi="Courier New" w:hint="default"/>
      </w:rPr>
    </w:lvl>
    <w:lvl w:ilvl="5" w:tplc="4BC2B4CE" w:tentative="1">
      <w:start w:val="1"/>
      <w:numFmt w:val="bullet"/>
      <w:lvlText w:val=""/>
      <w:lvlJc w:val="left"/>
      <w:pPr>
        <w:ind w:left="4320" w:hanging="360"/>
      </w:pPr>
      <w:rPr>
        <w:rFonts w:ascii="Wingdings" w:hAnsi="Wingdings" w:hint="default"/>
      </w:rPr>
    </w:lvl>
    <w:lvl w:ilvl="6" w:tplc="E6304B54" w:tentative="1">
      <w:start w:val="1"/>
      <w:numFmt w:val="bullet"/>
      <w:lvlText w:val=""/>
      <w:lvlJc w:val="left"/>
      <w:pPr>
        <w:ind w:left="5040" w:hanging="360"/>
      </w:pPr>
      <w:rPr>
        <w:rFonts w:ascii="Symbol" w:hAnsi="Symbol" w:hint="default"/>
      </w:rPr>
    </w:lvl>
    <w:lvl w:ilvl="7" w:tplc="44584E6C" w:tentative="1">
      <w:start w:val="1"/>
      <w:numFmt w:val="bullet"/>
      <w:lvlText w:val="o"/>
      <w:lvlJc w:val="left"/>
      <w:pPr>
        <w:ind w:left="5760" w:hanging="360"/>
      </w:pPr>
      <w:rPr>
        <w:rFonts w:ascii="Courier New" w:hAnsi="Courier New" w:hint="default"/>
      </w:rPr>
    </w:lvl>
    <w:lvl w:ilvl="8" w:tplc="06C2A82C" w:tentative="1">
      <w:start w:val="1"/>
      <w:numFmt w:val="bullet"/>
      <w:lvlText w:val=""/>
      <w:lvlJc w:val="left"/>
      <w:pPr>
        <w:ind w:left="6480" w:hanging="360"/>
      </w:pPr>
      <w:rPr>
        <w:rFonts w:ascii="Wingdings" w:hAnsi="Wingdings" w:hint="default"/>
      </w:rPr>
    </w:lvl>
  </w:abstractNum>
  <w:abstractNum w:abstractNumId="22" w15:restartNumberingAfterBreak="0">
    <w:nsid w:val="3F0270F5"/>
    <w:multiLevelType w:val="hybridMultilevel"/>
    <w:tmpl w:val="3454EC80"/>
    <w:lvl w:ilvl="0" w:tplc="4DC6035A">
      <w:start w:val="1"/>
      <w:numFmt w:val="bullet"/>
      <w:lvlText w:val=""/>
      <w:lvlJc w:val="left"/>
      <w:pPr>
        <w:ind w:left="360" w:hanging="360"/>
      </w:pPr>
      <w:rPr>
        <w:rFonts w:ascii="Symbol" w:hAnsi="Symbol" w:hint="default"/>
      </w:rPr>
    </w:lvl>
    <w:lvl w:ilvl="1" w:tplc="176E508A">
      <w:start w:val="1"/>
      <w:numFmt w:val="bullet"/>
      <w:lvlText w:val="o"/>
      <w:lvlJc w:val="left"/>
      <w:pPr>
        <w:ind w:left="1080" w:hanging="360"/>
      </w:pPr>
      <w:rPr>
        <w:rFonts w:ascii="Courier New" w:hAnsi="Courier New" w:hint="default"/>
      </w:rPr>
    </w:lvl>
    <w:lvl w:ilvl="2" w:tplc="37B44848" w:tentative="1">
      <w:start w:val="1"/>
      <w:numFmt w:val="bullet"/>
      <w:lvlText w:val=""/>
      <w:lvlJc w:val="left"/>
      <w:pPr>
        <w:ind w:left="1800" w:hanging="360"/>
      </w:pPr>
      <w:rPr>
        <w:rFonts w:ascii="Wingdings" w:hAnsi="Wingdings" w:hint="default"/>
      </w:rPr>
    </w:lvl>
    <w:lvl w:ilvl="3" w:tplc="89224564" w:tentative="1">
      <w:start w:val="1"/>
      <w:numFmt w:val="bullet"/>
      <w:lvlText w:val=""/>
      <w:lvlJc w:val="left"/>
      <w:pPr>
        <w:ind w:left="2520" w:hanging="360"/>
      </w:pPr>
      <w:rPr>
        <w:rFonts w:ascii="Symbol" w:hAnsi="Symbol" w:hint="default"/>
      </w:rPr>
    </w:lvl>
    <w:lvl w:ilvl="4" w:tplc="66B81F62" w:tentative="1">
      <w:start w:val="1"/>
      <w:numFmt w:val="bullet"/>
      <w:lvlText w:val="o"/>
      <w:lvlJc w:val="left"/>
      <w:pPr>
        <w:ind w:left="3240" w:hanging="360"/>
      </w:pPr>
      <w:rPr>
        <w:rFonts w:ascii="Courier New" w:hAnsi="Courier New" w:hint="default"/>
      </w:rPr>
    </w:lvl>
    <w:lvl w:ilvl="5" w:tplc="651C6BC4" w:tentative="1">
      <w:start w:val="1"/>
      <w:numFmt w:val="bullet"/>
      <w:lvlText w:val=""/>
      <w:lvlJc w:val="left"/>
      <w:pPr>
        <w:ind w:left="3960" w:hanging="360"/>
      </w:pPr>
      <w:rPr>
        <w:rFonts w:ascii="Wingdings" w:hAnsi="Wingdings" w:hint="default"/>
      </w:rPr>
    </w:lvl>
    <w:lvl w:ilvl="6" w:tplc="D324C432" w:tentative="1">
      <w:start w:val="1"/>
      <w:numFmt w:val="bullet"/>
      <w:lvlText w:val=""/>
      <w:lvlJc w:val="left"/>
      <w:pPr>
        <w:ind w:left="4680" w:hanging="360"/>
      </w:pPr>
      <w:rPr>
        <w:rFonts w:ascii="Symbol" w:hAnsi="Symbol" w:hint="default"/>
      </w:rPr>
    </w:lvl>
    <w:lvl w:ilvl="7" w:tplc="57F4A1E6" w:tentative="1">
      <w:start w:val="1"/>
      <w:numFmt w:val="bullet"/>
      <w:lvlText w:val="o"/>
      <w:lvlJc w:val="left"/>
      <w:pPr>
        <w:ind w:left="5400" w:hanging="360"/>
      </w:pPr>
      <w:rPr>
        <w:rFonts w:ascii="Courier New" w:hAnsi="Courier New" w:hint="default"/>
      </w:rPr>
    </w:lvl>
    <w:lvl w:ilvl="8" w:tplc="618CBB04" w:tentative="1">
      <w:start w:val="1"/>
      <w:numFmt w:val="bullet"/>
      <w:lvlText w:val=""/>
      <w:lvlJc w:val="left"/>
      <w:pPr>
        <w:ind w:left="6120" w:hanging="360"/>
      </w:pPr>
      <w:rPr>
        <w:rFonts w:ascii="Wingdings" w:hAnsi="Wingdings" w:hint="default"/>
      </w:rPr>
    </w:lvl>
  </w:abstractNum>
  <w:abstractNum w:abstractNumId="23"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4" w15:restartNumberingAfterBreak="0">
    <w:nsid w:val="44A35FB5"/>
    <w:multiLevelType w:val="multilevel"/>
    <w:tmpl w:val="D526CD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52973F3"/>
    <w:multiLevelType w:val="hybridMultilevel"/>
    <w:tmpl w:val="DDFEE3CC"/>
    <w:lvl w:ilvl="0" w:tplc="3F52AFB6">
      <w:numFmt w:val="bullet"/>
      <w:lvlText w:val="-"/>
      <w:lvlJc w:val="left"/>
      <w:pPr>
        <w:ind w:left="720" w:hanging="360"/>
      </w:pPr>
      <w:rPr>
        <w:rFonts w:ascii="Times New Roman" w:eastAsia="Times New Roman" w:hAnsi="Times New Roman" w:cs="Times New Roman" w:hint="default"/>
      </w:rPr>
    </w:lvl>
    <w:lvl w:ilvl="1" w:tplc="4552D886" w:tentative="1">
      <w:start w:val="1"/>
      <w:numFmt w:val="bullet"/>
      <w:lvlText w:val="o"/>
      <w:lvlJc w:val="left"/>
      <w:pPr>
        <w:ind w:left="1440" w:hanging="360"/>
      </w:pPr>
      <w:rPr>
        <w:rFonts w:ascii="Courier New" w:hAnsi="Courier New" w:cs="Courier New" w:hint="default"/>
      </w:rPr>
    </w:lvl>
    <w:lvl w:ilvl="2" w:tplc="2B06EA98" w:tentative="1">
      <w:start w:val="1"/>
      <w:numFmt w:val="bullet"/>
      <w:lvlText w:val=""/>
      <w:lvlJc w:val="left"/>
      <w:pPr>
        <w:ind w:left="2160" w:hanging="360"/>
      </w:pPr>
      <w:rPr>
        <w:rFonts w:ascii="Wingdings" w:hAnsi="Wingdings" w:hint="default"/>
      </w:rPr>
    </w:lvl>
    <w:lvl w:ilvl="3" w:tplc="5CCE9E42" w:tentative="1">
      <w:start w:val="1"/>
      <w:numFmt w:val="bullet"/>
      <w:lvlText w:val=""/>
      <w:lvlJc w:val="left"/>
      <w:pPr>
        <w:ind w:left="2880" w:hanging="360"/>
      </w:pPr>
      <w:rPr>
        <w:rFonts w:ascii="Symbol" w:hAnsi="Symbol" w:hint="default"/>
      </w:rPr>
    </w:lvl>
    <w:lvl w:ilvl="4" w:tplc="BEE4DD04" w:tentative="1">
      <w:start w:val="1"/>
      <w:numFmt w:val="bullet"/>
      <w:lvlText w:val="o"/>
      <w:lvlJc w:val="left"/>
      <w:pPr>
        <w:ind w:left="3600" w:hanging="360"/>
      </w:pPr>
      <w:rPr>
        <w:rFonts w:ascii="Courier New" w:hAnsi="Courier New" w:cs="Courier New" w:hint="default"/>
      </w:rPr>
    </w:lvl>
    <w:lvl w:ilvl="5" w:tplc="91B0A086" w:tentative="1">
      <w:start w:val="1"/>
      <w:numFmt w:val="bullet"/>
      <w:lvlText w:val=""/>
      <w:lvlJc w:val="left"/>
      <w:pPr>
        <w:ind w:left="4320" w:hanging="360"/>
      </w:pPr>
      <w:rPr>
        <w:rFonts w:ascii="Wingdings" w:hAnsi="Wingdings" w:hint="default"/>
      </w:rPr>
    </w:lvl>
    <w:lvl w:ilvl="6" w:tplc="D09C9E9C" w:tentative="1">
      <w:start w:val="1"/>
      <w:numFmt w:val="bullet"/>
      <w:lvlText w:val=""/>
      <w:lvlJc w:val="left"/>
      <w:pPr>
        <w:ind w:left="5040" w:hanging="360"/>
      </w:pPr>
      <w:rPr>
        <w:rFonts w:ascii="Symbol" w:hAnsi="Symbol" w:hint="default"/>
      </w:rPr>
    </w:lvl>
    <w:lvl w:ilvl="7" w:tplc="69A20B32" w:tentative="1">
      <w:start w:val="1"/>
      <w:numFmt w:val="bullet"/>
      <w:lvlText w:val="o"/>
      <w:lvlJc w:val="left"/>
      <w:pPr>
        <w:ind w:left="5760" w:hanging="360"/>
      </w:pPr>
      <w:rPr>
        <w:rFonts w:ascii="Courier New" w:hAnsi="Courier New" w:cs="Courier New" w:hint="default"/>
      </w:rPr>
    </w:lvl>
    <w:lvl w:ilvl="8" w:tplc="BB0EB574" w:tentative="1">
      <w:start w:val="1"/>
      <w:numFmt w:val="bullet"/>
      <w:lvlText w:val=""/>
      <w:lvlJc w:val="left"/>
      <w:pPr>
        <w:ind w:left="6480" w:hanging="360"/>
      </w:pPr>
      <w:rPr>
        <w:rFonts w:ascii="Wingdings" w:hAnsi="Wingdings" w:hint="default"/>
      </w:rPr>
    </w:lvl>
  </w:abstractNum>
  <w:abstractNum w:abstractNumId="26" w15:restartNumberingAfterBreak="0">
    <w:nsid w:val="46A020DB"/>
    <w:multiLevelType w:val="hybridMultilevel"/>
    <w:tmpl w:val="74D2074E"/>
    <w:lvl w:ilvl="0" w:tplc="91587F6C">
      <w:start w:val="1"/>
      <w:numFmt w:val="bullet"/>
      <w:lvlText w:val=""/>
      <w:lvlJc w:val="left"/>
      <w:pPr>
        <w:ind w:left="720" w:hanging="360"/>
      </w:pPr>
      <w:rPr>
        <w:rFonts w:ascii="Symbol" w:hAnsi="Symbol" w:hint="default"/>
      </w:rPr>
    </w:lvl>
    <w:lvl w:ilvl="1" w:tplc="B7A2425A">
      <w:start w:val="1"/>
      <w:numFmt w:val="decimal"/>
      <w:lvlText w:val="%2."/>
      <w:lvlJc w:val="left"/>
      <w:pPr>
        <w:tabs>
          <w:tab w:val="num" w:pos="1440"/>
        </w:tabs>
        <w:ind w:left="1440" w:hanging="360"/>
      </w:pPr>
    </w:lvl>
    <w:lvl w:ilvl="2" w:tplc="DDC6B98A">
      <w:start w:val="1"/>
      <w:numFmt w:val="decimal"/>
      <w:lvlText w:val="%3."/>
      <w:lvlJc w:val="left"/>
      <w:pPr>
        <w:tabs>
          <w:tab w:val="num" w:pos="2160"/>
        </w:tabs>
        <w:ind w:left="2160" w:hanging="360"/>
      </w:pPr>
    </w:lvl>
    <w:lvl w:ilvl="3" w:tplc="541AF866">
      <w:start w:val="1"/>
      <w:numFmt w:val="decimal"/>
      <w:lvlText w:val="%4."/>
      <w:lvlJc w:val="left"/>
      <w:pPr>
        <w:tabs>
          <w:tab w:val="num" w:pos="2880"/>
        </w:tabs>
        <w:ind w:left="2880" w:hanging="360"/>
      </w:pPr>
    </w:lvl>
    <w:lvl w:ilvl="4" w:tplc="096A6ADE">
      <w:start w:val="1"/>
      <w:numFmt w:val="decimal"/>
      <w:lvlText w:val="%5."/>
      <w:lvlJc w:val="left"/>
      <w:pPr>
        <w:tabs>
          <w:tab w:val="num" w:pos="3600"/>
        </w:tabs>
        <w:ind w:left="3600" w:hanging="360"/>
      </w:pPr>
    </w:lvl>
    <w:lvl w:ilvl="5" w:tplc="2D56BF80">
      <w:start w:val="1"/>
      <w:numFmt w:val="decimal"/>
      <w:lvlText w:val="%6."/>
      <w:lvlJc w:val="left"/>
      <w:pPr>
        <w:tabs>
          <w:tab w:val="num" w:pos="4320"/>
        </w:tabs>
        <w:ind w:left="4320" w:hanging="360"/>
      </w:pPr>
    </w:lvl>
    <w:lvl w:ilvl="6" w:tplc="172E80C6">
      <w:start w:val="1"/>
      <w:numFmt w:val="decimal"/>
      <w:lvlText w:val="%7."/>
      <w:lvlJc w:val="left"/>
      <w:pPr>
        <w:tabs>
          <w:tab w:val="num" w:pos="5040"/>
        </w:tabs>
        <w:ind w:left="5040" w:hanging="360"/>
      </w:pPr>
    </w:lvl>
    <w:lvl w:ilvl="7" w:tplc="C226A55A">
      <w:start w:val="1"/>
      <w:numFmt w:val="decimal"/>
      <w:lvlText w:val="%8."/>
      <w:lvlJc w:val="left"/>
      <w:pPr>
        <w:tabs>
          <w:tab w:val="num" w:pos="5760"/>
        </w:tabs>
        <w:ind w:left="5760" w:hanging="360"/>
      </w:pPr>
    </w:lvl>
    <w:lvl w:ilvl="8" w:tplc="E12E4828">
      <w:start w:val="1"/>
      <w:numFmt w:val="decimal"/>
      <w:lvlText w:val="%9."/>
      <w:lvlJc w:val="left"/>
      <w:pPr>
        <w:tabs>
          <w:tab w:val="num" w:pos="6480"/>
        </w:tabs>
        <w:ind w:left="6480" w:hanging="360"/>
      </w:pPr>
    </w:lvl>
  </w:abstractNum>
  <w:abstractNum w:abstractNumId="27" w15:restartNumberingAfterBreak="0">
    <w:nsid w:val="49784F2E"/>
    <w:multiLevelType w:val="hybridMultilevel"/>
    <w:tmpl w:val="D86EA48E"/>
    <w:lvl w:ilvl="0" w:tplc="4009000F">
      <w:start w:val="1"/>
      <w:numFmt w:val="decimal"/>
      <w:lvlText w:val="%1."/>
      <w:lvlJc w:val="left"/>
      <w:pPr>
        <w:ind w:left="1854" w:hanging="360"/>
      </w:p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28" w15:restartNumberingAfterBreak="0">
    <w:nsid w:val="520F4FE4"/>
    <w:multiLevelType w:val="hybridMultilevel"/>
    <w:tmpl w:val="A404BAFA"/>
    <w:lvl w:ilvl="0" w:tplc="9BCC70E0">
      <w:start w:val="1"/>
      <w:numFmt w:val="decimal"/>
      <w:lvlText w:val="%1."/>
      <w:lvlJc w:val="left"/>
      <w:pPr>
        <w:ind w:left="360" w:hanging="360"/>
      </w:pPr>
    </w:lvl>
    <w:lvl w:ilvl="1" w:tplc="B678B526" w:tentative="1">
      <w:start w:val="1"/>
      <w:numFmt w:val="lowerLetter"/>
      <w:lvlText w:val="%2."/>
      <w:lvlJc w:val="left"/>
      <w:pPr>
        <w:ind w:left="1080" w:hanging="360"/>
      </w:pPr>
    </w:lvl>
    <w:lvl w:ilvl="2" w:tplc="FF9ED422" w:tentative="1">
      <w:start w:val="1"/>
      <w:numFmt w:val="lowerRoman"/>
      <w:lvlText w:val="%3."/>
      <w:lvlJc w:val="right"/>
      <w:pPr>
        <w:ind w:left="1800" w:hanging="180"/>
      </w:pPr>
    </w:lvl>
    <w:lvl w:ilvl="3" w:tplc="B5C00C88" w:tentative="1">
      <w:start w:val="1"/>
      <w:numFmt w:val="decimal"/>
      <w:lvlText w:val="%4."/>
      <w:lvlJc w:val="left"/>
      <w:pPr>
        <w:ind w:left="2520" w:hanging="360"/>
      </w:pPr>
    </w:lvl>
    <w:lvl w:ilvl="4" w:tplc="13BA0356" w:tentative="1">
      <w:start w:val="1"/>
      <w:numFmt w:val="lowerLetter"/>
      <w:lvlText w:val="%5."/>
      <w:lvlJc w:val="left"/>
      <w:pPr>
        <w:ind w:left="3240" w:hanging="360"/>
      </w:pPr>
    </w:lvl>
    <w:lvl w:ilvl="5" w:tplc="4052DB12" w:tentative="1">
      <w:start w:val="1"/>
      <w:numFmt w:val="lowerRoman"/>
      <w:lvlText w:val="%6."/>
      <w:lvlJc w:val="right"/>
      <w:pPr>
        <w:ind w:left="3960" w:hanging="180"/>
      </w:pPr>
    </w:lvl>
    <w:lvl w:ilvl="6" w:tplc="04DE34CA" w:tentative="1">
      <w:start w:val="1"/>
      <w:numFmt w:val="decimal"/>
      <w:lvlText w:val="%7."/>
      <w:lvlJc w:val="left"/>
      <w:pPr>
        <w:ind w:left="4680" w:hanging="360"/>
      </w:pPr>
    </w:lvl>
    <w:lvl w:ilvl="7" w:tplc="B37ADF96" w:tentative="1">
      <w:start w:val="1"/>
      <w:numFmt w:val="lowerLetter"/>
      <w:lvlText w:val="%8."/>
      <w:lvlJc w:val="left"/>
      <w:pPr>
        <w:ind w:left="5400" w:hanging="360"/>
      </w:pPr>
    </w:lvl>
    <w:lvl w:ilvl="8" w:tplc="09CE73C0" w:tentative="1">
      <w:start w:val="1"/>
      <w:numFmt w:val="lowerRoman"/>
      <w:lvlText w:val="%9."/>
      <w:lvlJc w:val="right"/>
      <w:pPr>
        <w:ind w:left="6120" w:hanging="180"/>
      </w:pPr>
    </w:lvl>
  </w:abstractNum>
  <w:abstractNum w:abstractNumId="29" w15:restartNumberingAfterBreak="0">
    <w:nsid w:val="58754C53"/>
    <w:multiLevelType w:val="hybridMultilevel"/>
    <w:tmpl w:val="BC06B44A"/>
    <w:lvl w:ilvl="0" w:tplc="0B2CFCDE">
      <w:start w:val="1"/>
      <w:numFmt w:val="bullet"/>
      <w:lvlText w:val=""/>
      <w:lvlJc w:val="left"/>
      <w:pPr>
        <w:ind w:left="720" w:hanging="360"/>
      </w:pPr>
      <w:rPr>
        <w:rFonts w:ascii="Symbol" w:hAnsi="Symbol" w:hint="default"/>
      </w:rPr>
    </w:lvl>
    <w:lvl w:ilvl="1" w:tplc="91F4B78A">
      <w:start w:val="1"/>
      <w:numFmt w:val="bullet"/>
      <w:lvlText w:val="o"/>
      <w:lvlJc w:val="left"/>
      <w:pPr>
        <w:ind w:left="1440" w:hanging="360"/>
      </w:pPr>
      <w:rPr>
        <w:rFonts w:ascii="Courier New" w:hAnsi="Courier New" w:hint="default"/>
      </w:rPr>
    </w:lvl>
    <w:lvl w:ilvl="2" w:tplc="E12E37E2" w:tentative="1">
      <w:start w:val="1"/>
      <w:numFmt w:val="bullet"/>
      <w:lvlText w:val=""/>
      <w:lvlJc w:val="left"/>
      <w:pPr>
        <w:ind w:left="2160" w:hanging="360"/>
      </w:pPr>
      <w:rPr>
        <w:rFonts w:ascii="Wingdings" w:hAnsi="Wingdings" w:hint="default"/>
      </w:rPr>
    </w:lvl>
    <w:lvl w:ilvl="3" w:tplc="29CAA968" w:tentative="1">
      <w:start w:val="1"/>
      <w:numFmt w:val="bullet"/>
      <w:lvlText w:val=""/>
      <w:lvlJc w:val="left"/>
      <w:pPr>
        <w:ind w:left="2880" w:hanging="360"/>
      </w:pPr>
      <w:rPr>
        <w:rFonts w:ascii="Symbol" w:hAnsi="Symbol" w:hint="default"/>
      </w:rPr>
    </w:lvl>
    <w:lvl w:ilvl="4" w:tplc="9D125A44" w:tentative="1">
      <w:start w:val="1"/>
      <w:numFmt w:val="bullet"/>
      <w:lvlText w:val="o"/>
      <w:lvlJc w:val="left"/>
      <w:pPr>
        <w:ind w:left="3600" w:hanging="360"/>
      </w:pPr>
      <w:rPr>
        <w:rFonts w:ascii="Courier New" w:hAnsi="Courier New" w:hint="default"/>
      </w:rPr>
    </w:lvl>
    <w:lvl w:ilvl="5" w:tplc="397E045C" w:tentative="1">
      <w:start w:val="1"/>
      <w:numFmt w:val="bullet"/>
      <w:lvlText w:val=""/>
      <w:lvlJc w:val="left"/>
      <w:pPr>
        <w:ind w:left="4320" w:hanging="360"/>
      </w:pPr>
      <w:rPr>
        <w:rFonts w:ascii="Wingdings" w:hAnsi="Wingdings" w:hint="default"/>
      </w:rPr>
    </w:lvl>
    <w:lvl w:ilvl="6" w:tplc="8A8EFBD0" w:tentative="1">
      <w:start w:val="1"/>
      <w:numFmt w:val="bullet"/>
      <w:lvlText w:val=""/>
      <w:lvlJc w:val="left"/>
      <w:pPr>
        <w:ind w:left="5040" w:hanging="360"/>
      </w:pPr>
      <w:rPr>
        <w:rFonts w:ascii="Symbol" w:hAnsi="Symbol" w:hint="default"/>
      </w:rPr>
    </w:lvl>
    <w:lvl w:ilvl="7" w:tplc="080C33C0" w:tentative="1">
      <w:start w:val="1"/>
      <w:numFmt w:val="bullet"/>
      <w:lvlText w:val="o"/>
      <w:lvlJc w:val="left"/>
      <w:pPr>
        <w:ind w:left="5760" w:hanging="360"/>
      </w:pPr>
      <w:rPr>
        <w:rFonts w:ascii="Courier New" w:hAnsi="Courier New" w:hint="default"/>
      </w:rPr>
    </w:lvl>
    <w:lvl w:ilvl="8" w:tplc="B51EE2EE" w:tentative="1">
      <w:start w:val="1"/>
      <w:numFmt w:val="bullet"/>
      <w:lvlText w:val=""/>
      <w:lvlJc w:val="left"/>
      <w:pPr>
        <w:ind w:left="6480" w:hanging="360"/>
      </w:pPr>
      <w:rPr>
        <w:rFonts w:ascii="Wingdings" w:hAnsi="Wingdings" w:hint="default"/>
      </w:rPr>
    </w:lvl>
  </w:abstractNum>
  <w:abstractNum w:abstractNumId="30" w15:restartNumberingAfterBreak="0">
    <w:nsid w:val="67DD60BB"/>
    <w:multiLevelType w:val="hybridMultilevel"/>
    <w:tmpl w:val="7A6AB0C8"/>
    <w:lvl w:ilvl="0" w:tplc="FFFFFFFF">
      <w:start w:val="1"/>
      <w:numFmt w:val="bullet"/>
      <w:lvlText w:val="-"/>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91B0576"/>
    <w:multiLevelType w:val="hybridMultilevel"/>
    <w:tmpl w:val="4BFEC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F33B30"/>
    <w:multiLevelType w:val="hybridMultilevel"/>
    <w:tmpl w:val="E7C62BC2"/>
    <w:lvl w:ilvl="0" w:tplc="B72A545E">
      <w:start w:val="1"/>
      <w:numFmt w:val="bullet"/>
      <w:lvlText w:val=""/>
      <w:lvlJc w:val="left"/>
      <w:pPr>
        <w:ind w:left="720" w:hanging="360"/>
      </w:pPr>
      <w:rPr>
        <w:rFonts w:ascii="Symbol" w:hAnsi="Symbol" w:hint="default"/>
      </w:rPr>
    </w:lvl>
    <w:lvl w:ilvl="1" w:tplc="0E66D878" w:tentative="1">
      <w:start w:val="1"/>
      <w:numFmt w:val="bullet"/>
      <w:lvlText w:val="o"/>
      <w:lvlJc w:val="left"/>
      <w:pPr>
        <w:ind w:left="1440" w:hanging="360"/>
      </w:pPr>
      <w:rPr>
        <w:rFonts w:ascii="Courier New" w:hAnsi="Courier New" w:cs="Courier New" w:hint="default"/>
      </w:rPr>
    </w:lvl>
    <w:lvl w:ilvl="2" w:tplc="1776770C" w:tentative="1">
      <w:start w:val="1"/>
      <w:numFmt w:val="bullet"/>
      <w:lvlText w:val=""/>
      <w:lvlJc w:val="left"/>
      <w:pPr>
        <w:ind w:left="2160" w:hanging="360"/>
      </w:pPr>
      <w:rPr>
        <w:rFonts w:ascii="Wingdings" w:hAnsi="Wingdings" w:hint="default"/>
      </w:rPr>
    </w:lvl>
    <w:lvl w:ilvl="3" w:tplc="64F0CAC2" w:tentative="1">
      <w:start w:val="1"/>
      <w:numFmt w:val="bullet"/>
      <w:lvlText w:val=""/>
      <w:lvlJc w:val="left"/>
      <w:pPr>
        <w:ind w:left="2880" w:hanging="360"/>
      </w:pPr>
      <w:rPr>
        <w:rFonts w:ascii="Symbol" w:hAnsi="Symbol" w:hint="default"/>
      </w:rPr>
    </w:lvl>
    <w:lvl w:ilvl="4" w:tplc="27AEB0D0" w:tentative="1">
      <w:start w:val="1"/>
      <w:numFmt w:val="bullet"/>
      <w:lvlText w:val="o"/>
      <w:lvlJc w:val="left"/>
      <w:pPr>
        <w:ind w:left="3600" w:hanging="360"/>
      </w:pPr>
      <w:rPr>
        <w:rFonts w:ascii="Courier New" w:hAnsi="Courier New" w:cs="Courier New" w:hint="default"/>
      </w:rPr>
    </w:lvl>
    <w:lvl w:ilvl="5" w:tplc="8C425122" w:tentative="1">
      <w:start w:val="1"/>
      <w:numFmt w:val="bullet"/>
      <w:lvlText w:val=""/>
      <w:lvlJc w:val="left"/>
      <w:pPr>
        <w:ind w:left="4320" w:hanging="360"/>
      </w:pPr>
      <w:rPr>
        <w:rFonts w:ascii="Wingdings" w:hAnsi="Wingdings" w:hint="default"/>
      </w:rPr>
    </w:lvl>
    <w:lvl w:ilvl="6" w:tplc="1966CF88" w:tentative="1">
      <w:start w:val="1"/>
      <w:numFmt w:val="bullet"/>
      <w:lvlText w:val=""/>
      <w:lvlJc w:val="left"/>
      <w:pPr>
        <w:ind w:left="5040" w:hanging="360"/>
      </w:pPr>
      <w:rPr>
        <w:rFonts w:ascii="Symbol" w:hAnsi="Symbol" w:hint="default"/>
      </w:rPr>
    </w:lvl>
    <w:lvl w:ilvl="7" w:tplc="4210D7CE" w:tentative="1">
      <w:start w:val="1"/>
      <w:numFmt w:val="bullet"/>
      <w:lvlText w:val="o"/>
      <w:lvlJc w:val="left"/>
      <w:pPr>
        <w:ind w:left="5760" w:hanging="360"/>
      </w:pPr>
      <w:rPr>
        <w:rFonts w:ascii="Courier New" w:hAnsi="Courier New" w:cs="Courier New" w:hint="default"/>
      </w:rPr>
    </w:lvl>
    <w:lvl w:ilvl="8" w:tplc="97704C18" w:tentative="1">
      <w:start w:val="1"/>
      <w:numFmt w:val="bullet"/>
      <w:lvlText w:val=""/>
      <w:lvlJc w:val="left"/>
      <w:pPr>
        <w:ind w:left="6480" w:hanging="360"/>
      </w:pPr>
      <w:rPr>
        <w:rFonts w:ascii="Wingdings" w:hAnsi="Wingdings" w:hint="default"/>
      </w:rPr>
    </w:lvl>
  </w:abstractNum>
  <w:abstractNum w:abstractNumId="33"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4" w15:restartNumberingAfterBreak="0">
    <w:nsid w:val="716216E1"/>
    <w:multiLevelType w:val="hybridMultilevel"/>
    <w:tmpl w:val="ED4298BC"/>
    <w:lvl w:ilvl="0" w:tplc="28E41210">
      <w:start w:val="1"/>
      <w:numFmt w:val="bullet"/>
      <w:lvlText w:val=""/>
      <w:lvlJc w:val="left"/>
      <w:pPr>
        <w:ind w:left="1494" w:hanging="360"/>
      </w:pPr>
      <w:rPr>
        <w:rFonts w:ascii="Symbol" w:hAnsi="Symbol" w:hint="default"/>
      </w:rPr>
    </w:lvl>
    <w:lvl w:ilvl="1" w:tplc="4FF2575C">
      <w:start w:val="1"/>
      <w:numFmt w:val="bullet"/>
      <w:lvlText w:val="o"/>
      <w:lvlJc w:val="left"/>
      <w:pPr>
        <w:ind w:left="2214" w:hanging="360"/>
      </w:pPr>
      <w:rPr>
        <w:rFonts w:ascii="Courier New" w:hAnsi="Courier New" w:hint="default"/>
      </w:rPr>
    </w:lvl>
    <w:lvl w:ilvl="2" w:tplc="CEB81566" w:tentative="1">
      <w:start w:val="1"/>
      <w:numFmt w:val="bullet"/>
      <w:lvlText w:val=""/>
      <w:lvlJc w:val="left"/>
      <w:pPr>
        <w:ind w:left="2934" w:hanging="360"/>
      </w:pPr>
      <w:rPr>
        <w:rFonts w:ascii="Wingdings" w:hAnsi="Wingdings" w:hint="default"/>
      </w:rPr>
    </w:lvl>
    <w:lvl w:ilvl="3" w:tplc="2F621D7A" w:tentative="1">
      <w:start w:val="1"/>
      <w:numFmt w:val="bullet"/>
      <w:lvlText w:val=""/>
      <w:lvlJc w:val="left"/>
      <w:pPr>
        <w:ind w:left="3654" w:hanging="360"/>
      </w:pPr>
      <w:rPr>
        <w:rFonts w:ascii="Symbol" w:hAnsi="Symbol" w:hint="default"/>
      </w:rPr>
    </w:lvl>
    <w:lvl w:ilvl="4" w:tplc="1670244E" w:tentative="1">
      <w:start w:val="1"/>
      <w:numFmt w:val="bullet"/>
      <w:lvlText w:val="o"/>
      <w:lvlJc w:val="left"/>
      <w:pPr>
        <w:ind w:left="4374" w:hanging="360"/>
      </w:pPr>
      <w:rPr>
        <w:rFonts w:ascii="Courier New" w:hAnsi="Courier New" w:hint="default"/>
      </w:rPr>
    </w:lvl>
    <w:lvl w:ilvl="5" w:tplc="1FB60756" w:tentative="1">
      <w:start w:val="1"/>
      <w:numFmt w:val="bullet"/>
      <w:lvlText w:val=""/>
      <w:lvlJc w:val="left"/>
      <w:pPr>
        <w:ind w:left="5094" w:hanging="360"/>
      </w:pPr>
      <w:rPr>
        <w:rFonts w:ascii="Wingdings" w:hAnsi="Wingdings" w:hint="default"/>
      </w:rPr>
    </w:lvl>
    <w:lvl w:ilvl="6" w:tplc="AF3AB046" w:tentative="1">
      <w:start w:val="1"/>
      <w:numFmt w:val="bullet"/>
      <w:lvlText w:val=""/>
      <w:lvlJc w:val="left"/>
      <w:pPr>
        <w:ind w:left="5814" w:hanging="360"/>
      </w:pPr>
      <w:rPr>
        <w:rFonts w:ascii="Symbol" w:hAnsi="Symbol" w:hint="default"/>
      </w:rPr>
    </w:lvl>
    <w:lvl w:ilvl="7" w:tplc="D9F07EAA" w:tentative="1">
      <w:start w:val="1"/>
      <w:numFmt w:val="bullet"/>
      <w:lvlText w:val="o"/>
      <w:lvlJc w:val="left"/>
      <w:pPr>
        <w:ind w:left="6534" w:hanging="360"/>
      </w:pPr>
      <w:rPr>
        <w:rFonts w:ascii="Courier New" w:hAnsi="Courier New" w:hint="default"/>
      </w:rPr>
    </w:lvl>
    <w:lvl w:ilvl="8" w:tplc="DE142232" w:tentative="1">
      <w:start w:val="1"/>
      <w:numFmt w:val="bullet"/>
      <w:lvlText w:val=""/>
      <w:lvlJc w:val="left"/>
      <w:pPr>
        <w:ind w:left="7254" w:hanging="360"/>
      </w:pPr>
      <w:rPr>
        <w:rFonts w:ascii="Wingdings" w:hAnsi="Wingdings" w:hint="default"/>
      </w:rPr>
    </w:lvl>
  </w:abstractNum>
  <w:abstractNum w:abstractNumId="35" w15:restartNumberingAfterBreak="0">
    <w:nsid w:val="74C46023"/>
    <w:multiLevelType w:val="hybridMultilevel"/>
    <w:tmpl w:val="B816C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1B7133"/>
    <w:multiLevelType w:val="hybridMultilevel"/>
    <w:tmpl w:val="E4C04E26"/>
    <w:lvl w:ilvl="0" w:tplc="7D3829B2">
      <w:start w:val="1"/>
      <w:numFmt w:val="bullet"/>
      <w:lvlText w:val=""/>
      <w:lvlJc w:val="left"/>
      <w:pPr>
        <w:ind w:left="1287" w:hanging="360"/>
      </w:pPr>
      <w:rPr>
        <w:rFonts w:ascii="Symbol" w:hAnsi="Symbol" w:hint="default"/>
        <w:b w:val="0"/>
        <w:bCs/>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814787283">
    <w:abstractNumId w:val="0"/>
  </w:num>
  <w:num w:numId="2" w16cid:durableId="1747654207">
    <w:abstractNumId w:val="21"/>
  </w:num>
  <w:num w:numId="3" w16cid:durableId="1891719831">
    <w:abstractNumId w:val="22"/>
  </w:num>
  <w:num w:numId="4" w16cid:durableId="1541698542">
    <w:abstractNumId w:val="34"/>
  </w:num>
  <w:num w:numId="5" w16cid:durableId="1094083829">
    <w:abstractNumId w:val="9"/>
  </w:num>
  <w:num w:numId="6" w16cid:durableId="1953702860">
    <w:abstractNumId w:val="29"/>
  </w:num>
  <w:num w:numId="7" w16cid:durableId="1738357448">
    <w:abstractNumId w:val="23"/>
  </w:num>
  <w:num w:numId="8" w16cid:durableId="708921126">
    <w:abstractNumId w:val="11"/>
  </w:num>
  <w:num w:numId="9" w16cid:durableId="1089539312">
    <w:abstractNumId w:val="17"/>
  </w:num>
  <w:num w:numId="10" w16cid:durableId="1374423424">
    <w:abstractNumId w:val="5"/>
  </w:num>
  <w:num w:numId="11" w16cid:durableId="170141148">
    <w:abstractNumId w:val="3"/>
  </w:num>
  <w:num w:numId="12" w16cid:durableId="1870029283">
    <w:abstractNumId w:val="14"/>
  </w:num>
  <w:num w:numId="13" w16cid:durableId="85750307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2686383">
    <w:abstractNumId w:val="32"/>
  </w:num>
  <w:num w:numId="15" w16cid:durableId="225801101">
    <w:abstractNumId w:val="15"/>
  </w:num>
  <w:num w:numId="16" w16cid:durableId="72554463">
    <w:abstractNumId w:val="24"/>
  </w:num>
  <w:num w:numId="17" w16cid:durableId="4990814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31498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08529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31862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925953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51706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67847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63818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60764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47246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17087451">
    <w:abstractNumId w:val="19"/>
  </w:num>
  <w:num w:numId="28" w16cid:durableId="2045400527">
    <w:abstractNumId w:val="28"/>
  </w:num>
  <w:num w:numId="29" w16cid:durableId="436680038">
    <w:abstractNumId w:val="25"/>
  </w:num>
  <w:num w:numId="30" w16cid:durableId="986976116">
    <w:abstractNumId w:val="33"/>
  </w:num>
  <w:num w:numId="31" w16cid:durableId="1854414553">
    <w:abstractNumId w:val="8"/>
  </w:num>
  <w:num w:numId="32" w16cid:durableId="14851226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1110849">
    <w:abstractNumId w:val="6"/>
  </w:num>
  <w:num w:numId="34" w16cid:durableId="962421171">
    <w:abstractNumId w:val="18"/>
  </w:num>
  <w:num w:numId="35" w16cid:durableId="486628784">
    <w:abstractNumId w:val="2"/>
  </w:num>
  <w:num w:numId="36" w16cid:durableId="1315451426">
    <w:abstractNumId w:val="30"/>
  </w:num>
  <w:num w:numId="37" w16cid:durableId="1380007691">
    <w:abstractNumId w:val="27"/>
  </w:num>
  <w:num w:numId="38" w16cid:durableId="618731005">
    <w:abstractNumId w:val="12"/>
  </w:num>
  <w:num w:numId="39" w16cid:durableId="448359289">
    <w:abstractNumId w:val="35"/>
  </w:num>
  <w:num w:numId="40" w16cid:durableId="1866362146">
    <w:abstractNumId w:val="13"/>
  </w:num>
  <w:num w:numId="41" w16cid:durableId="636691835">
    <w:abstractNumId w:val="31"/>
  </w:num>
  <w:num w:numId="42" w16cid:durableId="924194179">
    <w:abstractNumId w:val="1"/>
  </w:num>
  <w:num w:numId="43" w16cid:durableId="1827428950">
    <w:abstractNumId w:val="16"/>
  </w:num>
  <w:num w:numId="44" w16cid:durableId="174460216">
    <w:abstractNumId w:val="10"/>
  </w:num>
  <w:num w:numId="45" w16cid:durableId="974994640">
    <w:abstractNumId w:val="20"/>
  </w:num>
  <w:num w:numId="46" w16cid:durableId="780661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0EF"/>
    <w:rsid w:val="00001587"/>
    <w:rsid w:val="00001F8F"/>
    <w:rsid w:val="0000203D"/>
    <w:rsid w:val="0000225E"/>
    <w:rsid w:val="00002A3E"/>
    <w:rsid w:val="00002BC9"/>
    <w:rsid w:val="0000362A"/>
    <w:rsid w:val="000038C6"/>
    <w:rsid w:val="00003934"/>
    <w:rsid w:val="00003B22"/>
    <w:rsid w:val="0000408B"/>
    <w:rsid w:val="00004C32"/>
    <w:rsid w:val="000056FD"/>
    <w:rsid w:val="00005701"/>
    <w:rsid w:val="00005F69"/>
    <w:rsid w:val="0000624C"/>
    <w:rsid w:val="0000648E"/>
    <w:rsid w:val="00006C72"/>
    <w:rsid w:val="00007460"/>
    <w:rsid w:val="00007528"/>
    <w:rsid w:val="00007769"/>
    <w:rsid w:val="000101B2"/>
    <w:rsid w:val="0001029D"/>
    <w:rsid w:val="00010E46"/>
    <w:rsid w:val="0001164F"/>
    <w:rsid w:val="00011C5D"/>
    <w:rsid w:val="00011F97"/>
    <w:rsid w:val="000125AF"/>
    <w:rsid w:val="0001350E"/>
    <w:rsid w:val="0001402B"/>
    <w:rsid w:val="0001459E"/>
    <w:rsid w:val="00014869"/>
    <w:rsid w:val="000150D3"/>
    <w:rsid w:val="000162EC"/>
    <w:rsid w:val="000166C1"/>
    <w:rsid w:val="0001704E"/>
    <w:rsid w:val="000179A5"/>
    <w:rsid w:val="00017A03"/>
    <w:rsid w:val="0002006B"/>
    <w:rsid w:val="0002009E"/>
    <w:rsid w:val="00020647"/>
    <w:rsid w:val="00020AE8"/>
    <w:rsid w:val="00023A2C"/>
    <w:rsid w:val="0002422D"/>
    <w:rsid w:val="00024A19"/>
    <w:rsid w:val="00024DA8"/>
    <w:rsid w:val="00024E25"/>
    <w:rsid w:val="00024FC2"/>
    <w:rsid w:val="00025107"/>
    <w:rsid w:val="00025981"/>
    <w:rsid w:val="00025AF5"/>
    <w:rsid w:val="00025EBE"/>
    <w:rsid w:val="00026BF2"/>
    <w:rsid w:val="00026E41"/>
    <w:rsid w:val="000271F6"/>
    <w:rsid w:val="00027809"/>
    <w:rsid w:val="00030445"/>
    <w:rsid w:val="00030A1B"/>
    <w:rsid w:val="000316EE"/>
    <w:rsid w:val="000318C7"/>
    <w:rsid w:val="0003230F"/>
    <w:rsid w:val="000325AD"/>
    <w:rsid w:val="000329DE"/>
    <w:rsid w:val="00032D5F"/>
    <w:rsid w:val="00033D26"/>
    <w:rsid w:val="00033FDB"/>
    <w:rsid w:val="000344F6"/>
    <w:rsid w:val="000346D9"/>
    <w:rsid w:val="00034EED"/>
    <w:rsid w:val="000355D8"/>
    <w:rsid w:val="00035C51"/>
    <w:rsid w:val="00035C7C"/>
    <w:rsid w:val="000408C8"/>
    <w:rsid w:val="00040D00"/>
    <w:rsid w:val="00040E2A"/>
    <w:rsid w:val="00041DD1"/>
    <w:rsid w:val="00042263"/>
    <w:rsid w:val="00042930"/>
    <w:rsid w:val="00043505"/>
    <w:rsid w:val="00043C70"/>
    <w:rsid w:val="00043C77"/>
    <w:rsid w:val="00043CA3"/>
    <w:rsid w:val="00044042"/>
    <w:rsid w:val="00044420"/>
    <w:rsid w:val="00044513"/>
    <w:rsid w:val="000449C6"/>
    <w:rsid w:val="00044A97"/>
    <w:rsid w:val="00045C2A"/>
    <w:rsid w:val="0004674E"/>
    <w:rsid w:val="000474D2"/>
    <w:rsid w:val="0004796D"/>
    <w:rsid w:val="000479C5"/>
    <w:rsid w:val="00047ABB"/>
    <w:rsid w:val="00050206"/>
    <w:rsid w:val="00050488"/>
    <w:rsid w:val="00050682"/>
    <w:rsid w:val="00050DFD"/>
    <w:rsid w:val="00050F3D"/>
    <w:rsid w:val="00051604"/>
    <w:rsid w:val="00053809"/>
    <w:rsid w:val="00053914"/>
    <w:rsid w:val="000543F0"/>
    <w:rsid w:val="00054756"/>
    <w:rsid w:val="000552D7"/>
    <w:rsid w:val="00055BA4"/>
    <w:rsid w:val="00055CEA"/>
    <w:rsid w:val="000560C5"/>
    <w:rsid w:val="00056C49"/>
    <w:rsid w:val="00056FE0"/>
    <w:rsid w:val="000570BD"/>
    <w:rsid w:val="00057860"/>
    <w:rsid w:val="0006006D"/>
    <w:rsid w:val="000603C8"/>
    <w:rsid w:val="000608A4"/>
    <w:rsid w:val="00060AA1"/>
    <w:rsid w:val="0006108F"/>
    <w:rsid w:val="00061476"/>
    <w:rsid w:val="00061B5F"/>
    <w:rsid w:val="00061B7C"/>
    <w:rsid w:val="00062B65"/>
    <w:rsid w:val="000630AE"/>
    <w:rsid w:val="000631FD"/>
    <w:rsid w:val="00063746"/>
    <w:rsid w:val="000637D8"/>
    <w:rsid w:val="000642DC"/>
    <w:rsid w:val="000643D3"/>
    <w:rsid w:val="0006454C"/>
    <w:rsid w:val="00065C46"/>
    <w:rsid w:val="0006616E"/>
    <w:rsid w:val="0006659A"/>
    <w:rsid w:val="000665BD"/>
    <w:rsid w:val="00067A79"/>
    <w:rsid w:val="00067B16"/>
    <w:rsid w:val="00067DBB"/>
    <w:rsid w:val="000701B9"/>
    <w:rsid w:val="00070C46"/>
    <w:rsid w:val="00071F8A"/>
    <w:rsid w:val="000726B2"/>
    <w:rsid w:val="00072BA8"/>
    <w:rsid w:val="00072F92"/>
    <w:rsid w:val="00073381"/>
    <w:rsid w:val="00073706"/>
    <w:rsid w:val="00073E04"/>
    <w:rsid w:val="0007628D"/>
    <w:rsid w:val="0007667F"/>
    <w:rsid w:val="00077C03"/>
    <w:rsid w:val="00080F6A"/>
    <w:rsid w:val="00081B9F"/>
    <w:rsid w:val="00081DAB"/>
    <w:rsid w:val="00082F87"/>
    <w:rsid w:val="00083D45"/>
    <w:rsid w:val="00084080"/>
    <w:rsid w:val="00084641"/>
    <w:rsid w:val="00085DDA"/>
    <w:rsid w:val="00085E84"/>
    <w:rsid w:val="00086209"/>
    <w:rsid w:val="00086859"/>
    <w:rsid w:val="000868BE"/>
    <w:rsid w:val="00087995"/>
    <w:rsid w:val="00087AB2"/>
    <w:rsid w:val="000905D4"/>
    <w:rsid w:val="00090852"/>
    <w:rsid w:val="00091E5A"/>
    <w:rsid w:val="00092496"/>
    <w:rsid w:val="00092829"/>
    <w:rsid w:val="00092B09"/>
    <w:rsid w:val="0009351E"/>
    <w:rsid w:val="000941B2"/>
    <w:rsid w:val="0009479A"/>
    <w:rsid w:val="00094A39"/>
    <w:rsid w:val="00094AD6"/>
    <w:rsid w:val="00095D0A"/>
    <w:rsid w:val="00095D61"/>
    <w:rsid w:val="00095E44"/>
    <w:rsid w:val="0009641D"/>
    <w:rsid w:val="00096B42"/>
    <w:rsid w:val="00096D8D"/>
    <w:rsid w:val="0009755A"/>
    <w:rsid w:val="000A1232"/>
    <w:rsid w:val="000A232B"/>
    <w:rsid w:val="000A40D0"/>
    <w:rsid w:val="000A4255"/>
    <w:rsid w:val="000A51B4"/>
    <w:rsid w:val="000A7473"/>
    <w:rsid w:val="000B0097"/>
    <w:rsid w:val="000B02F1"/>
    <w:rsid w:val="000B031D"/>
    <w:rsid w:val="000B0D0D"/>
    <w:rsid w:val="000B101F"/>
    <w:rsid w:val="000B10D8"/>
    <w:rsid w:val="000B14C1"/>
    <w:rsid w:val="000B1F4B"/>
    <w:rsid w:val="000B1FE9"/>
    <w:rsid w:val="000B25F3"/>
    <w:rsid w:val="000B27C9"/>
    <w:rsid w:val="000B29B3"/>
    <w:rsid w:val="000B2F27"/>
    <w:rsid w:val="000B2F58"/>
    <w:rsid w:val="000B361B"/>
    <w:rsid w:val="000B37A8"/>
    <w:rsid w:val="000B3DF8"/>
    <w:rsid w:val="000B40B9"/>
    <w:rsid w:val="000B50D1"/>
    <w:rsid w:val="000B51D9"/>
    <w:rsid w:val="000B7288"/>
    <w:rsid w:val="000B79B0"/>
    <w:rsid w:val="000B7BB1"/>
    <w:rsid w:val="000C03FB"/>
    <w:rsid w:val="000C0A4B"/>
    <w:rsid w:val="000C1031"/>
    <w:rsid w:val="000C107D"/>
    <w:rsid w:val="000C15BD"/>
    <w:rsid w:val="000C1899"/>
    <w:rsid w:val="000C189A"/>
    <w:rsid w:val="000C1A30"/>
    <w:rsid w:val="000C1FBF"/>
    <w:rsid w:val="000C308F"/>
    <w:rsid w:val="000C5A4E"/>
    <w:rsid w:val="000C635D"/>
    <w:rsid w:val="000C646C"/>
    <w:rsid w:val="000C6869"/>
    <w:rsid w:val="000C6996"/>
    <w:rsid w:val="000C7A4A"/>
    <w:rsid w:val="000C7B04"/>
    <w:rsid w:val="000C7F49"/>
    <w:rsid w:val="000D0333"/>
    <w:rsid w:val="000D1534"/>
    <w:rsid w:val="000D15F9"/>
    <w:rsid w:val="000D1AEE"/>
    <w:rsid w:val="000D1C02"/>
    <w:rsid w:val="000D1C49"/>
    <w:rsid w:val="000D1F31"/>
    <w:rsid w:val="000D1F4F"/>
    <w:rsid w:val="000D2169"/>
    <w:rsid w:val="000D2C8F"/>
    <w:rsid w:val="000D322B"/>
    <w:rsid w:val="000D3661"/>
    <w:rsid w:val="000D4D07"/>
    <w:rsid w:val="000D6B1D"/>
    <w:rsid w:val="000D7535"/>
    <w:rsid w:val="000E0135"/>
    <w:rsid w:val="000E062F"/>
    <w:rsid w:val="000E118D"/>
    <w:rsid w:val="000E1437"/>
    <w:rsid w:val="000E165D"/>
    <w:rsid w:val="000E1BAF"/>
    <w:rsid w:val="000E223E"/>
    <w:rsid w:val="000E2491"/>
    <w:rsid w:val="000E286A"/>
    <w:rsid w:val="000E2EA9"/>
    <w:rsid w:val="000E3222"/>
    <w:rsid w:val="000E3ABA"/>
    <w:rsid w:val="000E46A3"/>
    <w:rsid w:val="000E46F0"/>
    <w:rsid w:val="000E497D"/>
    <w:rsid w:val="000E4E88"/>
    <w:rsid w:val="000E5113"/>
    <w:rsid w:val="000E535A"/>
    <w:rsid w:val="000E5726"/>
    <w:rsid w:val="000E6282"/>
    <w:rsid w:val="000E6A9B"/>
    <w:rsid w:val="000E6C94"/>
    <w:rsid w:val="000E7EED"/>
    <w:rsid w:val="000F19FB"/>
    <w:rsid w:val="000F1BB2"/>
    <w:rsid w:val="000F1F50"/>
    <w:rsid w:val="000F217A"/>
    <w:rsid w:val="000F2344"/>
    <w:rsid w:val="000F2398"/>
    <w:rsid w:val="000F241D"/>
    <w:rsid w:val="000F3EFD"/>
    <w:rsid w:val="000F3F94"/>
    <w:rsid w:val="000F416C"/>
    <w:rsid w:val="000F4A98"/>
    <w:rsid w:val="000F5B21"/>
    <w:rsid w:val="000F67A6"/>
    <w:rsid w:val="000F719F"/>
    <w:rsid w:val="000F793D"/>
    <w:rsid w:val="000F7CAB"/>
    <w:rsid w:val="001007DC"/>
    <w:rsid w:val="00100FC7"/>
    <w:rsid w:val="00101F10"/>
    <w:rsid w:val="00103180"/>
    <w:rsid w:val="00103501"/>
    <w:rsid w:val="00103B2D"/>
    <w:rsid w:val="00103CD2"/>
    <w:rsid w:val="00104061"/>
    <w:rsid w:val="00104611"/>
    <w:rsid w:val="001048E6"/>
    <w:rsid w:val="00104ACE"/>
    <w:rsid w:val="00104AD9"/>
    <w:rsid w:val="00105498"/>
    <w:rsid w:val="001057F9"/>
    <w:rsid w:val="001070B6"/>
    <w:rsid w:val="00107236"/>
    <w:rsid w:val="00107F66"/>
    <w:rsid w:val="001101A2"/>
    <w:rsid w:val="001106F7"/>
    <w:rsid w:val="00110861"/>
    <w:rsid w:val="001108A9"/>
    <w:rsid w:val="001109E3"/>
    <w:rsid w:val="001111BF"/>
    <w:rsid w:val="001117FF"/>
    <w:rsid w:val="00111C43"/>
    <w:rsid w:val="00112D11"/>
    <w:rsid w:val="00112D12"/>
    <w:rsid w:val="00112DD1"/>
    <w:rsid w:val="00112EDA"/>
    <w:rsid w:val="00114174"/>
    <w:rsid w:val="00114755"/>
    <w:rsid w:val="00114FF6"/>
    <w:rsid w:val="001166CC"/>
    <w:rsid w:val="0011733A"/>
    <w:rsid w:val="00117C1D"/>
    <w:rsid w:val="00117E78"/>
    <w:rsid w:val="0012127A"/>
    <w:rsid w:val="00121618"/>
    <w:rsid w:val="0012260D"/>
    <w:rsid w:val="00123688"/>
    <w:rsid w:val="00123A5A"/>
    <w:rsid w:val="00124908"/>
    <w:rsid w:val="0012494C"/>
    <w:rsid w:val="00124A07"/>
    <w:rsid w:val="00124D44"/>
    <w:rsid w:val="001259C5"/>
    <w:rsid w:val="00125A10"/>
    <w:rsid w:val="001261DA"/>
    <w:rsid w:val="00126361"/>
    <w:rsid w:val="00126C76"/>
    <w:rsid w:val="00126CB7"/>
    <w:rsid w:val="00127530"/>
    <w:rsid w:val="00127570"/>
    <w:rsid w:val="00127F47"/>
    <w:rsid w:val="00130135"/>
    <w:rsid w:val="00130212"/>
    <w:rsid w:val="001313F7"/>
    <w:rsid w:val="001318E4"/>
    <w:rsid w:val="00133572"/>
    <w:rsid w:val="00134532"/>
    <w:rsid w:val="00134DF3"/>
    <w:rsid w:val="00134FFD"/>
    <w:rsid w:val="001355E0"/>
    <w:rsid w:val="001364FB"/>
    <w:rsid w:val="0013656F"/>
    <w:rsid w:val="001365F2"/>
    <w:rsid w:val="00136C75"/>
    <w:rsid w:val="00136D7A"/>
    <w:rsid w:val="00141470"/>
    <w:rsid w:val="00141540"/>
    <w:rsid w:val="00141823"/>
    <w:rsid w:val="001436B1"/>
    <w:rsid w:val="001445FB"/>
    <w:rsid w:val="001449DF"/>
    <w:rsid w:val="001451C5"/>
    <w:rsid w:val="0014569B"/>
    <w:rsid w:val="001470E0"/>
    <w:rsid w:val="00147461"/>
    <w:rsid w:val="001475B0"/>
    <w:rsid w:val="0014791E"/>
    <w:rsid w:val="00150060"/>
    <w:rsid w:val="00151321"/>
    <w:rsid w:val="001521DA"/>
    <w:rsid w:val="001535B2"/>
    <w:rsid w:val="00153EBB"/>
    <w:rsid w:val="00154C69"/>
    <w:rsid w:val="00154DE5"/>
    <w:rsid w:val="00155D16"/>
    <w:rsid w:val="00156F8B"/>
    <w:rsid w:val="0015704C"/>
    <w:rsid w:val="001571CB"/>
    <w:rsid w:val="00157895"/>
    <w:rsid w:val="0016014C"/>
    <w:rsid w:val="001612E2"/>
    <w:rsid w:val="00161701"/>
    <w:rsid w:val="00161E87"/>
    <w:rsid w:val="00162304"/>
    <w:rsid w:val="0016279A"/>
    <w:rsid w:val="0016288B"/>
    <w:rsid w:val="00162EAA"/>
    <w:rsid w:val="0016339C"/>
    <w:rsid w:val="001636C9"/>
    <w:rsid w:val="00164476"/>
    <w:rsid w:val="0016495A"/>
    <w:rsid w:val="00164B82"/>
    <w:rsid w:val="0016566C"/>
    <w:rsid w:val="00165CE9"/>
    <w:rsid w:val="00165F79"/>
    <w:rsid w:val="00166AD2"/>
    <w:rsid w:val="00166B97"/>
    <w:rsid w:val="00166D9F"/>
    <w:rsid w:val="00167843"/>
    <w:rsid w:val="00167B8B"/>
    <w:rsid w:val="00167DAE"/>
    <w:rsid w:val="00167F54"/>
    <w:rsid w:val="00171100"/>
    <w:rsid w:val="0017155A"/>
    <w:rsid w:val="001727F0"/>
    <w:rsid w:val="00172B06"/>
    <w:rsid w:val="0017347E"/>
    <w:rsid w:val="00174E05"/>
    <w:rsid w:val="001752D8"/>
    <w:rsid w:val="00175931"/>
    <w:rsid w:val="00175CF5"/>
    <w:rsid w:val="00175F1F"/>
    <w:rsid w:val="001765B2"/>
    <w:rsid w:val="00176730"/>
    <w:rsid w:val="00176B25"/>
    <w:rsid w:val="0017760F"/>
    <w:rsid w:val="0017779A"/>
    <w:rsid w:val="00180167"/>
    <w:rsid w:val="001816D7"/>
    <w:rsid w:val="0018238B"/>
    <w:rsid w:val="00183199"/>
    <w:rsid w:val="00183419"/>
    <w:rsid w:val="0018362D"/>
    <w:rsid w:val="0018394A"/>
    <w:rsid w:val="00183D87"/>
    <w:rsid w:val="001840A7"/>
    <w:rsid w:val="00184504"/>
    <w:rsid w:val="00184547"/>
    <w:rsid w:val="001849B1"/>
    <w:rsid w:val="00184DCC"/>
    <w:rsid w:val="00185853"/>
    <w:rsid w:val="00185D29"/>
    <w:rsid w:val="00185FC9"/>
    <w:rsid w:val="00186A9D"/>
    <w:rsid w:val="001874A6"/>
    <w:rsid w:val="0018765B"/>
    <w:rsid w:val="00190102"/>
    <w:rsid w:val="001907D1"/>
    <w:rsid w:val="0019080A"/>
    <w:rsid w:val="00190913"/>
    <w:rsid w:val="00191AC7"/>
    <w:rsid w:val="001921F0"/>
    <w:rsid w:val="00193021"/>
    <w:rsid w:val="001930F2"/>
    <w:rsid w:val="00193465"/>
    <w:rsid w:val="00193DD3"/>
    <w:rsid w:val="001946BD"/>
    <w:rsid w:val="001948AA"/>
    <w:rsid w:val="00195183"/>
    <w:rsid w:val="00195F65"/>
    <w:rsid w:val="001960D6"/>
    <w:rsid w:val="001969A9"/>
    <w:rsid w:val="00196A0B"/>
    <w:rsid w:val="001A010A"/>
    <w:rsid w:val="001A01C2"/>
    <w:rsid w:val="001A0733"/>
    <w:rsid w:val="001A07E2"/>
    <w:rsid w:val="001A2018"/>
    <w:rsid w:val="001A360D"/>
    <w:rsid w:val="001A3AB7"/>
    <w:rsid w:val="001A3D29"/>
    <w:rsid w:val="001A567A"/>
    <w:rsid w:val="001A56F1"/>
    <w:rsid w:val="001A5A62"/>
    <w:rsid w:val="001A5D0E"/>
    <w:rsid w:val="001A6F72"/>
    <w:rsid w:val="001A79A3"/>
    <w:rsid w:val="001A7A86"/>
    <w:rsid w:val="001B0050"/>
    <w:rsid w:val="001B01C8"/>
    <w:rsid w:val="001B068E"/>
    <w:rsid w:val="001B0B52"/>
    <w:rsid w:val="001B13F6"/>
    <w:rsid w:val="001B1747"/>
    <w:rsid w:val="001B2379"/>
    <w:rsid w:val="001B269E"/>
    <w:rsid w:val="001B2D44"/>
    <w:rsid w:val="001B34DD"/>
    <w:rsid w:val="001B35C4"/>
    <w:rsid w:val="001B3761"/>
    <w:rsid w:val="001B4107"/>
    <w:rsid w:val="001B4692"/>
    <w:rsid w:val="001B6D0B"/>
    <w:rsid w:val="001B6EC9"/>
    <w:rsid w:val="001B73E6"/>
    <w:rsid w:val="001B752A"/>
    <w:rsid w:val="001B75AE"/>
    <w:rsid w:val="001B772F"/>
    <w:rsid w:val="001C0354"/>
    <w:rsid w:val="001C12FB"/>
    <w:rsid w:val="001C1B22"/>
    <w:rsid w:val="001C2019"/>
    <w:rsid w:val="001C268E"/>
    <w:rsid w:val="001C2DB4"/>
    <w:rsid w:val="001C3228"/>
    <w:rsid w:val="001C35E9"/>
    <w:rsid w:val="001C36BD"/>
    <w:rsid w:val="001C3733"/>
    <w:rsid w:val="001C3F1F"/>
    <w:rsid w:val="001C431E"/>
    <w:rsid w:val="001C49B3"/>
    <w:rsid w:val="001C5035"/>
    <w:rsid w:val="001C53C0"/>
    <w:rsid w:val="001C5B30"/>
    <w:rsid w:val="001C5B85"/>
    <w:rsid w:val="001C6024"/>
    <w:rsid w:val="001C681E"/>
    <w:rsid w:val="001C6C5B"/>
    <w:rsid w:val="001D078D"/>
    <w:rsid w:val="001D154A"/>
    <w:rsid w:val="001D17C9"/>
    <w:rsid w:val="001D1EC8"/>
    <w:rsid w:val="001D3040"/>
    <w:rsid w:val="001D3280"/>
    <w:rsid w:val="001D33E6"/>
    <w:rsid w:val="001D344C"/>
    <w:rsid w:val="001D34B6"/>
    <w:rsid w:val="001D3C05"/>
    <w:rsid w:val="001D4B0C"/>
    <w:rsid w:val="001D4E48"/>
    <w:rsid w:val="001D4FD4"/>
    <w:rsid w:val="001D5D4C"/>
    <w:rsid w:val="001D5D84"/>
    <w:rsid w:val="001D653E"/>
    <w:rsid w:val="001D682D"/>
    <w:rsid w:val="001D6AF4"/>
    <w:rsid w:val="001D7239"/>
    <w:rsid w:val="001E03B6"/>
    <w:rsid w:val="001E0CC1"/>
    <w:rsid w:val="001E1465"/>
    <w:rsid w:val="001E1974"/>
    <w:rsid w:val="001E1C10"/>
    <w:rsid w:val="001E1E8A"/>
    <w:rsid w:val="001E2743"/>
    <w:rsid w:val="001E2D9F"/>
    <w:rsid w:val="001E3371"/>
    <w:rsid w:val="001E383C"/>
    <w:rsid w:val="001E3B6C"/>
    <w:rsid w:val="001E3CC0"/>
    <w:rsid w:val="001E5083"/>
    <w:rsid w:val="001E5107"/>
    <w:rsid w:val="001E77C3"/>
    <w:rsid w:val="001F084B"/>
    <w:rsid w:val="001F090B"/>
    <w:rsid w:val="001F0CCD"/>
    <w:rsid w:val="001F17B7"/>
    <w:rsid w:val="001F180A"/>
    <w:rsid w:val="001F1A28"/>
    <w:rsid w:val="001F1AD0"/>
    <w:rsid w:val="001F21D5"/>
    <w:rsid w:val="001F2677"/>
    <w:rsid w:val="001F304A"/>
    <w:rsid w:val="001F35E8"/>
    <w:rsid w:val="001F37D1"/>
    <w:rsid w:val="001F3998"/>
    <w:rsid w:val="001F3B36"/>
    <w:rsid w:val="001F3CE9"/>
    <w:rsid w:val="001F3F94"/>
    <w:rsid w:val="001F4014"/>
    <w:rsid w:val="001F445E"/>
    <w:rsid w:val="001F4EC1"/>
    <w:rsid w:val="001F505C"/>
    <w:rsid w:val="001F5BAB"/>
    <w:rsid w:val="001F60BB"/>
    <w:rsid w:val="001F6423"/>
    <w:rsid w:val="001F68A8"/>
    <w:rsid w:val="001F6DA8"/>
    <w:rsid w:val="001F7415"/>
    <w:rsid w:val="001F7AF9"/>
    <w:rsid w:val="00200E23"/>
    <w:rsid w:val="00201213"/>
    <w:rsid w:val="002014F6"/>
    <w:rsid w:val="0020165E"/>
    <w:rsid w:val="0020272E"/>
    <w:rsid w:val="00202862"/>
    <w:rsid w:val="00202E50"/>
    <w:rsid w:val="00205180"/>
    <w:rsid w:val="00205482"/>
    <w:rsid w:val="002059E2"/>
    <w:rsid w:val="00206E83"/>
    <w:rsid w:val="00206F5D"/>
    <w:rsid w:val="00206F66"/>
    <w:rsid w:val="002070E4"/>
    <w:rsid w:val="0020782B"/>
    <w:rsid w:val="00207A81"/>
    <w:rsid w:val="00207F81"/>
    <w:rsid w:val="002109F4"/>
    <w:rsid w:val="00210B20"/>
    <w:rsid w:val="00210BB1"/>
    <w:rsid w:val="00211F24"/>
    <w:rsid w:val="00211FDA"/>
    <w:rsid w:val="00212430"/>
    <w:rsid w:val="00212C2B"/>
    <w:rsid w:val="00213111"/>
    <w:rsid w:val="00213E4C"/>
    <w:rsid w:val="002141E8"/>
    <w:rsid w:val="0021458F"/>
    <w:rsid w:val="00215FDA"/>
    <w:rsid w:val="002160C2"/>
    <w:rsid w:val="002168B0"/>
    <w:rsid w:val="00217083"/>
    <w:rsid w:val="00221241"/>
    <w:rsid w:val="00221804"/>
    <w:rsid w:val="00221903"/>
    <w:rsid w:val="002219E8"/>
    <w:rsid w:val="002226AC"/>
    <w:rsid w:val="00222BB9"/>
    <w:rsid w:val="00223377"/>
    <w:rsid w:val="00223494"/>
    <w:rsid w:val="0022431F"/>
    <w:rsid w:val="00224336"/>
    <w:rsid w:val="00224BEB"/>
    <w:rsid w:val="0022535D"/>
    <w:rsid w:val="002258D6"/>
    <w:rsid w:val="00225E65"/>
    <w:rsid w:val="00225EA7"/>
    <w:rsid w:val="002261CB"/>
    <w:rsid w:val="002261D2"/>
    <w:rsid w:val="002274FB"/>
    <w:rsid w:val="00227DE5"/>
    <w:rsid w:val="0023098A"/>
    <w:rsid w:val="002309D2"/>
    <w:rsid w:val="00231067"/>
    <w:rsid w:val="0023178B"/>
    <w:rsid w:val="00231B61"/>
    <w:rsid w:val="00232CA5"/>
    <w:rsid w:val="0023315B"/>
    <w:rsid w:val="00233757"/>
    <w:rsid w:val="00234107"/>
    <w:rsid w:val="002347FE"/>
    <w:rsid w:val="002352C9"/>
    <w:rsid w:val="002365E8"/>
    <w:rsid w:val="0023686E"/>
    <w:rsid w:val="00236A34"/>
    <w:rsid w:val="00236C9F"/>
    <w:rsid w:val="0023771A"/>
    <w:rsid w:val="00240592"/>
    <w:rsid w:val="00241007"/>
    <w:rsid w:val="00241146"/>
    <w:rsid w:val="002412ED"/>
    <w:rsid w:val="0024178D"/>
    <w:rsid w:val="00241DDE"/>
    <w:rsid w:val="00241DE8"/>
    <w:rsid w:val="00242E51"/>
    <w:rsid w:val="00242FC2"/>
    <w:rsid w:val="0024392B"/>
    <w:rsid w:val="00244E08"/>
    <w:rsid w:val="002450C6"/>
    <w:rsid w:val="00245DCF"/>
    <w:rsid w:val="00245EFC"/>
    <w:rsid w:val="00246BD7"/>
    <w:rsid w:val="00246C65"/>
    <w:rsid w:val="00246E1F"/>
    <w:rsid w:val="0024721F"/>
    <w:rsid w:val="002509E2"/>
    <w:rsid w:val="002515E4"/>
    <w:rsid w:val="00251772"/>
    <w:rsid w:val="00251A10"/>
    <w:rsid w:val="002523F2"/>
    <w:rsid w:val="00252A78"/>
    <w:rsid w:val="00252A82"/>
    <w:rsid w:val="00252BFF"/>
    <w:rsid w:val="0025301E"/>
    <w:rsid w:val="00253732"/>
    <w:rsid w:val="002542A8"/>
    <w:rsid w:val="0025465E"/>
    <w:rsid w:val="00255D0E"/>
    <w:rsid w:val="00255E93"/>
    <w:rsid w:val="00255FE7"/>
    <w:rsid w:val="00255FF1"/>
    <w:rsid w:val="00256C77"/>
    <w:rsid w:val="00257CA8"/>
    <w:rsid w:val="00260A11"/>
    <w:rsid w:val="00260A6E"/>
    <w:rsid w:val="002613B9"/>
    <w:rsid w:val="002615ED"/>
    <w:rsid w:val="0026169A"/>
    <w:rsid w:val="002623F9"/>
    <w:rsid w:val="00262763"/>
    <w:rsid w:val="00263A9E"/>
    <w:rsid w:val="002647B2"/>
    <w:rsid w:val="00264BEA"/>
    <w:rsid w:val="002652E9"/>
    <w:rsid w:val="0026554F"/>
    <w:rsid w:val="00265A32"/>
    <w:rsid w:val="0026670B"/>
    <w:rsid w:val="002669CD"/>
    <w:rsid w:val="00267850"/>
    <w:rsid w:val="00271032"/>
    <w:rsid w:val="00272409"/>
    <w:rsid w:val="002725F0"/>
    <w:rsid w:val="00272AC0"/>
    <w:rsid w:val="0027333B"/>
    <w:rsid w:val="002734A6"/>
    <w:rsid w:val="0027353B"/>
    <w:rsid w:val="00273E3E"/>
    <w:rsid w:val="00274147"/>
    <w:rsid w:val="00274A63"/>
    <w:rsid w:val="00274B0E"/>
    <w:rsid w:val="00275189"/>
    <w:rsid w:val="0027541C"/>
    <w:rsid w:val="002756DC"/>
    <w:rsid w:val="00275B5B"/>
    <w:rsid w:val="002761BB"/>
    <w:rsid w:val="002761CE"/>
    <w:rsid w:val="00276412"/>
    <w:rsid w:val="00276437"/>
    <w:rsid w:val="00276EC2"/>
    <w:rsid w:val="0027729C"/>
    <w:rsid w:val="0027731F"/>
    <w:rsid w:val="00277511"/>
    <w:rsid w:val="00280053"/>
    <w:rsid w:val="0028013D"/>
    <w:rsid w:val="0028063F"/>
    <w:rsid w:val="00280740"/>
    <w:rsid w:val="002813B9"/>
    <w:rsid w:val="0028191F"/>
    <w:rsid w:val="00282D4A"/>
    <w:rsid w:val="00283B02"/>
    <w:rsid w:val="00283C5D"/>
    <w:rsid w:val="002844B0"/>
    <w:rsid w:val="0028478B"/>
    <w:rsid w:val="00285F31"/>
    <w:rsid w:val="00286322"/>
    <w:rsid w:val="0028763E"/>
    <w:rsid w:val="002915C7"/>
    <w:rsid w:val="00291EE5"/>
    <w:rsid w:val="0029232B"/>
    <w:rsid w:val="002933CB"/>
    <w:rsid w:val="00293581"/>
    <w:rsid w:val="00293640"/>
    <w:rsid w:val="002944FB"/>
    <w:rsid w:val="002951FA"/>
    <w:rsid w:val="00295E99"/>
    <w:rsid w:val="00296A77"/>
    <w:rsid w:val="00296B03"/>
    <w:rsid w:val="00296BC2"/>
    <w:rsid w:val="00296C1F"/>
    <w:rsid w:val="002973ED"/>
    <w:rsid w:val="00297464"/>
    <w:rsid w:val="002A0C55"/>
    <w:rsid w:val="002A1427"/>
    <w:rsid w:val="002A217C"/>
    <w:rsid w:val="002A27FB"/>
    <w:rsid w:val="002A30AE"/>
    <w:rsid w:val="002A3660"/>
    <w:rsid w:val="002A3703"/>
    <w:rsid w:val="002A40F2"/>
    <w:rsid w:val="002A41E6"/>
    <w:rsid w:val="002A44C8"/>
    <w:rsid w:val="002A4762"/>
    <w:rsid w:val="002A4CB5"/>
    <w:rsid w:val="002A4D25"/>
    <w:rsid w:val="002A4D99"/>
    <w:rsid w:val="002A5000"/>
    <w:rsid w:val="002A5E48"/>
    <w:rsid w:val="002A612F"/>
    <w:rsid w:val="002A633A"/>
    <w:rsid w:val="002A64DE"/>
    <w:rsid w:val="002A6D58"/>
    <w:rsid w:val="002A751B"/>
    <w:rsid w:val="002A7FD7"/>
    <w:rsid w:val="002B0059"/>
    <w:rsid w:val="002B0455"/>
    <w:rsid w:val="002B0E4F"/>
    <w:rsid w:val="002B162F"/>
    <w:rsid w:val="002B20D4"/>
    <w:rsid w:val="002B2379"/>
    <w:rsid w:val="002B2394"/>
    <w:rsid w:val="002B261C"/>
    <w:rsid w:val="002B2BEE"/>
    <w:rsid w:val="002B35C5"/>
    <w:rsid w:val="002B3935"/>
    <w:rsid w:val="002B406A"/>
    <w:rsid w:val="002B41D4"/>
    <w:rsid w:val="002B4B67"/>
    <w:rsid w:val="002B52C8"/>
    <w:rsid w:val="002B543F"/>
    <w:rsid w:val="002B57CD"/>
    <w:rsid w:val="002B6BE6"/>
    <w:rsid w:val="002B6D00"/>
    <w:rsid w:val="002B7D73"/>
    <w:rsid w:val="002C06E3"/>
    <w:rsid w:val="002C071D"/>
    <w:rsid w:val="002C0801"/>
    <w:rsid w:val="002C0AF6"/>
    <w:rsid w:val="002C12CB"/>
    <w:rsid w:val="002C145F"/>
    <w:rsid w:val="002C26C3"/>
    <w:rsid w:val="002C33B3"/>
    <w:rsid w:val="002C3AD9"/>
    <w:rsid w:val="002C3BFF"/>
    <w:rsid w:val="002C44B0"/>
    <w:rsid w:val="002C478E"/>
    <w:rsid w:val="002C4B99"/>
    <w:rsid w:val="002C4E07"/>
    <w:rsid w:val="002C5818"/>
    <w:rsid w:val="002C5DE0"/>
    <w:rsid w:val="002C5F98"/>
    <w:rsid w:val="002C66A3"/>
    <w:rsid w:val="002C6D9A"/>
    <w:rsid w:val="002D0586"/>
    <w:rsid w:val="002D05C6"/>
    <w:rsid w:val="002D06C1"/>
    <w:rsid w:val="002D1023"/>
    <w:rsid w:val="002D1459"/>
    <w:rsid w:val="002D1470"/>
    <w:rsid w:val="002D1680"/>
    <w:rsid w:val="002D1EAD"/>
    <w:rsid w:val="002D21CF"/>
    <w:rsid w:val="002D2C1D"/>
    <w:rsid w:val="002D30E8"/>
    <w:rsid w:val="002D398F"/>
    <w:rsid w:val="002D3DB7"/>
    <w:rsid w:val="002D46D7"/>
    <w:rsid w:val="002D4705"/>
    <w:rsid w:val="002D59F3"/>
    <w:rsid w:val="002D5B65"/>
    <w:rsid w:val="002D5F34"/>
    <w:rsid w:val="002D6396"/>
    <w:rsid w:val="002D7E5E"/>
    <w:rsid w:val="002E03AD"/>
    <w:rsid w:val="002E051B"/>
    <w:rsid w:val="002E0587"/>
    <w:rsid w:val="002E07BA"/>
    <w:rsid w:val="002E07EF"/>
    <w:rsid w:val="002E0D06"/>
    <w:rsid w:val="002E1800"/>
    <w:rsid w:val="002E1810"/>
    <w:rsid w:val="002E20A6"/>
    <w:rsid w:val="002E31A9"/>
    <w:rsid w:val="002E3CEF"/>
    <w:rsid w:val="002E4E94"/>
    <w:rsid w:val="002E55D3"/>
    <w:rsid w:val="002E6566"/>
    <w:rsid w:val="002E67DD"/>
    <w:rsid w:val="002E6A90"/>
    <w:rsid w:val="002E7522"/>
    <w:rsid w:val="002F1F28"/>
    <w:rsid w:val="002F2FA2"/>
    <w:rsid w:val="002F3312"/>
    <w:rsid w:val="002F339A"/>
    <w:rsid w:val="002F43CA"/>
    <w:rsid w:val="002F4638"/>
    <w:rsid w:val="002F4B13"/>
    <w:rsid w:val="002F4B17"/>
    <w:rsid w:val="002F4D48"/>
    <w:rsid w:val="002F4E26"/>
    <w:rsid w:val="002F529B"/>
    <w:rsid w:val="002F5728"/>
    <w:rsid w:val="002F57AA"/>
    <w:rsid w:val="002F6920"/>
    <w:rsid w:val="002F6EF7"/>
    <w:rsid w:val="002F707C"/>
    <w:rsid w:val="002F714C"/>
    <w:rsid w:val="002F77BF"/>
    <w:rsid w:val="002F79FB"/>
    <w:rsid w:val="002F7BF5"/>
    <w:rsid w:val="003004A2"/>
    <w:rsid w:val="00300B93"/>
    <w:rsid w:val="00300F82"/>
    <w:rsid w:val="00301D42"/>
    <w:rsid w:val="00303180"/>
    <w:rsid w:val="00303DD5"/>
    <w:rsid w:val="003046BE"/>
    <w:rsid w:val="00304945"/>
    <w:rsid w:val="00304BAA"/>
    <w:rsid w:val="00304C55"/>
    <w:rsid w:val="0030517D"/>
    <w:rsid w:val="00305492"/>
    <w:rsid w:val="003060DA"/>
    <w:rsid w:val="00307315"/>
    <w:rsid w:val="003074C1"/>
    <w:rsid w:val="00307B74"/>
    <w:rsid w:val="003100EF"/>
    <w:rsid w:val="00310764"/>
    <w:rsid w:val="003113F9"/>
    <w:rsid w:val="00311412"/>
    <w:rsid w:val="003117D3"/>
    <w:rsid w:val="0031190F"/>
    <w:rsid w:val="00311BFD"/>
    <w:rsid w:val="00312205"/>
    <w:rsid w:val="0031262D"/>
    <w:rsid w:val="00312917"/>
    <w:rsid w:val="00312FEA"/>
    <w:rsid w:val="0031319F"/>
    <w:rsid w:val="00314718"/>
    <w:rsid w:val="0031488A"/>
    <w:rsid w:val="003155B7"/>
    <w:rsid w:val="003175E1"/>
    <w:rsid w:val="00320203"/>
    <w:rsid w:val="00320810"/>
    <w:rsid w:val="00321B5F"/>
    <w:rsid w:val="00322002"/>
    <w:rsid w:val="003229EF"/>
    <w:rsid w:val="00323432"/>
    <w:rsid w:val="0032389A"/>
    <w:rsid w:val="00323ECC"/>
    <w:rsid w:val="003247B0"/>
    <w:rsid w:val="00325219"/>
    <w:rsid w:val="00325358"/>
    <w:rsid w:val="003259C7"/>
    <w:rsid w:val="00325E81"/>
    <w:rsid w:val="00326682"/>
    <w:rsid w:val="00326948"/>
    <w:rsid w:val="00327052"/>
    <w:rsid w:val="003306B0"/>
    <w:rsid w:val="00331077"/>
    <w:rsid w:val="003313E4"/>
    <w:rsid w:val="00331595"/>
    <w:rsid w:val="00331D26"/>
    <w:rsid w:val="00331D7F"/>
    <w:rsid w:val="003320F7"/>
    <w:rsid w:val="00332409"/>
    <w:rsid w:val="00332FB5"/>
    <w:rsid w:val="00333521"/>
    <w:rsid w:val="00333A13"/>
    <w:rsid w:val="00333B34"/>
    <w:rsid w:val="00333EEA"/>
    <w:rsid w:val="00333EFC"/>
    <w:rsid w:val="0033486D"/>
    <w:rsid w:val="00335851"/>
    <w:rsid w:val="003367C4"/>
    <w:rsid w:val="00336A0E"/>
    <w:rsid w:val="00336D8E"/>
    <w:rsid w:val="00336FB2"/>
    <w:rsid w:val="00337466"/>
    <w:rsid w:val="003376B3"/>
    <w:rsid w:val="00340A6C"/>
    <w:rsid w:val="0034139C"/>
    <w:rsid w:val="00342350"/>
    <w:rsid w:val="00344B00"/>
    <w:rsid w:val="003451F9"/>
    <w:rsid w:val="00345F9C"/>
    <w:rsid w:val="00347776"/>
    <w:rsid w:val="003505C6"/>
    <w:rsid w:val="00350796"/>
    <w:rsid w:val="00350D6C"/>
    <w:rsid w:val="003518BD"/>
    <w:rsid w:val="003519AC"/>
    <w:rsid w:val="00351A91"/>
    <w:rsid w:val="00351F87"/>
    <w:rsid w:val="003520C4"/>
    <w:rsid w:val="00352449"/>
    <w:rsid w:val="00352789"/>
    <w:rsid w:val="00352930"/>
    <w:rsid w:val="00353293"/>
    <w:rsid w:val="003533AE"/>
    <w:rsid w:val="003547A1"/>
    <w:rsid w:val="00355E14"/>
    <w:rsid w:val="00355E2F"/>
    <w:rsid w:val="00356112"/>
    <w:rsid w:val="003564EF"/>
    <w:rsid w:val="00356510"/>
    <w:rsid w:val="00356C0E"/>
    <w:rsid w:val="00357C5E"/>
    <w:rsid w:val="00360547"/>
    <w:rsid w:val="003608BD"/>
    <w:rsid w:val="00360DAA"/>
    <w:rsid w:val="00361280"/>
    <w:rsid w:val="003615F1"/>
    <w:rsid w:val="003618CD"/>
    <w:rsid w:val="00361A6E"/>
    <w:rsid w:val="003634E3"/>
    <w:rsid w:val="00363D7F"/>
    <w:rsid w:val="00364A1D"/>
    <w:rsid w:val="00366508"/>
    <w:rsid w:val="0036655E"/>
    <w:rsid w:val="003673B5"/>
    <w:rsid w:val="00367C66"/>
    <w:rsid w:val="003700B2"/>
    <w:rsid w:val="00371229"/>
    <w:rsid w:val="003715BD"/>
    <w:rsid w:val="0037233D"/>
    <w:rsid w:val="003727F1"/>
    <w:rsid w:val="0037299D"/>
    <w:rsid w:val="0037303B"/>
    <w:rsid w:val="0037325E"/>
    <w:rsid w:val="003734F3"/>
    <w:rsid w:val="003736EF"/>
    <w:rsid w:val="003737E3"/>
    <w:rsid w:val="00373955"/>
    <w:rsid w:val="00373BB5"/>
    <w:rsid w:val="00373D0F"/>
    <w:rsid w:val="003743AA"/>
    <w:rsid w:val="003749F8"/>
    <w:rsid w:val="00375663"/>
    <w:rsid w:val="00376383"/>
    <w:rsid w:val="003764E6"/>
    <w:rsid w:val="003765EF"/>
    <w:rsid w:val="003771BB"/>
    <w:rsid w:val="003773D0"/>
    <w:rsid w:val="00377534"/>
    <w:rsid w:val="00377E9F"/>
    <w:rsid w:val="00380425"/>
    <w:rsid w:val="00380A1A"/>
    <w:rsid w:val="00380BE9"/>
    <w:rsid w:val="00380D80"/>
    <w:rsid w:val="0038144F"/>
    <w:rsid w:val="00381555"/>
    <w:rsid w:val="003819D1"/>
    <w:rsid w:val="00382199"/>
    <w:rsid w:val="0038341E"/>
    <w:rsid w:val="00384114"/>
    <w:rsid w:val="00384622"/>
    <w:rsid w:val="0038500E"/>
    <w:rsid w:val="003867FF"/>
    <w:rsid w:val="003874E5"/>
    <w:rsid w:val="0038761D"/>
    <w:rsid w:val="00387A0C"/>
    <w:rsid w:val="00387CF1"/>
    <w:rsid w:val="003906F8"/>
    <w:rsid w:val="0039116C"/>
    <w:rsid w:val="00391819"/>
    <w:rsid w:val="00391D7C"/>
    <w:rsid w:val="00392729"/>
    <w:rsid w:val="00392E4A"/>
    <w:rsid w:val="003935EE"/>
    <w:rsid w:val="003937A0"/>
    <w:rsid w:val="00393891"/>
    <w:rsid w:val="00393EE9"/>
    <w:rsid w:val="0039408A"/>
    <w:rsid w:val="003942FF"/>
    <w:rsid w:val="003945F5"/>
    <w:rsid w:val="00394DF8"/>
    <w:rsid w:val="003963B5"/>
    <w:rsid w:val="003966BB"/>
    <w:rsid w:val="0039673D"/>
    <w:rsid w:val="00396A95"/>
    <w:rsid w:val="00397050"/>
    <w:rsid w:val="003970A8"/>
    <w:rsid w:val="00397598"/>
    <w:rsid w:val="003975DA"/>
    <w:rsid w:val="00397893"/>
    <w:rsid w:val="00397DD6"/>
    <w:rsid w:val="003A0051"/>
    <w:rsid w:val="003A075C"/>
    <w:rsid w:val="003A1F87"/>
    <w:rsid w:val="003A2407"/>
    <w:rsid w:val="003A27A0"/>
    <w:rsid w:val="003A28AF"/>
    <w:rsid w:val="003A2C9B"/>
    <w:rsid w:val="003A2CF0"/>
    <w:rsid w:val="003A2D39"/>
    <w:rsid w:val="003A33D3"/>
    <w:rsid w:val="003A3547"/>
    <w:rsid w:val="003A366E"/>
    <w:rsid w:val="003A36AA"/>
    <w:rsid w:val="003A3880"/>
    <w:rsid w:val="003A3F56"/>
    <w:rsid w:val="003A4372"/>
    <w:rsid w:val="003A4B52"/>
    <w:rsid w:val="003A5B85"/>
    <w:rsid w:val="003A5BC5"/>
    <w:rsid w:val="003A5D55"/>
    <w:rsid w:val="003A6767"/>
    <w:rsid w:val="003A6CDD"/>
    <w:rsid w:val="003A75E6"/>
    <w:rsid w:val="003A7666"/>
    <w:rsid w:val="003B01C3"/>
    <w:rsid w:val="003B1134"/>
    <w:rsid w:val="003B1A51"/>
    <w:rsid w:val="003B1CB3"/>
    <w:rsid w:val="003B23F5"/>
    <w:rsid w:val="003B255B"/>
    <w:rsid w:val="003B2C47"/>
    <w:rsid w:val="003B3317"/>
    <w:rsid w:val="003B3FE5"/>
    <w:rsid w:val="003B4156"/>
    <w:rsid w:val="003B4A45"/>
    <w:rsid w:val="003B4B2F"/>
    <w:rsid w:val="003B5229"/>
    <w:rsid w:val="003B52D4"/>
    <w:rsid w:val="003B5810"/>
    <w:rsid w:val="003B5C8E"/>
    <w:rsid w:val="003B5D6D"/>
    <w:rsid w:val="003B66A8"/>
    <w:rsid w:val="003B6A26"/>
    <w:rsid w:val="003B7D98"/>
    <w:rsid w:val="003C004A"/>
    <w:rsid w:val="003C00DB"/>
    <w:rsid w:val="003C121D"/>
    <w:rsid w:val="003C16F0"/>
    <w:rsid w:val="003C181E"/>
    <w:rsid w:val="003C19E4"/>
    <w:rsid w:val="003C1B77"/>
    <w:rsid w:val="003C1CA5"/>
    <w:rsid w:val="003C1EC7"/>
    <w:rsid w:val="003C2118"/>
    <w:rsid w:val="003C3D8D"/>
    <w:rsid w:val="003C3D8E"/>
    <w:rsid w:val="003C4054"/>
    <w:rsid w:val="003C41A3"/>
    <w:rsid w:val="003C47D5"/>
    <w:rsid w:val="003C4A51"/>
    <w:rsid w:val="003C53BE"/>
    <w:rsid w:val="003C5842"/>
    <w:rsid w:val="003C5E2C"/>
    <w:rsid w:val="003C64A0"/>
    <w:rsid w:val="003C6DAB"/>
    <w:rsid w:val="003C6F0B"/>
    <w:rsid w:val="003C75CA"/>
    <w:rsid w:val="003C7BA3"/>
    <w:rsid w:val="003D084D"/>
    <w:rsid w:val="003D0982"/>
    <w:rsid w:val="003D1021"/>
    <w:rsid w:val="003D156A"/>
    <w:rsid w:val="003D15D4"/>
    <w:rsid w:val="003D17CE"/>
    <w:rsid w:val="003D1DF4"/>
    <w:rsid w:val="003D20A1"/>
    <w:rsid w:val="003D3907"/>
    <w:rsid w:val="003D3F4C"/>
    <w:rsid w:val="003D46C3"/>
    <w:rsid w:val="003D4E9C"/>
    <w:rsid w:val="003D56C4"/>
    <w:rsid w:val="003D6228"/>
    <w:rsid w:val="003D65A8"/>
    <w:rsid w:val="003D6E11"/>
    <w:rsid w:val="003E0D78"/>
    <w:rsid w:val="003E0E44"/>
    <w:rsid w:val="003E0E52"/>
    <w:rsid w:val="003E1318"/>
    <w:rsid w:val="003E155F"/>
    <w:rsid w:val="003E1CB1"/>
    <w:rsid w:val="003E354A"/>
    <w:rsid w:val="003E3742"/>
    <w:rsid w:val="003E3A1D"/>
    <w:rsid w:val="003E4264"/>
    <w:rsid w:val="003E4985"/>
    <w:rsid w:val="003E574C"/>
    <w:rsid w:val="003E6614"/>
    <w:rsid w:val="003E6B5F"/>
    <w:rsid w:val="003E6CA0"/>
    <w:rsid w:val="003E72CF"/>
    <w:rsid w:val="003F005C"/>
    <w:rsid w:val="003F00DB"/>
    <w:rsid w:val="003F1003"/>
    <w:rsid w:val="003F1071"/>
    <w:rsid w:val="003F17C0"/>
    <w:rsid w:val="003F1F41"/>
    <w:rsid w:val="003F21F2"/>
    <w:rsid w:val="003F2FD3"/>
    <w:rsid w:val="003F2FDE"/>
    <w:rsid w:val="003F330B"/>
    <w:rsid w:val="003F4201"/>
    <w:rsid w:val="003F45E1"/>
    <w:rsid w:val="003F4A85"/>
    <w:rsid w:val="003F4C30"/>
    <w:rsid w:val="003F4C9B"/>
    <w:rsid w:val="003F504B"/>
    <w:rsid w:val="003F5733"/>
    <w:rsid w:val="003F5CBF"/>
    <w:rsid w:val="003F60A5"/>
    <w:rsid w:val="003F63F2"/>
    <w:rsid w:val="003F6645"/>
    <w:rsid w:val="003F6FDF"/>
    <w:rsid w:val="003F7713"/>
    <w:rsid w:val="0040054A"/>
    <w:rsid w:val="0040068A"/>
    <w:rsid w:val="00400820"/>
    <w:rsid w:val="004016F5"/>
    <w:rsid w:val="00401C7D"/>
    <w:rsid w:val="004020E2"/>
    <w:rsid w:val="00402220"/>
    <w:rsid w:val="00402A22"/>
    <w:rsid w:val="0040320B"/>
    <w:rsid w:val="004045AA"/>
    <w:rsid w:val="00404917"/>
    <w:rsid w:val="00404960"/>
    <w:rsid w:val="0040549A"/>
    <w:rsid w:val="00405CC9"/>
    <w:rsid w:val="0040711E"/>
    <w:rsid w:val="004075D0"/>
    <w:rsid w:val="00407D67"/>
    <w:rsid w:val="00412450"/>
    <w:rsid w:val="0041276A"/>
    <w:rsid w:val="00412C7D"/>
    <w:rsid w:val="0041330B"/>
    <w:rsid w:val="004138DE"/>
    <w:rsid w:val="00413B39"/>
    <w:rsid w:val="004145B9"/>
    <w:rsid w:val="00414B2F"/>
    <w:rsid w:val="00415E58"/>
    <w:rsid w:val="00416231"/>
    <w:rsid w:val="00416297"/>
    <w:rsid w:val="00416B26"/>
    <w:rsid w:val="004206F6"/>
    <w:rsid w:val="004208AB"/>
    <w:rsid w:val="004213DA"/>
    <w:rsid w:val="004219EF"/>
    <w:rsid w:val="00421A72"/>
    <w:rsid w:val="00422BE6"/>
    <w:rsid w:val="004234AB"/>
    <w:rsid w:val="00424348"/>
    <w:rsid w:val="004249EE"/>
    <w:rsid w:val="00426070"/>
    <w:rsid w:val="00426A1E"/>
    <w:rsid w:val="00426CD9"/>
    <w:rsid w:val="0042716C"/>
    <w:rsid w:val="004276B9"/>
    <w:rsid w:val="004276D4"/>
    <w:rsid w:val="00430318"/>
    <w:rsid w:val="00430FEB"/>
    <w:rsid w:val="004310EE"/>
    <w:rsid w:val="00431316"/>
    <w:rsid w:val="004331E9"/>
    <w:rsid w:val="00433677"/>
    <w:rsid w:val="004340D5"/>
    <w:rsid w:val="004343F5"/>
    <w:rsid w:val="00434880"/>
    <w:rsid w:val="004348D9"/>
    <w:rsid w:val="00434A21"/>
    <w:rsid w:val="004351C0"/>
    <w:rsid w:val="0043526D"/>
    <w:rsid w:val="00435584"/>
    <w:rsid w:val="004407A5"/>
    <w:rsid w:val="00441E57"/>
    <w:rsid w:val="004427A8"/>
    <w:rsid w:val="00443AB7"/>
    <w:rsid w:val="00443D1B"/>
    <w:rsid w:val="00443E36"/>
    <w:rsid w:val="00443F97"/>
    <w:rsid w:val="00444A64"/>
    <w:rsid w:val="0044563B"/>
    <w:rsid w:val="00445A22"/>
    <w:rsid w:val="00445B4B"/>
    <w:rsid w:val="00445D27"/>
    <w:rsid w:val="004460B4"/>
    <w:rsid w:val="004460E9"/>
    <w:rsid w:val="0044693C"/>
    <w:rsid w:val="0044738E"/>
    <w:rsid w:val="00447B6F"/>
    <w:rsid w:val="00447D89"/>
    <w:rsid w:val="0045030A"/>
    <w:rsid w:val="004511E8"/>
    <w:rsid w:val="00451ECB"/>
    <w:rsid w:val="00452D15"/>
    <w:rsid w:val="00453623"/>
    <w:rsid w:val="00453C11"/>
    <w:rsid w:val="004543EB"/>
    <w:rsid w:val="004549ED"/>
    <w:rsid w:val="00454B5E"/>
    <w:rsid w:val="004557B0"/>
    <w:rsid w:val="00456B94"/>
    <w:rsid w:val="004575B3"/>
    <w:rsid w:val="00457946"/>
    <w:rsid w:val="00457D8B"/>
    <w:rsid w:val="00460A17"/>
    <w:rsid w:val="00461168"/>
    <w:rsid w:val="00462351"/>
    <w:rsid w:val="00462BDA"/>
    <w:rsid w:val="00462CBD"/>
    <w:rsid w:val="00462F79"/>
    <w:rsid w:val="00463A7F"/>
    <w:rsid w:val="00463ECE"/>
    <w:rsid w:val="0046445E"/>
    <w:rsid w:val="004704EC"/>
    <w:rsid w:val="00470CB5"/>
    <w:rsid w:val="00471933"/>
    <w:rsid w:val="00471EAB"/>
    <w:rsid w:val="0047214F"/>
    <w:rsid w:val="004721DC"/>
    <w:rsid w:val="004723A7"/>
    <w:rsid w:val="004723EE"/>
    <w:rsid w:val="00472F83"/>
    <w:rsid w:val="004731D2"/>
    <w:rsid w:val="00473508"/>
    <w:rsid w:val="004740EB"/>
    <w:rsid w:val="00474444"/>
    <w:rsid w:val="00474D00"/>
    <w:rsid w:val="00475A92"/>
    <w:rsid w:val="00476109"/>
    <w:rsid w:val="00476E95"/>
    <w:rsid w:val="00477BB9"/>
    <w:rsid w:val="004803B9"/>
    <w:rsid w:val="00481615"/>
    <w:rsid w:val="0048204F"/>
    <w:rsid w:val="00482D1E"/>
    <w:rsid w:val="004835BF"/>
    <w:rsid w:val="004859EE"/>
    <w:rsid w:val="00486158"/>
    <w:rsid w:val="00486AF7"/>
    <w:rsid w:val="00486D7A"/>
    <w:rsid w:val="00487366"/>
    <w:rsid w:val="004873E4"/>
    <w:rsid w:val="004879B5"/>
    <w:rsid w:val="004900AF"/>
    <w:rsid w:val="00490356"/>
    <w:rsid w:val="0049072C"/>
    <w:rsid w:val="004908E2"/>
    <w:rsid w:val="00490DA0"/>
    <w:rsid w:val="00490FD1"/>
    <w:rsid w:val="00491421"/>
    <w:rsid w:val="00491AD2"/>
    <w:rsid w:val="004929C5"/>
    <w:rsid w:val="004935C0"/>
    <w:rsid w:val="00493B43"/>
    <w:rsid w:val="0049408C"/>
    <w:rsid w:val="00494E16"/>
    <w:rsid w:val="00494EB1"/>
    <w:rsid w:val="00495408"/>
    <w:rsid w:val="0049634C"/>
    <w:rsid w:val="00496414"/>
    <w:rsid w:val="00496472"/>
    <w:rsid w:val="00497A38"/>
    <w:rsid w:val="00497FED"/>
    <w:rsid w:val="004A01F1"/>
    <w:rsid w:val="004A0349"/>
    <w:rsid w:val="004A0E00"/>
    <w:rsid w:val="004A13A1"/>
    <w:rsid w:val="004A16B7"/>
    <w:rsid w:val="004A2AD5"/>
    <w:rsid w:val="004A3FD3"/>
    <w:rsid w:val="004A44D5"/>
    <w:rsid w:val="004A45BD"/>
    <w:rsid w:val="004A4656"/>
    <w:rsid w:val="004A4878"/>
    <w:rsid w:val="004A51E4"/>
    <w:rsid w:val="004A553A"/>
    <w:rsid w:val="004A55A9"/>
    <w:rsid w:val="004A609D"/>
    <w:rsid w:val="004A77B0"/>
    <w:rsid w:val="004A7FF6"/>
    <w:rsid w:val="004B08A9"/>
    <w:rsid w:val="004B1CED"/>
    <w:rsid w:val="004B2339"/>
    <w:rsid w:val="004B34A7"/>
    <w:rsid w:val="004B3B06"/>
    <w:rsid w:val="004B428F"/>
    <w:rsid w:val="004B4473"/>
    <w:rsid w:val="004B4643"/>
    <w:rsid w:val="004B47F7"/>
    <w:rsid w:val="004B54FC"/>
    <w:rsid w:val="004B5659"/>
    <w:rsid w:val="004B7373"/>
    <w:rsid w:val="004B7F67"/>
    <w:rsid w:val="004C00CD"/>
    <w:rsid w:val="004C06BE"/>
    <w:rsid w:val="004C0938"/>
    <w:rsid w:val="004C0953"/>
    <w:rsid w:val="004C0A52"/>
    <w:rsid w:val="004C1994"/>
    <w:rsid w:val="004C25EE"/>
    <w:rsid w:val="004C2708"/>
    <w:rsid w:val="004C2B4C"/>
    <w:rsid w:val="004C4221"/>
    <w:rsid w:val="004C4409"/>
    <w:rsid w:val="004C4413"/>
    <w:rsid w:val="004C4A19"/>
    <w:rsid w:val="004C4FBE"/>
    <w:rsid w:val="004C6539"/>
    <w:rsid w:val="004C6F43"/>
    <w:rsid w:val="004C70FC"/>
    <w:rsid w:val="004C7C3C"/>
    <w:rsid w:val="004D105E"/>
    <w:rsid w:val="004D175C"/>
    <w:rsid w:val="004D1B1E"/>
    <w:rsid w:val="004D1B27"/>
    <w:rsid w:val="004D20FF"/>
    <w:rsid w:val="004D2675"/>
    <w:rsid w:val="004D3848"/>
    <w:rsid w:val="004D4080"/>
    <w:rsid w:val="004D4DEC"/>
    <w:rsid w:val="004D756F"/>
    <w:rsid w:val="004E0583"/>
    <w:rsid w:val="004E05FD"/>
    <w:rsid w:val="004E07C2"/>
    <w:rsid w:val="004E1A0D"/>
    <w:rsid w:val="004E23F5"/>
    <w:rsid w:val="004E2DD5"/>
    <w:rsid w:val="004E37D7"/>
    <w:rsid w:val="004E4A8E"/>
    <w:rsid w:val="004E4F59"/>
    <w:rsid w:val="004E5418"/>
    <w:rsid w:val="004E55D0"/>
    <w:rsid w:val="004E5B0F"/>
    <w:rsid w:val="004E63E5"/>
    <w:rsid w:val="004E65A9"/>
    <w:rsid w:val="004E6B76"/>
    <w:rsid w:val="004E73CF"/>
    <w:rsid w:val="004E7663"/>
    <w:rsid w:val="004F0B67"/>
    <w:rsid w:val="004F0E1B"/>
    <w:rsid w:val="004F1437"/>
    <w:rsid w:val="004F163F"/>
    <w:rsid w:val="004F1E76"/>
    <w:rsid w:val="004F251E"/>
    <w:rsid w:val="004F252C"/>
    <w:rsid w:val="004F295B"/>
    <w:rsid w:val="004F2A39"/>
    <w:rsid w:val="004F2C82"/>
    <w:rsid w:val="004F32F3"/>
    <w:rsid w:val="004F3540"/>
    <w:rsid w:val="004F36D9"/>
    <w:rsid w:val="004F3701"/>
    <w:rsid w:val="004F52DB"/>
    <w:rsid w:val="004F5624"/>
    <w:rsid w:val="004F5DA4"/>
    <w:rsid w:val="004F62B2"/>
    <w:rsid w:val="004F635E"/>
    <w:rsid w:val="004F6424"/>
    <w:rsid w:val="004F7658"/>
    <w:rsid w:val="005013B8"/>
    <w:rsid w:val="005028D7"/>
    <w:rsid w:val="00502F24"/>
    <w:rsid w:val="0050321E"/>
    <w:rsid w:val="00503863"/>
    <w:rsid w:val="005040CD"/>
    <w:rsid w:val="005051C7"/>
    <w:rsid w:val="00505229"/>
    <w:rsid w:val="00505E06"/>
    <w:rsid w:val="00506BCE"/>
    <w:rsid w:val="00507624"/>
    <w:rsid w:val="005076B9"/>
    <w:rsid w:val="00507F98"/>
    <w:rsid w:val="00507FE1"/>
    <w:rsid w:val="00507FFC"/>
    <w:rsid w:val="00510250"/>
    <w:rsid w:val="005108A3"/>
    <w:rsid w:val="00510DF4"/>
    <w:rsid w:val="00510F64"/>
    <w:rsid w:val="00510F6E"/>
    <w:rsid w:val="0051109A"/>
    <w:rsid w:val="00511422"/>
    <w:rsid w:val="005116A2"/>
    <w:rsid w:val="005118AE"/>
    <w:rsid w:val="00513359"/>
    <w:rsid w:val="00513378"/>
    <w:rsid w:val="00513552"/>
    <w:rsid w:val="0051587A"/>
    <w:rsid w:val="005158FA"/>
    <w:rsid w:val="00515D41"/>
    <w:rsid w:val="00516324"/>
    <w:rsid w:val="005169AD"/>
    <w:rsid w:val="005205B4"/>
    <w:rsid w:val="005205CE"/>
    <w:rsid w:val="005208B9"/>
    <w:rsid w:val="0052194E"/>
    <w:rsid w:val="00521A3F"/>
    <w:rsid w:val="005221F0"/>
    <w:rsid w:val="0052250E"/>
    <w:rsid w:val="005226F8"/>
    <w:rsid w:val="0052337C"/>
    <w:rsid w:val="0052393E"/>
    <w:rsid w:val="00523EA4"/>
    <w:rsid w:val="00524807"/>
    <w:rsid w:val="00525267"/>
    <w:rsid w:val="005252FE"/>
    <w:rsid w:val="00525493"/>
    <w:rsid w:val="00525FF9"/>
    <w:rsid w:val="005261C4"/>
    <w:rsid w:val="005262BC"/>
    <w:rsid w:val="00530BF5"/>
    <w:rsid w:val="00531847"/>
    <w:rsid w:val="005318C8"/>
    <w:rsid w:val="005318D6"/>
    <w:rsid w:val="00531BDA"/>
    <w:rsid w:val="00532636"/>
    <w:rsid w:val="00532873"/>
    <w:rsid w:val="00532C41"/>
    <w:rsid w:val="00532D3F"/>
    <w:rsid w:val="0053386D"/>
    <w:rsid w:val="00534700"/>
    <w:rsid w:val="005349C8"/>
    <w:rsid w:val="00534AA4"/>
    <w:rsid w:val="00535352"/>
    <w:rsid w:val="00535BD0"/>
    <w:rsid w:val="0053635E"/>
    <w:rsid w:val="0053791F"/>
    <w:rsid w:val="00540D58"/>
    <w:rsid w:val="0054134D"/>
    <w:rsid w:val="0054182F"/>
    <w:rsid w:val="00542646"/>
    <w:rsid w:val="005434A9"/>
    <w:rsid w:val="00543954"/>
    <w:rsid w:val="00543D28"/>
    <w:rsid w:val="00543F61"/>
    <w:rsid w:val="00543FB0"/>
    <w:rsid w:val="0054412A"/>
    <w:rsid w:val="00544277"/>
    <w:rsid w:val="00544970"/>
    <w:rsid w:val="0054525A"/>
    <w:rsid w:val="00546D22"/>
    <w:rsid w:val="00547082"/>
    <w:rsid w:val="00547538"/>
    <w:rsid w:val="00547706"/>
    <w:rsid w:val="0055023D"/>
    <w:rsid w:val="00550C39"/>
    <w:rsid w:val="00550FBF"/>
    <w:rsid w:val="005517D1"/>
    <w:rsid w:val="005529EC"/>
    <w:rsid w:val="00552A4F"/>
    <w:rsid w:val="005531F1"/>
    <w:rsid w:val="005533E9"/>
    <w:rsid w:val="005537D5"/>
    <w:rsid w:val="005538CF"/>
    <w:rsid w:val="00553A61"/>
    <w:rsid w:val="00553BCF"/>
    <w:rsid w:val="00553BFA"/>
    <w:rsid w:val="00554091"/>
    <w:rsid w:val="00554D05"/>
    <w:rsid w:val="00554F59"/>
    <w:rsid w:val="00554FC1"/>
    <w:rsid w:val="005567D3"/>
    <w:rsid w:val="00557E5C"/>
    <w:rsid w:val="005600D3"/>
    <w:rsid w:val="0056077E"/>
    <w:rsid w:val="005609D9"/>
    <w:rsid w:val="00560EDA"/>
    <w:rsid w:val="00561B8E"/>
    <w:rsid w:val="005629EE"/>
    <w:rsid w:val="005648FA"/>
    <w:rsid w:val="00564D50"/>
    <w:rsid w:val="00564F60"/>
    <w:rsid w:val="00565317"/>
    <w:rsid w:val="0056580A"/>
    <w:rsid w:val="00567346"/>
    <w:rsid w:val="0057013E"/>
    <w:rsid w:val="00570144"/>
    <w:rsid w:val="00570BAE"/>
    <w:rsid w:val="00570E8D"/>
    <w:rsid w:val="005719E6"/>
    <w:rsid w:val="00571C30"/>
    <w:rsid w:val="0057204B"/>
    <w:rsid w:val="005727AD"/>
    <w:rsid w:val="0057371B"/>
    <w:rsid w:val="00573C51"/>
    <w:rsid w:val="00575823"/>
    <w:rsid w:val="00575B84"/>
    <w:rsid w:val="00575E79"/>
    <w:rsid w:val="00575EB8"/>
    <w:rsid w:val="0057640C"/>
    <w:rsid w:val="005765DB"/>
    <w:rsid w:val="00576FF2"/>
    <w:rsid w:val="0057769A"/>
    <w:rsid w:val="005776B3"/>
    <w:rsid w:val="00577854"/>
    <w:rsid w:val="00577F28"/>
    <w:rsid w:val="00580128"/>
    <w:rsid w:val="00580820"/>
    <w:rsid w:val="005811F6"/>
    <w:rsid w:val="0058178C"/>
    <w:rsid w:val="00581F48"/>
    <w:rsid w:val="005828A8"/>
    <w:rsid w:val="00582A9B"/>
    <w:rsid w:val="005832AB"/>
    <w:rsid w:val="00583529"/>
    <w:rsid w:val="00583C02"/>
    <w:rsid w:val="00583E76"/>
    <w:rsid w:val="0058437C"/>
    <w:rsid w:val="005843CE"/>
    <w:rsid w:val="0058486B"/>
    <w:rsid w:val="00585026"/>
    <w:rsid w:val="00585589"/>
    <w:rsid w:val="005869EC"/>
    <w:rsid w:val="00587AAD"/>
    <w:rsid w:val="00590094"/>
    <w:rsid w:val="0059037A"/>
    <w:rsid w:val="0059046E"/>
    <w:rsid w:val="00592435"/>
    <w:rsid w:val="00592B90"/>
    <w:rsid w:val="00592E84"/>
    <w:rsid w:val="005931ED"/>
    <w:rsid w:val="005935F4"/>
    <w:rsid w:val="00593E0A"/>
    <w:rsid w:val="00594775"/>
    <w:rsid w:val="005955B1"/>
    <w:rsid w:val="005967C5"/>
    <w:rsid w:val="005A06D3"/>
    <w:rsid w:val="005A071E"/>
    <w:rsid w:val="005A0F95"/>
    <w:rsid w:val="005A167F"/>
    <w:rsid w:val="005A2C79"/>
    <w:rsid w:val="005A31E7"/>
    <w:rsid w:val="005A346E"/>
    <w:rsid w:val="005A3DE1"/>
    <w:rsid w:val="005A476C"/>
    <w:rsid w:val="005A5093"/>
    <w:rsid w:val="005A532E"/>
    <w:rsid w:val="005A5F3F"/>
    <w:rsid w:val="005A6671"/>
    <w:rsid w:val="005A673C"/>
    <w:rsid w:val="005A727C"/>
    <w:rsid w:val="005A73CF"/>
    <w:rsid w:val="005A76C6"/>
    <w:rsid w:val="005B0F61"/>
    <w:rsid w:val="005B15CC"/>
    <w:rsid w:val="005B2440"/>
    <w:rsid w:val="005B2AF3"/>
    <w:rsid w:val="005B2DF7"/>
    <w:rsid w:val="005B3D88"/>
    <w:rsid w:val="005B3F6F"/>
    <w:rsid w:val="005B4668"/>
    <w:rsid w:val="005B6ADA"/>
    <w:rsid w:val="005B6F0D"/>
    <w:rsid w:val="005B798B"/>
    <w:rsid w:val="005B7C5F"/>
    <w:rsid w:val="005C1C9C"/>
    <w:rsid w:val="005C1FAE"/>
    <w:rsid w:val="005C2426"/>
    <w:rsid w:val="005C2B2F"/>
    <w:rsid w:val="005C333A"/>
    <w:rsid w:val="005C39E8"/>
    <w:rsid w:val="005C3CC6"/>
    <w:rsid w:val="005C5660"/>
    <w:rsid w:val="005C593C"/>
    <w:rsid w:val="005C6480"/>
    <w:rsid w:val="005C672F"/>
    <w:rsid w:val="005C6FD2"/>
    <w:rsid w:val="005C72E3"/>
    <w:rsid w:val="005C7C11"/>
    <w:rsid w:val="005C7CCA"/>
    <w:rsid w:val="005D172B"/>
    <w:rsid w:val="005D17BE"/>
    <w:rsid w:val="005D266C"/>
    <w:rsid w:val="005D26AD"/>
    <w:rsid w:val="005D2774"/>
    <w:rsid w:val="005D302D"/>
    <w:rsid w:val="005D3093"/>
    <w:rsid w:val="005D37FE"/>
    <w:rsid w:val="005D4B68"/>
    <w:rsid w:val="005D57CE"/>
    <w:rsid w:val="005D5950"/>
    <w:rsid w:val="005D5970"/>
    <w:rsid w:val="005D6015"/>
    <w:rsid w:val="005D6A96"/>
    <w:rsid w:val="005E0535"/>
    <w:rsid w:val="005E06F2"/>
    <w:rsid w:val="005E0D19"/>
    <w:rsid w:val="005E11C1"/>
    <w:rsid w:val="005E1F2C"/>
    <w:rsid w:val="005E2509"/>
    <w:rsid w:val="005E2563"/>
    <w:rsid w:val="005E394C"/>
    <w:rsid w:val="005E42BF"/>
    <w:rsid w:val="005E472B"/>
    <w:rsid w:val="005E4E70"/>
    <w:rsid w:val="005E5095"/>
    <w:rsid w:val="005E604D"/>
    <w:rsid w:val="005E62D0"/>
    <w:rsid w:val="005E65BB"/>
    <w:rsid w:val="005E7AD2"/>
    <w:rsid w:val="005F0689"/>
    <w:rsid w:val="005F0DA0"/>
    <w:rsid w:val="005F12E8"/>
    <w:rsid w:val="005F2767"/>
    <w:rsid w:val="005F2BFB"/>
    <w:rsid w:val="005F3AA4"/>
    <w:rsid w:val="005F3D48"/>
    <w:rsid w:val="005F3FA5"/>
    <w:rsid w:val="005F4914"/>
    <w:rsid w:val="005F4A2E"/>
    <w:rsid w:val="005F4C33"/>
    <w:rsid w:val="005F54F2"/>
    <w:rsid w:val="005F552C"/>
    <w:rsid w:val="005F62B7"/>
    <w:rsid w:val="005F6869"/>
    <w:rsid w:val="005F6A93"/>
    <w:rsid w:val="005F6BB9"/>
    <w:rsid w:val="005F7BCE"/>
    <w:rsid w:val="00600C91"/>
    <w:rsid w:val="00600EE7"/>
    <w:rsid w:val="00602029"/>
    <w:rsid w:val="00602096"/>
    <w:rsid w:val="00603148"/>
    <w:rsid w:val="006045FF"/>
    <w:rsid w:val="00604F57"/>
    <w:rsid w:val="00605019"/>
    <w:rsid w:val="006059A1"/>
    <w:rsid w:val="00605DE8"/>
    <w:rsid w:val="006060B8"/>
    <w:rsid w:val="00606FC7"/>
    <w:rsid w:val="00607886"/>
    <w:rsid w:val="00610456"/>
    <w:rsid w:val="00611473"/>
    <w:rsid w:val="00611B36"/>
    <w:rsid w:val="006122CA"/>
    <w:rsid w:val="00612342"/>
    <w:rsid w:val="00613994"/>
    <w:rsid w:val="00613A34"/>
    <w:rsid w:val="00613DE3"/>
    <w:rsid w:val="006143EE"/>
    <w:rsid w:val="00614683"/>
    <w:rsid w:val="00614788"/>
    <w:rsid w:val="00614C9F"/>
    <w:rsid w:val="00614D17"/>
    <w:rsid w:val="00615ADA"/>
    <w:rsid w:val="006162A0"/>
    <w:rsid w:val="00616A2D"/>
    <w:rsid w:val="00616C62"/>
    <w:rsid w:val="0061790B"/>
    <w:rsid w:val="00617E30"/>
    <w:rsid w:val="00617F66"/>
    <w:rsid w:val="006212C4"/>
    <w:rsid w:val="0062179D"/>
    <w:rsid w:val="006221CD"/>
    <w:rsid w:val="00622483"/>
    <w:rsid w:val="006226E3"/>
    <w:rsid w:val="006230C0"/>
    <w:rsid w:val="00623833"/>
    <w:rsid w:val="0062387D"/>
    <w:rsid w:val="006247EE"/>
    <w:rsid w:val="00625A5E"/>
    <w:rsid w:val="00625F07"/>
    <w:rsid w:val="00626338"/>
    <w:rsid w:val="006266A9"/>
    <w:rsid w:val="00626B02"/>
    <w:rsid w:val="006271E8"/>
    <w:rsid w:val="0062751C"/>
    <w:rsid w:val="0062763D"/>
    <w:rsid w:val="00627FD8"/>
    <w:rsid w:val="00630426"/>
    <w:rsid w:val="006314B9"/>
    <w:rsid w:val="0063150F"/>
    <w:rsid w:val="006316C1"/>
    <w:rsid w:val="00631ED4"/>
    <w:rsid w:val="00632DEF"/>
    <w:rsid w:val="00633BC7"/>
    <w:rsid w:val="00633DB7"/>
    <w:rsid w:val="00635AC7"/>
    <w:rsid w:val="00635E9C"/>
    <w:rsid w:val="006378A6"/>
    <w:rsid w:val="00637B41"/>
    <w:rsid w:val="006406A9"/>
    <w:rsid w:val="006412EB"/>
    <w:rsid w:val="006414EE"/>
    <w:rsid w:val="00642524"/>
    <w:rsid w:val="00642D0A"/>
    <w:rsid w:val="0064448B"/>
    <w:rsid w:val="006447FD"/>
    <w:rsid w:val="00644AB9"/>
    <w:rsid w:val="00644FA2"/>
    <w:rsid w:val="00645423"/>
    <w:rsid w:val="00645CA3"/>
    <w:rsid w:val="00645DA3"/>
    <w:rsid w:val="00645DD8"/>
    <w:rsid w:val="0064630E"/>
    <w:rsid w:val="00646FE1"/>
    <w:rsid w:val="00647075"/>
    <w:rsid w:val="006474E0"/>
    <w:rsid w:val="00647622"/>
    <w:rsid w:val="00647FC3"/>
    <w:rsid w:val="00651A4B"/>
    <w:rsid w:val="00651D04"/>
    <w:rsid w:val="00651FD0"/>
    <w:rsid w:val="006539A7"/>
    <w:rsid w:val="00655397"/>
    <w:rsid w:val="0065580F"/>
    <w:rsid w:val="0065581D"/>
    <w:rsid w:val="00655C2F"/>
    <w:rsid w:val="00656337"/>
    <w:rsid w:val="006571AC"/>
    <w:rsid w:val="00660403"/>
    <w:rsid w:val="00661140"/>
    <w:rsid w:val="00663592"/>
    <w:rsid w:val="006638CB"/>
    <w:rsid w:val="00663DD8"/>
    <w:rsid w:val="006648AD"/>
    <w:rsid w:val="00664E37"/>
    <w:rsid w:val="00665220"/>
    <w:rsid w:val="00665FDA"/>
    <w:rsid w:val="00666B1A"/>
    <w:rsid w:val="006710DD"/>
    <w:rsid w:val="0067169D"/>
    <w:rsid w:val="0067187A"/>
    <w:rsid w:val="00671EA6"/>
    <w:rsid w:val="006720FB"/>
    <w:rsid w:val="006725C2"/>
    <w:rsid w:val="00672B95"/>
    <w:rsid w:val="00673200"/>
    <w:rsid w:val="00673DF7"/>
    <w:rsid w:val="00673E7B"/>
    <w:rsid w:val="00674316"/>
    <w:rsid w:val="0067501E"/>
    <w:rsid w:val="0067534A"/>
    <w:rsid w:val="006765FF"/>
    <w:rsid w:val="006773D2"/>
    <w:rsid w:val="006775AA"/>
    <w:rsid w:val="00677D05"/>
    <w:rsid w:val="00677FD7"/>
    <w:rsid w:val="006800E5"/>
    <w:rsid w:val="00680247"/>
    <w:rsid w:val="00680581"/>
    <w:rsid w:val="00680CF0"/>
    <w:rsid w:val="006818B4"/>
    <w:rsid w:val="00681A41"/>
    <w:rsid w:val="00681D07"/>
    <w:rsid w:val="006821B2"/>
    <w:rsid w:val="00682E56"/>
    <w:rsid w:val="006838C0"/>
    <w:rsid w:val="00683918"/>
    <w:rsid w:val="00683F30"/>
    <w:rsid w:val="00685029"/>
    <w:rsid w:val="00685901"/>
    <w:rsid w:val="00685BB9"/>
    <w:rsid w:val="00686E1E"/>
    <w:rsid w:val="0068719B"/>
    <w:rsid w:val="00690127"/>
    <w:rsid w:val="006901D7"/>
    <w:rsid w:val="00691404"/>
    <w:rsid w:val="00691BFF"/>
    <w:rsid w:val="00692DF1"/>
    <w:rsid w:val="00693183"/>
    <w:rsid w:val="00693D64"/>
    <w:rsid w:val="0069424F"/>
    <w:rsid w:val="006953C1"/>
    <w:rsid w:val="00695679"/>
    <w:rsid w:val="006963B5"/>
    <w:rsid w:val="0069692F"/>
    <w:rsid w:val="00696AFA"/>
    <w:rsid w:val="00696D2E"/>
    <w:rsid w:val="00696EB2"/>
    <w:rsid w:val="00696EEC"/>
    <w:rsid w:val="00696FAF"/>
    <w:rsid w:val="0069781A"/>
    <w:rsid w:val="006A0C36"/>
    <w:rsid w:val="006A0D5E"/>
    <w:rsid w:val="006A1432"/>
    <w:rsid w:val="006A16E9"/>
    <w:rsid w:val="006A1EE6"/>
    <w:rsid w:val="006A2ACB"/>
    <w:rsid w:val="006A31A0"/>
    <w:rsid w:val="006A3EBE"/>
    <w:rsid w:val="006A3F63"/>
    <w:rsid w:val="006A449B"/>
    <w:rsid w:val="006A47BE"/>
    <w:rsid w:val="006A5450"/>
    <w:rsid w:val="006A58BE"/>
    <w:rsid w:val="006A5D7F"/>
    <w:rsid w:val="006A65ED"/>
    <w:rsid w:val="006A6BED"/>
    <w:rsid w:val="006A74F2"/>
    <w:rsid w:val="006A7609"/>
    <w:rsid w:val="006A7899"/>
    <w:rsid w:val="006A7DE7"/>
    <w:rsid w:val="006B0199"/>
    <w:rsid w:val="006B0A32"/>
    <w:rsid w:val="006B0BD8"/>
    <w:rsid w:val="006B1877"/>
    <w:rsid w:val="006B2992"/>
    <w:rsid w:val="006B2B8F"/>
    <w:rsid w:val="006B4557"/>
    <w:rsid w:val="006B4792"/>
    <w:rsid w:val="006B4976"/>
    <w:rsid w:val="006B4B7C"/>
    <w:rsid w:val="006B4EEA"/>
    <w:rsid w:val="006B573F"/>
    <w:rsid w:val="006B6317"/>
    <w:rsid w:val="006B692A"/>
    <w:rsid w:val="006B712D"/>
    <w:rsid w:val="006C0251"/>
    <w:rsid w:val="006C030B"/>
    <w:rsid w:val="006C095D"/>
    <w:rsid w:val="006C09A0"/>
    <w:rsid w:val="006C09E6"/>
    <w:rsid w:val="006C0A46"/>
    <w:rsid w:val="006C0E40"/>
    <w:rsid w:val="006C0F6D"/>
    <w:rsid w:val="006C1272"/>
    <w:rsid w:val="006C2431"/>
    <w:rsid w:val="006C2B9A"/>
    <w:rsid w:val="006C39BB"/>
    <w:rsid w:val="006C39F8"/>
    <w:rsid w:val="006C3DFA"/>
    <w:rsid w:val="006C41B3"/>
    <w:rsid w:val="006C4502"/>
    <w:rsid w:val="006C4CCE"/>
    <w:rsid w:val="006C53DC"/>
    <w:rsid w:val="006C6114"/>
    <w:rsid w:val="006C6203"/>
    <w:rsid w:val="006C72E2"/>
    <w:rsid w:val="006C78BA"/>
    <w:rsid w:val="006D0395"/>
    <w:rsid w:val="006D1225"/>
    <w:rsid w:val="006D177B"/>
    <w:rsid w:val="006D19DD"/>
    <w:rsid w:val="006D1EA8"/>
    <w:rsid w:val="006D222C"/>
    <w:rsid w:val="006D2288"/>
    <w:rsid w:val="006D27AD"/>
    <w:rsid w:val="006D2BBD"/>
    <w:rsid w:val="006D328F"/>
    <w:rsid w:val="006D37D6"/>
    <w:rsid w:val="006D3D2D"/>
    <w:rsid w:val="006D405C"/>
    <w:rsid w:val="006D41E9"/>
    <w:rsid w:val="006D4464"/>
    <w:rsid w:val="006D4544"/>
    <w:rsid w:val="006D4CC2"/>
    <w:rsid w:val="006D5013"/>
    <w:rsid w:val="006D5039"/>
    <w:rsid w:val="006D5E91"/>
    <w:rsid w:val="006D6246"/>
    <w:rsid w:val="006D663F"/>
    <w:rsid w:val="006D776D"/>
    <w:rsid w:val="006D7CC7"/>
    <w:rsid w:val="006D7E51"/>
    <w:rsid w:val="006E0A5F"/>
    <w:rsid w:val="006E0C4C"/>
    <w:rsid w:val="006E14E6"/>
    <w:rsid w:val="006E1AEE"/>
    <w:rsid w:val="006E2F52"/>
    <w:rsid w:val="006E32A9"/>
    <w:rsid w:val="006E33C5"/>
    <w:rsid w:val="006E3B9C"/>
    <w:rsid w:val="006E450B"/>
    <w:rsid w:val="006E4DC1"/>
    <w:rsid w:val="006E51A2"/>
    <w:rsid w:val="006E6C56"/>
    <w:rsid w:val="006E6CB3"/>
    <w:rsid w:val="006E7093"/>
    <w:rsid w:val="006F0DE2"/>
    <w:rsid w:val="006F0FD1"/>
    <w:rsid w:val="006F11BD"/>
    <w:rsid w:val="006F1397"/>
    <w:rsid w:val="006F1405"/>
    <w:rsid w:val="006F145A"/>
    <w:rsid w:val="006F15F2"/>
    <w:rsid w:val="006F1782"/>
    <w:rsid w:val="006F1E02"/>
    <w:rsid w:val="006F2357"/>
    <w:rsid w:val="006F25B4"/>
    <w:rsid w:val="006F2936"/>
    <w:rsid w:val="006F32C7"/>
    <w:rsid w:val="006F3495"/>
    <w:rsid w:val="006F3C9C"/>
    <w:rsid w:val="006F417D"/>
    <w:rsid w:val="006F43B6"/>
    <w:rsid w:val="006F44C4"/>
    <w:rsid w:val="006F4773"/>
    <w:rsid w:val="006F49AF"/>
    <w:rsid w:val="006F57C3"/>
    <w:rsid w:val="006F5C83"/>
    <w:rsid w:val="006F65BF"/>
    <w:rsid w:val="006F6696"/>
    <w:rsid w:val="006F67CC"/>
    <w:rsid w:val="006F6B89"/>
    <w:rsid w:val="006F6F9F"/>
    <w:rsid w:val="007003D1"/>
    <w:rsid w:val="00700DD4"/>
    <w:rsid w:val="0070145A"/>
    <w:rsid w:val="0070165F"/>
    <w:rsid w:val="00701C2D"/>
    <w:rsid w:val="00702162"/>
    <w:rsid w:val="007023FB"/>
    <w:rsid w:val="00702AD7"/>
    <w:rsid w:val="00703930"/>
    <w:rsid w:val="00704EF8"/>
    <w:rsid w:val="0070610E"/>
    <w:rsid w:val="0070657E"/>
    <w:rsid w:val="0070686A"/>
    <w:rsid w:val="00706C65"/>
    <w:rsid w:val="0070753F"/>
    <w:rsid w:val="00707759"/>
    <w:rsid w:val="007077E9"/>
    <w:rsid w:val="007079A1"/>
    <w:rsid w:val="00710081"/>
    <w:rsid w:val="007101E8"/>
    <w:rsid w:val="00710426"/>
    <w:rsid w:val="00710B0D"/>
    <w:rsid w:val="0071132B"/>
    <w:rsid w:val="00712AC4"/>
    <w:rsid w:val="00712EC0"/>
    <w:rsid w:val="00713CB5"/>
    <w:rsid w:val="00714E3F"/>
    <w:rsid w:val="007152A4"/>
    <w:rsid w:val="0071558B"/>
    <w:rsid w:val="00715D2E"/>
    <w:rsid w:val="007160F5"/>
    <w:rsid w:val="007175F2"/>
    <w:rsid w:val="0071776A"/>
    <w:rsid w:val="00720F67"/>
    <w:rsid w:val="00721189"/>
    <w:rsid w:val="00721EC1"/>
    <w:rsid w:val="007221C3"/>
    <w:rsid w:val="00722F2C"/>
    <w:rsid w:val="007243CC"/>
    <w:rsid w:val="007244F9"/>
    <w:rsid w:val="007247E0"/>
    <w:rsid w:val="00724FB3"/>
    <w:rsid w:val="007254D1"/>
    <w:rsid w:val="0072578D"/>
    <w:rsid w:val="00725B32"/>
    <w:rsid w:val="00725B3C"/>
    <w:rsid w:val="007261A0"/>
    <w:rsid w:val="00726AD3"/>
    <w:rsid w:val="007318CB"/>
    <w:rsid w:val="007322ED"/>
    <w:rsid w:val="0073288A"/>
    <w:rsid w:val="00733D54"/>
    <w:rsid w:val="00734216"/>
    <w:rsid w:val="007344CF"/>
    <w:rsid w:val="00734553"/>
    <w:rsid w:val="00734AAC"/>
    <w:rsid w:val="00734C7A"/>
    <w:rsid w:val="007351AA"/>
    <w:rsid w:val="00735299"/>
    <w:rsid w:val="00735A2D"/>
    <w:rsid w:val="007365A7"/>
    <w:rsid w:val="00736A4F"/>
    <w:rsid w:val="0073701B"/>
    <w:rsid w:val="00737196"/>
    <w:rsid w:val="00737320"/>
    <w:rsid w:val="0073771E"/>
    <w:rsid w:val="00737753"/>
    <w:rsid w:val="00737768"/>
    <w:rsid w:val="00737E8E"/>
    <w:rsid w:val="007405DD"/>
    <w:rsid w:val="00740CE9"/>
    <w:rsid w:val="007420A7"/>
    <w:rsid w:val="007428E3"/>
    <w:rsid w:val="00742CCE"/>
    <w:rsid w:val="00743917"/>
    <w:rsid w:val="0074394E"/>
    <w:rsid w:val="0074422D"/>
    <w:rsid w:val="00745151"/>
    <w:rsid w:val="00745319"/>
    <w:rsid w:val="00745490"/>
    <w:rsid w:val="00745DBB"/>
    <w:rsid w:val="0074697C"/>
    <w:rsid w:val="00746B26"/>
    <w:rsid w:val="0074755D"/>
    <w:rsid w:val="007476C3"/>
    <w:rsid w:val="00750BB3"/>
    <w:rsid w:val="00750D0A"/>
    <w:rsid w:val="0075188C"/>
    <w:rsid w:val="00751CD7"/>
    <w:rsid w:val="00751D93"/>
    <w:rsid w:val="00752300"/>
    <w:rsid w:val="0075285E"/>
    <w:rsid w:val="00752C1B"/>
    <w:rsid w:val="0075333C"/>
    <w:rsid w:val="00753BF5"/>
    <w:rsid w:val="007546F8"/>
    <w:rsid w:val="007554C1"/>
    <w:rsid w:val="0075579B"/>
    <w:rsid w:val="00755A33"/>
    <w:rsid w:val="00755BAB"/>
    <w:rsid w:val="00756034"/>
    <w:rsid w:val="00756B83"/>
    <w:rsid w:val="00757AFB"/>
    <w:rsid w:val="00757EAF"/>
    <w:rsid w:val="007607C4"/>
    <w:rsid w:val="0076080E"/>
    <w:rsid w:val="0076096A"/>
    <w:rsid w:val="00760A6B"/>
    <w:rsid w:val="00762F04"/>
    <w:rsid w:val="00763291"/>
    <w:rsid w:val="00763349"/>
    <w:rsid w:val="007634F3"/>
    <w:rsid w:val="00763783"/>
    <w:rsid w:val="007640D9"/>
    <w:rsid w:val="0076411D"/>
    <w:rsid w:val="007643AC"/>
    <w:rsid w:val="007656AA"/>
    <w:rsid w:val="0076571E"/>
    <w:rsid w:val="00765BC9"/>
    <w:rsid w:val="007668DA"/>
    <w:rsid w:val="007669A3"/>
    <w:rsid w:val="00766D3A"/>
    <w:rsid w:val="00766EBF"/>
    <w:rsid w:val="007670F8"/>
    <w:rsid w:val="007671D4"/>
    <w:rsid w:val="00767DF3"/>
    <w:rsid w:val="0077025C"/>
    <w:rsid w:val="00770921"/>
    <w:rsid w:val="00770A85"/>
    <w:rsid w:val="0077102D"/>
    <w:rsid w:val="00771574"/>
    <w:rsid w:val="0077158D"/>
    <w:rsid w:val="0077266C"/>
    <w:rsid w:val="007734F7"/>
    <w:rsid w:val="00773C84"/>
    <w:rsid w:val="00773CDF"/>
    <w:rsid w:val="00773DC9"/>
    <w:rsid w:val="007751EE"/>
    <w:rsid w:val="0077572E"/>
    <w:rsid w:val="00776AB3"/>
    <w:rsid w:val="00777502"/>
    <w:rsid w:val="007778A7"/>
    <w:rsid w:val="00777BE4"/>
    <w:rsid w:val="007800D7"/>
    <w:rsid w:val="0078031B"/>
    <w:rsid w:val="007815B2"/>
    <w:rsid w:val="00782A03"/>
    <w:rsid w:val="00782C23"/>
    <w:rsid w:val="0078448F"/>
    <w:rsid w:val="00784F44"/>
    <w:rsid w:val="00786672"/>
    <w:rsid w:val="0078711E"/>
    <w:rsid w:val="007872CF"/>
    <w:rsid w:val="0078737D"/>
    <w:rsid w:val="00790176"/>
    <w:rsid w:val="007907DB"/>
    <w:rsid w:val="00790D44"/>
    <w:rsid w:val="007911BC"/>
    <w:rsid w:val="0079201C"/>
    <w:rsid w:val="00792087"/>
    <w:rsid w:val="0079307F"/>
    <w:rsid w:val="00793823"/>
    <w:rsid w:val="00793B9B"/>
    <w:rsid w:val="00793CB2"/>
    <w:rsid w:val="007940C5"/>
    <w:rsid w:val="007947C4"/>
    <w:rsid w:val="00794D1E"/>
    <w:rsid w:val="0079589E"/>
    <w:rsid w:val="00795CE1"/>
    <w:rsid w:val="00796752"/>
    <w:rsid w:val="007972D7"/>
    <w:rsid w:val="00797A6B"/>
    <w:rsid w:val="007A005C"/>
    <w:rsid w:val="007A0646"/>
    <w:rsid w:val="007A06AC"/>
    <w:rsid w:val="007A0C6E"/>
    <w:rsid w:val="007A0E30"/>
    <w:rsid w:val="007A0E9E"/>
    <w:rsid w:val="007A141E"/>
    <w:rsid w:val="007A1627"/>
    <w:rsid w:val="007A1A0D"/>
    <w:rsid w:val="007A1CB2"/>
    <w:rsid w:val="007A20C8"/>
    <w:rsid w:val="007A29B1"/>
    <w:rsid w:val="007A2E3E"/>
    <w:rsid w:val="007A4146"/>
    <w:rsid w:val="007A4636"/>
    <w:rsid w:val="007A4DC4"/>
    <w:rsid w:val="007A53B5"/>
    <w:rsid w:val="007A612E"/>
    <w:rsid w:val="007A6789"/>
    <w:rsid w:val="007A7892"/>
    <w:rsid w:val="007B025F"/>
    <w:rsid w:val="007B0A07"/>
    <w:rsid w:val="007B1014"/>
    <w:rsid w:val="007B103F"/>
    <w:rsid w:val="007B1484"/>
    <w:rsid w:val="007B1A10"/>
    <w:rsid w:val="007B23B7"/>
    <w:rsid w:val="007B31AB"/>
    <w:rsid w:val="007B31D8"/>
    <w:rsid w:val="007B3268"/>
    <w:rsid w:val="007B3E4B"/>
    <w:rsid w:val="007B411E"/>
    <w:rsid w:val="007B4213"/>
    <w:rsid w:val="007B42D3"/>
    <w:rsid w:val="007B46D9"/>
    <w:rsid w:val="007B5050"/>
    <w:rsid w:val="007B6659"/>
    <w:rsid w:val="007B6C39"/>
    <w:rsid w:val="007B6CC1"/>
    <w:rsid w:val="007B76AB"/>
    <w:rsid w:val="007B7DBD"/>
    <w:rsid w:val="007C0485"/>
    <w:rsid w:val="007C066D"/>
    <w:rsid w:val="007C2467"/>
    <w:rsid w:val="007C45D3"/>
    <w:rsid w:val="007C4A4A"/>
    <w:rsid w:val="007C597B"/>
    <w:rsid w:val="007C70BB"/>
    <w:rsid w:val="007C760C"/>
    <w:rsid w:val="007D03DF"/>
    <w:rsid w:val="007D08FD"/>
    <w:rsid w:val="007D1584"/>
    <w:rsid w:val="007D166F"/>
    <w:rsid w:val="007D2044"/>
    <w:rsid w:val="007D20B6"/>
    <w:rsid w:val="007D20F9"/>
    <w:rsid w:val="007D2FAC"/>
    <w:rsid w:val="007D45F5"/>
    <w:rsid w:val="007D4F33"/>
    <w:rsid w:val="007D554B"/>
    <w:rsid w:val="007D5FFE"/>
    <w:rsid w:val="007D65C7"/>
    <w:rsid w:val="007D6B3E"/>
    <w:rsid w:val="007D74D2"/>
    <w:rsid w:val="007D79B5"/>
    <w:rsid w:val="007E15B0"/>
    <w:rsid w:val="007E2334"/>
    <w:rsid w:val="007E238C"/>
    <w:rsid w:val="007E23CE"/>
    <w:rsid w:val="007E2A43"/>
    <w:rsid w:val="007E2CE7"/>
    <w:rsid w:val="007E367A"/>
    <w:rsid w:val="007E3C6D"/>
    <w:rsid w:val="007E3D5E"/>
    <w:rsid w:val="007E43D0"/>
    <w:rsid w:val="007E46CA"/>
    <w:rsid w:val="007E4F00"/>
    <w:rsid w:val="007E54F8"/>
    <w:rsid w:val="007E58E6"/>
    <w:rsid w:val="007E5987"/>
    <w:rsid w:val="007E5BD8"/>
    <w:rsid w:val="007E5F67"/>
    <w:rsid w:val="007E6767"/>
    <w:rsid w:val="007E69D3"/>
    <w:rsid w:val="007E7BF9"/>
    <w:rsid w:val="007E7FB0"/>
    <w:rsid w:val="007F02BC"/>
    <w:rsid w:val="007F0AF9"/>
    <w:rsid w:val="007F13A1"/>
    <w:rsid w:val="007F161A"/>
    <w:rsid w:val="007F1863"/>
    <w:rsid w:val="007F1D17"/>
    <w:rsid w:val="007F1F0C"/>
    <w:rsid w:val="007F20D7"/>
    <w:rsid w:val="007F241E"/>
    <w:rsid w:val="007F26D5"/>
    <w:rsid w:val="007F2BDD"/>
    <w:rsid w:val="007F2C1C"/>
    <w:rsid w:val="007F2E65"/>
    <w:rsid w:val="007F309F"/>
    <w:rsid w:val="007F43BA"/>
    <w:rsid w:val="007F45D1"/>
    <w:rsid w:val="007F45DD"/>
    <w:rsid w:val="007F46DD"/>
    <w:rsid w:val="007F47ED"/>
    <w:rsid w:val="007F4BF8"/>
    <w:rsid w:val="007F64BE"/>
    <w:rsid w:val="007F6DC3"/>
    <w:rsid w:val="007F6E3E"/>
    <w:rsid w:val="007F70E5"/>
    <w:rsid w:val="00800690"/>
    <w:rsid w:val="008006B4"/>
    <w:rsid w:val="00800F80"/>
    <w:rsid w:val="0080159C"/>
    <w:rsid w:val="008015B6"/>
    <w:rsid w:val="00801741"/>
    <w:rsid w:val="00802F9C"/>
    <w:rsid w:val="00803149"/>
    <w:rsid w:val="00803280"/>
    <w:rsid w:val="0080375C"/>
    <w:rsid w:val="00803FD4"/>
    <w:rsid w:val="0080451A"/>
    <w:rsid w:val="0080481C"/>
    <w:rsid w:val="00804C54"/>
    <w:rsid w:val="008056DD"/>
    <w:rsid w:val="0080577E"/>
    <w:rsid w:val="0080657A"/>
    <w:rsid w:val="00806AED"/>
    <w:rsid w:val="0081065B"/>
    <w:rsid w:val="0081104C"/>
    <w:rsid w:val="008112D6"/>
    <w:rsid w:val="008115CF"/>
    <w:rsid w:val="00811E6C"/>
    <w:rsid w:val="008121F2"/>
    <w:rsid w:val="00812D16"/>
    <w:rsid w:val="00813ADC"/>
    <w:rsid w:val="00813F9A"/>
    <w:rsid w:val="0081404B"/>
    <w:rsid w:val="00814B3F"/>
    <w:rsid w:val="00814BC3"/>
    <w:rsid w:val="008155AA"/>
    <w:rsid w:val="00816C51"/>
    <w:rsid w:val="00816FE7"/>
    <w:rsid w:val="008174BF"/>
    <w:rsid w:val="00817C70"/>
    <w:rsid w:val="0082017E"/>
    <w:rsid w:val="00821865"/>
    <w:rsid w:val="008225EB"/>
    <w:rsid w:val="0082327D"/>
    <w:rsid w:val="00823669"/>
    <w:rsid w:val="0082387A"/>
    <w:rsid w:val="0082421B"/>
    <w:rsid w:val="0082430D"/>
    <w:rsid w:val="0082433D"/>
    <w:rsid w:val="00824A5D"/>
    <w:rsid w:val="00825B2A"/>
    <w:rsid w:val="00826509"/>
    <w:rsid w:val="00826C36"/>
    <w:rsid w:val="008270C2"/>
    <w:rsid w:val="008277B7"/>
    <w:rsid w:val="00827A08"/>
    <w:rsid w:val="00827CA0"/>
    <w:rsid w:val="00827CAA"/>
    <w:rsid w:val="008300A8"/>
    <w:rsid w:val="0083354D"/>
    <w:rsid w:val="008337B9"/>
    <w:rsid w:val="0083394D"/>
    <w:rsid w:val="0083533C"/>
    <w:rsid w:val="0083561B"/>
    <w:rsid w:val="00835801"/>
    <w:rsid w:val="008363ED"/>
    <w:rsid w:val="00837D78"/>
    <w:rsid w:val="008401E1"/>
    <w:rsid w:val="00840D79"/>
    <w:rsid w:val="00840E3A"/>
    <w:rsid w:val="008418FF"/>
    <w:rsid w:val="008421AC"/>
    <w:rsid w:val="008429B0"/>
    <w:rsid w:val="00842A21"/>
    <w:rsid w:val="008439C1"/>
    <w:rsid w:val="00843DB4"/>
    <w:rsid w:val="00843E16"/>
    <w:rsid w:val="00844631"/>
    <w:rsid w:val="0084538F"/>
    <w:rsid w:val="008457CB"/>
    <w:rsid w:val="00845D66"/>
    <w:rsid w:val="00845DAD"/>
    <w:rsid w:val="0084626A"/>
    <w:rsid w:val="00846735"/>
    <w:rsid w:val="00846E43"/>
    <w:rsid w:val="00847055"/>
    <w:rsid w:val="008505F4"/>
    <w:rsid w:val="008512BB"/>
    <w:rsid w:val="00851377"/>
    <w:rsid w:val="008528EF"/>
    <w:rsid w:val="00852CDC"/>
    <w:rsid w:val="00852DE5"/>
    <w:rsid w:val="00853B7E"/>
    <w:rsid w:val="0085437C"/>
    <w:rsid w:val="008546D2"/>
    <w:rsid w:val="00854B2F"/>
    <w:rsid w:val="00854E9C"/>
    <w:rsid w:val="00855481"/>
    <w:rsid w:val="008558D9"/>
    <w:rsid w:val="0085594B"/>
    <w:rsid w:val="0085607B"/>
    <w:rsid w:val="0085627F"/>
    <w:rsid w:val="00856354"/>
    <w:rsid w:val="008565C5"/>
    <w:rsid w:val="00856676"/>
    <w:rsid w:val="008568E1"/>
    <w:rsid w:val="00856BE9"/>
    <w:rsid w:val="008574D6"/>
    <w:rsid w:val="008578F8"/>
    <w:rsid w:val="00860280"/>
    <w:rsid w:val="00860566"/>
    <w:rsid w:val="008611C0"/>
    <w:rsid w:val="0086165C"/>
    <w:rsid w:val="00861B26"/>
    <w:rsid w:val="00862EED"/>
    <w:rsid w:val="00863CC7"/>
    <w:rsid w:val="00863D83"/>
    <w:rsid w:val="008643FC"/>
    <w:rsid w:val="008649B9"/>
    <w:rsid w:val="00864C1C"/>
    <w:rsid w:val="008652CA"/>
    <w:rsid w:val="00865C61"/>
    <w:rsid w:val="008663A8"/>
    <w:rsid w:val="00866EE9"/>
    <w:rsid w:val="00866FDE"/>
    <w:rsid w:val="00867393"/>
    <w:rsid w:val="008677C9"/>
    <w:rsid w:val="0086784F"/>
    <w:rsid w:val="00870394"/>
    <w:rsid w:val="00870586"/>
    <w:rsid w:val="008705C6"/>
    <w:rsid w:val="0087073B"/>
    <w:rsid w:val="00870960"/>
    <w:rsid w:val="00871BAC"/>
    <w:rsid w:val="00872805"/>
    <w:rsid w:val="00872F45"/>
    <w:rsid w:val="008734A8"/>
    <w:rsid w:val="00873967"/>
    <w:rsid w:val="00876365"/>
    <w:rsid w:val="008770D4"/>
    <w:rsid w:val="00877412"/>
    <w:rsid w:val="008800E5"/>
    <w:rsid w:val="0088127F"/>
    <w:rsid w:val="008815EF"/>
    <w:rsid w:val="0088196B"/>
    <w:rsid w:val="00881AE8"/>
    <w:rsid w:val="00881B09"/>
    <w:rsid w:val="00881F79"/>
    <w:rsid w:val="0088282C"/>
    <w:rsid w:val="0088330D"/>
    <w:rsid w:val="008836FD"/>
    <w:rsid w:val="00884D6B"/>
    <w:rsid w:val="008851B1"/>
    <w:rsid w:val="00885273"/>
    <w:rsid w:val="00885F2C"/>
    <w:rsid w:val="00885FF2"/>
    <w:rsid w:val="00886386"/>
    <w:rsid w:val="00886BD4"/>
    <w:rsid w:val="0088701C"/>
    <w:rsid w:val="00887988"/>
    <w:rsid w:val="00887ED0"/>
    <w:rsid w:val="00890756"/>
    <w:rsid w:val="00890BFB"/>
    <w:rsid w:val="00892459"/>
    <w:rsid w:val="008929AA"/>
    <w:rsid w:val="00892AA5"/>
    <w:rsid w:val="00892D2E"/>
    <w:rsid w:val="00893525"/>
    <w:rsid w:val="00894763"/>
    <w:rsid w:val="0089499B"/>
    <w:rsid w:val="00894ACA"/>
    <w:rsid w:val="00894EC5"/>
    <w:rsid w:val="00895A69"/>
    <w:rsid w:val="00895A8F"/>
    <w:rsid w:val="00896658"/>
    <w:rsid w:val="008967B5"/>
    <w:rsid w:val="008A03AC"/>
    <w:rsid w:val="008A0DD8"/>
    <w:rsid w:val="008A0F5A"/>
    <w:rsid w:val="008A1008"/>
    <w:rsid w:val="008A345A"/>
    <w:rsid w:val="008A3A02"/>
    <w:rsid w:val="008A3DB9"/>
    <w:rsid w:val="008A4B8E"/>
    <w:rsid w:val="008A4B93"/>
    <w:rsid w:val="008A4F26"/>
    <w:rsid w:val="008A53AE"/>
    <w:rsid w:val="008A5E28"/>
    <w:rsid w:val="008A6904"/>
    <w:rsid w:val="008A6A5C"/>
    <w:rsid w:val="008A7316"/>
    <w:rsid w:val="008B056E"/>
    <w:rsid w:val="008B0EEC"/>
    <w:rsid w:val="008B0F1C"/>
    <w:rsid w:val="008B17E4"/>
    <w:rsid w:val="008B1E30"/>
    <w:rsid w:val="008B2AE8"/>
    <w:rsid w:val="008B47D9"/>
    <w:rsid w:val="008B4A1C"/>
    <w:rsid w:val="008B500A"/>
    <w:rsid w:val="008B51F0"/>
    <w:rsid w:val="008B5730"/>
    <w:rsid w:val="008B620F"/>
    <w:rsid w:val="008B658D"/>
    <w:rsid w:val="008C0356"/>
    <w:rsid w:val="008C0442"/>
    <w:rsid w:val="008C1610"/>
    <w:rsid w:val="008C1905"/>
    <w:rsid w:val="008C1FC4"/>
    <w:rsid w:val="008C2F1E"/>
    <w:rsid w:val="008C30E5"/>
    <w:rsid w:val="008C3AA6"/>
    <w:rsid w:val="008C3B5B"/>
    <w:rsid w:val="008C409F"/>
    <w:rsid w:val="008C43CA"/>
    <w:rsid w:val="008C4632"/>
    <w:rsid w:val="008C4710"/>
    <w:rsid w:val="008C50D5"/>
    <w:rsid w:val="008C602D"/>
    <w:rsid w:val="008C6BCC"/>
    <w:rsid w:val="008C6CA2"/>
    <w:rsid w:val="008C6ED1"/>
    <w:rsid w:val="008C7525"/>
    <w:rsid w:val="008D0740"/>
    <w:rsid w:val="008D098D"/>
    <w:rsid w:val="008D0C3A"/>
    <w:rsid w:val="008D0FDA"/>
    <w:rsid w:val="008D135A"/>
    <w:rsid w:val="008D1563"/>
    <w:rsid w:val="008D2205"/>
    <w:rsid w:val="008D2331"/>
    <w:rsid w:val="008D267C"/>
    <w:rsid w:val="008D27D0"/>
    <w:rsid w:val="008D2AED"/>
    <w:rsid w:val="008D347F"/>
    <w:rsid w:val="008D35AD"/>
    <w:rsid w:val="008D36CD"/>
    <w:rsid w:val="008D4331"/>
    <w:rsid w:val="008D4380"/>
    <w:rsid w:val="008D48D1"/>
    <w:rsid w:val="008D66B5"/>
    <w:rsid w:val="008D6BE8"/>
    <w:rsid w:val="008D71FE"/>
    <w:rsid w:val="008D7EE5"/>
    <w:rsid w:val="008E1135"/>
    <w:rsid w:val="008E1356"/>
    <w:rsid w:val="008E18E8"/>
    <w:rsid w:val="008E27E9"/>
    <w:rsid w:val="008E42DE"/>
    <w:rsid w:val="008E44E4"/>
    <w:rsid w:val="008E463D"/>
    <w:rsid w:val="008E47D8"/>
    <w:rsid w:val="008E4F24"/>
    <w:rsid w:val="008E6240"/>
    <w:rsid w:val="008E64A8"/>
    <w:rsid w:val="008E654A"/>
    <w:rsid w:val="008F0434"/>
    <w:rsid w:val="008F0488"/>
    <w:rsid w:val="008F09B2"/>
    <w:rsid w:val="008F0B89"/>
    <w:rsid w:val="008F0CC5"/>
    <w:rsid w:val="008F181A"/>
    <w:rsid w:val="008F1F65"/>
    <w:rsid w:val="008F2C49"/>
    <w:rsid w:val="008F36F0"/>
    <w:rsid w:val="008F38DF"/>
    <w:rsid w:val="008F3B42"/>
    <w:rsid w:val="008F3E7D"/>
    <w:rsid w:val="008F55AB"/>
    <w:rsid w:val="008F5F0C"/>
    <w:rsid w:val="008F66BC"/>
    <w:rsid w:val="008F6717"/>
    <w:rsid w:val="008F7CFF"/>
    <w:rsid w:val="008F7ED1"/>
    <w:rsid w:val="00901597"/>
    <w:rsid w:val="00901C8D"/>
    <w:rsid w:val="00903262"/>
    <w:rsid w:val="00903CAD"/>
    <w:rsid w:val="00904A4D"/>
    <w:rsid w:val="00904F72"/>
    <w:rsid w:val="00905643"/>
    <w:rsid w:val="00905862"/>
    <w:rsid w:val="00905EE9"/>
    <w:rsid w:val="009065F4"/>
    <w:rsid w:val="009075A7"/>
    <w:rsid w:val="00907DFB"/>
    <w:rsid w:val="00910624"/>
    <w:rsid w:val="00910940"/>
    <w:rsid w:val="00910B26"/>
    <w:rsid w:val="00910B5D"/>
    <w:rsid w:val="00910C88"/>
    <w:rsid w:val="00910FBA"/>
    <w:rsid w:val="00911931"/>
    <w:rsid w:val="00911D39"/>
    <w:rsid w:val="0091208C"/>
    <w:rsid w:val="00912177"/>
    <w:rsid w:val="00912B9F"/>
    <w:rsid w:val="00913030"/>
    <w:rsid w:val="009147F5"/>
    <w:rsid w:val="009148F3"/>
    <w:rsid w:val="0091492D"/>
    <w:rsid w:val="009150F2"/>
    <w:rsid w:val="00915CED"/>
    <w:rsid w:val="00916717"/>
    <w:rsid w:val="00917C0F"/>
    <w:rsid w:val="00917E15"/>
    <w:rsid w:val="0092040E"/>
    <w:rsid w:val="00920C6C"/>
    <w:rsid w:val="0092153C"/>
    <w:rsid w:val="00921897"/>
    <w:rsid w:val="00921C6D"/>
    <w:rsid w:val="00921C80"/>
    <w:rsid w:val="009227D9"/>
    <w:rsid w:val="009236CE"/>
    <w:rsid w:val="009239B7"/>
    <w:rsid w:val="00923C44"/>
    <w:rsid w:val="00923EF0"/>
    <w:rsid w:val="009240FA"/>
    <w:rsid w:val="009243EA"/>
    <w:rsid w:val="00924DAC"/>
    <w:rsid w:val="00925B11"/>
    <w:rsid w:val="00926DFD"/>
    <w:rsid w:val="00926E48"/>
    <w:rsid w:val="0092760B"/>
    <w:rsid w:val="00927791"/>
    <w:rsid w:val="009303B5"/>
    <w:rsid w:val="00930607"/>
    <w:rsid w:val="00930D0A"/>
    <w:rsid w:val="009329BA"/>
    <w:rsid w:val="0093304D"/>
    <w:rsid w:val="009337FF"/>
    <w:rsid w:val="00933CE0"/>
    <w:rsid w:val="00934AD3"/>
    <w:rsid w:val="00934D63"/>
    <w:rsid w:val="00935ED8"/>
    <w:rsid w:val="00936939"/>
    <w:rsid w:val="00936A76"/>
    <w:rsid w:val="00937408"/>
    <w:rsid w:val="0093740C"/>
    <w:rsid w:val="0093768B"/>
    <w:rsid w:val="009400BF"/>
    <w:rsid w:val="0094053B"/>
    <w:rsid w:val="00940BB6"/>
    <w:rsid w:val="00941EF0"/>
    <w:rsid w:val="00942040"/>
    <w:rsid w:val="009422E4"/>
    <w:rsid w:val="0094273E"/>
    <w:rsid w:val="009427B9"/>
    <w:rsid w:val="0094286E"/>
    <w:rsid w:val="00942C9F"/>
    <w:rsid w:val="00943A7D"/>
    <w:rsid w:val="00945631"/>
    <w:rsid w:val="00945718"/>
    <w:rsid w:val="0094595D"/>
    <w:rsid w:val="00946E14"/>
    <w:rsid w:val="00947108"/>
    <w:rsid w:val="00947549"/>
    <w:rsid w:val="009479C8"/>
    <w:rsid w:val="00947CF3"/>
    <w:rsid w:val="00947D79"/>
    <w:rsid w:val="0095047B"/>
    <w:rsid w:val="0095086D"/>
    <w:rsid w:val="00950A4E"/>
    <w:rsid w:val="00950D6B"/>
    <w:rsid w:val="00951669"/>
    <w:rsid w:val="00952D5E"/>
    <w:rsid w:val="00952F68"/>
    <w:rsid w:val="00952FED"/>
    <w:rsid w:val="00953218"/>
    <w:rsid w:val="00953C53"/>
    <w:rsid w:val="0095403B"/>
    <w:rsid w:val="00954818"/>
    <w:rsid w:val="009549F4"/>
    <w:rsid w:val="00954E6C"/>
    <w:rsid w:val="0095517E"/>
    <w:rsid w:val="00955EEA"/>
    <w:rsid w:val="00956032"/>
    <w:rsid w:val="009577BD"/>
    <w:rsid w:val="0095793C"/>
    <w:rsid w:val="00960368"/>
    <w:rsid w:val="009603B9"/>
    <w:rsid w:val="0096083D"/>
    <w:rsid w:val="0096098D"/>
    <w:rsid w:val="0096111E"/>
    <w:rsid w:val="00961125"/>
    <w:rsid w:val="009622E7"/>
    <w:rsid w:val="009623D8"/>
    <w:rsid w:val="009626F4"/>
    <w:rsid w:val="00963362"/>
    <w:rsid w:val="00963579"/>
    <w:rsid w:val="009635FA"/>
    <w:rsid w:val="00963757"/>
    <w:rsid w:val="00963818"/>
    <w:rsid w:val="00963BD1"/>
    <w:rsid w:val="00963F99"/>
    <w:rsid w:val="00964BD2"/>
    <w:rsid w:val="00964C3D"/>
    <w:rsid w:val="00964D06"/>
    <w:rsid w:val="00965FE4"/>
    <w:rsid w:val="00966284"/>
    <w:rsid w:val="00966656"/>
    <w:rsid w:val="00966785"/>
    <w:rsid w:val="00966B1F"/>
    <w:rsid w:val="00967489"/>
    <w:rsid w:val="00967988"/>
    <w:rsid w:val="0097072B"/>
    <w:rsid w:val="00970A7E"/>
    <w:rsid w:val="00970B78"/>
    <w:rsid w:val="0097116E"/>
    <w:rsid w:val="00972562"/>
    <w:rsid w:val="00973442"/>
    <w:rsid w:val="00973573"/>
    <w:rsid w:val="00973B36"/>
    <w:rsid w:val="00973E6B"/>
    <w:rsid w:val="00974142"/>
    <w:rsid w:val="009744B8"/>
    <w:rsid w:val="00974518"/>
    <w:rsid w:val="00974558"/>
    <w:rsid w:val="009747A2"/>
    <w:rsid w:val="0097483E"/>
    <w:rsid w:val="0097535D"/>
    <w:rsid w:val="009754A2"/>
    <w:rsid w:val="00975765"/>
    <w:rsid w:val="0097612D"/>
    <w:rsid w:val="00977186"/>
    <w:rsid w:val="009807FA"/>
    <w:rsid w:val="00980FE0"/>
    <w:rsid w:val="00981E7F"/>
    <w:rsid w:val="00982EEB"/>
    <w:rsid w:val="00982F47"/>
    <w:rsid w:val="009839EF"/>
    <w:rsid w:val="00984069"/>
    <w:rsid w:val="009846B2"/>
    <w:rsid w:val="00984B6F"/>
    <w:rsid w:val="009853A6"/>
    <w:rsid w:val="00985A8D"/>
    <w:rsid w:val="00985F8B"/>
    <w:rsid w:val="0098656E"/>
    <w:rsid w:val="009869BE"/>
    <w:rsid w:val="009879EE"/>
    <w:rsid w:val="00987CE0"/>
    <w:rsid w:val="0099061C"/>
    <w:rsid w:val="00990C3B"/>
    <w:rsid w:val="00990F46"/>
    <w:rsid w:val="00991273"/>
    <w:rsid w:val="00991576"/>
    <w:rsid w:val="0099173B"/>
    <w:rsid w:val="00991841"/>
    <w:rsid w:val="00991BE5"/>
    <w:rsid w:val="00991CBD"/>
    <w:rsid w:val="009921E6"/>
    <w:rsid w:val="009927D6"/>
    <w:rsid w:val="009928B7"/>
    <w:rsid w:val="0099308C"/>
    <w:rsid w:val="0099321A"/>
    <w:rsid w:val="0099388F"/>
    <w:rsid w:val="0099442C"/>
    <w:rsid w:val="009947E8"/>
    <w:rsid w:val="00994A41"/>
    <w:rsid w:val="009954B3"/>
    <w:rsid w:val="009957A3"/>
    <w:rsid w:val="009960B7"/>
    <w:rsid w:val="00996C1D"/>
    <w:rsid w:val="00996F08"/>
    <w:rsid w:val="00997253"/>
    <w:rsid w:val="009972FE"/>
    <w:rsid w:val="00997E1A"/>
    <w:rsid w:val="009A0146"/>
    <w:rsid w:val="009A1020"/>
    <w:rsid w:val="009A1D92"/>
    <w:rsid w:val="009A2152"/>
    <w:rsid w:val="009A2AD9"/>
    <w:rsid w:val="009A2F5C"/>
    <w:rsid w:val="009A48BD"/>
    <w:rsid w:val="009A59E0"/>
    <w:rsid w:val="009B008F"/>
    <w:rsid w:val="009B053C"/>
    <w:rsid w:val="009B12D5"/>
    <w:rsid w:val="009B1CDB"/>
    <w:rsid w:val="009B25CB"/>
    <w:rsid w:val="009B3680"/>
    <w:rsid w:val="009B3B68"/>
    <w:rsid w:val="009B4262"/>
    <w:rsid w:val="009B4BC2"/>
    <w:rsid w:val="009B4E96"/>
    <w:rsid w:val="009B536C"/>
    <w:rsid w:val="009B536F"/>
    <w:rsid w:val="009B5C19"/>
    <w:rsid w:val="009B6496"/>
    <w:rsid w:val="009B6516"/>
    <w:rsid w:val="009B6EBA"/>
    <w:rsid w:val="009B70E8"/>
    <w:rsid w:val="009C01DA"/>
    <w:rsid w:val="009C0290"/>
    <w:rsid w:val="009C04E8"/>
    <w:rsid w:val="009C14F5"/>
    <w:rsid w:val="009C1528"/>
    <w:rsid w:val="009C20CC"/>
    <w:rsid w:val="009C23A4"/>
    <w:rsid w:val="009C2BDF"/>
    <w:rsid w:val="009C30FC"/>
    <w:rsid w:val="009C3539"/>
    <w:rsid w:val="009C3558"/>
    <w:rsid w:val="009C3A1A"/>
    <w:rsid w:val="009C3B47"/>
    <w:rsid w:val="009C3E45"/>
    <w:rsid w:val="009C42D3"/>
    <w:rsid w:val="009C4584"/>
    <w:rsid w:val="009C45D8"/>
    <w:rsid w:val="009C4696"/>
    <w:rsid w:val="009C562E"/>
    <w:rsid w:val="009C5819"/>
    <w:rsid w:val="009C5B26"/>
    <w:rsid w:val="009C5E44"/>
    <w:rsid w:val="009C6ABB"/>
    <w:rsid w:val="009C7531"/>
    <w:rsid w:val="009C77C6"/>
    <w:rsid w:val="009C7BE2"/>
    <w:rsid w:val="009D091F"/>
    <w:rsid w:val="009D12C0"/>
    <w:rsid w:val="009D1CAD"/>
    <w:rsid w:val="009D220C"/>
    <w:rsid w:val="009D221F"/>
    <w:rsid w:val="009D2462"/>
    <w:rsid w:val="009D27F9"/>
    <w:rsid w:val="009D28D9"/>
    <w:rsid w:val="009D2B30"/>
    <w:rsid w:val="009D37A9"/>
    <w:rsid w:val="009D38F6"/>
    <w:rsid w:val="009D49BC"/>
    <w:rsid w:val="009D54FA"/>
    <w:rsid w:val="009D57A9"/>
    <w:rsid w:val="009D5E19"/>
    <w:rsid w:val="009D6428"/>
    <w:rsid w:val="009D7C0D"/>
    <w:rsid w:val="009E04DF"/>
    <w:rsid w:val="009E065B"/>
    <w:rsid w:val="009E09F0"/>
    <w:rsid w:val="009E106D"/>
    <w:rsid w:val="009E143E"/>
    <w:rsid w:val="009E18A1"/>
    <w:rsid w:val="009E19E8"/>
    <w:rsid w:val="009E2201"/>
    <w:rsid w:val="009E377C"/>
    <w:rsid w:val="009E3CBE"/>
    <w:rsid w:val="009E411C"/>
    <w:rsid w:val="009E4587"/>
    <w:rsid w:val="009E458A"/>
    <w:rsid w:val="009E467A"/>
    <w:rsid w:val="009E52D6"/>
    <w:rsid w:val="009E5316"/>
    <w:rsid w:val="009E5900"/>
    <w:rsid w:val="009E5C44"/>
    <w:rsid w:val="009E5D7C"/>
    <w:rsid w:val="009E5DFC"/>
    <w:rsid w:val="009F0935"/>
    <w:rsid w:val="009F0DEB"/>
    <w:rsid w:val="009F1713"/>
    <w:rsid w:val="009F1789"/>
    <w:rsid w:val="009F1DF8"/>
    <w:rsid w:val="009F2E3B"/>
    <w:rsid w:val="009F35B4"/>
    <w:rsid w:val="009F36D2"/>
    <w:rsid w:val="009F3B6B"/>
    <w:rsid w:val="009F3B93"/>
    <w:rsid w:val="009F41F7"/>
    <w:rsid w:val="009F4504"/>
    <w:rsid w:val="009F502C"/>
    <w:rsid w:val="009F5396"/>
    <w:rsid w:val="009F5B9A"/>
    <w:rsid w:val="009F603B"/>
    <w:rsid w:val="009F6837"/>
    <w:rsid w:val="009F6987"/>
    <w:rsid w:val="009F6A12"/>
    <w:rsid w:val="009F6B4D"/>
    <w:rsid w:val="009F720F"/>
    <w:rsid w:val="009F76AD"/>
    <w:rsid w:val="00A010E7"/>
    <w:rsid w:val="00A01A17"/>
    <w:rsid w:val="00A01A60"/>
    <w:rsid w:val="00A01FF4"/>
    <w:rsid w:val="00A0281B"/>
    <w:rsid w:val="00A0282E"/>
    <w:rsid w:val="00A03E42"/>
    <w:rsid w:val="00A048E7"/>
    <w:rsid w:val="00A04BA0"/>
    <w:rsid w:val="00A057E9"/>
    <w:rsid w:val="00A0629A"/>
    <w:rsid w:val="00A06833"/>
    <w:rsid w:val="00A06E6E"/>
    <w:rsid w:val="00A072DF"/>
    <w:rsid w:val="00A076F9"/>
    <w:rsid w:val="00A07997"/>
    <w:rsid w:val="00A07C71"/>
    <w:rsid w:val="00A07F87"/>
    <w:rsid w:val="00A10567"/>
    <w:rsid w:val="00A10FCD"/>
    <w:rsid w:val="00A1132D"/>
    <w:rsid w:val="00A114CC"/>
    <w:rsid w:val="00A1170C"/>
    <w:rsid w:val="00A11935"/>
    <w:rsid w:val="00A1239B"/>
    <w:rsid w:val="00A12F7B"/>
    <w:rsid w:val="00A13412"/>
    <w:rsid w:val="00A13659"/>
    <w:rsid w:val="00A13E84"/>
    <w:rsid w:val="00A142AA"/>
    <w:rsid w:val="00A1467B"/>
    <w:rsid w:val="00A1637F"/>
    <w:rsid w:val="00A2028F"/>
    <w:rsid w:val="00A206ED"/>
    <w:rsid w:val="00A20806"/>
    <w:rsid w:val="00A208F9"/>
    <w:rsid w:val="00A20C7F"/>
    <w:rsid w:val="00A2169B"/>
    <w:rsid w:val="00A21D41"/>
    <w:rsid w:val="00A225FE"/>
    <w:rsid w:val="00A22676"/>
    <w:rsid w:val="00A22DBA"/>
    <w:rsid w:val="00A22EE8"/>
    <w:rsid w:val="00A2329D"/>
    <w:rsid w:val="00A23454"/>
    <w:rsid w:val="00A235FE"/>
    <w:rsid w:val="00A2442C"/>
    <w:rsid w:val="00A2444B"/>
    <w:rsid w:val="00A2490E"/>
    <w:rsid w:val="00A25425"/>
    <w:rsid w:val="00A25442"/>
    <w:rsid w:val="00A25A94"/>
    <w:rsid w:val="00A25BFF"/>
    <w:rsid w:val="00A25D80"/>
    <w:rsid w:val="00A25D93"/>
    <w:rsid w:val="00A2601A"/>
    <w:rsid w:val="00A26182"/>
    <w:rsid w:val="00A2649D"/>
    <w:rsid w:val="00A2653E"/>
    <w:rsid w:val="00A26648"/>
    <w:rsid w:val="00A26F79"/>
    <w:rsid w:val="00A27522"/>
    <w:rsid w:val="00A30AAA"/>
    <w:rsid w:val="00A3129B"/>
    <w:rsid w:val="00A3136F"/>
    <w:rsid w:val="00A31560"/>
    <w:rsid w:val="00A31665"/>
    <w:rsid w:val="00A32B50"/>
    <w:rsid w:val="00A331DD"/>
    <w:rsid w:val="00A3393B"/>
    <w:rsid w:val="00A33CA6"/>
    <w:rsid w:val="00A34B81"/>
    <w:rsid w:val="00A34C7E"/>
    <w:rsid w:val="00A34D0C"/>
    <w:rsid w:val="00A34D76"/>
    <w:rsid w:val="00A35A2D"/>
    <w:rsid w:val="00A365D0"/>
    <w:rsid w:val="00A402B8"/>
    <w:rsid w:val="00A4043E"/>
    <w:rsid w:val="00A408F4"/>
    <w:rsid w:val="00A40C5C"/>
    <w:rsid w:val="00A41109"/>
    <w:rsid w:val="00A41422"/>
    <w:rsid w:val="00A41C97"/>
    <w:rsid w:val="00A42379"/>
    <w:rsid w:val="00A42655"/>
    <w:rsid w:val="00A427E3"/>
    <w:rsid w:val="00A437D9"/>
    <w:rsid w:val="00A43AB8"/>
    <w:rsid w:val="00A43C16"/>
    <w:rsid w:val="00A43F7A"/>
    <w:rsid w:val="00A443A6"/>
    <w:rsid w:val="00A45A1A"/>
    <w:rsid w:val="00A45E61"/>
    <w:rsid w:val="00A47691"/>
    <w:rsid w:val="00A4769B"/>
    <w:rsid w:val="00A479C1"/>
    <w:rsid w:val="00A47F32"/>
    <w:rsid w:val="00A507D9"/>
    <w:rsid w:val="00A50A55"/>
    <w:rsid w:val="00A50C0D"/>
    <w:rsid w:val="00A5232A"/>
    <w:rsid w:val="00A53220"/>
    <w:rsid w:val="00A538E6"/>
    <w:rsid w:val="00A554D8"/>
    <w:rsid w:val="00A5571E"/>
    <w:rsid w:val="00A55CFC"/>
    <w:rsid w:val="00A56102"/>
    <w:rsid w:val="00A56800"/>
    <w:rsid w:val="00A56CDA"/>
    <w:rsid w:val="00A56D7E"/>
    <w:rsid w:val="00A56E3C"/>
    <w:rsid w:val="00A57404"/>
    <w:rsid w:val="00A575BD"/>
    <w:rsid w:val="00A57F42"/>
    <w:rsid w:val="00A604D4"/>
    <w:rsid w:val="00A60B05"/>
    <w:rsid w:val="00A60C20"/>
    <w:rsid w:val="00A60EEC"/>
    <w:rsid w:val="00A618A5"/>
    <w:rsid w:val="00A62679"/>
    <w:rsid w:val="00A62730"/>
    <w:rsid w:val="00A628F6"/>
    <w:rsid w:val="00A62CD2"/>
    <w:rsid w:val="00A630E8"/>
    <w:rsid w:val="00A63B83"/>
    <w:rsid w:val="00A63F92"/>
    <w:rsid w:val="00A645BF"/>
    <w:rsid w:val="00A649EE"/>
    <w:rsid w:val="00A65120"/>
    <w:rsid w:val="00A654F3"/>
    <w:rsid w:val="00A6581C"/>
    <w:rsid w:val="00A65B8C"/>
    <w:rsid w:val="00A65BD9"/>
    <w:rsid w:val="00A66718"/>
    <w:rsid w:val="00A66A4E"/>
    <w:rsid w:val="00A66C16"/>
    <w:rsid w:val="00A671EF"/>
    <w:rsid w:val="00A673D4"/>
    <w:rsid w:val="00A6760A"/>
    <w:rsid w:val="00A70540"/>
    <w:rsid w:val="00A70B31"/>
    <w:rsid w:val="00A7148F"/>
    <w:rsid w:val="00A71A8C"/>
    <w:rsid w:val="00A71E91"/>
    <w:rsid w:val="00A72ABD"/>
    <w:rsid w:val="00A72BA7"/>
    <w:rsid w:val="00A73731"/>
    <w:rsid w:val="00A73A74"/>
    <w:rsid w:val="00A74FF7"/>
    <w:rsid w:val="00A7534F"/>
    <w:rsid w:val="00A75776"/>
    <w:rsid w:val="00A759FE"/>
    <w:rsid w:val="00A75A75"/>
    <w:rsid w:val="00A75FE1"/>
    <w:rsid w:val="00A76B51"/>
    <w:rsid w:val="00A76D67"/>
    <w:rsid w:val="00A771B1"/>
    <w:rsid w:val="00A77562"/>
    <w:rsid w:val="00A776B8"/>
    <w:rsid w:val="00A7781B"/>
    <w:rsid w:val="00A77C40"/>
    <w:rsid w:val="00A8004B"/>
    <w:rsid w:val="00A81CA1"/>
    <w:rsid w:val="00A81EB6"/>
    <w:rsid w:val="00A81F08"/>
    <w:rsid w:val="00A8264D"/>
    <w:rsid w:val="00A8322C"/>
    <w:rsid w:val="00A837FE"/>
    <w:rsid w:val="00A844C9"/>
    <w:rsid w:val="00A84A07"/>
    <w:rsid w:val="00A84B8E"/>
    <w:rsid w:val="00A85357"/>
    <w:rsid w:val="00A8543E"/>
    <w:rsid w:val="00A857C8"/>
    <w:rsid w:val="00A860C0"/>
    <w:rsid w:val="00A864F4"/>
    <w:rsid w:val="00A866A1"/>
    <w:rsid w:val="00A8711E"/>
    <w:rsid w:val="00A901D3"/>
    <w:rsid w:val="00A902DD"/>
    <w:rsid w:val="00A90324"/>
    <w:rsid w:val="00A90683"/>
    <w:rsid w:val="00A906D9"/>
    <w:rsid w:val="00A909BD"/>
    <w:rsid w:val="00A90B44"/>
    <w:rsid w:val="00A91617"/>
    <w:rsid w:val="00A9305A"/>
    <w:rsid w:val="00A93535"/>
    <w:rsid w:val="00A93EE1"/>
    <w:rsid w:val="00A93FED"/>
    <w:rsid w:val="00A96A23"/>
    <w:rsid w:val="00A96F3B"/>
    <w:rsid w:val="00A96FA8"/>
    <w:rsid w:val="00A97069"/>
    <w:rsid w:val="00A9770A"/>
    <w:rsid w:val="00AA028E"/>
    <w:rsid w:val="00AA0A43"/>
    <w:rsid w:val="00AA0DD3"/>
    <w:rsid w:val="00AA17F4"/>
    <w:rsid w:val="00AA1C07"/>
    <w:rsid w:val="00AA2818"/>
    <w:rsid w:val="00AA3688"/>
    <w:rsid w:val="00AA4081"/>
    <w:rsid w:val="00AA50F5"/>
    <w:rsid w:val="00AA5887"/>
    <w:rsid w:val="00AA68E9"/>
    <w:rsid w:val="00AA71BA"/>
    <w:rsid w:val="00AA77EE"/>
    <w:rsid w:val="00AB0D95"/>
    <w:rsid w:val="00AB102A"/>
    <w:rsid w:val="00AB12C5"/>
    <w:rsid w:val="00AB19F8"/>
    <w:rsid w:val="00AB1C6D"/>
    <w:rsid w:val="00AB240C"/>
    <w:rsid w:val="00AB2796"/>
    <w:rsid w:val="00AB2A61"/>
    <w:rsid w:val="00AB3081"/>
    <w:rsid w:val="00AB3092"/>
    <w:rsid w:val="00AB3455"/>
    <w:rsid w:val="00AB3A12"/>
    <w:rsid w:val="00AB3ECC"/>
    <w:rsid w:val="00AB3FEA"/>
    <w:rsid w:val="00AB4344"/>
    <w:rsid w:val="00AB5A8D"/>
    <w:rsid w:val="00AB5C24"/>
    <w:rsid w:val="00AB653F"/>
    <w:rsid w:val="00AB6576"/>
    <w:rsid w:val="00AB6642"/>
    <w:rsid w:val="00AB66E2"/>
    <w:rsid w:val="00AB6944"/>
    <w:rsid w:val="00AB6B37"/>
    <w:rsid w:val="00AB71DF"/>
    <w:rsid w:val="00AB7309"/>
    <w:rsid w:val="00AC04E9"/>
    <w:rsid w:val="00AC1892"/>
    <w:rsid w:val="00AC1BD0"/>
    <w:rsid w:val="00AC2320"/>
    <w:rsid w:val="00AC2A18"/>
    <w:rsid w:val="00AC2EFE"/>
    <w:rsid w:val="00AC35C3"/>
    <w:rsid w:val="00AC3930"/>
    <w:rsid w:val="00AC3AB1"/>
    <w:rsid w:val="00AC3CE9"/>
    <w:rsid w:val="00AC4176"/>
    <w:rsid w:val="00AC4B8B"/>
    <w:rsid w:val="00AC5AE6"/>
    <w:rsid w:val="00AC6215"/>
    <w:rsid w:val="00AC635F"/>
    <w:rsid w:val="00AC664A"/>
    <w:rsid w:val="00AC683D"/>
    <w:rsid w:val="00AC68C6"/>
    <w:rsid w:val="00AC68F4"/>
    <w:rsid w:val="00AC7127"/>
    <w:rsid w:val="00AC79C1"/>
    <w:rsid w:val="00AC7CA4"/>
    <w:rsid w:val="00AD034E"/>
    <w:rsid w:val="00AD0A2C"/>
    <w:rsid w:val="00AD1386"/>
    <w:rsid w:val="00AD39BC"/>
    <w:rsid w:val="00AD3C73"/>
    <w:rsid w:val="00AD3E75"/>
    <w:rsid w:val="00AD46FB"/>
    <w:rsid w:val="00AD493B"/>
    <w:rsid w:val="00AD4A64"/>
    <w:rsid w:val="00AD4AE3"/>
    <w:rsid w:val="00AD4D4E"/>
    <w:rsid w:val="00AD579D"/>
    <w:rsid w:val="00AD598F"/>
    <w:rsid w:val="00AD5CA1"/>
    <w:rsid w:val="00AD62A7"/>
    <w:rsid w:val="00AD636A"/>
    <w:rsid w:val="00AD65D8"/>
    <w:rsid w:val="00AD6D09"/>
    <w:rsid w:val="00AD6F0D"/>
    <w:rsid w:val="00AD733E"/>
    <w:rsid w:val="00AE031E"/>
    <w:rsid w:val="00AE07DA"/>
    <w:rsid w:val="00AE08A2"/>
    <w:rsid w:val="00AE098E"/>
    <w:rsid w:val="00AE0BBA"/>
    <w:rsid w:val="00AE0F29"/>
    <w:rsid w:val="00AE1BA7"/>
    <w:rsid w:val="00AE2291"/>
    <w:rsid w:val="00AE25C8"/>
    <w:rsid w:val="00AE28C4"/>
    <w:rsid w:val="00AE2F34"/>
    <w:rsid w:val="00AE3663"/>
    <w:rsid w:val="00AE3B74"/>
    <w:rsid w:val="00AE4113"/>
    <w:rsid w:val="00AE4380"/>
    <w:rsid w:val="00AE4FAC"/>
    <w:rsid w:val="00AE522C"/>
    <w:rsid w:val="00AE5525"/>
    <w:rsid w:val="00AE6381"/>
    <w:rsid w:val="00AE656F"/>
    <w:rsid w:val="00AE677F"/>
    <w:rsid w:val="00AE7057"/>
    <w:rsid w:val="00AE743E"/>
    <w:rsid w:val="00AE7D78"/>
    <w:rsid w:val="00AF1234"/>
    <w:rsid w:val="00AF124B"/>
    <w:rsid w:val="00AF2CDC"/>
    <w:rsid w:val="00AF3239"/>
    <w:rsid w:val="00AF3493"/>
    <w:rsid w:val="00AF41A5"/>
    <w:rsid w:val="00AF41F6"/>
    <w:rsid w:val="00AF438E"/>
    <w:rsid w:val="00AF45CA"/>
    <w:rsid w:val="00AF5042"/>
    <w:rsid w:val="00AF52F4"/>
    <w:rsid w:val="00AF5587"/>
    <w:rsid w:val="00AF5CEE"/>
    <w:rsid w:val="00AF5F3A"/>
    <w:rsid w:val="00AF62B0"/>
    <w:rsid w:val="00AF69A7"/>
    <w:rsid w:val="00AF7506"/>
    <w:rsid w:val="00AF7D03"/>
    <w:rsid w:val="00B007DD"/>
    <w:rsid w:val="00B0098A"/>
    <w:rsid w:val="00B01016"/>
    <w:rsid w:val="00B0146E"/>
    <w:rsid w:val="00B014C0"/>
    <w:rsid w:val="00B016A8"/>
    <w:rsid w:val="00B0193A"/>
    <w:rsid w:val="00B0204E"/>
    <w:rsid w:val="00B02160"/>
    <w:rsid w:val="00B02646"/>
    <w:rsid w:val="00B027CB"/>
    <w:rsid w:val="00B02AA4"/>
    <w:rsid w:val="00B0352B"/>
    <w:rsid w:val="00B03DFF"/>
    <w:rsid w:val="00B03E40"/>
    <w:rsid w:val="00B03F28"/>
    <w:rsid w:val="00B04B7A"/>
    <w:rsid w:val="00B04F5E"/>
    <w:rsid w:val="00B04FBF"/>
    <w:rsid w:val="00B05879"/>
    <w:rsid w:val="00B065F9"/>
    <w:rsid w:val="00B069E9"/>
    <w:rsid w:val="00B073E6"/>
    <w:rsid w:val="00B074F8"/>
    <w:rsid w:val="00B10105"/>
    <w:rsid w:val="00B108C8"/>
    <w:rsid w:val="00B114FF"/>
    <w:rsid w:val="00B11A3D"/>
    <w:rsid w:val="00B120A9"/>
    <w:rsid w:val="00B121B0"/>
    <w:rsid w:val="00B1322A"/>
    <w:rsid w:val="00B13B87"/>
    <w:rsid w:val="00B13D61"/>
    <w:rsid w:val="00B14124"/>
    <w:rsid w:val="00B15913"/>
    <w:rsid w:val="00B161C7"/>
    <w:rsid w:val="00B17C9A"/>
    <w:rsid w:val="00B17FAB"/>
    <w:rsid w:val="00B20628"/>
    <w:rsid w:val="00B21508"/>
    <w:rsid w:val="00B22C5F"/>
    <w:rsid w:val="00B23687"/>
    <w:rsid w:val="00B23760"/>
    <w:rsid w:val="00B23ADF"/>
    <w:rsid w:val="00B25470"/>
    <w:rsid w:val="00B25710"/>
    <w:rsid w:val="00B262D0"/>
    <w:rsid w:val="00B26DF4"/>
    <w:rsid w:val="00B2768A"/>
    <w:rsid w:val="00B27B03"/>
    <w:rsid w:val="00B27ECB"/>
    <w:rsid w:val="00B31B62"/>
    <w:rsid w:val="00B3208E"/>
    <w:rsid w:val="00B32129"/>
    <w:rsid w:val="00B3268D"/>
    <w:rsid w:val="00B3320E"/>
    <w:rsid w:val="00B334D2"/>
    <w:rsid w:val="00B334EE"/>
    <w:rsid w:val="00B33711"/>
    <w:rsid w:val="00B33C3C"/>
    <w:rsid w:val="00B34889"/>
    <w:rsid w:val="00B34B52"/>
    <w:rsid w:val="00B3529A"/>
    <w:rsid w:val="00B35325"/>
    <w:rsid w:val="00B3645D"/>
    <w:rsid w:val="00B36764"/>
    <w:rsid w:val="00B369F0"/>
    <w:rsid w:val="00B37550"/>
    <w:rsid w:val="00B37665"/>
    <w:rsid w:val="00B37775"/>
    <w:rsid w:val="00B37A96"/>
    <w:rsid w:val="00B37B76"/>
    <w:rsid w:val="00B402C6"/>
    <w:rsid w:val="00B409A7"/>
    <w:rsid w:val="00B4148F"/>
    <w:rsid w:val="00B41758"/>
    <w:rsid w:val="00B41821"/>
    <w:rsid w:val="00B41DC1"/>
    <w:rsid w:val="00B41E83"/>
    <w:rsid w:val="00B426DF"/>
    <w:rsid w:val="00B42F69"/>
    <w:rsid w:val="00B4460C"/>
    <w:rsid w:val="00B449FB"/>
    <w:rsid w:val="00B44DF1"/>
    <w:rsid w:val="00B44F64"/>
    <w:rsid w:val="00B4507C"/>
    <w:rsid w:val="00B45DEC"/>
    <w:rsid w:val="00B4621B"/>
    <w:rsid w:val="00B464A0"/>
    <w:rsid w:val="00B46EC7"/>
    <w:rsid w:val="00B47602"/>
    <w:rsid w:val="00B4769B"/>
    <w:rsid w:val="00B479ED"/>
    <w:rsid w:val="00B50696"/>
    <w:rsid w:val="00B50935"/>
    <w:rsid w:val="00B50A91"/>
    <w:rsid w:val="00B50F3E"/>
    <w:rsid w:val="00B5151E"/>
    <w:rsid w:val="00B515C6"/>
    <w:rsid w:val="00B5160B"/>
    <w:rsid w:val="00B51761"/>
    <w:rsid w:val="00B517B7"/>
    <w:rsid w:val="00B51871"/>
    <w:rsid w:val="00B52022"/>
    <w:rsid w:val="00B52187"/>
    <w:rsid w:val="00B523B9"/>
    <w:rsid w:val="00B523F9"/>
    <w:rsid w:val="00B52837"/>
    <w:rsid w:val="00B53231"/>
    <w:rsid w:val="00B536AC"/>
    <w:rsid w:val="00B53C21"/>
    <w:rsid w:val="00B54372"/>
    <w:rsid w:val="00B54691"/>
    <w:rsid w:val="00B55A41"/>
    <w:rsid w:val="00B5648B"/>
    <w:rsid w:val="00B57590"/>
    <w:rsid w:val="00B577B6"/>
    <w:rsid w:val="00B6009F"/>
    <w:rsid w:val="00B60CCD"/>
    <w:rsid w:val="00B6120E"/>
    <w:rsid w:val="00B61A38"/>
    <w:rsid w:val="00B61B77"/>
    <w:rsid w:val="00B61BE2"/>
    <w:rsid w:val="00B62854"/>
    <w:rsid w:val="00B62EF1"/>
    <w:rsid w:val="00B640CC"/>
    <w:rsid w:val="00B645B6"/>
    <w:rsid w:val="00B64B2F"/>
    <w:rsid w:val="00B65DF4"/>
    <w:rsid w:val="00B662F8"/>
    <w:rsid w:val="00B663FA"/>
    <w:rsid w:val="00B667BF"/>
    <w:rsid w:val="00B674D6"/>
    <w:rsid w:val="00B6797D"/>
    <w:rsid w:val="00B701EA"/>
    <w:rsid w:val="00B7130F"/>
    <w:rsid w:val="00B714ED"/>
    <w:rsid w:val="00B7203D"/>
    <w:rsid w:val="00B727F6"/>
    <w:rsid w:val="00B72F6A"/>
    <w:rsid w:val="00B735B8"/>
    <w:rsid w:val="00B73883"/>
    <w:rsid w:val="00B738A9"/>
    <w:rsid w:val="00B73A03"/>
    <w:rsid w:val="00B7411F"/>
    <w:rsid w:val="00B741CF"/>
    <w:rsid w:val="00B74858"/>
    <w:rsid w:val="00B749BF"/>
    <w:rsid w:val="00B752EB"/>
    <w:rsid w:val="00B75E02"/>
    <w:rsid w:val="00B76476"/>
    <w:rsid w:val="00B7676A"/>
    <w:rsid w:val="00B77B10"/>
    <w:rsid w:val="00B77B32"/>
    <w:rsid w:val="00B77BE4"/>
    <w:rsid w:val="00B80962"/>
    <w:rsid w:val="00B812BE"/>
    <w:rsid w:val="00B813D5"/>
    <w:rsid w:val="00B817F0"/>
    <w:rsid w:val="00B82305"/>
    <w:rsid w:val="00B8258D"/>
    <w:rsid w:val="00B825B4"/>
    <w:rsid w:val="00B82CE5"/>
    <w:rsid w:val="00B83E1C"/>
    <w:rsid w:val="00B84E7E"/>
    <w:rsid w:val="00B855B2"/>
    <w:rsid w:val="00B85703"/>
    <w:rsid w:val="00B85C5B"/>
    <w:rsid w:val="00B863AC"/>
    <w:rsid w:val="00B86608"/>
    <w:rsid w:val="00B876F3"/>
    <w:rsid w:val="00B87847"/>
    <w:rsid w:val="00B90477"/>
    <w:rsid w:val="00B91B28"/>
    <w:rsid w:val="00B91B41"/>
    <w:rsid w:val="00B927DA"/>
    <w:rsid w:val="00B92AA5"/>
    <w:rsid w:val="00B92ACB"/>
    <w:rsid w:val="00B93904"/>
    <w:rsid w:val="00B947CF"/>
    <w:rsid w:val="00B950B1"/>
    <w:rsid w:val="00B955FE"/>
    <w:rsid w:val="00B95E48"/>
    <w:rsid w:val="00B96050"/>
    <w:rsid w:val="00B96346"/>
    <w:rsid w:val="00B96744"/>
    <w:rsid w:val="00B96E5F"/>
    <w:rsid w:val="00B96FCE"/>
    <w:rsid w:val="00B974B9"/>
    <w:rsid w:val="00B9787A"/>
    <w:rsid w:val="00B97A25"/>
    <w:rsid w:val="00BA0185"/>
    <w:rsid w:val="00BA0B9F"/>
    <w:rsid w:val="00BA1AC9"/>
    <w:rsid w:val="00BA2006"/>
    <w:rsid w:val="00BA20B6"/>
    <w:rsid w:val="00BA3287"/>
    <w:rsid w:val="00BA342F"/>
    <w:rsid w:val="00BA3562"/>
    <w:rsid w:val="00BA3812"/>
    <w:rsid w:val="00BA3EA6"/>
    <w:rsid w:val="00BA4144"/>
    <w:rsid w:val="00BA4771"/>
    <w:rsid w:val="00BA47C6"/>
    <w:rsid w:val="00BA560B"/>
    <w:rsid w:val="00BA6419"/>
    <w:rsid w:val="00BA6550"/>
    <w:rsid w:val="00BA69CF"/>
    <w:rsid w:val="00BA6B76"/>
    <w:rsid w:val="00BA71BD"/>
    <w:rsid w:val="00BA7225"/>
    <w:rsid w:val="00BA759D"/>
    <w:rsid w:val="00BA7B09"/>
    <w:rsid w:val="00BB09A5"/>
    <w:rsid w:val="00BB0A6B"/>
    <w:rsid w:val="00BB0B93"/>
    <w:rsid w:val="00BB2168"/>
    <w:rsid w:val="00BB24E0"/>
    <w:rsid w:val="00BB282C"/>
    <w:rsid w:val="00BB3642"/>
    <w:rsid w:val="00BB37E5"/>
    <w:rsid w:val="00BB4A3B"/>
    <w:rsid w:val="00BB4BA9"/>
    <w:rsid w:val="00BB5115"/>
    <w:rsid w:val="00BB59F6"/>
    <w:rsid w:val="00BB5EF0"/>
    <w:rsid w:val="00BB5F45"/>
    <w:rsid w:val="00BB66AB"/>
    <w:rsid w:val="00BB6A22"/>
    <w:rsid w:val="00BC0AD6"/>
    <w:rsid w:val="00BC0BAE"/>
    <w:rsid w:val="00BC0D0E"/>
    <w:rsid w:val="00BC122E"/>
    <w:rsid w:val="00BC128A"/>
    <w:rsid w:val="00BC13D8"/>
    <w:rsid w:val="00BC2D70"/>
    <w:rsid w:val="00BC2FDE"/>
    <w:rsid w:val="00BC3119"/>
    <w:rsid w:val="00BC3584"/>
    <w:rsid w:val="00BC3B10"/>
    <w:rsid w:val="00BC4C26"/>
    <w:rsid w:val="00BC57FB"/>
    <w:rsid w:val="00BC5838"/>
    <w:rsid w:val="00BC5964"/>
    <w:rsid w:val="00BC6264"/>
    <w:rsid w:val="00BC6DC2"/>
    <w:rsid w:val="00BC6EA8"/>
    <w:rsid w:val="00BD006E"/>
    <w:rsid w:val="00BD0322"/>
    <w:rsid w:val="00BD081D"/>
    <w:rsid w:val="00BD1763"/>
    <w:rsid w:val="00BD1AD5"/>
    <w:rsid w:val="00BD2ED2"/>
    <w:rsid w:val="00BD2F2C"/>
    <w:rsid w:val="00BD3005"/>
    <w:rsid w:val="00BD33B4"/>
    <w:rsid w:val="00BD4C57"/>
    <w:rsid w:val="00BD503F"/>
    <w:rsid w:val="00BD5513"/>
    <w:rsid w:val="00BD58A4"/>
    <w:rsid w:val="00BD617E"/>
    <w:rsid w:val="00BE03B6"/>
    <w:rsid w:val="00BE2D71"/>
    <w:rsid w:val="00BE3BD7"/>
    <w:rsid w:val="00BE4ED6"/>
    <w:rsid w:val="00BE54F3"/>
    <w:rsid w:val="00BE5F67"/>
    <w:rsid w:val="00BE6584"/>
    <w:rsid w:val="00BE7413"/>
    <w:rsid w:val="00BE7920"/>
    <w:rsid w:val="00BF0218"/>
    <w:rsid w:val="00BF04EA"/>
    <w:rsid w:val="00BF0757"/>
    <w:rsid w:val="00BF12E7"/>
    <w:rsid w:val="00BF1DE3"/>
    <w:rsid w:val="00BF1E46"/>
    <w:rsid w:val="00BF2CD1"/>
    <w:rsid w:val="00BF3BF2"/>
    <w:rsid w:val="00BF3C30"/>
    <w:rsid w:val="00BF3D9B"/>
    <w:rsid w:val="00BF4B6A"/>
    <w:rsid w:val="00BF4C37"/>
    <w:rsid w:val="00BF5135"/>
    <w:rsid w:val="00BF61C5"/>
    <w:rsid w:val="00BF6ACF"/>
    <w:rsid w:val="00BF7E3E"/>
    <w:rsid w:val="00C00312"/>
    <w:rsid w:val="00C005D0"/>
    <w:rsid w:val="00C009F5"/>
    <w:rsid w:val="00C00AB8"/>
    <w:rsid w:val="00C01129"/>
    <w:rsid w:val="00C01A37"/>
    <w:rsid w:val="00C0213B"/>
    <w:rsid w:val="00C02239"/>
    <w:rsid w:val="00C022E1"/>
    <w:rsid w:val="00C0270B"/>
    <w:rsid w:val="00C03843"/>
    <w:rsid w:val="00C0398D"/>
    <w:rsid w:val="00C04346"/>
    <w:rsid w:val="00C049BE"/>
    <w:rsid w:val="00C0544C"/>
    <w:rsid w:val="00C05C3D"/>
    <w:rsid w:val="00C06B1D"/>
    <w:rsid w:val="00C071AC"/>
    <w:rsid w:val="00C072A7"/>
    <w:rsid w:val="00C073CC"/>
    <w:rsid w:val="00C075FC"/>
    <w:rsid w:val="00C109A2"/>
    <w:rsid w:val="00C11C75"/>
    <w:rsid w:val="00C11E4C"/>
    <w:rsid w:val="00C1218D"/>
    <w:rsid w:val="00C129DE"/>
    <w:rsid w:val="00C1400A"/>
    <w:rsid w:val="00C142CA"/>
    <w:rsid w:val="00C14865"/>
    <w:rsid w:val="00C14954"/>
    <w:rsid w:val="00C15148"/>
    <w:rsid w:val="00C152CB"/>
    <w:rsid w:val="00C16833"/>
    <w:rsid w:val="00C16E57"/>
    <w:rsid w:val="00C174E3"/>
    <w:rsid w:val="00C179B0"/>
    <w:rsid w:val="00C20245"/>
    <w:rsid w:val="00C20CA6"/>
    <w:rsid w:val="00C220F9"/>
    <w:rsid w:val="00C226F9"/>
    <w:rsid w:val="00C229F5"/>
    <w:rsid w:val="00C22A33"/>
    <w:rsid w:val="00C23047"/>
    <w:rsid w:val="00C23398"/>
    <w:rsid w:val="00C23720"/>
    <w:rsid w:val="00C23B23"/>
    <w:rsid w:val="00C2428B"/>
    <w:rsid w:val="00C2587A"/>
    <w:rsid w:val="00C26263"/>
    <w:rsid w:val="00C26C22"/>
    <w:rsid w:val="00C27B03"/>
    <w:rsid w:val="00C27BDA"/>
    <w:rsid w:val="00C30078"/>
    <w:rsid w:val="00C3089B"/>
    <w:rsid w:val="00C3157A"/>
    <w:rsid w:val="00C31B35"/>
    <w:rsid w:val="00C32A90"/>
    <w:rsid w:val="00C32B7B"/>
    <w:rsid w:val="00C34A1A"/>
    <w:rsid w:val="00C34B40"/>
    <w:rsid w:val="00C34F9B"/>
    <w:rsid w:val="00C35432"/>
    <w:rsid w:val="00C35836"/>
    <w:rsid w:val="00C358AD"/>
    <w:rsid w:val="00C36EE6"/>
    <w:rsid w:val="00C37292"/>
    <w:rsid w:val="00C3794D"/>
    <w:rsid w:val="00C37A1E"/>
    <w:rsid w:val="00C37CFB"/>
    <w:rsid w:val="00C40422"/>
    <w:rsid w:val="00C40995"/>
    <w:rsid w:val="00C41CD3"/>
    <w:rsid w:val="00C4202F"/>
    <w:rsid w:val="00C425E4"/>
    <w:rsid w:val="00C43438"/>
    <w:rsid w:val="00C441C5"/>
    <w:rsid w:val="00C44264"/>
    <w:rsid w:val="00C44E3E"/>
    <w:rsid w:val="00C44F8E"/>
    <w:rsid w:val="00C45116"/>
    <w:rsid w:val="00C46251"/>
    <w:rsid w:val="00C46416"/>
    <w:rsid w:val="00C472DE"/>
    <w:rsid w:val="00C47811"/>
    <w:rsid w:val="00C4790F"/>
    <w:rsid w:val="00C47D75"/>
    <w:rsid w:val="00C47FA0"/>
    <w:rsid w:val="00C47FC0"/>
    <w:rsid w:val="00C50569"/>
    <w:rsid w:val="00C5189F"/>
    <w:rsid w:val="00C51A68"/>
    <w:rsid w:val="00C51E4B"/>
    <w:rsid w:val="00C528CC"/>
    <w:rsid w:val="00C53ABD"/>
    <w:rsid w:val="00C53AD3"/>
    <w:rsid w:val="00C53C94"/>
    <w:rsid w:val="00C54239"/>
    <w:rsid w:val="00C54475"/>
    <w:rsid w:val="00C5474E"/>
    <w:rsid w:val="00C54770"/>
    <w:rsid w:val="00C547EE"/>
    <w:rsid w:val="00C54A13"/>
    <w:rsid w:val="00C561E1"/>
    <w:rsid w:val="00C5627A"/>
    <w:rsid w:val="00C5645D"/>
    <w:rsid w:val="00C57741"/>
    <w:rsid w:val="00C57FC4"/>
    <w:rsid w:val="00C60077"/>
    <w:rsid w:val="00C6074F"/>
    <w:rsid w:val="00C616CC"/>
    <w:rsid w:val="00C61A61"/>
    <w:rsid w:val="00C61ED6"/>
    <w:rsid w:val="00C6208B"/>
    <w:rsid w:val="00C62175"/>
    <w:rsid w:val="00C62568"/>
    <w:rsid w:val="00C625A7"/>
    <w:rsid w:val="00C6291C"/>
    <w:rsid w:val="00C634ED"/>
    <w:rsid w:val="00C63A2F"/>
    <w:rsid w:val="00C63EF6"/>
    <w:rsid w:val="00C64143"/>
    <w:rsid w:val="00C6434D"/>
    <w:rsid w:val="00C6456C"/>
    <w:rsid w:val="00C645BB"/>
    <w:rsid w:val="00C652E5"/>
    <w:rsid w:val="00C655C9"/>
    <w:rsid w:val="00C656FE"/>
    <w:rsid w:val="00C6594C"/>
    <w:rsid w:val="00C66FA3"/>
    <w:rsid w:val="00C67446"/>
    <w:rsid w:val="00C674B0"/>
    <w:rsid w:val="00C6758A"/>
    <w:rsid w:val="00C67E44"/>
    <w:rsid w:val="00C70962"/>
    <w:rsid w:val="00C71674"/>
    <w:rsid w:val="00C73B90"/>
    <w:rsid w:val="00C74642"/>
    <w:rsid w:val="00C74903"/>
    <w:rsid w:val="00C74AC9"/>
    <w:rsid w:val="00C74BA1"/>
    <w:rsid w:val="00C7602F"/>
    <w:rsid w:val="00C7697F"/>
    <w:rsid w:val="00C76ECF"/>
    <w:rsid w:val="00C76F2B"/>
    <w:rsid w:val="00C77EEC"/>
    <w:rsid w:val="00C8030E"/>
    <w:rsid w:val="00C8091F"/>
    <w:rsid w:val="00C81171"/>
    <w:rsid w:val="00C81209"/>
    <w:rsid w:val="00C8136C"/>
    <w:rsid w:val="00C82FAC"/>
    <w:rsid w:val="00C82FFA"/>
    <w:rsid w:val="00C831BC"/>
    <w:rsid w:val="00C83548"/>
    <w:rsid w:val="00C8382B"/>
    <w:rsid w:val="00C846C1"/>
    <w:rsid w:val="00C84A0D"/>
    <w:rsid w:val="00C84A1B"/>
    <w:rsid w:val="00C84CA3"/>
    <w:rsid w:val="00C8530E"/>
    <w:rsid w:val="00C85521"/>
    <w:rsid w:val="00C856C0"/>
    <w:rsid w:val="00C85859"/>
    <w:rsid w:val="00C863EE"/>
    <w:rsid w:val="00C86887"/>
    <w:rsid w:val="00C87E0B"/>
    <w:rsid w:val="00C901BC"/>
    <w:rsid w:val="00C90A55"/>
    <w:rsid w:val="00C90C09"/>
    <w:rsid w:val="00C92646"/>
    <w:rsid w:val="00C92658"/>
    <w:rsid w:val="00C9301D"/>
    <w:rsid w:val="00C9316A"/>
    <w:rsid w:val="00C9340D"/>
    <w:rsid w:val="00C93B5E"/>
    <w:rsid w:val="00C93CE4"/>
    <w:rsid w:val="00C93D08"/>
    <w:rsid w:val="00C94592"/>
    <w:rsid w:val="00C94919"/>
    <w:rsid w:val="00C95D8D"/>
    <w:rsid w:val="00C973BF"/>
    <w:rsid w:val="00C97C7F"/>
    <w:rsid w:val="00CA16E6"/>
    <w:rsid w:val="00CA202E"/>
    <w:rsid w:val="00CA2283"/>
    <w:rsid w:val="00CA289F"/>
    <w:rsid w:val="00CA2AEF"/>
    <w:rsid w:val="00CA3006"/>
    <w:rsid w:val="00CA304B"/>
    <w:rsid w:val="00CA325F"/>
    <w:rsid w:val="00CA33B8"/>
    <w:rsid w:val="00CA36C8"/>
    <w:rsid w:val="00CA38E8"/>
    <w:rsid w:val="00CA3C08"/>
    <w:rsid w:val="00CA4918"/>
    <w:rsid w:val="00CA4F38"/>
    <w:rsid w:val="00CA578A"/>
    <w:rsid w:val="00CA647F"/>
    <w:rsid w:val="00CB0FCB"/>
    <w:rsid w:val="00CB1582"/>
    <w:rsid w:val="00CB1780"/>
    <w:rsid w:val="00CB1A4C"/>
    <w:rsid w:val="00CB1DF4"/>
    <w:rsid w:val="00CB1F00"/>
    <w:rsid w:val="00CB21F6"/>
    <w:rsid w:val="00CB22B7"/>
    <w:rsid w:val="00CB27CB"/>
    <w:rsid w:val="00CB31DA"/>
    <w:rsid w:val="00CB3237"/>
    <w:rsid w:val="00CB3649"/>
    <w:rsid w:val="00CB3784"/>
    <w:rsid w:val="00CB47F0"/>
    <w:rsid w:val="00CB5032"/>
    <w:rsid w:val="00CB55E6"/>
    <w:rsid w:val="00CB59AD"/>
    <w:rsid w:val="00CB5D48"/>
    <w:rsid w:val="00CB6B5F"/>
    <w:rsid w:val="00CB758F"/>
    <w:rsid w:val="00CB7C53"/>
    <w:rsid w:val="00CB7CE9"/>
    <w:rsid w:val="00CB7DF6"/>
    <w:rsid w:val="00CC0944"/>
    <w:rsid w:val="00CC0CC0"/>
    <w:rsid w:val="00CC2222"/>
    <w:rsid w:val="00CC2C00"/>
    <w:rsid w:val="00CC303F"/>
    <w:rsid w:val="00CC3104"/>
    <w:rsid w:val="00CC3C96"/>
    <w:rsid w:val="00CC4144"/>
    <w:rsid w:val="00CC4E11"/>
    <w:rsid w:val="00CC5C23"/>
    <w:rsid w:val="00CC5E0A"/>
    <w:rsid w:val="00CC60EB"/>
    <w:rsid w:val="00CC62B8"/>
    <w:rsid w:val="00CC642E"/>
    <w:rsid w:val="00CC6B29"/>
    <w:rsid w:val="00CC764C"/>
    <w:rsid w:val="00CC7A61"/>
    <w:rsid w:val="00CD00A4"/>
    <w:rsid w:val="00CD077C"/>
    <w:rsid w:val="00CD10EE"/>
    <w:rsid w:val="00CD1246"/>
    <w:rsid w:val="00CD14EF"/>
    <w:rsid w:val="00CD194C"/>
    <w:rsid w:val="00CD1D9B"/>
    <w:rsid w:val="00CD1E28"/>
    <w:rsid w:val="00CD2A43"/>
    <w:rsid w:val="00CD2C04"/>
    <w:rsid w:val="00CD2CB1"/>
    <w:rsid w:val="00CD342A"/>
    <w:rsid w:val="00CD3744"/>
    <w:rsid w:val="00CD3940"/>
    <w:rsid w:val="00CD3C1A"/>
    <w:rsid w:val="00CD3CC0"/>
    <w:rsid w:val="00CD3D7D"/>
    <w:rsid w:val="00CD406E"/>
    <w:rsid w:val="00CD43A6"/>
    <w:rsid w:val="00CD4936"/>
    <w:rsid w:val="00CD679B"/>
    <w:rsid w:val="00CD7BBE"/>
    <w:rsid w:val="00CE09AF"/>
    <w:rsid w:val="00CE1F0E"/>
    <w:rsid w:val="00CE3475"/>
    <w:rsid w:val="00CE3A4D"/>
    <w:rsid w:val="00CE3F22"/>
    <w:rsid w:val="00CE42E7"/>
    <w:rsid w:val="00CE6011"/>
    <w:rsid w:val="00CE6A0B"/>
    <w:rsid w:val="00CE7AB5"/>
    <w:rsid w:val="00CE7C0C"/>
    <w:rsid w:val="00CF0950"/>
    <w:rsid w:val="00CF10BE"/>
    <w:rsid w:val="00CF16EB"/>
    <w:rsid w:val="00CF36C3"/>
    <w:rsid w:val="00CF3B07"/>
    <w:rsid w:val="00CF41ED"/>
    <w:rsid w:val="00CF4C13"/>
    <w:rsid w:val="00CF59D4"/>
    <w:rsid w:val="00CF62E0"/>
    <w:rsid w:val="00CF6384"/>
    <w:rsid w:val="00CF6902"/>
    <w:rsid w:val="00CF7480"/>
    <w:rsid w:val="00CF7584"/>
    <w:rsid w:val="00CF7696"/>
    <w:rsid w:val="00CF7E48"/>
    <w:rsid w:val="00D00544"/>
    <w:rsid w:val="00D00FAA"/>
    <w:rsid w:val="00D035FE"/>
    <w:rsid w:val="00D03C6A"/>
    <w:rsid w:val="00D04E8B"/>
    <w:rsid w:val="00D050D3"/>
    <w:rsid w:val="00D056F3"/>
    <w:rsid w:val="00D05A3A"/>
    <w:rsid w:val="00D0607C"/>
    <w:rsid w:val="00D06E88"/>
    <w:rsid w:val="00D0706F"/>
    <w:rsid w:val="00D100D0"/>
    <w:rsid w:val="00D10625"/>
    <w:rsid w:val="00D11238"/>
    <w:rsid w:val="00D1154F"/>
    <w:rsid w:val="00D11F90"/>
    <w:rsid w:val="00D13527"/>
    <w:rsid w:val="00D14CEF"/>
    <w:rsid w:val="00D14CF0"/>
    <w:rsid w:val="00D15E4E"/>
    <w:rsid w:val="00D16534"/>
    <w:rsid w:val="00D1653F"/>
    <w:rsid w:val="00D1660B"/>
    <w:rsid w:val="00D171A6"/>
    <w:rsid w:val="00D173CB"/>
    <w:rsid w:val="00D17601"/>
    <w:rsid w:val="00D17701"/>
    <w:rsid w:val="00D17BA3"/>
    <w:rsid w:val="00D17DE9"/>
    <w:rsid w:val="00D20D6E"/>
    <w:rsid w:val="00D21300"/>
    <w:rsid w:val="00D218E4"/>
    <w:rsid w:val="00D21F59"/>
    <w:rsid w:val="00D222DC"/>
    <w:rsid w:val="00D22F7B"/>
    <w:rsid w:val="00D230DC"/>
    <w:rsid w:val="00D23269"/>
    <w:rsid w:val="00D24D1D"/>
    <w:rsid w:val="00D24F19"/>
    <w:rsid w:val="00D25496"/>
    <w:rsid w:val="00D25E86"/>
    <w:rsid w:val="00D26C9A"/>
    <w:rsid w:val="00D26DE4"/>
    <w:rsid w:val="00D26E90"/>
    <w:rsid w:val="00D2729A"/>
    <w:rsid w:val="00D27F75"/>
    <w:rsid w:val="00D303E8"/>
    <w:rsid w:val="00D30AC8"/>
    <w:rsid w:val="00D317A5"/>
    <w:rsid w:val="00D31BA6"/>
    <w:rsid w:val="00D32B20"/>
    <w:rsid w:val="00D335E1"/>
    <w:rsid w:val="00D33B3D"/>
    <w:rsid w:val="00D341B6"/>
    <w:rsid w:val="00D34CDC"/>
    <w:rsid w:val="00D3545E"/>
    <w:rsid w:val="00D35D9E"/>
    <w:rsid w:val="00D35FEA"/>
    <w:rsid w:val="00D366E4"/>
    <w:rsid w:val="00D36DA0"/>
    <w:rsid w:val="00D37CD3"/>
    <w:rsid w:val="00D4182C"/>
    <w:rsid w:val="00D41D27"/>
    <w:rsid w:val="00D41D2A"/>
    <w:rsid w:val="00D4231F"/>
    <w:rsid w:val="00D423AC"/>
    <w:rsid w:val="00D42502"/>
    <w:rsid w:val="00D42D94"/>
    <w:rsid w:val="00D43A1A"/>
    <w:rsid w:val="00D447FC"/>
    <w:rsid w:val="00D44AA7"/>
    <w:rsid w:val="00D44B15"/>
    <w:rsid w:val="00D44DC6"/>
    <w:rsid w:val="00D44FE7"/>
    <w:rsid w:val="00D45038"/>
    <w:rsid w:val="00D45BA3"/>
    <w:rsid w:val="00D4705D"/>
    <w:rsid w:val="00D476EA"/>
    <w:rsid w:val="00D47AF1"/>
    <w:rsid w:val="00D50752"/>
    <w:rsid w:val="00D514AC"/>
    <w:rsid w:val="00D514E5"/>
    <w:rsid w:val="00D51D00"/>
    <w:rsid w:val="00D5261D"/>
    <w:rsid w:val="00D52F00"/>
    <w:rsid w:val="00D5335F"/>
    <w:rsid w:val="00D53589"/>
    <w:rsid w:val="00D539D5"/>
    <w:rsid w:val="00D53F13"/>
    <w:rsid w:val="00D544D5"/>
    <w:rsid w:val="00D55DFD"/>
    <w:rsid w:val="00D562D8"/>
    <w:rsid w:val="00D56710"/>
    <w:rsid w:val="00D567B3"/>
    <w:rsid w:val="00D57036"/>
    <w:rsid w:val="00D57897"/>
    <w:rsid w:val="00D57AC9"/>
    <w:rsid w:val="00D57BDD"/>
    <w:rsid w:val="00D57C03"/>
    <w:rsid w:val="00D602DE"/>
    <w:rsid w:val="00D6096A"/>
    <w:rsid w:val="00D60ABE"/>
    <w:rsid w:val="00D60CE5"/>
    <w:rsid w:val="00D60D51"/>
    <w:rsid w:val="00D61811"/>
    <w:rsid w:val="00D625D4"/>
    <w:rsid w:val="00D62E8D"/>
    <w:rsid w:val="00D62EF5"/>
    <w:rsid w:val="00D63527"/>
    <w:rsid w:val="00D63F9F"/>
    <w:rsid w:val="00D6404A"/>
    <w:rsid w:val="00D645C7"/>
    <w:rsid w:val="00D646D3"/>
    <w:rsid w:val="00D64BFE"/>
    <w:rsid w:val="00D659EA"/>
    <w:rsid w:val="00D65FF6"/>
    <w:rsid w:val="00D662F2"/>
    <w:rsid w:val="00D665F1"/>
    <w:rsid w:val="00D6711E"/>
    <w:rsid w:val="00D67487"/>
    <w:rsid w:val="00D708F3"/>
    <w:rsid w:val="00D71151"/>
    <w:rsid w:val="00D7173B"/>
    <w:rsid w:val="00D71E0E"/>
    <w:rsid w:val="00D7207A"/>
    <w:rsid w:val="00D7397D"/>
    <w:rsid w:val="00D73B08"/>
    <w:rsid w:val="00D73F9F"/>
    <w:rsid w:val="00D74CEE"/>
    <w:rsid w:val="00D74F28"/>
    <w:rsid w:val="00D76F98"/>
    <w:rsid w:val="00D773AD"/>
    <w:rsid w:val="00D77C7E"/>
    <w:rsid w:val="00D80127"/>
    <w:rsid w:val="00D801B1"/>
    <w:rsid w:val="00D804E2"/>
    <w:rsid w:val="00D805D1"/>
    <w:rsid w:val="00D811EC"/>
    <w:rsid w:val="00D81FB3"/>
    <w:rsid w:val="00D82FD7"/>
    <w:rsid w:val="00D843A3"/>
    <w:rsid w:val="00D84D90"/>
    <w:rsid w:val="00D84FA6"/>
    <w:rsid w:val="00D85B9A"/>
    <w:rsid w:val="00D85C5F"/>
    <w:rsid w:val="00D85ECC"/>
    <w:rsid w:val="00D864C7"/>
    <w:rsid w:val="00D86A87"/>
    <w:rsid w:val="00D86EB7"/>
    <w:rsid w:val="00D8715F"/>
    <w:rsid w:val="00D909F8"/>
    <w:rsid w:val="00D91309"/>
    <w:rsid w:val="00D9139D"/>
    <w:rsid w:val="00D91E9F"/>
    <w:rsid w:val="00D92B5E"/>
    <w:rsid w:val="00D93015"/>
    <w:rsid w:val="00D93388"/>
    <w:rsid w:val="00D93CFF"/>
    <w:rsid w:val="00D9465E"/>
    <w:rsid w:val="00D95128"/>
    <w:rsid w:val="00D95452"/>
    <w:rsid w:val="00D95457"/>
    <w:rsid w:val="00D96B74"/>
    <w:rsid w:val="00D97A7B"/>
    <w:rsid w:val="00DA054C"/>
    <w:rsid w:val="00DA10E6"/>
    <w:rsid w:val="00DA1259"/>
    <w:rsid w:val="00DA128A"/>
    <w:rsid w:val="00DA1871"/>
    <w:rsid w:val="00DA1A06"/>
    <w:rsid w:val="00DA1AAD"/>
    <w:rsid w:val="00DA1E08"/>
    <w:rsid w:val="00DA3B08"/>
    <w:rsid w:val="00DA4A52"/>
    <w:rsid w:val="00DA4DFF"/>
    <w:rsid w:val="00DA4FBC"/>
    <w:rsid w:val="00DA53EF"/>
    <w:rsid w:val="00DA5E7E"/>
    <w:rsid w:val="00DA6B8A"/>
    <w:rsid w:val="00DA6B91"/>
    <w:rsid w:val="00DA71E7"/>
    <w:rsid w:val="00DA7457"/>
    <w:rsid w:val="00DA796F"/>
    <w:rsid w:val="00DB05D8"/>
    <w:rsid w:val="00DB1083"/>
    <w:rsid w:val="00DB114F"/>
    <w:rsid w:val="00DB27FD"/>
    <w:rsid w:val="00DB2995"/>
    <w:rsid w:val="00DB2E37"/>
    <w:rsid w:val="00DB2ED0"/>
    <w:rsid w:val="00DB3832"/>
    <w:rsid w:val="00DB38F0"/>
    <w:rsid w:val="00DB398C"/>
    <w:rsid w:val="00DB3CC0"/>
    <w:rsid w:val="00DB3D93"/>
    <w:rsid w:val="00DB3E15"/>
    <w:rsid w:val="00DB3EE8"/>
    <w:rsid w:val="00DB4701"/>
    <w:rsid w:val="00DB4E76"/>
    <w:rsid w:val="00DB59C0"/>
    <w:rsid w:val="00DB59FF"/>
    <w:rsid w:val="00DB7171"/>
    <w:rsid w:val="00DB7201"/>
    <w:rsid w:val="00DB7D82"/>
    <w:rsid w:val="00DB7D9F"/>
    <w:rsid w:val="00DC0146"/>
    <w:rsid w:val="00DC03EE"/>
    <w:rsid w:val="00DC0CCA"/>
    <w:rsid w:val="00DC0F24"/>
    <w:rsid w:val="00DC1F5A"/>
    <w:rsid w:val="00DC2584"/>
    <w:rsid w:val="00DC2C6E"/>
    <w:rsid w:val="00DC2CA9"/>
    <w:rsid w:val="00DC2F73"/>
    <w:rsid w:val="00DC332A"/>
    <w:rsid w:val="00DC36B8"/>
    <w:rsid w:val="00DC4CBE"/>
    <w:rsid w:val="00DC53F2"/>
    <w:rsid w:val="00DC6B01"/>
    <w:rsid w:val="00DC7758"/>
    <w:rsid w:val="00DC7797"/>
    <w:rsid w:val="00DC7A01"/>
    <w:rsid w:val="00DC7B05"/>
    <w:rsid w:val="00DC7E53"/>
    <w:rsid w:val="00DD078A"/>
    <w:rsid w:val="00DD0E59"/>
    <w:rsid w:val="00DD1737"/>
    <w:rsid w:val="00DD1A11"/>
    <w:rsid w:val="00DD1D61"/>
    <w:rsid w:val="00DD1D75"/>
    <w:rsid w:val="00DD2D67"/>
    <w:rsid w:val="00DD34E1"/>
    <w:rsid w:val="00DD3754"/>
    <w:rsid w:val="00DD45E7"/>
    <w:rsid w:val="00DD539D"/>
    <w:rsid w:val="00DD5580"/>
    <w:rsid w:val="00DD65D1"/>
    <w:rsid w:val="00DD71F6"/>
    <w:rsid w:val="00DD7667"/>
    <w:rsid w:val="00DD777C"/>
    <w:rsid w:val="00DD785E"/>
    <w:rsid w:val="00DD794B"/>
    <w:rsid w:val="00DD799F"/>
    <w:rsid w:val="00DD7D7A"/>
    <w:rsid w:val="00DE007A"/>
    <w:rsid w:val="00DE0893"/>
    <w:rsid w:val="00DE0D2F"/>
    <w:rsid w:val="00DE0D75"/>
    <w:rsid w:val="00DE19EB"/>
    <w:rsid w:val="00DE1B4A"/>
    <w:rsid w:val="00DE28A4"/>
    <w:rsid w:val="00DE41BE"/>
    <w:rsid w:val="00DE42C4"/>
    <w:rsid w:val="00DE5226"/>
    <w:rsid w:val="00DE589C"/>
    <w:rsid w:val="00DE58A4"/>
    <w:rsid w:val="00DE5B0F"/>
    <w:rsid w:val="00DE5D7E"/>
    <w:rsid w:val="00DE5F86"/>
    <w:rsid w:val="00DE6227"/>
    <w:rsid w:val="00DE627A"/>
    <w:rsid w:val="00DE6519"/>
    <w:rsid w:val="00DE767F"/>
    <w:rsid w:val="00DE7AF5"/>
    <w:rsid w:val="00DE7BBD"/>
    <w:rsid w:val="00DF0FE3"/>
    <w:rsid w:val="00DF1CA5"/>
    <w:rsid w:val="00DF2CB1"/>
    <w:rsid w:val="00DF33DC"/>
    <w:rsid w:val="00DF34B6"/>
    <w:rsid w:val="00DF3789"/>
    <w:rsid w:val="00DF4900"/>
    <w:rsid w:val="00DF4C89"/>
    <w:rsid w:val="00DF4F9F"/>
    <w:rsid w:val="00DF69F9"/>
    <w:rsid w:val="00DF6ACF"/>
    <w:rsid w:val="00DF6C2B"/>
    <w:rsid w:val="00DF7C90"/>
    <w:rsid w:val="00E00503"/>
    <w:rsid w:val="00E01138"/>
    <w:rsid w:val="00E01A8C"/>
    <w:rsid w:val="00E02579"/>
    <w:rsid w:val="00E02AAE"/>
    <w:rsid w:val="00E02B50"/>
    <w:rsid w:val="00E02C41"/>
    <w:rsid w:val="00E0316C"/>
    <w:rsid w:val="00E03F0D"/>
    <w:rsid w:val="00E04070"/>
    <w:rsid w:val="00E0441A"/>
    <w:rsid w:val="00E049A5"/>
    <w:rsid w:val="00E04B3F"/>
    <w:rsid w:val="00E05D6B"/>
    <w:rsid w:val="00E060C1"/>
    <w:rsid w:val="00E06B1E"/>
    <w:rsid w:val="00E071AE"/>
    <w:rsid w:val="00E07787"/>
    <w:rsid w:val="00E07866"/>
    <w:rsid w:val="00E10773"/>
    <w:rsid w:val="00E10AAF"/>
    <w:rsid w:val="00E10B29"/>
    <w:rsid w:val="00E11781"/>
    <w:rsid w:val="00E11D28"/>
    <w:rsid w:val="00E134DD"/>
    <w:rsid w:val="00E1390D"/>
    <w:rsid w:val="00E13CE2"/>
    <w:rsid w:val="00E142D8"/>
    <w:rsid w:val="00E147D5"/>
    <w:rsid w:val="00E14AD4"/>
    <w:rsid w:val="00E14C0E"/>
    <w:rsid w:val="00E15E8D"/>
    <w:rsid w:val="00E160AA"/>
    <w:rsid w:val="00E16642"/>
    <w:rsid w:val="00E169E3"/>
    <w:rsid w:val="00E1787C"/>
    <w:rsid w:val="00E17973"/>
    <w:rsid w:val="00E17D68"/>
    <w:rsid w:val="00E17FFD"/>
    <w:rsid w:val="00E209F4"/>
    <w:rsid w:val="00E20ABD"/>
    <w:rsid w:val="00E20E47"/>
    <w:rsid w:val="00E20FCF"/>
    <w:rsid w:val="00E21741"/>
    <w:rsid w:val="00E221A3"/>
    <w:rsid w:val="00E2249E"/>
    <w:rsid w:val="00E22B76"/>
    <w:rsid w:val="00E2342E"/>
    <w:rsid w:val="00E234F1"/>
    <w:rsid w:val="00E23763"/>
    <w:rsid w:val="00E23B7A"/>
    <w:rsid w:val="00E24066"/>
    <w:rsid w:val="00E24194"/>
    <w:rsid w:val="00E241ED"/>
    <w:rsid w:val="00E24E3A"/>
    <w:rsid w:val="00E255CC"/>
    <w:rsid w:val="00E25AF8"/>
    <w:rsid w:val="00E26C55"/>
    <w:rsid w:val="00E26F6C"/>
    <w:rsid w:val="00E276C9"/>
    <w:rsid w:val="00E27AA0"/>
    <w:rsid w:val="00E30DC5"/>
    <w:rsid w:val="00E314F6"/>
    <w:rsid w:val="00E31BD0"/>
    <w:rsid w:val="00E33481"/>
    <w:rsid w:val="00E33E22"/>
    <w:rsid w:val="00E34CA3"/>
    <w:rsid w:val="00E35121"/>
    <w:rsid w:val="00E354CF"/>
    <w:rsid w:val="00E35C4A"/>
    <w:rsid w:val="00E372DC"/>
    <w:rsid w:val="00E37A0F"/>
    <w:rsid w:val="00E37B3A"/>
    <w:rsid w:val="00E37CCB"/>
    <w:rsid w:val="00E37DA6"/>
    <w:rsid w:val="00E37FE3"/>
    <w:rsid w:val="00E40671"/>
    <w:rsid w:val="00E40703"/>
    <w:rsid w:val="00E40985"/>
    <w:rsid w:val="00E40EB7"/>
    <w:rsid w:val="00E41AA2"/>
    <w:rsid w:val="00E41E41"/>
    <w:rsid w:val="00E42000"/>
    <w:rsid w:val="00E434CC"/>
    <w:rsid w:val="00E435AF"/>
    <w:rsid w:val="00E43AAA"/>
    <w:rsid w:val="00E44247"/>
    <w:rsid w:val="00E445E0"/>
    <w:rsid w:val="00E4482E"/>
    <w:rsid w:val="00E44C62"/>
    <w:rsid w:val="00E454C6"/>
    <w:rsid w:val="00E4599A"/>
    <w:rsid w:val="00E45DBF"/>
    <w:rsid w:val="00E47C94"/>
    <w:rsid w:val="00E5032F"/>
    <w:rsid w:val="00E504EF"/>
    <w:rsid w:val="00E50A56"/>
    <w:rsid w:val="00E51585"/>
    <w:rsid w:val="00E51C04"/>
    <w:rsid w:val="00E525DD"/>
    <w:rsid w:val="00E52C93"/>
    <w:rsid w:val="00E52E1A"/>
    <w:rsid w:val="00E53048"/>
    <w:rsid w:val="00E53123"/>
    <w:rsid w:val="00E5326D"/>
    <w:rsid w:val="00E53653"/>
    <w:rsid w:val="00E5387C"/>
    <w:rsid w:val="00E53978"/>
    <w:rsid w:val="00E53BE6"/>
    <w:rsid w:val="00E54EF2"/>
    <w:rsid w:val="00E5548B"/>
    <w:rsid w:val="00E55800"/>
    <w:rsid w:val="00E55B6B"/>
    <w:rsid w:val="00E5662B"/>
    <w:rsid w:val="00E6041E"/>
    <w:rsid w:val="00E6091A"/>
    <w:rsid w:val="00E60B2C"/>
    <w:rsid w:val="00E60D0A"/>
    <w:rsid w:val="00E60DC5"/>
    <w:rsid w:val="00E61BC2"/>
    <w:rsid w:val="00E61BCD"/>
    <w:rsid w:val="00E61F33"/>
    <w:rsid w:val="00E62125"/>
    <w:rsid w:val="00E62585"/>
    <w:rsid w:val="00E62F60"/>
    <w:rsid w:val="00E631BA"/>
    <w:rsid w:val="00E633C8"/>
    <w:rsid w:val="00E63559"/>
    <w:rsid w:val="00E6380F"/>
    <w:rsid w:val="00E63FC8"/>
    <w:rsid w:val="00E64E00"/>
    <w:rsid w:val="00E65D62"/>
    <w:rsid w:val="00E665E9"/>
    <w:rsid w:val="00E665F8"/>
    <w:rsid w:val="00E66C60"/>
    <w:rsid w:val="00E67180"/>
    <w:rsid w:val="00E676E2"/>
    <w:rsid w:val="00E704F7"/>
    <w:rsid w:val="00E70EA8"/>
    <w:rsid w:val="00E7188D"/>
    <w:rsid w:val="00E72A66"/>
    <w:rsid w:val="00E72D05"/>
    <w:rsid w:val="00E73A12"/>
    <w:rsid w:val="00E74F1F"/>
    <w:rsid w:val="00E74FA5"/>
    <w:rsid w:val="00E756A8"/>
    <w:rsid w:val="00E75CF0"/>
    <w:rsid w:val="00E76032"/>
    <w:rsid w:val="00E768F2"/>
    <w:rsid w:val="00E77D67"/>
    <w:rsid w:val="00E77E9E"/>
    <w:rsid w:val="00E80749"/>
    <w:rsid w:val="00E81107"/>
    <w:rsid w:val="00E81DED"/>
    <w:rsid w:val="00E81E02"/>
    <w:rsid w:val="00E81EF0"/>
    <w:rsid w:val="00E82316"/>
    <w:rsid w:val="00E823DE"/>
    <w:rsid w:val="00E825B3"/>
    <w:rsid w:val="00E82669"/>
    <w:rsid w:val="00E834D1"/>
    <w:rsid w:val="00E83605"/>
    <w:rsid w:val="00E83A9C"/>
    <w:rsid w:val="00E840C3"/>
    <w:rsid w:val="00E849DE"/>
    <w:rsid w:val="00E84EDB"/>
    <w:rsid w:val="00E85948"/>
    <w:rsid w:val="00E86536"/>
    <w:rsid w:val="00E865B7"/>
    <w:rsid w:val="00E865CB"/>
    <w:rsid w:val="00E865F5"/>
    <w:rsid w:val="00E90D58"/>
    <w:rsid w:val="00E90EBF"/>
    <w:rsid w:val="00E9167E"/>
    <w:rsid w:val="00E92235"/>
    <w:rsid w:val="00E922A4"/>
    <w:rsid w:val="00E9236C"/>
    <w:rsid w:val="00E925CE"/>
    <w:rsid w:val="00E925D9"/>
    <w:rsid w:val="00E93F3F"/>
    <w:rsid w:val="00E94284"/>
    <w:rsid w:val="00E94D8C"/>
    <w:rsid w:val="00E94DEF"/>
    <w:rsid w:val="00EA05D9"/>
    <w:rsid w:val="00EA062A"/>
    <w:rsid w:val="00EA0C3A"/>
    <w:rsid w:val="00EA1079"/>
    <w:rsid w:val="00EA1104"/>
    <w:rsid w:val="00EA223A"/>
    <w:rsid w:val="00EA26CD"/>
    <w:rsid w:val="00EA2C41"/>
    <w:rsid w:val="00EA2DF7"/>
    <w:rsid w:val="00EA4165"/>
    <w:rsid w:val="00EA5257"/>
    <w:rsid w:val="00EA59B6"/>
    <w:rsid w:val="00EA5AB4"/>
    <w:rsid w:val="00EA6F48"/>
    <w:rsid w:val="00EA6F86"/>
    <w:rsid w:val="00EA7415"/>
    <w:rsid w:val="00EA74EA"/>
    <w:rsid w:val="00EB0433"/>
    <w:rsid w:val="00EB06D1"/>
    <w:rsid w:val="00EB1B8B"/>
    <w:rsid w:val="00EB27C0"/>
    <w:rsid w:val="00EB3C54"/>
    <w:rsid w:val="00EB3C7A"/>
    <w:rsid w:val="00EB3CDE"/>
    <w:rsid w:val="00EB4951"/>
    <w:rsid w:val="00EB4CA9"/>
    <w:rsid w:val="00EB4D49"/>
    <w:rsid w:val="00EB5804"/>
    <w:rsid w:val="00EB581E"/>
    <w:rsid w:val="00EB595B"/>
    <w:rsid w:val="00EB6565"/>
    <w:rsid w:val="00EB7588"/>
    <w:rsid w:val="00EB7805"/>
    <w:rsid w:val="00EB7C46"/>
    <w:rsid w:val="00EC098E"/>
    <w:rsid w:val="00EC0BCB"/>
    <w:rsid w:val="00EC0E48"/>
    <w:rsid w:val="00EC0E71"/>
    <w:rsid w:val="00EC15F0"/>
    <w:rsid w:val="00EC20C1"/>
    <w:rsid w:val="00EC2BF4"/>
    <w:rsid w:val="00EC36FE"/>
    <w:rsid w:val="00EC42D3"/>
    <w:rsid w:val="00EC441F"/>
    <w:rsid w:val="00EC4FC4"/>
    <w:rsid w:val="00EC5652"/>
    <w:rsid w:val="00EC595A"/>
    <w:rsid w:val="00EC5C64"/>
    <w:rsid w:val="00EC72D4"/>
    <w:rsid w:val="00EC7F48"/>
    <w:rsid w:val="00ED0E3E"/>
    <w:rsid w:val="00ED10DA"/>
    <w:rsid w:val="00ED1355"/>
    <w:rsid w:val="00ED20CE"/>
    <w:rsid w:val="00ED3E54"/>
    <w:rsid w:val="00ED3E6E"/>
    <w:rsid w:val="00ED4626"/>
    <w:rsid w:val="00ED5037"/>
    <w:rsid w:val="00ED613A"/>
    <w:rsid w:val="00ED6545"/>
    <w:rsid w:val="00ED6CFA"/>
    <w:rsid w:val="00ED6D53"/>
    <w:rsid w:val="00ED7641"/>
    <w:rsid w:val="00ED7E28"/>
    <w:rsid w:val="00EE01CE"/>
    <w:rsid w:val="00EE0D53"/>
    <w:rsid w:val="00EE1193"/>
    <w:rsid w:val="00EE14AA"/>
    <w:rsid w:val="00EE1855"/>
    <w:rsid w:val="00EE19C3"/>
    <w:rsid w:val="00EE2B68"/>
    <w:rsid w:val="00EE3733"/>
    <w:rsid w:val="00EE395E"/>
    <w:rsid w:val="00EE3E9B"/>
    <w:rsid w:val="00EE3F36"/>
    <w:rsid w:val="00EE46CA"/>
    <w:rsid w:val="00EE5ACB"/>
    <w:rsid w:val="00EE6CB2"/>
    <w:rsid w:val="00EE6D70"/>
    <w:rsid w:val="00EF0C7C"/>
    <w:rsid w:val="00EF0CCA"/>
    <w:rsid w:val="00EF1386"/>
    <w:rsid w:val="00EF15BC"/>
    <w:rsid w:val="00EF1B82"/>
    <w:rsid w:val="00EF23C7"/>
    <w:rsid w:val="00EF2491"/>
    <w:rsid w:val="00EF2497"/>
    <w:rsid w:val="00EF256B"/>
    <w:rsid w:val="00EF32F8"/>
    <w:rsid w:val="00EF37F0"/>
    <w:rsid w:val="00EF3984"/>
    <w:rsid w:val="00EF3E8A"/>
    <w:rsid w:val="00EF42BB"/>
    <w:rsid w:val="00EF44C1"/>
    <w:rsid w:val="00EF5277"/>
    <w:rsid w:val="00EF5285"/>
    <w:rsid w:val="00EF541F"/>
    <w:rsid w:val="00EF5844"/>
    <w:rsid w:val="00EF585F"/>
    <w:rsid w:val="00EF5CAD"/>
    <w:rsid w:val="00EF611F"/>
    <w:rsid w:val="00EF76E1"/>
    <w:rsid w:val="00EF78BA"/>
    <w:rsid w:val="00EF7DBC"/>
    <w:rsid w:val="00F00865"/>
    <w:rsid w:val="00F00B1D"/>
    <w:rsid w:val="00F01787"/>
    <w:rsid w:val="00F029AF"/>
    <w:rsid w:val="00F02D34"/>
    <w:rsid w:val="00F02EAA"/>
    <w:rsid w:val="00F04066"/>
    <w:rsid w:val="00F04146"/>
    <w:rsid w:val="00F05547"/>
    <w:rsid w:val="00F0624F"/>
    <w:rsid w:val="00F10267"/>
    <w:rsid w:val="00F1030E"/>
    <w:rsid w:val="00F10925"/>
    <w:rsid w:val="00F10DBF"/>
    <w:rsid w:val="00F11826"/>
    <w:rsid w:val="00F125E0"/>
    <w:rsid w:val="00F12797"/>
    <w:rsid w:val="00F12D80"/>
    <w:rsid w:val="00F12F6C"/>
    <w:rsid w:val="00F13405"/>
    <w:rsid w:val="00F13AF7"/>
    <w:rsid w:val="00F13B23"/>
    <w:rsid w:val="00F13B4F"/>
    <w:rsid w:val="00F13DAE"/>
    <w:rsid w:val="00F13FBC"/>
    <w:rsid w:val="00F141DA"/>
    <w:rsid w:val="00F157D8"/>
    <w:rsid w:val="00F15B2F"/>
    <w:rsid w:val="00F16E60"/>
    <w:rsid w:val="00F174C4"/>
    <w:rsid w:val="00F201AD"/>
    <w:rsid w:val="00F2102C"/>
    <w:rsid w:val="00F21481"/>
    <w:rsid w:val="00F21512"/>
    <w:rsid w:val="00F21B21"/>
    <w:rsid w:val="00F2208C"/>
    <w:rsid w:val="00F222BB"/>
    <w:rsid w:val="00F222FF"/>
    <w:rsid w:val="00F228EA"/>
    <w:rsid w:val="00F2298A"/>
    <w:rsid w:val="00F23D55"/>
    <w:rsid w:val="00F240BE"/>
    <w:rsid w:val="00F2412C"/>
    <w:rsid w:val="00F24542"/>
    <w:rsid w:val="00F245AA"/>
    <w:rsid w:val="00F2491A"/>
    <w:rsid w:val="00F24EF6"/>
    <w:rsid w:val="00F254E4"/>
    <w:rsid w:val="00F25B14"/>
    <w:rsid w:val="00F2665A"/>
    <w:rsid w:val="00F26B5F"/>
    <w:rsid w:val="00F26F5D"/>
    <w:rsid w:val="00F30102"/>
    <w:rsid w:val="00F30B1F"/>
    <w:rsid w:val="00F31E89"/>
    <w:rsid w:val="00F32026"/>
    <w:rsid w:val="00F3281A"/>
    <w:rsid w:val="00F32F5F"/>
    <w:rsid w:val="00F34C92"/>
    <w:rsid w:val="00F35013"/>
    <w:rsid w:val="00F351CC"/>
    <w:rsid w:val="00F35CE0"/>
    <w:rsid w:val="00F35D19"/>
    <w:rsid w:val="00F36D52"/>
    <w:rsid w:val="00F377AE"/>
    <w:rsid w:val="00F40C48"/>
    <w:rsid w:val="00F41158"/>
    <w:rsid w:val="00F4122A"/>
    <w:rsid w:val="00F41269"/>
    <w:rsid w:val="00F41319"/>
    <w:rsid w:val="00F413BC"/>
    <w:rsid w:val="00F415D5"/>
    <w:rsid w:val="00F418EA"/>
    <w:rsid w:val="00F418F1"/>
    <w:rsid w:val="00F42A3B"/>
    <w:rsid w:val="00F44327"/>
    <w:rsid w:val="00F44906"/>
    <w:rsid w:val="00F44B13"/>
    <w:rsid w:val="00F45BE7"/>
    <w:rsid w:val="00F463D7"/>
    <w:rsid w:val="00F463EB"/>
    <w:rsid w:val="00F46831"/>
    <w:rsid w:val="00F47252"/>
    <w:rsid w:val="00F476DC"/>
    <w:rsid w:val="00F50163"/>
    <w:rsid w:val="00F510E2"/>
    <w:rsid w:val="00F515F1"/>
    <w:rsid w:val="00F51AF0"/>
    <w:rsid w:val="00F5206A"/>
    <w:rsid w:val="00F5273A"/>
    <w:rsid w:val="00F52C70"/>
    <w:rsid w:val="00F52D6B"/>
    <w:rsid w:val="00F52D71"/>
    <w:rsid w:val="00F52E18"/>
    <w:rsid w:val="00F5305F"/>
    <w:rsid w:val="00F536EF"/>
    <w:rsid w:val="00F53AB3"/>
    <w:rsid w:val="00F546DA"/>
    <w:rsid w:val="00F546FB"/>
    <w:rsid w:val="00F54A76"/>
    <w:rsid w:val="00F54D0D"/>
    <w:rsid w:val="00F55138"/>
    <w:rsid w:val="00F55335"/>
    <w:rsid w:val="00F558CF"/>
    <w:rsid w:val="00F55CF7"/>
    <w:rsid w:val="00F5610B"/>
    <w:rsid w:val="00F56647"/>
    <w:rsid w:val="00F56DCF"/>
    <w:rsid w:val="00F57801"/>
    <w:rsid w:val="00F57D1C"/>
    <w:rsid w:val="00F60522"/>
    <w:rsid w:val="00F6086A"/>
    <w:rsid w:val="00F6169B"/>
    <w:rsid w:val="00F62824"/>
    <w:rsid w:val="00F6293A"/>
    <w:rsid w:val="00F62D7C"/>
    <w:rsid w:val="00F634C8"/>
    <w:rsid w:val="00F635AD"/>
    <w:rsid w:val="00F63BB3"/>
    <w:rsid w:val="00F646D0"/>
    <w:rsid w:val="00F646E4"/>
    <w:rsid w:val="00F64B1C"/>
    <w:rsid w:val="00F65C8A"/>
    <w:rsid w:val="00F65D09"/>
    <w:rsid w:val="00F661E8"/>
    <w:rsid w:val="00F67155"/>
    <w:rsid w:val="00F7058F"/>
    <w:rsid w:val="00F70D21"/>
    <w:rsid w:val="00F70FEF"/>
    <w:rsid w:val="00F734AD"/>
    <w:rsid w:val="00F73F06"/>
    <w:rsid w:val="00F74941"/>
    <w:rsid w:val="00F74F3A"/>
    <w:rsid w:val="00F75960"/>
    <w:rsid w:val="00F75C02"/>
    <w:rsid w:val="00F75F85"/>
    <w:rsid w:val="00F76A0E"/>
    <w:rsid w:val="00F77ECB"/>
    <w:rsid w:val="00F80510"/>
    <w:rsid w:val="00F808DF"/>
    <w:rsid w:val="00F80A0B"/>
    <w:rsid w:val="00F81389"/>
    <w:rsid w:val="00F81902"/>
    <w:rsid w:val="00F81BF8"/>
    <w:rsid w:val="00F81E47"/>
    <w:rsid w:val="00F81FB2"/>
    <w:rsid w:val="00F81FED"/>
    <w:rsid w:val="00F824EF"/>
    <w:rsid w:val="00F82925"/>
    <w:rsid w:val="00F82CB3"/>
    <w:rsid w:val="00F83068"/>
    <w:rsid w:val="00F8362F"/>
    <w:rsid w:val="00F83F09"/>
    <w:rsid w:val="00F84076"/>
    <w:rsid w:val="00F84408"/>
    <w:rsid w:val="00F8588B"/>
    <w:rsid w:val="00F85A36"/>
    <w:rsid w:val="00F86474"/>
    <w:rsid w:val="00F868B4"/>
    <w:rsid w:val="00F8730A"/>
    <w:rsid w:val="00F876A4"/>
    <w:rsid w:val="00F9016F"/>
    <w:rsid w:val="00F90443"/>
    <w:rsid w:val="00F90601"/>
    <w:rsid w:val="00F90B73"/>
    <w:rsid w:val="00F90D3E"/>
    <w:rsid w:val="00F91B64"/>
    <w:rsid w:val="00F928BB"/>
    <w:rsid w:val="00F92A42"/>
    <w:rsid w:val="00F93703"/>
    <w:rsid w:val="00F9386D"/>
    <w:rsid w:val="00F93EDD"/>
    <w:rsid w:val="00F94035"/>
    <w:rsid w:val="00F94FF7"/>
    <w:rsid w:val="00F95DA4"/>
    <w:rsid w:val="00F97DF5"/>
    <w:rsid w:val="00FA00CE"/>
    <w:rsid w:val="00FA2293"/>
    <w:rsid w:val="00FA3277"/>
    <w:rsid w:val="00FA3886"/>
    <w:rsid w:val="00FA450A"/>
    <w:rsid w:val="00FA4BF5"/>
    <w:rsid w:val="00FA6BA7"/>
    <w:rsid w:val="00FA78FD"/>
    <w:rsid w:val="00FB11BE"/>
    <w:rsid w:val="00FB1357"/>
    <w:rsid w:val="00FB1799"/>
    <w:rsid w:val="00FB1968"/>
    <w:rsid w:val="00FB1B56"/>
    <w:rsid w:val="00FB27F1"/>
    <w:rsid w:val="00FB4C6F"/>
    <w:rsid w:val="00FB4DF5"/>
    <w:rsid w:val="00FB5A16"/>
    <w:rsid w:val="00FB5DEB"/>
    <w:rsid w:val="00FB60F7"/>
    <w:rsid w:val="00FB6DFB"/>
    <w:rsid w:val="00FB6E5F"/>
    <w:rsid w:val="00FB7187"/>
    <w:rsid w:val="00FC019D"/>
    <w:rsid w:val="00FC0351"/>
    <w:rsid w:val="00FC0657"/>
    <w:rsid w:val="00FC46CC"/>
    <w:rsid w:val="00FC4B04"/>
    <w:rsid w:val="00FC4E2F"/>
    <w:rsid w:val="00FC52DE"/>
    <w:rsid w:val="00FC538B"/>
    <w:rsid w:val="00FC5E76"/>
    <w:rsid w:val="00FC60F4"/>
    <w:rsid w:val="00FC69CF"/>
    <w:rsid w:val="00FC7214"/>
    <w:rsid w:val="00FD058F"/>
    <w:rsid w:val="00FD0B70"/>
    <w:rsid w:val="00FD11B8"/>
    <w:rsid w:val="00FD12F0"/>
    <w:rsid w:val="00FD1440"/>
    <w:rsid w:val="00FD1489"/>
    <w:rsid w:val="00FD17D7"/>
    <w:rsid w:val="00FD1D18"/>
    <w:rsid w:val="00FD28A4"/>
    <w:rsid w:val="00FD2B06"/>
    <w:rsid w:val="00FD2DA9"/>
    <w:rsid w:val="00FD3043"/>
    <w:rsid w:val="00FD35FA"/>
    <w:rsid w:val="00FD37C7"/>
    <w:rsid w:val="00FD3968"/>
    <w:rsid w:val="00FD59F1"/>
    <w:rsid w:val="00FD630C"/>
    <w:rsid w:val="00FD6FE2"/>
    <w:rsid w:val="00FD74CB"/>
    <w:rsid w:val="00FD7543"/>
    <w:rsid w:val="00FD7BBE"/>
    <w:rsid w:val="00FD7BF5"/>
    <w:rsid w:val="00FD7D46"/>
    <w:rsid w:val="00FE0C73"/>
    <w:rsid w:val="00FE185C"/>
    <w:rsid w:val="00FE1979"/>
    <w:rsid w:val="00FE3555"/>
    <w:rsid w:val="00FE381B"/>
    <w:rsid w:val="00FE3C5F"/>
    <w:rsid w:val="00FE401B"/>
    <w:rsid w:val="00FE43FF"/>
    <w:rsid w:val="00FE4544"/>
    <w:rsid w:val="00FE4705"/>
    <w:rsid w:val="00FE4AC9"/>
    <w:rsid w:val="00FE4DEF"/>
    <w:rsid w:val="00FE4FB5"/>
    <w:rsid w:val="00FE557C"/>
    <w:rsid w:val="00FE5832"/>
    <w:rsid w:val="00FE5F7A"/>
    <w:rsid w:val="00FE66C8"/>
    <w:rsid w:val="00FE67EF"/>
    <w:rsid w:val="00FE6BF0"/>
    <w:rsid w:val="00FE6C11"/>
    <w:rsid w:val="00FE7C58"/>
    <w:rsid w:val="00FE7FAE"/>
    <w:rsid w:val="00FF0D25"/>
    <w:rsid w:val="00FF2456"/>
    <w:rsid w:val="00FF29EB"/>
    <w:rsid w:val="00FF3DFA"/>
    <w:rsid w:val="00FF41B9"/>
    <w:rsid w:val="00FF4C3A"/>
    <w:rsid w:val="00FF5648"/>
    <w:rsid w:val="00FF602F"/>
    <w:rsid w:val="00FF62F4"/>
    <w:rsid w:val="00FF6519"/>
    <w:rsid w:val="00FF66B3"/>
    <w:rsid w:val="00FF69FC"/>
    <w:rsid w:val="00FF7B83"/>
  </w:rsids>
  <m:mathPr>
    <m:mathFont m:val="Cambria Math"/>
    <m:brkBin m:val="before"/>
    <m:brkBinSub m:val="--"/>
    <m:smallFrac m:val="0"/>
    <m:dispDef/>
    <m:lMargin m:val="0"/>
    <m:rMargin m:val="0"/>
    <m:defJc m:val="centerGroup"/>
    <m:wrapRight/>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2"/>
    </o:shapelayout>
  </w:shapeDefaults>
  <w:decimalSymbol w:val="."/>
  <w:listSeparator w:val=","/>
  <w14:docId w14:val="052AFEE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Title" w:qFormat="1"/>
    <w:lsdException w:name="Subtitle" w:qFormat="1"/>
    <w:lsdException w:name="Date"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4E2F"/>
    <w:pPr>
      <w:tabs>
        <w:tab w:val="left" w:pos="567"/>
      </w:tabs>
    </w:pPr>
    <w:rPr>
      <w:rFonts w:eastAsia="Times New Roman"/>
      <w:sz w:val="22"/>
      <w:szCs w:val="22"/>
      <w:lang w:val="nb-NO" w:eastAsia="en-US"/>
    </w:rPr>
  </w:style>
  <w:style w:type="paragraph" w:styleId="Heading1">
    <w:name w:val="heading 1"/>
    <w:basedOn w:val="Normal"/>
    <w:next w:val="Normal"/>
    <w:link w:val="Heading1Char"/>
    <w:qFormat/>
    <w:rsid w:val="00300B93"/>
    <w:pPr>
      <w:keepNext/>
      <w:outlineLvl w:val="0"/>
    </w:pPr>
    <w:rPr>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54D0D"/>
    <w:pPr>
      <w:tabs>
        <w:tab w:val="center" w:pos="4536"/>
        <w:tab w:val="right" w:pos="8306"/>
      </w:tabs>
    </w:pPr>
    <w:rPr>
      <w:rFonts w:ascii="Arial" w:hAnsi="Arial"/>
      <w:noProof/>
      <w:sz w:val="16"/>
      <w:lang w:eastAsia="x-none"/>
    </w:rPr>
  </w:style>
  <w:style w:type="paragraph" w:styleId="Header">
    <w:name w:val="header"/>
    <w:basedOn w:val="Normal"/>
    <w:rsid w:val="006B712D"/>
    <w:pPr>
      <w:tabs>
        <w:tab w:val="center" w:pos="4153"/>
        <w:tab w:val="right" w:pos="8306"/>
      </w:tabs>
    </w:pPr>
  </w:style>
  <w:style w:type="paragraph" w:customStyle="1" w:styleId="MemoHeaderStyle">
    <w:name w:val="MemoHeaderStyle"/>
    <w:basedOn w:val="Normal"/>
    <w:next w:val="Normal"/>
    <w:rsid w:val="00F54D0D"/>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pPr>
    <w:rPr>
      <w:i/>
      <w:color w:val="008000"/>
    </w:rPr>
  </w:style>
  <w:style w:type="paragraph" w:styleId="CommentText">
    <w:name w:val="annotation text"/>
    <w:aliases w:val=" Car17, Car17 Car, Char Char Char, Char Char1,Annotationtext,Char,Char Char Char,Char Char1,Comment Text Char Char,Comment Text Char Char Char,Comment Text Char Char1,Comment Text Char1,Comment Text Char1 Char,Comment Text Char2 Char,Car17"/>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nb-NO"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nb-NO" w:eastAsia="en-GB" w:bidi="ar-SA"/>
    </w:rPr>
  </w:style>
  <w:style w:type="paragraph" w:customStyle="1" w:styleId="NormalAgency">
    <w:name w:val="Normal (Agency)"/>
    <w:link w:val="NormalAgencyChar"/>
    <w:rsid w:val="00C179B0"/>
    <w:rPr>
      <w:rFonts w:ascii="Verdana" w:eastAsia="Verdana" w:hAnsi="Verdana" w:cs="Verdana"/>
      <w:sz w:val="18"/>
      <w:szCs w:val="18"/>
      <w:lang w:val="nb-NO"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nb-NO"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ar17 Char, Car17 Car Char, Char Char Char Char, Char Char1 Char,Annotationtext Char,Char Char,Char Char Char Char,Char Char1 Char,Comment Text Char Char Char1,Comment Text Char Char Char Char,Comment Text Char Char1 Char,Car17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customStyle="1" w:styleId="C-BodyText">
    <w:name w:val="C-Body Text"/>
    <w:link w:val="C-BodyTextChar"/>
    <w:rsid w:val="0057204B"/>
    <w:pPr>
      <w:spacing w:before="120" w:after="120" w:line="280" w:lineRule="atLeast"/>
    </w:pPr>
    <w:rPr>
      <w:rFonts w:eastAsia="Times New Roman"/>
      <w:sz w:val="24"/>
      <w:lang w:val="nb-NO" w:eastAsia="en-US"/>
    </w:rPr>
  </w:style>
  <w:style w:type="character" w:customStyle="1" w:styleId="C-BodyTextChar">
    <w:name w:val="C-Body Text Char"/>
    <w:link w:val="C-BodyText"/>
    <w:rsid w:val="0057204B"/>
    <w:rPr>
      <w:rFonts w:eastAsia="Times New Roman"/>
      <w:sz w:val="24"/>
      <w:lang w:val="nb-NO" w:eastAsia="en-US" w:bidi="ar-SA"/>
    </w:rPr>
  </w:style>
  <w:style w:type="paragraph" w:customStyle="1" w:styleId="Default">
    <w:name w:val="Default"/>
    <w:rsid w:val="00AD39BC"/>
    <w:pPr>
      <w:autoSpaceDE w:val="0"/>
      <w:autoSpaceDN w:val="0"/>
      <w:adjustRightInd w:val="0"/>
    </w:pPr>
    <w:rPr>
      <w:rFonts w:ascii="Verdana" w:hAnsi="Verdana" w:cs="Verdana"/>
      <w:color w:val="000000"/>
      <w:sz w:val="24"/>
      <w:szCs w:val="24"/>
      <w:lang w:val="nb-NO" w:eastAsia="en-US"/>
    </w:rPr>
  </w:style>
  <w:style w:type="paragraph" w:customStyle="1" w:styleId="Pa8">
    <w:name w:val="Pa8"/>
    <w:basedOn w:val="Normal"/>
    <w:uiPriority w:val="99"/>
    <w:rsid w:val="00416297"/>
    <w:pPr>
      <w:tabs>
        <w:tab w:val="clear" w:pos="567"/>
      </w:tabs>
      <w:autoSpaceDE w:val="0"/>
      <w:autoSpaceDN w:val="0"/>
      <w:spacing w:line="241" w:lineRule="atLeast"/>
    </w:pPr>
    <w:rPr>
      <w:rFonts w:eastAsia="Calibri"/>
      <w:sz w:val="24"/>
      <w:szCs w:val="24"/>
    </w:rPr>
  </w:style>
  <w:style w:type="character" w:customStyle="1" w:styleId="A0">
    <w:name w:val="A0"/>
    <w:uiPriority w:val="99"/>
    <w:rsid w:val="00416297"/>
    <w:rPr>
      <w:rFonts w:ascii="Times New Roman" w:hAnsi="Times New Roman" w:hint="default"/>
      <w:b/>
      <w:bCs/>
      <w:i/>
      <w:iCs/>
      <w:color w:val="221E1F"/>
    </w:rPr>
  </w:style>
  <w:style w:type="paragraph" w:styleId="ListParagraph">
    <w:name w:val="List Paragraph"/>
    <w:basedOn w:val="Normal"/>
    <w:uiPriority w:val="34"/>
    <w:qFormat/>
    <w:rsid w:val="00416297"/>
    <w:pPr>
      <w:tabs>
        <w:tab w:val="clear" w:pos="567"/>
      </w:tabs>
      <w:spacing w:after="200" w:line="276" w:lineRule="auto"/>
      <w:ind w:left="720"/>
      <w:contextualSpacing/>
    </w:pPr>
    <w:rPr>
      <w:rFonts w:ascii="Calibri" w:eastAsia="MS Mincho" w:hAnsi="Calibri"/>
      <w:lang w:eastAsia="ja-JP"/>
    </w:rPr>
  </w:style>
  <w:style w:type="paragraph" w:styleId="Revision">
    <w:name w:val="Revision"/>
    <w:hidden/>
    <w:uiPriority w:val="99"/>
    <w:semiHidden/>
    <w:rsid w:val="007E7FB0"/>
    <w:rPr>
      <w:rFonts w:eastAsia="Times New Roman"/>
      <w:sz w:val="22"/>
      <w:lang w:val="nb-NO" w:eastAsia="en-US"/>
    </w:rPr>
  </w:style>
  <w:style w:type="character" w:customStyle="1" w:styleId="FooterChar">
    <w:name w:val="Footer Char"/>
    <w:link w:val="Footer"/>
    <w:uiPriority w:val="99"/>
    <w:locked/>
    <w:rsid w:val="0037303B"/>
    <w:rPr>
      <w:rFonts w:ascii="Arial" w:eastAsia="Times New Roman" w:hAnsi="Arial"/>
      <w:noProof/>
      <w:sz w:val="16"/>
      <w:lang w:val="nb-NO"/>
    </w:rPr>
  </w:style>
  <w:style w:type="paragraph" w:customStyle="1" w:styleId="Prrafodelista">
    <w:name w:val="Párrafo de lista"/>
    <w:basedOn w:val="Normal"/>
    <w:uiPriority w:val="99"/>
    <w:qFormat/>
    <w:rsid w:val="0037303B"/>
    <w:pPr>
      <w:ind w:left="720"/>
      <w:contextualSpacing/>
    </w:pPr>
  </w:style>
  <w:style w:type="character" w:customStyle="1" w:styleId="st">
    <w:name w:val="st"/>
    <w:basedOn w:val="DefaultParagraphFont"/>
    <w:rsid w:val="0084538F"/>
  </w:style>
  <w:style w:type="paragraph" w:styleId="NormalWeb">
    <w:name w:val="Normal (Web)"/>
    <w:basedOn w:val="Normal"/>
    <w:uiPriority w:val="99"/>
    <w:unhideWhenUsed/>
    <w:rsid w:val="002A3703"/>
    <w:pPr>
      <w:tabs>
        <w:tab w:val="clear" w:pos="567"/>
      </w:tabs>
      <w:spacing w:before="100" w:beforeAutospacing="1" w:after="62"/>
    </w:pPr>
    <w:rPr>
      <w:color w:val="000000"/>
      <w:sz w:val="24"/>
      <w:szCs w:val="24"/>
    </w:rPr>
  </w:style>
  <w:style w:type="paragraph" w:customStyle="1" w:styleId="C-Heading1">
    <w:name w:val="C-Heading 1"/>
    <w:next w:val="C-BodyText"/>
    <w:rsid w:val="009C4696"/>
    <w:pPr>
      <w:keepNext/>
      <w:pageBreakBefore/>
      <w:numPr>
        <w:numId w:val="7"/>
      </w:numPr>
      <w:spacing w:before="480" w:after="120"/>
      <w:outlineLvl w:val="0"/>
    </w:pPr>
    <w:rPr>
      <w:rFonts w:eastAsia="Times New Roman"/>
      <w:b/>
      <w:caps/>
      <w:sz w:val="28"/>
      <w:lang w:val="nb-NO" w:eastAsia="en-US"/>
    </w:rPr>
  </w:style>
  <w:style w:type="paragraph" w:customStyle="1" w:styleId="C-Heading2">
    <w:name w:val="C-Heading 2"/>
    <w:next w:val="C-BodyText"/>
    <w:rsid w:val="009C4696"/>
    <w:pPr>
      <w:keepNext/>
      <w:numPr>
        <w:ilvl w:val="1"/>
        <w:numId w:val="7"/>
      </w:numPr>
      <w:spacing w:before="240"/>
      <w:outlineLvl w:val="1"/>
    </w:pPr>
    <w:rPr>
      <w:rFonts w:eastAsia="Times New Roman"/>
      <w:b/>
      <w:sz w:val="28"/>
      <w:lang w:val="nb-NO" w:eastAsia="en-US"/>
    </w:rPr>
  </w:style>
  <w:style w:type="paragraph" w:customStyle="1" w:styleId="C-Heading3">
    <w:name w:val="C-Heading 3"/>
    <w:next w:val="C-BodyText"/>
    <w:link w:val="C-Heading3Char"/>
    <w:rsid w:val="009C4696"/>
    <w:pPr>
      <w:keepNext/>
      <w:numPr>
        <w:ilvl w:val="2"/>
        <w:numId w:val="7"/>
      </w:numPr>
      <w:spacing w:before="240"/>
      <w:outlineLvl w:val="2"/>
    </w:pPr>
    <w:rPr>
      <w:rFonts w:eastAsia="Times New Roman"/>
      <w:b/>
      <w:sz w:val="24"/>
      <w:lang w:val="nb-NO" w:eastAsia="en-US"/>
    </w:rPr>
  </w:style>
  <w:style w:type="paragraph" w:customStyle="1" w:styleId="C-Heading4">
    <w:name w:val="C-Heading 4"/>
    <w:next w:val="C-BodyText"/>
    <w:rsid w:val="009C4696"/>
    <w:pPr>
      <w:keepNext/>
      <w:numPr>
        <w:ilvl w:val="3"/>
        <w:numId w:val="7"/>
      </w:numPr>
      <w:spacing w:before="240"/>
      <w:outlineLvl w:val="3"/>
    </w:pPr>
    <w:rPr>
      <w:rFonts w:eastAsia="Times New Roman"/>
      <w:b/>
      <w:sz w:val="24"/>
      <w:lang w:val="nb-NO" w:eastAsia="en-US"/>
    </w:rPr>
  </w:style>
  <w:style w:type="paragraph" w:customStyle="1" w:styleId="C-Heading5">
    <w:name w:val="C-Heading 5"/>
    <w:next w:val="C-BodyText"/>
    <w:rsid w:val="009C4696"/>
    <w:pPr>
      <w:keepNext/>
      <w:numPr>
        <w:ilvl w:val="4"/>
        <w:numId w:val="7"/>
      </w:numPr>
      <w:spacing w:before="240"/>
      <w:outlineLvl w:val="4"/>
    </w:pPr>
    <w:rPr>
      <w:rFonts w:eastAsia="Times New Roman"/>
      <w:b/>
      <w:sz w:val="24"/>
      <w:lang w:val="nb-NO" w:eastAsia="en-US"/>
    </w:rPr>
  </w:style>
  <w:style w:type="paragraph" w:customStyle="1" w:styleId="C-Heading6">
    <w:name w:val="C-Heading 6"/>
    <w:next w:val="C-BodyText"/>
    <w:rsid w:val="009C4696"/>
    <w:pPr>
      <w:keepNext/>
      <w:numPr>
        <w:ilvl w:val="5"/>
        <w:numId w:val="7"/>
      </w:numPr>
      <w:tabs>
        <w:tab w:val="clear" w:pos="1080"/>
        <w:tab w:val="num" w:pos="1224"/>
        <w:tab w:val="num" w:pos="1309"/>
      </w:tabs>
      <w:spacing w:before="240"/>
      <w:ind w:left="1224" w:hanging="1224"/>
      <w:outlineLvl w:val="5"/>
    </w:pPr>
    <w:rPr>
      <w:rFonts w:eastAsia="Times New Roman"/>
      <w:b/>
      <w:sz w:val="24"/>
      <w:lang w:val="nb-NO" w:eastAsia="en-US"/>
    </w:rPr>
  </w:style>
  <w:style w:type="character" w:customStyle="1" w:styleId="C-Heading3Char">
    <w:name w:val="C-Heading 3 Char"/>
    <w:link w:val="C-Heading3"/>
    <w:rsid w:val="009C4696"/>
    <w:rPr>
      <w:rFonts w:eastAsia="Times New Roman"/>
      <w:b/>
      <w:sz w:val="24"/>
      <w:lang w:val="nb-NO" w:eastAsia="en-US" w:bidi="ar-SA"/>
    </w:rPr>
  </w:style>
  <w:style w:type="table" w:styleId="TableGrid">
    <w:name w:val="Table Grid"/>
    <w:basedOn w:val="TableNormal"/>
    <w:uiPriority w:val="59"/>
    <w:rsid w:val="001475B0"/>
    <w:rPr>
      <w:rFonts w:ascii="Calibri" w:eastAsia="MS Mincho"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odyTextChar1">
    <w:name w:val="C-Body Text Char1"/>
    <w:rsid w:val="002F5728"/>
    <w:rPr>
      <w:rFonts w:ascii="Times New Roman" w:eastAsia="Times New Roman" w:hAnsi="Times New Roman"/>
      <w:sz w:val="24"/>
      <w:lang w:val="nb-NO" w:eastAsia="en-US" w:bidi="ar-SA"/>
    </w:rPr>
  </w:style>
  <w:style w:type="paragraph" w:customStyle="1" w:styleId="TitleA">
    <w:name w:val="Title A"/>
    <w:basedOn w:val="Normal"/>
    <w:qFormat/>
    <w:rsid w:val="00AC664A"/>
    <w:pPr>
      <w:jc w:val="center"/>
      <w:outlineLvl w:val="0"/>
    </w:pPr>
    <w:rPr>
      <w:b/>
    </w:rPr>
  </w:style>
  <w:style w:type="paragraph" w:styleId="Date">
    <w:name w:val="Date"/>
    <w:basedOn w:val="Normal"/>
    <w:next w:val="Normal"/>
    <w:link w:val="DateChar1"/>
    <w:uiPriority w:val="99"/>
    <w:rsid w:val="00F54A76"/>
    <w:pPr>
      <w:tabs>
        <w:tab w:val="clear" w:pos="567"/>
      </w:tabs>
    </w:pPr>
  </w:style>
  <w:style w:type="character" w:customStyle="1" w:styleId="DateChar">
    <w:name w:val="Date Char"/>
    <w:rsid w:val="00F54A76"/>
    <w:rPr>
      <w:rFonts w:eastAsia="Times New Roman"/>
      <w:sz w:val="22"/>
      <w:lang w:val="nb-NO"/>
    </w:rPr>
  </w:style>
  <w:style w:type="character" w:customStyle="1" w:styleId="DateChar1">
    <w:name w:val="Date Char1"/>
    <w:link w:val="Date"/>
    <w:uiPriority w:val="99"/>
    <w:locked/>
    <w:rsid w:val="00F54A76"/>
    <w:rPr>
      <w:rFonts w:eastAsia="Times New Roman"/>
      <w:sz w:val="22"/>
      <w:lang w:val="nb-NO"/>
    </w:rPr>
  </w:style>
  <w:style w:type="character" w:styleId="FollowedHyperlink">
    <w:name w:val="FollowedHyperlink"/>
    <w:rsid w:val="00DC2584"/>
    <w:rPr>
      <w:color w:val="800080"/>
      <w:u w:val="single"/>
    </w:rPr>
  </w:style>
  <w:style w:type="paragraph" w:customStyle="1" w:styleId="No-numheading3Agency">
    <w:name w:val="No-num heading 3 (Agency)"/>
    <w:basedOn w:val="Normal"/>
    <w:next w:val="BodytextAgency"/>
    <w:link w:val="No-numheading3AgencyChar"/>
    <w:rsid w:val="00EA5AB4"/>
    <w:pPr>
      <w:keepNext/>
      <w:tabs>
        <w:tab w:val="clear" w:pos="567"/>
      </w:tabs>
      <w:spacing w:before="280" w:after="220"/>
      <w:outlineLvl w:val="2"/>
    </w:pPr>
    <w:rPr>
      <w:rFonts w:ascii="Verdana" w:eastAsia="Verdana" w:hAnsi="Verdana"/>
      <w:b/>
      <w:bCs/>
      <w:kern w:val="32"/>
      <w:lang w:eastAsia="x-none"/>
    </w:rPr>
  </w:style>
  <w:style w:type="character" w:customStyle="1" w:styleId="No-numheading3AgencyChar">
    <w:name w:val="No-num heading 3 (Agency) Char"/>
    <w:link w:val="No-numheading3Agency"/>
    <w:rsid w:val="00EA5AB4"/>
    <w:rPr>
      <w:rFonts w:ascii="Verdana" w:eastAsia="Verdana" w:hAnsi="Verdana"/>
      <w:b/>
      <w:bCs/>
      <w:kern w:val="32"/>
      <w:sz w:val="22"/>
      <w:szCs w:val="22"/>
      <w:lang w:val="nb-NO" w:eastAsia="x-none"/>
    </w:rPr>
  </w:style>
  <w:style w:type="paragraph" w:customStyle="1" w:styleId="TitleB">
    <w:name w:val="Title B"/>
    <w:basedOn w:val="Normal"/>
    <w:qFormat/>
    <w:rsid w:val="00040D00"/>
    <w:pPr>
      <w:widowControl w:val="0"/>
      <w:adjustRightInd w:val="0"/>
      <w:ind w:left="567" w:hanging="567"/>
      <w:textAlignment w:val="baseline"/>
    </w:pPr>
    <w:rPr>
      <w:b/>
      <w:noProof/>
    </w:rPr>
  </w:style>
  <w:style w:type="character" w:customStyle="1" w:styleId="Heading1Char">
    <w:name w:val="Heading 1 Char"/>
    <w:link w:val="Heading1"/>
    <w:rsid w:val="00300B93"/>
    <w:rPr>
      <w:rFonts w:eastAsia="Times New Roman" w:cs="Times New Roman"/>
      <w:b/>
      <w:bCs/>
      <w:kern w:val="32"/>
      <w:sz w:val="22"/>
      <w:szCs w:val="32"/>
      <w:lang w:val="nb-NO"/>
    </w:rPr>
  </w:style>
  <w:style w:type="character" w:customStyle="1" w:styleId="TestocommentoCarattere">
    <w:name w:val="Testo commento Carattere"/>
    <w:rsid w:val="008734A8"/>
    <w:rPr>
      <w:rFonts w:eastAsia="Times New Roman"/>
      <w:lang w:val="nb-NO" w:eastAsia="en-US"/>
    </w:rPr>
  </w:style>
  <w:style w:type="character" w:customStyle="1" w:styleId="UnresolvedMention1">
    <w:name w:val="Unresolved Mention1"/>
    <w:uiPriority w:val="99"/>
    <w:semiHidden/>
    <w:unhideWhenUsed/>
    <w:rsid w:val="00E61F33"/>
    <w:rPr>
      <w:color w:val="605E5C"/>
      <w:shd w:val="clear" w:color="auto" w:fill="E1DFDD"/>
    </w:rPr>
  </w:style>
  <w:style w:type="paragraph" w:customStyle="1" w:styleId="LUTOtabletext">
    <w:name w:val="LUTO table text"/>
    <w:basedOn w:val="Normal"/>
    <w:rsid w:val="00FE6BF0"/>
    <w:pPr>
      <w:tabs>
        <w:tab w:val="clear" w:pos="567"/>
      </w:tabs>
      <w:spacing w:after="120" w:line="264" w:lineRule="auto"/>
    </w:pPr>
    <w:rPr>
      <w:rFonts w:ascii="Calibri" w:eastAsia="Calibri" w:hAnsi="Calibri" w:cs="Calibri"/>
    </w:rPr>
  </w:style>
  <w:style w:type="paragraph" w:customStyle="1" w:styleId="lbltxt">
    <w:name w:val="lbltxt"/>
    <w:rsid w:val="00CB27CB"/>
    <w:rPr>
      <w:rFonts w:eastAsia="Times New Roman"/>
      <w:noProof/>
      <w:sz w:val="22"/>
      <w:lang w:val="nb-NO" w:eastAsia="en-US"/>
    </w:rPr>
  </w:style>
  <w:style w:type="character" w:customStyle="1" w:styleId="Initial">
    <w:name w:val="Initial"/>
    <w:rsid w:val="00CB27CB"/>
    <w:rPr>
      <w:rFonts w:ascii="Times New Roman" w:hAnsi="Times New Roman" w:cs="Times New Roman" w:hint="default"/>
      <w:noProof w:val="0"/>
      <w:sz w:val="24"/>
      <w:lang w:val="nb-NO"/>
    </w:rPr>
  </w:style>
  <w:style w:type="paragraph" w:customStyle="1" w:styleId="StyleHeadings">
    <w:name w:val="_Style Headings"/>
    <w:basedOn w:val="Heading1"/>
    <w:qFormat/>
    <w:rsid w:val="00C3794D"/>
    <w:pPr>
      <w:ind w:left="567" w:hanging="567"/>
    </w:pPr>
    <w:rPr>
      <w:szCs w:val="22"/>
    </w:rPr>
  </w:style>
  <w:style w:type="paragraph" w:customStyle="1" w:styleId="Style7ptNarrow">
    <w:name w:val="_Style 7pt Narrow"/>
    <w:basedOn w:val="Normal"/>
    <w:qFormat/>
    <w:rsid w:val="00125A10"/>
    <w:pPr>
      <w:jc w:val="right"/>
    </w:pPr>
    <w:rPr>
      <w:rFonts w:ascii="Arial Narrow" w:hAnsi="Arial Narrow"/>
      <w:bCs/>
      <w:sz w:val="14"/>
      <w:szCs w:val="14"/>
    </w:rPr>
  </w:style>
  <w:style w:type="paragraph" w:customStyle="1" w:styleId="Style7ptNarrow2">
    <w:name w:val="_Style 7pt Narrow 2"/>
    <w:basedOn w:val="Normal"/>
    <w:qFormat/>
    <w:rsid w:val="00125A10"/>
    <w:pPr>
      <w:widowControl w:val="0"/>
      <w:tabs>
        <w:tab w:val="clear" w:pos="567"/>
        <w:tab w:val="left" w:pos="602"/>
        <w:tab w:val="left" w:pos="1792"/>
      </w:tabs>
    </w:pPr>
    <w:rPr>
      <w:rFonts w:ascii="Arial Narrow" w:hAnsi="Arial Narrow"/>
      <w:bCs/>
      <w:sz w:val="14"/>
      <w:szCs w:val="14"/>
    </w:rPr>
  </w:style>
  <w:style w:type="character" w:customStyle="1" w:styleId="CharStyle5">
    <w:name w:val="Char Style 5"/>
    <w:link w:val="Style4"/>
    <w:rsid w:val="00966284"/>
    <w:rPr>
      <w:sz w:val="15"/>
      <w:szCs w:val="15"/>
      <w:shd w:val="clear" w:color="auto" w:fill="FFFFFF"/>
    </w:rPr>
  </w:style>
  <w:style w:type="character" w:customStyle="1" w:styleId="CharStyle8">
    <w:name w:val="Char Style 8"/>
    <w:semiHidden/>
    <w:unhideWhenUsed/>
    <w:rsid w:val="00966284"/>
    <w:rPr>
      <w:rFonts w:ascii="Times New Roman" w:eastAsia="Times New Roman" w:hAnsi="Times New Roman" w:cs="Times New Roman"/>
      <w:color w:val="FFFFFF"/>
      <w:spacing w:val="0"/>
      <w:w w:val="100"/>
      <w:position w:val="0"/>
      <w:sz w:val="15"/>
      <w:szCs w:val="15"/>
      <w:shd w:val="clear" w:color="auto" w:fill="FFFFFF"/>
      <w:lang w:val="nb-NO" w:eastAsia="en-US" w:bidi="en-US"/>
    </w:rPr>
  </w:style>
  <w:style w:type="character" w:customStyle="1" w:styleId="CharStyle9">
    <w:name w:val="Char Style 9"/>
    <w:semiHidden/>
    <w:unhideWhenUsed/>
    <w:rsid w:val="00966284"/>
    <w:rPr>
      <w:rFonts w:ascii="Times New Roman" w:eastAsia="Times New Roman" w:hAnsi="Times New Roman" w:cs="Times New Roman"/>
      <w:color w:val="000000"/>
      <w:spacing w:val="0"/>
      <w:w w:val="100"/>
      <w:position w:val="0"/>
      <w:sz w:val="12"/>
      <w:szCs w:val="12"/>
      <w:shd w:val="clear" w:color="auto" w:fill="FFFFFF"/>
      <w:lang w:val="nb-NO" w:eastAsia="en-US" w:bidi="en-US"/>
    </w:rPr>
  </w:style>
  <w:style w:type="character" w:customStyle="1" w:styleId="CharStyle10">
    <w:name w:val="Char Style 10"/>
    <w:semiHidden/>
    <w:unhideWhenUsed/>
    <w:rsid w:val="00966284"/>
    <w:rPr>
      <w:rFonts w:ascii="Times New Roman" w:eastAsia="Times New Roman" w:hAnsi="Times New Roman" w:cs="Times New Roman"/>
      <w:color w:val="000000"/>
      <w:spacing w:val="0"/>
      <w:w w:val="100"/>
      <w:position w:val="0"/>
      <w:sz w:val="15"/>
      <w:szCs w:val="15"/>
      <w:shd w:val="clear" w:color="auto" w:fill="FFFFFF"/>
      <w:lang w:val="nb-NO" w:eastAsia="en-US" w:bidi="en-US"/>
    </w:rPr>
  </w:style>
  <w:style w:type="paragraph" w:customStyle="1" w:styleId="Style4">
    <w:name w:val="Style 4"/>
    <w:basedOn w:val="Normal"/>
    <w:link w:val="CharStyle5"/>
    <w:qFormat/>
    <w:rsid w:val="00966284"/>
    <w:pPr>
      <w:widowControl w:val="0"/>
      <w:shd w:val="clear" w:color="auto" w:fill="FFFFFF"/>
      <w:tabs>
        <w:tab w:val="clear" w:pos="567"/>
      </w:tabs>
      <w:spacing w:line="166" w:lineRule="exact"/>
    </w:pPr>
    <w:rPr>
      <w:rFonts w:eastAsia="SimSun"/>
      <w:sz w:val="15"/>
      <w:szCs w:val="15"/>
      <w:lang w:eastAsia="en-GB"/>
    </w:rPr>
  </w:style>
  <w:style w:type="paragraph" w:customStyle="1" w:styleId="StyleSubheading">
    <w:name w:val="_Style Subheading"/>
    <w:basedOn w:val="Normal"/>
    <w:qFormat/>
    <w:rsid w:val="00CC4144"/>
    <w:pPr>
      <w:keepNext/>
      <w:ind w:left="567" w:hanging="567"/>
      <w:outlineLvl w:val="0"/>
    </w:pPr>
    <w:rPr>
      <w:b/>
      <w:bCs/>
      <w:noProof/>
    </w:rPr>
  </w:style>
  <w:style w:type="paragraph" w:customStyle="1" w:styleId="StyleTableheading">
    <w:name w:val="_Style Table heading"/>
    <w:basedOn w:val="Normal"/>
    <w:qFormat/>
    <w:rsid w:val="00CC4144"/>
    <w:pPr>
      <w:keepNext/>
      <w:tabs>
        <w:tab w:val="clear" w:pos="567"/>
      </w:tabs>
    </w:pPr>
    <w:rPr>
      <w:b/>
      <w:bCs/>
      <w:lang w:eastAsia="ja-JP"/>
    </w:rPr>
  </w:style>
  <w:style w:type="paragraph" w:customStyle="1" w:styleId="StyleTablecell">
    <w:name w:val="_Style Table cell"/>
    <w:basedOn w:val="Normal"/>
    <w:qFormat/>
    <w:rsid w:val="00CC4144"/>
    <w:pPr>
      <w:keepNext/>
      <w:autoSpaceDE w:val="0"/>
      <w:autoSpaceDN w:val="0"/>
      <w:adjustRightInd w:val="0"/>
    </w:pPr>
    <w:rPr>
      <w:b/>
      <w:sz w:val="20"/>
      <w:szCs w:val="20"/>
      <w:lang w:eastAsia="ja-JP"/>
    </w:rPr>
  </w:style>
  <w:style w:type="paragraph" w:customStyle="1" w:styleId="StyleBullets">
    <w:name w:val="_Style Bullets"/>
    <w:basedOn w:val="Normal"/>
    <w:qFormat/>
    <w:rsid w:val="00FA3277"/>
    <w:pPr>
      <w:keepNext/>
      <w:numPr>
        <w:numId w:val="10"/>
      </w:numPr>
      <w:ind w:left="567" w:hanging="567"/>
    </w:pPr>
    <w:rPr>
      <w:bCs/>
    </w:rPr>
  </w:style>
  <w:style w:type="paragraph" w:customStyle="1" w:styleId="StyleTablenotes">
    <w:name w:val="_Style Table notes"/>
    <w:basedOn w:val="Normal"/>
    <w:qFormat/>
    <w:rsid w:val="005D266C"/>
    <w:pPr>
      <w:autoSpaceDE w:val="0"/>
      <w:autoSpaceDN w:val="0"/>
      <w:adjustRightInd w:val="0"/>
      <w:ind w:left="40" w:right="-23"/>
    </w:pPr>
    <w:rPr>
      <w:spacing w:val="-1"/>
      <w:sz w:val="18"/>
      <w:szCs w:val="18"/>
    </w:rPr>
  </w:style>
  <w:style w:type="paragraph" w:customStyle="1" w:styleId="TNRBold11pt">
    <w:name w:val="_TNR_Bold_11pt"/>
    <w:basedOn w:val="Normal"/>
    <w:qFormat/>
    <w:rsid w:val="00D65FF6"/>
    <w:pPr>
      <w:keepNext/>
      <w:numPr>
        <w:ilvl w:val="12"/>
      </w:numPr>
    </w:pPr>
    <w:rPr>
      <w:b/>
      <w:bCs/>
    </w:rPr>
  </w:style>
  <w:style w:type="paragraph" w:customStyle="1" w:styleId="BodyText1">
    <w:name w:val="BodyText 1"/>
    <w:basedOn w:val="Normal"/>
    <w:link w:val="BodyText1Char"/>
    <w:qFormat/>
    <w:rsid w:val="00355E2F"/>
    <w:pPr>
      <w:tabs>
        <w:tab w:val="clear" w:pos="567"/>
      </w:tabs>
      <w:spacing w:before="120" w:line="360" w:lineRule="auto"/>
    </w:pPr>
    <w:rPr>
      <w:rFonts w:ascii="Arial" w:hAnsi="Arial" w:cs="Arial"/>
      <w:color w:val="FF0000"/>
    </w:rPr>
  </w:style>
  <w:style w:type="character" w:customStyle="1" w:styleId="BodyText1Char">
    <w:name w:val="BodyText 1 Char"/>
    <w:link w:val="BodyText1"/>
    <w:rsid w:val="00355E2F"/>
    <w:rPr>
      <w:rFonts w:ascii="Arial" w:eastAsia="Times New Roman" w:hAnsi="Arial" w:cs="Arial"/>
      <w:color w:val="FF0000"/>
      <w:sz w:val="22"/>
      <w:szCs w:val="22"/>
      <w:lang w:val="nb-NO" w:eastAsia="en-US" w:bidi="ar-SA"/>
    </w:rPr>
  </w:style>
  <w:style w:type="paragraph" w:customStyle="1" w:styleId="StyleArialNarrow8pts">
    <w:name w:val="_Style Arial Narrow 8 pts"/>
    <w:basedOn w:val="Normal"/>
    <w:qFormat/>
    <w:rsid w:val="008B0F1C"/>
    <w:rPr>
      <w:rFonts w:ascii="Arial Narrow" w:eastAsia="SimSun" w:hAnsi="Arial Narrow"/>
      <w:sz w:val="16"/>
    </w:rPr>
  </w:style>
  <w:style w:type="paragraph" w:customStyle="1" w:styleId="StyleArialNarrow5pts">
    <w:name w:val="_Style Arial Narrow 5 pts"/>
    <w:basedOn w:val="Normal"/>
    <w:qFormat/>
    <w:rsid w:val="00866EE9"/>
    <w:rPr>
      <w:rFonts w:ascii="Arial Narrow" w:eastAsia="SimSun" w:hAnsi="Arial Narrow"/>
      <w:sz w:val="10"/>
    </w:rPr>
  </w:style>
  <w:style w:type="paragraph" w:customStyle="1" w:styleId="Styleunderline">
    <w:name w:val="_Styleunderline"/>
    <w:basedOn w:val="Normal"/>
    <w:qFormat/>
    <w:rsid w:val="006143EE"/>
    <w:rPr>
      <w:u w:val="single"/>
    </w:rPr>
  </w:style>
  <w:style w:type="paragraph" w:customStyle="1" w:styleId="StyleItalic">
    <w:name w:val="_StyleItalic"/>
    <w:basedOn w:val="Normal"/>
    <w:qFormat/>
    <w:rsid w:val="00D85B9A"/>
    <w:pPr>
      <w:keepNext/>
    </w:pPr>
    <w:rPr>
      <w:i/>
    </w:rPr>
  </w:style>
  <w:style w:type="paragraph" w:customStyle="1" w:styleId="Styletable10pts">
    <w:name w:val="_Style table 10pts"/>
    <w:basedOn w:val="Normal"/>
    <w:qFormat/>
    <w:rsid w:val="0016014C"/>
    <w:rPr>
      <w:sz w:val="20"/>
    </w:rPr>
  </w:style>
  <w:style w:type="paragraph" w:customStyle="1" w:styleId="Styleitalicunderline">
    <w:name w:val="_Styleitalicunderline"/>
    <w:basedOn w:val="Normal"/>
    <w:qFormat/>
    <w:rsid w:val="00D85B9A"/>
    <w:pPr>
      <w:keepNext/>
    </w:pPr>
    <w:rPr>
      <w:i/>
      <w:u w:val="single"/>
    </w:rPr>
  </w:style>
  <w:style w:type="paragraph" w:customStyle="1" w:styleId="Stylebold">
    <w:name w:val="_Stylebold"/>
    <w:basedOn w:val="Normal"/>
    <w:qFormat/>
    <w:rsid w:val="00D41D27"/>
    <w:pPr>
      <w:keepNext/>
    </w:pPr>
    <w:rPr>
      <w:b/>
    </w:rPr>
  </w:style>
  <w:style w:type="paragraph" w:customStyle="1" w:styleId="Styletablebold">
    <w:name w:val="_Styletablebold"/>
    <w:basedOn w:val="Normal"/>
    <w:qFormat/>
    <w:rsid w:val="009422E4"/>
    <w:pPr>
      <w:keepNext/>
      <w:suppressAutoHyphens/>
    </w:pPr>
    <w:rPr>
      <w:b/>
      <w:sz w:val="20"/>
    </w:rPr>
  </w:style>
  <w:style w:type="paragraph" w:customStyle="1" w:styleId="Styletabletext">
    <w:name w:val="_Styletabletext"/>
    <w:basedOn w:val="Normal"/>
    <w:qFormat/>
    <w:rsid w:val="00FB1968"/>
    <w:pPr>
      <w:keepNext/>
      <w:suppressAutoHyphens/>
      <w:ind w:left="340"/>
    </w:pPr>
    <w:rPr>
      <w:kern w:val="24"/>
      <w:sz w:val="20"/>
    </w:rPr>
  </w:style>
  <w:style w:type="paragraph" w:customStyle="1" w:styleId="Styletablenote">
    <w:name w:val="_Styletablenote"/>
    <w:basedOn w:val="Normal"/>
    <w:qFormat/>
    <w:rsid w:val="005531F1"/>
    <w:rPr>
      <w:sz w:val="18"/>
    </w:rPr>
  </w:style>
  <w:style w:type="character" w:customStyle="1" w:styleId="ui-provider">
    <w:name w:val="ui-provider"/>
    <w:rsid w:val="008D0740"/>
  </w:style>
  <w:style w:type="character" w:styleId="UnresolvedMention">
    <w:name w:val="Unresolved Mention"/>
    <w:uiPriority w:val="99"/>
    <w:semiHidden/>
    <w:unhideWhenUsed/>
    <w:rsid w:val="00685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4081">
      <w:bodyDiv w:val="1"/>
      <w:marLeft w:val="0"/>
      <w:marRight w:val="0"/>
      <w:marTop w:val="0"/>
      <w:marBottom w:val="0"/>
      <w:divBdr>
        <w:top w:val="none" w:sz="0" w:space="0" w:color="auto"/>
        <w:left w:val="none" w:sz="0" w:space="0" w:color="auto"/>
        <w:bottom w:val="none" w:sz="0" w:space="0" w:color="auto"/>
        <w:right w:val="none" w:sz="0" w:space="0" w:color="auto"/>
      </w:divBdr>
      <w:divsChild>
        <w:div w:id="83191558">
          <w:marLeft w:val="0"/>
          <w:marRight w:val="0"/>
          <w:marTop w:val="0"/>
          <w:marBottom w:val="0"/>
          <w:divBdr>
            <w:top w:val="none" w:sz="0" w:space="0" w:color="auto"/>
            <w:left w:val="none" w:sz="0" w:space="0" w:color="auto"/>
            <w:bottom w:val="none" w:sz="0" w:space="0" w:color="auto"/>
            <w:right w:val="none" w:sz="0" w:space="0" w:color="auto"/>
          </w:divBdr>
        </w:div>
      </w:divsChild>
    </w:div>
    <w:div w:id="33972434">
      <w:bodyDiv w:val="1"/>
      <w:marLeft w:val="0"/>
      <w:marRight w:val="0"/>
      <w:marTop w:val="0"/>
      <w:marBottom w:val="0"/>
      <w:divBdr>
        <w:top w:val="none" w:sz="0" w:space="0" w:color="auto"/>
        <w:left w:val="none" w:sz="0" w:space="0" w:color="auto"/>
        <w:bottom w:val="none" w:sz="0" w:space="0" w:color="auto"/>
        <w:right w:val="none" w:sz="0" w:space="0" w:color="auto"/>
      </w:divBdr>
    </w:div>
    <w:div w:id="66075065">
      <w:bodyDiv w:val="1"/>
      <w:marLeft w:val="0"/>
      <w:marRight w:val="0"/>
      <w:marTop w:val="0"/>
      <w:marBottom w:val="0"/>
      <w:divBdr>
        <w:top w:val="none" w:sz="0" w:space="0" w:color="auto"/>
        <w:left w:val="none" w:sz="0" w:space="0" w:color="auto"/>
        <w:bottom w:val="none" w:sz="0" w:space="0" w:color="auto"/>
        <w:right w:val="none" w:sz="0" w:space="0" w:color="auto"/>
      </w:divBdr>
    </w:div>
    <w:div w:id="99493386">
      <w:bodyDiv w:val="1"/>
      <w:marLeft w:val="0"/>
      <w:marRight w:val="0"/>
      <w:marTop w:val="0"/>
      <w:marBottom w:val="0"/>
      <w:divBdr>
        <w:top w:val="none" w:sz="0" w:space="0" w:color="auto"/>
        <w:left w:val="none" w:sz="0" w:space="0" w:color="auto"/>
        <w:bottom w:val="none" w:sz="0" w:space="0" w:color="auto"/>
        <w:right w:val="none" w:sz="0" w:space="0" w:color="auto"/>
      </w:divBdr>
    </w:div>
    <w:div w:id="132253635">
      <w:bodyDiv w:val="1"/>
      <w:marLeft w:val="0"/>
      <w:marRight w:val="0"/>
      <w:marTop w:val="0"/>
      <w:marBottom w:val="0"/>
      <w:divBdr>
        <w:top w:val="none" w:sz="0" w:space="0" w:color="auto"/>
        <w:left w:val="none" w:sz="0" w:space="0" w:color="auto"/>
        <w:bottom w:val="none" w:sz="0" w:space="0" w:color="auto"/>
        <w:right w:val="none" w:sz="0" w:space="0" w:color="auto"/>
      </w:divBdr>
    </w:div>
    <w:div w:id="140315518">
      <w:bodyDiv w:val="1"/>
      <w:marLeft w:val="0"/>
      <w:marRight w:val="0"/>
      <w:marTop w:val="0"/>
      <w:marBottom w:val="0"/>
      <w:divBdr>
        <w:top w:val="none" w:sz="0" w:space="0" w:color="auto"/>
        <w:left w:val="none" w:sz="0" w:space="0" w:color="auto"/>
        <w:bottom w:val="none" w:sz="0" w:space="0" w:color="auto"/>
        <w:right w:val="none" w:sz="0" w:space="0" w:color="auto"/>
      </w:divBdr>
      <w:divsChild>
        <w:div w:id="1095516255">
          <w:marLeft w:val="0"/>
          <w:marRight w:val="0"/>
          <w:marTop w:val="0"/>
          <w:marBottom w:val="0"/>
          <w:divBdr>
            <w:top w:val="none" w:sz="0" w:space="0" w:color="auto"/>
            <w:left w:val="none" w:sz="0" w:space="0" w:color="auto"/>
            <w:bottom w:val="none" w:sz="0" w:space="0" w:color="auto"/>
            <w:right w:val="none" w:sz="0" w:space="0" w:color="auto"/>
          </w:divBdr>
        </w:div>
      </w:divsChild>
    </w:div>
    <w:div w:id="148904571">
      <w:bodyDiv w:val="1"/>
      <w:marLeft w:val="0"/>
      <w:marRight w:val="0"/>
      <w:marTop w:val="0"/>
      <w:marBottom w:val="0"/>
      <w:divBdr>
        <w:top w:val="none" w:sz="0" w:space="0" w:color="auto"/>
        <w:left w:val="none" w:sz="0" w:space="0" w:color="auto"/>
        <w:bottom w:val="none" w:sz="0" w:space="0" w:color="auto"/>
        <w:right w:val="none" w:sz="0" w:space="0" w:color="auto"/>
      </w:divBdr>
    </w:div>
    <w:div w:id="205261471">
      <w:bodyDiv w:val="1"/>
      <w:marLeft w:val="0"/>
      <w:marRight w:val="0"/>
      <w:marTop w:val="0"/>
      <w:marBottom w:val="0"/>
      <w:divBdr>
        <w:top w:val="none" w:sz="0" w:space="0" w:color="auto"/>
        <w:left w:val="none" w:sz="0" w:space="0" w:color="auto"/>
        <w:bottom w:val="none" w:sz="0" w:space="0" w:color="auto"/>
        <w:right w:val="none" w:sz="0" w:space="0" w:color="auto"/>
      </w:divBdr>
      <w:divsChild>
        <w:div w:id="1539048719">
          <w:marLeft w:val="0"/>
          <w:marRight w:val="0"/>
          <w:marTop w:val="0"/>
          <w:marBottom w:val="0"/>
          <w:divBdr>
            <w:top w:val="none" w:sz="0" w:space="0" w:color="auto"/>
            <w:left w:val="none" w:sz="0" w:space="0" w:color="auto"/>
            <w:bottom w:val="none" w:sz="0" w:space="0" w:color="auto"/>
            <w:right w:val="none" w:sz="0" w:space="0" w:color="auto"/>
          </w:divBdr>
        </w:div>
      </w:divsChild>
    </w:div>
    <w:div w:id="218367512">
      <w:bodyDiv w:val="1"/>
      <w:marLeft w:val="0"/>
      <w:marRight w:val="0"/>
      <w:marTop w:val="0"/>
      <w:marBottom w:val="0"/>
      <w:divBdr>
        <w:top w:val="none" w:sz="0" w:space="0" w:color="auto"/>
        <w:left w:val="none" w:sz="0" w:space="0" w:color="auto"/>
        <w:bottom w:val="none" w:sz="0" w:space="0" w:color="auto"/>
        <w:right w:val="none" w:sz="0" w:space="0" w:color="auto"/>
      </w:divBdr>
    </w:div>
    <w:div w:id="231543659">
      <w:bodyDiv w:val="1"/>
      <w:marLeft w:val="0"/>
      <w:marRight w:val="0"/>
      <w:marTop w:val="0"/>
      <w:marBottom w:val="0"/>
      <w:divBdr>
        <w:top w:val="none" w:sz="0" w:space="0" w:color="auto"/>
        <w:left w:val="none" w:sz="0" w:space="0" w:color="auto"/>
        <w:bottom w:val="none" w:sz="0" w:space="0" w:color="auto"/>
        <w:right w:val="none" w:sz="0" w:space="0" w:color="auto"/>
      </w:divBdr>
    </w:div>
    <w:div w:id="292448319">
      <w:bodyDiv w:val="1"/>
      <w:marLeft w:val="0"/>
      <w:marRight w:val="0"/>
      <w:marTop w:val="0"/>
      <w:marBottom w:val="0"/>
      <w:divBdr>
        <w:top w:val="none" w:sz="0" w:space="0" w:color="auto"/>
        <w:left w:val="none" w:sz="0" w:space="0" w:color="auto"/>
        <w:bottom w:val="none" w:sz="0" w:space="0" w:color="auto"/>
        <w:right w:val="none" w:sz="0" w:space="0" w:color="auto"/>
      </w:divBdr>
      <w:divsChild>
        <w:div w:id="1196456278">
          <w:marLeft w:val="0"/>
          <w:marRight w:val="0"/>
          <w:marTop w:val="0"/>
          <w:marBottom w:val="0"/>
          <w:divBdr>
            <w:top w:val="none" w:sz="0" w:space="0" w:color="auto"/>
            <w:left w:val="none" w:sz="0" w:space="0" w:color="auto"/>
            <w:bottom w:val="none" w:sz="0" w:space="0" w:color="auto"/>
            <w:right w:val="none" w:sz="0" w:space="0" w:color="auto"/>
          </w:divBdr>
        </w:div>
      </w:divsChild>
    </w:div>
    <w:div w:id="293364998">
      <w:bodyDiv w:val="1"/>
      <w:marLeft w:val="0"/>
      <w:marRight w:val="0"/>
      <w:marTop w:val="0"/>
      <w:marBottom w:val="0"/>
      <w:divBdr>
        <w:top w:val="none" w:sz="0" w:space="0" w:color="auto"/>
        <w:left w:val="none" w:sz="0" w:space="0" w:color="auto"/>
        <w:bottom w:val="none" w:sz="0" w:space="0" w:color="auto"/>
        <w:right w:val="none" w:sz="0" w:space="0" w:color="auto"/>
      </w:divBdr>
    </w:div>
    <w:div w:id="306781853">
      <w:bodyDiv w:val="1"/>
      <w:marLeft w:val="0"/>
      <w:marRight w:val="0"/>
      <w:marTop w:val="0"/>
      <w:marBottom w:val="0"/>
      <w:divBdr>
        <w:top w:val="none" w:sz="0" w:space="0" w:color="auto"/>
        <w:left w:val="none" w:sz="0" w:space="0" w:color="auto"/>
        <w:bottom w:val="none" w:sz="0" w:space="0" w:color="auto"/>
        <w:right w:val="none" w:sz="0" w:space="0" w:color="auto"/>
      </w:divBdr>
      <w:divsChild>
        <w:div w:id="250815568">
          <w:marLeft w:val="0"/>
          <w:marRight w:val="0"/>
          <w:marTop w:val="0"/>
          <w:marBottom w:val="0"/>
          <w:divBdr>
            <w:top w:val="none" w:sz="0" w:space="0" w:color="auto"/>
            <w:left w:val="none" w:sz="0" w:space="0" w:color="auto"/>
            <w:bottom w:val="none" w:sz="0" w:space="0" w:color="auto"/>
            <w:right w:val="none" w:sz="0" w:space="0" w:color="auto"/>
          </w:divBdr>
        </w:div>
      </w:divsChild>
    </w:div>
    <w:div w:id="326516420">
      <w:bodyDiv w:val="1"/>
      <w:marLeft w:val="0"/>
      <w:marRight w:val="0"/>
      <w:marTop w:val="0"/>
      <w:marBottom w:val="0"/>
      <w:divBdr>
        <w:top w:val="none" w:sz="0" w:space="0" w:color="auto"/>
        <w:left w:val="none" w:sz="0" w:space="0" w:color="auto"/>
        <w:bottom w:val="none" w:sz="0" w:space="0" w:color="auto"/>
        <w:right w:val="none" w:sz="0" w:space="0" w:color="auto"/>
      </w:divBdr>
    </w:div>
    <w:div w:id="332882687">
      <w:bodyDiv w:val="1"/>
      <w:marLeft w:val="0"/>
      <w:marRight w:val="0"/>
      <w:marTop w:val="0"/>
      <w:marBottom w:val="0"/>
      <w:divBdr>
        <w:top w:val="none" w:sz="0" w:space="0" w:color="auto"/>
        <w:left w:val="none" w:sz="0" w:space="0" w:color="auto"/>
        <w:bottom w:val="none" w:sz="0" w:space="0" w:color="auto"/>
        <w:right w:val="none" w:sz="0" w:space="0" w:color="auto"/>
      </w:divBdr>
      <w:divsChild>
        <w:div w:id="1004866137">
          <w:marLeft w:val="0"/>
          <w:marRight w:val="0"/>
          <w:marTop w:val="0"/>
          <w:marBottom w:val="0"/>
          <w:divBdr>
            <w:top w:val="none" w:sz="0" w:space="0" w:color="auto"/>
            <w:left w:val="none" w:sz="0" w:space="0" w:color="auto"/>
            <w:bottom w:val="none" w:sz="0" w:space="0" w:color="auto"/>
            <w:right w:val="none" w:sz="0" w:space="0" w:color="auto"/>
          </w:divBdr>
        </w:div>
      </w:divsChild>
    </w:div>
    <w:div w:id="350687733">
      <w:bodyDiv w:val="1"/>
      <w:marLeft w:val="0"/>
      <w:marRight w:val="0"/>
      <w:marTop w:val="0"/>
      <w:marBottom w:val="0"/>
      <w:divBdr>
        <w:top w:val="none" w:sz="0" w:space="0" w:color="auto"/>
        <w:left w:val="none" w:sz="0" w:space="0" w:color="auto"/>
        <w:bottom w:val="none" w:sz="0" w:space="0" w:color="auto"/>
        <w:right w:val="none" w:sz="0" w:space="0" w:color="auto"/>
      </w:divBdr>
    </w:div>
    <w:div w:id="369841935">
      <w:bodyDiv w:val="1"/>
      <w:marLeft w:val="0"/>
      <w:marRight w:val="0"/>
      <w:marTop w:val="0"/>
      <w:marBottom w:val="0"/>
      <w:divBdr>
        <w:top w:val="none" w:sz="0" w:space="0" w:color="auto"/>
        <w:left w:val="none" w:sz="0" w:space="0" w:color="auto"/>
        <w:bottom w:val="none" w:sz="0" w:space="0" w:color="auto"/>
        <w:right w:val="none" w:sz="0" w:space="0" w:color="auto"/>
      </w:divBdr>
      <w:divsChild>
        <w:div w:id="2073458784">
          <w:marLeft w:val="0"/>
          <w:marRight w:val="0"/>
          <w:marTop w:val="0"/>
          <w:marBottom w:val="0"/>
          <w:divBdr>
            <w:top w:val="none" w:sz="0" w:space="0" w:color="auto"/>
            <w:left w:val="none" w:sz="0" w:space="0" w:color="auto"/>
            <w:bottom w:val="none" w:sz="0" w:space="0" w:color="auto"/>
            <w:right w:val="none" w:sz="0" w:space="0" w:color="auto"/>
          </w:divBdr>
        </w:div>
      </w:divsChild>
    </w:div>
    <w:div w:id="371660462">
      <w:bodyDiv w:val="1"/>
      <w:marLeft w:val="0"/>
      <w:marRight w:val="0"/>
      <w:marTop w:val="0"/>
      <w:marBottom w:val="0"/>
      <w:divBdr>
        <w:top w:val="none" w:sz="0" w:space="0" w:color="auto"/>
        <w:left w:val="none" w:sz="0" w:space="0" w:color="auto"/>
        <w:bottom w:val="none" w:sz="0" w:space="0" w:color="auto"/>
        <w:right w:val="none" w:sz="0" w:space="0" w:color="auto"/>
      </w:divBdr>
    </w:div>
    <w:div w:id="401685885">
      <w:bodyDiv w:val="1"/>
      <w:marLeft w:val="0"/>
      <w:marRight w:val="0"/>
      <w:marTop w:val="0"/>
      <w:marBottom w:val="0"/>
      <w:divBdr>
        <w:top w:val="none" w:sz="0" w:space="0" w:color="auto"/>
        <w:left w:val="none" w:sz="0" w:space="0" w:color="auto"/>
        <w:bottom w:val="none" w:sz="0" w:space="0" w:color="auto"/>
        <w:right w:val="none" w:sz="0" w:space="0" w:color="auto"/>
      </w:divBdr>
    </w:div>
    <w:div w:id="421605108">
      <w:bodyDiv w:val="1"/>
      <w:marLeft w:val="0"/>
      <w:marRight w:val="0"/>
      <w:marTop w:val="0"/>
      <w:marBottom w:val="0"/>
      <w:divBdr>
        <w:top w:val="none" w:sz="0" w:space="0" w:color="auto"/>
        <w:left w:val="none" w:sz="0" w:space="0" w:color="auto"/>
        <w:bottom w:val="none" w:sz="0" w:space="0" w:color="auto"/>
        <w:right w:val="none" w:sz="0" w:space="0" w:color="auto"/>
      </w:divBdr>
    </w:div>
    <w:div w:id="437335152">
      <w:bodyDiv w:val="1"/>
      <w:marLeft w:val="0"/>
      <w:marRight w:val="0"/>
      <w:marTop w:val="0"/>
      <w:marBottom w:val="0"/>
      <w:divBdr>
        <w:top w:val="none" w:sz="0" w:space="0" w:color="auto"/>
        <w:left w:val="none" w:sz="0" w:space="0" w:color="auto"/>
        <w:bottom w:val="none" w:sz="0" w:space="0" w:color="auto"/>
        <w:right w:val="none" w:sz="0" w:space="0" w:color="auto"/>
      </w:divBdr>
    </w:div>
    <w:div w:id="477110597">
      <w:bodyDiv w:val="1"/>
      <w:marLeft w:val="0"/>
      <w:marRight w:val="0"/>
      <w:marTop w:val="0"/>
      <w:marBottom w:val="0"/>
      <w:divBdr>
        <w:top w:val="none" w:sz="0" w:space="0" w:color="auto"/>
        <w:left w:val="none" w:sz="0" w:space="0" w:color="auto"/>
        <w:bottom w:val="none" w:sz="0" w:space="0" w:color="auto"/>
        <w:right w:val="none" w:sz="0" w:space="0" w:color="auto"/>
      </w:divBdr>
    </w:div>
    <w:div w:id="486173269">
      <w:bodyDiv w:val="1"/>
      <w:marLeft w:val="0"/>
      <w:marRight w:val="0"/>
      <w:marTop w:val="0"/>
      <w:marBottom w:val="0"/>
      <w:divBdr>
        <w:top w:val="none" w:sz="0" w:space="0" w:color="auto"/>
        <w:left w:val="none" w:sz="0" w:space="0" w:color="auto"/>
        <w:bottom w:val="none" w:sz="0" w:space="0" w:color="auto"/>
        <w:right w:val="none" w:sz="0" w:space="0" w:color="auto"/>
      </w:divBdr>
    </w:div>
    <w:div w:id="506023186">
      <w:bodyDiv w:val="1"/>
      <w:marLeft w:val="0"/>
      <w:marRight w:val="0"/>
      <w:marTop w:val="0"/>
      <w:marBottom w:val="0"/>
      <w:divBdr>
        <w:top w:val="none" w:sz="0" w:space="0" w:color="auto"/>
        <w:left w:val="none" w:sz="0" w:space="0" w:color="auto"/>
        <w:bottom w:val="none" w:sz="0" w:space="0" w:color="auto"/>
        <w:right w:val="none" w:sz="0" w:space="0" w:color="auto"/>
      </w:divBdr>
      <w:divsChild>
        <w:div w:id="1356686083">
          <w:marLeft w:val="0"/>
          <w:marRight w:val="0"/>
          <w:marTop w:val="0"/>
          <w:marBottom w:val="0"/>
          <w:divBdr>
            <w:top w:val="none" w:sz="0" w:space="0" w:color="auto"/>
            <w:left w:val="none" w:sz="0" w:space="0" w:color="auto"/>
            <w:bottom w:val="none" w:sz="0" w:space="0" w:color="auto"/>
            <w:right w:val="none" w:sz="0" w:space="0" w:color="auto"/>
          </w:divBdr>
        </w:div>
      </w:divsChild>
    </w:div>
    <w:div w:id="534194000">
      <w:bodyDiv w:val="1"/>
      <w:marLeft w:val="0"/>
      <w:marRight w:val="0"/>
      <w:marTop w:val="0"/>
      <w:marBottom w:val="0"/>
      <w:divBdr>
        <w:top w:val="none" w:sz="0" w:space="0" w:color="auto"/>
        <w:left w:val="none" w:sz="0" w:space="0" w:color="auto"/>
        <w:bottom w:val="none" w:sz="0" w:space="0" w:color="auto"/>
        <w:right w:val="none" w:sz="0" w:space="0" w:color="auto"/>
      </w:divBdr>
    </w:div>
    <w:div w:id="556937864">
      <w:bodyDiv w:val="1"/>
      <w:marLeft w:val="0"/>
      <w:marRight w:val="0"/>
      <w:marTop w:val="0"/>
      <w:marBottom w:val="0"/>
      <w:divBdr>
        <w:top w:val="none" w:sz="0" w:space="0" w:color="auto"/>
        <w:left w:val="none" w:sz="0" w:space="0" w:color="auto"/>
        <w:bottom w:val="none" w:sz="0" w:space="0" w:color="auto"/>
        <w:right w:val="none" w:sz="0" w:space="0" w:color="auto"/>
      </w:divBdr>
    </w:div>
    <w:div w:id="579020551">
      <w:bodyDiv w:val="1"/>
      <w:marLeft w:val="0"/>
      <w:marRight w:val="0"/>
      <w:marTop w:val="0"/>
      <w:marBottom w:val="0"/>
      <w:divBdr>
        <w:top w:val="none" w:sz="0" w:space="0" w:color="auto"/>
        <w:left w:val="none" w:sz="0" w:space="0" w:color="auto"/>
        <w:bottom w:val="none" w:sz="0" w:space="0" w:color="auto"/>
        <w:right w:val="none" w:sz="0" w:space="0" w:color="auto"/>
      </w:divBdr>
    </w:div>
    <w:div w:id="579293505">
      <w:bodyDiv w:val="1"/>
      <w:marLeft w:val="0"/>
      <w:marRight w:val="0"/>
      <w:marTop w:val="0"/>
      <w:marBottom w:val="0"/>
      <w:divBdr>
        <w:top w:val="none" w:sz="0" w:space="0" w:color="auto"/>
        <w:left w:val="none" w:sz="0" w:space="0" w:color="auto"/>
        <w:bottom w:val="none" w:sz="0" w:space="0" w:color="auto"/>
        <w:right w:val="none" w:sz="0" w:space="0" w:color="auto"/>
      </w:divBdr>
    </w:div>
    <w:div w:id="589195636">
      <w:bodyDiv w:val="1"/>
      <w:marLeft w:val="0"/>
      <w:marRight w:val="0"/>
      <w:marTop w:val="0"/>
      <w:marBottom w:val="0"/>
      <w:divBdr>
        <w:top w:val="none" w:sz="0" w:space="0" w:color="auto"/>
        <w:left w:val="none" w:sz="0" w:space="0" w:color="auto"/>
        <w:bottom w:val="none" w:sz="0" w:space="0" w:color="auto"/>
        <w:right w:val="none" w:sz="0" w:space="0" w:color="auto"/>
      </w:divBdr>
      <w:divsChild>
        <w:div w:id="1390032040">
          <w:marLeft w:val="0"/>
          <w:marRight w:val="0"/>
          <w:marTop w:val="0"/>
          <w:marBottom w:val="0"/>
          <w:divBdr>
            <w:top w:val="none" w:sz="0" w:space="0" w:color="auto"/>
            <w:left w:val="none" w:sz="0" w:space="0" w:color="auto"/>
            <w:bottom w:val="none" w:sz="0" w:space="0" w:color="auto"/>
            <w:right w:val="none" w:sz="0" w:space="0" w:color="auto"/>
          </w:divBdr>
        </w:div>
      </w:divsChild>
    </w:div>
    <w:div w:id="591203096">
      <w:bodyDiv w:val="1"/>
      <w:marLeft w:val="0"/>
      <w:marRight w:val="0"/>
      <w:marTop w:val="0"/>
      <w:marBottom w:val="0"/>
      <w:divBdr>
        <w:top w:val="none" w:sz="0" w:space="0" w:color="auto"/>
        <w:left w:val="none" w:sz="0" w:space="0" w:color="auto"/>
        <w:bottom w:val="none" w:sz="0" w:space="0" w:color="auto"/>
        <w:right w:val="none" w:sz="0" w:space="0" w:color="auto"/>
      </w:divBdr>
    </w:div>
    <w:div w:id="591739939">
      <w:bodyDiv w:val="1"/>
      <w:marLeft w:val="0"/>
      <w:marRight w:val="0"/>
      <w:marTop w:val="0"/>
      <w:marBottom w:val="0"/>
      <w:divBdr>
        <w:top w:val="none" w:sz="0" w:space="0" w:color="auto"/>
        <w:left w:val="none" w:sz="0" w:space="0" w:color="auto"/>
        <w:bottom w:val="none" w:sz="0" w:space="0" w:color="auto"/>
        <w:right w:val="none" w:sz="0" w:space="0" w:color="auto"/>
      </w:divBdr>
    </w:div>
    <w:div w:id="601645282">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9550935">
      <w:bodyDiv w:val="1"/>
      <w:marLeft w:val="0"/>
      <w:marRight w:val="0"/>
      <w:marTop w:val="0"/>
      <w:marBottom w:val="0"/>
      <w:divBdr>
        <w:top w:val="none" w:sz="0" w:space="0" w:color="auto"/>
        <w:left w:val="none" w:sz="0" w:space="0" w:color="auto"/>
        <w:bottom w:val="none" w:sz="0" w:space="0" w:color="auto"/>
        <w:right w:val="none" w:sz="0" w:space="0" w:color="auto"/>
      </w:divBdr>
    </w:div>
    <w:div w:id="705064437">
      <w:bodyDiv w:val="1"/>
      <w:marLeft w:val="0"/>
      <w:marRight w:val="0"/>
      <w:marTop w:val="0"/>
      <w:marBottom w:val="0"/>
      <w:divBdr>
        <w:top w:val="none" w:sz="0" w:space="0" w:color="auto"/>
        <w:left w:val="none" w:sz="0" w:space="0" w:color="auto"/>
        <w:bottom w:val="none" w:sz="0" w:space="0" w:color="auto"/>
        <w:right w:val="none" w:sz="0" w:space="0" w:color="auto"/>
      </w:divBdr>
    </w:div>
    <w:div w:id="706872502">
      <w:bodyDiv w:val="1"/>
      <w:marLeft w:val="0"/>
      <w:marRight w:val="0"/>
      <w:marTop w:val="0"/>
      <w:marBottom w:val="0"/>
      <w:divBdr>
        <w:top w:val="none" w:sz="0" w:space="0" w:color="auto"/>
        <w:left w:val="none" w:sz="0" w:space="0" w:color="auto"/>
        <w:bottom w:val="none" w:sz="0" w:space="0" w:color="auto"/>
        <w:right w:val="none" w:sz="0" w:space="0" w:color="auto"/>
      </w:divBdr>
    </w:div>
    <w:div w:id="711419881">
      <w:bodyDiv w:val="1"/>
      <w:marLeft w:val="0"/>
      <w:marRight w:val="0"/>
      <w:marTop w:val="0"/>
      <w:marBottom w:val="0"/>
      <w:divBdr>
        <w:top w:val="none" w:sz="0" w:space="0" w:color="auto"/>
        <w:left w:val="none" w:sz="0" w:space="0" w:color="auto"/>
        <w:bottom w:val="none" w:sz="0" w:space="0" w:color="auto"/>
        <w:right w:val="none" w:sz="0" w:space="0" w:color="auto"/>
      </w:divBdr>
    </w:div>
    <w:div w:id="730158719">
      <w:bodyDiv w:val="1"/>
      <w:marLeft w:val="0"/>
      <w:marRight w:val="0"/>
      <w:marTop w:val="0"/>
      <w:marBottom w:val="0"/>
      <w:divBdr>
        <w:top w:val="none" w:sz="0" w:space="0" w:color="auto"/>
        <w:left w:val="none" w:sz="0" w:space="0" w:color="auto"/>
        <w:bottom w:val="none" w:sz="0" w:space="0" w:color="auto"/>
        <w:right w:val="none" w:sz="0" w:space="0" w:color="auto"/>
      </w:divBdr>
      <w:divsChild>
        <w:div w:id="1041243339">
          <w:marLeft w:val="0"/>
          <w:marRight w:val="0"/>
          <w:marTop w:val="0"/>
          <w:marBottom w:val="0"/>
          <w:divBdr>
            <w:top w:val="none" w:sz="0" w:space="0" w:color="auto"/>
            <w:left w:val="none" w:sz="0" w:space="0" w:color="auto"/>
            <w:bottom w:val="none" w:sz="0" w:space="0" w:color="auto"/>
            <w:right w:val="none" w:sz="0" w:space="0" w:color="auto"/>
          </w:divBdr>
        </w:div>
      </w:divsChild>
    </w:div>
    <w:div w:id="755326404">
      <w:bodyDiv w:val="1"/>
      <w:marLeft w:val="0"/>
      <w:marRight w:val="0"/>
      <w:marTop w:val="0"/>
      <w:marBottom w:val="0"/>
      <w:divBdr>
        <w:top w:val="none" w:sz="0" w:space="0" w:color="auto"/>
        <w:left w:val="none" w:sz="0" w:space="0" w:color="auto"/>
        <w:bottom w:val="none" w:sz="0" w:space="0" w:color="auto"/>
        <w:right w:val="none" w:sz="0" w:space="0" w:color="auto"/>
      </w:divBdr>
      <w:divsChild>
        <w:div w:id="449709758">
          <w:marLeft w:val="0"/>
          <w:marRight w:val="0"/>
          <w:marTop w:val="0"/>
          <w:marBottom w:val="0"/>
          <w:divBdr>
            <w:top w:val="none" w:sz="0" w:space="0" w:color="auto"/>
            <w:left w:val="none" w:sz="0" w:space="0" w:color="auto"/>
            <w:bottom w:val="none" w:sz="0" w:space="0" w:color="auto"/>
            <w:right w:val="none" w:sz="0" w:space="0" w:color="auto"/>
          </w:divBdr>
        </w:div>
      </w:divsChild>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8599494">
      <w:bodyDiv w:val="1"/>
      <w:marLeft w:val="0"/>
      <w:marRight w:val="0"/>
      <w:marTop w:val="0"/>
      <w:marBottom w:val="0"/>
      <w:divBdr>
        <w:top w:val="none" w:sz="0" w:space="0" w:color="auto"/>
        <w:left w:val="none" w:sz="0" w:space="0" w:color="auto"/>
        <w:bottom w:val="none" w:sz="0" w:space="0" w:color="auto"/>
        <w:right w:val="none" w:sz="0" w:space="0" w:color="auto"/>
      </w:divBdr>
    </w:div>
    <w:div w:id="788546733">
      <w:bodyDiv w:val="1"/>
      <w:marLeft w:val="0"/>
      <w:marRight w:val="0"/>
      <w:marTop w:val="0"/>
      <w:marBottom w:val="0"/>
      <w:divBdr>
        <w:top w:val="none" w:sz="0" w:space="0" w:color="auto"/>
        <w:left w:val="none" w:sz="0" w:space="0" w:color="auto"/>
        <w:bottom w:val="none" w:sz="0" w:space="0" w:color="auto"/>
        <w:right w:val="none" w:sz="0" w:space="0" w:color="auto"/>
      </w:divBdr>
      <w:divsChild>
        <w:div w:id="985740253">
          <w:marLeft w:val="0"/>
          <w:marRight w:val="0"/>
          <w:marTop w:val="0"/>
          <w:marBottom w:val="0"/>
          <w:divBdr>
            <w:top w:val="none" w:sz="0" w:space="0" w:color="auto"/>
            <w:left w:val="none" w:sz="0" w:space="0" w:color="auto"/>
            <w:bottom w:val="none" w:sz="0" w:space="0" w:color="auto"/>
            <w:right w:val="none" w:sz="0" w:space="0" w:color="auto"/>
          </w:divBdr>
        </w:div>
      </w:divsChild>
    </w:div>
    <w:div w:id="887499601">
      <w:bodyDiv w:val="1"/>
      <w:marLeft w:val="0"/>
      <w:marRight w:val="0"/>
      <w:marTop w:val="0"/>
      <w:marBottom w:val="0"/>
      <w:divBdr>
        <w:top w:val="none" w:sz="0" w:space="0" w:color="auto"/>
        <w:left w:val="none" w:sz="0" w:space="0" w:color="auto"/>
        <w:bottom w:val="none" w:sz="0" w:space="0" w:color="auto"/>
        <w:right w:val="none" w:sz="0" w:space="0" w:color="auto"/>
      </w:divBdr>
    </w:div>
    <w:div w:id="899287237">
      <w:bodyDiv w:val="1"/>
      <w:marLeft w:val="0"/>
      <w:marRight w:val="0"/>
      <w:marTop w:val="0"/>
      <w:marBottom w:val="0"/>
      <w:divBdr>
        <w:top w:val="none" w:sz="0" w:space="0" w:color="auto"/>
        <w:left w:val="none" w:sz="0" w:space="0" w:color="auto"/>
        <w:bottom w:val="none" w:sz="0" w:space="0" w:color="auto"/>
        <w:right w:val="none" w:sz="0" w:space="0" w:color="auto"/>
      </w:divBdr>
    </w:div>
    <w:div w:id="904948787">
      <w:bodyDiv w:val="1"/>
      <w:marLeft w:val="0"/>
      <w:marRight w:val="0"/>
      <w:marTop w:val="0"/>
      <w:marBottom w:val="0"/>
      <w:divBdr>
        <w:top w:val="none" w:sz="0" w:space="0" w:color="auto"/>
        <w:left w:val="none" w:sz="0" w:space="0" w:color="auto"/>
        <w:bottom w:val="none" w:sz="0" w:space="0" w:color="auto"/>
        <w:right w:val="none" w:sz="0" w:space="0" w:color="auto"/>
      </w:divBdr>
    </w:div>
    <w:div w:id="911424730">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34242891">
      <w:bodyDiv w:val="1"/>
      <w:marLeft w:val="0"/>
      <w:marRight w:val="0"/>
      <w:marTop w:val="0"/>
      <w:marBottom w:val="0"/>
      <w:divBdr>
        <w:top w:val="none" w:sz="0" w:space="0" w:color="auto"/>
        <w:left w:val="none" w:sz="0" w:space="0" w:color="auto"/>
        <w:bottom w:val="none" w:sz="0" w:space="0" w:color="auto"/>
        <w:right w:val="none" w:sz="0" w:space="0" w:color="auto"/>
      </w:divBdr>
    </w:div>
    <w:div w:id="946616580">
      <w:bodyDiv w:val="1"/>
      <w:marLeft w:val="0"/>
      <w:marRight w:val="0"/>
      <w:marTop w:val="0"/>
      <w:marBottom w:val="0"/>
      <w:divBdr>
        <w:top w:val="none" w:sz="0" w:space="0" w:color="auto"/>
        <w:left w:val="none" w:sz="0" w:space="0" w:color="auto"/>
        <w:bottom w:val="none" w:sz="0" w:space="0" w:color="auto"/>
        <w:right w:val="none" w:sz="0" w:space="0" w:color="auto"/>
      </w:divBdr>
    </w:div>
    <w:div w:id="1018392260">
      <w:bodyDiv w:val="1"/>
      <w:marLeft w:val="0"/>
      <w:marRight w:val="0"/>
      <w:marTop w:val="0"/>
      <w:marBottom w:val="0"/>
      <w:divBdr>
        <w:top w:val="none" w:sz="0" w:space="0" w:color="auto"/>
        <w:left w:val="none" w:sz="0" w:space="0" w:color="auto"/>
        <w:bottom w:val="none" w:sz="0" w:space="0" w:color="auto"/>
        <w:right w:val="none" w:sz="0" w:space="0" w:color="auto"/>
      </w:divBdr>
    </w:div>
    <w:div w:id="1052846201">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087574433">
      <w:bodyDiv w:val="1"/>
      <w:marLeft w:val="0"/>
      <w:marRight w:val="0"/>
      <w:marTop w:val="0"/>
      <w:marBottom w:val="0"/>
      <w:divBdr>
        <w:top w:val="none" w:sz="0" w:space="0" w:color="auto"/>
        <w:left w:val="none" w:sz="0" w:space="0" w:color="auto"/>
        <w:bottom w:val="none" w:sz="0" w:space="0" w:color="auto"/>
        <w:right w:val="none" w:sz="0" w:space="0" w:color="auto"/>
      </w:divBdr>
    </w:div>
    <w:div w:id="1131830091">
      <w:bodyDiv w:val="1"/>
      <w:marLeft w:val="0"/>
      <w:marRight w:val="0"/>
      <w:marTop w:val="0"/>
      <w:marBottom w:val="0"/>
      <w:divBdr>
        <w:top w:val="none" w:sz="0" w:space="0" w:color="auto"/>
        <w:left w:val="none" w:sz="0" w:space="0" w:color="auto"/>
        <w:bottom w:val="none" w:sz="0" w:space="0" w:color="auto"/>
        <w:right w:val="none" w:sz="0" w:space="0" w:color="auto"/>
      </w:divBdr>
    </w:div>
    <w:div w:id="1146897827">
      <w:bodyDiv w:val="1"/>
      <w:marLeft w:val="0"/>
      <w:marRight w:val="0"/>
      <w:marTop w:val="0"/>
      <w:marBottom w:val="0"/>
      <w:divBdr>
        <w:top w:val="none" w:sz="0" w:space="0" w:color="auto"/>
        <w:left w:val="none" w:sz="0" w:space="0" w:color="auto"/>
        <w:bottom w:val="none" w:sz="0" w:space="0" w:color="auto"/>
        <w:right w:val="none" w:sz="0" w:space="0" w:color="auto"/>
      </w:divBdr>
      <w:divsChild>
        <w:div w:id="1054546390">
          <w:marLeft w:val="0"/>
          <w:marRight w:val="0"/>
          <w:marTop w:val="0"/>
          <w:marBottom w:val="0"/>
          <w:divBdr>
            <w:top w:val="none" w:sz="0" w:space="0" w:color="auto"/>
            <w:left w:val="none" w:sz="0" w:space="0" w:color="auto"/>
            <w:bottom w:val="none" w:sz="0" w:space="0" w:color="auto"/>
            <w:right w:val="none" w:sz="0" w:space="0" w:color="auto"/>
          </w:divBdr>
        </w:div>
      </w:divsChild>
    </w:div>
    <w:div w:id="1157769504">
      <w:bodyDiv w:val="1"/>
      <w:marLeft w:val="0"/>
      <w:marRight w:val="0"/>
      <w:marTop w:val="0"/>
      <w:marBottom w:val="0"/>
      <w:divBdr>
        <w:top w:val="none" w:sz="0" w:space="0" w:color="auto"/>
        <w:left w:val="none" w:sz="0" w:space="0" w:color="auto"/>
        <w:bottom w:val="none" w:sz="0" w:space="0" w:color="auto"/>
        <w:right w:val="none" w:sz="0" w:space="0" w:color="auto"/>
      </w:divBdr>
    </w:div>
    <w:div w:id="1229925227">
      <w:bodyDiv w:val="1"/>
      <w:marLeft w:val="0"/>
      <w:marRight w:val="0"/>
      <w:marTop w:val="0"/>
      <w:marBottom w:val="0"/>
      <w:divBdr>
        <w:top w:val="none" w:sz="0" w:space="0" w:color="auto"/>
        <w:left w:val="none" w:sz="0" w:space="0" w:color="auto"/>
        <w:bottom w:val="none" w:sz="0" w:space="0" w:color="auto"/>
        <w:right w:val="none" w:sz="0" w:space="0" w:color="auto"/>
      </w:divBdr>
    </w:div>
    <w:div w:id="1288776225">
      <w:bodyDiv w:val="1"/>
      <w:marLeft w:val="0"/>
      <w:marRight w:val="0"/>
      <w:marTop w:val="0"/>
      <w:marBottom w:val="0"/>
      <w:divBdr>
        <w:top w:val="none" w:sz="0" w:space="0" w:color="auto"/>
        <w:left w:val="none" w:sz="0" w:space="0" w:color="auto"/>
        <w:bottom w:val="none" w:sz="0" w:space="0" w:color="auto"/>
        <w:right w:val="none" w:sz="0" w:space="0" w:color="auto"/>
      </w:divBdr>
      <w:divsChild>
        <w:div w:id="1591235138">
          <w:marLeft w:val="0"/>
          <w:marRight w:val="0"/>
          <w:marTop w:val="0"/>
          <w:marBottom w:val="0"/>
          <w:divBdr>
            <w:top w:val="none" w:sz="0" w:space="0" w:color="auto"/>
            <w:left w:val="none" w:sz="0" w:space="0" w:color="auto"/>
            <w:bottom w:val="none" w:sz="0" w:space="0" w:color="auto"/>
            <w:right w:val="none" w:sz="0" w:space="0" w:color="auto"/>
          </w:divBdr>
        </w:div>
      </w:divsChild>
    </w:div>
    <w:div w:id="1320429311">
      <w:bodyDiv w:val="1"/>
      <w:marLeft w:val="0"/>
      <w:marRight w:val="0"/>
      <w:marTop w:val="0"/>
      <w:marBottom w:val="0"/>
      <w:divBdr>
        <w:top w:val="none" w:sz="0" w:space="0" w:color="auto"/>
        <w:left w:val="none" w:sz="0" w:space="0" w:color="auto"/>
        <w:bottom w:val="none" w:sz="0" w:space="0" w:color="auto"/>
        <w:right w:val="none" w:sz="0" w:space="0" w:color="auto"/>
      </w:divBdr>
    </w:div>
    <w:div w:id="1330407100">
      <w:bodyDiv w:val="1"/>
      <w:marLeft w:val="0"/>
      <w:marRight w:val="0"/>
      <w:marTop w:val="0"/>
      <w:marBottom w:val="0"/>
      <w:divBdr>
        <w:top w:val="none" w:sz="0" w:space="0" w:color="auto"/>
        <w:left w:val="none" w:sz="0" w:space="0" w:color="auto"/>
        <w:bottom w:val="none" w:sz="0" w:space="0" w:color="auto"/>
        <w:right w:val="none" w:sz="0" w:space="0" w:color="auto"/>
      </w:divBdr>
    </w:div>
    <w:div w:id="1362586687">
      <w:bodyDiv w:val="1"/>
      <w:marLeft w:val="0"/>
      <w:marRight w:val="0"/>
      <w:marTop w:val="0"/>
      <w:marBottom w:val="0"/>
      <w:divBdr>
        <w:top w:val="none" w:sz="0" w:space="0" w:color="auto"/>
        <w:left w:val="none" w:sz="0" w:space="0" w:color="auto"/>
        <w:bottom w:val="none" w:sz="0" w:space="0" w:color="auto"/>
        <w:right w:val="none" w:sz="0" w:space="0" w:color="auto"/>
      </w:divBdr>
    </w:div>
    <w:div w:id="1394162297">
      <w:bodyDiv w:val="1"/>
      <w:marLeft w:val="0"/>
      <w:marRight w:val="0"/>
      <w:marTop w:val="0"/>
      <w:marBottom w:val="0"/>
      <w:divBdr>
        <w:top w:val="none" w:sz="0" w:space="0" w:color="auto"/>
        <w:left w:val="none" w:sz="0" w:space="0" w:color="auto"/>
        <w:bottom w:val="none" w:sz="0" w:space="0" w:color="auto"/>
        <w:right w:val="none" w:sz="0" w:space="0" w:color="auto"/>
      </w:divBdr>
    </w:div>
    <w:div w:id="1399327712">
      <w:bodyDiv w:val="1"/>
      <w:marLeft w:val="0"/>
      <w:marRight w:val="0"/>
      <w:marTop w:val="0"/>
      <w:marBottom w:val="0"/>
      <w:divBdr>
        <w:top w:val="none" w:sz="0" w:space="0" w:color="auto"/>
        <w:left w:val="none" w:sz="0" w:space="0" w:color="auto"/>
        <w:bottom w:val="none" w:sz="0" w:space="0" w:color="auto"/>
        <w:right w:val="none" w:sz="0" w:space="0" w:color="auto"/>
      </w:divBdr>
    </w:div>
    <w:div w:id="1417172705">
      <w:bodyDiv w:val="1"/>
      <w:marLeft w:val="0"/>
      <w:marRight w:val="0"/>
      <w:marTop w:val="0"/>
      <w:marBottom w:val="0"/>
      <w:divBdr>
        <w:top w:val="none" w:sz="0" w:space="0" w:color="auto"/>
        <w:left w:val="none" w:sz="0" w:space="0" w:color="auto"/>
        <w:bottom w:val="none" w:sz="0" w:space="0" w:color="auto"/>
        <w:right w:val="none" w:sz="0" w:space="0" w:color="auto"/>
      </w:divBdr>
      <w:divsChild>
        <w:div w:id="1531143898">
          <w:marLeft w:val="0"/>
          <w:marRight w:val="0"/>
          <w:marTop w:val="0"/>
          <w:marBottom w:val="0"/>
          <w:divBdr>
            <w:top w:val="none" w:sz="0" w:space="0" w:color="auto"/>
            <w:left w:val="none" w:sz="0" w:space="0" w:color="auto"/>
            <w:bottom w:val="none" w:sz="0" w:space="0" w:color="auto"/>
            <w:right w:val="none" w:sz="0" w:space="0" w:color="auto"/>
          </w:divBdr>
        </w:div>
      </w:divsChild>
    </w:div>
    <w:div w:id="1423985356">
      <w:bodyDiv w:val="1"/>
      <w:marLeft w:val="0"/>
      <w:marRight w:val="0"/>
      <w:marTop w:val="0"/>
      <w:marBottom w:val="0"/>
      <w:divBdr>
        <w:top w:val="none" w:sz="0" w:space="0" w:color="auto"/>
        <w:left w:val="none" w:sz="0" w:space="0" w:color="auto"/>
        <w:bottom w:val="none" w:sz="0" w:space="0" w:color="auto"/>
        <w:right w:val="none" w:sz="0" w:space="0" w:color="auto"/>
      </w:divBdr>
    </w:div>
    <w:div w:id="1463695421">
      <w:bodyDiv w:val="1"/>
      <w:marLeft w:val="0"/>
      <w:marRight w:val="0"/>
      <w:marTop w:val="0"/>
      <w:marBottom w:val="0"/>
      <w:divBdr>
        <w:top w:val="none" w:sz="0" w:space="0" w:color="auto"/>
        <w:left w:val="none" w:sz="0" w:space="0" w:color="auto"/>
        <w:bottom w:val="none" w:sz="0" w:space="0" w:color="auto"/>
        <w:right w:val="none" w:sz="0" w:space="0" w:color="auto"/>
      </w:divBdr>
    </w:div>
    <w:div w:id="1497110630">
      <w:bodyDiv w:val="1"/>
      <w:marLeft w:val="0"/>
      <w:marRight w:val="0"/>
      <w:marTop w:val="0"/>
      <w:marBottom w:val="0"/>
      <w:divBdr>
        <w:top w:val="none" w:sz="0" w:space="0" w:color="auto"/>
        <w:left w:val="none" w:sz="0" w:space="0" w:color="auto"/>
        <w:bottom w:val="none" w:sz="0" w:space="0" w:color="auto"/>
        <w:right w:val="none" w:sz="0" w:space="0" w:color="auto"/>
      </w:divBdr>
    </w:div>
    <w:div w:id="1599210829">
      <w:bodyDiv w:val="1"/>
      <w:marLeft w:val="0"/>
      <w:marRight w:val="0"/>
      <w:marTop w:val="0"/>
      <w:marBottom w:val="0"/>
      <w:divBdr>
        <w:top w:val="none" w:sz="0" w:space="0" w:color="auto"/>
        <w:left w:val="none" w:sz="0" w:space="0" w:color="auto"/>
        <w:bottom w:val="none" w:sz="0" w:space="0" w:color="auto"/>
        <w:right w:val="none" w:sz="0" w:space="0" w:color="auto"/>
      </w:divBdr>
    </w:div>
    <w:div w:id="1605192526">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39609975">
      <w:bodyDiv w:val="1"/>
      <w:marLeft w:val="0"/>
      <w:marRight w:val="0"/>
      <w:marTop w:val="0"/>
      <w:marBottom w:val="0"/>
      <w:divBdr>
        <w:top w:val="none" w:sz="0" w:space="0" w:color="auto"/>
        <w:left w:val="none" w:sz="0" w:space="0" w:color="auto"/>
        <w:bottom w:val="none" w:sz="0" w:space="0" w:color="auto"/>
        <w:right w:val="none" w:sz="0" w:space="0" w:color="auto"/>
      </w:divBdr>
    </w:div>
    <w:div w:id="1648170007">
      <w:bodyDiv w:val="1"/>
      <w:marLeft w:val="0"/>
      <w:marRight w:val="0"/>
      <w:marTop w:val="0"/>
      <w:marBottom w:val="0"/>
      <w:divBdr>
        <w:top w:val="none" w:sz="0" w:space="0" w:color="auto"/>
        <w:left w:val="none" w:sz="0" w:space="0" w:color="auto"/>
        <w:bottom w:val="none" w:sz="0" w:space="0" w:color="auto"/>
        <w:right w:val="none" w:sz="0" w:space="0" w:color="auto"/>
      </w:divBdr>
    </w:div>
    <w:div w:id="1753158413">
      <w:bodyDiv w:val="1"/>
      <w:marLeft w:val="0"/>
      <w:marRight w:val="0"/>
      <w:marTop w:val="0"/>
      <w:marBottom w:val="0"/>
      <w:divBdr>
        <w:top w:val="none" w:sz="0" w:space="0" w:color="auto"/>
        <w:left w:val="none" w:sz="0" w:space="0" w:color="auto"/>
        <w:bottom w:val="none" w:sz="0" w:space="0" w:color="auto"/>
        <w:right w:val="none" w:sz="0" w:space="0" w:color="auto"/>
      </w:divBdr>
    </w:div>
    <w:div w:id="1755468054">
      <w:bodyDiv w:val="1"/>
      <w:marLeft w:val="0"/>
      <w:marRight w:val="0"/>
      <w:marTop w:val="0"/>
      <w:marBottom w:val="0"/>
      <w:divBdr>
        <w:top w:val="none" w:sz="0" w:space="0" w:color="auto"/>
        <w:left w:val="none" w:sz="0" w:space="0" w:color="auto"/>
        <w:bottom w:val="none" w:sz="0" w:space="0" w:color="auto"/>
        <w:right w:val="none" w:sz="0" w:space="0" w:color="auto"/>
      </w:divBdr>
    </w:div>
    <w:div w:id="1792359990">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17339455">
      <w:bodyDiv w:val="1"/>
      <w:marLeft w:val="0"/>
      <w:marRight w:val="0"/>
      <w:marTop w:val="0"/>
      <w:marBottom w:val="0"/>
      <w:divBdr>
        <w:top w:val="none" w:sz="0" w:space="0" w:color="auto"/>
        <w:left w:val="none" w:sz="0" w:space="0" w:color="auto"/>
        <w:bottom w:val="none" w:sz="0" w:space="0" w:color="auto"/>
        <w:right w:val="none" w:sz="0" w:space="0" w:color="auto"/>
      </w:divBdr>
    </w:div>
    <w:div w:id="1850364081">
      <w:bodyDiv w:val="1"/>
      <w:marLeft w:val="0"/>
      <w:marRight w:val="0"/>
      <w:marTop w:val="0"/>
      <w:marBottom w:val="0"/>
      <w:divBdr>
        <w:top w:val="none" w:sz="0" w:space="0" w:color="auto"/>
        <w:left w:val="none" w:sz="0" w:space="0" w:color="auto"/>
        <w:bottom w:val="none" w:sz="0" w:space="0" w:color="auto"/>
        <w:right w:val="none" w:sz="0" w:space="0" w:color="auto"/>
      </w:divBdr>
    </w:div>
    <w:div w:id="1888836002">
      <w:bodyDiv w:val="1"/>
      <w:marLeft w:val="0"/>
      <w:marRight w:val="0"/>
      <w:marTop w:val="0"/>
      <w:marBottom w:val="0"/>
      <w:divBdr>
        <w:top w:val="none" w:sz="0" w:space="0" w:color="auto"/>
        <w:left w:val="none" w:sz="0" w:space="0" w:color="auto"/>
        <w:bottom w:val="none" w:sz="0" w:space="0" w:color="auto"/>
        <w:right w:val="none" w:sz="0" w:space="0" w:color="auto"/>
      </w:divBdr>
    </w:div>
    <w:div w:id="1890604070">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897277417">
      <w:bodyDiv w:val="1"/>
      <w:marLeft w:val="0"/>
      <w:marRight w:val="0"/>
      <w:marTop w:val="0"/>
      <w:marBottom w:val="0"/>
      <w:divBdr>
        <w:top w:val="none" w:sz="0" w:space="0" w:color="auto"/>
        <w:left w:val="none" w:sz="0" w:space="0" w:color="auto"/>
        <w:bottom w:val="none" w:sz="0" w:space="0" w:color="auto"/>
        <w:right w:val="none" w:sz="0" w:space="0" w:color="auto"/>
      </w:divBdr>
    </w:div>
    <w:div w:id="1921476622">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54677299">
      <w:bodyDiv w:val="1"/>
      <w:marLeft w:val="0"/>
      <w:marRight w:val="0"/>
      <w:marTop w:val="0"/>
      <w:marBottom w:val="0"/>
      <w:divBdr>
        <w:top w:val="none" w:sz="0" w:space="0" w:color="auto"/>
        <w:left w:val="none" w:sz="0" w:space="0" w:color="auto"/>
        <w:bottom w:val="none" w:sz="0" w:space="0" w:color="auto"/>
        <w:right w:val="none" w:sz="0" w:space="0" w:color="auto"/>
      </w:divBdr>
      <w:divsChild>
        <w:div w:id="90440720">
          <w:marLeft w:val="0"/>
          <w:marRight w:val="0"/>
          <w:marTop w:val="0"/>
          <w:marBottom w:val="0"/>
          <w:divBdr>
            <w:top w:val="none" w:sz="0" w:space="0" w:color="auto"/>
            <w:left w:val="none" w:sz="0" w:space="0" w:color="auto"/>
            <w:bottom w:val="none" w:sz="0" w:space="0" w:color="auto"/>
            <w:right w:val="none" w:sz="0" w:space="0" w:color="auto"/>
          </w:divBdr>
        </w:div>
      </w:divsChild>
    </w:div>
    <w:div w:id="1981424646">
      <w:bodyDiv w:val="1"/>
      <w:marLeft w:val="0"/>
      <w:marRight w:val="0"/>
      <w:marTop w:val="0"/>
      <w:marBottom w:val="0"/>
      <w:divBdr>
        <w:top w:val="none" w:sz="0" w:space="0" w:color="auto"/>
        <w:left w:val="none" w:sz="0" w:space="0" w:color="auto"/>
        <w:bottom w:val="none" w:sz="0" w:space="0" w:color="auto"/>
        <w:right w:val="none" w:sz="0" w:space="0" w:color="auto"/>
      </w:divBdr>
    </w:div>
    <w:div w:id="1992832837">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hyperlink" Target="http://www.otezla-eu-pil.com/" TargetMode="External"/><Relationship Id="rId21" Type="http://schemas.openxmlformats.org/officeDocument/2006/relationships/hyperlink" Target="https://www.ema.europa.eu/"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www.otezla-eu-pil.com" TargetMode="External"/><Relationship Id="rId33" Type="http://schemas.openxmlformats.org/officeDocument/2006/relationships/fontTable" Target="fontTable.xml"/><Relationship Id="rId38"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yperlink" Target="http://www.otezla-eu-pil.com/" TargetMode="External"/><Relationship Id="rId32" Type="http://schemas.openxmlformats.org/officeDocument/2006/relationships/footer" Target="footer2.xml"/><Relationship Id="rId37" Type="http://schemas.openxmlformats.org/officeDocument/2006/relationships/customXml" Target="../customXml/item6.xml"/><Relationship Id="rId5" Type="http://schemas.openxmlformats.org/officeDocument/2006/relationships/styles" Target="styles.xml"/><Relationship Id="rId15" Type="http://schemas.openxmlformats.org/officeDocument/2006/relationships/image" Target="media/image5.emf"/><Relationship Id="rId23" Type="http://schemas.openxmlformats.org/officeDocument/2006/relationships/hyperlink" Target="http://www.otezla-eu-pil.com" TargetMode="External"/><Relationship Id="rId28" Type="http://schemas.openxmlformats.org/officeDocument/2006/relationships/hyperlink" Target="http://www.otezla-eu-pil.com/" TargetMode="External"/><Relationship Id="rId36" Type="http://schemas.openxmlformats.org/officeDocument/2006/relationships/customXml" Target="../customXml/item5.xml"/><Relationship Id="rId10" Type="http://schemas.openxmlformats.org/officeDocument/2006/relationships/hyperlink" Target="https://www.ema.europa.eu/en/medicines/human/EPAR/otezla" TargetMode="External"/><Relationship Id="rId19" Type="http://schemas.openxmlformats.org/officeDocument/2006/relationships/image" Target="media/image9.png"/><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yperlink" Target="https://www.felleskatalogen.no/" TargetMode="External"/><Relationship Id="rId27" Type="http://schemas.openxmlformats.org/officeDocument/2006/relationships/hyperlink" Target="http://www.ema.europa.eu/docs/en_GB/document_library/Template_or_form/2013/03/WC500139752.doc" TargetMode="External"/><Relationship Id="rId30" Type="http://schemas.openxmlformats.org/officeDocument/2006/relationships/hyperlink" Target="https://www.felleskatalogen.no/" TargetMode="External"/><Relationship Id="rId35" Type="http://schemas.openxmlformats.org/officeDocument/2006/relationships/customXml" Target="../customXml/item4.xml"/><Relationship Id="rId8" Type="http://schemas.openxmlformats.org/officeDocument/2006/relationships/footnotes" Target="footnote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EMADOC-1700519818-2966454</_dlc_DocId>
    <_dlc_DocIdUrl xmlns="a034c160-bfb7-45f5-8632-2eb7e0508071">
      <Url>https://euema.sharepoint.com/sites/CRM/_layouts/15/DocIdRedir.aspx?ID=EMADOC-1700519818-2966454</Url>
      <Description>EMADOC-1700519818-2966454</Description>
    </_dlc_DocIdUrl>
  </documentManagement>
</p:properties>
</file>

<file path=customXml/itemProps1.xml><?xml version="1.0" encoding="utf-8"?>
<ds:datastoreItem xmlns:ds="http://schemas.openxmlformats.org/officeDocument/2006/customXml" ds:itemID="{BB09483C-F361-46BB-A3EC-F1D367CE9CD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62B4B75-8E86-4060-99AE-A99941A1DCE0}">
  <ds:schemaRefs>
    <ds:schemaRef ds:uri="http://schemas.openxmlformats.org/officeDocument/2006/bibliography"/>
  </ds:schemaRefs>
</ds:datastoreItem>
</file>

<file path=customXml/itemProps3.xml><?xml version="1.0" encoding="utf-8"?>
<ds:datastoreItem xmlns:ds="http://schemas.openxmlformats.org/officeDocument/2006/customXml" ds:itemID="{CBABBB1F-5613-4509-9B11-84EA57F882F8}">
  <ds:schemaRefs>
    <ds:schemaRef ds:uri="http://schemas.microsoft.com/office/2006/metadata/longProperties"/>
  </ds:schemaRefs>
</ds:datastoreItem>
</file>

<file path=customXml/itemProps4.xml><?xml version="1.0" encoding="utf-8"?>
<ds:datastoreItem xmlns:ds="http://schemas.openxmlformats.org/officeDocument/2006/customXml" ds:itemID="{94A1E32C-4BF9-4FCF-AE19-CA8F3E97E5EE}"/>
</file>

<file path=customXml/itemProps5.xml><?xml version="1.0" encoding="utf-8"?>
<ds:datastoreItem xmlns:ds="http://schemas.openxmlformats.org/officeDocument/2006/customXml" ds:itemID="{3ED83756-8196-4E63-8E8C-8A8B3EFFDBFE}"/>
</file>

<file path=customXml/itemProps6.xml><?xml version="1.0" encoding="utf-8"?>
<ds:datastoreItem xmlns:ds="http://schemas.openxmlformats.org/officeDocument/2006/customXml" ds:itemID="{6D8EE57F-1A59-4A84-A9EE-F61B0A09CD1D}"/>
</file>

<file path=customXml/itemProps7.xml><?xml version="1.0" encoding="utf-8"?>
<ds:datastoreItem xmlns:ds="http://schemas.openxmlformats.org/officeDocument/2006/customXml" ds:itemID="{3F0395AE-7CDC-4115-9AAD-C860AF8191A2}"/>
</file>

<file path=docMetadata/LabelInfo.xml><?xml version="1.0" encoding="utf-8"?>
<clbl:labelList xmlns:clbl="http://schemas.microsoft.com/office/2020/mipLabelMetadata">
  <clbl:label id="{e1dffae5-ca2f-4d3f-ba95-31318bc48aae}" enabled="0" method="" siteId="{e1dffae5-ca2f-4d3f-ba95-31318bc48aae}" removed="1"/>
</clbl:labelList>
</file>

<file path=docProps/app.xml><?xml version="1.0" encoding="utf-8"?>
<Properties xmlns="http://schemas.openxmlformats.org/officeDocument/2006/extended-properties" xmlns:vt="http://schemas.openxmlformats.org/officeDocument/2006/docPropsVTypes">
  <Template>Normal</Template>
  <TotalTime>0</TotalTime>
  <Pages>55</Pages>
  <Words>14066</Words>
  <Characters>80180</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Otezla : EPAR – Product information – tracked changes</vt:lpstr>
    </vt:vector>
  </TitlesOfParts>
  <Company/>
  <LinksUpToDate>false</LinksUpToDate>
  <CharactersWithSpaces>94058</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458847</vt:i4>
      </vt:variant>
      <vt:variant>
        <vt:i4>18</vt:i4>
      </vt:variant>
      <vt:variant>
        <vt:i4>0</vt:i4>
      </vt:variant>
      <vt:variant>
        <vt:i4>5</vt:i4>
      </vt:variant>
      <vt:variant>
        <vt:lpwstr>http://www.otezla-eu-pil.com/</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458847</vt:i4>
      </vt:variant>
      <vt:variant>
        <vt:i4>12</vt:i4>
      </vt:variant>
      <vt:variant>
        <vt:i4>0</vt:i4>
      </vt:variant>
      <vt:variant>
        <vt:i4>5</vt:i4>
      </vt:variant>
      <vt:variant>
        <vt:lpwstr>http://www.otezla-eu-pil.com/</vt:lpwstr>
      </vt:variant>
      <vt:variant>
        <vt:lpwstr/>
      </vt:variant>
      <vt:variant>
        <vt:i4>458847</vt:i4>
      </vt:variant>
      <vt:variant>
        <vt:i4>9</vt:i4>
      </vt:variant>
      <vt:variant>
        <vt:i4>0</vt:i4>
      </vt:variant>
      <vt:variant>
        <vt:i4>5</vt:i4>
      </vt:variant>
      <vt:variant>
        <vt:lpwstr>http://www.otezla-eu-pil.com/</vt:lpwstr>
      </vt:variant>
      <vt:variant>
        <vt:lpwstr/>
      </vt:variant>
      <vt:variant>
        <vt:i4>1245197</vt:i4>
      </vt:variant>
      <vt:variant>
        <vt:i4>6</vt:i4>
      </vt:variant>
      <vt:variant>
        <vt:i4>0</vt:i4>
      </vt:variant>
      <vt:variant>
        <vt:i4>5</vt:i4>
      </vt:variant>
      <vt:variant>
        <vt:lpwstr>http://www.ema.europa.eu/</vt:lpwstr>
      </vt:variant>
      <vt:variant>
        <vt:lpwstr/>
      </vt:variant>
      <vt:variant>
        <vt:i4>5111808</vt:i4>
      </vt:variant>
      <vt:variant>
        <vt:i4>3</vt:i4>
      </vt:variant>
      <vt:variant>
        <vt:i4>0</vt:i4>
      </vt:variant>
      <vt:variant>
        <vt:i4>5</vt:i4>
      </vt:variant>
      <vt:variant>
        <vt:lpwstr>http://www.whocc.no/atc_ddd_index/?code=L04AA</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Otezla : EPAR – Product information – tracked changes</dc:title>
  <dc:subject/>
  <dc:creator/>
  <cp:keywords/>
  <cp:lastModifiedBy/>
  <cp:revision>1</cp:revision>
  <dcterms:created xsi:type="dcterms:W3CDTF">2025-12-07T06:05:00Z</dcterms:created>
  <dcterms:modified xsi:type="dcterms:W3CDTF">2025-12-07T07:08:00Z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a27913e1-3c8e-44a6-9086-bef926010107</vt:lpwstr>
  </property>
</Properties>
</file>