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3E16" w14:textId="77777777" w:rsidR="00972680" w:rsidRPr="00D90165" w:rsidRDefault="00972680" w:rsidP="00855719">
      <w:pPr>
        <w:suppressAutoHyphens/>
        <w:spacing w:line="240" w:lineRule="auto"/>
        <w:ind w:left="567" w:hanging="567"/>
        <w:rPr>
          <w:b/>
          <w:noProof/>
          <w:szCs w:val="22"/>
        </w:rPr>
      </w:pPr>
    </w:p>
    <w:p w14:paraId="018E8F4A" w14:textId="77777777" w:rsidR="00972680" w:rsidRPr="00D90165" w:rsidRDefault="00972680" w:rsidP="00855719">
      <w:pPr>
        <w:suppressAutoHyphens/>
        <w:spacing w:line="240" w:lineRule="auto"/>
        <w:ind w:left="567" w:hanging="567"/>
        <w:rPr>
          <w:b/>
          <w:noProof/>
          <w:szCs w:val="22"/>
        </w:rPr>
      </w:pPr>
    </w:p>
    <w:p w14:paraId="551BAD53" w14:textId="77777777" w:rsidR="00812D16" w:rsidRPr="00D90165" w:rsidRDefault="00812D16" w:rsidP="00855719">
      <w:pPr>
        <w:suppressAutoHyphens/>
        <w:spacing w:line="240" w:lineRule="auto"/>
        <w:ind w:left="567" w:hanging="567"/>
        <w:rPr>
          <w:b/>
          <w:noProof/>
          <w:szCs w:val="22"/>
        </w:rPr>
      </w:pPr>
    </w:p>
    <w:p w14:paraId="21D51FC6" w14:textId="77777777" w:rsidR="00812D16" w:rsidRPr="00D90165" w:rsidRDefault="00812D16" w:rsidP="00855719">
      <w:pPr>
        <w:suppressAutoHyphens/>
        <w:spacing w:line="240" w:lineRule="auto"/>
        <w:ind w:left="567" w:hanging="567"/>
        <w:rPr>
          <w:b/>
          <w:noProof/>
          <w:szCs w:val="22"/>
        </w:rPr>
      </w:pPr>
    </w:p>
    <w:p w14:paraId="0830ACF9" w14:textId="3016AE3F" w:rsidR="00812D16" w:rsidRDefault="00812D16" w:rsidP="00855719">
      <w:pPr>
        <w:suppressAutoHyphens/>
        <w:spacing w:line="240" w:lineRule="auto"/>
        <w:ind w:left="567" w:hanging="567"/>
        <w:rPr>
          <w:b/>
          <w:noProof/>
          <w:szCs w:val="22"/>
        </w:rPr>
      </w:pPr>
    </w:p>
    <w:p w14:paraId="71276F1D" w14:textId="10DEAFA3" w:rsidR="00DD756E" w:rsidRDefault="00DD756E" w:rsidP="00855719">
      <w:pPr>
        <w:suppressAutoHyphens/>
        <w:spacing w:line="240" w:lineRule="auto"/>
        <w:ind w:left="567" w:hanging="567"/>
        <w:rPr>
          <w:b/>
          <w:noProof/>
          <w:szCs w:val="22"/>
        </w:rPr>
      </w:pPr>
    </w:p>
    <w:p w14:paraId="4A04BCAF" w14:textId="77777777" w:rsidR="00DD756E" w:rsidRPr="00D90165" w:rsidRDefault="00DD756E" w:rsidP="00855719">
      <w:pPr>
        <w:suppressAutoHyphens/>
        <w:spacing w:line="240" w:lineRule="auto"/>
        <w:ind w:left="567" w:hanging="567"/>
        <w:rPr>
          <w:b/>
          <w:noProof/>
          <w:szCs w:val="22"/>
        </w:rPr>
      </w:pPr>
    </w:p>
    <w:p w14:paraId="4E688F38" w14:textId="77777777" w:rsidR="00812D16" w:rsidRPr="00D90165" w:rsidRDefault="00812D16" w:rsidP="00855719">
      <w:pPr>
        <w:suppressAutoHyphens/>
        <w:spacing w:line="240" w:lineRule="auto"/>
        <w:ind w:left="567" w:hanging="567"/>
        <w:rPr>
          <w:b/>
          <w:noProof/>
          <w:szCs w:val="22"/>
        </w:rPr>
      </w:pPr>
    </w:p>
    <w:p w14:paraId="1C4B2B1E" w14:textId="77777777" w:rsidR="00812D16" w:rsidRPr="00D90165" w:rsidRDefault="00812D16" w:rsidP="00855719">
      <w:pPr>
        <w:suppressAutoHyphens/>
        <w:spacing w:line="240" w:lineRule="auto"/>
        <w:ind w:left="567" w:hanging="567"/>
        <w:rPr>
          <w:b/>
          <w:noProof/>
          <w:szCs w:val="22"/>
        </w:rPr>
      </w:pPr>
    </w:p>
    <w:p w14:paraId="0AC1D43A" w14:textId="77777777" w:rsidR="00812D16" w:rsidRPr="00D90165" w:rsidRDefault="00812D16" w:rsidP="00855719">
      <w:pPr>
        <w:suppressAutoHyphens/>
        <w:spacing w:line="240" w:lineRule="auto"/>
        <w:ind w:left="567" w:hanging="567"/>
        <w:rPr>
          <w:b/>
          <w:noProof/>
          <w:szCs w:val="22"/>
        </w:rPr>
      </w:pPr>
    </w:p>
    <w:p w14:paraId="48F75CA2" w14:textId="77777777" w:rsidR="00812D16" w:rsidRPr="00D90165" w:rsidRDefault="00812D16" w:rsidP="00855719">
      <w:pPr>
        <w:suppressAutoHyphens/>
        <w:spacing w:line="240" w:lineRule="auto"/>
        <w:ind w:left="567" w:hanging="567"/>
        <w:rPr>
          <w:b/>
          <w:noProof/>
          <w:szCs w:val="22"/>
        </w:rPr>
      </w:pPr>
    </w:p>
    <w:p w14:paraId="54A98918" w14:textId="77777777" w:rsidR="00812D16" w:rsidRPr="00D90165" w:rsidRDefault="00812D16" w:rsidP="00855719">
      <w:pPr>
        <w:suppressAutoHyphens/>
        <w:spacing w:line="240" w:lineRule="auto"/>
        <w:ind w:left="567" w:hanging="567"/>
        <w:rPr>
          <w:b/>
          <w:noProof/>
          <w:szCs w:val="22"/>
        </w:rPr>
      </w:pPr>
    </w:p>
    <w:p w14:paraId="06FD3A2F" w14:textId="77777777" w:rsidR="00812D16" w:rsidRPr="00D90165" w:rsidRDefault="00812D16" w:rsidP="00855719">
      <w:pPr>
        <w:suppressAutoHyphens/>
        <w:spacing w:line="240" w:lineRule="auto"/>
        <w:ind w:left="567" w:hanging="567"/>
        <w:rPr>
          <w:b/>
          <w:noProof/>
          <w:szCs w:val="22"/>
        </w:rPr>
      </w:pPr>
    </w:p>
    <w:p w14:paraId="3BADD618" w14:textId="77777777" w:rsidR="00812D16" w:rsidRPr="00D90165" w:rsidRDefault="00812D16" w:rsidP="00855719">
      <w:pPr>
        <w:suppressAutoHyphens/>
        <w:spacing w:line="240" w:lineRule="auto"/>
        <w:ind w:left="567" w:hanging="567"/>
        <w:rPr>
          <w:b/>
          <w:noProof/>
          <w:szCs w:val="22"/>
        </w:rPr>
      </w:pPr>
    </w:p>
    <w:p w14:paraId="16FB3954" w14:textId="77777777" w:rsidR="00812D16" w:rsidRPr="00D90165" w:rsidRDefault="00812D16" w:rsidP="00855719">
      <w:pPr>
        <w:suppressAutoHyphens/>
        <w:spacing w:line="240" w:lineRule="auto"/>
        <w:ind w:left="567" w:hanging="567"/>
        <w:rPr>
          <w:b/>
          <w:noProof/>
          <w:szCs w:val="22"/>
        </w:rPr>
      </w:pPr>
    </w:p>
    <w:p w14:paraId="3ED3007E" w14:textId="77777777" w:rsidR="00812D16" w:rsidRPr="00D90165" w:rsidRDefault="00812D16" w:rsidP="00855719">
      <w:pPr>
        <w:suppressAutoHyphens/>
        <w:spacing w:line="240" w:lineRule="auto"/>
        <w:ind w:left="567" w:hanging="567"/>
        <w:rPr>
          <w:b/>
          <w:noProof/>
          <w:szCs w:val="22"/>
        </w:rPr>
      </w:pPr>
    </w:p>
    <w:p w14:paraId="3FC6A55C" w14:textId="77777777" w:rsidR="00812D16" w:rsidRPr="00D90165" w:rsidRDefault="00812D16" w:rsidP="00855719">
      <w:pPr>
        <w:suppressAutoHyphens/>
        <w:spacing w:line="240" w:lineRule="auto"/>
        <w:ind w:left="567" w:hanging="567"/>
        <w:rPr>
          <w:b/>
          <w:noProof/>
          <w:szCs w:val="22"/>
        </w:rPr>
      </w:pPr>
    </w:p>
    <w:p w14:paraId="42C28E1E" w14:textId="77777777" w:rsidR="00812D16" w:rsidRPr="00D90165" w:rsidRDefault="00812D16" w:rsidP="00855719">
      <w:pPr>
        <w:suppressAutoHyphens/>
        <w:spacing w:line="240" w:lineRule="auto"/>
        <w:ind w:left="567" w:hanging="567"/>
        <w:rPr>
          <w:b/>
          <w:noProof/>
          <w:szCs w:val="22"/>
        </w:rPr>
      </w:pPr>
    </w:p>
    <w:p w14:paraId="3CD2EA9E" w14:textId="77777777" w:rsidR="00812D16" w:rsidRPr="00D90165" w:rsidRDefault="00812D16" w:rsidP="00855719">
      <w:pPr>
        <w:suppressAutoHyphens/>
        <w:spacing w:line="240" w:lineRule="auto"/>
        <w:ind w:left="567" w:hanging="567"/>
        <w:rPr>
          <w:b/>
          <w:noProof/>
          <w:szCs w:val="22"/>
        </w:rPr>
      </w:pPr>
    </w:p>
    <w:p w14:paraId="027F8173" w14:textId="77777777" w:rsidR="00812D16" w:rsidRPr="00D90165" w:rsidRDefault="00812D16" w:rsidP="00855719">
      <w:pPr>
        <w:suppressAutoHyphens/>
        <w:spacing w:line="240" w:lineRule="auto"/>
        <w:ind w:left="567" w:hanging="567"/>
        <w:rPr>
          <w:b/>
          <w:noProof/>
          <w:szCs w:val="22"/>
        </w:rPr>
      </w:pPr>
    </w:p>
    <w:p w14:paraId="7095C847" w14:textId="77777777" w:rsidR="00812D16" w:rsidRPr="00D90165" w:rsidRDefault="00812D16" w:rsidP="00855719">
      <w:pPr>
        <w:suppressAutoHyphens/>
        <w:spacing w:line="240" w:lineRule="auto"/>
        <w:ind w:left="567" w:hanging="567"/>
        <w:rPr>
          <w:b/>
          <w:noProof/>
          <w:szCs w:val="22"/>
        </w:rPr>
      </w:pPr>
    </w:p>
    <w:p w14:paraId="3D315224" w14:textId="77777777" w:rsidR="00812D16" w:rsidRPr="00D90165" w:rsidRDefault="00812D16" w:rsidP="00855719">
      <w:pPr>
        <w:suppressAutoHyphens/>
        <w:spacing w:line="240" w:lineRule="auto"/>
        <w:ind w:left="567" w:hanging="567"/>
        <w:rPr>
          <w:b/>
          <w:noProof/>
          <w:szCs w:val="22"/>
        </w:rPr>
      </w:pPr>
    </w:p>
    <w:p w14:paraId="282913B5" w14:textId="77777777" w:rsidR="00812D16" w:rsidRPr="00D90165" w:rsidRDefault="009C4EC4" w:rsidP="00855719">
      <w:pPr>
        <w:spacing w:line="240" w:lineRule="auto"/>
        <w:jc w:val="center"/>
        <w:outlineLvl w:val="0"/>
      </w:pPr>
      <w:r w:rsidRPr="00D90165">
        <w:rPr>
          <w:b/>
        </w:rPr>
        <w:t>ANEKS I</w:t>
      </w:r>
    </w:p>
    <w:p w14:paraId="4AE5DE6B" w14:textId="77777777" w:rsidR="00812D16" w:rsidRPr="00D90165" w:rsidRDefault="00812D16" w:rsidP="00855719">
      <w:pPr>
        <w:suppressAutoHyphens/>
        <w:spacing w:line="240" w:lineRule="auto"/>
        <w:ind w:left="567" w:hanging="567"/>
        <w:jc w:val="center"/>
        <w:rPr>
          <w:b/>
          <w:noProof/>
          <w:szCs w:val="22"/>
        </w:rPr>
      </w:pPr>
    </w:p>
    <w:p w14:paraId="6F929CA3" w14:textId="77777777" w:rsidR="00812D16" w:rsidRPr="00D90165" w:rsidRDefault="009C4EC4" w:rsidP="008A5320">
      <w:pPr>
        <w:pStyle w:val="TitleA"/>
      </w:pPr>
      <w:r w:rsidRPr="00D90165">
        <w:t>CHARAKTERYSTYKA PRODUKTU LECZNICZEGO</w:t>
      </w:r>
    </w:p>
    <w:p w14:paraId="66901D63" w14:textId="77777777" w:rsidR="00033D26" w:rsidRPr="00D90165" w:rsidRDefault="009C4EC4" w:rsidP="00855719">
      <w:pPr>
        <w:spacing w:line="240" w:lineRule="auto"/>
        <w:rPr>
          <w:szCs w:val="22"/>
        </w:rPr>
      </w:pPr>
      <w:r w:rsidRPr="00D90165">
        <w:br w:type="page"/>
      </w:r>
    </w:p>
    <w:p w14:paraId="41C448B0" w14:textId="77777777" w:rsidR="00807610" w:rsidRPr="00D90165" w:rsidRDefault="009C4EC4" w:rsidP="00855719">
      <w:pPr>
        <w:tabs>
          <w:tab w:val="clear" w:pos="567"/>
          <w:tab w:val="left" w:pos="0"/>
        </w:tabs>
        <w:suppressAutoHyphens/>
        <w:spacing w:line="240" w:lineRule="auto"/>
        <w:rPr>
          <w:noProof/>
          <w:szCs w:val="22"/>
        </w:rPr>
      </w:pPr>
      <w:r w:rsidRPr="00D90165">
        <w:rPr>
          <w:rStyle w:val="DNEx1"/>
        </w:rPr>
        <w:lastRenderedPageBreak/>
        <w:t>▼</w:t>
      </w:r>
      <w:r w:rsidRPr="00D90165">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22256D18" w14:textId="77777777" w:rsidR="00807610" w:rsidRPr="00D90165" w:rsidRDefault="00807610" w:rsidP="00855719">
      <w:pPr>
        <w:suppressAutoHyphens/>
        <w:spacing w:line="240" w:lineRule="auto"/>
        <w:ind w:left="567" w:hanging="567"/>
        <w:rPr>
          <w:b/>
          <w:noProof/>
          <w:szCs w:val="22"/>
        </w:rPr>
      </w:pPr>
    </w:p>
    <w:p w14:paraId="10D6ED71" w14:textId="77777777" w:rsidR="00685AA3" w:rsidRPr="00D90165" w:rsidRDefault="00685AA3" w:rsidP="00855719">
      <w:pPr>
        <w:suppressAutoHyphens/>
        <w:spacing w:line="240" w:lineRule="auto"/>
        <w:ind w:left="567" w:hanging="567"/>
        <w:rPr>
          <w:b/>
          <w:noProof/>
          <w:szCs w:val="22"/>
        </w:rPr>
      </w:pPr>
    </w:p>
    <w:p w14:paraId="205FB29D" w14:textId="77777777" w:rsidR="00812D16" w:rsidRPr="00D90165" w:rsidRDefault="009C4EC4" w:rsidP="0056402B">
      <w:pPr>
        <w:keepNext/>
        <w:suppressAutoHyphens/>
        <w:spacing w:line="240" w:lineRule="auto"/>
        <w:ind w:left="567" w:hanging="567"/>
        <w:rPr>
          <w:noProof/>
          <w:szCs w:val="22"/>
        </w:rPr>
      </w:pPr>
      <w:r w:rsidRPr="00D90165">
        <w:rPr>
          <w:rStyle w:val="DNEx2"/>
        </w:rPr>
        <w:t>1.</w:t>
      </w:r>
      <w:r w:rsidRPr="00D90165">
        <w:rPr>
          <w:rStyle w:val="DNEx2"/>
        </w:rPr>
        <w:tab/>
      </w:r>
      <w:r w:rsidRPr="00D90165">
        <w:rPr>
          <w:b/>
        </w:rPr>
        <w:t>NAZWA PRODUKTU LECZNICZEGO</w:t>
      </w:r>
    </w:p>
    <w:p w14:paraId="1253EB1C" w14:textId="77777777" w:rsidR="00812D16" w:rsidRPr="00D90165" w:rsidRDefault="00812D16" w:rsidP="0056402B">
      <w:pPr>
        <w:keepNext/>
        <w:spacing w:line="240" w:lineRule="auto"/>
        <w:rPr>
          <w:iCs/>
          <w:noProof/>
          <w:szCs w:val="22"/>
        </w:rPr>
      </w:pPr>
    </w:p>
    <w:p w14:paraId="386F3BE2" w14:textId="77777777" w:rsidR="00305373" w:rsidRPr="00D90165" w:rsidRDefault="009C4EC4" w:rsidP="00855719">
      <w:pPr>
        <w:spacing w:line="240" w:lineRule="auto"/>
        <w:rPr>
          <w:noProof/>
        </w:rPr>
      </w:pPr>
      <w:r w:rsidRPr="00D90165">
        <w:t>AGAMREE 40 mg/ml zawiesina doustna</w:t>
      </w:r>
    </w:p>
    <w:p w14:paraId="1E59151C" w14:textId="77777777" w:rsidR="00812D16" w:rsidRPr="00D90165" w:rsidRDefault="00812D16" w:rsidP="00855719">
      <w:pPr>
        <w:spacing w:line="240" w:lineRule="auto"/>
        <w:rPr>
          <w:iCs/>
          <w:noProof/>
          <w:szCs w:val="22"/>
        </w:rPr>
      </w:pPr>
    </w:p>
    <w:p w14:paraId="5A8B9C00" w14:textId="77777777" w:rsidR="00812D16" w:rsidRPr="00D90165" w:rsidRDefault="00812D16" w:rsidP="00855719">
      <w:pPr>
        <w:spacing w:line="240" w:lineRule="auto"/>
        <w:rPr>
          <w:iCs/>
          <w:noProof/>
          <w:szCs w:val="22"/>
        </w:rPr>
      </w:pPr>
    </w:p>
    <w:p w14:paraId="38EC9B1F" w14:textId="77777777" w:rsidR="00812D16" w:rsidRPr="00D90165" w:rsidRDefault="009C4EC4" w:rsidP="0056402B">
      <w:pPr>
        <w:keepNext/>
        <w:suppressAutoHyphens/>
        <w:spacing w:line="240" w:lineRule="auto"/>
        <w:ind w:left="567" w:hanging="567"/>
        <w:rPr>
          <w:noProof/>
          <w:szCs w:val="22"/>
        </w:rPr>
      </w:pPr>
      <w:r w:rsidRPr="00D90165">
        <w:rPr>
          <w:rStyle w:val="DNEx2"/>
        </w:rPr>
        <w:t>2.</w:t>
      </w:r>
      <w:r w:rsidRPr="00D90165">
        <w:rPr>
          <w:rStyle w:val="DNEx2"/>
        </w:rPr>
        <w:tab/>
      </w:r>
      <w:r w:rsidRPr="00D90165">
        <w:rPr>
          <w:b/>
        </w:rPr>
        <w:t>SKŁAD JAKOŚCIOWY I ILOŚCIOWY</w:t>
      </w:r>
    </w:p>
    <w:p w14:paraId="6807B60C" w14:textId="77777777" w:rsidR="00812D16" w:rsidRPr="00D90165" w:rsidRDefault="00812D16" w:rsidP="0056402B">
      <w:pPr>
        <w:keepNext/>
        <w:spacing w:line="240" w:lineRule="auto"/>
        <w:rPr>
          <w:iCs/>
          <w:noProof/>
          <w:szCs w:val="22"/>
        </w:rPr>
      </w:pPr>
    </w:p>
    <w:p w14:paraId="0ADFD6A2" w14:textId="77777777" w:rsidR="008D323D" w:rsidRPr="00D90165" w:rsidRDefault="009C4EC4" w:rsidP="00855719">
      <w:pPr>
        <w:spacing w:line="240" w:lineRule="auto"/>
        <w:rPr>
          <w:noProof/>
        </w:rPr>
      </w:pPr>
      <w:r w:rsidRPr="00D90165">
        <w:t>Każdy ml zawiesiny zawiera 40 mg wamorolonu.</w:t>
      </w:r>
    </w:p>
    <w:p w14:paraId="4839CA63" w14:textId="77777777" w:rsidR="00812D16" w:rsidRPr="00D90165" w:rsidRDefault="00812D16" w:rsidP="00855719">
      <w:pPr>
        <w:spacing w:line="240" w:lineRule="auto"/>
      </w:pPr>
    </w:p>
    <w:p w14:paraId="6C160104" w14:textId="77777777" w:rsidR="00812D16" w:rsidRPr="00D90165" w:rsidRDefault="009C4EC4" w:rsidP="00855719">
      <w:pPr>
        <w:pStyle w:val="EMEAEnBodyText"/>
        <w:autoSpaceDE w:val="0"/>
        <w:autoSpaceDN w:val="0"/>
        <w:adjustRightInd w:val="0"/>
        <w:spacing w:before="0" w:after="0"/>
        <w:jc w:val="left"/>
      </w:pPr>
      <w:r w:rsidRPr="00D90165">
        <w:rPr>
          <w:u w:val="single"/>
        </w:rPr>
        <w:t>Substancja pomocnicza o znanym działaniu</w:t>
      </w:r>
    </w:p>
    <w:p w14:paraId="2331FA7B" w14:textId="77777777" w:rsidR="00CA253A" w:rsidRPr="00D90165" w:rsidRDefault="00CA253A" w:rsidP="00855719">
      <w:pPr>
        <w:spacing w:line="240" w:lineRule="auto"/>
      </w:pPr>
    </w:p>
    <w:p w14:paraId="4F62F642" w14:textId="77777777" w:rsidR="008D323D" w:rsidRPr="00D90165" w:rsidRDefault="009C4EC4" w:rsidP="00855719">
      <w:pPr>
        <w:spacing w:line="240" w:lineRule="auto"/>
        <w:outlineLvl w:val="0"/>
      </w:pPr>
      <w:r w:rsidRPr="00D90165">
        <w:t xml:space="preserve">Zawiesina zawiera 1 mg </w:t>
      </w:r>
      <w:r w:rsidR="00431D2E" w:rsidRPr="00D90165">
        <w:t xml:space="preserve">sodu </w:t>
      </w:r>
      <w:r w:rsidRPr="00D90165">
        <w:t>benzoesanu (E 211) w każdym mililitrze.</w:t>
      </w:r>
    </w:p>
    <w:p w14:paraId="228E16F3" w14:textId="77777777" w:rsidR="00CA253A" w:rsidRPr="00D90165" w:rsidRDefault="00CA253A" w:rsidP="00855719">
      <w:pPr>
        <w:spacing w:line="240" w:lineRule="auto"/>
      </w:pPr>
    </w:p>
    <w:p w14:paraId="40131B01" w14:textId="77777777" w:rsidR="008D323D" w:rsidRPr="00D90165" w:rsidRDefault="009C4EC4" w:rsidP="00855719">
      <w:pPr>
        <w:spacing w:line="240" w:lineRule="auto"/>
        <w:outlineLvl w:val="0"/>
        <w:rPr>
          <w:noProof/>
          <w:szCs w:val="22"/>
        </w:rPr>
      </w:pPr>
      <w:r w:rsidRPr="00D90165">
        <w:t>Pełny wykaz substancji pomocniczych, patrz punkt 6.1.</w:t>
      </w:r>
    </w:p>
    <w:p w14:paraId="37FFCE14" w14:textId="77777777" w:rsidR="00812D16" w:rsidRPr="00D90165" w:rsidRDefault="00812D16" w:rsidP="00855719">
      <w:pPr>
        <w:spacing w:line="240" w:lineRule="auto"/>
        <w:rPr>
          <w:noProof/>
          <w:szCs w:val="22"/>
        </w:rPr>
      </w:pPr>
    </w:p>
    <w:p w14:paraId="6B91B180" w14:textId="77777777" w:rsidR="00812D16" w:rsidRPr="00D90165" w:rsidRDefault="00812D16" w:rsidP="00855719">
      <w:pPr>
        <w:spacing w:line="240" w:lineRule="auto"/>
        <w:rPr>
          <w:noProof/>
          <w:szCs w:val="22"/>
        </w:rPr>
      </w:pPr>
    </w:p>
    <w:p w14:paraId="4F536C57" w14:textId="77777777" w:rsidR="00812D16" w:rsidRPr="00D90165" w:rsidRDefault="009C4EC4" w:rsidP="0056402B">
      <w:pPr>
        <w:keepNext/>
        <w:suppressAutoHyphens/>
        <w:spacing w:line="240" w:lineRule="auto"/>
        <w:ind w:left="567" w:hanging="567"/>
        <w:rPr>
          <w:caps/>
          <w:noProof/>
          <w:szCs w:val="22"/>
        </w:rPr>
      </w:pPr>
      <w:r w:rsidRPr="00D90165">
        <w:rPr>
          <w:rStyle w:val="DNEx2"/>
        </w:rPr>
        <w:t>3.</w:t>
      </w:r>
      <w:r w:rsidRPr="00D90165">
        <w:rPr>
          <w:rStyle w:val="DNEx2"/>
        </w:rPr>
        <w:tab/>
      </w:r>
      <w:r w:rsidRPr="00D90165">
        <w:rPr>
          <w:b/>
        </w:rPr>
        <w:t>POSTAĆ FARMACEUTYCZNA</w:t>
      </w:r>
    </w:p>
    <w:p w14:paraId="4E7034B9" w14:textId="77777777" w:rsidR="00812D16" w:rsidRPr="00D90165" w:rsidRDefault="00812D16" w:rsidP="0056402B">
      <w:pPr>
        <w:keepNext/>
        <w:spacing w:line="240" w:lineRule="auto"/>
        <w:rPr>
          <w:noProof/>
          <w:szCs w:val="22"/>
        </w:rPr>
      </w:pPr>
    </w:p>
    <w:p w14:paraId="41A3855C" w14:textId="77777777" w:rsidR="008D323D" w:rsidRPr="00D90165" w:rsidRDefault="009C4EC4" w:rsidP="00855719">
      <w:pPr>
        <w:spacing w:line="240" w:lineRule="auto"/>
        <w:rPr>
          <w:noProof/>
          <w:szCs w:val="22"/>
        </w:rPr>
      </w:pPr>
      <w:r w:rsidRPr="00D90165">
        <w:t>Zawiesina doustna</w:t>
      </w:r>
    </w:p>
    <w:p w14:paraId="393FE055" w14:textId="77777777" w:rsidR="00685AA3" w:rsidRPr="00D90165" w:rsidRDefault="00685AA3" w:rsidP="00855719">
      <w:pPr>
        <w:spacing w:line="240" w:lineRule="auto"/>
        <w:rPr>
          <w:szCs w:val="24"/>
        </w:rPr>
      </w:pPr>
    </w:p>
    <w:p w14:paraId="628DE269" w14:textId="77777777" w:rsidR="00050825" w:rsidRPr="00D90165" w:rsidRDefault="009C4EC4" w:rsidP="00855719">
      <w:pPr>
        <w:spacing w:line="240" w:lineRule="auto"/>
        <w:rPr>
          <w:szCs w:val="24"/>
        </w:rPr>
      </w:pPr>
      <w:r w:rsidRPr="00D90165">
        <w:t>Zawiesina barwy białej lub białawej.</w:t>
      </w:r>
    </w:p>
    <w:p w14:paraId="7833C58F" w14:textId="77777777" w:rsidR="00812D16" w:rsidRPr="00D90165" w:rsidRDefault="00812D16" w:rsidP="00855719">
      <w:pPr>
        <w:spacing w:line="240" w:lineRule="auto"/>
      </w:pPr>
    </w:p>
    <w:p w14:paraId="752F02F8" w14:textId="77777777" w:rsidR="00EA3526" w:rsidRPr="00D90165" w:rsidRDefault="00EA3526" w:rsidP="00855719">
      <w:pPr>
        <w:spacing w:line="240" w:lineRule="auto"/>
      </w:pPr>
    </w:p>
    <w:p w14:paraId="2791E665" w14:textId="77777777" w:rsidR="00812D16" w:rsidRPr="00D90165" w:rsidRDefault="009C4EC4" w:rsidP="0056402B">
      <w:pPr>
        <w:keepNext/>
        <w:suppressAutoHyphens/>
        <w:spacing w:line="240" w:lineRule="auto"/>
        <w:ind w:left="567" w:hanging="567"/>
        <w:rPr>
          <w:caps/>
          <w:noProof/>
          <w:szCs w:val="22"/>
        </w:rPr>
      </w:pPr>
      <w:r w:rsidRPr="00D90165">
        <w:rPr>
          <w:rStyle w:val="DNEx2"/>
        </w:rPr>
        <w:t>4.</w:t>
      </w:r>
      <w:r w:rsidRPr="00D90165">
        <w:rPr>
          <w:rStyle w:val="DNEx2"/>
        </w:rPr>
        <w:tab/>
      </w:r>
      <w:r w:rsidRPr="00D90165">
        <w:rPr>
          <w:b/>
        </w:rPr>
        <w:t>SZCZEGÓŁOWE DANE KLINICZNE</w:t>
      </w:r>
    </w:p>
    <w:p w14:paraId="234085BD" w14:textId="77777777" w:rsidR="00812D16" w:rsidRPr="00D90165" w:rsidRDefault="00812D16" w:rsidP="0056402B">
      <w:pPr>
        <w:keepNext/>
        <w:spacing w:line="240" w:lineRule="auto"/>
        <w:rPr>
          <w:noProof/>
          <w:szCs w:val="22"/>
        </w:rPr>
      </w:pPr>
    </w:p>
    <w:p w14:paraId="7D575D5A" w14:textId="77777777" w:rsidR="00812D16" w:rsidRPr="00D90165" w:rsidRDefault="009C4EC4" w:rsidP="0056402B">
      <w:pPr>
        <w:keepNext/>
        <w:spacing w:line="240" w:lineRule="auto"/>
        <w:ind w:left="567" w:hanging="567"/>
        <w:outlineLvl w:val="0"/>
        <w:rPr>
          <w:noProof/>
          <w:szCs w:val="22"/>
        </w:rPr>
      </w:pPr>
      <w:r w:rsidRPr="00D90165">
        <w:rPr>
          <w:rStyle w:val="DNEx2"/>
        </w:rPr>
        <w:t>4.1</w:t>
      </w:r>
      <w:r w:rsidRPr="00D90165">
        <w:rPr>
          <w:rStyle w:val="DNEx2"/>
        </w:rPr>
        <w:tab/>
      </w:r>
      <w:r w:rsidRPr="00D90165">
        <w:rPr>
          <w:b/>
        </w:rPr>
        <w:t>Wskazania do stosowania</w:t>
      </w:r>
    </w:p>
    <w:p w14:paraId="1BA540A8" w14:textId="77777777" w:rsidR="00812D16" w:rsidRPr="00D90165" w:rsidRDefault="00812D16" w:rsidP="0056402B">
      <w:pPr>
        <w:keepNext/>
        <w:spacing w:line="240" w:lineRule="auto"/>
        <w:rPr>
          <w:noProof/>
          <w:szCs w:val="22"/>
        </w:rPr>
      </w:pPr>
    </w:p>
    <w:p w14:paraId="2DAE235B" w14:textId="77777777" w:rsidR="008D323D" w:rsidRPr="00D90165" w:rsidRDefault="009C4EC4" w:rsidP="00855719">
      <w:r w:rsidRPr="00D90165">
        <w:t xml:space="preserve">Produkt leczniczy AGAMREE jest wskazany do stosowania w leczeniu dystrofii mięśniowej Duchenne'a (ang. </w:t>
      </w:r>
      <w:r w:rsidRPr="00D90165">
        <w:rPr>
          <w:i/>
          <w:iCs/>
        </w:rPr>
        <w:t>Duchenne muscular dystrophy</w:t>
      </w:r>
      <w:r w:rsidRPr="00D90165">
        <w:t>, DMD) u pacjentów w wieku 4 lat i starszych.</w:t>
      </w:r>
    </w:p>
    <w:p w14:paraId="0C8F27FD" w14:textId="77777777" w:rsidR="006317FE" w:rsidRPr="00D90165" w:rsidRDefault="006317FE" w:rsidP="00855719">
      <w:pPr>
        <w:spacing w:line="240" w:lineRule="auto"/>
      </w:pPr>
    </w:p>
    <w:p w14:paraId="6AFDC4C9" w14:textId="77777777" w:rsidR="00812D16" w:rsidRPr="00D90165" w:rsidRDefault="009C4EC4" w:rsidP="0056402B">
      <w:pPr>
        <w:keepNext/>
        <w:spacing w:line="240" w:lineRule="auto"/>
        <w:outlineLvl w:val="0"/>
        <w:rPr>
          <w:b/>
          <w:noProof/>
          <w:szCs w:val="22"/>
        </w:rPr>
      </w:pPr>
      <w:r w:rsidRPr="00D90165">
        <w:rPr>
          <w:rStyle w:val="DNEx2"/>
        </w:rPr>
        <w:t>4.2</w:t>
      </w:r>
      <w:r w:rsidRPr="00D90165">
        <w:rPr>
          <w:rStyle w:val="DNEx2"/>
        </w:rPr>
        <w:tab/>
      </w:r>
      <w:r w:rsidRPr="00D90165">
        <w:rPr>
          <w:b/>
        </w:rPr>
        <w:t>Dawkowanie i sposób podawania</w:t>
      </w:r>
    </w:p>
    <w:p w14:paraId="247355D9" w14:textId="77777777" w:rsidR="00812D16" w:rsidRPr="00D90165" w:rsidRDefault="00812D16" w:rsidP="0056402B">
      <w:pPr>
        <w:keepNext/>
        <w:spacing w:line="240" w:lineRule="auto"/>
        <w:rPr>
          <w:szCs w:val="22"/>
        </w:rPr>
      </w:pPr>
    </w:p>
    <w:p w14:paraId="77B11F00" w14:textId="77777777" w:rsidR="00F21209" w:rsidRPr="00D90165" w:rsidRDefault="009C4EC4" w:rsidP="005873FB">
      <w:pPr>
        <w:tabs>
          <w:tab w:val="clear" w:pos="567"/>
        </w:tabs>
        <w:autoSpaceDE w:val="0"/>
        <w:autoSpaceDN w:val="0"/>
        <w:adjustRightInd w:val="0"/>
        <w:spacing w:line="240" w:lineRule="auto"/>
        <w:rPr>
          <w:rFonts w:eastAsia="SimSun"/>
          <w:szCs w:val="22"/>
        </w:rPr>
      </w:pPr>
      <w:r w:rsidRPr="00D90165">
        <w:t>Leczenie produktem leczniczym AGAMREE powinien rozpoczynać wyłącznie lekarz specjalista mający doświadczenie w</w:t>
      </w:r>
      <w:r w:rsidR="005873FB">
        <w:t xml:space="preserve"> </w:t>
      </w:r>
      <w:r w:rsidRPr="00D90165">
        <w:t>leczeniu dystrofii mięśniowej Duchenne'a.</w:t>
      </w:r>
    </w:p>
    <w:p w14:paraId="60FF338A" w14:textId="77777777" w:rsidR="00F21209" w:rsidRPr="00D90165" w:rsidRDefault="00F21209" w:rsidP="00855719">
      <w:pPr>
        <w:spacing w:line="240" w:lineRule="auto"/>
        <w:rPr>
          <w:szCs w:val="22"/>
          <w:u w:val="single"/>
        </w:rPr>
      </w:pPr>
    </w:p>
    <w:p w14:paraId="39692EBE" w14:textId="77777777" w:rsidR="00812D16" w:rsidRPr="00D90165" w:rsidRDefault="009C4EC4" w:rsidP="0056402B">
      <w:pPr>
        <w:keepNext/>
        <w:spacing w:line="240" w:lineRule="auto"/>
        <w:rPr>
          <w:u w:val="single"/>
        </w:rPr>
      </w:pPr>
      <w:r w:rsidRPr="00D90165">
        <w:rPr>
          <w:u w:val="single"/>
        </w:rPr>
        <w:t>Dawkowanie</w:t>
      </w:r>
    </w:p>
    <w:p w14:paraId="1333014C" w14:textId="77777777" w:rsidR="199B6F10" w:rsidRPr="00D90165" w:rsidRDefault="199B6F10" w:rsidP="0056402B">
      <w:pPr>
        <w:keepNext/>
        <w:spacing w:line="240" w:lineRule="auto"/>
        <w:rPr>
          <w:u w:val="single"/>
        </w:rPr>
      </w:pPr>
    </w:p>
    <w:p w14:paraId="26C58505" w14:textId="77777777" w:rsidR="008D323D" w:rsidRPr="00D90165" w:rsidRDefault="009C4EC4" w:rsidP="00855719">
      <w:pPr>
        <w:spacing w:line="240" w:lineRule="auto"/>
      </w:pPr>
      <w:r w:rsidRPr="00D90165">
        <w:t xml:space="preserve">Zalecana dawka wamorolonu wynosi 6 mg/kg </w:t>
      </w:r>
      <w:r w:rsidR="005873FB">
        <w:t xml:space="preserve">mc. </w:t>
      </w:r>
      <w:r w:rsidRPr="00D90165">
        <w:t>raz na dobę u pacjentów o masie ciała poniżej 40 kg.</w:t>
      </w:r>
    </w:p>
    <w:p w14:paraId="028CE471" w14:textId="77777777" w:rsidR="008D323D" w:rsidRPr="00D90165" w:rsidRDefault="008D323D" w:rsidP="00855719">
      <w:pPr>
        <w:spacing w:line="240" w:lineRule="auto"/>
      </w:pPr>
    </w:p>
    <w:p w14:paraId="72246B6F" w14:textId="77777777" w:rsidR="008D323D" w:rsidRPr="00D90165" w:rsidRDefault="009C4EC4" w:rsidP="00855719">
      <w:pPr>
        <w:spacing w:line="240" w:lineRule="auto"/>
      </w:pPr>
      <w:r w:rsidRPr="00D90165">
        <w:t>U pacjentów o masie ciała powyżej 40 kg zalecana dawka wamorolonu wynosi 240 mg (co odpowiada 6 ml) raz na dobę.</w:t>
      </w:r>
    </w:p>
    <w:p w14:paraId="7A3A7DDB" w14:textId="77777777" w:rsidR="008D323D" w:rsidRPr="00D90165" w:rsidRDefault="008D323D" w:rsidP="00855719">
      <w:pPr>
        <w:spacing w:line="240" w:lineRule="auto"/>
        <w:rPr>
          <w:szCs w:val="22"/>
        </w:rPr>
      </w:pPr>
    </w:p>
    <w:p w14:paraId="30FB2722" w14:textId="77777777" w:rsidR="008D323D" w:rsidRPr="00D90165" w:rsidRDefault="009C4EC4" w:rsidP="00855719">
      <w:pPr>
        <w:spacing w:line="240" w:lineRule="auto"/>
      </w:pPr>
      <w:r w:rsidRPr="00D90165">
        <w:t>Dawkę dobową można zmniejszyć do 4 mg/kg</w:t>
      </w:r>
      <w:r w:rsidR="005873FB">
        <w:t xml:space="preserve"> mc.</w:t>
      </w:r>
      <w:r w:rsidRPr="00D90165">
        <w:t>/dobę lub 2 mg/kg</w:t>
      </w:r>
      <w:r w:rsidR="005873FB">
        <w:t xml:space="preserve"> mc.</w:t>
      </w:r>
      <w:r w:rsidRPr="00D90165">
        <w:t xml:space="preserve">/dobę w zależności od indywidualnej tolerancji </w:t>
      </w:r>
      <w:r w:rsidR="005873FB">
        <w:t>produktu</w:t>
      </w:r>
      <w:r w:rsidRPr="00D90165">
        <w:t>. Pacjenci powinni być leczeni najwyższą tolerowaną dawką w zakresie dawek.</w:t>
      </w:r>
    </w:p>
    <w:p w14:paraId="2E18FE79" w14:textId="182F7E51" w:rsidR="2574D19C" w:rsidRPr="00D90165" w:rsidRDefault="009C4EC4" w:rsidP="0056402B">
      <w:pPr>
        <w:pStyle w:val="Caption"/>
      </w:pPr>
      <w:r w:rsidRPr="00D90165">
        <w:lastRenderedPageBreak/>
        <w:t>Tabela </w:t>
      </w:r>
      <w:fldSimple w:instr=" SEQ Table \* ARABIC ">
        <w:r w:rsidR="00A037D1">
          <w:rPr>
            <w:noProof/>
          </w:rPr>
          <w:t>1</w:t>
        </w:r>
      </w:fldSimple>
      <w:r w:rsidRPr="00D90165">
        <w:t>:</w:t>
      </w:r>
      <w:r w:rsidRPr="00D90165">
        <w:rPr>
          <w:rStyle w:val="DNEx2"/>
        </w:rPr>
        <w:tab/>
      </w:r>
      <w:r w:rsidRPr="00D90165">
        <w:t>Tabela dawkowania</w:t>
      </w:r>
    </w:p>
    <w:tbl>
      <w:tblPr>
        <w:tblW w:w="0" w:type="auto"/>
        <w:tblLook w:val="06A0" w:firstRow="1" w:lastRow="0" w:firstColumn="1" w:lastColumn="0" w:noHBand="1" w:noVBand="1"/>
      </w:tblPr>
      <w:tblGrid>
        <w:gridCol w:w="1293"/>
        <w:gridCol w:w="1293"/>
        <w:gridCol w:w="1293"/>
        <w:gridCol w:w="1293"/>
        <w:gridCol w:w="1293"/>
        <w:gridCol w:w="1293"/>
        <w:gridCol w:w="1293"/>
      </w:tblGrid>
      <w:tr w:rsidR="005A28CF" w14:paraId="5092CFCD" w14:textId="77777777" w:rsidTr="14C87AD7">
        <w:trPr>
          <w:trHeight w:val="285"/>
          <w:tblHeader/>
        </w:trPr>
        <w:tc>
          <w:tcPr>
            <w:tcW w:w="1294" w:type="dxa"/>
            <w:tcBorders>
              <w:top w:val="single" w:sz="8" w:space="0" w:color="auto"/>
              <w:left w:val="single" w:sz="8" w:space="0" w:color="auto"/>
              <w:bottom w:val="single" w:sz="4" w:space="0" w:color="auto"/>
              <w:right w:val="nil"/>
            </w:tcBorders>
            <w:tcMar>
              <w:top w:w="15" w:type="dxa"/>
              <w:left w:w="15" w:type="dxa"/>
              <w:right w:w="15" w:type="dxa"/>
            </w:tcMar>
            <w:vAlign w:val="bottom"/>
          </w:tcPr>
          <w:p w14:paraId="0FE72780" w14:textId="77777777" w:rsidR="4893E003" w:rsidRPr="00D90165" w:rsidRDefault="4893E003" w:rsidP="0056402B">
            <w:pPr>
              <w:keepNext/>
              <w:rPr>
                <w:rFonts w:eastAsia="Calibri"/>
                <w:b/>
                <w:bCs/>
                <w:color w:val="000000" w:themeColor="text1"/>
                <w:sz w:val="20"/>
              </w:rPr>
            </w:pPr>
          </w:p>
        </w:tc>
        <w:tc>
          <w:tcPr>
            <w:tcW w:w="2588" w:type="dxa"/>
            <w:gridSpan w:val="2"/>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31E30E2D" w14:textId="77777777" w:rsidR="4893E003" w:rsidRPr="00D90165" w:rsidRDefault="009C4EC4" w:rsidP="0056402B">
            <w:pPr>
              <w:keepNext/>
              <w:jc w:val="center"/>
              <w:rPr>
                <w:rFonts w:eastAsia="Calibri"/>
                <w:b/>
                <w:bCs/>
                <w:color w:val="000000" w:themeColor="text1"/>
                <w:sz w:val="20"/>
              </w:rPr>
            </w:pPr>
            <w:r w:rsidRPr="00D90165">
              <w:rPr>
                <w:b/>
                <w:color w:val="000000" w:themeColor="text1"/>
                <w:sz w:val="20"/>
              </w:rPr>
              <w:t>6 mg/kg</w:t>
            </w:r>
            <w:r w:rsidR="005873FB">
              <w:rPr>
                <w:b/>
                <w:color w:val="000000" w:themeColor="text1"/>
                <w:sz w:val="20"/>
              </w:rPr>
              <w:t xml:space="preserve"> mc.</w:t>
            </w:r>
            <w:r w:rsidRPr="00D90165">
              <w:rPr>
                <w:b/>
                <w:color w:val="000000" w:themeColor="text1"/>
                <w:sz w:val="20"/>
              </w:rPr>
              <w:t>/dobę</w:t>
            </w:r>
          </w:p>
        </w:tc>
        <w:tc>
          <w:tcPr>
            <w:tcW w:w="2588" w:type="dxa"/>
            <w:gridSpan w:val="2"/>
            <w:tcBorders>
              <w:top w:val="single" w:sz="8" w:space="0" w:color="auto"/>
              <w:left w:val="nil"/>
              <w:bottom w:val="single" w:sz="4" w:space="0" w:color="auto"/>
              <w:right w:val="single" w:sz="4" w:space="0" w:color="auto"/>
            </w:tcBorders>
            <w:tcMar>
              <w:top w:w="15" w:type="dxa"/>
              <w:left w:w="15" w:type="dxa"/>
              <w:right w:w="15" w:type="dxa"/>
            </w:tcMar>
            <w:vAlign w:val="bottom"/>
          </w:tcPr>
          <w:p w14:paraId="6EA3A26C" w14:textId="77777777" w:rsidR="4893E003" w:rsidRPr="00D90165" w:rsidRDefault="009C4EC4" w:rsidP="0056402B">
            <w:pPr>
              <w:keepNext/>
              <w:jc w:val="center"/>
              <w:rPr>
                <w:rFonts w:eastAsia="Calibri"/>
                <w:b/>
                <w:bCs/>
                <w:color w:val="000000" w:themeColor="text1"/>
                <w:sz w:val="20"/>
              </w:rPr>
            </w:pPr>
            <w:r w:rsidRPr="00D90165">
              <w:rPr>
                <w:b/>
                <w:color w:val="000000" w:themeColor="text1"/>
                <w:sz w:val="20"/>
              </w:rPr>
              <w:t>4 mg/kg</w:t>
            </w:r>
            <w:r w:rsidR="005873FB">
              <w:rPr>
                <w:b/>
                <w:color w:val="000000" w:themeColor="text1"/>
                <w:sz w:val="20"/>
              </w:rPr>
              <w:t xml:space="preserve"> mc.</w:t>
            </w:r>
            <w:r w:rsidRPr="00D90165">
              <w:rPr>
                <w:b/>
                <w:color w:val="000000" w:themeColor="text1"/>
                <w:sz w:val="20"/>
              </w:rPr>
              <w:t>/dobę</w:t>
            </w:r>
          </w:p>
        </w:tc>
        <w:tc>
          <w:tcPr>
            <w:tcW w:w="2588" w:type="dxa"/>
            <w:gridSpan w:val="2"/>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169AED6B" w14:textId="77777777" w:rsidR="4893E003" w:rsidRPr="00D90165" w:rsidRDefault="009C4EC4" w:rsidP="0056402B">
            <w:pPr>
              <w:keepNext/>
              <w:jc w:val="center"/>
              <w:rPr>
                <w:rFonts w:eastAsia="Calibri"/>
                <w:b/>
                <w:bCs/>
                <w:color w:val="000000" w:themeColor="text1"/>
                <w:sz w:val="20"/>
              </w:rPr>
            </w:pPr>
            <w:r w:rsidRPr="00D90165">
              <w:rPr>
                <w:b/>
                <w:color w:val="000000" w:themeColor="text1"/>
                <w:sz w:val="20"/>
              </w:rPr>
              <w:t>2 mg/kg</w:t>
            </w:r>
            <w:r w:rsidR="005873FB">
              <w:rPr>
                <w:b/>
                <w:color w:val="000000" w:themeColor="text1"/>
                <w:sz w:val="20"/>
              </w:rPr>
              <w:t xml:space="preserve"> mc.</w:t>
            </w:r>
            <w:r w:rsidRPr="00D90165">
              <w:rPr>
                <w:b/>
                <w:color w:val="000000" w:themeColor="text1"/>
                <w:sz w:val="20"/>
              </w:rPr>
              <w:t>/dobę</w:t>
            </w:r>
          </w:p>
        </w:tc>
      </w:tr>
      <w:tr w:rsidR="005A28CF" w14:paraId="667F7C3A" w14:textId="77777777" w:rsidTr="14C87AD7">
        <w:trPr>
          <w:trHeight w:val="585"/>
          <w:tblHeader/>
        </w:trPr>
        <w:tc>
          <w:tcPr>
            <w:tcW w:w="1294" w:type="dxa"/>
            <w:tcBorders>
              <w:top w:val="single" w:sz="4" w:space="0" w:color="auto"/>
              <w:left w:val="single" w:sz="8" w:space="0" w:color="auto"/>
              <w:bottom w:val="single" w:sz="8" w:space="0" w:color="auto"/>
              <w:right w:val="nil"/>
            </w:tcBorders>
            <w:tcMar>
              <w:top w:w="15" w:type="dxa"/>
              <w:left w:w="15" w:type="dxa"/>
              <w:right w:w="15" w:type="dxa"/>
            </w:tcMar>
            <w:vAlign w:val="center"/>
          </w:tcPr>
          <w:p w14:paraId="2B3AD293" w14:textId="77777777" w:rsidR="4893E003" w:rsidRPr="00D90165" w:rsidRDefault="009C4EC4" w:rsidP="0056402B">
            <w:pPr>
              <w:keepNext/>
              <w:jc w:val="center"/>
              <w:rPr>
                <w:rFonts w:eastAsia="Calibri"/>
                <w:b/>
                <w:bCs/>
                <w:color w:val="000000" w:themeColor="text1"/>
                <w:sz w:val="20"/>
              </w:rPr>
            </w:pPr>
            <w:r w:rsidRPr="00D90165">
              <w:rPr>
                <w:b/>
                <w:color w:val="000000" w:themeColor="text1"/>
                <w:sz w:val="20"/>
              </w:rPr>
              <w:t>Masa ciała (kg)</w:t>
            </w:r>
          </w:p>
        </w:tc>
        <w:tc>
          <w:tcPr>
            <w:tcW w:w="1294" w:type="dxa"/>
            <w:tcBorders>
              <w:top w:val="single" w:sz="4" w:space="0" w:color="auto"/>
              <w:left w:val="single" w:sz="8" w:space="0" w:color="auto"/>
              <w:bottom w:val="single" w:sz="8" w:space="0" w:color="auto"/>
              <w:right w:val="single" w:sz="4" w:space="0" w:color="000000" w:themeColor="text1"/>
            </w:tcBorders>
            <w:tcMar>
              <w:top w:w="15" w:type="dxa"/>
              <w:left w:w="15" w:type="dxa"/>
              <w:right w:w="15" w:type="dxa"/>
            </w:tcMar>
            <w:vAlign w:val="center"/>
          </w:tcPr>
          <w:p w14:paraId="0AAD28D9" w14:textId="77777777" w:rsidR="4893E003" w:rsidRPr="00D90165" w:rsidRDefault="009C4EC4" w:rsidP="0056402B">
            <w:pPr>
              <w:keepNext/>
              <w:jc w:val="center"/>
              <w:rPr>
                <w:rFonts w:eastAsia="Calibri"/>
                <w:b/>
                <w:bCs/>
                <w:color w:val="000000" w:themeColor="text1"/>
                <w:sz w:val="20"/>
              </w:rPr>
            </w:pPr>
            <w:r w:rsidRPr="00D90165">
              <w:rPr>
                <w:b/>
                <w:color w:val="000000" w:themeColor="text1"/>
                <w:sz w:val="20"/>
              </w:rPr>
              <w:t>Dawka w mg</w:t>
            </w:r>
          </w:p>
        </w:tc>
        <w:tc>
          <w:tcPr>
            <w:tcW w:w="1294" w:type="dxa"/>
            <w:tcBorders>
              <w:top w:val="nil"/>
              <w:left w:val="single" w:sz="4" w:space="0" w:color="auto"/>
              <w:bottom w:val="single" w:sz="8" w:space="0" w:color="auto"/>
              <w:right w:val="single" w:sz="8" w:space="0" w:color="000000" w:themeColor="text1"/>
            </w:tcBorders>
            <w:tcMar>
              <w:top w:w="15" w:type="dxa"/>
              <w:left w:w="15" w:type="dxa"/>
              <w:right w:w="15" w:type="dxa"/>
            </w:tcMar>
            <w:vAlign w:val="center"/>
          </w:tcPr>
          <w:p w14:paraId="3004BF56" w14:textId="77777777" w:rsidR="4893E003" w:rsidRPr="00D90165" w:rsidRDefault="009C4EC4" w:rsidP="0056402B">
            <w:pPr>
              <w:keepNext/>
              <w:jc w:val="center"/>
              <w:rPr>
                <w:rFonts w:eastAsia="Calibri"/>
                <w:b/>
                <w:bCs/>
                <w:color w:val="000000" w:themeColor="text1"/>
                <w:sz w:val="20"/>
              </w:rPr>
            </w:pPr>
            <w:r w:rsidRPr="00D90165">
              <w:rPr>
                <w:b/>
                <w:color w:val="000000" w:themeColor="text1"/>
                <w:sz w:val="20"/>
              </w:rPr>
              <w:t>Dawka w ml</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14:paraId="412D0A0D" w14:textId="77777777" w:rsidR="4893E003" w:rsidRPr="00D90165" w:rsidRDefault="009C4EC4" w:rsidP="0056402B">
            <w:pPr>
              <w:keepNext/>
              <w:jc w:val="center"/>
              <w:rPr>
                <w:rFonts w:eastAsia="Calibri"/>
                <w:b/>
                <w:bCs/>
                <w:color w:val="000000" w:themeColor="text1"/>
                <w:sz w:val="20"/>
              </w:rPr>
            </w:pPr>
            <w:r w:rsidRPr="00D90165">
              <w:rPr>
                <w:b/>
                <w:color w:val="000000" w:themeColor="text1"/>
                <w:sz w:val="20"/>
              </w:rPr>
              <w:t>Dawka w mg</w:t>
            </w:r>
          </w:p>
        </w:tc>
        <w:tc>
          <w:tcPr>
            <w:tcW w:w="1294" w:type="dxa"/>
            <w:tcBorders>
              <w:top w:val="nil"/>
              <w:left w:val="single" w:sz="4" w:space="0" w:color="auto"/>
              <w:bottom w:val="single" w:sz="8" w:space="0" w:color="auto"/>
              <w:right w:val="nil"/>
            </w:tcBorders>
            <w:tcMar>
              <w:top w:w="15" w:type="dxa"/>
              <w:left w:w="15" w:type="dxa"/>
              <w:right w:w="15" w:type="dxa"/>
            </w:tcMar>
            <w:vAlign w:val="center"/>
          </w:tcPr>
          <w:p w14:paraId="77E77D52" w14:textId="77777777" w:rsidR="4893E003" w:rsidRPr="00D90165" w:rsidRDefault="009C4EC4" w:rsidP="0056402B">
            <w:pPr>
              <w:keepNext/>
              <w:jc w:val="center"/>
              <w:rPr>
                <w:rFonts w:eastAsia="Calibri"/>
                <w:b/>
                <w:bCs/>
                <w:color w:val="000000" w:themeColor="text1"/>
                <w:sz w:val="20"/>
              </w:rPr>
            </w:pPr>
            <w:r w:rsidRPr="00D90165">
              <w:rPr>
                <w:b/>
                <w:color w:val="000000" w:themeColor="text1"/>
                <w:sz w:val="20"/>
              </w:rPr>
              <w:t>Dawka w ml</w:t>
            </w:r>
          </w:p>
        </w:tc>
        <w:tc>
          <w:tcPr>
            <w:tcW w:w="1294" w:type="dxa"/>
            <w:tcBorders>
              <w:top w:val="single" w:sz="4" w:space="0" w:color="auto"/>
              <w:left w:val="single" w:sz="8" w:space="0" w:color="auto"/>
              <w:bottom w:val="single" w:sz="8" w:space="0" w:color="auto"/>
              <w:right w:val="single" w:sz="4" w:space="0" w:color="000000" w:themeColor="text1"/>
            </w:tcBorders>
            <w:tcMar>
              <w:top w:w="15" w:type="dxa"/>
              <w:left w:w="15" w:type="dxa"/>
              <w:right w:w="15" w:type="dxa"/>
            </w:tcMar>
            <w:vAlign w:val="center"/>
          </w:tcPr>
          <w:p w14:paraId="06BFA283" w14:textId="77777777" w:rsidR="4893E003" w:rsidRPr="00D90165" w:rsidRDefault="009C4EC4" w:rsidP="0056402B">
            <w:pPr>
              <w:keepNext/>
              <w:jc w:val="center"/>
              <w:rPr>
                <w:rFonts w:eastAsia="Calibri"/>
                <w:b/>
                <w:bCs/>
                <w:color w:val="000000" w:themeColor="text1"/>
                <w:sz w:val="20"/>
              </w:rPr>
            </w:pPr>
            <w:r w:rsidRPr="00D90165">
              <w:rPr>
                <w:b/>
                <w:color w:val="000000" w:themeColor="text1"/>
                <w:sz w:val="20"/>
              </w:rPr>
              <w:t>Dawka w mg</w:t>
            </w:r>
          </w:p>
        </w:tc>
        <w:tc>
          <w:tcPr>
            <w:tcW w:w="1294" w:type="dxa"/>
            <w:tcBorders>
              <w:top w:val="nil"/>
              <w:left w:val="single" w:sz="4" w:space="0" w:color="auto"/>
              <w:bottom w:val="single" w:sz="8" w:space="0" w:color="auto"/>
              <w:right w:val="single" w:sz="8" w:space="0" w:color="000000" w:themeColor="text1"/>
            </w:tcBorders>
            <w:tcMar>
              <w:top w:w="15" w:type="dxa"/>
              <w:left w:w="15" w:type="dxa"/>
              <w:right w:w="15" w:type="dxa"/>
            </w:tcMar>
            <w:vAlign w:val="center"/>
          </w:tcPr>
          <w:p w14:paraId="00CA287A" w14:textId="77777777" w:rsidR="4893E003" w:rsidRPr="00D90165" w:rsidRDefault="009C4EC4" w:rsidP="0056402B">
            <w:pPr>
              <w:keepNext/>
              <w:jc w:val="center"/>
              <w:rPr>
                <w:rFonts w:eastAsia="Calibri"/>
                <w:b/>
                <w:bCs/>
                <w:color w:val="000000" w:themeColor="text1"/>
                <w:sz w:val="20"/>
              </w:rPr>
            </w:pPr>
            <w:r w:rsidRPr="00D90165">
              <w:rPr>
                <w:b/>
                <w:color w:val="000000" w:themeColor="text1"/>
                <w:sz w:val="20"/>
              </w:rPr>
              <w:t>Dawka w ml</w:t>
            </w:r>
          </w:p>
        </w:tc>
      </w:tr>
      <w:tr w:rsidR="005A28CF" w14:paraId="741CF5C5" w14:textId="77777777" w:rsidTr="14C87AD7">
        <w:trPr>
          <w:trHeight w:val="285"/>
        </w:trPr>
        <w:tc>
          <w:tcPr>
            <w:tcW w:w="1294"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43CDA7D8"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12-13</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43ACE88E" w14:textId="77777777" w:rsidR="4893E003" w:rsidRPr="00D90165" w:rsidRDefault="009C4EC4" w:rsidP="00855719">
            <w:pPr>
              <w:jc w:val="center"/>
              <w:rPr>
                <w:rFonts w:eastAsia="Calibri"/>
                <w:color w:val="000000" w:themeColor="text1"/>
                <w:sz w:val="20"/>
              </w:rPr>
            </w:pPr>
            <w:r w:rsidRPr="00D90165">
              <w:rPr>
                <w:color w:val="000000" w:themeColor="text1"/>
                <w:sz w:val="20"/>
              </w:rPr>
              <w:t>72</w:t>
            </w:r>
          </w:p>
        </w:tc>
        <w:tc>
          <w:tcPr>
            <w:tcW w:w="1294" w:type="dxa"/>
            <w:tcBorders>
              <w:top w:val="single" w:sz="8" w:space="0" w:color="auto"/>
              <w:left w:val="single" w:sz="4" w:space="0" w:color="auto"/>
              <w:bottom w:val="single" w:sz="4" w:space="0" w:color="auto"/>
              <w:right w:val="nil"/>
            </w:tcBorders>
            <w:tcMar>
              <w:top w:w="15" w:type="dxa"/>
              <w:left w:w="15" w:type="dxa"/>
              <w:right w:w="15" w:type="dxa"/>
            </w:tcMar>
            <w:vAlign w:val="bottom"/>
          </w:tcPr>
          <w:p w14:paraId="5B625651" w14:textId="77777777" w:rsidR="4893E003" w:rsidRPr="00D90165" w:rsidRDefault="009C4EC4" w:rsidP="00855719">
            <w:pPr>
              <w:jc w:val="center"/>
              <w:rPr>
                <w:rFonts w:eastAsia="Calibri"/>
                <w:color w:val="000000" w:themeColor="text1"/>
                <w:sz w:val="20"/>
              </w:rPr>
            </w:pPr>
            <w:r w:rsidRPr="00D90165">
              <w:rPr>
                <w:color w:val="000000" w:themeColor="text1"/>
                <w:sz w:val="20"/>
              </w:rPr>
              <w:t>1,8</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66964D3F" w14:textId="77777777" w:rsidR="4893E003" w:rsidRPr="00D90165" w:rsidRDefault="009C4EC4" w:rsidP="00855719">
            <w:pPr>
              <w:jc w:val="center"/>
              <w:rPr>
                <w:rFonts w:eastAsia="Calibri"/>
                <w:color w:val="000000" w:themeColor="text1"/>
                <w:sz w:val="20"/>
              </w:rPr>
            </w:pPr>
            <w:r w:rsidRPr="00D90165">
              <w:rPr>
                <w:color w:val="000000" w:themeColor="text1"/>
                <w:sz w:val="20"/>
              </w:rPr>
              <w:t>48</w:t>
            </w:r>
          </w:p>
        </w:tc>
        <w:tc>
          <w:tcPr>
            <w:tcW w:w="129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2F1E5257" w14:textId="77777777" w:rsidR="4893E003" w:rsidRPr="00D90165" w:rsidRDefault="009C4EC4" w:rsidP="00855719">
            <w:pPr>
              <w:jc w:val="center"/>
              <w:rPr>
                <w:rFonts w:eastAsia="Calibri"/>
                <w:color w:val="000000" w:themeColor="text1"/>
                <w:sz w:val="20"/>
              </w:rPr>
            </w:pPr>
            <w:r w:rsidRPr="00D90165">
              <w:rPr>
                <w:color w:val="000000" w:themeColor="text1"/>
                <w:sz w:val="20"/>
              </w:rPr>
              <w:t>1,2</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39498F06" w14:textId="77777777" w:rsidR="4893E003" w:rsidRPr="00D90165" w:rsidRDefault="009C4EC4" w:rsidP="00855719">
            <w:pPr>
              <w:jc w:val="center"/>
              <w:rPr>
                <w:rFonts w:eastAsia="Calibri"/>
                <w:color w:val="000000" w:themeColor="text1"/>
                <w:sz w:val="20"/>
              </w:rPr>
            </w:pPr>
            <w:r w:rsidRPr="00D90165">
              <w:rPr>
                <w:color w:val="000000" w:themeColor="text1"/>
                <w:sz w:val="20"/>
              </w:rPr>
              <w:t>24</w:t>
            </w:r>
          </w:p>
        </w:tc>
        <w:tc>
          <w:tcPr>
            <w:tcW w:w="129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5600B497" w14:textId="77777777" w:rsidR="4893E003" w:rsidRPr="00D90165" w:rsidRDefault="009C4EC4" w:rsidP="00855719">
            <w:pPr>
              <w:jc w:val="center"/>
              <w:rPr>
                <w:rFonts w:eastAsia="Calibri"/>
                <w:color w:val="000000" w:themeColor="text1"/>
                <w:sz w:val="20"/>
              </w:rPr>
            </w:pPr>
            <w:r w:rsidRPr="00D90165">
              <w:rPr>
                <w:color w:val="000000" w:themeColor="text1"/>
                <w:sz w:val="20"/>
              </w:rPr>
              <w:t>0,6</w:t>
            </w:r>
          </w:p>
        </w:tc>
      </w:tr>
      <w:tr w:rsidR="005A28CF" w14:paraId="0FE8FC6A"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60D7C82"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14-15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E6E371C" w14:textId="77777777" w:rsidR="4893E003" w:rsidRPr="00D90165" w:rsidRDefault="009C4EC4" w:rsidP="00855719">
            <w:pPr>
              <w:jc w:val="center"/>
              <w:rPr>
                <w:rFonts w:eastAsia="Calibri"/>
                <w:color w:val="000000" w:themeColor="text1"/>
                <w:sz w:val="20"/>
              </w:rPr>
            </w:pPr>
            <w:r w:rsidRPr="00D90165">
              <w:rPr>
                <w:color w:val="000000" w:themeColor="text1"/>
                <w:sz w:val="20"/>
              </w:rPr>
              <w:t>84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0544E346" w14:textId="77777777" w:rsidR="4893E003" w:rsidRPr="00D90165" w:rsidRDefault="009C4EC4" w:rsidP="00855719">
            <w:pPr>
              <w:jc w:val="center"/>
              <w:rPr>
                <w:rFonts w:eastAsia="Calibri"/>
                <w:color w:val="000000" w:themeColor="text1"/>
                <w:sz w:val="20"/>
              </w:rPr>
            </w:pPr>
            <w:r w:rsidRPr="00D90165">
              <w:rPr>
                <w:color w:val="000000" w:themeColor="text1"/>
                <w:sz w:val="20"/>
              </w:rPr>
              <w:t>2,1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ECFAD73" w14:textId="77777777" w:rsidR="4893E003" w:rsidRPr="00D90165" w:rsidRDefault="009C4EC4" w:rsidP="00855719">
            <w:pPr>
              <w:jc w:val="center"/>
              <w:rPr>
                <w:rFonts w:eastAsia="Calibri"/>
                <w:color w:val="000000" w:themeColor="text1"/>
                <w:sz w:val="20"/>
              </w:rPr>
            </w:pPr>
            <w:r w:rsidRPr="00D90165">
              <w:rPr>
                <w:color w:val="000000" w:themeColor="text1"/>
                <w:sz w:val="20"/>
              </w:rPr>
              <w:t>56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03DF762" w14:textId="77777777" w:rsidR="4893E003" w:rsidRPr="00D90165" w:rsidRDefault="009C4EC4" w:rsidP="00855719">
            <w:pPr>
              <w:jc w:val="center"/>
              <w:rPr>
                <w:rFonts w:eastAsia="Calibri"/>
                <w:color w:val="000000" w:themeColor="text1"/>
                <w:sz w:val="20"/>
              </w:rPr>
            </w:pPr>
            <w:r w:rsidRPr="00D90165">
              <w:rPr>
                <w:color w:val="000000" w:themeColor="text1"/>
                <w:sz w:val="20"/>
              </w:rPr>
              <w:t>1,4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44845F1" w14:textId="77777777" w:rsidR="4893E003" w:rsidRPr="00D90165" w:rsidRDefault="009C4EC4" w:rsidP="00855719">
            <w:pPr>
              <w:jc w:val="center"/>
              <w:rPr>
                <w:rFonts w:eastAsia="Calibri"/>
                <w:color w:val="000000" w:themeColor="text1"/>
                <w:sz w:val="20"/>
              </w:rPr>
            </w:pPr>
            <w:r w:rsidRPr="00D90165">
              <w:rPr>
                <w:color w:val="000000" w:themeColor="text1"/>
                <w:sz w:val="20"/>
              </w:rPr>
              <w:t>28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3AFF224" w14:textId="77777777" w:rsidR="4893E003" w:rsidRPr="00D90165" w:rsidRDefault="009C4EC4" w:rsidP="00855719">
            <w:pPr>
              <w:jc w:val="center"/>
              <w:rPr>
                <w:rFonts w:eastAsia="Calibri"/>
                <w:color w:val="000000" w:themeColor="text1"/>
                <w:sz w:val="20"/>
              </w:rPr>
            </w:pPr>
            <w:r w:rsidRPr="00D90165">
              <w:rPr>
                <w:color w:val="000000" w:themeColor="text1"/>
                <w:sz w:val="20"/>
              </w:rPr>
              <w:t>0,7</w:t>
            </w:r>
          </w:p>
        </w:tc>
      </w:tr>
      <w:tr w:rsidR="005A28CF" w14:paraId="19BFD737"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8281DDC"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16-17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60E7955" w14:textId="77777777" w:rsidR="4893E003" w:rsidRPr="00D90165" w:rsidRDefault="009C4EC4" w:rsidP="00855719">
            <w:pPr>
              <w:jc w:val="center"/>
              <w:rPr>
                <w:rFonts w:eastAsia="Calibri"/>
                <w:color w:val="000000" w:themeColor="text1"/>
                <w:sz w:val="20"/>
              </w:rPr>
            </w:pPr>
            <w:r w:rsidRPr="00D90165">
              <w:rPr>
                <w:color w:val="000000" w:themeColor="text1"/>
                <w:sz w:val="20"/>
              </w:rPr>
              <w:t>96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45187D2" w14:textId="77777777" w:rsidR="4893E003" w:rsidRPr="00D90165" w:rsidRDefault="009C4EC4" w:rsidP="00855719">
            <w:pPr>
              <w:jc w:val="center"/>
              <w:rPr>
                <w:rFonts w:eastAsia="Calibri"/>
                <w:color w:val="000000" w:themeColor="text1"/>
                <w:sz w:val="20"/>
              </w:rPr>
            </w:pPr>
            <w:r w:rsidRPr="00D90165">
              <w:rPr>
                <w:color w:val="000000" w:themeColor="text1"/>
                <w:sz w:val="20"/>
              </w:rPr>
              <w:t>2,4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6D46A3E" w14:textId="77777777" w:rsidR="4893E003" w:rsidRPr="00D90165" w:rsidRDefault="009C4EC4" w:rsidP="00855719">
            <w:pPr>
              <w:jc w:val="center"/>
              <w:rPr>
                <w:rFonts w:eastAsia="Calibri"/>
                <w:color w:val="000000" w:themeColor="text1"/>
                <w:sz w:val="20"/>
              </w:rPr>
            </w:pPr>
            <w:r w:rsidRPr="00D90165">
              <w:rPr>
                <w:color w:val="000000" w:themeColor="text1"/>
                <w:sz w:val="20"/>
              </w:rPr>
              <w:t>64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DFC9607" w14:textId="77777777" w:rsidR="4893E003" w:rsidRPr="00D90165" w:rsidRDefault="009C4EC4" w:rsidP="00855719">
            <w:pPr>
              <w:jc w:val="center"/>
              <w:rPr>
                <w:rFonts w:eastAsia="Calibri"/>
                <w:color w:val="000000" w:themeColor="text1"/>
                <w:sz w:val="20"/>
              </w:rPr>
            </w:pPr>
            <w:r w:rsidRPr="00D90165">
              <w:rPr>
                <w:color w:val="000000" w:themeColor="text1"/>
                <w:sz w:val="20"/>
              </w:rPr>
              <w:t>1,6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E146BA7" w14:textId="77777777" w:rsidR="4893E003" w:rsidRPr="00D90165" w:rsidRDefault="009C4EC4" w:rsidP="00855719">
            <w:pPr>
              <w:jc w:val="center"/>
              <w:rPr>
                <w:rFonts w:eastAsia="Calibri"/>
                <w:color w:val="000000" w:themeColor="text1"/>
                <w:sz w:val="20"/>
              </w:rPr>
            </w:pPr>
            <w:r w:rsidRPr="00D90165">
              <w:rPr>
                <w:color w:val="000000" w:themeColor="text1"/>
                <w:sz w:val="20"/>
              </w:rPr>
              <w:t>32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072A8BB" w14:textId="77777777" w:rsidR="4893E003" w:rsidRPr="00D90165" w:rsidRDefault="009C4EC4" w:rsidP="00855719">
            <w:pPr>
              <w:jc w:val="center"/>
              <w:rPr>
                <w:rFonts w:eastAsia="Calibri"/>
                <w:color w:val="000000" w:themeColor="text1"/>
                <w:sz w:val="20"/>
              </w:rPr>
            </w:pPr>
            <w:r w:rsidRPr="00D90165">
              <w:rPr>
                <w:color w:val="000000" w:themeColor="text1"/>
                <w:sz w:val="20"/>
              </w:rPr>
              <w:t>0,8</w:t>
            </w:r>
          </w:p>
        </w:tc>
      </w:tr>
      <w:tr w:rsidR="005A28CF" w14:paraId="10EE36A1"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FB0252E"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18-19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38F4B7F" w14:textId="77777777" w:rsidR="4893E003" w:rsidRPr="00D90165" w:rsidRDefault="009C4EC4" w:rsidP="00855719">
            <w:pPr>
              <w:jc w:val="center"/>
              <w:rPr>
                <w:rFonts w:eastAsia="Calibri"/>
                <w:color w:val="000000" w:themeColor="text1"/>
                <w:sz w:val="20"/>
              </w:rPr>
            </w:pPr>
            <w:r w:rsidRPr="00D90165">
              <w:rPr>
                <w:color w:val="000000" w:themeColor="text1"/>
                <w:sz w:val="20"/>
              </w:rPr>
              <w:t>108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B5035A8" w14:textId="77777777" w:rsidR="4893E003" w:rsidRPr="00D90165" w:rsidRDefault="009C4EC4" w:rsidP="00855719">
            <w:pPr>
              <w:jc w:val="center"/>
              <w:rPr>
                <w:rFonts w:eastAsia="Calibri"/>
                <w:color w:val="000000" w:themeColor="text1"/>
                <w:sz w:val="20"/>
              </w:rPr>
            </w:pPr>
            <w:r w:rsidRPr="00D90165">
              <w:rPr>
                <w:color w:val="000000" w:themeColor="text1"/>
                <w:sz w:val="20"/>
              </w:rPr>
              <w:t>2,7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F2744CD" w14:textId="77777777" w:rsidR="4893E003" w:rsidRPr="00D90165" w:rsidRDefault="009C4EC4" w:rsidP="00855719">
            <w:pPr>
              <w:jc w:val="center"/>
              <w:rPr>
                <w:rFonts w:eastAsia="Calibri"/>
                <w:color w:val="000000" w:themeColor="text1"/>
                <w:sz w:val="20"/>
              </w:rPr>
            </w:pPr>
            <w:r w:rsidRPr="00D90165">
              <w:rPr>
                <w:color w:val="000000" w:themeColor="text1"/>
                <w:sz w:val="20"/>
              </w:rPr>
              <w:t>72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0872CFC" w14:textId="77777777" w:rsidR="4893E003" w:rsidRPr="00D90165" w:rsidRDefault="009C4EC4" w:rsidP="00855719">
            <w:pPr>
              <w:jc w:val="center"/>
              <w:rPr>
                <w:rFonts w:eastAsia="Calibri"/>
                <w:color w:val="000000" w:themeColor="text1"/>
                <w:sz w:val="20"/>
              </w:rPr>
            </w:pPr>
            <w:r w:rsidRPr="00D90165">
              <w:rPr>
                <w:color w:val="000000" w:themeColor="text1"/>
                <w:sz w:val="20"/>
              </w:rPr>
              <w:t>1,8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CD5A873" w14:textId="77777777" w:rsidR="4893E003" w:rsidRPr="00D90165" w:rsidRDefault="009C4EC4" w:rsidP="00855719">
            <w:pPr>
              <w:jc w:val="center"/>
              <w:rPr>
                <w:rFonts w:eastAsia="Calibri"/>
                <w:color w:val="000000" w:themeColor="text1"/>
                <w:sz w:val="20"/>
              </w:rPr>
            </w:pPr>
            <w:r w:rsidRPr="00D90165">
              <w:rPr>
                <w:color w:val="000000" w:themeColor="text1"/>
                <w:sz w:val="20"/>
              </w:rPr>
              <w:t>36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BAC02A4" w14:textId="77777777" w:rsidR="4893E003" w:rsidRPr="00D90165" w:rsidRDefault="009C4EC4" w:rsidP="00855719">
            <w:pPr>
              <w:jc w:val="center"/>
              <w:rPr>
                <w:rFonts w:eastAsia="Calibri"/>
                <w:color w:val="000000" w:themeColor="text1"/>
                <w:sz w:val="20"/>
              </w:rPr>
            </w:pPr>
            <w:r w:rsidRPr="00D90165">
              <w:rPr>
                <w:color w:val="000000" w:themeColor="text1"/>
                <w:sz w:val="20"/>
              </w:rPr>
              <w:t>0,9</w:t>
            </w:r>
          </w:p>
        </w:tc>
      </w:tr>
      <w:tr w:rsidR="005A28CF" w14:paraId="16106987"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DB28B71"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20-21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59C366E" w14:textId="77777777" w:rsidR="4893E003" w:rsidRPr="00D90165" w:rsidRDefault="009C4EC4" w:rsidP="00855719">
            <w:pPr>
              <w:jc w:val="center"/>
              <w:rPr>
                <w:rFonts w:eastAsia="Calibri"/>
                <w:color w:val="000000" w:themeColor="text1"/>
                <w:sz w:val="20"/>
              </w:rPr>
            </w:pPr>
            <w:r w:rsidRPr="00D90165">
              <w:rPr>
                <w:color w:val="000000" w:themeColor="text1"/>
                <w:sz w:val="20"/>
              </w:rPr>
              <w:t>120</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4E105A2" w14:textId="77777777" w:rsidR="4893E003" w:rsidRPr="00D90165" w:rsidRDefault="009C4EC4" w:rsidP="00855719">
            <w:pPr>
              <w:jc w:val="center"/>
              <w:rPr>
                <w:rFonts w:eastAsia="Calibri"/>
                <w:color w:val="000000" w:themeColor="text1"/>
                <w:sz w:val="20"/>
              </w:rPr>
            </w:pPr>
            <w:r w:rsidRPr="00D90165">
              <w:rPr>
                <w:color w:val="000000" w:themeColor="text1"/>
                <w:sz w:val="20"/>
              </w:rPr>
              <w:t>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7A1F25E" w14:textId="77777777" w:rsidR="4893E003" w:rsidRPr="00D90165" w:rsidRDefault="009C4EC4" w:rsidP="00855719">
            <w:pPr>
              <w:jc w:val="center"/>
              <w:rPr>
                <w:rFonts w:eastAsia="Calibri"/>
                <w:color w:val="000000" w:themeColor="text1"/>
                <w:sz w:val="20"/>
              </w:rPr>
            </w:pPr>
            <w:r w:rsidRPr="00D90165">
              <w:rPr>
                <w:color w:val="000000" w:themeColor="text1"/>
                <w:sz w:val="20"/>
              </w:rPr>
              <w:t>80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ADBC3CF" w14:textId="77777777" w:rsidR="4893E003" w:rsidRPr="00D90165" w:rsidRDefault="009C4EC4" w:rsidP="00855719">
            <w:pPr>
              <w:jc w:val="center"/>
              <w:rPr>
                <w:rFonts w:eastAsia="Calibri"/>
                <w:color w:val="000000" w:themeColor="text1"/>
                <w:sz w:val="20"/>
              </w:rPr>
            </w:pPr>
            <w:r w:rsidRPr="00D90165">
              <w:rPr>
                <w:color w:val="000000" w:themeColor="text1"/>
                <w:sz w:val="20"/>
              </w:rPr>
              <w:t>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BF3B6DD" w14:textId="77777777" w:rsidR="4893E003" w:rsidRPr="00D90165" w:rsidRDefault="009C4EC4" w:rsidP="00855719">
            <w:pPr>
              <w:jc w:val="center"/>
              <w:rPr>
                <w:rFonts w:eastAsia="Calibri"/>
                <w:color w:val="000000" w:themeColor="text1"/>
                <w:sz w:val="20"/>
              </w:rPr>
            </w:pPr>
            <w:r w:rsidRPr="00D90165">
              <w:rPr>
                <w:color w:val="000000" w:themeColor="text1"/>
                <w:sz w:val="20"/>
              </w:rPr>
              <w:t>40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FBB0DE3" w14:textId="77777777" w:rsidR="4893E003" w:rsidRPr="00D90165" w:rsidRDefault="009C4EC4" w:rsidP="00855719">
            <w:pPr>
              <w:jc w:val="center"/>
              <w:rPr>
                <w:rFonts w:eastAsia="Calibri"/>
                <w:color w:val="000000" w:themeColor="text1"/>
                <w:sz w:val="20"/>
              </w:rPr>
            </w:pPr>
            <w:r w:rsidRPr="00D90165">
              <w:rPr>
                <w:color w:val="000000" w:themeColor="text1"/>
                <w:sz w:val="20"/>
              </w:rPr>
              <w:t>1</w:t>
            </w:r>
          </w:p>
        </w:tc>
      </w:tr>
      <w:tr w:rsidR="005A28CF" w14:paraId="34894602"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EAD0C07"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22-23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FB333EC" w14:textId="77777777" w:rsidR="4893E003" w:rsidRPr="00D90165" w:rsidRDefault="009C4EC4" w:rsidP="00855719">
            <w:pPr>
              <w:jc w:val="center"/>
              <w:rPr>
                <w:rFonts w:eastAsia="Calibri"/>
                <w:color w:val="000000" w:themeColor="text1"/>
                <w:sz w:val="20"/>
              </w:rPr>
            </w:pPr>
            <w:r w:rsidRPr="00D90165">
              <w:rPr>
                <w:color w:val="000000" w:themeColor="text1"/>
                <w:sz w:val="20"/>
              </w:rPr>
              <w:t>132</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8DBB43C" w14:textId="77777777" w:rsidR="4893E003" w:rsidRPr="00D90165" w:rsidRDefault="009C4EC4" w:rsidP="00855719">
            <w:pPr>
              <w:jc w:val="center"/>
              <w:rPr>
                <w:rFonts w:eastAsia="Calibri"/>
                <w:color w:val="000000" w:themeColor="text1"/>
                <w:sz w:val="20"/>
              </w:rPr>
            </w:pPr>
            <w:r w:rsidRPr="00D90165">
              <w:rPr>
                <w:color w:val="000000" w:themeColor="text1"/>
                <w:sz w:val="20"/>
              </w:rPr>
              <w:t>3,3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F9E30EB" w14:textId="77777777" w:rsidR="4893E003" w:rsidRPr="00D90165" w:rsidRDefault="009C4EC4" w:rsidP="00855719">
            <w:pPr>
              <w:jc w:val="center"/>
              <w:rPr>
                <w:rFonts w:eastAsia="Calibri"/>
                <w:color w:val="000000" w:themeColor="text1"/>
                <w:sz w:val="20"/>
              </w:rPr>
            </w:pPr>
            <w:r w:rsidRPr="00D90165">
              <w:rPr>
                <w:color w:val="000000" w:themeColor="text1"/>
                <w:sz w:val="20"/>
              </w:rPr>
              <w:t>88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2C7A061" w14:textId="77777777" w:rsidR="4893E003" w:rsidRPr="00D90165" w:rsidRDefault="009C4EC4" w:rsidP="00855719">
            <w:pPr>
              <w:jc w:val="center"/>
              <w:rPr>
                <w:rFonts w:eastAsia="Calibri"/>
                <w:color w:val="000000" w:themeColor="text1"/>
                <w:sz w:val="20"/>
              </w:rPr>
            </w:pPr>
            <w:r w:rsidRPr="00D90165">
              <w:rPr>
                <w:color w:val="000000" w:themeColor="text1"/>
                <w:sz w:val="20"/>
              </w:rPr>
              <w:t>2,2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F60907D" w14:textId="77777777" w:rsidR="4893E003" w:rsidRPr="00D90165" w:rsidRDefault="009C4EC4" w:rsidP="00855719">
            <w:pPr>
              <w:jc w:val="center"/>
              <w:rPr>
                <w:rFonts w:eastAsia="Calibri"/>
                <w:color w:val="000000" w:themeColor="text1"/>
                <w:sz w:val="20"/>
              </w:rPr>
            </w:pPr>
            <w:r w:rsidRPr="00D90165">
              <w:rPr>
                <w:color w:val="000000" w:themeColor="text1"/>
                <w:sz w:val="20"/>
              </w:rPr>
              <w:t>44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693F0CA" w14:textId="77777777" w:rsidR="4893E003" w:rsidRPr="00D90165" w:rsidRDefault="009C4EC4" w:rsidP="00855719">
            <w:pPr>
              <w:jc w:val="center"/>
              <w:rPr>
                <w:rFonts w:eastAsia="Calibri"/>
                <w:color w:val="000000" w:themeColor="text1"/>
                <w:sz w:val="20"/>
              </w:rPr>
            </w:pPr>
            <w:r w:rsidRPr="00D90165">
              <w:rPr>
                <w:color w:val="000000" w:themeColor="text1"/>
                <w:sz w:val="20"/>
              </w:rPr>
              <w:t>1,1</w:t>
            </w:r>
          </w:p>
        </w:tc>
      </w:tr>
      <w:tr w:rsidR="005A28CF" w14:paraId="7EB2B007"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14F7F4A"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24-25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1D2F514" w14:textId="77777777" w:rsidR="4893E003" w:rsidRPr="00D90165" w:rsidRDefault="009C4EC4" w:rsidP="00855719">
            <w:pPr>
              <w:jc w:val="center"/>
              <w:rPr>
                <w:rFonts w:eastAsia="Calibri"/>
                <w:color w:val="000000" w:themeColor="text1"/>
                <w:sz w:val="20"/>
              </w:rPr>
            </w:pPr>
            <w:r w:rsidRPr="00D90165">
              <w:rPr>
                <w:color w:val="000000" w:themeColor="text1"/>
                <w:sz w:val="20"/>
              </w:rPr>
              <w:t>144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0510C6C7" w14:textId="77777777" w:rsidR="4893E003" w:rsidRPr="00D90165" w:rsidRDefault="009C4EC4" w:rsidP="00855719">
            <w:pPr>
              <w:jc w:val="center"/>
              <w:rPr>
                <w:rFonts w:eastAsia="Calibri"/>
                <w:color w:val="000000" w:themeColor="text1"/>
                <w:sz w:val="20"/>
              </w:rPr>
            </w:pPr>
            <w:r w:rsidRPr="00D90165">
              <w:rPr>
                <w:color w:val="000000" w:themeColor="text1"/>
                <w:sz w:val="20"/>
              </w:rPr>
              <w:t>3,6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FA670D8" w14:textId="77777777" w:rsidR="4893E003" w:rsidRPr="00D90165" w:rsidRDefault="009C4EC4" w:rsidP="00855719">
            <w:pPr>
              <w:jc w:val="center"/>
              <w:rPr>
                <w:rFonts w:eastAsia="Calibri"/>
                <w:color w:val="000000" w:themeColor="text1"/>
                <w:sz w:val="20"/>
              </w:rPr>
            </w:pPr>
            <w:r w:rsidRPr="00D90165">
              <w:rPr>
                <w:color w:val="000000" w:themeColor="text1"/>
                <w:sz w:val="20"/>
              </w:rPr>
              <w:t>96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F440348" w14:textId="77777777" w:rsidR="4893E003" w:rsidRPr="00D90165" w:rsidRDefault="009C4EC4" w:rsidP="00855719">
            <w:pPr>
              <w:jc w:val="center"/>
              <w:rPr>
                <w:rFonts w:eastAsia="Calibri"/>
                <w:color w:val="000000" w:themeColor="text1"/>
                <w:sz w:val="20"/>
              </w:rPr>
            </w:pPr>
            <w:r w:rsidRPr="00D90165">
              <w:rPr>
                <w:color w:val="000000" w:themeColor="text1"/>
                <w:sz w:val="20"/>
              </w:rPr>
              <w:t>2,4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F3EC1E3" w14:textId="77777777" w:rsidR="4893E003" w:rsidRPr="00D90165" w:rsidRDefault="009C4EC4" w:rsidP="00855719">
            <w:pPr>
              <w:jc w:val="center"/>
              <w:rPr>
                <w:rFonts w:eastAsia="Calibri"/>
                <w:color w:val="000000" w:themeColor="text1"/>
                <w:sz w:val="20"/>
              </w:rPr>
            </w:pPr>
            <w:r w:rsidRPr="00D90165">
              <w:rPr>
                <w:color w:val="000000" w:themeColor="text1"/>
                <w:sz w:val="20"/>
              </w:rPr>
              <w:t>48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5A10E69" w14:textId="77777777" w:rsidR="4893E003" w:rsidRPr="00D90165" w:rsidRDefault="009C4EC4" w:rsidP="00855719">
            <w:pPr>
              <w:jc w:val="center"/>
              <w:rPr>
                <w:rFonts w:eastAsia="Calibri"/>
                <w:color w:val="000000" w:themeColor="text1"/>
                <w:sz w:val="20"/>
              </w:rPr>
            </w:pPr>
            <w:r w:rsidRPr="00D90165">
              <w:rPr>
                <w:color w:val="000000" w:themeColor="text1"/>
                <w:sz w:val="20"/>
              </w:rPr>
              <w:t>1,2</w:t>
            </w:r>
          </w:p>
        </w:tc>
      </w:tr>
      <w:tr w:rsidR="005A28CF" w14:paraId="4FBA06FE"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817ED3D"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26-27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8F4F7D4" w14:textId="77777777" w:rsidR="4893E003" w:rsidRPr="00D90165" w:rsidRDefault="009C4EC4" w:rsidP="00855719">
            <w:pPr>
              <w:jc w:val="center"/>
              <w:rPr>
                <w:rFonts w:eastAsia="Calibri"/>
                <w:color w:val="000000" w:themeColor="text1"/>
                <w:sz w:val="20"/>
              </w:rPr>
            </w:pPr>
            <w:r w:rsidRPr="00D90165">
              <w:rPr>
                <w:color w:val="000000" w:themeColor="text1"/>
                <w:sz w:val="20"/>
              </w:rPr>
              <w:t>156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8D46279" w14:textId="77777777" w:rsidR="4893E003" w:rsidRPr="00D90165" w:rsidRDefault="009C4EC4" w:rsidP="00855719">
            <w:pPr>
              <w:jc w:val="center"/>
              <w:rPr>
                <w:rFonts w:eastAsia="Calibri"/>
                <w:color w:val="000000" w:themeColor="text1"/>
                <w:sz w:val="20"/>
              </w:rPr>
            </w:pPr>
            <w:r w:rsidRPr="00D90165">
              <w:rPr>
                <w:color w:val="000000" w:themeColor="text1"/>
                <w:sz w:val="20"/>
              </w:rPr>
              <w:t>3,9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6D2895B" w14:textId="77777777" w:rsidR="4893E003" w:rsidRPr="00D90165" w:rsidRDefault="009C4EC4" w:rsidP="00855719">
            <w:pPr>
              <w:jc w:val="center"/>
              <w:rPr>
                <w:rFonts w:eastAsia="Calibri"/>
                <w:color w:val="000000" w:themeColor="text1"/>
                <w:sz w:val="20"/>
              </w:rPr>
            </w:pPr>
            <w:r w:rsidRPr="00D90165">
              <w:rPr>
                <w:color w:val="000000" w:themeColor="text1"/>
                <w:sz w:val="20"/>
              </w:rPr>
              <w:t>104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5EC5A41" w14:textId="77777777" w:rsidR="4893E003" w:rsidRPr="00D90165" w:rsidRDefault="009C4EC4" w:rsidP="00855719">
            <w:pPr>
              <w:jc w:val="center"/>
              <w:rPr>
                <w:rFonts w:eastAsia="Calibri"/>
                <w:color w:val="000000" w:themeColor="text1"/>
                <w:sz w:val="20"/>
              </w:rPr>
            </w:pPr>
            <w:r w:rsidRPr="00D90165">
              <w:rPr>
                <w:color w:val="000000" w:themeColor="text1"/>
                <w:sz w:val="20"/>
              </w:rPr>
              <w:t>2,6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74F1C32" w14:textId="77777777" w:rsidR="4893E003" w:rsidRPr="00D90165" w:rsidRDefault="009C4EC4" w:rsidP="00855719">
            <w:pPr>
              <w:jc w:val="center"/>
              <w:rPr>
                <w:rFonts w:eastAsia="Calibri"/>
                <w:color w:val="000000" w:themeColor="text1"/>
                <w:sz w:val="20"/>
              </w:rPr>
            </w:pPr>
            <w:r w:rsidRPr="00D90165">
              <w:rPr>
                <w:color w:val="000000" w:themeColor="text1"/>
                <w:sz w:val="20"/>
              </w:rPr>
              <w:t>52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0F986EE" w14:textId="77777777" w:rsidR="4893E003" w:rsidRPr="00D90165" w:rsidRDefault="009C4EC4" w:rsidP="00855719">
            <w:pPr>
              <w:jc w:val="center"/>
              <w:rPr>
                <w:rFonts w:eastAsia="Calibri"/>
                <w:color w:val="000000" w:themeColor="text1"/>
                <w:sz w:val="20"/>
              </w:rPr>
            </w:pPr>
            <w:r w:rsidRPr="00D90165">
              <w:rPr>
                <w:color w:val="000000" w:themeColor="text1"/>
                <w:sz w:val="20"/>
              </w:rPr>
              <w:t>1,3</w:t>
            </w:r>
          </w:p>
        </w:tc>
      </w:tr>
      <w:tr w:rsidR="005A28CF" w14:paraId="0B2986A6"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EAB1065"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28-29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3A0CF86" w14:textId="77777777" w:rsidR="4893E003" w:rsidRPr="00D90165" w:rsidRDefault="009C4EC4" w:rsidP="00855719">
            <w:pPr>
              <w:jc w:val="center"/>
              <w:rPr>
                <w:rFonts w:eastAsia="Calibri"/>
                <w:color w:val="000000" w:themeColor="text1"/>
                <w:sz w:val="20"/>
              </w:rPr>
            </w:pPr>
            <w:r w:rsidRPr="00D90165">
              <w:rPr>
                <w:color w:val="000000" w:themeColor="text1"/>
                <w:sz w:val="20"/>
              </w:rPr>
              <w:t>168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B4649E7" w14:textId="77777777" w:rsidR="4893E003" w:rsidRPr="00D90165" w:rsidRDefault="009C4EC4" w:rsidP="00855719">
            <w:pPr>
              <w:jc w:val="center"/>
              <w:rPr>
                <w:rFonts w:eastAsia="Calibri"/>
                <w:color w:val="000000" w:themeColor="text1"/>
                <w:sz w:val="20"/>
              </w:rPr>
            </w:pPr>
            <w:r w:rsidRPr="00D90165">
              <w:rPr>
                <w:color w:val="000000" w:themeColor="text1"/>
                <w:sz w:val="20"/>
              </w:rPr>
              <w:t>4,2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28E176E" w14:textId="77777777" w:rsidR="4893E003" w:rsidRPr="00D90165" w:rsidRDefault="009C4EC4" w:rsidP="00855719">
            <w:pPr>
              <w:jc w:val="center"/>
              <w:rPr>
                <w:rFonts w:eastAsia="Calibri"/>
                <w:color w:val="000000" w:themeColor="text1"/>
                <w:sz w:val="20"/>
              </w:rPr>
            </w:pPr>
            <w:r w:rsidRPr="00D90165">
              <w:rPr>
                <w:color w:val="000000" w:themeColor="text1"/>
                <w:sz w:val="20"/>
              </w:rPr>
              <w:t>112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025C22F" w14:textId="77777777" w:rsidR="4893E003" w:rsidRPr="00D90165" w:rsidRDefault="009C4EC4" w:rsidP="00855719">
            <w:pPr>
              <w:jc w:val="center"/>
              <w:rPr>
                <w:rFonts w:eastAsia="Calibri"/>
                <w:color w:val="000000" w:themeColor="text1"/>
                <w:sz w:val="20"/>
              </w:rPr>
            </w:pPr>
            <w:r w:rsidRPr="00D90165">
              <w:rPr>
                <w:color w:val="000000" w:themeColor="text1"/>
                <w:sz w:val="20"/>
              </w:rPr>
              <w:t>2,8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3975C24" w14:textId="77777777" w:rsidR="4893E003" w:rsidRPr="00D90165" w:rsidRDefault="009C4EC4" w:rsidP="00855719">
            <w:pPr>
              <w:jc w:val="center"/>
              <w:rPr>
                <w:rFonts w:eastAsia="Calibri"/>
                <w:color w:val="000000" w:themeColor="text1"/>
                <w:sz w:val="20"/>
              </w:rPr>
            </w:pPr>
            <w:r w:rsidRPr="00D90165">
              <w:rPr>
                <w:color w:val="000000" w:themeColor="text1"/>
                <w:sz w:val="20"/>
              </w:rPr>
              <w:t>56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0B6AD77" w14:textId="77777777" w:rsidR="4893E003" w:rsidRPr="00D90165" w:rsidRDefault="009C4EC4" w:rsidP="00855719">
            <w:pPr>
              <w:jc w:val="center"/>
              <w:rPr>
                <w:rFonts w:eastAsia="Calibri"/>
                <w:color w:val="000000" w:themeColor="text1"/>
                <w:sz w:val="20"/>
              </w:rPr>
            </w:pPr>
            <w:r w:rsidRPr="00D90165">
              <w:rPr>
                <w:color w:val="000000" w:themeColor="text1"/>
                <w:sz w:val="20"/>
              </w:rPr>
              <w:t>1,4</w:t>
            </w:r>
          </w:p>
        </w:tc>
      </w:tr>
      <w:tr w:rsidR="005A28CF" w14:paraId="31F650F5"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31F4EAB"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30-31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319D115" w14:textId="77777777" w:rsidR="4893E003" w:rsidRPr="00D90165" w:rsidRDefault="009C4EC4" w:rsidP="00855719">
            <w:pPr>
              <w:jc w:val="center"/>
              <w:rPr>
                <w:rFonts w:eastAsia="Calibri"/>
                <w:color w:val="000000" w:themeColor="text1"/>
                <w:sz w:val="20"/>
              </w:rPr>
            </w:pPr>
            <w:r w:rsidRPr="00D90165">
              <w:rPr>
                <w:color w:val="000000" w:themeColor="text1"/>
                <w:sz w:val="20"/>
              </w:rPr>
              <w:t>180</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40770019" w14:textId="77777777" w:rsidR="4893E003" w:rsidRPr="00D90165" w:rsidRDefault="009C4EC4" w:rsidP="00855719">
            <w:pPr>
              <w:jc w:val="center"/>
              <w:rPr>
                <w:rFonts w:eastAsia="Calibri"/>
                <w:color w:val="000000" w:themeColor="text1"/>
                <w:sz w:val="20"/>
              </w:rPr>
            </w:pPr>
            <w:r w:rsidRPr="00D90165">
              <w:rPr>
                <w:color w:val="000000" w:themeColor="text1"/>
                <w:sz w:val="20"/>
              </w:rPr>
              <w:t>4,5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04BA775" w14:textId="77777777" w:rsidR="4893E003" w:rsidRPr="00D90165" w:rsidRDefault="009C4EC4" w:rsidP="00855719">
            <w:pPr>
              <w:jc w:val="center"/>
              <w:rPr>
                <w:rFonts w:eastAsia="Calibri"/>
                <w:color w:val="000000" w:themeColor="text1"/>
                <w:sz w:val="20"/>
              </w:rPr>
            </w:pPr>
            <w:r w:rsidRPr="00D90165">
              <w:rPr>
                <w:color w:val="000000" w:themeColor="text1"/>
                <w:sz w:val="20"/>
              </w:rPr>
              <w:t>120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1640E51" w14:textId="77777777" w:rsidR="4893E003" w:rsidRPr="00D90165" w:rsidRDefault="009C4EC4" w:rsidP="00855719">
            <w:pPr>
              <w:jc w:val="center"/>
              <w:rPr>
                <w:rFonts w:eastAsia="Calibri"/>
                <w:color w:val="000000" w:themeColor="text1"/>
                <w:sz w:val="20"/>
              </w:rPr>
            </w:pPr>
            <w:r w:rsidRPr="00D90165">
              <w:rPr>
                <w:color w:val="000000" w:themeColor="text1"/>
                <w:sz w:val="20"/>
              </w:rPr>
              <w:t>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68618F5" w14:textId="77777777" w:rsidR="4893E003" w:rsidRPr="00D90165" w:rsidRDefault="009C4EC4" w:rsidP="00855719">
            <w:pPr>
              <w:jc w:val="center"/>
              <w:rPr>
                <w:rFonts w:eastAsia="Calibri"/>
                <w:color w:val="000000" w:themeColor="text1"/>
                <w:sz w:val="20"/>
              </w:rPr>
            </w:pPr>
            <w:r w:rsidRPr="00D90165">
              <w:rPr>
                <w:color w:val="000000" w:themeColor="text1"/>
                <w:sz w:val="20"/>
              </w:rPr>
              <w:t>60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1785F8B" w14:textId="77777777" w:rsidR="4893E003" w:rsidRPr="00D90165" w:rsidRDefault="009C4EC4" w:rsidP="00855719">
            <w:pPr>
              <w:jc w:val="center"/>
              <w:rPr>
                <w:rFonts w:eastAsia="Calibri"/>
                <w:color w:val="000000" w:themeColor="text1"/>
                <w:sz w:val="20"/>
              </w:rPr>
            </w:pPr>
            <w:r w:rsidRPr="00D90165">
              <w:rPr>
                <w:color w:val="000000" w:themeColor="text1"/>
                <w:sz w:val="20"/>
              </w:rPr>
              <w:t>1,5</w:t>
            </w:r>
          </w:p>
        </w:tc>
      </w:tr>
      <w:tr w:rsidR="005A28CF" w14:paraId="1898D732"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18C8B6A"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32-33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7CD3521" w14:textId="77777777" w:rsidR="4893E003" w:rsidRPr="00D90165" w:rsidRDefault="009C4EC4" w:rsidP="00855719">
            <w:pPr>
              <w:jc w:val="center"/>
              <w:rPr>
                <w:rFonts w:eastAsia="Calibri"/>
                <w:color w:val="000000" w:themeColor="text1"/>
                <w:sz w:val="20"/>
              </w:rPr>
            </w:pPr>
            <w:r w:rsidRPr="00D90165">
              <w:rPr>
                <w:color w:val="000000" w:themeColor="text1"/>
                <w:sz w:val="20"/>
              </w:rPr>
              <w:t>192</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67C01BD" w14:textId="77777777" w:rsidR="4893E003" w:rsidRPr="00D90165" w:rsidRDefault="009C4EC4" w:rsidP="00855719">
            <w:pPr>
              <w:jc w:val="center"/>
              <w:rPr>
                <w:rFonts w:eastAsia="Calibri"/>
                <w:color w:val="000000" w:themeColor="text1"/>
                <w:sz w:val="20"/>
              </w:rPr>
            </w:pPr>
            <w:r w:rsidRPr="00D90165">
              <w:rPr>
                <w:color w:val="000000" w:themeColor="text1"/>
                <w:sz w:val="20"/>
              </w:rPr>
              <w:t>4,8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E5B85D4" w14:textId="77777777" w:rsidR="4893E003" w:rsidRPr="00D90165" w:rsidRDefault="009C4EC4" w:rsidP="00855719">
            <w:pPr>
              <w:jc w:val="center"/>
              <w:rPr>
                <w:rFonts w:eastAsia="Calibri"/>
                <w:color w:val="000000" w:themeColor="text1"/>
                <w:sz w:val="20"/>
              </w:rPr>
            </w:pPr>
            <w:r w:rsidRPr="00D90165">
              <w:rPr>
                <w:color w:val="000000" w:themeColor="text1"/>
                <w:sz w:val="20"/>
              </w:rPr>
              <w:t>128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829EB83" w14:textId="77777777" w:rsidR="4893E003" w:rsidRPr="00D90165" w:rsidRDefault="009C4EC4" w:rsidP="00855719">
            <w:pPr>
              <w:jc w:val="center"/>
              <w:rPr>
                <w:rFonts w:eastAsia="Calibri"/>
                <w:color w:val="000000" w:themeColor="text1"/>
                <w:sz w:val="20"/>
              </w:rPr>
            </w:pPr>
            <w:r w:rsidRPr="00D90165">
              <w:rPr>
                <w:color w:val="000000" w:themeColor="text1"/>
                <w:sz w:val="20"/>
              </w:rPr>
              <w:t>3,2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B3CBDBB" w14:textId="77777777" w:rsidR="4893E003" w:rsidRPr="00D90165" w:rsidRDefault="009C4EC4" w:rsidP="00855719">
            <w:pPr>
              <w:jc w:val="center"/>
              <w:rPr>
                <w:rFonts w:eastAsia="Calibri"/>
                <w:color w:val="000000" w:themeColor="text1"/>
                <w:sz w:val="20"/>
              </w:rPr>
            </w:pPr>
            <w:r w:rsidRPr="00D90165">
              <w:rPr>
                <w:color w:val="000000" w:themeColor="text1"/>
                <w:sz w:val="20"/>
              </w:rPr>
              <w:t>64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447912B" w14:textId="77777777" w:rsidR="4893E003" w:rsidRPr="00D90165" w:rsidRDefault="009C4EC4" w:rsidP="00855719">
            <w:pPr>
              <w:jc w:val="center"/>
              <w:rPr>
                <w:rFonts w:eastAsia="Calibri"/>
                <w:color w:val="000000" w:themeColor="text1"/>
                <w:sz w:val="20"/>
              </w:rPr>
            </w:pPr>
            <w:r w:rsidRPr="00D90165">
              <w:rPr>
                <w:color w:val="000000" w:themeColor="text1"/>
                <w:sz w:val="20"/>
              </w:rPr>
              <w:t>1,6</w:t>
            </w:r>
          </w:p>
        </w:tc>
      </w:tr>
      <w:tr w:rsidR="005A28CF" w14:paraId="60FE97D4"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3A8451F6"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34-35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1491812" w14:textId="77777777" w:rsidR="4893E003" w:rsidRPr="00D90165" w:rsidRDefault="009C4EC4" w:rsidP="00855719">
            <w:pPr>
              <w:jc w:val="center"/>
              <w:rPr>
                <w:rFonts w:eastAsia="Calibri"/>
                <w:color w:val="000000" w:themeColor="text1"/>
                <w:sz w:val="20"/>
              </w:rPr>
            </w:pPr>
            <w:r w:rsidRPr="00D90165">
              <w:rPr>
                <w:color w:val="000000" w:themeColor="text1"/>
                <w:sz w:val="20"/>
              </w:rPr>
              <w:t>204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C2D2BE0" w14:textId="77777777" w:rsidR="4893E003" w:rsidRPr="00D90165" w:rsidRDefault="009C4EC4" w:rsidP="00855719">
            <w:pPr>
              <w:jc w:val="center"/>
              <w:rPr>
                <w:rFonts w:eastAsia="Calibri"/>
                <w:color w:val="000000" w:themeColor="text1"/>
                <w:sz w:val="20"/>
              </w:rPr>
            </w:pPr>
            <w:r w:rsidRPr="00D90165">
              <w:rPr>
                <w:color w:val="000000" w:themeColor="text1"/>
                <w:sz w:val="20"/>
              </w:rPr>
              <w:t>5,1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BF91934" w14:textId="77777777" w:rsidR="4893E003" w:rsidRPr="00D90165" w:rsidRDefault="009C4EC4" w:rsidP="00855719">
            <w:pPr>
              <w:jc w:val="center"/>
              <w:rPr>
                <w:rFonts w:eastAsia="Calibri"/>
                <w:color w:val="000000" w:themeColor="text1"/>
                <w:sz w:val="20"/>
              </w:rPr>
            </w:pPr>
            <w:r w:rsidRPr="00D90165">
              <w:rPr>
                <w:color w:val="000000" w:themeColor="text1"/>
                <w:sz w:val="20"/>
              </w:rPr>
              <w:t>136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E48A367" w14:textId="77777777" w:rsidR="4893E003" w:rsidRPr="00D90165" w:rsidRDefault="009C4EC4" w:rsidP="00855719">
            <w:pPr>
              <w:jc w:val="center"/>
              <w:rPr>
                <w:rFonts w:eastAsia="Calibri"/>
                <w:color w:val="000000" w:themeColor="text1"/>
                <w:sz w:val="20"/>
              </w:rPr>
            </w:pPr>
            <w:r w:rsidRPr="00D90165">
              <w:rPr>
                <w:color w:val="000000" w:themeColor="text1"/>
                <w:sz w:val="20"/>
              </w:rPr>
              <w:t>3,4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3B17326" w14:textId="77777777" w:rsidR="4893E003" w:rsidRPr="00D90165" w:rsidRDefault="009C4EC4" w:rsidP="00855719">
            <w:pPr>
              <w:jc w:val="center"/>
              <w:rPr>
                <w:rFonts w:eastAsia="Calibri"/>
                <w:color w:val="000000" w:themeColor="text1"/>
                <w:sz w:val="20"/>
              </w:rPr>
            </w:pPr>
            <w:r w:rsidRPr="00D90165">
              <w:rPr>
                <w:color w:val="000000" w:themeColor="text1"/>
                <w:sz w:val="20"/>
              </w:rPr>
              <w:t>68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99B2C48" w14:textId="77777777" w:rsidR="4893E003" w:rsidRPr="00D90165" w:rsidRDefault="009C4EC4" w:rsidP="00855719">
            <w:pPr>
              <w:jc w:val="center"/>
              <w:rPr>
                <w:rFonts w:eastAsia="Calibri"/>
                <w:color w:val="000000" w:themeColor="text1"/>
                <w:sz w:val="20"/>
              </w:rPr>
            </w:pPr>
            <w:r w:rsidRPr="00D90165">
              <w:rPr>
                <w:color w:val="000000" w:themeColor="text1"/>
                <w:sz w:val="20"/>
              </w:rPr>
              <w:t>1,7</w:t>
            </w:r>
          </w:p>
        </w:tc>
      </w:tr>
      <w:tr w:rsidR="005A28CF" w14:paraId="6645B3E8"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2137968"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36-37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0255901" w14:textId="77777777" w:rsidR="4893E003" w:rsidRPr="00D90165" w:rsidRDefault="009C4EC4" w:rsidP="00855719">
            <w:pPr>
              <w:jc w:val="center"/>
              <w:rPr>
                <w:rFonts w:eastAsia="Calibri"/>
                <w:color w:val="000000" w:themeColor="text1"/>
                <w:sz w:val="20"/>
              </w:rPr>
            </w:pPr>
            <w:r w:rsidRPr="00D90165">
              <w:rPr>
                <w:color w:val="000000" w:themeColor="text1"/>
                <w:sz w:val="20"/>
              </w:rPr>
              <w:t>216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3D46D7B" w14:textId="77777777" w:rsidR="4893E003" w:rsidRPr="00D90165" w:rsidRDefault="009C4EC4" w:rsidP="00855719">
            <w:pPr>
              <w:jc w:val="center"/>
              <w:rPr>
                <w:rFonts w:eastAsia="Calibri"/>
                <w:color w:val="000000" w:themeColor="text1"/>
                <w:sz w:val="20"/>
              </w:rPr>
            </w:pPr>
            <w:r w:rsidRPr="00D90165">
              <w:rPr>
                <w:color w:val="000000" w:themeColor="text1"/>
                <w:sz w:val="20"/>
              </w:rPr>
              <w:t>5,4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778D3A9" w14:textId="77777777" w:rsidR="4893E003" w:rsidRPr="00D90165" w:rsidRDefault="009C4EC4" w:rsidP="00855719">
            <w:pPr>
              <w:jc w:val="center"/>
              <w:rPr>
                <w:rFonts w:eastAsia="Calibri"/>
                <w:color w:val="000000" w:themeColor="text1"/>
                <w:sz w:val="20"/>
              </w:rPr>
            </w:pPr>
            <w:r w:rsidRPr="00D90165">
              <w:rPr>
                <w:color w:val="000000" w:themeColor="text1"/>
                <w:sz w:val="20"/>
              </w:rPr>
              <w:t>144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15CDB47" w14:textId="77777777" w:rsidR="4893E003" w:rsidRPr="00D90165" w:rsidRDefault="009C4EC4" w:rsidP="00855719">
            <w:pPr>
              <w:jc w:val="center"/>
              <w:rPr>
                <w:rFonts w:eastAsia="Calibri"/>
                <w:color w:val="000000" w:themeColor="text1"/>
                <w:sz w:val="20"/>
              </w:rPr>
            </w:pPr>
            <w:r w:rsidRPr="00D90165">
              <w:rPr>
                <w:color w:val="000000" w:themeColor="text1"/>
                <w:sz w:val="20"/>
              </w:rPr>
              <w:t>3,6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255074F" w14:textId="77777777" w:rsidR="4893E003" w:rsidRPr="00D90165" w:rsidRDefault="009C4EC4" w:rsidP="00855719">
            <w:pPr>
              <w:jc w:val="center"/>
              <w:rPr>
                <w:rFonts w:eastAsia="Calibri"/>
                <w:color w:val="000000" w:themeColor="text1"/>
                <w:sz w:val="20"/>
              </w:rPr>
            </w:pPr>
            <w:r w:rsidRPr="00D90165">
              <w:rPr>
                <w:color w:val="000000" w:themeColor="text1"/>
                <w:sz w:val="20"/>
              </w:rPr>
              <w:t>72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3065DB5" w14:textId="77777777" w:rsidR="4893E003" w:rsidRPr="00D90165" w:rsidRDefault="009C4EC4" w:rsidP="00855719">
            <w:pPr>
              <w:jc w:val="center"/>
              <w:rPr>
                <w:rFonts w:eastAsia="Calibri"/>
                <w:color w:val="000000" w:themeColor="text1"/>
                <w:sz w:val="20"/>
              </w:rPr>
            </w:pPr>
            <w:r w:rsidRPr="00D90165">
              <w:rPr>
                <w:color w:val="000000" w:themeColor="text1"/>
                <w:sz w:val="20"/>
              </w:rPr>
              <w:t>1,8</w:t>
            </w:r>
          </w:p>
        </w:tc>
      </w:tr>
      <w:tr w:rsidR="005A28CF" w14:paraId="605F496C"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B13AC3E"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38-39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CC37BA5" w14:textId="77777777" w:rsidR="4893E003" w:rsidRPr="00D90165" w:rsidRDefault="009C4EC4" w:rsidP="00855719">
            <w:pPr>
              <w:jc w:val="center"/>
              <w:rPr>
                <w:rFonts w:eastAsia="Calibri"/>
                <w:color w:val="000000" w:themeColor="text1"/>
                <w:sz w:val="20"/>
              </w:rPr>
            </w:pPr>
            <w:r w:rsidRPr="00D90165">
              <w:rPr>
                <w:color w:val="000000" w:themeColor="text1"/>
                <w:sz w:val="20"/>
              </w:rPr>
              <w:t>228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526B60D3" w14:textId="77777777" w:rsidR="4893E003" w:rsidRPr="00D90165" w:rsidRDefault="009C4EC4" w:rsidP="00855719">
            <w:pPr>
              <w:jc w:val="center"/>
              <w:rPr>
                <w:rFonts w:eastAsia="Calibri"/>
                <w:color w:val="000000" w:themeColor="text1"/>
                <w:sz w:val="20"/>
              </w:rPr>
            </w:pPr>
            <w:r w:rsidRPr="00D90165">
              <w:rPr>
                <w:color w:val="000000" w:themeColor="text1"/>
                <w:sz w:val="20"/>
              </w:rPr>
              <w:t>5,7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C6E7077" w14:textId="77777777" w:rsidR="4893E003" w:rsidRPr="00D90165" w:rsidRDefault="009C4EC4" w:rsidP="00855719">
            <w:pPr>
              <w:jc w:val="center"/>
              <w:rPr>
                <w:rFonts w:eastAsia="Calibri"/>
                <w:color w:val="000000" w:themeColor="text1"/>
                <w:sz w:val="20"/>
              </w:rPr>
            </w:pPr>
            <w:r w:rsidRPr="00D90165">
              <w:rPr>
                <w:color w:val="000000" w:themeColor="text1"/>
                <w:sz w:val="20"/>
              </w:rPr>
              <w:t>152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3DD8210" w14:textId="77777777" w:rsidR="4893E003" w:rsidRPr="00D90165" w:rsidRDefault="009C4EC4" w:rsidP="00855719">
            <w:pPr>
              <w:jc w:val="center"/>
              <w:rPr>
                <w:rFonts w:eastAsia="Calibri"/>
                <w:color w:val="000000" w:themeColor="text1"/>
                <w:sz w:val="20"/>
              </w:rPr>
            </w:pPr>
            <w:r w:rsidRPr="00D90165">
              <w:rPr>
                <w:color w:val="000000" w:themeColor="text1"/>
                <w:sz w:val="20"/>
              </w:rPr>
              <w:t>3,8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3D36AF7" w14:textId="77777777" w:rsidR="4893E003" w:rsidRPr="00D90165" w:rsidRDefault="009C4EC4" w:rsidP="00855719">
            <w:pPr>
              <w:jc w:val="center"/>
              <w:rPr>
                <w:rFonts w:eastAsia="Calibri"/>
                <w:color w:val="000000" w:themeColor="text1"/>
                <w:sz w:val="20"/>
              </w:rPr>
            </w:pPr>
            <w:r w:rsidRPr="00D90165">
              <w:rPr>
                <w:color w:val="000000" w:themeColor="text1"/>
                <w:sz w:val="20"/>
              </w:rPr>
              <w:t>76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0BB66AF" w14:textId="77777777" w:rsidR="4893E003" w:rsidRPr="00D90165" w:rsidRDefault="009C4EC4" w:rsidP="00855719">
            <w:pPr>
              <w:jc w:val="center"/>
              <w:rPr>
                <w:rFonts w:eastAsia="Calibri"/>
                <w:color w:val="000000" w:themeColor="text1"/>
                <w:sz w:val="20"/>
              </w:rPr>
            </w:pPr>
            <w:r w:rsidRPr="00D90165">
              <w:rPr>
                <w:color w:val="000000" w:themeColor="text1"/>
                <w:sz w:val="20"/>
              </w:rPr>
              <w:t>1,9</w:t>
            </w:r>
          </w:p>
        </w:tc>
      </w:tr>
      <w:tr w:rsidR="005A28CF" w14:paraId="5EC13D0D" w14:textId="77777777" w:rsidTr="14C87AD7">
        <w:trPr>
          <w:trHeight w:val="300"/>
        </w:trPr>
        <w:tc>
          <w:tcPr>
            <w:tcW w:w="1294"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4290AC32" w14:textId="77777777" w:rsidR="4893E003" w:rsidRPr="00D90165" w:rsidRDefault="009C4EC4" w:rsidP="00855719">
            <w:pPr>
              <w:jc w:val="center"/>
              <w:rPr>
                <w:rFonts w:eastAsia="Calibri"/>
                <w:b/>
                <w:bCs/>
                <w:color w:val="000000" w:themeColor="text1"/>
                <w:sz w:val="20"/>
              </w:rPr>
            </w:pPr>
            <w:r w:rsidRPr="00D90165">
              <w:rPr>
                <w:b/>
                <w:color w:val="000000" w:themeColor="text1"/>
                <w:sz w:val="20"/>
              </w:rPr>
              <w:t>40 kg i więcej</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432ACC96" w14:textId="77777777" w:rsidR="4893E003" w:rsidRPr="00D90165" w:rsidRDefault="009C4EC4" w:rsidP="00855719">
            <w:pPr>
              <w:jc w:val="center"/>
              <w:rPr>
                <w:rFonts w:eastAsia="Calibri"/>
                <w:color w:val="000000" w:themeColor="text1"/>
                <w:sz w:val="20"/>
              </w:rPr>
            </w:pPr>
            <w:r w:rsidRPr="00D90165">
              <w:rPr>
                <w:color w:val="000000" w:themeColor="text1"/>
                <w:sz w:val="20"/>
              </w:rPr>
              <w:t>240</w:t>
            </w:r>
          </w:p>
        </w:tc>
        <w:tc>
          <w:tcPr>
            <w:tcW w:w="1294" w:type="dxa"/>
            <w:tcBorders>
              <w:top w:val="single" w:sz="4" w:space="0" w:color="auto"/>
              <w:left w:val="single" w:sz="4" w:space="0" w:color="auto"/>
              <w:bottom w:val="single" w:sz="8" w:space="0" w:color="auto"/>
              <w:right w:val="nil"/>
            </w:tcBorders>
            <w:tcMar>
              <w:top w:w="15" w:type="dxa"/>
              <w:left w:w="15" w:type="dxa"/>
              <w:right w:w="15" w:type="dxa"/>
            </w:tcMar>
            <w:vAlign w:val="bottom"/>
          </w:tcPr>
          <w:p w14:paraId="5BF768D6" w14:textId="77777777" w:rsidR="4893E003" w:rsidRPr="00D90165" w:rsidRDefault="009C4EC4" w:rsidP="00855719">
            <w:pPr>
              <w:jc w:val="center"/>
              <w:rPr>
                <w:rFonts w:eastAsia="Calibri"/>
                <w:color w:val="000000" w:themeColor="text1"/>
                <w:sz w:val="20"/>
              </w:rPr>
            </w:pPr>
            <w:r w:rsidRPr="00D90165">
              <w:rPr>
                <w:color w:val="000000" w:themeColor="text1"/>
                <w:sz w:val="20"/>
              </w:rPr>
              <w:t>6</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3D7DCB7C" w14:textId="77777777" w:rsidR="4893E003" w:rsidRPr="00D90165" w:rsidRDefault="009C4EC4" w:rsidP="00855719">
            <w:pPr>
              <w:jc w:val="center"/>
              <w:rPr>
                <w:rFonts w:eastAsia="Calibri"/>
                <w:color w:val="000000" w:themeColor="text1"/>
                <w:sz w:val="20"/>
              </w:rPr>
            </w:pPr>
            <w:r w:rsidRPr="00D90165">
              <w:rPr>
                <w:color w:val="000000" w:themeColor="text1"/>
                <w:sz w:val="20"/>
              </w:rPr>
              <w:t>160</w:t>
            </w:r>
          </w:p>
        </w:tc>
        <w:tc>
          <w:tcPr>
            <w:tcW w:w="129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1DF4238C" w14:textId="77777777" w:rsidR="4893E003" w:rsidRPr="00D90165" w:rsidRDefault="009C4EC4" w:rsidP="00855719">
            <w:pPr>
              <w:jc w:val="center"/>
              <w:rPr>
                <w:rFonts w:eastAsia="Calibri"/>
                <w:color w:val="000000" w:themeColor="text1"/>
                <w:sz w:val="20"/>
              </w:rPr>
            </w:pPr>
            <w:r w:rsidRPr="00D90165">
              <w:rPr>
                <w:color w:val="000000" w:themeColor="text1"/>
                <w:sz w:val="20"/>
              </w:rPr>
              <w:t>4</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3A0480FC" w14:textId="77777777" w:rsidR="4893E003" w:rsidRPr="00D90165" w:rsidRDefault="009C4EC4" w:rsidP="00855719">
            <w:pPr>
              <w:jc w:val="center"/>
              <w:rPr>
                <w:rFonts w:eastAsia="Calibri"/>
                <w:color w:val="000000" w:themeColor="text1"/>
                <w:sz w:val="20"/>
              </w:rPr>
            </w:pPr>
            <w:r w:rsidRPr="00D90165">
              <w:rPr>
                <w:color w:val="000000" w:themeColor="text1"/>
                <w:sz w:val="20"/>
              </w:rPr>
              <w:t>80</w:t>
            </w:r>
          </w:p>
        </w:tc>
        <w:tc>
          <w:tcPr>
            <w:tcW w:w="129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59D51631" w14:textId="77777777" w:rsidR="4893E003" w:rsidRPr="00D90165" w:rsidRDefault="009C4EC4" w:rsidP="00855719">
            <w:pPr>
              <w:jc w:val="center"/>
              <w:rPr>
                <w:rFonts w:eastAsia="Calibri"/>
                <w:color w:val="000000" w:themeColor="text1"/>
                <w:sz w:val="20"/>
              </w:rPr>
            </w:pPr>
            <w:r w:rsidRPr="00D90165">
              <w:rPr>
                <w:color w:val="000000" w:themeColor="text1"/>
                <w:sz w:val="20"/>
              </w:rPr>
              <w:t>2</w:t>
            </w:r>
          </w:p>
        </w:tc>
      </w:tr>
    </w:tbl>
    <w:p w14:paraId="3650011A" w14:textId="77777777" w:rsidR="4893E003" w:rsidRPr="00D90165" w:rsidRDefault="4893E003" w:rsidP="00855719">
      <w:pPr>
        <w:spacing w:line="240" w:lineRule="auto"/>
        <w:jc w:val="both"/>
      </w:pPr>
    </w:p>
    <w:p w14:paraId="36471312" w14:textId="77777777" w:rsidR="008D323D" w:rsidRPr="00D90165" w:rsidRDefault="009C4EC4" w:rsidP="00855719">
      <w:pPr>
        <w:spacing w:line="240" w:lineRule="auto"/>
      </w:pPr>
      <w:r>
        <w:t>N</w:t>
      </w:r>
      <w:r w:rsidR="00322CFF" w:rsidRPr="00D90165">
        <w:t xml:space="preserve">ie </w:t>
      </w:r>
      <w:r>
        <w:t xml:space="preserve">wolno </w:t>
      </w:r>
      <w:r w:rsidR="00322CFF" w:rsidRPr="00D90165">
        <w:t xml:space="preserve">nagle zmniejszać dawki </w:t>
      </w:r>
      <w:r w:rsidRPr="00D90165">
        <w:t>wamorolon</w:t>
      </w:r>
      <w:r>
        <w:t>u, j</w:t>
      </w:r>
      <w:r w:rsidRPr="00D90165">
        <w:t>eśli był podawany dłużej niż przez tydzień (patrz punkt 4.4)</w:t>
      </w:r>
      <w:r w:rsidR="00322CFF" w:rsidRPr="00D90165">
        <w:t>. Redukcja dawki powinn</w:t>
      </w:r>
      <w:r>
        <w:t>a</w:t>
      </w:r>
      <w:r w:rsidR="00322CFF" w:rsidRPr="00D90165">
        <w:t xml:space="preserve"> odbywać się stopniowo, w ciągu kilku tygodni, na każdym etapie o około 20% w stosunku do poprzedniej wielkości dawki. Czas trwania każdego etapu redukcji należy dostosować w zależności od indywidualnej tolerancji.</w:t>
      </w:r>
    </w:p>
    <w:p w14:paraId="5FB35E19" w14:textId="77777777" w:rsidR="003376FD" w:rsidRPr="00D90165" w:rsidRDefault="003376FD" w:rsidP="00855719">
      <w:pPr>
        <w:spacing w:line="240" w:lineRule="auto"/>
        <w:rPr>
          <w:szCs w:val="22"/>
        </w:rPr>
      </w:pPr>
    </w:p>
    <w:p w14:paraId="7F2DC6A3" w14:textId="77777777" w:rsidR="00FF46C7" w:rsidRPr="00D90165" w:rsidRDefault="009C4EC4" w:rsidP="0056402B">
      <w:pPr>
        <w:keepNext/>
        <w:spacing w:line="240" w:lineRule="auto"/>
        <w:rPr>
          <w:u w:val="single"/>
        </w:rPr>
      </w:pPr>
      <w:r w:rsidRPr="00D90165">
        <w:rPr>
          <w:u w:val="single"/>
        </w:rPr>
        <w:t>Szczególne grupy pacjentów</w:t>
      </w:r>
    </w:p>
    <w:p w14:paraId="1A2A4817" w14:textId="77777777" w:rsidR="00FF46C7" w:rsidRPr="00D90165" w:rsidRDefault="00FF46C7" w:rsidP="0056402B">
      <w:pPr>
        <w:keepNext/>
        <w:spacing w:line="240" w:lineRule="auto"/>
        <w:rPr>
          <w:szCs w:val="22"/>
        </w:rPr>
      </w:pPr>
    </w:p>
    <w:p w14:paraId="631C4AFB" w14:textId="77777777" w:rsidR="00074254" w:rsidRPr="00D90165" w:rsidRDefault="009C4EC4" w:rsidP="0056402B">
      <w:pPr>
        <w:keepNext/>
        <w:spacing w:line="240" w:lineRule="auto"/>
        <w:rPr>
          <w:bCs/>
          <w:i/>
          <w:iCs/>
          <w:szCs w:val="22"/>
        </w:rPr>
      </w:pPr>
      <w:r w:rsidRPr="00D90165">
        <w:rPr>
          <w:i/>
        </w:rPr>
        <w:t>Zaburzenia czynności wątroby</w:t>
      </w:r>
    </w:p>
    <w:p w14:paraId="4F757AF7" w14:textId="77777777" w:rsidR="0023229B" w:rsidRPr="00D90165" w:rsidRDefault="009C4EC4" w:rsidP="00855719">
      <w:pPr>
        <w:spacing w:line="240" w:lineRule="auto"/>
        <w:rPr>
          <w:rStyle w:val="normaltextrun"/>
          <w:iCs/>
          <w:color w:val="000000" w:themeColor="text1"/>
          <w:szCs w:val="22"/>
        </w:rPr>
      </w:pPr>
      <w:r w:rsidRPr="00D90165">
        <w:rPr>
          <w:rStyle w:val="normaltextrun"/>
          <w:color w:val="000000" w:themeColor="text1"/>
        </w:rPr>
        <w:t>U pacjentów z łagodnymi zaburzeniami czynności wątroby (klasa A wg klasyfikacji Childa-Pugha) nie jest konieczne dostosowanie dawki.</w:t>
      </w:r>
    </w:p>
    <w:p w14:paraId="68FB3244" w14:textId="77777777" w:rsidR="00E779E7" w:rsidRPr="00D90165" w:rsidRDefault="00E779E7" w:rsidP="00855719">
      <w:pPr>
        <w:spacing w:line="240" w:lineRule="auto"/>
        <w:rPr>
          <w:rStyle w:val="normaltextrun"/>
          <w:color w:val="000000" w:themeColor="text1"/>
          <w:szCs w:val="22"/>
        </w:rPr>
      </w:pPr>
    </w:p>
    <w:p w14:paraId="07C4410F" w14:textId="77777777" w:rsidR="00074254" w:rsidRPr="00D90165" w:rsidRDefault="009C4EC4" w:rsidP="00855719">
      <w:pPr>
        <w:spacing w:line="240" w:lineRule="auto"/>
        <w:rPr>
          <w:rStyle w:val="normaltextrun"/>
          <w:color w:val="000000" w:themeColor="text1"/>
        </w:rPr>
      </w:pPr>
      <w:r w:rsidRPr="00D90165">
        <w:rPr>
          <w:rStyle w:val="normaltextrun"/>
          <w:color w:val="000000" w:themeColor="text1"/>
        </w:rPr>
        <w:t xml:space="preserve">Zalecana dobowa dawka wamorolonu dla pacjentów z </w:t>
      </w:r>
      <w:r w:rsidR="00B62CC6">
        <w:rPr>
          <w:rStyle w:val="normaltextrun"/>
          <w:color w:val="000000" w:themeColor="text1"/>
        </w:rPr>
        <w:t xml:space="preserve">umiarkowanymi </w:t>
      </w:r>
      <w:r w:rsidRPr="00D90165">
        <w:rPr>
          <w:rStyle w:val="normaltextrun"/>
          <w:color w:val="000000" w:themeColor="text1"/>
        </w:rPr>
        <w:t>zaburzeniami czynności wątroby (klasa B wg klasyfikacji Childa-Pugha) wynosi 2 mg/kg</w:t>
      </w:r>
      <w:r w:rsidR="00B62CC6">
        <w:rPr>
          <w:rStyle w:val="normaltextrun"/>
          <w:color w:val="000000" w:themeColor="text1"/>
        </w:rPr>
        <w:t xml:space="preserve"> mc.</w:t>
      </w:r>
      <w:r w:rsidRPr="00D90165">
        <w:rPr>
          <w:rStyle w:val="normaltextrun"/>
          <w:color w:val="000000" w:themeColor="text1"/>
        </w:rPr>
        <w:t>/dobę dla pacjentów o masie ciała do 40 kg i 80 mg dla pacjentów o masie ciała 40 kg lub większej (patrz punkt 5.2). Pacjenci z ciężkimi zaburzeniami czynności wątroby (klasa C wg klasyfikacji Childa-Pugha) nie powinni być leczeni wamorolonem. Patrz punkty 4.3 i 4.4.</w:t>
      </w:r>
    </w:p>
    <w:p w14:paraId="0F009493" w14:textId="77777777" w:rsidR="00AC05A8" w:rsidRPr="00D90165" w:rsidRDefault="00AC05A8" w:rsidP="00855719">
      <w:pPr>
        <w:spacing w:line="240" w:lineRule="auto"/>
        <w:rPr>
          <w:b/>
          <w:noProof/>
        </w:rPr>
      </w:pPr>
    </w:p>
    <w:p w14:paraId="245080C1" w14:textId="77777777" w:rsidR="00812D16" w:rsidRPr="00D90165" w:rsidRDefault="009C4EC4" w:rsidP="0056402B">
      <w:pPr>
        <w:keepNext/>
        <w:spacing w:line="240" w:lineRule="auto"/>
        <w:rPr>
          <w:bCs/>
          <w:i/>
          <w:iCs/>
          <w:szCs w:val="22"/>
        </w:rPr>
      </w:pPr>
      <w:r w:rsidRPr="00D90165">
        <w:rPr>
          <w:i/>
        </w:rPr>
        <w:t>Dzieci i młodzież</w:t>
      </w:r>
    </w:p>
    <w:p w14:paraId="3F682C2D" w14:textId="77777777" w:rsidR="008D323D" w:rsidRPr="00D90165" w:rsidRDefault="009C4EC4" w:rsidP="00855719">
      <w:pPr>
        <w:autoSpaceDE w:val="0"/>
        <w:autoSpaceDN w:val="0"/>
        <w:adjustRightInd w:val="0"/>
        <w:spacing w:line="240" w:lineRule="auto"/>
        <w:rPr>
          <w:noProof/>
        </w:rPr>
      </w:pPr>
      <w:bookmarkStart w:id="0" w:name="_Hlk133597578"/>
      <w:r w:rsidRPr="00D90165">
        <w:t>Nie określono bezpieczeństwa stosowania ani skuteczności produktu leczniczego AGAMREE u dzieci w wieku poniżej 4 lat.</w:t>
      </w:r>
      <w:bookmarkEnd w:id="0"/>
    </w:p>
    <w:p w14:paraId="1A739FCE" w14:textId="77777777" w:rsidR="008D323D" w:rsidRPr="00D90165" w:rsidRDefault="008D323D" w:rsidP="00855719">
      <w:pPr>
        <w:spacing w:line="240" w:lineRule="auto"/>
        <w:rPr>
          <w:noProof/>
        </w:rPr>
      </w:pPr>
      <w:bookmarkStart w:id="1" w:name="_Hlk114572632"/>
    </w:p>
    <w:bookmarkEnd w:id="1"/>
    <w:p w14:paraId="60C65310" w14:textId="77777777" w:rsidR="00812D16" w:rsidRPr="00D90165" w:rsidRDefault="009C4EC4" w:rsidP="0056402B">
      <w:pPr>
        <w:keepNext/>
        <w:spacing w:line="240" w:lineRule="auto"/>
        <w:rPr>
          <w:szCs w:val="22"/>
          <w:u w:val="single"/>
        </w:rPr>
      </w:pPr>
      <w:r w:rsidRPr="00D90165">
        <w:rPr>
          <w:u w:val="single"/>
        </w:rPr>
        <w:t>Sposób podawania</w:t>
      </w:r>
    </w:p>
    <w:p w14:paraId="336D739D" w14:textId="77777777" w:rsidR="00812D16" w:rsidRPr="00D90165" w:rsidRDefault="00812D16" w:rsidP="0056402B">
      <w:pPr>
        <w:keepNext/>
        <w:spacing w:line="240" w:lineRule="auto"/>
        <w:rPr>
          <w:szCs w:val="22"/>
          <w:u w:val="single"/>
        </w:rPr>
      </w:pPr>
    </w:p>
    <w:p w14:paraId="08F92FF8" w14:textId="77777777" w:rsidR="008D323D" w:rsidRPr="00D90165" w:rsidRDefault="009C4EC4" w:rsidP="00855719">
      <w:pPr>
        <w:autoSpaceDE w:val="0"/>
        <w:autoSpaceDN w:val="0"/>
        <w:adjustRightInd w:val="0"/>
        <w:spacing w:line="240" w:lineRule="auto"/>
      </w:pPr>
      <w:r w:rsidRPr="00D90165">
        <w:t xml:space="preserve">Produkt leczniczy AGAMREE jest przeznaczony do stosowania doustnego. Produkt leczniczy AGAMREE można przyjmować </w:t>
      </w:r>
      <w:r w:rsidR="003D4228">
        <w:t>z</w:t>
      </w:r>
      <w:r w:rsidR="003D4228" w:rsidRPr="00D90165">
        <w:t xml:space="preserve"> </w:t>
      </w:r>
      <w:r w:rsidRPr="00D90165">
        <w:t>posiłk</w:t>
      </w:r>
      <w:r w:rsidR="003D4228">
        <w:t>iem</w:t>
      </w:r>
      <w:r w:rsidRPr="00D90165">
        <w:t xml:space="preserve"> lub </w:t>
      </w:r>
      <w:r w:rsidR="003D4228">
        <w:t>bez</w:t>
      </w:r>
      <w:r w:rsidR="003D4228" w:rsidRPr="00D90165">
        <w:t xml:space="preserve"> </w:t>
      </w:r>
      <w:r w:rsidRPr="00D90165">
        <w:t>posiłk</w:t>
      </w:r>
      <w:r w:rsidR="003D4228">
        <w:t>u</w:t>
      </w:r>
      <w:r w:rsidRPr="00D90165">
        <w:t xml:space="preserve"> (patrz punkt 5.2).</w:t>
      </w:r>
    </w:p>
    <w:p w14:paraId="5AB20014" w14:textId="77777777" w:rsidR="008D323D" w:rsidRPr="00D90165" w:rsidRDefault="008D323D" w:rsidP="00855719">
      <w:pPr>
        <w:spacing w:line="240" w:lineRule="auto"/>
        <w:rPr>
          <w:noProof/>
        </w:rPr>
      </w:pPr>
    </w:p>
    <w:p w14:paraId="79B9E7F0" w14:textId="77777777" w:rsidR="008D323D" w:rsidRPr="00D90165" w:rsidRDefault="009C4EC4" w:rsidP="00855719">
      <w:pPr>
        <w:spacing w:line="240" w:lineRule="auto"/>
        <w:rPr>
          <w:noProof/>
        </w:rPr>
      </w:pPr>
      <w:r w:rsidRPr="00D90165">
        <w:t>Zawiesina doustna wymaga ponownej dyspersji poprzez wstrząśnięcie butelką przed podaniem dawki.</w:t>
      </w:r>
    </w:p>
    <w:p w14:paraId="6C03D8DF" w14:textId="77777777" w:rsidR="008D323D" w:rsidRPr="00D90165" w:rsidRDefault="008D323D" w:rsidP="00855719">
      <w:pPr>
        <w:autoSpaceDE w:val="0"/>
        <w:autoSpaceDN w:val="0"/>
        <w:adjustRightInd w:val="0"/>
        <w:spacing w:line="240" w:lineRule="auto"/>
        <w:rPr>
          <w:szCs w:val="22"/>
        </w:rPr>
      </w:pPr>
    </w:p>
    <w:p w14:paraId="6AA3D86C" w14:textId="77777777" w:rsidR="008D323D" w:rsidRPr="00D90165" w:rsidRDefault="009C4EC4" w:rsidP="00855719">
      <w:pPr>
        <w:autoSpaceDE w:val="0"/>
        <w:autoSpaceDN w:val="0"/>
        <w:adjustRightInd w:val="0"/>
        <w:spacing w:line="240" w:lineRule="auto"/>
      </w:pPr>
      <w:r w:rsidRPr="00D90165">
        <w:t>Do odmierzania dawki produktu leczniczego AGAMREE w ml należy używać wyłącznie strzykawki doustnej dołączonej do produktu leczniczego. Po pobraniu odpowiedniej dawki do strzykawki doustnej należy ją wprowadzić bezpośrednio do ust.</w:t>
      </w:r>
    </w:p>
    <w:p w14:paraId="2AB2995A" w14:textId="77777777" w:rsidR="00356282" w:rsidRPr="00D90165" w:rsidRDefault="00356282" w:rsidP="00855719">
      <w:pPr>
        <w:autoSpaceDE w:val="0"/>
        <w:autoSpaceDN w:val="0"/>
        <w:adjustRightInd w:val="0"/>
        <w:spacing w:line="240" w:lineRule="auto"/>
        <w:rPr>
          <w:szCs w:val="22"/>
        </w:rPr>
      </w:pPr>
    </w:p>
    <w:p w14:paraId="20B1DDAD" w14:textId="77777777" w:rsidR="00356282" w:rsidRPr="00D90165" w:rsidRDefault="009C4EC4" w:rsidP="00855719">
      <w:pPr>
        <w:tabs>
          <w:tab w:val="clear" w:pos="567"/>
        </w:tabs>
        <w:autoSpaceDE w:val="0"/>
        <w:autoSpaceDN w:val="0"/>
        <w:adjustRightInd w:val="0"/>
        <w:spacing w:line="240" w:lineRule="auto"/>
        <w:rPr>
          <w:noProof/>
          <w:szCs w:val="22"/>
        </w:rPr>
      </w:pPr>
      <w:r w:rsidRPr="00D90165">
        <w:lastRenderedPageBreak/>
        <w:t>Po użyciu strzykawkę doustną należy rozmontować, opłukać pod bieżącą zimną wodą z kranu i wysuszyć na powietrzu. Strzykawkę doustną należy przechowywać w pudełku do następnego użycia. Strzykawkę doustną można używać przez maksymalnie 45 dni, a następnie należy ją wyrzucić i użyć drugiej strzykawki doustnej umieszczonej w opakowaniu.</w:t>
      </w:r>
    </w:p>
    <w:p w14:paraId="6291F05D" w14:textId="77777777" w:rsidR="00812D16" w:rsidRDefault="00812D16" w:rsidP="00855719">
      <w:pPr>
        <w:spacing w:line="240" w:lineRule="auto"/>
        <w:rPr>
          <w:noProof/>
          <w:szCs w:val="22"/>
        </w:rPr>
      </w:pPr>
    </w:p>
    <w:p w14:paraId="18FA1BBB" w14:textId="77777777" w:rsidR="00D86F82" w:rsidRPr="0026244F" w:rsidRDefault="00D86F82" w:rsidP="00D86F82">
      <w:pPr>
        <w:tabs>
          <w:tab w:val="clear" w:pos="567"/>
        </w:tabs>
        <w:autoSpaceDE w:val="0"/>
        <w:autoSpaceDN w:val="0"/>
        <w:adjustRightInd w:val="0"/>
        <w:spacing w:line="240" w:lineRule="auto"/>
        <w:rPr>
          <w:i/>
          <w:iCs/>
        </w:rPr>
      </w:pPr>
      <w:r>
        <w:rPr>
          <w:i/>
        </w:rPr>
        <w:t xml:space="preserve">Podawanie produktu leczniczego AGAMREE zawiesina doustna przez zgłębnik dojelitowy </w:t>
      </w:r>
    </w:p>
    <w:p w14:paraId="4E0692AD" w14:textId="77777777" w:rsidR="00D86F82" w:rsidRDefault="00D86F82" w:rsidP="00D86F82">
      <w:r>
        <w:t>Produkt leczniczy AGAMREE zawiesina doustna może być podawany przez zgłębnik dojelitowy (patrz punkt 6.6).</w:t>
      </w:r>
    </w:p>
    <w:p w14:paraId="77B874E5" w14:textId="77777777" w:rsidR="00D86F82" w:rsidRPr="00D90165" w:rsidRDefault="00D86F82" w:rsidP="00855719">
      <w:pPr>
        <w:spacing w:line="240" w:lineRule="auto"/>
        <w:rPr>
          <w:noProof/>
          <w:szCs w:val="22"/>
        </w:rPr>
      </w:pPr>
    </w:p>
    <w:p w14:paraId="13BF1AAC" w14:textId="77777777" w:rsidR="00812D16" w:rsidRPr="00D90165" w:rsidRDefault="009C4EC4" w:rsidP="0056402B">
      <w:pPr>
        <w:keepNext/>
        <w:spacing w:line="240" w:lineRule="auto"/>
        <w:ind w:left="567" w:hanging="567"/>
        <w:outlineLvl w:val="0"/>
        <w:rPr>
          <w:b/>
          <w:noProof/>
          <w:szCs w:val="22"/>
        </w:rPr>
      </w:pPr>
      <w:r w:rsidRPr="00D90165">
        <w:rPr>
          <w:rStyle w:val="DNEx2"/>
        </w:rPr>
        <w:t>4.3</w:t>
      </w:r>
      <w:r w:rsidRPr="00D90165">
        <w:rPr>
          <w:rStyle w:val="DNEx2"/>
        </w:rPr>
        <w:tab/>
      </w:r>
      <w:r w:rsidRPr="00D90165">
        <w:rPr>
          <w:b/>
        </w:rPr>
        <w:t>Przeciwwskazania</w:t>
      </w:r>
    </w:p>
    <w:p w14:paraId="256EE7C4" w14:textId="77777777" w:rsidR="00812D16" w:rsidRPr="00D90165" w:rsidRDefault="00812D16" w:rsidP="0056402B">
      <w:pPr>
        <w:keepNext/>
        <w:spacing w:line="240" w:lineRule="auto"/>
        <w:rPr>
          <w:noProof/>
          <w:szCs w:val="22"/>
        </w:rPr>
      </w:pPr>
    </w:p>
    <w:p w14:paraId="2ABE1548" w14:textId="77777777" w:rsidR="008D323D" w:rsidRPr="00D90165" w:rsidRDefault="009C4EC4" w:rsidP="00855719">
      <w:pPr>
        <w:spacing w:line="240" w:lineRule="auto"/>
      </w:pPr>
      <w:r w:rsidRPr="00D90165">
        <w:t>Nadwrażliwość na substancję czynną lub na którąkolwiek substancję pomocniczą wymienioną w punkcie 6.1.</w:t>
      </w:r>
    </w:p>
    <w:p w14:paraId="59434525" w14:textId="77777777" w:rsidR="00E8153B" w:rsidRPr="00D90165" w:rsidRDefault="00E8153B" w:rsidP="00855719">
      <w:pPr>
        <w:spacing w:line="240" w:lineRule="auto"/>
      </w:pPr>
    </w:p>
    <w:p w14:paraId="04C07C0E" w14:textId="77777777" w:rsidR="001118FA" w:rsidRPr="00D90165" w:rsidRDefault="009C4EC4" w:rsidP="00855719">
      <w:pPr>
        <w:spacing w:line="240" w:lineRule="auto"/>
      </w:pPr>
      <w:r w:rsidRPr="00D90165">
        <w:t>Ciężkie zaburzenia czynności wątroby (klasa C wg klasyfikacji Childa-Pugha).</w:t>
      </w:r>
    </w:p>
    <w:p w14:paraId="6763CFDE" w14:textId="77777777" w:rsidR="51E29264" w:rsidRPr="00D90165" w:rsidRDefault="51E29264" w:rsidP="00855719">
      <w:pPr>
        <w:spacing w:line="240" w:lineRule="auto"/>
      </w:pPr>
    </w:p>
    <w:p w14:paraId="7B2A6CFC" w14:textId="77777777" w:rsidR="00812D16" w:rsidRPr="00D90165" w:rsidRDefault="009C4EC4" w:rsidP="00855719">
      <w:pPr>
        <w:spacing w:line="240" w:lineRule="auto"/>
        <w:rPr>
          <w:b/>
          <w:noProof/>
          <w:szCs w:val="22"/>
        </w:rPr>
      </w:pPr>
      <w:r w:rsidRPr="00D90165">
        <w:rPr>
          <w:color w:val="212121"/>
        </w:rPr>
        <w:t>Stosowanie szczepionek żywych lub atenuowanych w ciągu 6 tygodni przed rozpoczęciem leczenia oraz w jego trakcie (patrz punkt 4.4).</w:t>
      </w:r>
    </w:p>
    <w:p w14:paraId="25A3EA9F" w14:textId="77777777" w:rsidR="00AC05A8" w:rsidRPr="00D90165" w:rsidRDefault="00AC05A8" w:rsidP="00855719">
      <w:pPr>
        <w:spacing w:line="240" w:lineRule="auto"/>
        <w:rPr>
          <w:noProof/>
          <w:szCs w:val="22"/>
        </w:rPr>
      </w:pPr>
    </w:p>
    <w:p w14:paraId="1C6C9EF8" w14:textId="77777777" w:rsidR="00812D16" w:rsidRPr="00D90165" w:rsidRDefault="009C4EC4" w:rsidP="0056402B">
      <w:pPr>
        <w:keepNext/>
        <w:spacing w:line="240" w:lineRule="auto"/>
        <w:ind w:left="567" w:hanging="567"/>
        <w:outlineLvl w:val="0"/>
        <w:rPr>
          <w:b/>
          <w:noProof/>
          <w:szCs w:val="22"/>
        </w:rPr>
      </w:pPr>
      <w:r w:rsidRPr="00D90165">
        <w:rPr>
          <w:rStyle w:val="DNEx2"/>
        </w:rPr>
        <w:t>4.4</w:t>
      </w:r>
      <w:r w:rsidRPr="00D90165">
        <w:rPr>
          <w:rStyle w:val="DNEx2"/>
        </w:rPr>
        <w:tab/>
      </w:r>
      <w:r w:rsidRPr="00D90165">
        <w:rPr>
          <w:b/>
        </w:rPr>
        <w:t>Specjalne ostrzeżenia i środki ostrożności dotyczące stosowania</w:t>
      </w:r>
    </w:p>
    <w:p w14:paraId="0E1B5555" w14:textId="77777777" w:rsidR="00812D16" w:rsidRPr="00D90165" w:rsidRDefault="00812D16" w:rsidP="0056402B">
      <w:pPr>
        <w:keepNext/>
        <w:spacing w:line="240" w:lineRule="auto"/>
        <w:ind w:left="567" w:hanging="567"/>
        <w:rPr>
          <w:b/>
          <w:noProof/>
          <w:szCs w:val="22"/>
        </w:rPr>
      </w:pPr>
    </w:p>
    <w:p w14:paraId="49A54B0F" w14:textId="77777777" w:rsidR="008D323D" w:rsidRPr="00D90165" w:rsidRDefault="009C4EC4" w:rsidP="0056402B">
      <w:pPr>
        <w:keepNext/>
        <w:spacing w:line="240" w:lineRule="auto"/>
        <w:rPr>
          <w:noProof/>
          <w:u w:val="single"/>
        </w:rPr>
      </w:pPr>
      <w:r w:rsidRPr="00D90165">
        <w:rPr>
          <w:u w:val="single"/>
        </w:rPr>
        <w:t>Zmiany w funkcjonowaniu układu hormonalnego</w:t>
      </w:r>
    </w:p>
    <w:p w14:paraId="653D6C98" w14:textId="77777777" w:rsidR="008D323D" w:rsidRPr="00D90165" w:rsidRDefault="008D323D" w:rsidP="0056402B">
      <w:pPr>
        <w:keepNext/>
        <w:spacing w:line="240" w:lineRule="auto"/>
        <w:rPr>
          <w:noProof/>
        </w:rPr>
      </w:pPr>
    </w:p>
    <w:p w14:paraId="007BDD83" w14:textId="77777777" w:rsidR="008D323D" w:rsidRPr="00D90165" w:rsidRDefault="009C4EC4" w:rsidP="00855719">
      <w:pPr>
        <w:spacing w:line="240" w:lineRule="auto"/>
        <w:rPr>
          <w:noProof/>
        </w:rPr>
      </w:pPr>
      <w:r w:rsidRPr="00D90165">
        <w:t>Wamorolon powoduje zmiany w funkcjonowani</w:t>
      </w:r>
      <w:r w:rsidR="002845BC">
        <w:t>u</w:t>
      </w:r>
      <w:r w:rsidRPr="00D90165">
        <w:t xml:space="preserve"> układu hormonalnego, zwłaszcza w przypadku długotrwałego stosowania.</w:t>
      </w:r>
    </w:p>
    <w:p w14:paraId="2AED9959" w14:textId="77777777" w:rsidR="00B150DD" w:rsidRPr="00D90165" w:rsidRDefault="00B150DD" w:rsidP="00855719">
      <w:pPr>
        <w:spacing w:line="240" w:lineRule="auto"/>
        <w:rPr>
          <w:noProof/>
        </w:rPr>
      </w:pPr>
    </w:p>
    <w:p w14:paraId="7820ABFE" w14:textId="77777777" w:rsidR="008D323D" w:rsidRPr="00D90165" w:rsidRDefault="009C4EC4" w:rsidP="00855719">
      <w:pPr>
        <w:spacing w:line="240" w:lineRule="auto"/>
        <w:rPr>
          <w:noProof/>
        </w:rPr>
      </w:pPr>
      <w:r w:rsidRPr="00D90165">
        <w:t>Ponadto u pacjentów ze zmianami czynności tarczycy lub guzem chromochłonnym może występować zwiększone ryzyko oddziaływania na układ hormonalny.</w:t>
      </w:r>
    </w:p>
    <w:p w14:paraId="1873319D" w14:textId="77777777" w:rsidR="00BE673B" w:rsidRPr="00D90165" w:rsidRDefault="00BE673B" w:rsidP="00855719">
      <w:pPr>
        <w:spacing w:line="240" w:lineRule="auto"/>
        <w:rPr>
          <w:b/>
          <w:szCs w:val="22"/>
        </w:rPr>
      </w:pPr>
    </w:p>
    <w:p w14:paraId="16431959" w14:textId="77777777" w:rsidR="008D323D" w:rsidRPr="00D90165" w:rsidRDefault="009C4EC4" w:rsidP="0056402B">
      <w:pPr>
        <w:keepNext/>
        <w:spacing w:line="240" w:lineRule="auto"/>
        <w:rPr>
          <w:noProof/>
          <w:u w:val="single"/>
        </w:rPr>
      </w:pPr>
      <w:r w:rsidRPr="00D90165">
        <w:rPr>
          <w:u w:val="single"/>
        </w:rPr>
        <w:t>Ryzyko niewydolności nadnercza</w:t>
      </w:r>
    </w:p>
    <w:p w14:paraId="27301F7C" w14:textId="77777777" w:rsidR="008D323D" w:rsidRPr="00D90165" w:rsidRDefault="008D323D" w:rsidP="0056402B">
      <w:pPr>
        <w:keepNext/>
        <w:spacing w:line="240" w:lineRule="auto"/>
        <w:rPr>
          <w:noProof/>
        </w:rPr>
      </w:pPr>
    </w:p>
    <w:p w14:paraId="7C349BB4" w14:textId="77777777" w:rsidR="008D323D" w:rsidRPr="00D90165" w:rsidRDefault="009C4EC4" w:rsidP="00855719">
      <w:pPr>
        <w:spacing w:line="240" w:lineRule="auto"/>
        <w:rPr>
          <w:noProof/>
        </w:rPr>
      </w:pPr>
      <w:r w:rsidRPr="00D90165">
        <w:t xml:space="preserve">Wamorolon powoduje zależną od dawki i odwracalną supresję osi podwzgórze-przysadka-nadnercza (ang. </w:t>
      </w:r>
      <w:r w:rsidRPr="00D90165">
        <w:rPr>
          <w:i/>
          <w:iCs/>
        </w:rPr>
        <w:t>hypothalamic-pituitary-adrenal</w:t>
      </w:r>
      <w:r w:rsidRPr="00D90165">
        <w:t>, HPA), potencjalnie powodując wtórną niewydolność nadnerczy, która może utrzymywać się przez miesiące po przerwaniu długotrwałego leczenia. Stopień przewlekłej niewydolności nadnerczy jest różny u poszczególnych pacjentów i zależy od dawki i czasu trwania leczenia.</w:t>
      </w:r>
    </w:p>
    <w:p w14:paraId="0946496C" w14:textId="77777777" w:rsidR="008D323D" w:rsidRPr="00D90165" w:rsidRDefault="008D323D" w:rsidP="00855719">
      <w:pPr>
        <w:spacing w:line="240" w:lineRule="auto"/>
        <w:rPr>
          <w:noProof/>
        </w:rPr>
      </w:pPr>
    </w:p>
    <w:p w14:paraId="687B5F9E" w14:textId="77777777" w:rsidR="00AC05A8" w:rsidRPr="00D90165" w:rsidRDefault="009C4EC4" w:rsidP="00855719">
      <w:pPr>
        <w:spacing w:line="240" w:lineRule="auto"/>
        <w:rPr>
          <w:noProof/>
        </w:rPr>
      </w:pPr>
      <w:r w:rsidRPr="00D90165">
        <w:t>Ostra niewydolność nadnerczy (znana również jako przełom nadnerczowy) może pojawić się w okresie nasilonego stresu lub w przypadku nagłego zmniejszenia dawki lub odstawienia wamorolonu. Stan ten może prowadzić do zgonu. Objawy przełomu nadnerczowego mogą obejmować nadmierne zmęczenie, nagłe osłabienie, wymioty, zawroty głowy lub dezorientację. Ryzyko to maleje w przypadku stopniowej redukcji dawki w trakcie jej zmniejszania lub zaprzestania leczenia (patrz punkt 4.2).</w:t>
      </w:r>
    </w:p>
    <w:p w14:paraId="601010C1" w14:textId="77777777" w:rsidR="006317FE" w:rsidRPr="00D90165" w:rsidRDefault="006317FE" w:rsidP="00855719">
      <w:pPr>
        <w:spacing w:line="240" w:lineRule="auto"/>
        <w:rPr>
          <w:b/>
          <w:u w:val="single"/>
        </w:rPr>
      </w:pPr>
    </w:p>
    <w:p w14:paraId="635FAC94" w14:textId="77777777" w:rsidR="00563F9A" w:rsidRPr="00D90165" w:rsidRDefault="009C4EC4" w:rsidP="00855719">
      <w:pPr>
        <w:spacing w:line="240" w:lineRule="auto"/>
        <w:rPr>
          <w:noProof/>
        </w:rPr>
      </w:pPr>
      <w:r w:rsidRPr="00D90165">
        <w:t xml:space="preserve">W okresach nasilonego stresu, takich jak ostre zakażenia, urazy lub zabiegi chirurgiczne, pacjenci powinni być monitorowani pod kątem objawów ostrej niewydolności nadnerczy, a regularne stosowanie produktu leczniczego AGAMREE powinno być tymczasowo uzupełnione hydrokortyzonem o działaniu ogólnoustrojowym, aby zapobiec ryzyku wystąpienia przełomu nadnerczowego. </w:t>
      </w:r>
      <w:bookmarkStart w:id="2" w:name="_Hlk132619896"/>
      <w:r w:rsidRPr="00D90165">
        <w:t>Brak dostępnych danych dotyczących wpływu zwiększenia dawki produktu leczniczego AGAMREE w sytuacji nasilonego stresu.</w:t>
      </w:r>
    </w:p>
    <w:p w14:paraId="686C9C41" w14:textId="77777777" w:rsidR="005F05D7" w:rsidRPr="00D90165" w:rsidRDefault="005F05D7" w:rsidP="00855719">
      <w:pPr>
        <w:spacing w:line="240" w:lineRule="auto"/>
        <w:rPr>
          <w:noProof/>
        </w:rPr>
      </w:pPr>
    </w:p>
    <w:p w14:paraId="29B3586F" w14:textId="77777777" w:rsidR="005F05D7" w:rsidRPr="00D90165" w:rsidRDefault="009C4EC4" w:rsidP="00855719">
      <w:pPr>
        <w:spacing w:line="240" w:lineRule="auto"/>
        <w:rPr>
          <w:noProof/>
        </w:rPr>
      </w:pPr>
      <w:r w:rsidRPr="00D90165">
        <w:t>Pacjentowi należy zalecić noszenie przy sobie karty ostrzeżeń dla pacjenta zawierającej ważne informacje dotyczące bezpieczeństwa</w:t>
      </w:r>
      <w:r w:rsidR="00740D66">
        <w:t xml:space="preserve"> stosowania</w:t>
      </w:r>
      <w:r w:rsidRPr="00D90165">
        <w:t>, które pomogą we wczesnym rozpoznaniu i leczeniu przełomu nadnerczowego.</w:t>
      </w:r>
    </w:p>
    <w:bookmarkEnd w:id="2"/>
    <w:p w14:paraId="60546699" w14:textId="77777777" w:rsidR="00972680" w:rsidRPr="00D90165" w:rsidRDefault="00972680" w:rsidP="00855719">
      <w:pPr>
        <w:spacing w:line="240" w:lineRule="auto"/>
        <w:rPr>
          <w:b/>
          <w:bCs/>
          <w:u w:val="single"/>
        </w:rPr>
      </w:pPr>
    </w:p>
    <w:p w14:paraId="20F0F857" w14:textId="77777777" w:rsidR="008D323D" w:rsidRPr="00D90165" w:rsidRDefault="009C4EC4" w:rsidP="00855719">
      <w:pPr>
        <w:spacing w:line="240" w:lineRule="auto"/>
        <w:rPr>
          <w:noProof/>
        </w:rPr>
      </w:pPr>
      <w:r w:rsidRPr="00D90165">
        <w:t xml:space="preserve">Po nagłym odstawieniu glikokortykoidów może również wystąpić „zespół odstawienia” steroidów, pozornie niezwiązany z niewydolnością kory nadnerczy. Zespół ten obejmuje objawy, takie jak utrata </w:t>
      </w:r>
      <w:r w:rsidRPr="00D90165">
        <w:lastRenderedPageBreak/>
        <w:t>łaknienia, nudności, wymioty, ospałość, ból głowy, gorączka, ból stawów, łuszczenie się skóry, bóle mięśni lub utrata masy ciała. Uważa się, że skutki te wynikają z nagłej zmiany stężenia glikokortykoidów, a nie z niskiego stężenia glikokortykoidów.</w:t>
      </w:r>
    </w:p>
    <w:p w14:paraId="5773E5A4" w14:textId="77777777" w:rsidR="00E01A3D" w:rsidRPr="00D90165" w:rsidRDefault="00E01A3D" w:rsidP="00855719">
      <w:pPr>
        <w:spacing w:line="240" w:lineRule="auto"/>
        <w:rPr>
          <w:noProof/>
        </w:rPr>
      </w:pPr>
    </w:p>
    <w:p w14:paraId="143D9BB9" w14:textId="77777777" w:rsidR="008D323D" w:rsidRPr="00D90165" w:rsidRDefault="009C4EC4" w:rsidP="0056402B">
      <w:pPr>
        <w:keepNext/>
        <w:spacing w:line="240" w:lineRule="auto"/>
        <w:rPr>
          <w:noProof/>
          <w:u w:val="single"/>
        </w:rPr>
      </w:pPr>
      <w:r w:rsidRPr="00D90165">
        <w:rPr>
          <w:u w:val="single"/>
        </w:rPr>
        <w:t>Zmiana leczenia z glikokortykoidów na produkt leczniczy AGAMREE</w:t>
      </w:r>
    </w:p>
    <w:p w14:paraId="1A8BC534" w14:textId="77777777" w:rsidR="008D323D" w:rsidRPr="00D90165" w:rsidRDefault="008D323D" w:rsidP="0056402B">
      <w:pPr>
        <w:keepNext/>
        <w:spacing w:line="240" w:lineRule="auto"/>
        <w:rPr>
          <w:noProof/>
        </w:rPr>
      </w:pPr>
    </w:p>
    <w:p w14:paraId="7F1909D1" w14:textId="77777777" w:rsidR="008D323D" w:rsidRPr="00D90165" w:rsidRDefault="009C4EC4" w:rsidP="00855719">
      <w:pPr>
        <w:spacing w:line="240" w:lineRule="auto"/>
        <w:rPr>
          <w:noProof/>
        </w:rPr>
      </w:pPr>
      <w:bookmarkStart w:id="3" w:name="_Hlk133602984"/>
      <w:r w:rsidRPr="00D90165">
        <w:t>Leczenie doustnymi glikokortykoidami (takimi jak prednizon lub deflazakort) można zmienić u pacjentów na produkt leczniczy AGAMREE bez konieczności przerywania leczenia lub okresu uprzedniej redukcji dawki glikokortykoidów. Pacjenci, którzy wcześniej w sposób stały stosowali glikokortykoidy, powinni przejść na leczenie produktem leczniczym AGAMREE w dawce 6 mg/kg</w:t>
      </w:r>
      <w:r w:rsidR="00740D66">
        <w:t xml:space="preserve"> mc.</w:t>
      </w:r>
      <w:r w:rsidRPr="00D90165">
        <w:t>/dobę, aby zminimalizować ryzyko wystąpienia przełomu nadnerczowego.</w:t>
      </w:r>
    </w:p>
    <w:p w14:paraId="7E9AA463" w14:textId="77777777" w:rsidR="00AC05A8" w:rsidRPr="00D90165" w:rsidRDefault="00AC05A8" w:rsidP="00855719">
      <w:pPr>
        <w:spacing w:line="240" w:lineRule="auto"/>
        <w:rPr>
          <w:noProof/>
        </w:rPr>
      </w:pPr>
    </w:p>
    <w:p w14:paraId="0DA167C6" w14:textId="77777777" w:rsidR="000A34BF" w:rsidRPr="00D90165" w:rsidRDefault="009C4EC4" w:rsidP="0056402B">
      <w:pPr>
        <w:keepNext/>
        <w:spacing w:line="240" w:lineRule="auto"/>
        <w:rPr>
          <w:noProof/>
          <w:u w:val="single"/>
        </w:rPr>
      </w:pPr>
      <w:r w:rsidRPr="00D90165">
        <w:rPr>
          <w:u w:val="single"/>
        </w:rPr>
        <w:t>Przyrost masy ciała</w:t>
      </w:r>
    </w:p>
    <w:p w14:paraId="0416C983" w14:textId="77777777" w:rsidR="00527698" w:rsidRPr="00D90165" w:rsidRDefault="00527698" w:rsidP="0056402B">
      <w:pPr>
        <w:keepNext/>
        <w:spacing w:line="240" w:lineRule="auto"/>
        <w:rPr>
          <w:noProof/>
        </w:rPr>
      </w:pPr>
    </w:p>
    <w:p w14:paraId="793D4B00" w14:textId="77777777" w:rsidR="000A34BF" w:rsidRPr="00D90165" w:rsidRDefault="009C4EC4" w:rsidP="00855719">
      <w:pPr>
        <w:spacing w:line="240" w:lineRule="auto"/>
        <w:rPr>
          <w:noProof/>
        </w:rPr>
      </w:pPr>
      <w:r w:rsidRPr="00D90165">
        <w:t>Stosowanie wamorolonu wiąże się ze wzrostem apetytu i przyrostem masy ciała w zależności od dawki, głównie w pierwszych miesiącach leczenia. Przed rozpoczęciem leczenia produktem leczniczym AGAMREE i w jego trakcie należy zapewnić dopasowane do wieku wskazówki żywieniowe, zgodnie z ogólnymi zaleceniami dotyczącymi zasad odżywiania się pacjentów z DMD.</w:t>
      </w:r>
    </w:p>
    <w:bookmarkEnd w:id="3"/>
    <w:p w14:paraId="3F7349D8" w14:textId="77777777" w:rsidR="008D323D" w:rsidRPr="00D90165" w:rsidRDefault="008D323D" w:rsidP="00855719">
      <w:pPr>
        <w:spacing w:line="240" w:lineRule="auto"/>
        <w:rPr>
          <w:noProof/>
        </w:rPr>
      </w:pPr>
    </w:p>
    <w:p w14:paraId="44E4AD46" w14:textId="77777777" w:rsidR="008D323D" w:rsidRPr="00D90165" w:rsidRDefault="009C4EC4" w:rsidP="0056402B">
      <w:pPr>
        <w:keepNext/>
        <w:spacing w:line="240" w:lineRule="auto"/>
        <w:rPr>
          <w:noProof/>
          <w:u w:val="single"/>
        </w:rPr>
      </w:pPr>
      <w:r w:rsidRPr="00D90165">
        <w:rPr>
          <w:u w:val="single"/>
        </w:rPr>
        <w:t>Uwagi dotyczące stosowania u pacjentów ze zmienioną czynnością tarczycy</w:t>
      </w:r>
    </w:p>
    <w:p w14:paraId="13D82D0D" w14:textId="77777777" w:rsidR="008D323D" w:rsidRPr="00D90165" w:rsidRDefault="008D323D" w:rsidP="0056402B">
      <w:pPr>
        <w:keepNext/>
        <w:spacing w:line="240" w:lineRule="auto"/>
        <w:rPr>
          <w:noProof/>
        </w:rPr>
      </w:pPr>
    </w:p>
    <w:p w14:paraId="6744FE4C" w14:textId="77777777" w:rsidR="008D323D" w:rsidRPr="00D90165" w:rsidRDefault="009C4EC4" w:rsidP="00855719">
      <w:pPr>
        <w:spacing w:line="240" w:lineRule="auto"/>
        <w:rPr>
          <w:noProof/>
        </w:rPr>
      </w:pPr>
      <w:bookmarkStart w:id="4" w:name="_Hlk133603895"/>
      <w:r w:rsidRPr="00D90165">
        <w:t>Klirens metaboliczny glikokortykoidów może być zmniejszony u pacjentów z niedoczynnością tarczycy i zwiększony u pacjentów z nadczynnością tarczycy. Nie wiadomo, czy wpływ na wamorolon jest taki sam, jednak zmiany stanu tarczycy u pacjenta mogą wymagać dostosowania dawki.</w:t>
      </w:r>
    </w:p>
    <w:bookmarkEnd w:id="4"/>
    <w:p w14:paraId="5CDC9AC0" w14:textId="77777777" w:rsidR="00AC05A8" w:rsidRPr="00D90165" w:rsidRDefault="00AC05A8" w:rsidP="00855719">
      <w:pPr>
        <w:spacing w:line="240" w:lineRule="auto"/>
        <w:rPr>
          <w:noProof/>
          <w:u w:val="single"/>
        </w:rPr>
      </w:pPr>
    </w:p>
    <w:p w14:paraId="16299C3B" w14:textId="77777777" w:rsidR="008D323D" w:rsidRPr="00D90165" w:rsidRDefault="009C4EC4" w:rsidP="0056402B">
      <w:pPr>
        <w:keepNext/>
        <w:spacing w:line="240" w:lineRule="auto"/>
        <w:rPr>
          <w:noProof/>
          <w:u w:val="single"/>
        </w:rPr>
      </w:pPr>
      <w:r w:rsidRPr="00D90165">
        <w:rPr>
          <w:u w:val="single"/>
        </w:rPr>
        <w:t>Skutki okulistyczne</w:t>
      </w:r>
    </w:p>
    <w:p w14:paraId="555B4D29" w14:textId="77777777" w:rsidR="008D323D" w:rsidRPr="00D90165" w:rsidRDefault="008D323D" w:rsidP="0056402B">
      <w:pPr>
        <w:keepNext/>
        <w:spacing w:line="240" w:lineRule="auto"/>
        <w:rPr>
          <w:noProof/>
        </w:rPr>
      </w:pPr>
    </w:p>
    <w:p w14:paraId="2AAC13E9" w14:textId="77777777" w:rsidR="007D0515" w:rsidRPr="00D90165" w:rsidRDefault="009C4EC4" w:rsidP="00855719">
      <w:pPr>
        <w:spacing w:line="240" w:lineRule="auto"/>
        <w:rPr>
          <w:noProof/>
        </w:rPr>
      </w:pPr>
      <w:r w:rsidRPr="00D90165">
        <w:t>Glikokortykoidy mogą wywoływać zaćmę podtorebkową tylną, jaskrę z potencjalnym uszkodzeniem nerwów wzrokowych i mogą zwiększać ryzyko wtórnych zakażeń oczu powodowanych przez bakterie, grzyby lub wirusy.</w:t>
      </w:r>
    </w:p>
    <w:p w14:paraId="26848858" w14:textId="77777777" w:rsidR="00376B83" w:rsidRPr="00D90165" w:rsidRDefault="00376B83" w:rsidP="00855719">
      <w:pPr>
        <w:spacing w:line="240" w:lineRule="auto"/>
        <w:rPr>
          <w:noProof/>
        </w:rPr>
      </w:pPr>
    </w:p>
    <w:p w14:paraId="456F625F" w14:textId="77777777" w:rsidR="008D323D" w:rsidRPr="00D90165" w:rsidRDefault="009C4EC4" w:rsidP="00855719">
      <w:pPr>
        <w:spacing w:line="240" w:lineRule="auto"/>
        <w:rPr>
          <w:noProof/>
        </w:rPr>
      </w:pPr>
      <w:r w:rsidRPr="00D90165">
        <w:t>Nie wiadomo, czy istnieje ryzyko wystąpienia skutków okulistycznych w związku ze stosowaniem produktu leczniczego AGAMREE.</w:t>
      </w:r>
    </w:p>
    <w:p w14:paraId="5D1DBE83" w14:textId="77777777" w:rsidR="006A6840" w:rsidRPr="00D90165" w:rsidRDefault="006A6840" w:rsidP="00855719">
      <w:pPr>
        <w:spacing w:line="240" w:lineRule="auto"/>
        <w:rPr>
          <w:noProof/>
        </w:rPr>
      </w:pPr>
    </w:p>
    <w:p w14:paraId="592285EC" w14:textId="77777777" w:rsidR="000C6D8B" w:rsidRPr="00D90165" w:rsidRDefault="009C4EC4" w:rsidP="0056402B">
      <w:pPr>
        <w:keepNext/>
        <w:spacing w:line="240" w:lineRule="auto"/>
        <w:rPr>
          <w:noProof/>
          <w:u w:val="single"/>
        </w:rPr>
      </w:pPr>
      <w:bookmarkStart w:id="5" w:name="_Hlk129779367"/>
      <w:r w:rsidRPr="00D90165">
        <w:rPr>
          <w:u w:val="single"/>
        </w:rPr>
        <w:t>Zwiększone ryzyko zakażeń</w:t>
      </w:r>
    </w:p>
    <w:p w14:paraId="1C78A2E0" w14:textId="77777777" w:rsidR="000C6D8B" w:rsidRPr="00D90165" w:rsidRDefault="000C6D8B" w:rsidP="0056402B">
      <w:pPr>
        <w:keepNext/>
        <w:spacing w:line="240" w:lineRule="auto"/>
        <w:rPr>
          <w:noProof/>
        </w:rPr>
      </w:pPr>
    </w:p>
    <w:bookmarkEnd w:id="5"/>
    <w:p w14:paraId="5B0D33AE" w14:textId="77777777" w:rsidR="00E44DAF" w:rsidRPr="00D90165" w:rsidRDefault="009C4EC4" w:rsidP="00855719">
      <w:pPr>
        <w:spacing w:line="240" w:lineRule="auto"/>
        <w:rPr>
          <w:noProof/>
        </w:rPr>
      </w:pPr>
      <w:r w:rsidRPr="00D90165">
        <w:t xml:space="preserve">Supresja odpowiedzi zapalnej i </w:t>
      </w:r>
      <w:r w:rsidR="00740D66">
        <w:t>czynności</w:t>
      </w:r>
      <w:r w:rsidR="00740D66" w:rsidRPr="00D90165">
        <w:t xml:space="preserve"> </w:t>
      </w:r>
      <w:r w:rsidRPr="00D90165">
        <w:t xml:space="preserve">układu odpornościowego może zwiększać podatność na zakażenia i ich nasilenie. Może dojść do aktywacji utajonych zakażeń lub zaostrzenia współistniejących zakażeń. Postać kliniczna może często mieć nietypowy charakter, a </w:t>
      </w:r>
      <w:r w:rsidR="00740D66">
        <w:t>ciężkie</w:t>
      </w:r>
      <w:r w:rsidR="00740D66" w:rsidRPr="00D90165">
        <w:t xml:space="preserve"> </w:t>
      </w:r>
      <w:r w:rsidRPr="00D90165">
        <w:t>zakażenia mogą być zamaskowane i mogą osiągnąć zaawansowane stadium przed ich rozpoznaniem.</w:t>
      </w:r>
    </w:p>
    <w:p w14:paraId="24847EEB" w14:textId="77777777" w:rsidR="00376B83" w:rsidRPr="00D90165" w:rsidRDefault="009C4EC4" w:rsidP="00855719">
      <w:pPr>
        <w:spacing w:line="240" w:lineRule="auto"/>
        <w:rPr>
          <w:noProof/>
        </w:rPr>
      </w:pPr>
      <w:r w:rsidRPr="00D90165">
        <w:t>Zakażenia te mogą być ciężkie, a czasami śmiertelne.</w:t>
      </w:r>
    </w:p>
    <w:p w14:paraId="0A05B5A5" w14:textId="77777777" w:rsidR="00376B83" w:rsidRPr="00D90165" w:rsidRDefault="00376B83" w:rsidP="00855719">
      <w:pPr>
        <w:spacing w:line="240" w:lineRule="auto"/>
        <w:rPr>
          <w:noProof/>
        </w:rPr>
      </w:pPr>
    </w:p>
    <w:p w14:paraId="18163E3B" w14:textId="77777777" w:rsidR="007D0515" w:rsidRPr="00D90165" w:rsidRDefault="009C4EC4" w:rsidP="00855719">
      <w:pPr>
        <w:spacing w:line="240" w:lineRule="auto"/>
        <w:rPr>
          <w:noProof/>
        </w:rPr>
      </w:pPr>
      <w:r w:rsidRPr="00D90165">
        <w:t>Chociaż w badaniach klinicznych nie obserwowano zwiększenia częstości występowania ani nasilenia zakażeń podczas stosowania wamorolonu, ograniczone doświadczenia długoterminowe nie pozwalają na wykluczenie zwiększonego ryzyka zakażeń.</w:t>
      </w:r>
    </w:p>
    <w:p w14:paraId="285E1542" w14:textId="77777777" w:rsidR="00376B83" w:rsidRPr="00D90165" w:rsidRDefault="00376B83" w:rsidP="00855719">
      <w:pPr>
        <w:spacing w:line="240" w:lineRule="auto"/>
        <w:rPr>
          <w:noProof/>
        </w:rPr>
      </w:pPr>
    </w:p>
    <w:p w14:paraId="3C6244D1" w14:textId="77777777" w:rsidR="006A6840" w:rsidRPr="00D90165" w:rsidRDefault="009C4EC4" w:rsidP="00855719">
      <w:pPr>
        <w:spacing w:line="240" w:lineRule="auto"/>
        <w:rPr>
          <w:noProof/>
        </w:rPr>
      </w:pPr>
      <w:r w:rsidRPr="00D90165">
        <w:t>Należy monitorować rozwój zakażeń. U pacjentów z objawami zakażenia podczas długotrwałego leczenia wamorolonem należy stosować strategie diagnostyczne i terapeutyczne. U pacjentów z umiarkowanymi lub ciężkimi zakażeniami, u których stosowany jest wamorolon, należy rozważyć suplementację hydrokortyzonem.</w:t>
      </w:r>
    </w:p>
    <w:p w14:paraId="20F6D67A" w14:textId="77777777" w:rsidR="0037700D" w:rsidRPr="00D90165" w:rsidRDefault="0037700D" w:rsidP="00855719">
      <w:pPr>
        <w:spacing w:line="240" w:lineRule="auto"/>
        <w:rPr>
          <w:noProof/>
        </w:rPr>
      </w:pPr>
    </w:p>
    <w:p w14:paraId="388EC3EA" w14:textId="77777777" w:rsidR="008D29B1" w:rsidRPr="00D90165" w:rsidRDefault="009C4EC4" w:rsidP="0056402B">
      <w:pPr>
        <w:pStyle w:val="Default"/>
        <w:keepNext/>
        <w:rPr>
          <w:sz w:val="22"/>
          <w:szCs w:val="22"/>
          <w:u w:val="single"/>
        </w:rPr>
      </w:pPr>
      <w:bookmarkStart w:id="6" w:name="_Hlk129779336"/>
      <w:r w:rsidRPr="00D90165">
        <w:rPr>
          <w:sz w:val="22"/>
          <w:u w:val="single"/>
        </w:rPr>
        <w:t>Cukrzyca</w:t>
      </w:r>
    </w:p>
    <w:p w14:paraId="57FEA752" w14:textId="77777777" w:rsidR="006F1443" w:rsidRPr="00D90165" w:rsidRDefault="006F1443" w:rsidP="0056402B">
      <w:pPr>
        <w:pStyle w:val="Default"/>
        <w:keepNext/>
        <w:rPr>
          <w:sz w:val="22"/>
          <w:szCs w:val="22"/>
          <w:u w:val="single"/>
        </w:rPr>
      </w:pPr>
    </w:p>
    <w:bookmarkEnd w:id="6"/>
    <w:p w14:paraId="5F65E149" w14:textId="77777777" w:rsidR="00376B83" w:rsidRPr="00D90165" w:rsidRDefault="009C4EC4" w:rsidP="00855719">
      <w:pPr>
        <w:pStyle w:val="C-BodyText"/>
        <w:spacing w:before="0" w:after="0" w:line="240" w:lineRule="auto"/>
        <w:rPr>
          <w:sz w:val="22"/>
        </w:rPr>
      </w:pPr>
      <w:r w:rsidRPr="00D90165">
        <w:rPr>
          <w:sz w:val="22"/>
        </w:rPr>
        <w:t>Długotrwałe leczenie kortykosteroidami może zwiększać ryzyko zachorowania na cukrzycę.</w:t>
      </w:r>
    </w:p>
    <w:p w14:paraId="628087F5" w14:textId="77777777" w:rsidR="00DB0E9E" w:rsidRPr="00D90165" w:rsidRDefault="00DB0E9E" w:rsidP="00855719">
      <w:pPr>
        <w:pStyle w:val="Default"/>
        <w:rPr>
          <w:color w:val="auto"/>
          <w:sz w:val="22"/>
          <w:szCs w:val="20"/>
        </w:rPr>
      </w:pPr>
    </w:p>
    <w:p w14:paraId="77ECA50E" w14:textId="77777777" w:rsidR="00BE59ED" w:rsidRPr="00D90165" w:rsidRDefault="009C4EC4" w:rsidP="00855719">
      <w:pPr>
        <w:pStyle w:val="C-BodyText"/>
        <w:spacing w:before="0" w:after="0" w:line="240" w:lineRule="auto"/>
        <w:rPr>
          <w:sz w:val="22"/>
        </w:rPr>
      </w:pPr>
      <w:r w:rsidRPr="00D90165">
        <w:rPr>
          <w:sz w:val="22"/>
        </w:rPr>
        <w:lastRenderedPageBreak/>
        <w:t>W badaniach klinicznych nad wamorolonem nie zaobserwowano żadnych istotnych klinicznie zmian metabolizmu glukozy, a dane długoterminowe są ograniczone. U pacjentów długotrwale leczonych wamorolonem należy regularnie kontrolować stężenie glukozy we krwi.</w:t>
      </w:r>
    </w:p>
    <w:p w14:paraId="4C850F3C" w14:textId="77777777" w:rsidR="008D29B1" w:rsidRPr="00D90165" w:rsidRDefault="008D29B1" w:rsidP="00855719">
      <w:pPr>
        <w:pStyle w:val="C-BodyText"/>
        <w:spacing w:before="0" w:after="0" w:line="240" w:lineRule="auto"/>
        <w:rPr>
          <w:sz w:val="22"/>
        </w:rPr>
      </w:pPr>
    </w:p>
    <w:p w14:paraId="27A64219" w14:textId="77777777" w:rsidR="008D323D" w:rsidRPr="00D90165" w:rsidRDefault="009C4EC4" w:rsidP="0056402B">
      <w:pPr>
        <w:keepNext/>
        <w:spacing w:line="240" w:lineRule="auto"/>
        <w:rPr>
          <w:noProof/>
          <w:u w:val="single"/>
        </w:rPr>
      </w:pPr>
      <w:bookmarkStart w:id="7" w:name="_Hlk114572887"/>
      <w:r w:rsidRPr="00D90165">
        <w:rPr>
          <w:u w:val="single"/>
        </w:rPr>
        <w:t>Szczepienia</w:t>
      </w:r>
    </w:p>
    <w:p w14:paraId="30426FA2" w14:textId="77777777" w:rsidR="008D323D" w:rsidRPr="00D90165" w:rsidRDefault="008D323D" w:rsidP="0056402B">
      <w:pPr>
        <w:keepNext/>
        <w:spacing w:line="240" w:lineRule="auto"/>
        <w:rPr>
          <w:noProof/>
        </w:rPr>
      </w:pPr>
    </w:p>
    <w:p w14:paraId="7FC15651" w14:textId="77777777" w:rsidR="008D323D" w:rsidRPr="00D90165" w:rsidRDefault="009C4EC4" w:rsidP="00855719">
      <w:pPr>
        <w:spacing w:line="240" w:lineRule="auto"/>
        <w:rPr>
          <w:noProof/>
        </w:rPr>
      </w:pPr>
      <w:r w:rsidRPr="00D90165">
        <w:t>Odpowiedź na żywe lub żywe atenuowane szczepionki może ulec zmianie u pacjentów leczonych glikokortykoidami.</w:t>
      </w:r>
    </w:p>
    <w:p w14:paraId="371951AB" w14:textId="77777777" w:rsidR="008D323D" w:rsidRPr="00D90165" w:rsidRDefault="009C4EC4" w:rsidP="00855719">
      <w:pPr>
        <w:spacing w:line="240" w:lineRule="auto"/>
        <w:rPr>
          <w:noProof/>
        </w:rPr>
      </w:pPr>
      <w:r w:rsidRPr="00D90165">
        <w:t>Ryzyko związane ze stosowaniem produktu leczniczego AGAMREE jest nieznane.</w:t>
      </w:r>
    </w:p>
    <w:p w14:paraId="615EEADB" w14:textId="77777777" w:rsidR="00376B83" w:rsidRPr="00D90165" w:rsidRDefault="00376B83" w:rsidP="00855719">
      <w:pPr>
        <w:spacing w:line="240" w:lineRule="auto"/>
        <w:rPr>
          <w:noProof/>
          <w:szCs w:val="22"/>
        </w:rPr>
      </w:pPr>
    </w:p>
    <w:p w14:paraId="1164B651" w14:textId="77777777" w:rsidR="008D323D" w:rsidRPr="00D90165" w:rsidRDefault="009C4EC4" w:rsidP="00855719">
      <w:pPr>
        <w:spacing w:line="240" w:lineRule="auto"/>
      </w:pPr>
      <w:r w:rsidRPr="00D90165">
        <w:t>Żywe szczepionki atenuowane lub żywe szczepionki należy podawać co najmniej 6 tygodni przed rozpoczęciem leczenia produktem leczniczym AGAMREE.</w:t>
      </w:r>
    </w:p>
    <w:p w14:paraId="5FB30456" w14:textId="77777777" w:rsidR="00376B83" w:rsidRPr="00D90165" w:rsidRDefault="00376B83" w:rsidP="00855719">
      <w:pPr>
        <w:spacing w:line="240" w:lineRule="auto"/>
      </w:pPr>
    </w:p>
    <w:p w14:paraId="71BA38F2" w14:textId="77777777" w:rsidR="00780E72" w:rsidRPr="00D90165" w:rsidRDefault="009C4EC4" w:rsidP="00855719">
      <w:pPr>
        <w:spacing w:line="240" w:lineRule="auto"/>
      </w:pPr>
      <w:bookmarkStart w:id="8" w:name="_Hlk132186432"/>
      <w:bookmarkEnd w:id="7"/>
      <w:r w:rsidRPr="00D90165">
        <w:t>U pacjentów, którzy nie chorowali wcześniej na ospę wietrzną lub niezaszczepionych na tę chorobę, przed rozpoczęciem leczenia produktem leczniczym AGAMREE należy wykonać szczepienie przeciw wirusowi półpaśca.</w:t>
      </w:r>
    </w:p>
    <w:bookmarkEnd w:id="8"/>
    <w:p w14:paraId="102796BA" w14:textId="77777777" w:rsidR="00AC05A8" w:rsidRPr="00D90165" w:rsidRDefault="00AC05A8" w:rsidP="00855719">
      <w:pPr>
        <w:spacing w:line="240" w:lineRule="auto"/>
        <w:rPr>
          <w:noProof/>
          <w:u w:val="single"/>
        </w:rPr>
      </w:pPr>
    </w:p>
    <w:p w14:paraId="59CE05F5" w14:textId="77777777" w:rsidR="008D323D" w:rsidRPr="00D90165" w:rsidRDefault="009C4EC4" w:rsidP="0056402B">
      <w:pPr>
        <w:keepNext/>
        <w:spacing w:line="240" w:lineRule="auto"/>
        <w:rPr>
          <w:noProof/>
          <w:u w:val="single"/>
        </w:rPr>
      </w:pPr>
      <w:r w:rsidRPr="00D90165">
        <w:rPr>
          <w:u w:val="single"/>
        </w:rPr>
        <w:t>Incydenty zakrzepowo-zatorowe</w:t>
      </w:r>
    </w:p>
    <w:p w14:paraId="4FC75E2C" w14:textId="77777777" w:rsidR="008D323D" w:rsidRPr="00D90165" w:rsidRDefault="008D323D" w:rsidP="0056402B">
      <w:pPr>
        <w:keepNext/>
        <w:spacing w:line="240" w:lineRule="auto"/>
        <w:rPr>
          <w:noProof/>
        </w:rPr>
      </w:pPr>
    </w:p>
    <w:p w14:paraId="2E74937B" w14:textId="77777777" w:rsidR="008D323D" w:rsidRPr="00D90165" w:rsidRDefault="009C4EC4" w:rsidP="00855719">
      <w:pPr>
        <w:spacing w:line="240" w:lineRule="auto"/>
        <w:rPr>
          <w:noProof/>
        </w:rPr>
      </w:pPr>
      <w:r w:rsidRPr="00D90165">
        <w:t>W badaniach obserwacyjnych dotyczących glikokortykoidów wykazano podwyższone ryzyko wystąpienia choroby zakrzepowo-zatorowej (w tym żylnej choroby zakrzepowo-zatorowej), zwłaszcza w przypadku wyższych skumulowanych dawek glikokortykoidów.</w:t>
      </w:r>
    </w:p>
    <w:p w14:paraId="494A92D3" w14:textId="77777777" w:rsidR="00376B83" w:rsidRPr="00D90165" w:rsidRDefault="00376B83" w:rsidP="00855719">
      <w:pPr>
        <w:spacing w:line="240" w:lineRule="auto"/>
        <w:rPr>
          <w:noProof/>
        </w:rPr>
      </w:pPr>
    </w:p>
    <w:p w14:paraId="4CEF8AE2" w14:textId="77777777" w:rsidR="008D323D" w:rsidRPr="00D90165" w:rsidRDefault="009C4EC4" w:rsidP="00855719">
      <w:pPr>
        <w:spacing w:line="240" w:lineRule="auto"/>
        <w:rPr>
          <w:noProof/>
        </w:rPr>
      </w:pPr>
      <w:r w:rsidRPr="00D90165">
        <w:t>Ryzyko związane ze stosowaniem produktu leczniczego AGAMREE jest nieznane. Należy zachować ostrożność p</w:t>
      </w:r>
      <w:r w:rsidR="008C3C02">
        <w:t>odczas</w:t>
      </w:r>
      <w:r w:rsidRPr="00D90165">
        <w:t xml:space="preserve"> stosowani</w:t>
      </w:r>
      <w:r w:rsidR="008C3C02">
        <w:t>a</w:t>
      </w:r>
      <w:r w:rsidRPr="00D90165">
        <w:t xml:space="preserve"> produktu leczniczego AGAMREE u pacjentów, u których występują zdarzenia zakrzepowo-zatorowe, lub którzy mają predyspozycje do takich zaburzeń.</w:t>
      </w:r>
    </w:p>
    <w:p w14:paraId="1CAFDEF7" w14:textId="77777777" w:rsidR="00AC05A8" w:rsidRPr="00D90165" w:rsidRDefault="00AC05A8" w:rsidP="00855719">
      <w:pPr>
        <w:spacing w:line="240" w:lineRule="auto"/>
        <w:rPr>
          <w:noProof/>
        </w:rPr>
      </w:pPr>
    </w:p>
    <w:p w14:paraId="22095B8F" w14:textId="77777777" w:rsidR="008D323D" w:rsidRPr="00D90165" w:rsidRDefault="009C4EC4" w:rsidP="0056402B">
      <w:pPr>
        <w:keepNext/>
        <w:spacing w:line="240" w:lineRule="auto"/>
        <w:rPr>
          <w:noProof/>
          <w:u w:val="single"/>
        </w:rPr>
      </w:pPr>
      <w:r w:rsidRPr="00D90165">
        <w:rPr>
          <w:u w:val="single"/>
        </w:rPr>
        <w:t>Anafilaksja</w:t>
      </w:r>
    </w:p>
    <w:p w14:paraId="5C0A4EC5" w14:textId="77777777" w:rsidR="008D323D" w:rsidRPr="00D90165" w:rsidRDefault="008D323D" w:rsidP="0056402B">
      <w:pPr>
        <w:keepNext/>
        <w:spacing w:line="240" w:lineRule="auto"/>
        <w:rPr>
          <w:noProof/>
        </w:rPr>
      </w:pPr>
    </w:p>
    <w:p w14:paraId="127CC2E5" w14:textId="77777777" w:rsidR="008D323D" w:rsidRPr="00D90165" w:rsidRDefault="009C4EC4" w:rsidP="00855719">
      <w:pPr>
        <w:spacing w:line="240" w:lineRule="auto"/>
        <w:rPr>
          <w:noProof/>
        </w:rPr>
      </w:pPr>
      <w:r w:rsidRPr="00D90165">
        <w:t>U pacjentów otrzymujących terapię glikokortykoidami odnotowano rzadkie przypadki anafilaksji.</w:t>
      </w:r>
    </w:p>
    <w:p w14:paraId="574D912C" w14:textId="77777777" w:rsidR="00376B83" w:rsidRPr="00D90165" w:rsidRDefault="00376B83" w:rsidP="00855719">
      <w:pPr>
        <w:spacing w:line="240" w:lineRule="auto"/>
        <w:rPr>
          <w:noProof/>
        </w:rPr>
      </w:pPr>
    </w:p>
    <w:p w14:paraId="55C737D9" w14:textId="77777777" w:rsidR="008D323D" w:rsidRPr="00D90165" w:rsidRDefault="009C4EC4" w:rsidP="00855719">
      <w:pPr>
        <w:spacing w:line="240" w:lineRule="auto"/>
        <w:rPr>
          <w:noProof/>
        </w:rPr>
      </w:pPr>
      <w:r w:rsidRPr="00D90165">
        <w:t>Wamorolon wykazuje podobieństwa strukturalne do glikokortykoidów i należy zachować ostrożność podczas leczenia pacjentów o znanej nadwrażliwości na glikokortykoidy.</w:t>
      </w:r>
    </w:p>
    <w:p w14:paraId="56B66B21" w14:textId="77777777" w:rsidR="008D323D" w:rsidRPr="00D90165" w:rsidRDefault="008D323D" w:rsidP="00855719">
      <w:pPr>
        <w:spacing w:line="240" w:lineRule="auto"/>
        <w:rPr>
          <w:noProof/>
        </w:rPr>
      </w:pPr>
    </w:p>
    <w:p w14:paraId="2F38AF06" w14:textId="77777777" w:rsidR="008D323D" w:rsidRPr="00D90165" w:rsidRDefault="009C4EC4" w:rsidP="0056402B">
      <w:pPr>
        <w:keepNext/>
        <w:spacing w:line="240" w:lineRule="auto"/>
        <w:rPr>
          <w:bCs/>
          <w:szCs w:val="22"/>
          <w:u w:val="single"/>
        </w:rPr>
      </w:pPr>
      <w:r w:rsidRPr="00D90165">
        <w:rPr>
          <w:u w:val="single"/>
        </w:rPr>
        <w:t>Zaburzenia czynności wątroby</w:t>
      </w:r>
    </w:p>
    <w:p w14:paraId="2C9F5172" w14:textId="77777777" w:rsidR="008D323D" w:rsidRPr="00D90165" w:rsidRDefault="008D323D" w:rsidP="0056402B">
      <w:pPr>
        <w:keepNext/>
        <w:spacing w:line="240" w:lineRule="auto"/>
        <w:rPr>
          <w:noProof/>
        </w:rPr>
      </w:pPr>
    </w:p>
    <w:p w14:paraId="77045B33" w14:textId="77777777" w:rsidR="00C77EE8" w:rsidRPr="00D90165" w:rsidRDefault="009C4EC4" w:rsidP="00855719">
      <w:pPr>
        <w:spacing w:line="240" w:lineRule="auto"/>
        <w:rPr>
          <w:rStyle w:val="normaltextrun"/>
          <w:color w:val="000000" w:themeColor="text1"/>
        </w:rPr>
      </w:pPr>
      <w:r w:rsidRPr="00D90165">
        <w:rPr>
          <w:rStyle w:val="normaltextrun"/>
          <w:color w:val="000000" w:themeColor="text1"/>
        </w:rPr>
        <w:t xml:space="preserve">Wamorolonu nie badano u pacjentów z </w:t>
      </w:r>
      <w:r w:rsidR="008C3C02">
        <w:rPr>
          <w:rStyle w:val="normaltextrun"/>
          <w:color w:val="000000" w:themeColor="text1"/>
        </w:rPr>
        <w:t>ciężkim</w:t>
      </w:r>
      <w:r w:rsidR="008C3C02" w:rsidRPr="00D90165">
        <w:rPr>
          <w:rStyle w:val="normaltextrun"/>
          <w:color w:val="000000" w:themeColor="text1"/>
        </w:rPr>
        <w:t xml:space="preserve"> </w:t>
      </w:r>
      <w:r w:rsidRPr="00D90165">
        <w:rPr>
          <w:rStyle w:val="normaltextrun"/>
          <w:color w:val="000000" w:themeColor="text1"/>
        </w:rPr>
        <w:t>uszkodzeniem wątroby (klasa C według klasyfikacji Childa-Pugha) w wywiadzie i nie wolno go stosować u tych pacjentów (patrz punkt 4.3).</w:t>
      </w:r>
    </w:p>
    <w:p w14:paraId="7D2BBD18" w14:textId="77777777" w:rsidR="74E8AA19" w:rsidRPr="00D90165" w:rsidRDefault="74E8AA19" w:rsidP="00855719">
      <w:pPr>
        <w:spacing w:line="240" w:lineRule="auto"/>
        <w:rPr>
          <w:rStyle w:val="normaltextrun"/>
          <w:color w:val="000000" w:themeColor="text1"/>
        </w:rPr>
      </w:pPr>
    </w:p>
    <w:p w14:paraId="12022E71" w14:textId="77777777" w:rsidR="088403FF" w:rsidRPr="00D90165" w:rsidRDefault="009C4EC4" w:rsidP="0056402B">
      <w:pPr>
        <w:keepNext/>
        <w:spacing w:line="240" w:lineRule="auto"/>
        <w:rPr>
          <w:u w:val="single"/>
        </w:rPr>
      </w:pPr>
      <w:r w:rsidRPr="00D90165">
        <w:rPr>
          <w:u w:val="single"/>
        </w:rPr>
        <w:t>Jednoczesne stosowanie z innymi produktami leczniczymi</w:t>
      </w:r>
    </w:p>
    <w:p w14:paraId="78BC6E1A" w14:textId="77777777" w:rsidR="007C1D0A" w:rsidRPr="00D90165" w:rsidRDefault="007C1D0A" w:rsidP="0056402B">
      <w:pPr>
        <w:keepNext/>
        <w:spacing w:line="240" w:lineRule="auto"/>
        <w:rPr>
          <w:i/>
          <w:iCs/>
        </w:rPr>
      </w:pPr>
    </w:p>
    <w:p w14:paraId="6FD8DF77" w14:textId="77777777" w:rsidR="44DEC7F0" w:rsidRPr="00D90165" w:rsidRDefault="009C4EC4" w:rsidP="0056402B">
      <w:pPr>
        <w:keepNext/>
        <w:spacing w:line="240" w:lineRule="auto"/>
        <w:rPr>
          <w:i/>
          <w:iCs/>
        </w:rPr>
      </w:pPr>
      <w:r w:rsidRPr="00D90165">
        <w:rPr>
          <w:i/>
        </w:rPr>
        <w:t>Substraty UGT</w:t>
      </w:r>
    </w:p>
    <w:p w14:paraId="6E01DA87" w14:textId="77777777" w:rsidR="00563F9A" w:rsidRPr="00D90165" w:rsidRDefault="009C4EC4" w:rsidP="00855719">
      <w:pPr>
        <w:spacing w:line="240" w:lineRule="auto"/>
      </w:pPr>
      <w:r w:rsidRPr="00D90165">
        <w:t>Potencjał interakcji z substratami UGT nie został w pełni oceniony, w związku z czym należy unikać wszystkich inhibitorów UGT jako leków towarzyszących i stosować je z ostrożnością, jeżeli jest to konieczne z medycznego punktu widzenia.</w:t>
      </w:r>
    </w:p>
    <w:p w14:paraId="58296873" w14:textId="77777777" w:rsidR="00AC05A8" w:rsidRPr="00D90165" w:rsidRDefault="00AC05A8" w:rsidP="00855719">
      <w:pPr>
        <w:pStyle w:val="Default"/>
        <w:rPr>
          <w:sz w:val="22"/>
          <w:szCs w:val="22"/>
          <w:u w:val="single"/>
        </w:rPr>
      </w:pPr>
    </w:p>
    <w:p w14:paraId="4798E3E9" w14:textId="77777777" w:rsidR="00B27740" w:rsidRPr="00D90165" w:rsidRDefault="009C4EC4" w:rsidP="0056402B">
      <w:pPr>
        <w:keepNext/>
        <w:rPr>
          <w:u w:val="single"/>
        </w:rPr>
      </w:pPr>
      <w:r w:rsidRPr="00D90165">
        <w:rPr>
          <w:u w:val="single"/>
        </w:rPr>
        <w:t>Substancje pomocnicze</w:t>
      </w:r>
    </w:p>
    <w:p w14:paraId="4F6C3D35" w14:textId="77777777" w:rsidR="00B27740" w:rsidRPr="00D90165" w:rsidRDefault="00B27740" w:rsidP="0056402B">
      <w:pPr>
        <w:keepNext/>
      </w:pPr>
    </w:p>
    <w:p w14:paraId="0674F2C0" w14:textId="77777777" w:rsidR="00B27740" w:rsidRPr="00D90165" w:rsidRDefault="009C4EC4" w:rsidP="0056402B">
      <w:pPr>
        <w:keepNext/>
        <w:rPr>
          <w:i/>
          <w:iCs/>
        </w:rPr>
      </w:pPr>
      <w:r w:rsidRPr="00D90165">
        <w:rPr>
          <w:i/>
        </w:rPr>
        <w:t>Sodu benzoesan</w:t>
      </w:r>
    </w:p>
    <w:p w14:paraId="4F9150B8" w14:textId="77777777" w:rsidR="00B27740" w:rsidRPr="00D90165" w:rsidRDefault="009C4EC4" w:rsidP="00855719">
      <w:r w:rsidRPr="00D90165">
        <w:t xml:space="preserve">Ten produkt leczniczy zawiera 1 mg </w:t>
      </w:r>
      <w:r w:rsidR="007D79F9" w:rsidRPr="00D90165">
        <w:t xml:space="preserve">sodu </w:t>
      </w:r>
      <w:r w:rsidRPr="00D90165">
        <w:t>benzoesanu w każdym 1 ml, co odpowiada 100 mg/100 ml.</w:t>
      </w:r>
    </w:p>
    <w:p w14:paraId="14D279B0" w14:textId="77777777" w:rsidR="0024328D" w:rsidRPr="00D90165" w:rsidRDefault="0024328D" w:rsidP="00855719">
      <w:pPr>
        <w:pStyle w:val="Default"/>
        <w:rPr>
          <w:sz w:val="22"/>
          <w:szCs w:val="22"/>
        </w:rPr>
      </w:pPr>
    </w:p>
    <w:p w14:paraId="69931C6B" w14:textId="77777777" w:rsidR="006C7977" w:rsidRPr="00D90165" w:rsidRDefault="009C4EC4" w:rsidP="0056402B">
      <w:pPr>
        <w:pStyle w:val="Default"/>
        <w:keepNext/>
        <w:spacing w:line="259" w:lineRule="auto"/>
        <w:rPr>
          <w:i/>
          <w:iCs/>
          <w:sz w:val="22"/>
          <w:szCs w:val="22"/>
        </w:rPr>
      </w:pPr>
      <w:r w:rsidRPr="00D90165">
        <w:rPr>
          <w:i/>
          <w:sz w:val="22"/>
        </w:rPr>
        <w:t>Sód</w:t>
      </w:r>
    </w:p>
    <w:p w14:paraId="4BB619A6" w14:textId="77777777" w:rsidR="4893E003" w:rsidRPr="00D90165" w:rsidRDefault="009C4EC4" w:rsidP="00855719">
      <w:pPr>
        <w:pStyle w:val="Default"/>
        <w:spacing w:line="259" w:lineRule="auto"/>
        <w:rPr>
          <w:sz w:val="22"/>
          <w:szCs w:val="22"/>
        </w:rPr>
      </w:pPr>
      <w:r w:rsidRPr="00D90165">
        <w:rPr>
          <w:sz w:val="22"/>
        </w:rPr>
        <w:t>Produkt leczniczy zawiera mniej niż 1 mmol sodu (23 mg) na 7,5 ml, to znaczy produkt uznaje się za „wolny od sodu”.</w:t>
      </w:r>
    </w:p>
    <w:p w14:paraId="2402DAE9" w14:textId="77777777" w:rsidR="006317FE" w:rsidRPr="00D90165" w:rsidRDefault="006317FE" w:rsidP="00855719">
      <w:pPr>
        <w:spacing w:line="240" w:lineRule="auto"/>
        <w:ind w:left="567" w:hanging="567"/>
        <w:outlineLvl w:val="0"/>
        <w:rPr>
          <w:b/>
        </w:rPr>
      </w:pPr>
    </w:p>
    <w:p w14:paraId="1C94DBD0" w14:textId="77777777" w:rsidR="00812D16" w:rsidRPr="00D90165" w:rsidRDefault="009C4EC4" w:rsidP="0056402B">
      <w:pPr>
        <w:keepNext/>
        <w:spacing w:line="240" w:lineRule="auto"/>
        <w:ind w:left="567" w:hanging="567"/>
        <w:outlineLvl w:val="0"/>
      </w:pPr>
      <w:r w:rsidRPr="00D90165">
        <w:rPr>
          <w:rStyle w:val="DNEx2"/>
        </w:rPr>
        <w:lastRenderedPageBreak/>
        <w:t>4.5</w:t>
      </w:r>
      <w:r w:rsidRPr="00D90165">
        <w:rPr>
          <w:rStyle w:val="DNEx2"/>
        </w:rPr>
        <w:tab/>
      </w:r>
      <w:r w:rsidRPr="00D90165">
        <w:rPr>
          <w:b/>
        </w:rPr>
        <w:t>Interakcje z innymi produktami leczniczymi i inne rodzaje interakcji</w:t>
      </w:r>
    </w:p>
    <w:p w14:paraId="15C172C3" w14:textId="77777777" w:rsidR="00812D16" w:rsidRPr="00D90165" w:rsidRDefault="00812D16" w:rsidP="0056402B">
      <w:pPr>
        <w:keepNext/>
        <w:spacing w:line="240" w:lineRule="auto"/>
        <w:rPr>
          <w:noProof/>
        </w:rPr>
      </w:pPr>
    </w:p>
    <w:p w14:paraId="395C5F28" w14:textId="77777777" w:rsidR="00C336EF" w:rsidRPr="00D90165" w:rsidRDefault="009C4EC4" w:rsidP="0056402B">
      <w:pPr>
        <w:keepNext/>
        <w:spacing w:line="240" w:lineRule="auto"/>
        <w:rPr>
          <w:szCs w:val="22"/>
          <w:u w:val="single"/>
        </w:rPr>
      </w:pPr>
      <w:bookmarkStart w:id="9" w:name="_Hlk133589472"/>
      <w:r w:rsidRPr="00D90165">
        <w:rPr>
          <w:u w:val="single"/>
        </w:rPr>
        <w:t>Interakcje farmakodynamiczne</w:t>
      </w:r>
    </w:p>
    <w:p w14:paraId="27BB63D7" w14:textId="77777777" w:rsidR="00C336EF" w:rsidRPr="00D90165" w:rsidRDefault="00C336EF" w:rsidP="0056402B">
      <w:pPr>
        <w:keepNext/>
        <w:spacing w:line="240" w:lineRule="auto"/>
        <w:rPr>
          <w:noProof/>
          <w:u w:val="single"/>
        </w:rPr>
      </w:pPr>
    </w:p>
    <w:p w14:paraId="5AF1EE92" w14:textId="77777777" w:rsidR="007919A6" w:rsidRPr="00D90165" w:rsidRDefault="009C4EC4" w:rsidP="00855719">
      <w:pPr>
        <w:spacing w:line="240" w:lineRule="auto"/>
      </w:pPr>
      <w:r w:rsidRPr="00D90165">
        <w:t>Wamorolon działa jako antagonista receptora mineralokortykoidowego. Stosowanie wamorolonu w skojarzeniu z antagonistą receptora mineralokortykoidowego może zwiększać ryzyko wystąpienia hiperkaliemii. Nie zaobserwowano przypadków hiperkalemii u pacjentów stosujących wamorolon w monoterapii lub w skojarzeniu z eplerenonem lub spironolaktonem. Zaleca się monitorowanie stężenia potasu w ciągu miesiąca po rozpoczęciu stosowania skojarzenia wamorolonu z antagonistą receptora mineralokortykoidowego. W przypadku hiperkaliemii należy rozważyć zmniejszenie dawki antagonisty receptora mineralokortykoidowego.</w:t>
      </w:r>
    </w:p>
    <w:p w14:paraId="0E5A2B1D" w14:textId="77777777" w:rsidR="006B6657" w:rsidRPr="00D90165" w:rsidRDefault="006B6657" w:rsidP="00855719">
      <w:pPr>
        <w:spacing w:line="240" w:lineRule="auto"/>
        <w:rPr>
          <w:noProof/>
          <w:u w:val="single"/>
        </w:rPr>
      </w:pPr>
    </w:p>
    <w:p w14:paraId="3434A35F" w14:textId="77777777" w:rsidR="006B6657" w:rsidRPr="00D90165" w:rsidRDefault="009C4EC4" w:rsidP="0056402B">
      <w:pPr>
        <w:keepNext/>
        <w:spacing w:line="240" w:lineRule="auto"/>
        <w:rPr>
          <w:noProof/>
          <w:u w:val="single"/>
        </w:rPr>
      </w:pPr>
      <w:r w:rsidRPr="00D90165">
        <w:rPr>
          <w:u w:val="single"/>
        </w:rPr>
        <w:t>Interakcje farmakokinetyczne</w:t>
      </w:r>
    </w:p>
    <w:p w14:paraId="626C30F3" w14:textId="77777777" w:rsidR="006B6657" w:rsidRPr="00D90165" w:rsidRDefault="006B6657" w:rsidP="0056402B">
      <w:pPr>
        <w:keepNext/>
        <w:spacing w:line="240" w:lineRule="auto"/>
        <w:rPr>
          <w:noProof/>
          <w:u w:val="single"/>
        </w:rPr>
      </w:pPr>
    </w:p>
    <w:p w14:paraId="6B9ED861" w14:textId="77777777" w:rsidR="007919A6" w:rsidRPr="00D90165" w:rsidRDefault="009C4EC4" w:rsidP="0056402B">
      <w:pPr>
        <w:keepNext/>
        <w:spacing w:line="240" w:lineRule="auto"/>
        <w:rPr>
          <w:i/>
          <w:noProof/>
        </w:rPr>
      </w:pPr>
      <w:r w:rsidRPr="00D90165">
        <w:rPr>
          <w:i/>
        </w:rPr>
        <w:t>Wpływ innych produktów leczniczych na wamorolon</w:t>
      </w:r>
    </w:p>
    <w:p w14:paraId="47DFF5FA" w14:textId="77777777" w:rsidR="006B6657" w:rsidRPr="00D90165" w:rsidRDefault="009C4EC4" w:rsidP="00855719">
      <w:pPr>
        <w:spacing w:line="240" w:lineRule="auto"/>
        <w:rPr>
          <w:noProof/>
        </w:rPr>
      </w:pPr>
      <w:r w:rsidRPr="00D90165">
        <w:t>Jednoczesne podawanie z silnym inhibitorem CYP3A4 itrakonazolem prowadziło do 1,45-krotnego zwiększenia pola powierzchni pod krzywą stężenia wamorolonu w osoczu u zdrowych osób. Zalecana dawka wamorolonu podawanego z silnymi inhibitorami CYP3A4 (np. telitromycyną, klarytromycyną, worykonazolem, sokiem grejpfrutowym) wynosi 4 mg/kg</w:t>
      </w:r>
      <w:r w:rsidR="006943EE">
        <w:t xml:space="preserve"> mc.</w:t>
      </w:r>
      <w:r w:rsidRPr="00D90165">
        <w:t>/dobę.</w:t>
      </w:r>
    </w:p>
    <w:p w14:paraId="75EC51A8" w14:textId="77777777" w:rsidR="009A0098" w:rsidRPr="00D90165" w:rsidRDefault="009A0098" w:rsidP="00855719">
      <w:pPr>
        <w:spacing w:line="240" w:lineRule="auto"/>
        <w:rPr>
          <w:noProof/>
        </w:rPr>
      </w:pPr>
    </w:p>
    <w:p w14:paraId="06059212" w14:textId="77777777" w:rsidR="007D5792" w:rsidRPr="00D90165" w:rsidRDefault="009C4EC4" w:rsidP="00855719">
      <w:pPr>
        <w:spacing w:line="240" w:lineRule="auto"/>
      </w:pPr>
      <w:r w:rsidRPr="00D90165">
        <w:t>Silne induktory CYP3A4 lub silne induktory PXR (np. karbamazepina, fenytoina, ryfampicyna, ziele dziurawca) mogą zmniejszać stężenie wamorolonu w osoczu i prowadzić do braku skuteczności, dlatego należy rozważyć alternatywne metody leczenia, które nie są silnymi induktorami aktywności CYP3A4. Należy zachować ostrożność podczas jednoczesnego stosowania z umiarkowanym induktorem PXR lub CYP3A4 z uwagi na istotne zmniejszenie stężenia wamorolonu w osoczu.</w:t>
      </w:r>
    </w:p>
    <w:p w14:paraId="1EC16FB8" w14:textId="77777777" w:rsidR="00AC05A8" w:rsidRPr="00D90165" w:rsidRDefault="00AC05A8" w:rsidP="00855719">
      <w:pPr>
        <w:spacing w:line="240" w:lineRule="auto"/>
        <w:rPr>
          <w:noProof/>
        </w:rPr>
      </w:pPr>
    </w:p>
    <w:bookmarkEnd w:id="9"/>
    <w:p w14:paraId="7DE79BA4" w14:textId="77777777" w:rsidR="00812D16" w:rsidRPr="00D90165" w:rsidRDefault="009C4EC4" w:rsidP="0056402B">
      <w:pPr>
        <w:keepNext/>
        <w:spacing w:line="240" w:lineRule="auto"/>
        <w:ind w:left="567" w:hanging="567"/>
        <w:outlineLvl w:val="0"/>
        <w:rPr>
          <w:noProof/>
          <w:szCs w:val="22"/>
        </w:rPr>
      </w:pPr>
      <w:r w:rsidRPr="00D90165">
        <w:rPr>
          <w:rStyle w:val="DNEx2"/>
        </w:rPr>
        <w:t>4.6</w:t>
      </w:r>
      <w:r w:rsidRPr="00D90165">
        <w:rPr>
          <w:rStyle w:val="DNEx2"/>
        </w:rPr>
        <w:tab/>
      </w:r>
      <w:r w:rsidRPr="00D90165">
        <w:rPr>
          <w:b/>
        </w:rPr>
        <w:t>Wpływ na płodność, ciążę i laktację</w:t>
      </w:r>
    </w:p>
    <w:p w14:paraId="394ACC74" w14:textId="77777777" w:rsidR="00812D16" w:rsidRPr="00D90165" w:rsidRDefault="00812D16" w:rsidP="0056402B">
      <w:pPr>
        <w:keepNext/>
        <w:spacing w:line="240" w:lineRule="auto"/>
        <w:rPr>
          <w:noProof/>
          <w:szCs w:val="22"/>
        </w:rPr>
      </w:pPr>
    </w:p>
    <w:p w14:paraId="05924AF2" w14:textId="77777777" w:rsidR="005B0EC5" w:rsidRPr="00D90165" w:rsidRDefault="009C4EC4" w:rsidP="0056402B">
      <w:pPr>
        <w:keepNext/>
        <w:spacing w:line="240" w:lineRule="auto"/>
        <w:rPr>
          <w:noProof/>
          <w:u w:val="single"/>
        </w:rPr>
      </w:pPr>
      <w:r w:rsidRPr="00D90165">
        <w:rPr>
          <w:u w:val="single"/>
        </w:rPr>
        <w:t>Ciąża</w:t>
      </w:r>
    </w:p>
    <w:p w14:paraId="5851E05B" w14:textId="77777777" w:rsidR="00071AD3" w:rsidRPr="00D90165" w:rsidRDefault="00071AD3" w:rsidP="0056402B">
      <w:pPr>
        <w:keepNext/>
        <w:spacing w:line="240" w:lineRule="auto"/>
        <w:rPr>
          <w:noProof/>
          <w:u w:val="single"/>
        </w:rPr>
      </w:pPr>
    </w:p>
    <w:p w14:paraId="5818F6F9" w14:textId="475667E3" w:rsidR="005B0EC5" w:rsidRPr="00D90165" w:rsidRDefault="009C4EC4" w:rsidP="00855719">
      <w:pPr>
        <w:spacing w:line="240" w:lineRule="auto"/>
      </w:pPr>
      <w:r w:rsidRPr="00D90165">
        <w:t xml:space="preserve">Brak dostępnych danych dotyczących stosowania wamorolonu u kobiet w ciąży. Badania szkodliwego </w:t>
      </w:r>
      <w:r w:rsidR="006943EE">
        <w:t>wpływu</w:t>
      </w:r>
      <w:r w:rsidR="006943EE" w:rsidRPr="00D90165">
        <w:t xml:space="preserve"> </w:t>
      </w:r>
      <w:r w:rsidRPr="00D90165">
        <w:t>na rozrodczość zwierząt z użyciem wamorolonu</w:t>
      </w:r>
      <w:r w:rsidR="00083E6C">
        <w:t xml:space="preserve"> </w:t>
      </w:r>
      <w:r w:rsidR="00083E6C" w:rsidRPr="00083E6C">
        <w:t>wykazały szkodliwy wpływ na reprodukcję (patrz punkt</w:t>
      </w:r>
      <w:r w:rsidR="00083E6C">
        <w:t> </w:t>
      </w:r>
      <w:r w:rsidR="00083E6C" w:rsidRPr="00083E6C">
        <w:t>5.3)</w:t>
      </w:r>
      <w:r w:rsidRPr="00D90165">
        <w:t>. W badaniach na zwierzętach stosowanie glikokortykokoidów wiązało się z różnymi rodzajami wad rozwojowych (rozszczep podniebienia, wady szkieletu).</w:t>
      </w:r>
    </w:p>
    <w:p w14:paraId="50C78838" w14:textId="77777777" w:rsidR="00FE091B" w:rsidRPr="00D90165" w:rsidRDefault="00FE091B" w:rsidP="00855719">
      <w:pPr>
        <w:spacing w:line="240" w:lineRule="auto"/>
      </w:pPr>
    </w:p>
    <w:p w14:paraId="11C1BD6A" w14:textId="15D8484E" w:rsidR="00D46DAF" w:rsidRPr="00D90165" w:rsidRDefault="009C4EC4" w:rsidP="00855719">
      <w:pPr>
        <w:spacing w:line="240" w:lineRule="auto"/>
      </w:pPr>
      <w:r w:rsidRPr="00D90165">
        <w:t xml:space="preserve">Produktu leczniczego AGAMREE nie należy stosować w okresie ciąży, chyba że stan kliniczny kobiety wymaga </w:t>
      </w:r>
      <w:r w:rsidR="0072336C">
        <w:t>podawa</w:t>
      </w:r>
      <w:r w:rsidRPr="00D90165">
        <w:t>nia wamorolon</w:t>
      </w:r>
      <w:r w:rsidR="0072336C">
        <w:t>u</w:t>
      </w:r>
      <w:r w:rsidRPr="00D90165">
        <w:t>.</w:t>
      </w:r>
    </w:p>
    <w:p w14:paraId="508C42A8" w14:textId="77777777" w:rsidR="00FE091B" w:rsidRPr="00D90165" w:rsidRDefault="00FE091B" w:rsidP="00855719">
      <w:pPr>
        <w:spacing w:line="240" w:lineRule="auto"/>
      </w:pPr>
    </w:p>
    <w:p w14:paraId="2FE5F4E2" w14:textId="2C221FB0" w:rsidR="00D46DAF" w:rsidRPr="00D90165" w:rsidRDefault="009C4EC4" w:rsidP="00855719">
      <w:pPr>
        <w:spacing w:line="240" w:lineRule="auto"/>
        <w:rPr>
          <w:noProof/>
        </w:rPr>
      </w:pPr>
      <w:r w:rsidRPr="00D90165">
        <w:t>Kobiety w wieku rozrodczym muszą stosować skuteczn</w:t>
      </w:r>
      <w:r w:rsidR="00FE6A42">
        <w:t>ą</w:t>
      </w:r>
      <w:r w:rsidRPr="00D90165">
        <w:t xml:space="preserve"> metod</w:t>
      </w:r>
      <w:r w:rsidR="00FE6A42">
        <w:t>ę</w:t>
      </w:r>
      <w:r w:rsidRPr="00D90165">
        <w:t xml:space="preserve"> antykoncepcji w</w:t>
      </w:r>
      <w:r w:rsidR="00FE6A42">
        <w:t> trakcie</w:t>
      </w:r>
      <w:r w:rsidRPr="00D90165">
        <w:t xml:space="preserve"> leczenia produktem leczniczym AGAMREE.</w:t>
      </w:r>
    </w:p>
    <w:p w14:paraId="23F05161" w14:textId="77777777" w:rsidR="005B0EC5" w:rsidRPr="00D90165" w:rsidRDefault="005B0EC5" w:rsidP="00855719">
      <w:pPr>
        <w:spacing w:line="240" w:lineRule="auto"/>
        <w:rPr>
          <w:noProof/>
          <w:szCs w:val="22"/>
        </w:rPr>
      </w:pPr>
    </w:p>
    <w:p w14:paraId="556EB075" w14:textId="77777777" w:rsidR="005B0EC5" w:rsidRPr="00D90165" w:rsidRDefault="009C4EC4" w:rsidP="0056402B">
      <w:pPr>
        <w:keepNext/>
        <w:spacing w:line="240" w:lineRule="auto"/>
        <w:rPr>
          <w:u w:val="single"/>
        </w:rPr>
      </w:pPr>
      <w:r w:rsidRPr="00D90165">
        <w:rPr>
          <w:u w:val="single"/>
        </w:rPr>
        <w:t>Karmienie piersią</w:t>
      </w:r>
    </w:p>
    <w:p w14:paraId="12745784" w14:textId="77777777" w:rsidR="00071AD3" w:rsidRPr="00D90165" w:rsidRDefault="00071AD3" w:rsidP="0056402B">
      <w:pPr>
        <w:keepNext/>
        <w:spacing w:line="240" w:lineRule="auto"/>
        <w:rPr>
          <w:noProof/>
        </w:rPr>
      </w:pPr>
    </w:p>
    <w:p w14:paraId="144E22B8" w14:textId="77777777" w:rsidR="00A20E5A" w:rsidRPr="00D90165" w:rsidRDefault="009C4EC4" w:rsidP="0056402B">
      <w:pPr>
        <w:spacing w:line="240" w:lineRule="auto"/>
        <w:rPr>
          <w:noProof/>
        </w:rPr>
      </w:pPr>
      <w:r w:rsidRPr="00D90165">
        <w:t>Brak danych dotyczących przenikania wamorolonu lub jego metabolitów do mleka ludzkiego. Nie można wykluczyć zagrożenia dla noworodków/niemowląt. Podczas leczenia produktem leczniczym AGAMREE należy przerwać karmienie piersią.</w:t>
      </w:r>
    </w:p>
    <w:p w14:paraId="1496B66D" w14:textId="77777777" w:rsidR="00AC05A8" w:rsidRPr="00D90165" w:rsidRDefault="00AC05A8" w:rsidP="00855719">
      <w:pPr>
        <w:spacing w:line="240" w:lineRule="auto"/>
        <w:rPr>
          <w:b/>
          <w:noProof/>
          <w:szCs w:val="22"/>
        </w:rPr>
      </w:pPr>
    </w:p>
    <w:p w14:paraId="74E1354F" w14:textId="77777777" w:rsidR="005B0EC5" w:rsidRPr="00D90165" w:rsidRDefault="009C4EC4" w:rsidP="0056402B">
      <w:pPr>
        <w:keepNext/>
        <w:spacing w:line="240" w:lineRule="auto"/>
        <w:rPr>
          <w:noProof/>
          <w:u w:val="single"/>
        </w:rPr>
      </w:pPr>
      <w:r w:rsidRPr="00D90165">
        <w:rPr>
          <w:u w:val="single"/>
        </w:rPr>
        <w:t>Płodność</w:t>
      </w:r>
    </w:p>
    <w:p w14:paraId="7EC6FD00" w14:textId="77777777" w:rsidR="00071AD3" w:rsidRPr="00D90165" w:rsidRDefault="00071AD3" w:rsidP="0056402B">
      <w:pPr>
        <w:keepNext/>
        <w:spacing w:line="240" w:lineRule="auto"/>
        <w:rPr>
          <w:noProof/>
        </w:rPr>
      </w:pPr>
    </w:p>
    <w:p w14:paraId="32E4D905" w14:textId="77777777" w:rsidR="00FE091B" w:rsidRPr="00D90165" w:rsidRDefault="009C4EC4" w:rsidP="00855719">
      <w:pPr>
        <w:spacing w:line="240" w:lineRule="auto"/>
        <w:rPr>
          <w:noProof/>
        </w:rPr>
      </w:pPr>
      <w:r w:rsidRPr="00D90165">
        <w:t>Brak danych klinicznych dotyczących wpływu wamorolonu na płodność.</w:t>
      </w:r>
    </w:p>
    <w:p w14:paraId="10665D93" w14:textId="77777777" w:rsidR="502E721B" w:rsidRPr="00D90165" w:rsidRDefault="502E721B" w:rsidP="00855719">
      <w:pPr>
        <w:spacing w:line="240" w:lineRule="auto"/>
      </w:pPr>
    </w:p>
    <w:p w14:paraId="42209231" w14:textId="77777777" w:rsidR="502E721B" w:rsidRPr="00D90165" w:rsidRDefault="009C4EC4" w:rsidP="00855719">
      <w:pPr>
        <w:spacing w:line="240" w:lineRule="auto"/>
      </w:pPr>
      <w:r w:rsidRPr="00D90165">
        <w:t>Długotrwałe leczenie wamorolonem ograniczało płodność samców i samic psów (patrz punkt 5.3).</w:t>
      </w:r>
    </w:p>
    <w:p w14:paraId="769527B5" w14:textId="77777777" w:rsidR="00AC05A8" w:rsidRPr="00D90165" w:rsidRDefault="00AC05A8" w:rsidP="00855719">
      <w:pPr>
        <w:spacing w:line="240" w:lineRule="auto"/>
        <w:jc w:val="both"/>
        <w:rPr>
          <w:noProof/>
          <w:szCs w:val="22"/>
        </w:rPr>
      </w:pPr>
    </w:p>
    <w:p w14:paraId="532136A6" w14:textId="77777777" w:rsidR="00812D16" w:rsidRPr="00D90165" w:rsidRDefault="009C4EC4" w:rsidP="0056402B">
      <w:pPr>
        <w:keepNext/>
        <w:spacing w:line="240" w:lineRule="auto"/>
        <w:ind w:left="567" w:hanging="567"/>
        <w:outlineLvl w:val="0"/>
        <w:rPr>
          <w:noProof/>
          <w:szCs w:val="22"/>
        </w:rPr>
      </w:pPr>
      <w:r w:rsidRPr="00D90165">
        <w:rPr>
          <w:rStyle w:val="DNEx2"/>
        </w:rPr>
        <w:t>4.7</w:t>
      </w:r>
      <w:r w:rsidRPr="00D90165">
        <w:rPr>
          <w:rStyle w:val="DNEx2"/>
        </w:rPr>
        <w:tab/>
      </w:r>
      <w:r w:rsidRPr="00D90165">
        <w:rPr>
          <w:b/>
        </w:rPr>
        <w:t>Wpływ na zdolność prowadzenia pojazdów i obsługiwania maszyn</w:t>
      </w:r>
    </w:p>
    <w:p w14:paraId="3C3A6DB9" w14:textId="77777777" w:rsidR="00812D16" w:rsidRPr="00D90165" w:rsidRDefault="00812D16" w:rsidP="0056402B">
      <w:pPr>
        <w:keepNext/>
        <w:spacing w:line="240" w:lineRule="auto"/>
        <w:rPr>
          <w:noProof/>
          <w:szCs w:val="22"/>
        </w:rPr>
      </w:pPr>
    </w:p>
    <w:p w14:paraId="28902FDF" w14:textId="77777777" w:rsidR="00BA3922" w:rsidRPr="00D90165" w:rsidRDefault="009C4EC4" w:rsidP="00855719">
      <w:pPr>
        <w:spacing w:line="240" w:lineRule="auto"/>
        <w:rPr>
          <w:noProof/>
        </w:rPr>
      </w:pPr>
      <w:r w:rsidRPr="00D90165">
        <w:t>Produkt leczniczy AGAMREE nie ma wpływu na zdolność prowadzenia pojazdów i obsługiwania maszyn.</w:t>
      </w:r>
    </w:p>
    <w:p w14:paraId="3E893370" w14:textId="77777777" w:rsidR="00812D16" w:rsidRPr="00D90165" w:rsidRDefault="00812D16" w:rsidP="00855719">
      <w:pPr>
        <w:spacing w:line="240" w:lineRule="auto"/>
        <w:rPr>
          <w:noProof/>
          <w:szCs w:val="22"/>
        </w:rPr>
      </w:pPr>
    </w:p>
    <w:p w14:paraId="308716B9" w14:textId="77777777" w:rsidR="00812D16" w:rsidRPr="00D90165" w:rsidRDefault="009C4EC4" w:rsidP="0056402B">
      <w:pPr>
        <w:keepNext/>
        <w:spacing w:line="240" w:lineRule="auto"/>
        <w:outlineLvl w:val="0"/>
        <w:rPr>
          <w:b/>
          <w:noProof/>
          <w:szCs w:val="22"/>
        </w:rPr>
      </w:pPr>
      <w:r w:rsidRPr="00D90165">
        <w:rPr>
          <w:rStyle w:val="DNEx2"/>
        </w:rPr>
        <w:t>4.8</w:t>
      </w:r>
      <w:r w:rsidRPr="00D90165">
        <w:rPr>
          <w:rStyle w:val="DNEx2"/>
        </w:rPr>
        <w:tab/>
      </w:r>
      <w:r w:rsidRPr="00D90165">
        <w:rPr>
          <w:b/>
        </w:rPr>
        <w:t>Działania niepożądane</w:t>
      </w:r>
    </w:p>
    <w:p w14:paraId="497F722D" w14:textId="77777777" w:rsidR="00812D16" w:rsidRPr="00D90165" w:rsidRDefault="00812D16" w:rsidP="0056402B">
      <w:pPr>
        <w:keepNext/>
        <w:autoSpaceDE w:val="0"/>
        <w:autoSpaceDN w:val="0"/>
        <w:adjustRightInd w:val="0"/>
        <w:spacing w:line="240" w:lineRule="auto"/>
        <w:jc w:val="both"/>
        <w:rPr>
          <w:noProof/>
          <w:szCs w:val="22"/>
        </w:rPr>
      </w:pPr>
    </w:p>
    <w:p w14:paraId="394C0050" w14:textId="77777777" w:rsidR="005B0EC5" w:rsidRPr="00D90165" w:rsidRDefault="009C4EC4" w:rsidP="0056402B">
      <w:pPr>
        <w:pStyle w:val="NormalWeb"/>
        <w:keepNext/>
        <w:spacing w:before="0" w:beforeAutospacing="0" w:after="0" w:afterAutospacing="0"/>
        <w:rPr>
          <w:noProof/>
          <w:sz w:val="22"/>
          <w:szCs w:val="22"/>
          <w:u w:val="single"/>
        </w:rPr>
      </w:pPr>
      <w:bookmarkStart w:id="10" w:name="_Hlk131173549"/>
      <w:r w:rsidRPr="00D90165">
        <w:rPr>
          <w:sz w:val="22"/>
          <w:u w:val="single"/>
        </w:rPr>
        <w:t>Podsumowanie profilu bezpieczeństwa</w:t>
      </w:r>
    </w:p>
    <w:p w14:paraId="33B4E058" w14:textId="77777777" w:rsidR="008C559B" w:rsidRPr="00D90165" w:rsidRDefault="008C559B" w:rsidP="0056402B">
      <w:pPr>
        <w:keepNext/>
        <w:spacing w:line="240" w:lineRule="auto"/>
        <w:rPr>
          <w:noProof/>
        </w:rPr>
      </w:pPr>
    </w:p>
    <w:p w14:paraId="3D0F5D4C" w14:textId="77777777" w:rsidR="005B0EC5" w:rsidRPr="00D90165" w:rsidRDefault="009C4EC4" w:rsidP="00855719">
      <w:pPr>
        <w:spacing w:line="240" w:lineRule="auto"/>
        <w:rPr>
          <w:noProof/>
        </w:rPr>
      </w:pPr>
      <w:r w:rsidRPr="00D90165">
        <w:t>Najczęściej zgłaszanymi działaniami niepożądanymi w związku ze stosowaniem wamorolonu w dawce 6 mg/kg</w:t>
      </w:r>
      <w:r w:rsidR="006943EE">
        <w:t xml:space="preserve"> mc.</w:t>
      </w:r>
      <w:r w:rsidRPr="00D90165">
        <w:t>/dobę są cechy cushingoidalne (28,6%), wymioty (14,3%), wzrost masy ciała (10,7%) i drażliwość (10,7%). Reakcje te są zależne od dawki, zazwyczaj zgłaszane są w pierwszych miesiącach leczenia i zwykle ulegają zmniejszeniu lub ustabilizowaniu się wraz z upływem czasu podczas ciągłego leczenia.</w:t>
      </w:r>
    </w:p>
    <w:p w14:paraId="117AF179" w14:textId="77777777" w:rsidR="00291191" w:rsidRPr="00D90165" w:rsidRDefault="00291191" w:rsidP="00855719">
      <w:pPr>
        <w:spacing w:line="240" w:lineRule="auto"/>
        <w:rPr>
          <w:noProof/>
        </w:rPr>
      </w:pPr>
    </w:p>
    <w:p w14:paraId="348E5FA9" w14:textId="77777777" w:rsidR="00A43732" w:rsidRPr="00D90165" w:rsidRDefault="009C4EC4" w:rsidP="00855719">
      <w:pPr>
        <w:spacing w:line="240" w:lineRule="auto"/>
        <w:rPr>
          <w:noProof/>
        </w:rPr>
      </w:pPr>
      <w:r w:rsidRPr="00D90165">
        <w:t xml:space="preserve">Wamorolon powoduje supresję osi podwzgórze-przysadka-nadnercze, co jest skorelowane z dawką i czasem trwania leczenia. Ostra niewydolność nadnerczy (przełom nadnerczowy) to </w:t>
      </w:r>
      <w:r w:rsidR="00D72F99">
        <w:t>ciężkie</w:t>
      </w:r>
      <w:r w:rsidR="00D72F99" w:rsidRPr="00D90165">
        <w:t xml:space="preserve"> </w:t>
      </w:r>
      <w:r w:rsidRPr="00D90165">
        <w:t>działanie, które może wystąpić w okresie nasilonego stresu lub w przypadku nagłego zmniejszenia lub wycofania dawki wamorolonu (patrz punkt 4.4).</w:t>
      </w:r>
    </w:p>
    <w:p w14:paraId="54F8B2C8" w14:textId="77777777" w:rsidR="00511139" w:rsidRPr="00D90165" w:rsidRDefault="00511139" w:rsidP="00855719">
      <w:pPr>
        <w:spacing w:line="240" w:lineRule="auto"/>
        <w:rPr>
          <w:noProof/>
        </w:rPr>
      </w:pPr>
    </w:p>
    <w:p w14:paraId="63EF7B12" w14:textId="77777777" w:rsidR="005B0EC5" w:rsidRPr="00D90165" w:rsidRDefault="009C4EC4" w:rsidP="0056402B">
      <w:pPr>
        <w:pStyle w:val="NormalWeb"/>
        <w:keepNext/>
        <w:spacing w:before="0" w:beforeAutospacing="0" w:after="0" w:afterAutospacing="0"/>
        <w:rPr>
          <w:sz w:val="22"/>
          <w:szCs w:val="22"/>
          <w:u w:val="single"/>
        </w:rPr>
      </w:pPr>
      <w:r w:rsidRPr="00D90165">
        <w:rPr>
          <w:sz w:val="22"/>
          <w:u w:val="single"/>
        </w:rPr>
        <w:t>Tabelaryczne zestawienie działań niepożądanych</w:t>
      </w:r>
    </w:p>
    <w:p w14:paraId="75514843" w14:textId="77777777" w:rsidR="005B0EC5" w:rsidRPr="00D90165" w:rsidRDefault="005B0EC5" w:rsidP="0056402B">
      <w:pPr>
        <w:pStyle w:val="NormalWeb"/>
        <w:keepNext/>
        <w:spacing w:before="0" w:beforeAutospacing="0" w:after="0" w:afterAutospacing="0"/>
        <w:rPr>
          <w:noProof/>
          <w:sz w:val="22"/>
          <w:szCs w:val="22"/>
          <w:lang w:eastAsia="en-US"/>
        </w:rPr>
      </w:pPr>
    </w:p>
    <w:p w14:paraId="4A4E33AA" w14:textId="77777777" w:rsidR="005B0EC5" w:rsidRPr="00D90165" w:rsidRDefault="009C4EC4" w:rsidP="00855719">
      <w:pPr>
        <w:spacing w:line="240" w:lineRule="auto"/>
        <w:rPr>
          <w:noProof/>
        </w:rPr>
      </w:pPr>
      <w:r w:rsidRPr="00D90165">
        <w:t>Działania niepożądane są wymienione poniżej zgodnie z klasyfikacją układów i narządów MedDRA oraz częstością występowania. Tabela zawiera działania niepożądane u pacjentów leczonych w badaniu z grupą kontrolną placebo z udziałem pacjentów leczonych wamorolonem w dawce 6 mg/kg/dobę (grupa 1). Częstość występowania zdefiniowano następująco: bardzo często (≥ 1/10), często (≥ 1/100 do &lt; 1/10), niezbyt często (≥ 1/1 000 do &lt; 1/100), rzadko (≥ 1/10 000 do &lt; 1/1 000), bardzo rzadko (&lt; 1/10 000) (w tym przypadki odizolowane), nieznana (częstość nie może być określona na podstawie dostępnych danych).</w:t>
      </w:r>
    </w:p>
    <w:p w14:paraId="3520EE61" w14:textId="72BF8D95" w:rsidR="00CB2283" w:rsidRPr="00D90165" w:rsidRDefault="009C4EC4" w:rsidP="0056402B">
      <w:pPr>
        <w:pStyle w:val="Caption"/>
        <w:rPr>
          <w:b w:val="0"/>
          <w:bCs w:val="0"/>
          <w:highlight w:val="yellow"/>
        </w:rPr>
      </w:pPr>
      <w:r w:rsidRPr="00D90165">
        <w:t>Tabela </w:t>
      </w:r>
      <w:fldSimple w:instr=" SEQ Table \* ARABIC ">
        <w:r w:rsidR="00A037D1">
          <w:rPr>
            <w:noProof/>
          </w:rPr>
          <w:t>2</w:t>
        </w:r>
      </w:fldSimple>
      <w:r w:rsidRPr="00D90165">
        <w:t>:</w:t>
      </w:r>
      <w:r w:rsidRPr="00D90165">
        <w:rPr>
          <w:rStyle w:val="DNEx2"/>
        </w:rPr>
        <w:tab/>
      </w:r>
      <w:r w:rsidRPr="00D90165">
        <w:t>Działania niepożądane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06"/>
        <w:gridCol w:w="3007"/>
        <w:gridCol w:w="3048"/>
      </w:tblGrid>
      <w:tr w:rsidR="005A28CF" w14:paraId="05986E07" w14:textId="77777777" w:rsidTr="0020023D">
        <w:tc>
          <w:tcPr>
            <w:tcW w:w="3006" w:type="dxa"/>
          </w:tcPr>
          <w:p w14:paraId="4B65CF1D" w14:textId="77777777" w:rsidR="00022D78" w:rsidRPr="00D90165" w:rsidRDefault="009C4EC4" w:rsidP="0056402B">
            <w:pPr>
              <w:pStyle w:val="NormalWeb"/>
              <w:keepNext/>
              <w:spacing w:before="0" w:beforeAutospacing="0" w:after="0" w:afterAutospacing="0"/>
              <w:rPr>
                <w:b/>
                <w:bCs/>
                <w:sz w:val="22"/>
                <w:szCs w:val="22"/>
              </w:rPr>
            </w:pPr>
            <w:r w:rsidRPr="00D90165">
              <w:rPr>
                <w:b/>
                <w:sz w:val="22"/>
              </w:rPr>
              <w:t>Klasyfikacja układów i narządów (SOC)</w:t>
            </w:r>
          </w:p>
        </w:tc>
        <w:tc>
          <w:tcPr>
            <w:tcW w:w="3007" w:type="dxa"/>
          </w:tcPr>
          <w:p w14:paraId="1BC75724" w14:textId="77777777" w:rsidR="00022D78" w:rsidRPr="00D90165" w:rsidRDefault="009C4EC4" w:rsidP="0056402B">
            <w:pPr>
              <w:pStyle w:val="NormalWeb"/>
              <w:keepNext/>
              <w:spacing w:before="0" w:beforeAutospacing="0" w:after="0" w:afterAutospacing="0"/>
              <w:rPr>
                <w:b/>
                <w:bCs/>
                <w:sz w:val="22"/>
                <w:szCs w:val="22"/>
              </w:rPr>
            </w:pPr>
            <w:r w:rsidRPr="00D90165">
              <w:rPr>
                <w:b/>
                <w:sz w:val="22"/>
              </w:rPr>
              <w:t>Działanie niepożądane (preferowany termin)</w:t>
            </w:r>
          </w:p>
        </w:tc>
        <w:tc>
          <w:tcPr>
            <w:tcW w:w="3048" w:type="dxa"/>
          </w:tcPr>
          <w:p w14:paraId="4966BE1E" w14:textId="77777777" w:rsidR="00022D78" w:rsidRPr="00D90165" w:rsidRDefault="009C4EC4" w:rsidP="0056402B">
            <w:pPr>
              <w:pStyle w:val="NormalWeb"/>
              <w:keepNext/>
              <w:spacing w:before="0" w:beforeAutospacing="0" w:after="0" w:afterAutospacing="0"/>
              <w:rPr>
                <w:b/>
                <w:sz w:val="22"/>
                <w:szCs w:val="22"/>
              </w:rPr>
            </w:pPr>
            <w:r w:rsidRPr="00D90165">
              <w:rPr>
                <w:b/>
                <w:sz w:val="22"/>
              </w:rPr>
              <w:t>Częstość występowania</w:t>
            </w:r>
          </w:p>
        </w:tc>
      </w:tr>
      <w:tr w:rsidR="005A28CF" w14:paraId="36235146" w14:textId="77777777" w:rsidTr="0020023D">
        <w:tc>
          <w:tcPr>
            <w:tcW w:w="3006" w:type="dxa"/>
          </w:tcPr>
          <w:p w14:paraId="43C1AFF3" w14:textId="77777777" w:rsidR="009A2BAD" w:rsidRPr="00D90165" w:rsidRDefault="009C4EC4" w:rsidP="00855719">
            <w:pPr>
              <w:pStyle w:val="NormalWeb"/>
              <w:spacing w:before="0" w:beforeAutospacing="0" w:after="0" w:afterAutospacing="0"/>
              <w:rPr>
                <w:noProof/>
                <w:sz w:val="22"/>
                <w:szCs w:val="22"/>
              </w:rPr>
            </w:pPr>
            <w:r w:rsidRPr="00D90165">
              <w:rPr>
                <w:sz w:val="22"/>
              </w:rPr>
              <w:t>Zaburzenia endokrynologiczne</w:t>
            </w:r>
          </w:p>
        </w:tc>
        <w:tc>
          <w:tcPr>
            <w:tcW w:w="3007" w:type="dxa"/>
          </w:tcPr>
          <w:p w14:paraId="7887D9F6" w14:textId="77777777" w:rsidR="009A2BAD" w:rsidRPr="00D90165" w:rsidRDefault="009C4EC4" w:rsidP="00855719">
            <w:pPr>
              <w:pStyle w:val="NormalWeb"/>
              <w:spacing w:before="0" w:beforeAutospacing="0" w:after="0" w:afterAutospacing="0"/>
              <w:rPr>
                <w:noProof/>
                <w:sz w:val="22"/>
                <w:szCs w:val="22"/>
              </w:rPr>
            </w:pPr>
            <w:r w:rsidRPr="00D90165">
              <w:rPr>
                <w:sz w:val="22"/>
              </w:rPr>
              <w:t>Cechy cushingoidalne</w:t>
            </w:r>
          </w:p>
        </w:tc>
        <w:tc>
          <w:tcPr>
            <w:tcW w:w="3048" w:type="dxa"/>
          </w:tcPr>
          <w:p w14:paraId="0EC1A6A9" w14:textId="77777777" w:rsidR="009A2BAD" w:rsidRPr="00D90165" w:rsidRDefault="009C4EC4" w:rsidP="00855719">
            <w:pPr>
              <w:pStyle w:val="NormalWeb"/>
              <w:spacing w:before="0" w:beforeAutospacing="0" w:after="0" w:afterAutospacing="0"/>
              <w:rPr>
                <w:noProof/>
                <w:sz w:val="22"/>
                <w:szCs w:val="22"/>
              </w:rPr>
            </w:pPr>
            <w:r w:rsidRPr="00D90165">
              <w:rPr>
                <w:sz w:val="22"/>
              </w:rPr>
              <w:t>Bardzo często</w:t>
            </w:r>
          </w:p>
        </w:tc>
      </w:tr>
      <w:tr w:rsidR="005A28CF" w14:paraId="29CABFF2" w14:textId="77777777" w:rsidTr="00F4459A">
        <w:tc>
          <w:tcPr>
            <w:tcW w:w="3006" w:type="dxa"/>
          </w:tcPr>
          <w:p w14:paraId="03F1C6E5" w14:textId="77777777" w:rsidR="000318E0" w:rsidRPr="00D90165" w:rsidRDefault="009C4EC4" w:rsidP="00855719">
            <w:pPr>
              <w:pStyle w:val="NormalWeb"/>
              <w:spacing w:before="0" w:beforeAutospacing="0" w:after="0" w:afterAutospacing="0"/>
              <w:rPr>
                <w:noProof/>
                <w:sz w:val="22"/>
                <w:szCs w:val="22"/>
              </w:rPr>
            </w:pPr>
            <w:r w:rsidRPr="00D90165">
              <w:rPr>
                <w:sz w:val="22"/>
              </w:rPr>
              <w:t>Zaburzenia metabolizmu i odżywiania</w:t>
            </w:r>
          </w:p>
        </w:tc>
        <w:tc>
          <w:tcPr>
            <w:tcW w:w="3007" w:type="dxa"/>
          </w:tcPr>
          <w:p w14:paraId="6D67F836" w14:textId="77777777" w:rsidR="000318E0" w:rsidRPr="00D90165" w:rsidRDefault="009C4EC4" w:rsidP="00855719">
            <w:pPr>
              <w:pStyle w:val="NormalWeb"/>
              <w:spacing w:before="0" w:beforeAutospacing="0" w:after="0" w:afterAutospacing="0"/>
              <w:rPr>
                <w:noProof/>
                <w:sz w:val="22"/>
                <w:szCs w:val="22"/>
              </w:rPr>
            </w:pPr>
            <w:r w:rsidRPr="00D90165">
              <w:rPr>
                <w:sz w:val="22"/>
              </w:rPr>
              <w:t>Przyrost masy ciała</w:t>
            </w:r>
          </w:p>
          <w:p w14:paraId="48AA1239" w14:textId="77777777" w:rsidR="000318E0" w:rsidRPr="00D90165" w:rsidRDefault="009C4EC4" w:rsidP="00855719">
            <w:pPr>
              <w:pStyle w:val="NormalWeb"/>
              <w:spacing w:before="0" w:beforeAutospacing="0" w:after="0" w:afterAutospacing="0"/>
              <w:rPr>
                <w:noProof/>
                <w:sz w:val="22"/>
                <w:szCs w:val="22"/>
              </w:rPr>
            </w:pPr>
            <w:r w:rsidRPr="00D90165">
              <w:rPr>
                <w:sz w:val="22"/>
              </w:rPr>
              <w:t>Zwiększone łaknienie</w:t>
            </w:r>
          </w:p>
        </w:tc>
        <w:tc>
          <w:tcPr>
            <w:tcW w:w="3048" w:type="dxa"/>
          </w:tcPr>
          <w:p w14:paraId="3F89F00C" w14:textId="77777777" w:rsidR="000318E0" w:rsidRPr="00D90165" w:rsidRDefault="009C4EC4" w:rsidP="00855719">
            <w:pPr>
              <w:pStyle w:val="NormalWeb"/>
              <w:spacing w:before="0" w:beforeAutospacing="0" w:after="0" w:afterAutospacing="0"/>
              <w:rPr>
                <w:noProof/>
                <w:sz w:val="22"/>
                <w:szCs w:val="22"/>
              </w:rPr>
            </w:pPr>
            <w:r w:rsidRPr="00D90165">
              <w:rPr>
                <w:sz w:val="22"/>
              </w:rPr>
              <w:t>Bardzo często</w:t>
            </w:r>
          </w:p>
        </w:tc>
      </w:tr>
      <w:tr w:rsidR="005A28CF" w14:paraId="5261D6BE" w14:textId="77777777" w:rsidTr="00F4459A">
        <w:tc>
          <w:tcPr>
            <w:tcW w:w="3006" w:type="dxa"/>
          </w:tcPr>
          <w:p w14:paraId="62327A9B" w14:textId="77777777" w:rsidR="000318E0" w:rsidRPr="00D90165" w:rsidRDefault="009C4EC4" w:rsidP="00855719">
            <w:pPr>
              <w:pStyle w:val="NormalWeb"/>
              <w:spacing w:before="0" w:beforeAutospacing="0" w:after="0" w:afterAutospacing="0"/>
              <w:rPr>
                <w:noProof/>
                <w:sz w:val="22"/>
                <w:szCs w:val="22"/>
              </w:rPr>
            </w:pPr>
            <w:r w:rsidRPr="00D90165">
              <w:rPr>
                <w:sz w:val="22"/>
              </w:rPr>
              <w:t>Zaburzenia psychiczne</w:t>
            </w:r>
          </w:p>
        </w:tc>
        <w:tc>
          <w:tcPr>
            <w:tcW w:w="3007" w:type="dxa"/>
          </w:tcPr>
          <w:p w14:paraId="45968864" w14:textId="77777777" w:rsidR="000318E0" w:rsidRPr="00D90165" w:rsidRDefault="009C4EC4" w:rsidP="00855719">
            <w:pPr>
              <w:pStyle w:val="NormalWeb"/>
              <w:spacing w:before="0" w:beforeAutospacing="0" w:after="0" w:afterAutospacing="0"/>
              <w:rPr>
                <w:noProof/>
                <w:sz w:val="22"/>
                <w:szCs w:val="22"/>
              </w:rPr>
            </w:pPr>
            <w:r w:rsidRPr="00D90165">
              <w:rPr>
                <w:sz w:val="22"/>
              </w:rPr>
              <w:t>Drażliwość</w:t>
            </w:r>
          </w:p>
        </w:tc>
        <w:tc>
          <w:tcPr>
            <w:tcW w:w="3048" w:type="dxa"/>
          </w:tcPr>
          <w:p w14:paraId="3AFB3660" w14:textId="77777777" w:rsidR="000318E0" w:rsidRPr="00D90165" w:rsidRDefault="009C4EC4" w:rsidP="00855719">
            <w:pPr>
              <w:pStyle w:val="NormalWeb"/>
              <w:spacing w:before="0" w:beforeAutospacing="0" w:after="0" w:afterAutospacing="0"/>
              <w:rPr>
                <w:noProof/>
                <w:sz w:val="22"/>
                <w:szCs w:val="22"/>
              </w:rPr>
            </w:pPr>
            <w:r w:rsidRPr="00D90165">
              <w:rPr>
                <w:sz w:val="22"/>
              </w:rPr>
              <w:t>Bardzo często</w:t>
            </w:r>
          </w:p>
        </w:tc>
      </w:tr>
      <w:tr w:rsidR="005A28CF" w14:paraId="196E0763" w14:textId="77777777" w:rsidTr="0020023D">
        <w:tc>
          <w:tcPr>
            <w:tcW w:w="3006" w:type="dxa"/>
          </w:tcPr>
          <w:p w14:paraId="0E781703" w14:textId="77777777" w:rsidR="000318E0" w:rsidRPr="00D90165" w:rsidRDefault="009C4EC4" w:rsidP="00855719">
            <w:pPr>
              <w:pStyle w:val="NormalWeb"/>
              <w:spacing w:before="0" w:beforeAutospacing="0" w:after="0" w:afterAutospacing="0"/>
              <w:rPr>
                <w:noProof/>
                <w:sz w:val="22"/>
                <w:szCs w:val="22"/>
              </w:rPr>
            </w:pPr>
            <w:r w:rsidRPr="00D90165">
              <w:rPr>
                <w:sz w:val="22"/>
              </w:rPr>
              <w:t>Zaburzenia żołądka i jelit</w:t>
            </w:r>
          </w:p>
        </w:tc>
        <w:tc>
          <w:tcPr>
            <w:tcW w:w="3007" w:type="dxa"/>
          </w:tcPr>
          <w:p w14:paraId="3017755B" w14:textId="77777777" w:rsidR="000318E0" w:rsidRPr="00D90165" w:rsidRDefault="009C4EC4" w:rsidP="00855719">
            <w:pPr>
              <w:pStyle w:val="NormalWeb"/>
              <w:spacing w:before="0" w:beforeAutospacing="0" w:after="0" w:afterAutospacing="0"/>
              <w:rPr>
                <w:noProof/>
                <w:sz w:val="22"/>
                <w:szCs w:val="22"/>
              </w:rPr>
            </w:pPr>
            <w:r w:rsidRPr="00D90165">
              <w:rPr>
                <w:sz w:val="22"/>
              </w:rPr>
              <w:t>Wymioty</w:t>
            </w:r>
          </w:p>
          <w:p w14:paraId="0EFDDE6E" w14:textId="77777777" w:rsidR="000318E0" w:rsidRPr="00D90165" w:rsidRDefault="009C4EC4" w:rsidP="00855719">
            <w:pPr>
              <w:pStyle w:val="NormalWeb"/>
              <w:spacing w:before="0" w:beforeAutospacing="0" w:after="0" w:afterAutospacing="0"/>
              <w:rPr>
                <w:noProof/>
                <w:sz w:val="22"/>
                <w:szCs w:val="22"/>
              </w:rPr>
            </w:pPr>
            <w:r w:rsidRPr="00D90165">
              <w:rPr>
                <w:sz w:val="22"/>
              </w:rPr>
              <w:t>Ból brzucha</w:t>
            </w:r>
          </w:p>
          <w:p w14:paraId="3C4AE88B" w14:textId="77777777" w:rsidR="000318E0" w:rsidRPr="00D90165" w:rsidRDefault="009C4EC4" w:rsidP="00855719">
            <w:pPr>
              <w:pStyle w:val="NormalWeb"/>
              <w:spacing w:before="0" w:beforeAutospacing="0" w:after="0" w:afterAutospacing="0"/>
              <w:rPr>
                <w:noProof/>
                <w:sz w:val="22"/>
                <w:szCs w:val="22"/>
              </w:rPr>
            </w:pPr>
            <w:r w:rsidRPr="00D90165">
              <w:rPr>
                <w:sz w:val="22"/>
              </w:rPr>
              <w:t>Ból w nadbrzuszu</w:t>
            </w:r>
          </w:p>
          <w:p w14:paraId="20C7FA62" w14:textId="77777777" w:rsidR="000318E0" w:rsidRPr="00D90165" w:rsidRDefault="009C4EC4" w:rsidP="00855719">
            <w:pPr>
              <w:pStyle w:val="NormalWeb"/>
              <w:spacing w:before="0" w:beforeAutospacing="0" w:after="0" w:afterAutospacing="0"/>
              <w:rPr>
                <w:noProof/>
                <w:sz w:val="22"/>
                <w:szCs w:val="22"/>
              </w:rPr>
            </w:pPr>
            <w:r w:rsidRPr="00D90165">
              <w:rPr>
                <w:sz w:val="22"/>
              </w:rPr>
              <w:t>Biegunka</w:t>
            </w:r>
          </w:p>
        </w:tc>
        <w:tc>
          <w:tcPr>
            <w:tcW w:w="3048" w:type="dxa"/>
          </w:tcPr>
          <w:p w14:paraId="32DD4BEE" w14:textId="77777777" w:rsidR="000318E0" w:rsidRPr="00D90165" w:rsidRDefault="009C4EC4" w:rsidP="00855719">
            <w:pPr>
              <w:pStyle w:val="NormalWeb"/>
              <w:spacing w:before="0" w:beforeAutospacing="0" w:after="0" w:afterAutospacing="0"/>
              <w:rPr>
                <w:noProof/>
                <w:sz w:val="22"/>
                <w:szCs w:val="22"/>
              </w:rPr>
            </w:pPr>
            <w:r w:rsidRPr="00D90165">
              <w:rPr>
                <w:sz w:val="22"/>
              </w:rPr>
              <w:t>Bardzo często</w:t>
            </w:r>
          </w:p>
          <w:p w14:paraId="6EB6CA7E" w14:textId="77777777" w:rsidR="00AC6ECE" w:rsidRPr="00D90165" w:rsidRDefault="009C4EC4" w:rsidP="00855719">
            <w:pPr>
              <w:pStyle w:val="NormalWeb"/>
              <w:spacing w:before="0" w:beforeAutospacing="0" w:after="0" w:afterAutospacing="0"/>
              <w:rPr>
                <w:sz w:val="22"/>
                <w:szCs w:val="22"/>
              </w:rPr>
            </w:pPr>
            <w:r w:rsidRPr="00D90165">
              <w:rPr>
                <w:sz w:val="22"/>
              </w:rPr>
              <w:t>Często</w:t>
            </w:r>
          </w:p>
          <w:p w14:paraId="7583263A" w14:textId="77777777" w:rsidR="00AC6ECE" w:rsidRPr="00D90165" w:rsidRDefault="009C4EC4" w:rsidP="00855719">
            <w:pPr>
              <w:pStyle w:val="NormalWeb"/>
              <w:spacing w:before="0" w:beforeAutospacing="0" w:after="0" w:afterAutospacing="0"/>
              <w:rPr>
                <w:sz w:val="22"/>
                <w:szCs w:val="22"/>
              </w:rPr>
            </w:pPr>
            <w:r w:rsidRPr="00D90165">
              <w:rPr>
                <w:sz w:val="22"/>
              </w:rPr>
              <w:t>Często</w:t>
            </w:r>
          </w:p>
          <w:p w14:paraId="435E72FC" w14:textId="77777777" w:rsidR="00AC6ECE" w:rsidRPr="00D90165" w:rsidRDefault="009C4EC4" w:rsidP="00855719">
            <w:pPr>
              <w:pStyle w:val="NormalWeb"/>
              <w:spacing w:before="0" w:beforeAutospacing="0" w:after="0" w:afterAutospacing="0"/>
              <w:rPr>
                <w:sz w:val="22"/>
                <w:szCs w:val="22"/>
              </w:rPr>
            </w:pPr>
            <w:r w:rsidRPr="00D90165">
              <w:rPr>
                <w:sz w:val="22"/>
              </w:rPr>
              <w:t>Często</w:t>
            </w:r>
          </w:p>
        </w:tc>
      </w:tr>
      <w:tr w:rsidR="005A28CF" w14:paraId="0E012B87" w14:textId="77777777" w:rsidTr="0020023D">
        <w:tc>
          <w:tcPr>
            <w:tcW w:w="3006" w:type="dxa"/>
          </w:tcPr>
          <w:p w14:paraId="2D1E32A3" w14:textId="77777777" w:rsidR="00F4459A" w:rsidRPr="00D90165" w:rsidRDefault="009C4EC4" w:rsidP="00855719">
            <w:pPr>
              <w:pStyle w:val="NormalWeb"/>
              <w:spacing w:before="0" w:beforeAutospacing="0" w:after="0" w:afterAutospacing="0"/>
              <w:rPr>
                <w:noProof/>
                <w:sz w:val="22"/>
                <w:szCs w:val="22"/>
              </w:rPr>
            </w:pPr>
            <w:r w:rsidRPr="00D90165">
              <w:rPr>
                <w:sz w:val="22"/>
              </w:rPr>
              <w:t>Zaburzenia układu nerwowego</w:t>
            </w:r>
          </w:p>
        </w:tc>
        <w:tc>
          <w:tcPr>
            <w:tcW w:w="3007" w:type="dxa"/>
          </w:tcPr>
          <w:p w14:paraId="7A89709A" w14:textId="77777777" w:rsidR="00F4459A" w:rsidRPr="00D90165" w:rsidRDefault="009C4EC4" w:rsidP="00855719">
            <w:pPr>
              <w:pStyle w:val="NormalWeb"/>
              <w:spacing w:before="0" w:beforeAutospacing="0" w:after="0" w:afterAutospacing="0"/>
              <w:rPr>
                <w:noProof/>
                <w:sz w:val="22"/>
                <w:szCs w:val="22"/>
              </w:rPr>
            </w:pPr>
            <w:r w:rsidRPr="00D90165">
              <w:rPr>
                <w:sz w:val="22"/>
              </w:rPr>
              <w:t>Ból głowy</w:t>
            </w:r>
          </w:p>
        </w:tc>
        <w:tc>
          <w:tcPr>
            <w:tcW w:w="3048" w:type="dxa"/>
          </w:tcPr>
          <w:p w14:paraId="05B1B88A" w14:textId="77777777" w:rsidR="00F4459A" w:rsidRPr="00D90165" w:rsidRDefault="009C4EC4" w:rsidP="00855719">
            <w:pPr>
              <w:pStyle w:val="NormalWeb"/>
              <w:spacing w:before="0" w:beforeAutospacing="0" w:after="0" w:afterAutospacing="0"/>
              <w:rPr>
                <w:noProof/>
                <w:sz w:val="22"/>
                <w:szCs w:val="22"/>
              </w:rPr>
            </w:pPr>
            <w:r w:rsidRPr="00D90165">
              <w:rPr>
                <w:sz w:val="22"/>
              </w:rPr>
              <w:t>Często</w:t>
            </w:r>
          </w:p>
        </w:tc>
      </w:tr>
    </w:tbl>
    <w:p w14:paraId="5DEF7FA8" w14:textId="77777777" w:rsidR="007B78CF" w:rsidRPr="00D90165" w:rsidRDefault="007B78CF" w:rsidP="00855719">
      <w:pPr>
        <w:jc w:val="both"/>
        <w:rPr>
          <w:i/>
        </w:rPr>
      </w:pPr>
    </w:p>
    <w:p w14:paraId="480130EA" w14:textId="77777777" w:rsidR="005B0EC5" w:rsidRPr="00D90165" w:rsidRDefault="009C4EC4" w:rsidP="0056402B">
      <w:pPr>
        <w:pStyle w:val="NormalWeb"/>
        <w:keepNext/>
        <w:spacing w:before="0" w:beforeAutospacing="0" w:after="0" w:afterAutospacing="0"/>
        <w:rPr>
          <w:sz w:val="22"/>
          <w:szCs w:val="22"/>
          <w:u w:val="single"/>
        </w:rPr>
      </w:pPr>
      <w:r w:rsidRPr="00D90165">
        <w:rPr>
          <w:sz w:val="22"/>
          <w:u w:val="single"/>
        </w:rPr>
        <w:t>Opis wybranych działań niepożądanych</w:t>
      </w:r>
    </w:p>
    <w:p w14:paraId="70BE5586" w14:textId="77777777" w:rsidR="00FC4301" w:rsidRPr="00D90165" w:rsidRDefault="00FC4301" w:rsidP="0056402B">
      <w:pPr>
        <w:pStyle w:val="NormalWeb"/>
        <w:keepNext/>
        <w:spacing w:before="0" w:beforeAutospacing="0" w:after="0" w:afterAutospacing="0"/>
        <w:rPr>
          <w:sz w:val="22"/>
          <w:szCs w:val="22"/>
          <w:lang w:eastAsia="en-US"/>
        </w:rPr>
      </w:pPr>
    </w:p>
    <w:p w14:paraId="50E3F1AF" w14:textId="77777777" w:rsidR="005B0EC5" w:rsidRPr="00D90165" w:rsidRDefault="009C4EC4" w:rsidP="0056402B">
      <w:pPr>
        <w:pStyle w:val="NormalWeb"/>
        <w:keepNext/>
        <w:spacing w:before="0" w:beforeAutospacing="0" w:after="0" w:afterAutospacing="0"/>
        <w:rPr>
          <w:i/>
          <w:iCs/>
          <w:sz w:val="22"/>
          <w:szCs w:val="22"/>
        </w:rPr>
      </w:pPr>
      <w:r w:rsidRPr="00D90165">
        <w:rPr>
          <w:i/>
          <w:sz w:val="22"/>
        </w:rPr>
        <w:t>Cechy cushingoidalne</w:t>
      </w:r>
    </w:p>
    <w:p w14:paraId="53BBB817" w14:textId="77777777" w:rsidR="005B0EC5" w:rsidRPr="00D90165" w:rsidRDefault="009C4EC4" w:rsidP="00855719">
      <w:pPr>
        <w:pStyle w:val="NormalWeb"/>
        <w:spacing w:before="0" w:beforeAutospacing="0" w:after="0" w:afterAutospacing="0"/>
        <w:rPr>
          <w:sz w:val="22"/>
          <w:szCs w:val="22"/>
        </w:rPr>
      </w:pPr>
      <w:r w:rsidRPr="00D90165">
        <w:rPr>
          <w:sz w:val="22"/>
        </w:rPr>
        <w:t>Najczęściej zgłaszanym działaniem niepożądanym związanym ze stosowaniem wamorolonu w dawce 6 mg/kg</w:t>
      </w:r>
      <w:r w:rsidR="00D72F99">
        <w:rPr>
          <w:sz w:val="22"/>
        </w:rPr>
        <w:t xml:space="preserve"> mc.</w:t>
      </w:r>
      <w:r w:rsidRPr="00D90165">
        <w:rPr>
          <w:sz w:val="22"/>
        </w:rPr>
        <w:t>/dobę (28,6%) były cechy cushingoidalne (hiperkortyzolizm). Częstość występowania cech cushingoidalnych była mniejsza w grupie przyjmującej wamorolon w dawce 2 mg/kg</w:t>
      </w:r>
      <w:r w:rsidR="00D72F99">
        <w:rPr>
          <w:sz w:val="22"/>
        </w:rPr>
        <w:t xml:space="preserve"> mc.</w:t>
      </w:r>
      <w:r w:rsidRPr="00D90165">
        <w:rPr>
          <w:sz w:val="22"/>
        </w:rPr>
        <w:t>/dobę (6,7%). W badaniu klinicznym cechy cushingoidalne zgłaszano jako „przyrost masy ciała na twarzy” o nasileniu łagodnym do umiarkowanego lub „zaokrągloną twarz”. U większości pacjentów w ciągu pierwszych 6 miesięcy leczenia wystąpiły cechy cushingoidalne (28,6% w miesiącach od 0 do 6 w porównaniu z 3,6% w miesiącach od 6 do 12 w przypadku stosowania wamorolonu w dawce 6 mg/kg</w:t>
      </w:r>
      <w:r w:rsidR="00D72F99">
        <w:rPr>
          <w:sz w:val="22"/>
        </w:rPr>
        <w:t xml:space="preserve"> </w:t>
      </w:r>
      <w:bookmarkStart w:id="11" w:name="_Hlk149737001"/>
      <w:r w:rsidR="00D72F99">
        <w:rPr>
          <w:sz w:val="22"/>
        </w:rPr>
        <w:t>mc.</w:t>
      </w:r>
      <w:bookmarkEnd w:id="11"/>
      <w:r w:rsidRPr="00D90165">
        <w:rPr>
          <w:sz w:val="22"/>
        </w:rPr>
        <w:t>/dobę), które nie skutkowały przerwaniem leczenia.</w:t>
      </w:r>
    </w:p>
    <w:p w14:paraId="63922B50" w14:textId="77777777" w:rsidR="00273F12" w:rsidRPr="00D90165" w:rsidRDefault="00273F12" w:rsidP="00855719">
      <w:pPr>
        <w:pStyle w:val="NormalWeb"/>
        <w:spacing w:before="0" w:beforeAutospacing="0" w:after="0" w:afterAutospacing="0"/>
        <w:rPr>
          <w:i/>
          <w:sz w:val="22"/>
          <w:szCs w:val="22"/>
          <w:lang w:eastAsia="en-US"/>
        </w:rPr>
      </w:pPr>
    </w:p>
    <w:p w14:paraId="7994778C" w14:textId="77777777" w:rsidR="009B451C" w:rsidRPr="00D90165" w:rsidRDefault="009C4EC4" w:rsidP="0056402B">
      <w:pPr>
        <w:pStyle w:val="NormalWeb"/>
        <w:keepNext/>
        <w:spacing w:before="0" w:beforeAutospacing="0" w:after="0" w:afterAutospacing="0"/>
        <w:rPr>
          <w:i/>
          <w:sz w:val="22"/>
          <w:szCs w:val="22"/>
        </w:rPr>
      </w:pPr>
      <w:r w:rsidRPr="00D90165">
        <w:rPr>
          <w:i/>
          <w:sz w:val="22"/>
        </w:rPr>
        <w:t>Zaburzenia zachowania</w:t>
      </w:r>
    </w:p>
    <w:p w14:paraId="4FBB2DBE" w14:textId="77777777" w:rsidR="00FF53A3" w:rsidRPr="00D90165" w:rsidRDefault="009C4EC4" w:rsidP="00855719">
      <w:pPr>
        <w:pStyle w:val="NormalWeb"/>
        <w:spacing w:before="0" w:beforeAutospacing="0" w:after="0" w:afterAutospacing="0"/>
        <w:rPr>
          <w:rFonts w:ascii="CIDFont+F1" w:eastAsia="CIDFont+F1" w:cs="CIDFont+F1"/>
          <w:sz w:val="20"/>
          <w:szCs w:val="20"/>
        </w:rPr>
      </w:pPr>
      <w:r w:rsidRPr="00D90165">
        <w:rPr>
          <w:sz w:val="22"/>
        </w:rPr>
        <w:t>Zaburzenia zachowania zgłaszano w ciągu pierwszych 6 miesięcy leczenia z większą częstością w przypadku wamorolonu w dawce 6 mg/kg/dobę (21,4%) niż w przypadku wamorolonu w dawce 2 mg/kg</w:t>
      </w:r>
      <w:r w:rsidR="00D72F99" w:rsidRPr="00D72F99">
        <w:rPr>
          <w:sz w:val="22"/>
        </w:rPr>
        <w:t xml:space="preserve"> </w:t>
      </w:r>
      <w:r w:rsidR="00D72F99">
        <w:rPr>
          <w:sz w:val="22"/>
        </w:rPr>
        <w:t>mc.</w:t>
      </w:r>
      <w:r w:rsidRPr="00D90165">
        <w:rPr>
          <w:sz w:val="22"/>
        </w:rPr>
        <w:t>/dobę (16,7%) lub placebo (13,8%), ze względu na zwiększoną częstość zdarzeń określanych jako łagodna drażliwość (10,7% w przypadku dawki 6 mg/kg</w:t>
      </w:r>
      <w:r w:rsidR="00D72F99" w:rsidRPr="00D72F99">
        <w:rPr>
          <w:sz w:val="22"/>
        </w:rPr>
        <w:t xml:space="preserve"> </w:t>
      </w:r>
      <w:r w:rsidR="00D72F99">
        <w:rPr>
          <w:sz w:val="22"/>
        </w:rPr>
        <w:t>mc.</w:t>
      </w:r>
      <w:r w:rsidRPr="00D90165">
        <w:rPr>
          <w:sz w:val="22"/>
        </w:rPr>
        <w:t>/dobę, żaden pacjent w przypadku dawki 2 mg/kg</w:t>
      </w:r>
      <w:r w:rsidR="00D72F99" w:rsidRPr="00D72F99">
        <w:rPr>
          <w:sz w:val="22"/>
        </w:rPr>
        <w:t xml:space="preserve"> </w:t>
      </w:r>
      <w:r w:rsidR="00D72F99">
        <w:rPr>
          <w:sz w:val="22"/>
        </w:rPr>
        <w:t>mc.</w:t>
      </w:r>
      <w:r w:rsidRPr="00D90165">
        <w:rPr>
          <w:sz w:val="22"/>
        </w:rPr>
        <w:t xml:space="preserve">/dobę lub placebo). Większość zaburzeń zachowania wystąpiło w ciągu </w:t>
      </w:r>
      <w:r w:rsidRPr="00D90165">
        <w:rPr>
          <w:sz w:val="22"/>
        </w:rPr>
        <w:lastRenderedPageBreak/>
        <w:t>pierwszych 3 miesięcy leczenia i ustąpiło bez przerywania leczenia. Pomiędzy 6. a 12. miesiącem częstość zaburzeń zachowania zmniejszyła się w przypadku obu dawek wamorolonu (10,7% dla wamorolonu w dawce 6 mg/kg</w:t>
      </w:r>
      <w:r w:rsidR="00D72F99" w:rsidRPr="00D72F99">
        <w:rPr>
          <w:sz w:val="22"/>
        </w:rPr>
        <w:t xml:space="preserve"> </w:t>
      </w:r>
      <w:r w:rsidR="00D72F99">
        <w:rPr>
          <w:sz w:val="22"/>
        </w:rPr>
        <w:t>mc.</w:t>
      </w:r>
      <w:r w:rsidRPr="00D90165">
        <w:rPr>
          <w:sz w:val="22"/>
        </w:rPr>
        <w:t>/dobę i 7,1% dla wamorolonu w dawce 2 mg/kg</w:t>
      </w:r>
      <w:r w:rsidR="00D72F99" w:rsidRPr="00D72F99">
        <w:rPr>
          <w:sz w:val="22"/>
        </w:rPr>
        <w:t xml:space="preserve"> </w:t>
      </w:r>
      <w:r w:rsidR="00D72F99">
        <w:rPr>
          <w:sz w:val="22"/>
        </w:rPr>
        <w:t>mc.</w:t>
      </w:r>
      <w:r w:rsidRPr="00D90165">
        <w:rPr>
          <w:sz w:val="22"/>
        </w:rPr>
        <w:t>/dobę).</w:t>
      </w:r>
    </w:p>
    <w:p w14:paraId="5AD6C3D7" w14:textId="77777777" w:rsidR="009B451C" w:rsidRPr="00D90165" w:rsidRDefault="009B451C" w:rsidP="00855719">
      <w:pPr>
        <w:pStyle w:val="NormalWeb"/>
        <w:spacing w:before="0" w:beforeAutospacing="0" w:after="0" w:afterAutospacing="0"/>
        <w:rPr>
          <w:sz w:val="22"/>
          <w:szCs w:val="22"/>
          <w:u w:val="single"/>
          <w:lang w:eastAsia="en-US"/>
        </w:rPr>
      </w:pPr>
    </w:p>
    <w:p w14:paraId="7C23E592" w14:textId="77777777" w:rsidR="00CE2F86" w:rsidRPr="00D90165" w:rsidRDefault="009C4EC4" w:rsidP="0056402B">
      <w:pPr>
        <w:pStyle w:val="NormalWeb"/>
        <w:keepNext/>
        <w:spacing w:before="0" w:beforeAutospacing="0" w:after="0" w:afterAutospacing="0"/>
        <w:rPr>
          <w:i/>
          <w:sz w:val="22"/>
          <w:szCs w:val="22"/>
        </w:rPr>
      </w:pPr>
      <w:r w:rsidRPr="00D90165">
        <w:rPr>
          <w:i/>
          <w:sz w:val="22"/>
        </w:rPr>
        <w:t>Przyrost masy ciała</w:t>
      </w:r>
    </w:p>
    <w:p w14:paraId="082B0369" w14:textId="77777777" w:rsidR="0F602ACC" w:rsidRPr="00D90165" w:rsidRDefault="009C4EC4" w:rsidP="00855719">
      <w:pPr>
        <w:pStyle w:val="C-BodyText"/>
        <w:spacing w:before="0" w:after="0" w:line="240" w:lineRule="auto"/>
        <w:rPr>
          <w:sz w:val="22"/>
          <w:szCs w:val="22"/>
        </w:rPr>
      </w:pPr>
      <w:r w:rsidRPr="00D90165">
        <w:rPr>
          <w:sz w:val="22"/>
        </w:rPr>
        <w:t>Wamorolon jest związany ze zwiększeniem apetytu i masy ciała. Większość zdarzeń związanych ze zwiększeniem masy ciała w grupie otrzymującej wamorolon w dawce 6 mg/kg</w:t>
      </w:r>
      <w:r w:rsidR="00D72F99" w:rsidRPr="00D72F99">
        <w:rPr>
          <w:sz w:val="22"/>
        </w:rPr>
        <w:t xml:space="preserve"> </w:t>
      </w:r>
      <w:r w:rsidR="00D72F99">
        <w:rPr>
          <w:sz w:val="22"/>
        </w:rPr>
        <w:t>mc.</w:t>
      </w:r>
      <w:r w:rsidRPr="00D90165">
        <w:rPr>
          <w:sz w:val="22"/>
        </w:rPr>
        <w:t>/dobę obserwowano w ciągu pierwszych 6 miesięcy leczenia (17,9% w miesiącach 0 do 6 w porównaniu z 0% w miesiącach od 6 do 12). Zwiększenie masy ciała było podobne w grupie otrzymującej wamorolon w dawce 2 mg/kg</w:t>
      </w:r>
      <w:r w:rsidR="00D72F99" w:rsidRPr="00D72F99">
        <w:rPr>
          <w:sz w:val="22"/>
        </w:rPr>
        <w:t xml:space="preserve"> </w:t>
      </w:r>
      <w:r w:rsidR="00D72F99">
        <w:rPr>
          <w:sz w:val="22"/>
        </w:rPr>
        <w:t>mc.</w:t>
      </w:r>
      <w:r w:rsidRPr="00D90165">
        <w:rPr>
          <w:sz w:val="22"/>
        </w:rPr>
        <w:t>/dobę (3,3%) i placebo (6,9%). Przed rozpoczęciem leczenia i w jego trakcie należy zapewnić odpowiednie do wieku zalecenia żywieniowe zgodnie z ogólnymi zaleceniami dotyczącymi zasad odżywiania się pacjentów z DMD (patrz punkt 4.4).</w:t>
      </w:r>
    </w:p>
    <w:p w14:paraId="752E7FE0" w14:textId="77777777" w:rsidR="4893E003" w:rsidRPr="00D90165" w:rsidRDefault="4893E003" w:rsidP="00855719">
      <w:pPr>
        <w:pStyle w:val="C-BodyText"/>
        <w:spacing w:before="0" w:after="0" w:line="240" w:lineRule="auto"/>
        <w:rPr>
          <w:sz w:val="22"/>
          <w:szCs w:val="22"/>
          <w:lang w:eastAsia="en-US"/>
        </w:rPr>
      </w:pPr>
    </w:p>
    <w:p w14:paraId="13EC9F13" w14:textId="77777777" w:rsidR="00134664" w:rsidRPr="00D90165" w:rsidRDefault="009C4EC4" w:rsidP="0056402B">
      <w:pPr>
        <w:pStyle w:val="NormalWeb"/>
        <w:keepNext/>
        <w:spacing w:before="0" w:beforeAutospacing="0" w:after="0" w:afterAutospacing="0"/>
        <w:rPr>
          <w:sz w:val="22"/>
          <w:szCs w:val="22"/>
          <w:u w:val="single"/>
        </w:rPr>
      </w:pPr>
      <w:r w:rsidRPr="00D90165">
        <w:rPr>
          <w:sz w:val="22"/>
          <w:u w:val="single"/>
        </w:rPr>
        <w:t>Objawy przedmiotowe i podmiotowe dotyczące odstawienia</w:t>
      </w:r>
    </w:p>
    <w:p w14:paraId="779F688D" w14:textId="77777777" w:rsidR="00134664" w:rsidRPr="00D90165" w:rsidRDefault="00134664" w:rsidP="0056402B">
      <w:pPr>
        <w:pStyle w:val="NormalWeb"/>
        <w:keepNext/>
        <w:spacing w:before="0" w:beforeAutospacing="0" w:after="0" w:afterAutospacing="0"/>
        <w:jc w:val="both"/>
        <w:rPr>
          <w:sz w:val="22"/>
          <w:szCs w:val="22"/>
          <w:lang w:eastAsia="en-US"/>
        </w:rPr>
      </w:pPr>
    </w:p>
    <w:p w14:paraId="397AE275" w14:textId="77777777" w:rsidR="00134664" w:rsidRPr="00D90165" w:rsidRDefault="009C4EC4" w:rsidP="00855719">
      <w:pPr>
        <w:pStyle w:val="NormalWeb"/>
        <w:spacing w:before="0" w:beforeAutospacing="0" w:after="0" w:afterAutospacing="0"/>
        <w:rPr>
          <w:sz w:val="22"/>
          <w:szCs w:val="22"/>
        </w:rPr>
      </w:pPr>
      <w:r w:rsidRPr="00D90165">
        <w:rPr>
          <w:sz w:val="22"/>
        </w:rPr>
        <w:t>Nagłe zmniejszenie lub odstawienie dobowej dawki wamorolonu po leczeniu przez okres dłuższy niż jeden tydzień może prowadzić do przełomu nadnerczowego (patrz punkt</w:t>
      </w:r>
      <w:r w:rsidR="00D72F99">
        <w:rPr>
          <w:sz w:val="22"/>
        </w:rPr>
        <w:t>y</w:t>
      </w:r>
      <w:r w:rsidRPr="00D90165">
        <w:rPr>
          <w:sz w:val="22"/>
        </w:rPr>
        <w:t xml:space="preserve"> 4.2 i 4.4).</w:t>
      </w:r>
    </w:p>
    <w:p w14:paraId="3A4E7873" w14:textId="77777777" w:rsidR="00782F52" w:rsidRPr="00D90165" w:rsidRDefault="00782F52" w:rsidP="00855719">
      <w:pPr>
        <w:pStyle w:val="NormalWeb"/>
        <w:spacing w:before="0" w:beforeAutospacing="0" w:after="0" w:afterAutospacing="0"/>
        <w:jc w:val="both"/>
        <w:rPr>
          <w:sz w:val="22"/>
          <w:szCs w:val="22"/>
          <w:lang w:eastAsia="en-US"/>
        </w:rPr>
      </w:pPr>
    </w:p>
    <w:p w14:paraId="6F6F945D" w14:textId="77777777" w:rsidR="009514B4" w:rsidRPr="00D90165" w:rsidRDefault="009C4EC4" w:rsidP="0056402B">
      <w:pPr>
        <w:pStyle w:val="NormalWeb"/>
        <w:keepNext/>
        <w:spacing w:before="0" w:beforeAutospacing="0" w:after="0" w:afterAutospacing="0"/>
        <w:rPr>
          <w:sz w:val="22"/>
          <w:szCs w:val="22"/>
          <w:u w:val="single"/>
        </w:rPr>
      </w:pPr>
      <w:r w:rsidRPr="00D90165">
        <w:rPr>
          <w:sz w:val="22"/>
          <w:u w:val="single"/>
        </w:rPr>
        <w:t>Dzieci i młodzież</w:t>
      </w:r>
    </w:p>
    <w:p w14:paraId="269BA3A8" w14:textId="77777777" w:rsidR="009514B4" w:rsidRPr="00D90165" w:rsidRDefault="009514B4" w:rsidP="0056402B">
      <w:pPr>
        <w:pStyle w:val="NormalWeb"/>
        <w:keepNext/>
        <w:spacing w:before="0" w:beforeAutospacing="0" w:after="0" w:afterAutospacing="0"/>
        <w:jc w:val="both"/>
        <w:rPr>
          <w:sz w:val="22"/>
          <w:szCs w:val="22"/>
          <w:lang w:eastAsia="en-US"/>
        </w:rPr>
      </w:pPr>
    </w:p>
    <w:bookmarkEnd w:id="10"/>
    <w:p w14:paraId="3BE21EDA" w14:textId="77777777" w:rsidR="00862DD7" w:rsidRPr="00D90165" w:rsidRDefault="009C4EC4" w:rsidP="00855719">
      <w:pPr>
        <w:autoSpaceDE w:val="0"/>
        <w:autoSpaceDN w:val="0"/>
        <w:adjustRightInd w:val="0"/>
        <w:spacing w:line="240" w:lineRule="auto"/>
      </w:pPr>
      <w:r w:rsidRPr="00D90165">
        <w:t>Działania niepożądane wśród dzieci i młodzieży z DMD leczonych wamorolonem były podobne pod względem częstości i rodzaju u pacjentów w wieku 4 lat i starszych.</w:t>
      </w:r>
    </w:p>
    <w:p w14:paraId="6CC65B39" w14:textId="77777777" w:rsidR="00217EC5" w:rsidRPr="00D90165" w:rsidRDefault="00217EC5" w:rsidP="00855719">
      <w:pPr>
        <w:autoSpaceDE w:val="0"/>
        <w:autoSpaceDN w:val="0"/>
        <w:adjustRightInd w:val="0"/>
        <w:spacing w:line="240" w:lineRule="auto"/>
        <w:jc w:val="both"/>
        <w:rPr>
          <w:szCs w:val="22"/>
        </w:rPr>
      </w:pPr>
    </w:p>
    <w:p w14:paraId="10A6853B" w14:textId="77777777" w:rsidR="00376B83" w:rsidRPr="00D90165" w:rsidRDefault="009C4EC4" w:rsidP="00855719">
      <w:pPr>
        <w:autoSpaceDE w:val="0"/>
        <w:autoSpaceDN w:val="0"/>
        <w:adjustRightInd w:val="0"/>
        <w:spacing w:line="240" w:lineRule="auto"/>
        <w:rPr>
          <w:szCs w:val="22"/>
        </w:rPr>
      </w:pPr>
      <w:r w:rsidRPr="00D90165">
        <w:t>Rodzaj i częstość działań niepożądanych u pacjentów w wieku powyżej 7 lat były spójne z tymi obserwowanymi u pacjentów w wieku od 4 do 7 lat. Nie ma dostępnych informacji na temat wpływu wamorolonu na dojrzewanie.</w:t>
      </w:r>
    </w:p>
    <w:p w14:paraId="5F51F515" w14:textId="77777777" w:rsidR="00862DD7" w:rsidRPr="00D90165" w:rsidRDefault="00862DD7" w:rsidP="00855719">
      <w:pPr>
        <w:autoSpaceDE w:val="0"/>
        <w:autoSpaceDN w:val="0"/>
        <w:adjustRightInd w:val="0"/>
        <w:spacing w:line="240" w:lineRule="auto"/>
        <w:jc w:val="both"/>
        <w:rPr>
          <w:szCs w:val="22"/>
        </w:rPr>
      </w:pPr>
    </w:p>
    <w:p w14:paraId="66341FDC" w14:textId="77777777" w:rsidR="009514B4" w:rsidRPr="00D90165" w:rsidRDefault="009C4EC4" w:rsidP="00855719">
      <w:pPr>
        <w:autoSpaceDE w:val="0"/>
        <w:autoSpaceDN w:val="0"/>
        <w:adjustRightInd w:val="0"/>
        <w:spacing w:line="240" w:lineRule="auto"/>
      </w:pPr>
      <w:r w:rsidRPr="00D90165">
        <w:t xml:space="preserve">Większą częstość występowania problemów z zachowaniem obserwowano u pacjentów w wieku </w:t>
      </w:r>
      <w:r w:rsidR="00D72F99">
        <w:t>&lt;</w:t>
      </w:r>
      <w:r w:rsidRPr="00D90165">
        <w:t>5 lat w porównaniu z pacjentami w wieku ≥ 5 lat leczonych wamorolonem w dawce 2-6 mg/kg</w:t>
      </w:r>
      <w:r w:rsidR="00D72F99">
        <w:t xml:space="preserve"> mc.</w:t>
      </w:r>
      <w:r w:rsidRPr="00D90165">
        <w:t>/dobę.</w:t>
      </w:r>
    </w:p>
    <w:p w14:paraId="78B73713" w14:textId="77777777" w:rsidR="0020023D" w:rsidRPr="00D90165" w:rsidRDefault="0020023D" w:rsidP="00855719">
      <w:pPr>
        <w:autoSpaceDE w:val="0"/>
        <w:autoSpaceDN w:val="0"/>
        <w:adjustRightInd w:val="0"/>
        <w:spacing w:line="240" w:lineRule="auto"/>
        <w:jc w:val="both"/>
        <w:rPr>
          <w:szCs w:val="22"/>
        </w:rPr>
      </w:pPr>
    </w:p>
    <w:p w14:paraId="27C8D348" w14:textId="77777777" w:rsidR="00033D26" w:rsidRPr="00D90165" w:rsidRDefault="009C4EC4" w:rsidP="0056402B">
      <w:pPr>
        <w:keepNext/>
        <w:autoSpaceDE w:val="0"/>
        <w:autoSpaceDN w:val="0"/>
        <w:adjustRightInd w:val="0"/>
        <w:spacing w:line="240" w:lineRule="auto"/>
        <w:rPr>
          <w:szCs w:val="22"/>
          <w:u w:val="single"/>
        </w:rPr>
      </w:pPr>
      <w:r w:rsidRPr="00D90165">
        <w:rPr>
          <w:u w:val="single"/>
        </w:rPr>
        <w:t>Zgłaszanie podejrzewanych działań niepożądanych</w:t>
      </w:r>
    </w:p>
    <w:p w14:paraId="65D889FA" w14:textId="326BB691" w:rsidR="00747283" w:rsidRPr="008225EB" w:rsidRDefault="00747283" w:rsidP="00747283">
      <w:pPr>
        <w:autoSpaceDE w:val="0"/>
        <w:autoSpaceDN w:val="0"/>
        <w:adjustRightInd w:val="0"/>
        <w:spacing w:line="240" w:lineRule="auto"/>
        <w:rPr>
          <w:noProof/>
          <w:szCs w:val="22"/>
        </w:rPr>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232E40">
        <w:rPr>
          <w:highlight w:val="lightGray"/>
        </w:rPr>
        <w:t xml:space="preserve">krajowego systemu zgłaszania wymienionego w </w:t>
      </w:r>
      <w:hyperlink r:id="rId11" w:history="1">
        <w:r w:rsidRPr="00232E40">
          <w:rPr>
            <w:rStyle w:val="Hipercze1"/>
            <w:highlight w:val="lightGray"/>
          </w:rPr>
          <w:t>załączniku V</w:t>
        </w:r>
      </w:hyperlink>
      <w:r>
        <w:rPr>
          <w:color w:val="008000"/>
        </w:rPr>
        <w:t>.</w:t>
      </w:r>
    </w:p>
    <w:p w14:paraId="74C805E5" w14:textId="77777777" w:rsidR="008D35AD" w:rsidRPr="00D90165" w:rsidRDefault="008D35AD" w:rsidP="00855719">
      <w:pPr>
        <w:autoSpaceDE w:val="0"/>
        <w:autoSpaceDN w:val="0"/>
        <w:adjustRightInd w:val="0"/>
        <w:spacing w:line="240" w:lineRule="auto"/>
        <w:rPr>
          <w:szCs w:val="22"/>
        </w:rPr>
      </w:pPr>
    </w:p>
    <w:p w14:paraId="389714AF" w14:textId="77777777" w:rsidR="00812D16" w:rsidRPr="00D90165" w:rsidRDefault="009C4EC4" w:rsidP="0056402B">
      <w:pPr>
        <w:keepNext/>
        <w:spacing w:line="240" w:lineRule="auto"/>
        <w:outlineLvl w:val="0"/>
        <w:rPr>
          <w:noProof/>
          <w:szCs w:val="22"/>
        </w:rPr>
      </w:pPr>
      <w:r w:rsidRPr="00D90165">
        <w:rPr>
          <w:rStyle w:val="DNEx2"/>
        </w:rPr>
        <w:t>4.9</w:t>
      </w:r>
      <w:r w:rsidRPr="00D90165">
        <w:rPr>
          <w:rStyle w:val="DNEx2"/>
        </w:rPr>
        <w:tab/>
      </w:r>
      <w:r w:rsidRPr="00D90165">
        <w:rPr>
          <w:b/>
        </w:rPr>
        <w:t>Przedawkowanie</w:t>
      </w:r>
    </w:p>
    <w:p w14:paraId="17014608" w14:textId="77777777" w:rsidR="00812D16" w:rsidRPr="00D90165" w:rsidRDefault="00812D16" w:rsidP="0056402B">
      <w:pPr>
        <w:keepNext/>
        <w:spacing w:line="240" w:lineRule="auto"/>
        <w:rPr>
          <w:noProof/>
          <w:szCs w:val="22"/>
        </w:rPr>
      </w:pPr>
    </w:p>
    <w:p w14:paraId="26E86D2F" w14:textId="77777777" w:rsidR="006E3103" w:rsidRPr="00D90165" w:rsidRDefault="009C4EC4" w:rsidP="00855719">
      <w:pPr>
        <w:spacing w:line="240" w:lineRule="auto"/>
        <w:rPr>
          <w:rStyle w:val="normaltextrun"/>
          <w:color w:val="000000" w:themeColor="text1"/>
        </w:rPr>
      </w:pPr>
      <w:r w:rsidRPr="00D90165">
        <w:rPr>
          <w:rStyle w:val="normaltextrun"/>
          <w:color w:val="000000" w:themeColor="text1"/>
        </w:rPr>
        <w:t>W razie ostrego przedawkowania stosuje się natychmiastowe leczenie wspomagające i objawowe. Można rozważyć przeprowadzenie płukania żołądka lub wywołanie wymiotów.</w:t>
      </w:r>
    </w:p>
    <w:p w14:paraId="3DB17A78" w14:textId="77777777" w:rsidR="00DC5072" w:rsidRPr="00D90165" w:rsidRDefault="00DC5072" w:rsidP="00855719">
      <w:pPr>
        <w:spacing w:line="240" w:lineRule="auto"/>
        <w:rPr>
          <w:rStyle w:val="normaltextrun"/>
          <w:color w:val="000000" w:themeColor="text1"/>
        </w:rPr>
      </w:pPr>
    </w:p>
    <w:p w14:paraId="5CB411A1" w14:textId="77777777" w:rsidR="00DC5072" w:rsidRPr="00D90165" w:rsidRDefault="00DC5072" w:rsidP="00855719">
      <w:pPr>
        <w:spacing w:line="240" w:lineRule="auto"/>
        <w:rPr>
          <w:rStyle w:val="normaltextrun"/>
          <w:color w:val="000000" w:themeColor="text1"/>
        </w:rPr>
      </w:pPr>
    </w:p>
    <w:p w14:paraId="031524A2" w14:textId="77777777" w:rsidR="00812D16" w:rsidRPr="00D90165" w:rsidRDefault="009C4EC4" w:rsidP="0056402B">
      <w:pPr>
        <w:keepNext/>
        <w:spacing w:line="240" w:lineRule="auto"/>
      </w:pPr>
      <w:r w:rsidRPr="00D90165">
        <w:rPr>
          <w:rStyle w:val="DNEx2"/>
        </w:rPr>
        <w:t>5.</w:t>
      </w:r>
      <w:r w:rsidRPr="00D90165">
        <w:rPr>
          <w:rStyle w:val="DNEx2"/>
        </w:rPr>
        <w:tab/>
      </w:r>
      <w:r w:rsidRPr="00D90165">
        <w:rPr>
          <w:b/>
        </w:rPr>
        <w:t>WŁAŚCIWOŚCI FARMAKOLOGICZNE</w:t>
      </w:r>
    </w:p>
    <w:p w14:paraId="5D2B17D7" w14:textId="77777777" w:rsidR="00812D16" w:rsidRPr="00D90165" w:rsidRDefault="00812D16" w:rsidP="0056402B">
      <w:pPr>
        <w:keepNext/>
        <w:spacing w:line="240" w:lineRule="auto"/>
      </w:pPr>
    </w:p>
    <w:p w14:paraId="593E8DC4" w14:textId="77777777" w:rsidR="00812D16" w:rsidRPr="00D90165" w:rsidRDefault="009C4EC4" w:rsidP="0056402B">
      <w:pPr>
        <w:keepNext/>
        <w:spacing w:line="240" w:lineRule="auto"/>
        <w:ind w:left="567" w:hanging="567"/>
        <w:outlineLvl w:val="0"/>
      </w:pPr>
      <w:r w:rsidRPr="00D90165">
        <w:rPr>
          <w:rStyle w:val="DNEx2"/>
        </w:rPr>
        <w:t xml:space="preserve">5.1 </w:t>
      </w:r>
      <w:r w:rsidRPr="00D90165">
        <w:rPr>
          <w:rStyle w:val="DNEx2"/>
        </w:rPr>
        <w:tab/>
      </w:r>
      <w:r w:rsidRPr="00D90165">
        <w:rPr>
          <w:b/>
        </w:rPr>
        <w:t>Właściwości farmakodynamiczne</w:t>
      </w:r>
    </w:p>
    <w:p w14:paraId="4FD16FF2" w14:textId="77777777" w:rsidR="00812D16" w:rsidRPr="00D90165" w:rsidRDefault="00812D16" w:rsidP="0056402B">
      <w:pPr>
        <w:keepNext/>
        <w:spacing w:line="240" w:lineRule="auto"/>
      </w:pPr>
    </w:p>
    <w:p w14:paraId="30C0654A" w14:textId="1CA21AB0" w:rsidR="006E3103" w:rsidRPr="00D90165" w:rsidRDefault="009C4EC4" w:rsidP="00855719">
      <w:pPr>
        <w:spacing w:line="240" w:lineRule="auto"/>
      </w:pPr>
      <w:r w:rsidRPr="00D90165">
        <w:t xml:space="preserve">Grupa farmakoterapeutyczna: </w:t>
      </w:r>
      <w:r w:rsidR="00D94EC1">
        <w:rPr>
          <w:szCs w:val="22"/>
        </w:rPr>
        <w:t>glikokortykoidy</w:t>
      </w:r>
      <w:r w:rsidRPr="00D90165">
        <w:t xml:space="preserve">, kod ATC: </w:t>
      </w:r>
      <w:r w:rsidR="00D94EC1">
        <w:t>H02AB18</w:t>
      </w:r>
    </w:p>
    <w:p w14:paraId="5FFAA192" w14:textId="77777777" w:rsidR="0059257B" w:rsidRPr="00D90165" w:rsidRDefault="0059257B" w:rsidP="00855719">
      <w:pPr>
        <w:spacing w:line="240" w:lineRule="auto"/>
      </w:pPr>
    </w:p>
    <w:p w14:paraId="2D154824" w14:textId="77777777" w:rsidR="006E3103" w:rsidRPr="00D90165" w:rsidRDefault="009C4EC4" w:rsidP="0056402B">
      <w:pPr>
        <w:keepNext/>
        <w:autoSpaceDE w:val="0"/>
        <w:autoSpaceDN w:val="0"/>
        <w:adjustRightInd w:val="0"/>
        <w:spacing w:line="240" w:lineRule="auto"/>
        <w:rPr>
          <w:szCs w:val="22"/>
        </w:rPr>
      </w:pPr>
      <w:r w:rsidRPr="00D90165">
        <w:rPr>
          <w:u w:val="single"/>
        </w:rPr>
        <w:t>Mechanizm działania</w:t>
      </w:r>
    </w:p>
    <w:p w14:paraId="247D4859" w14:textId="77777777" w:rsidR="006E3103" w:rsidRPr="00D90165" w:rsidRDefault="006E3103" w:rsidP="0056402B">
      <w:pPr>
        <w:keepNext/>
        <w:autoSpaceDE w:val="0"/>
        <w:autoSpaceDN w:val="0"/>
        <w:adjustRightInd w:val="0"/>
        <w:spacing w:line="240" w:lineRule="auto"/>
        <w:jc w:val="both"/>
      </w:pPr>
    </w:p>
    <w:p w14:paraId="754D4BCE" w14:textId="77777777" w:rsidR="00EB00ED" w:rsidRPr="00D90165" w:rsidRDefault="009C4EC4" w:rsidP="00855719">
      <w:pPr>
        <w:autoSpaceDE w:val="0"/>
        <w:autoSpaceDN w:val="0"/>
      </w:pPr>
      <w:r w:rsidRPr="00D90165">
        <w:t xml:space="preserve">Wamorolon jest dysocjacyjnym kortykosteroidem, który selektywnie wiąże się z receptorem glikokortykoidowym, co wywołuje działanie przeciwzapalne poprzez hamowanie transkrypcji genów za pośrednictwem NF-kB, lecz prowadzi do mniejszej aktywacji transkrypcyjnej innych genów. Ponadto wamorolon hamuje aktywację receptora mineralokortykoidowego przez aldosteron. Ze względu na swoją specyficzną strukturę, wamorolon prawdopodobnie nie jest substratem dla </w:t>
      </w:r>
      <w:r w:rsidRPr="00D90165">
        <w:lastRenderedPageBreak/>
        <w:t>dehydrogenaz 11ß-hydroksysteroidowych i dlatego nie podlega miejscowej amplifikacji tkankowej. Dokładny mechanizm, poprzez który wamorolon wywiera swoje działanie terapeutyczne u pacjentów z DMD, nie jest znany.</w:t>
      </w:r>
    </w:p>
    <w:p w14:paraId="316216FF" w14:textId="77777777" w:rsidR="00232176" w:rsidRPr="00D90165" w:rsidRDefault="00232176" w:rsidP="00855719">
      <w:pPr>
        <w:spacing w:line="240" w:lineRule="auto"/>
        <w:jc w:val="both"/>
      </w:pPr>
    </w:p>
    <w:p w14:paraId="1B19038A" w14:textId="77777777" w:rsidR="006E3103" w:rsidRPr="00D90165" w:rsidRDefault="009C4EC4" w:rsidP="0056402B">
      <w:pPr>
        <w:keepNext/>
        <w:autoSpaceDE w:val="0"/>
        <w:autoSpaceDN w:val="0"/>
        <w:adjustRightInd w:val="0"/>
        <w:spacing w:line="240" w:lineRule="auto"/>
        <w:rPr>
          <w:szCs w:val="22"/>
        </w:rPr>
      </w:pPr>
      <w:r w:rsidRPr="00D90165">
        <w:rPr>
          <w:u w:val="single"/>
        </w:rPr>
        <w:t>Działanie farmakodynamiczne</w:t>
      </w:r>
    </w:p>
    <w:p w14:paraId="29A982E0" w14:textId="77777777" w:rsidR="006E3103" w:rsidRPr="00D90165" w:rsidRDefault="006E3103" w:rsidP="0056402B">
      <w:pPr>
        <w:keepNext/>
        <w:autoSpaceDE w:val="0"/>
        <w:autoSpaceDN w:val="0"/>
        <w:adjustRightInd w:val="0"/>
        <w:spacing w:line="240" w:lineRule="auto"/>
      </w:pPr>
    </w:p>
    <w:p w14:paraId="670E98A0" w14:textId="77777777" w:rsidR="00F12F95" w:rsidRPr="00D90165" w:rsidRDefault="009C4EC4" w:rsidP="00855719">
      <w:pPr>
        <w:autoSpaceDE w:val="0"/>
        <w:autoSpaceDN w:val="0"/>
        <w:adjustRightInd w:val="0"/>
        <w:spacing w:line="240" w:lineRule="auto"/>
        <w:rPr>
          <w:color w:val="000000" w:themeColor="text1"/>
        </w:rPr>
      </w:pPr>
      <w:r w:rsidRPr="00D90165">
        <w:t xml:space="preserve">W badaniach klinicznych wamorolon powodował zależne od dawki zmniejszenie porannego stężenia kortyzolu. W badaniach klinicznych nad wamorolonem obserwowano zależne od dawki zwiększenie stężenia hemoglobiny, wartości hematokrytu, liczby erytrocytów, liczby leukocytów i liczby limfocytów. Nie zaobserwowano żadnych istotnych zmian w średniej liczbie neutrofili ani niedojrzałych granulocytów. Wartości lipoprotein wysokiej gęstości (ang. </w:t>
      </w:r>
      <w:r w:rsidRPr="00D90165">
        <w:rPr>
          <w:i/>
          <w:iCs/>
        </w:rPr>
        <w:t>high density lipoprotein</w:t>
      </w:r>
      <w:r w:rsidRPr="00D90165">
        <w:t>, HDL) cholesterolu i trójglicerydów zwiększały się w sposób zależny od dawki. Nie stwierdzono istotnego wpływu na metabolizm glukozy w okresie do 30 miesięcy leczenia.</w:t>
      </w:r>
    </w:p>
    <w:p w14:paraId="36021661" w14:textId="77777777" w:rsidR="6388AE54" w:rsidRPr="00D90165" w:rsidRDefault="6388AE54" w:rsidP="00855719">
      <w:pPr>
        <w:spacing w:line="240" w:lineRule="auto"/>
        <w:jc w:val="both"/>
        <w:rPr>
          <w:color w:val="000000" w:themeColor="text1"/>
        </w:rPr>
      </w:pPr>
    </w:p>
    <w:p w14:paraId="0921626E" w14:textId="77777777" w:rsidR="001874C0" w:rsidRPr="00D90165" w:rsidRDefault="009C4EC4" w:rsidP="00855719">
      <w:pPr>
        <w:spacing w:line="240" w:lineRule="auto"/>
        <w:rPr>
          <w:color w:val="000000" w:themeColor="text1"/>
        </w:rPr>
      </w:pPr>
      <w:r w:rsidRPr="00D90165">
        <w:rPr>
          <w:color w:val="000000" w:themeColor="text1"/>
        </w:rPr>
        <w:t xml:space="preserve">W przeciwieństwie do kortykosteroidów, wamorolon nie powodował zmniejszenia metabolizmu kostnego mierzonego za pomocą markerów przebudowy tkanki kostnej ani znaczącego zmniejszenia parametrów mineralizacji kości kręgów lędźwiowych za pomocą absorpcjometrii rentgenowskiej z podwójną energią (ang. </w:t>
      </w:r>
      <w:r w:rsidRPr="00D90165">
        <w:rPr>
          <w:i/>
          <w:iCs/>
          <w:color w:val="000000" w:themeColor="text1"/>
        </w:rPr>
        <w:t>Dual-Energy X-Ray Absorptiometry</w:t>
      </w:r>
      <w:r w:rsidRPr="00D90165">
        <w:rPr>
          <w:color w:val="000000" w:themeColor="text1"/>
        </w:rPr>
        <w:t>, DXA) po 48 tygodniach w badaniach klinicznych. Ryzyko złamań kości u pacjentów z DMD leczonych wamorolonem nie zostało ustalone.</w:t>
      </w:r>
    </w:p>
    <w:p w14:paraId="60C9CB9C" w14:textId="77777777" w:rsidR="006317FE" w:rsidRPr="00D90165" w:rsidRDefault="006317FE" w:rsidP="00855719">
      <w:pPr>
        <w:autoSpaceDE w:val="0"/>
        <w:autoSpaceDN w:val="0"/>
        <w:adjustRightInd w:val="0"/>
        <w:spacing w:line="240" w:lineRule="auto"/>
        <w:rPr>
          <w:b/>
          <w:u w:val="single"/>
        </w:rPr>
      </w:pPr>
    </w:p>
    <w:p w14:paraId="3894FB9C" w14:textId="77777777" w:rsidR="006E3103" w:rsidRPr="00D90165" w:rsidRDefault="009C4EC4" w:rsidP="0056402B">
      <w:pPr>
        <w:keepNext/>
        <w:autoSpaceDE w:val="0"/>
        <w:autoSpaceDN w:val="0"/>
        <w:adjustRightInd w:val="0"/>
        <w:spacing w:line="240" w:lineRule="auto"/>
        <w:rPr>
          <w:szCs w:val="22"/>
        </w:rPr>
      </w:pPr>
      <w:r w:rsidRPr="00D90165">
        <w:rPr>
          <w:u w:val="single"/>
        </w:rPr>
        <w:t>Skuteczność kliniczna i bezpieczeństwo stosowania</w:t>
      </w:r>
    </w:p>
    <w:p w14:paraId="468564A4" w14:textId="77777777" w:rsidR="006E3103" w:rsidRPr="00D90165" w:rsidRDefault="006E3103" w:rsidP="0056402B">
      <w:pPr>
        <w:keepNext/>
        <w:autoSpaceDE w:val="0"/>
        <w:autoSpaceDN w:val="0"/>
        <w:adjustRightInd w:val="0"/>
        <w:spacing w:line="240" w:lineRule="auto"/>
      </w:pPr>
    </w:p>
    <w:p w14:paraId="0672C0AC" w14:textId="77777777" w:rsidR="006E3103" w:rsidRPr="00D90165" w:rsidRDefault="009C4EC4" w:rsidP="00855719">
      <w:pPr>
        <w:autoSpaceDE w:val="0"/>
        <w:autoSpaceDN w:val="0"/>
        <w:adjustRightInd w:val="0"/>
        <w:spacing w:line="240" w:lineRule="auto"/>
      </w:pPr>
      <w:r w:rsidRPr="00D90165">
        <w:t>Skuteczność produktu leczniczego AGAMREE w leczeniu DMD oceniano w badaniu 1, wieloośrodkowym, randomizowanym badaniu prowadzonym metodą podwójnie ślepej próby w grupach równoległych, z grupą kontrolną otrzymującą placebo i z grupą kontrolną aktywną, trwającym 24 tygodnie, po którym nastąpiła faza przedłużenia leczenia metodą podwójnie ślepej próby. Badana populacja składała się ze 121 dzieci i młodzieży płci męskiej, którzy w momencie włączenia do badania byli w wieku od 4 do &lt;7 lat, nie otrzymywali kortykosteroidów i byli pacjentami ambulatoryjnymi z potwierdzonym rozpoznaniem DMD.</w:t>
      </w:r>
    </w:p>
    <w:p w14:paraId="7B5638D5" w14:textId="77777777" w:rsidR="006E3103" w:rsidRPr="00D90165" w:rsidRDefault="006E3103" w:rsidP="00855719">
      <w:pPr>
        <w:autoSpaceDE w:val="0"/>
        <w:autoSpaceDN w:val="0"/>
        <w:adjustRightInd w:val="0"/>
        <w:spacing w:line="240" w:lineRule="auto"/>
      </w:pPr>
    </w:p>
    <w:p w14:paraId="35CF45FB" w14:textId="77777777" w:rsidR="006E3103" w:rsidRPr="00D90165" w:rsidRDefault="009C4EC4" w:rsidP="00855719">
      <w:pPr>
        <w:autoSpaceDE w:val="0"/>
        <w:autoSpaceDN w:val="0"/>
        <w:adjustRightInd w:val="0"/>
        <w:spacing w:line="240" w:lineRule="auto"/>
      </w:pPr>
      <w:r w:rsidRPr="00D90165">
        <w:t>W badaniu 1 zrandomizowano 121 pacjentów do jednej z następujących grup leczenia: wamorolon 6 mg/kg</w:t>
      </w:r>
      <w:r w:rsidR="00FB7B5E">
        <w:t xml:space="preserve"> </w:t>
      </w:r>
      <w:bookmarkStart w:id="12" w:name="_Hlk149737553"/>
      <w:r w:rsidR="00FB7B5E">
        <w:t>mc.</w:t>
      </w:r>
      <w:bookmarkEnd w:id="12"/>
      <w:r w:rsidRPr="00D90165">
        <w:t>/dobę (n = 30), wamorolon 2 mg/kg</w:t>
      </w:r>
      <w:r w:rsidR="00FB7B5E" w:rsidRPr="00FB7B5E">
        <w:t xml:space="preserve"> </w:t>
      </w:r>
      <w:r w:rsidR="00FB7B5E">
        <w:t>mc.</w:t>
      </w:r>
      <w:r w:rsidRPr="00D90165">
        <w:t>/dobę (n = 30), aktywny lek porównawczy – prednizon 0,75 mg/kg/dobę (n = 31) lub placebo (n = 30). Po 24 tygodniach (okres 1, pierw</w:t>
      </w:r>
      <w:r w:rsidR="00FB7B5E">
        <w:t>szorzędowa</w:t>
      </w:r>
      <w:r w:rsidRPr="00D90165">
        <w:t xml:space="preserve"> analiza skuteczności) pacjenci, którzy otrzymywali prednizon lub placebo, zostali ponownie przypisani zgodnie z pierwotnie określonym schematem randomizacji do wamorolonu 6 mg/kg</w:t>
      </w:r>
      <w:r w:rsidR="00FB7B5E" w:rsidRPr="00FB7B5E">
        <w:t xml:space="preserve"> </w:t>
      </w:r>
      <w:r w:rsidR="00FB7B5E">
        <w:t>mc.</w:t>
      </w:r>
      <w:r w:rsidRPr="00D90165">
        <w:t>/dobę albo 2 mg/kg</w:t>
      </w:r>
      <w:r w:rsidR="00FB7B5E" w:rsidRPr="00FB7B5E">
        <w:t xml:space="preserve"> </w:t>
      </w:r>
      <w:r w:rsidR="00FB7B5E">
        <w:t>mc.</w:t>
      </w:r>
      <w:r w:rsidRPr="00D90165">
        <w:t>/dobę przez dodatkowe 20 tygodni leczenia (okres 2).</w:t>
      </w:r>
    </w:p>
    <w:p w14:paraId="6BBC78BC" w14:textId="77777777" w:rsidR="00AC05A8" w:rsidRPr="00D90165" w:rsidRDefault="00AC05A8" w:rsidP="00855719">
      <w:pPr>
        <w:autoSpaceDE w:val="0"/>
        <w:autoSpaceDN w:val="0"/>
        <w:adjustRightInd w:val="0"/>
        <w:spacing w:line="240" w:lineRule="auto"/>
      </w:pPr>
    </w:p>
    <w:p w14:paraId="3870BA3C" w14:textId="77777777" w:rsidR="006B65D2" w:rsidRPr="00D90165" w:rsidRDefault="009C4EC4" w:rsidP="00855719">
      <w:pPr>
        <w:autoSpaceDE w:val="0"/>
        <w:autoSpaceDN w:val="0"/>
        <w:adjustRightInd w:val="0"/>
        <w:spacing w:line="240" w:lineRule="auto"/>
      </w:pPr>
      <w:r w:rsidRPr="00D90165">
        <w:t xml:space="preserve">W badaniu 1 analizowano skuteczność poprzez ocenę zmiany, od wartości wyjściowej do 24. tygodnia, wyniku testu prędkości wstawania (ang. </w:t>
      </w:r>
      <w:r w:rsidRPr="00D90165">
        <w:rPr>
          <w:i/>
          <w:iCs/>
        </w:rPr>
        <w:t>Time to Stand Test</w:t>
      </w:r>
      <w:r w:rsidRPr="00D90165">
        <w:t>, TTSTAND) dla wamorolonu w dawce 6 mg/kg</w:t>
      </w:r>
      <w:r w:rsidR="00FB7B5E" w:rsidRPr="00FB7B5E">
        <w:t xml:space="preserve"> </w:t>
      </w:r>
      <w:r w:rsidR="00FB7B5E">
        <w:t>mc.</w:t>
      </w:r>
      <w:r w:rsidRPr="00D90165">
        <w:t>/dobę w porównaniu z placebo. Wstępnie określona hierarchiczna analiza istotnych drugorzędowych punktów końcowych składała się ze zmiany w stosunku do wartości wyjściowej prędkości TTSTAND dla wamorolonu w dawce 2 mg/kg</w:t>
      </w:r>
      <w:r w:rsidR="00FB7B5E" w:rsidRPr="00FB7B5E">
        <w:t xml:space="preserve"> </w:t>
      </w:r>
      <w:r w:rsidR="00FB7B5E">
        <w:t>mc.</w:t>
      </w:r>
      <w:r w:rsidRPr="00D90165">
        <w:t xml:space="preserve">/dobę w porównaniu z grupą placebo, zmiany w stosunku do wartości wyjściowej w dystansie 6-minutowego testu chodu (ang. </w:t>
      </w:r>
      <w:r w:rsidRPr="00D90165">
        <w:rPr>
          <w:i/>
          <w:iCs/>
        </w:rPr>
        <w:t>6 Minute Walk Test</w:t>
      </w:r>
      <w:r w:rsidRPr="00D90165">
        <w:t>, 6MWT) dla wamorolonu w dawce 6 mg/kg</w:t>
      </w:r>
      <w:r w:rsidR="00FB7B5E" w:rsidRPr="00FB7B5E">
        <w:t xml:space="preserve"> </w:t>
      </w:r>
      <w:r w:rsidR="00FB7B5E">
        <w:t>mc.</w:t>
      </w:r>
      <w:r w:rsidRPr="00D90165">
        <w:t>/dobę, a następnie 2 mg/kg</w:t>
      </w:r>
      <w:r w:rsidR="00FB7B5E" w:rsidRPr="00FB7B5E">
        <w:t xml:space="preserve"> </w:t>
      </w:r>
      <w:r w:rsidR="00FB7B5E">
        <w:t>mc.</w:t>
      </w:r>
      <w:r w:rsidRPr="00D90165">
        <w:t>/dobę w porównaniu z placebo.</w:t>
      </w:r>
    </w:p>
    <w:p w14:paraId="57A5660A" w14:textId="77777777" w:rsidR="006B65D2" w:rsidRPr="00D90165" w:rsidRDefault="006B65D2" w:rsidP="00855719">
      <w:pPr>
        <w:autoSpaceDE w:val="0"/>
        <w:autoSpaceDN w:val="0"/>
        <w:adjustRightInd w:val="0"/>
        <w:spacing w:line="240" w:lineRule="auto"/>
      </w:pPr>
    </w:p>
    <w:p w14:paraId="7F486A17" w14:textId="77777777" w:rsidR="005B214A" w:rsidRPr="00D90165" w:rsidRDefault="009C4EC4" w:rsidP="00855719">
      <w:pPr>
        <w:autoSpaceDE w:val="0"/>
        <w:autoSpaceDN w:val="0"/>
        <w:adjustRightInd w:val="0"/>
        <w:spacing w:line="240" w:lineRule="auto"/>
      </w:pPr>
      <w:r w:rsidRPr="00D90165">
        <w:t>Leczenie wamorolonem w dawce 6 mg/kg</w:t>
      </w:r>
      <w:r w:rsidR="00FB7B5E" w:rsidRPr="00FB7B5E">
        <w:t xml:space="preserve"> </w:t>
      </w:r>
      <w:r w:rsidR="00FB7B5E">
        <w:t>mc.</w:t>
      </w:r>
      <w:r w:rsidRPr="00D90165">
        <w:t>/dobę i 2 mg/kg</w:t>
      </w:r>
      <w:r w:rsidR="00FB7B5E" w:rsidRPr="00FB7B5E">
        <w:t xml:space="preserve"> </w:t>
      </w:r>
      <w:r w:rsidR="00FB7B5E">
        <w:t>mc.</w:t>
      </w:r>
      <w:r w:rsidRPr="00D90165">
        <w:t>/dobę spowodowało statystycznie istotną poprawę w zakresie zmiany prędkości TTSTAND i zmiany dystansu 6MWT między wartością wyjściową a tygodniem 24. w porównaniu z placebo (patrz tabela 2). Badanie 1 nie zostało opracowane w celu utrzymania ogólnego poziomu błędu typu I dla porównań każdej grupy wamorolonu z prednizonem, w związku z czym na wykresie 1 przedstawiono ogólną ocenę różnic w leczeniu w punktach końcowych, wyrażoną jako procentowa zmiana w stosunku do wartości wyjściowej z 95% przedziałami ufności dla tych punktów końcowych.</w:t>
      </w:r>
    </w:p>
    <w:p w14:paraId="181AFA1B" w14:textId="77777777" w:rsidR="000B7DFC" w:rsidRPr="00D90165" w:rsidRDefault="000B7DFC" w:rsidP="00855719">
      <w:pPr>
        <w:autoSpaceDE w:val="0"/>
        <w:autoSpaceDN w:val="0"/>
        <w:adjustRightInd w:val="0"/>
        <w:spacing w:line="240" w:lineRule="auto"/>
      </w:pPr>
    </w:p>
    <w:p w14:paraId="5DF99A20" w14:textId="32571345" w:rsidR="00C848AA" w:rsidRPr="00D90165" w:rsidRDefault="009C4EC4" w:rsidP="0056402B">
      <w:pPr>
        <w:pStyle w:val="Caption"/>
        <w:rPr>
          <w:b w:val="0"/>
          <w:bCs w:val="0"/>
        </w:rPr>
      </w:pPr>
      <w:r w:rsidRPr="00D90165">
        <w:lastRenderedPageBreak/>
        <w:t>Tabela </w:t>
      </w:r>
      <w:fldSimple w:instr=" SEQ Table \* ARABIC ">
        <w:r w:rsidR="00A037D1">
          <w:rPr>
            <w:noProof/>
          </w:rPr>
          <w:t>3</w:t>
        </w:r>
      </w:fldSimple>
      <w:r w:rsidRPr="00D90165">
        <w:t>:</w:t>
      </w:r>
      <w:r w:rsidRPr="00D90165">
        <w:rPr>
          <w:rStyle w:val="DNEx2"/>
        </w:rPr>
        <w:tab/>
      </w:r>
      <w:r w:rsidRPr="00D90165">
        <w:t>Analiza zmiany w stosunku do wartości wyjściowej p</w:t>
      </w:r>
      <w:r w:rsidR="00FB7B5E">
        <w:t>o</w:t>
      </w:r>
      <w:r w:rsidRPr="00D90165">
        <w:t xml:space="preserve"> stosowaniu wamorolonu w dawce 6 mg/kg</w:t>
      </w:r>
      <w:r w:rsidR="00FB7B5E" w:rsidRPr="00FB7B5E">
        <w:t xml:space="preserve"> </w:t>
      </w:r>
      <w:r w:rsidR="00FB7B5E">
        <w:t>mc.</w:t>
      </w:r>
      <w:r w:rsidRPr="00D90165">
        <w:t>/dobę lub wamorolonu w dawce 2 mg/kg</w:t>
      </w:r>
      <w:r w:rsidR="00FB7B5E" w:rsidRPr="00FB7B5E">
        <w:t xml:space="preserve"> </w:t>
      </w:r>
      <w:r w:rsidR="00FB7B5E">
        <w:t>mc.</w:t>
      </w:r>
      <w:r w:rsidRPr="00D90165">
        <w:t>/dobę w porównaniu z placebo w tygodniu 24. (badanie 1)</w:t>
      </w:r>
    </w:p>
    <w:tbl>
      <w:tblPr>
        <w:tblStyle w:val="TableGrid"/>
        <w:tblW w:w="9283" w:type="dxa"/>
        <w:tblLayout w:type="fixed"/>
        <w:tblLook w:val="04A0" w:firstRow="1" w:lastRow="0" w:firstColumn="1" w:lastColumn="0" w:noHBand="0" w:noVBand="1"/>
      </w:tblPr>
      <w:tblGrid>
        <w:gridCol w:w="2830"/>
        <w:gridCol w:w="1134"/>
        <w:gridCol w:w="1701"/>
        <w:gridCol w:w="1701"/>
        <w:gridCol w:w="1917"/>
      </w:tblGrid>
      <w:tr w:rsidR="005A28CF" w14:paraId="01BB1A9B" w14:textId="77777777" w:rsidTr="14C87AD7">
        <w:trPr>
          <w:cantSplit/>
          <w:trHeight w:val="57"/>
        </w:trPr>
        <w:tc>
          <w:tcPr>
            <w:tcW w:w="2830" w:type="dxa"/>
            <w:shd w:val="clear" w:color="auto" w:fill="F2F2F2" w:themeFill="background1" w:themeFillShade="F2"/>
            <w:vAlign w:val="center"/>
          </w:tcPr>
          <w:p w14:paraId="4B9A9FEE" w14:textId="77777777" w:rsidR="00E269CB" w:rsidRPr="00D90165" w:rsidRDefault="009C4EC4" w:rsidP="0056402B">
            <w:pPr>
              <w:keepNext/>
              <w:tabs>
                <w:tab w:val="clear" w:pos="567"/>
              </w:tabs>
              <w:spacing w:before="120" w:line="240" w:lineRule="auto"/>
              <w:rPr>
                <w:b/>
                <w:bCs/>
                <w:color w:val="000000"/>
                <w:sz w:val="20"/>
              </w:rPr>
            </w:pPr>
            <w:r w:rsidRPr="00D90165">
              <w:rPr>
                <w:b/>
                <w:color w:val="000000" w:themeColor="text1"/>
                <w:sz w:val="20"/>
              </w:rPr>
              <w:t>Prędkość TTSTAND (wstawanie/s) / TTSTAND w sekundach (s/wstawanie)</w:t>
            </w:r>
          </w:p>
        </w:tc>
        <w:tc>
          <w:tcPr>
            <w:tcW w:w="1134" w:type="dxa"/>
            <w:shd w:val="clear" w:color="auto" w:fill="F2F2F2" w:themeFill="background1" w:themeFillShade="F2"/>
            <w:vAlign w:val="center"/>
          </w:tcPr>
          <w:p w14:paraId="05F6534B" w14:textId="77777777" w:rsidR="00E269CB" w:rsidRPr="00D90165" w:rsidRDefault="009C4EC4" w:rsidP="0056402B">
            <w:pPr>
              <w:keepNext/>
              <w:tabs>
                <w:tab w:val="clear" w:pos="567"/>
              </w:tabs>
              <w:spacing w:before="120" w:line="240" w:lineRule="auto"/>
              <w:jc w:val="center"/>
              <w:rPr>
                <w:b/>
                <w:bCs/>
                <w:color w:val="000000"/>
                <w:sz w:val="20"/>
              </w:rPr>
            </w:pPr>
            <w:r w:rsidRPr="00D90165">
              <w:rPr>
                <w:b/>
                <w:color w:val="000000" w:themeColor="text1"/>
                <w:sz w:val="20"/>
              </w:rPr>
              <w:t>Placebo</w:t>
            </w:r>
          </w:p>
        </w:tc>
        <w:tc>
          <w:tcPr>
            <w:tcW w:w="1701" w:type="dxa"/>
            <w:shd w:val="clear" w:color="auto" w:fill="F2F2F2" w:themeFill="background1" w:themeFillShade="F2"/>
            <w:vAlign w:val="center"/>
          </w:tcPr>
          <w:p w14:paraId="55E611F4" w14:textId="77777777" w:rsidR="00E269CB" w:rsidRPr="00D90165" w:rsidRDefault="009C4EC4" w:rsidP="0056402B">
            <w:pPr>
              <w:keepNext/>
              <w:tabs>
                <w:tab w:val="clear" w:pos="567"/>
              </w:tabs>
              <w:spacing w:before="120" w:line="240" w:lineRule="auto"/>
              <w:jc w:val="center"/>
              <w:rPr>
                <w:b/>
                <w:bCs/>
                <w:color w:val="000000"/>
                <w:sz w:val="20"/>
              </w:rPr>
            </w:pPr>
            <w:r w:rsidRPr="00D90165">
              <w:rPr>
                <w:b/>
                <w:color w:val="000000" w:themeColor="text1"/>
                <w:sz w:val="20"/>
              </w:rPr>
              <w:t>Wam 2 mg/kg</w:t>
            </w:r>
            <w:r w:rsidR="00FB7B5E">
              <w:t xml:space="preserve"> </w:t>
            </w:r>
            <w:r w:rsidR="00FB7B5E" w:rsidRPr="00A510B3">
              <w:rPr>
                <w:b/>
                <w:bCs/>
              </w:rPr>
              <w:t>mc.</w:t>
            </w:r>
            <w:r w:rsidRPr="00D90165">
              <w:rPr>
                <w:b/>
                <w:color w:val="000000" w:themeColor="text1"/>
                <w:sz w:val="20"/>
              </w:rPr>
              <w:t>/dobę</w:t>
            </w:r>
          </w:p>
        </w:tc>
        <w:tc>
          <w:tcPr>
            <w:tcW w:w="1701" w:type="dxa"/>
            <w:shd w:val="clear" w:color="auto" w:fill="F2F2F2" w:themeFill="background1" w:themeFillShade="F2"/>
            <w:vAlign w:val="center"/>
          </w:tcPr>
          <w:p w14:paraId="764B8FD5" w14:textId="77777777" w:rsidR="00E269CB" w:rsidRPr="00D90165" w:rsidRDefault="009C4EC4" w:rsidP="0056402B">
            <w:pPr>
              <w:keepNext/>
              <w:tabs>
                <w:tab w:val="clear" w:pos="567"/>
              </w:tabs>
              <w:spacing w:before="120" w:line="240" w:lineRule="auto"/>
              <w:jc w:val="center"/>
              <w:rPr>
                <w:b/>
                <w:bCs/>
                <w:color w:val="000000"/>
                <w:sz w:val="20"/>
              </w:rPr>
            </w:pPr>
            <w:r w:rsidRPr="00D90165">
              <w:rPr>
                <w:b/>
                <w:color w:val="000000" w:themeColor="text1"/>
                <w:sz w:val="20"/>
              </w:rPr>
              <w:t>Wam 6 mg/kg</w:t>
            </w:r>
            <w:r w:rsidR="00FB7B5E">
              <w:t xml:space="preserve"> </w:t>
            </w:r>
            <w:r w:rsidR="00FB7B5E" w:rsidRPr="00A510B3">
              <w:rPr>
                <w:b/>
                <w:bCs/>
              </w:rPr>
              <w:t>mc.</w:t>
            </w:r>
            <w:r w:rsidRPr="00D90165">
              <w:rPr>
                <w:b/>
                <w:color w:val="000000" w:themeColor="text1"/>
                <w:sz w:val="20"/>
              </w:rPr>
              <w:t>/dobę</w:t>
            </w:r>
          </w:p>
        </w:tc>
        <w:tc>
          <w:tcPr>
            <w:tcW w:w="1917" w:type="dxa"/>
            <w:shd w:val="clear" w:color="auto" w:fill="F2F2F2" w:themeFill="background1" w:themeFillShade="F2"/>
            <w:vAlign w:val="center"/>
          </w:tcPr>
          <w:p w14:paraId="4BD9E88C" w14:textId="77777777" w:rsidR="00E269CB" w:rsidRPr="00833952" w:rsidRDefault="009C4EC4" w:rsidP="0056402B">
            <w:pPr>
              <w:keepNext/>
              <w:tabs>
                <w:tab w:val="clear" w:pos="567"/>
              </w:tabs>
              <w:spacing w:before="120" w:line="240" w:lineRule="auto"/>
              <w:jc w:val="center"/>
              <w:rPr>
                <w:b/>
                <w:bCs/>
                <w:color w:val="000000"/>
                <w:sz w:val="20"/>
              </w:rPr>
            </w:pPr>
            <w:r w:rsidRPr="00833952">
              <w:rPr>
                <w:b/>
                <w:color w:val="000000" w:themeColor="text1"/>
                <w:sz w:val="20"/>
              </w:rPr>
              <w:t>Pred 0,75 mg/kg</w:t>
            </w:r>
            <w:r w:rsidR="00FB7B5E" w:rsidRPr="00833952">
              <w:t xml:space="preserve"> </w:t>
            </w:r>
            <w:r w:rsidR="00FB7B5E" w:rsidRPr="00833952">
              <w:rPr>
                <w:b/>
                <w:bCs/>
              </w:rPr>
              <w:t>mc.</w:t>
            </w:r>
            <w:r w:rsidRPr="00833952">
              <w:rPr>
                <w:b/>
                <w:color w:val="000000" w:themeColor="text1"/>
                <w:sz w:val="20"/>
              </w:rPr>
              <w:t>/dobę</w:t>
            </w:r>
          </w:p>
        </w:tc>
      </w:tr>
      <w:tr w:rsidR="005A28CF" w14:paraId="423152B0" w14:textId="77777777" w:rsidTr="000C453F">
        <w:trPr>
          <w:cantSplit/>
          <w:trHeight w:val="766"/>
        </w:trPr>
        <w:tc>
          <w:tcPr>
            <w:tcW w:w="2830" w:type="dxa"/>
            <w:vAlign w:val="center"/>
          </w:tcPr>
          <w:p w14:paraId="01F85453" w14:textId="77777777" w:rsidR="00E269CB" w:rsidRPr="00D90165" w:rsidRDefault="009C4EC4" w:rsidP="00855719">
            <w:pPr>
              <w:tabs>
                <w:tab w:val="clear" w:pos="567"/>
              </w:tabs>
              <w:spacing w:line="240" w:lineRule="auto"/>
              <w:rPr>
                <w:color w:val="000000"/>
                <w:sz w:val="20"/>
              </w:rPr>
            </w:pPr>
            <w:r w:rsidRPr="00D90165">
              <w:rPr>
                <w:color w:val="000000" w:themeColor="text1"/>
                <w:sz w:val="20"/>
              </w:rPr>
              <w:t>Średnia wartość wyjściowa (wstawanie/s)</w:t>
            </w:r>
          </w:p>
          <w:p w14:paraId="2EC7A77B" w14:textId="77777777" w:rsidR="00E269CB" w:rsidRPr="00D90165" w:rsidRDefault="009C4EC4" w:rsidP="00855719">
            <w:pPr>
              <w:tabs>
                <w:tab w:val="clear" w:pos="567"/>
              </w:tabs>
              <w:spacing w:line="240" w:lineRule="auto"/>
              <w:rPr>
                <w:color w:val="000000"/>
                <w:sz w:val="20"/>
              </w:rPr>
            </w:pPr>
            <w:r w:rsidRPr="00D90165">
              <w:rPr>
                <w:color w:val="000000" w:themeColor="text1"/>
                <w:sz w:val="20"/>
              </w:rPr>
              <w:t>Średnia wartość wyjściowa (s/wstawanie)</w:t>
            </w:r>
          </w:p>
        </w:tc>
        <w:tc>
          <w:tcPr>
            <w:tcW w:w="1134" w:type="dxa"/>
            <w:vAlign w:val="center"/>
          </w:tcPr>
          <w:p w14:paraId="3C70F46B"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0,20</w:t>
            </w:r>
          </w:p>
          <w:p w14:paraId="545D7DCB"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5,555</w:t>
            </w:r>
          </w:p>
        </w:tc>
        <w:tc>
          <w:tcPr>
            <w:tcW w:w="1701" w:type="dxa"/>
            <w:vAlign w:val="center"/>
          </w:tcPr>
          <w:p w14:paraId="21AFB52E"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0,18</w:t>
            </w:r>
          </w:p>
          <w:p w14:paraId="6CC676C8"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 xml:space="preserve"> 6,07</w:t>
            </w:r>
          </w:p>
        </w:tc>
        <w:tc>
          <w:tcPr>
            <w:tcW w:w="1701" w:type="dxa"/>
            <w:vAlign w:val="center"/>
          </w:tcPr>
          <w:p w14:paraId="14C7C507"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0,19</w:t>
            </w:r>
          </w:p>
          <w:p w14:paraId="4EDE6673"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5,97</w:t>
            </w:r>
          </w:p>
        </w:tc>
        <w:tc>
          <w:tcPr>
            <w:tcW w:w="1917" w:type="dxa"/>
            <w:vAlign w:val="center"/>
          </w:tcPr>
          <w:p w14:paraId="450D1980"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0,22</w:t>
            </w:r>
          </w:p>
          <w:p w14:paraId="22982788"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4,92</w:t>
            </w:r>
          </w:p>
        </w:tc>
      </w:tr>
      <w:tr w:rsidR="005A28CF" w14:paraId="69981A22" w14:textId="77777777" w:rsidTr="000C453F">
        <w:trPr>
          <w:cantSplit/>
          <w:trHeight w:val="1047"/>
        </w:trPr>
        <w:tc>
          <w:tcPr>
            <w:tcW w:w="2830" w:type="dxa"/>
            <w:vAlign w:val="center"/>
          </w:tcPr>
          <w:p w14:paraId="793E124F" w14:textId="77777777" w:rsidR="00E269CB" w:rsidRPr="00D90165" w:rsidRDefault="009C4EC4" w:rsidP="00855719">
            <w:pPr>
              <w:tabs>
                <w:tab w:val="clear" w:pos="567"/>
              </w:tabs>
              <w:spacing w:line="240" w:lineRule="auto"/>
              <w:rPr>
                <w:color w:val="000000"/>
                <w:sz w:val="20"/>
              </w:rPr>
            </w:pPr>
            <w:r w:rsidRPr="00D90165">
              <w:rPr>
                <w:color w:val="000000" w:themeColor="text1"/>
                <w:sz w:val="20"/>
              </w:rPr>
              <w:t>Średnia zmiana po 24 tygodniach</w:t>
            </w:r>
          </w:p>
          <w:p w14:paraId="5D5161E0" w14:textId="77777777" w:rsidR="00E269CB" w:rsidRPr="00D90165" w:rsidRDefault="009C4EC4" w:rsidP="00855719">
            <w:pPr>
              <w:tabs>
                <w:tab w:val="clear" w:pos="567"/>
              </w:tabs>
              <w:spacing w:line="240" w:lineRule="auto"/>
              <w:rPr>
                <w:color w:val="000000"/>
                <w:sz w:val="20"/>
              </w:rPr>
            </w:pPr>
            <w:r w:rsidRPr="00D90165">
              <w:rPr>
                <w:color w:val="000000" w:themeColor="text1"/>
                <w:sz w:val="20"/>
              </w:rPr>
              <w:t>Wstawanie/s</w:t>
            </w:r>
          </w:p>
          <w:p w14:paraId="1624ADE9" w14:textId="77777777" w:rsidR="00E269CB" w:rsidRPr="00D90165" w:rsidRDefault="009C4EC4" w:rsidP="00855719">
            <w:pPr>
              <w:tabs>
                <w:tab w:val="clear" w:pos="567"/>
              </w:tabs>
              <w:spacing w:line="240" w:lineRule="auto"/>
              <w:rPr>
                <w:color w:val="000000"/>
                <w:sz w:val="20"/>
              </w:rPr>
            </w:pPr>
            <w:r w:rsidRPr="00D90165">
              <w:rPr>
                <w:color w:val="000000" w:themeColor="text1"/>
                <w:sz w:val="20"/>
              </w:rPr>
              <w:t>Poprawa w zakresie s/wstawanie</w:t>
            </w:r>
          </w:p>
        </w:tc>
        <w:tc>
          <w:tcPr>
            <w:tcW w:w="1134" w:type="dxa"/>
            <w:vAlign w:val="center"/>
          </w:tcPr>
          <w:p w14:paraId="18308DD4" w14:textId="77777777" w:rsidR="00E269CB" w:rsidRPr="00A510B3" w:rsidRDefault="00E269CB" w:rsidP="00855719">
            <w:pPr>
              <w:tabs>
                <w:tab w:val="clear" w:pos="567"/>
              </w:tabs>
              <w:spacing w:line="240" w:lineRule="auto"/>
              <w:jc w:val="center"/>
              <w:rPr>
                <w:color w:val="000000"/>
                <w:sz w:val="20"/>
                <w:lang w:eastAsia="en-GB"/>
              </w:rPr>
            </w:pPr>
          </w:p>
          <w:p w14:paraId="19BDAAC0" w14:textId="77777777" w:rsidR="00E269CB" w:rsidRPr="00A510B3" w:rsidRDefault="00E269CB" w:rsidP="00855719">
            <w:pPr>
              <w:tabs>
                <w:tab w:val="clear" w:pos="567"/>
              </w:tabs>
              <w:spacing w:line="240" w:lineRule="auto"/>
              <w:jc w:val="center"/>
              <w:rPr>
                <w:color w:val="000000"/>
                <w:sz w:val="20"/>
                <w:lang w:eastAsia="en-GB"/>
              </w:rPr>
            </w:pPr>
          </w:p>
          <w:p w14:paraId="1C4C4C16"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-0,012</w:t>
            </w:r>
          </w:p>
          <w:p w14:paraId="360FB4A5"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-0,62</w:t>
            </w:r>
          </w:p>
          <w:p w14:paraId="1391F0D1" w14:textId="77777777" w:rsidR="00E269CB" w:rsidRPr="00D90165" w:rsidRDefault="00E269CB" w:rsidP="00855719">
            <w:pPr>
              <w:tabs>
                <w:tab w:val="clear" w:pos="567"/>
              </w:tabs>
              <w:spacing w:line="240" w:lineRule="auto"/>
              <w:jc w:val="center"/>
              <w:rPr>
                <w:color w:val="000000"/>
                <w:sz w:val="20"/>
                <w:lang w:val="en-GB" w:eastAsia="en-GB"/>
              </w:rPr>
            </w:pPr>
          </w:p>
        </w:tc>
        <w:tc>
          <w:tcPr>
            <w:tcW w:w="1701" w:type="dxa"/>
            <w:vAlign w:val="center"/>
          </w:tcPr>
          <w:p w14:paraId="60D0315B" w14:textId="77777777" w:rsidR="00E269CB" w:rsidRPr="00D90165" w:rsidRDefault="00E269CB" w:rsidP="00855719">
            <w:pPr>
              <w:tabs>
                <w:tab w:val="clear" w:pos="567"/>
              </w:tabs>
              <w:spacing w:line="240" w:lineRule="auto"/>
              <w:jc w:val="center"/>
              <w:rPr>
                <w:color w:val="000000"/>
                <w:sz w:val="20"/>
                <w:lang w:val="en-GB" w:eastAsia="en-GB"/>
              </w:rPr>
            </w:pPr>
          </w:p>
          <w:p w14:paraId="2E024913" w14:textId="77777777" w:rsidR="00E269CB" w:rsidRPr="00D90165" w:rsidRDefault="00E269CB" w:rsidP="00855719">
            <w:pPr>
              <w:tabs>
                <w:tab w:val="clear" w:pos="567"/>
              </w:tabs>
              <w:spacing w:line="240" w:lineRule="auto"/>
              <w:jc w:val="center"/>
              <w:rPr>
                <w:color w:val="000000"/>
                <w:sz w:val="20"/>
                <w:lang w:val="en-GB" w:eastAsia="en-GB"/>
              </w:rPr>
            </w:pPr>
          </w:p>
          <w:p w14:paraId="28BA2FA7"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0,031</w:t>
            </w:r>
          </w:p>
          <w:p w14:paraId="09C2D3AB"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0,31</w:t>
            </w:r>
          </w:p>
          <w:p w14:paraId="123EEADD" w14:textId="77777777" w:rsidR="00E269CB" w:rsidRPr="00D90165" w:rsidRDefault="00E269CB" w:rsidP="00855719">
            <w:pPr>
              <w:tabs>
                <w:tab w:val="clear" w:pos="567"/>
              </w:tabs>
              <w:spacing w:line="240" w:lineRule="auto"/>
              <w:jc w:val="center"/>
              <w:rPr>
                <w:color w:val="000000"/>
                <w:sz w:val="20"/>
                <w:lang w:val="en-GB" w:eastAsia="en-GB"/>
              </w:rPr>
            </w:pPr>
          </w:p>
        </w:tc>
        <w:tc>
          <w:tcPr>
            <w:tcW w:w="1701" w:type="dxa"/>
            <w:vAlign w:val="center"/>
          </w:tcPr>
          <w:p w14:paraId="12C4EC6A" w14:textId="77777777" w:rsidR="00E269CB" w:rsidRPr="00D90165" w:rsidRDefault="00E269CB" w:rsidP="00855719">
            <w:pPr>
              <w:tabs>
                <w:tab w:val="clear" w:pos="567"/>
              </w:tabs>
              <w:spacing w:line="240" w:lineRule="auto"/>
              <w:jc w:val="center"/>
              <w:rPr>
                <w:color w:val="000000"/>
                <w:sz w:val="20"/>
                <w:lang w:val="en-GB" w:eastAsia="en-GB"/>
              </w:rPr>
            </w:pPr>
          </w:p>
          <w:p w14:paraId="27AE66F7" w14:textId="77777777" w:rsidR="00E269CB" w:rsidRPr="00D90165" w:rsidRDefault="00E269CB" w:rsidP="00855719">
            <w:pPr>
              <w:tabs>
                <w:tab w:val="clear" w:pos="567"/>
              </w:tabs>
              <w:spacing w:line="240" w:lineRule="auto"/>
              <w:jc w:val="center"/>
              <w:rPr>
                <w:color w:val="000000"/>
                <w:sz w:val="20"/>
                <w:lang w:val="en-GB" w:eastAsia="en-GB"/>
              </w:rPr>
            </w:pPr>
          </w:p>
          <w:p w14:paraId="68B0DE01"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0,046</w:t>
            </w:r>
          </w:p>
          <w:p w14:paraId="6441C91E"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1,05</w:t>
            </w:r>
          </w:p>
          <w:p w14:paraId="4ACD6E4C" w14:textId="77777777" w:rsidR="00E269CB" w:rsidRPr="00D90165" w:rsidRDefault="00E269CB" w:rsidP="00855719">
            <w:pPr>
              <w:tabs>
                <w:tab w:val="clear" w:pos="567"/>
              </w:tabs>
              <w:spacing w:line="240" w:lineRule="auto"/>
              <w:jc w:val="center"/>
              <w:rPr>
                <w:color w:val="000000"/>
                <w:sz w:val="20"/>
                <w:lang w:val="en-GB" w:eastAsia="en-GB"/>
              </w:rPr>
            </w:pPr>
          </w:p>
        </w:tc>
        <w:tc>
          <w:tcPr>
            <w:tcW w:w="1917" w:type="dxa"/>
            <w:vAlign w:val="center"/>
          </w:tcPr>
          <w:p w14:paraId="460D30C0" w14:textId="77777777" w:rsidR="00E269CB" w:rsidRPr="00D90165" w:rsidRDefault="00E269CB" w:rsidP="00855719">
            <w:pPr>
              <w:tabs>
                <w:tab w:val="clear" w:pos="567"/>
              </w:tabs>
              <w:spacing w:line="240" w:lineRule="auto"/>
              <w:jc w:val="center"/>
              <w:rPr>
                <w:color w:val="000000"/>
                <w:sz w:val="20"/>
                <w:lang w:val="en-GB" w:eastAsia="en-GB"/>
              </w:rPr>
            </w:pPr>
          </w:p>
          <w:p w14:paraId="0314191C" w14:textId="77777777" w:rsidR="00E269CB" w:rsidRPr="00D90165" w:rsidRDefault="00E269CB" w:rsidP="00855719">
            <w:pPr>
              <w:tabs>
                <w:tab w:val="clear" w:pos="567"/>
              </w:tabs>
              <w:spacing w:line="240" w:lineRule="auto"/>
              <w:jc w:val="center"/>
              <w:rPr>
                <w:color w:val="000000"/>
                <w:sz w:val="20"/>
                <w:lang w:val="en-GB" w:eastAsia="en-GB"/>
              </w:rPr>
            </w:pPr>
          </w:p>
          <w:p w14:paraId="3513F51B"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0,066</w:t>
            </w:r>
          </w:p>
          <w:p w14:paraId="59AECD8C"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1,24</w:t>
            </w:r>
          </w:p>
          <w:p w14:paraId="2210624E" w14:textId="77777777" w:rsidR="00E269CB" w:rsidRPr="00D90165" w:rsidRDefault="00E269CB" w:rsidP="00855719">
            <w:pPr>
              <w:tabs>
                <w:tab w:val="clear" w:pos="567"/>
              </w:tabs>
              <w:spacing w:line="240" w:lineRule="auto"/>
              <w:jc w:val="center"/>
              <w:rPr>
                <w:color w:val="000000"/>
                <w:sz w:val="20"/>
                <w:lang w:val="en-GB" w:eastAsia="en-GB"/>
              </w:rPr>
            </w:pPr>
          </w:p>
        </w:tc>
      </w:tr>
      <w:tr w:rsidR="005A28CF" w14:paraId="5AFFC23A" w14:textId="77777777" w:rsidTr="000C453F">
        <w:trPr>
          <w:cantSplit/>
          <w:trHeight w:val="482"/>
        </w:trPr>
        <w:tc>
          <w:tcPr>
            <w:tcW w:w="2830" w:type="dxa"/>
            <w:vAlign w:val="center"/>
          </w:tcPr>
          <w:p w14:paraId="0B2F755A" w14:textId="77777777" w:rsidR="4893E003" w:rsidRPr="00A510B3" w:rsidRDefault="4893E003" w:rsidP="00855719">
            <w:pPr>
              <w:tabs>
                <w:tab w:val="clear" w:pos="567"/>
              </w:tabs>
              <w:spacing w:line="240" w:lineRule="auto"/>
              <w:rPr>
                <w:color w:val="000000" w:themeColor="text1"/>
                <w:sz w:val="20"/>
                <w:lang w:eastAsia="en-GB"/>
              </w:rPr>
            </w:pPr>
          </w:p>
          <w:p w14:paraId="36B5BFDC" w14:textId="77777777" w:rsidR="00E269CB" w:rsidRPr="00D90165" w:rsidRDefault="009C4EC4" w:rsidP="00855719">
            <w:pPr>
              <w:tabs>
                <w:tab w:val="clear" w:pos="567"/>
              </w:tabs>
              <w:spacing w:line="240" w:lineRule="auto"/>
              <w:rPr>
                <w:color w:val="000000"/>
                <w:sz w:val="20"/>
              </w:rPr>
            </w:pPr>
            <w:r w:rsidRPr="00D90165">
              <w:rPr>
                <w:color w:val="000000" w:themeColor="text1"/>
                <w:sz w:val="20"/>
              </w:rPr>
              <w:t>Różnica w porównaniu z placebo*</w:t>
            </w:r>
          </w:p>
          <w:p w14:paraId="758E1D4E" w14:textId="77777777" w:rsidR="00E269CB" w:rsidRPr="00D90165" w:rsidRDefault="009C4EC4" w:rsidP="00855719">
            <w:pPr>
              <w:tabs>
                <w:tab w:val="clear" w:pos="567"/>
              </w:tabs>
              <w:spacing w:line="240" w:lineRule="auto"/>
              <w:rPr>
                <w:color w:val="000000"/>
                <w:sz w:val="20"/>
              </w:rPr>
            </w:pPr>
            <w:r w:rsidRPr="00D90165">
              <w:rPr>
                <w:color w:val="000000" w:themeColor="text1"/>
                <w:sz w:val="20"/>
              </w:rPr>
              <w:t>Wstawanie/s</w:t>
            </w:r>
          </w:p>
          <w:p w14:paraId="680736FD" w14:textId="77777777" w:rsidR="322426AC" w:rsidRPr="00D90165" w:rsidRDefault="009C4EC4" w:rsidP="00855719">
            <w:pPr>
              <w:tabs>
                <w:tab w:val="clear" w:pos="567"/>
              </w:tabs>
              <w:spacing w:line="240" w:lineRule="auto"/>
              <w:rPr>
                <w:color w:val="000000" w:themeColor="text1"/>
                <w:sz w:val="20"/>
              </w:rPr>
            </w:pPr>
            <w:r w:rsidRPr="00D90165">
              <w:rPr>
                <w:color w:val="000000" w:themeColor="text1"/>
                <w:sz w:val="20"/>
              </w:rPr>
              <w:t>s/wstawanie</w:t>
            </w:r>
          </w:p>
          <w:p w14:paraId="77D57946" w14:textId="77777777" w:rsidR="00E269CB" w:rsidRPr="00D90165" w:rsidRDefault="00E269CB" w:rsidP="00855719">
            <w:pPr>
              <w:tabs>
                <w:tab w:val="clear" w:pos="567"/>
              </w:tabs>
              <w:spacing w:line="240" w:lineRule="auto"/>
              <w:rPr>
                <w:color w:val="000000"/>
                <w:sz w:val="20"/>
                <w:lang w:val="en-GB" w:eastAsia="en-GB"/>
              </w:rPr>
            </w:pPr>
          </w:p>
        </w:tc>
        <w:tc>
          <w:tcPr>
            <w:tcW w:w="1134" w:type="dxa"/>
            <w:vAlign w:val="center"/>
          </w:tcPr>
          <w:p w14:paraId="539A6BD0"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lang w:eastAsia="en-GB"/>
              </w:rPr>
              <w:t>-</w:t>
            </w:r>
          </w:p>
        </w:tc>
        <w:tc>
          <w:tcPr>
            <w:tcW w:w="1701" w:type="dxa"/>
            <w:vAlign w:val="center"/>
          </w:tcPr>
          <w:p w14:paraId="6626EE4A" w14:textId="77777777" w:rsidR="00E269CB" w:rsidRPr="00D90165" w:rsidRDefault="00E269CB" w:rsidP="00855719">
            <w:pPr>
              <w:tabs>
                <w:tab w:val="clear" w:pos="567"/>
              </w:tabs>
              <w:spacing w:line="240" w:lineRule="auto"/>
              <w:jc w:val="center"/>
              <w:rPr>
                <w:color w:val="000000"/>
                <w:sz w:val="20"/>
                <w:lang w:val="en-GB" w:eastAsia="en-GB"/>
              </w:rPr>
            </w:pPr>
          </w:p>
          <w:p w14:paraId="7E908404" w14:textId="77777777" w:rsidR="001664E6" w:rsidRPr="00D90165" w:rsidRDefault="009C4EC4" w:rsidP="00855719">
            <w:pPr>
              <w:tabs>
                <w:tab w:val="clear" w:pos="567"/>
              </w:tabs>
              <w:spacing w:line="240" w:lineRule="auto"/>
              <w:jc w:val="center"/>
              <w:rPr>
                <w:color w:val="000000" w:themeColor="text1"/>
                <w:sz w:val="20"/>
              </w:rPr>
            </w:pPr>
            <w:r w:rsidRPr="00D90165">
              <w:rPr>
                <w:color w:val="000000" w:themeColor="text1"/>
                <w:sz w:val="20"/>
              </w:rPr>
              <w:t>0,043</w:t>
            </w:r>
          </w:p>
          <w:p w14:paraId="09258651"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(0,007 ; 0,079)</w:t>
            </w:r>
          </w:p>
          <w:p w14:paraId="7F9E8473"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 xml:space="preserve">0,927 (0,042 ; 1,895) </w:t>
            </w:r>
          </w:p>
        </w:tc>
        <w:tc>
          <w:tcPr>
            <w:tcW w:w="1701" w:type="dxa"/>
            <w:vAlign w:val="center"/>
          </w:tcPr>
          <w:p w14:paraId="7F4C245D" w14:textId="77777777" w:rsidR="00E269CB" w:rsidRPr="00D90165" w:rsidRDefault="00E269CB" w:rsidP="00855719">
            <w:pPr>
              <w:tabs>
                <w:tab w:val="clear" w:pos="567"/>
              </w:tabs>
              <w:spacing w:line="240" w:lineRule="auto"/>
              <w:jc w:val="center"/>
              <w:rPr>
                <w:color w:val="000000"/>
                <w:sz w:val="20"/>
                <w:lang w:val="en-GB" w:eastAsia="en-GB"/>
              </w:rPr>
            </w:pPr>
          </w:p>
          <w:p w14:paraId="271BF5E7" w14:textId="77777777" w:rsidR="001664E6" w:rsidRPr="00D90165" w:rsidRDefault="009C4EC4" w:rsidP="00855719">
            <w:pPr>
              <w:tabs>
                <w:tab w:val="clear" w:pos="567"/>
              </w:tabs>
              <w:spacing w:line="240" w:lineRule="auto"/>
              <w:jc w:val="center"/>
              <w:rPr>
                <w:color w:val="000000" w:themeColor="text1"/>
                <w:sz w:val="20"/>
              </w:rPr>
            </w:pPr>
            <w:r w:rsidRPr="00D90165">
              <w:rPr>
                <w:color w:val="000000" w:themeColor="text1"/>
                <w:sz w:val="20"/>
              </w:rPr>
              <w:t>0,059</w:t>
            </w:r>
          </w:p>
          <w:p w14:paraId="76B56AF8"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(0,022 ; 0,095)</w:t>
            </w:r>
          </w:p>
          <w:p w14:paraId="28D593F2"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1,67 (0,684 ; 2,658)</w:t>
            </w:r>
          </w:p>
        </w:tc>
        <w:tc>
          <w:tcPr>
            <w:tcW w:w="1917" w:type="dxa"/>
            <w:vAlign w:val="center"/>
          </w:tcPr>
          <w:p w14:paraId="24997B77" w14:textId="77777777" w:rsidR="00E269CB" w:rsidRPr="00D90165" w:rsidRDefault="00E269CB" w:rsidP="00855719">
            <w:pPr>
              <w:tabs>
                <w:tab w:val="clear" w:pos="567"/>
              </w:tabs>
              <w:spacing w:line="240" w:lineRule="auto"/>
              <w:jc w:val="center"/>
              <w:rPr>
                <w:color w:val="000000"/>
                <w:sz w:val="20"/>
                <w:lang w:val="en-GB" w:eastAsia="en-GB"/>
              </w:rPr>
            </w:pPr>
          </w:p>
          <w:p w14:paraId="2F2241D3"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nie podano</w:t>
            </w:r>
          </w:p>
          <w:p w14:paraId="5043FAF7"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nie podano</w:t>
            </w:r>
          </w:p>
        </w:tc>
      </w:tr>
      <w:tr w:rsidR="005A28CF" w14:paraId="137AB3F7" w14:textId="77777777" w:rsidTr="000C453F">
        <w:trPr>
          <w:cantSplit/>
          <w:trHeight w:val="57"/>
        </w:trPr>
        <w:tc>
          <w:tcPr>
            <w:tcW w:w="2830" w:type="dxa"/>
            <w:vAlign w:val="center"/>
          </w:tcPr>
          <w:p w14:paraId="20CB0583" w14:textId="77777777" w:rsidR="00E269CB" w:rsidRPr="00D90165" w:rsidRDefault="009C4EC4" w:rsidP="00855719">
            <w:pPr>
              <w:tabs>
                <w:tab w:val="clear" w:pos="567"/>
              </w:tabs>
              <w:spacing w:line="240" w:lineRule="auto"/>
              <w:rPr>
                <w:color w:val="000000"/>
                <w:sz w:val="20"/>
              </w:rPr>
            </w:pPr>
            <w:r w:rsidRPr="00D90165">
              <w:rPr>
                <w:color w:val="000000" w:themeColor="text1"/>
                <w:sz w:val="20"/>
              </w:rPr>
              <w:t xml:space="preserve">wartość p </w:t>
            </w:r>
          </w:p>
        </w:tc>
        <w:tc>
          <w:tcPr>
            <w:tcW w:w="1134" w:type="dxa"/>
            <w:vAlign w:val="center"/>
          </w:tcPr>
          <w:p w14:paraId="279F2F49"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lang w:eastAsia="en-GB"/>
              </w:rPr>
              <w:t>-</w:t>
            </w:r>
          </w:p>
        </w:tc>
        <w:tc>
          <w:tcPr>
            <w:tcW w:w="1701" w:type="dxa"/>
            <w:vAlign w:val="center"/>
          </w:tcPr>
          <w:p w14:paraId="20E5BBF1"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0,020</w:t>
            </w:r>
          </w:p>
        </w:tc>
        <w:tc>
          <w:tcPr>
            <w:tcW w:w="1701" w:type="dxa"/>
            <w:vAlign w:val="center"/>
          </w:tcPr>
          <w:p w14:paraId="2867DDC6"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0,002</w:t>
            </w:r>
          </w:p>
        </w:tc>
        <w:tc>
          <w:tcPr>
            <w:tcW w:w="1917" w:type="dxa"/>
            <w:vAlign w:val="center"/>
          </w:tcPr>
          <w:p w14:paraId="33B3CAE0"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 xml:space="preserve">nie podano </w:t>
            </w:r>
          </w:p>
        </w:tc>
      </w:tr>
      <w:tr w:rsidR="005A28CF" w14:paraId="44CFCE91" w14:textId="77777777" w:rsidTr="14C87AD7">
        <w:trPr>
          <w:cantSplit/>
          <w:trHeight w:val="57"/>
        </w:trPr>
        <w:tc>
          <w:tcPr>
            <w:tcW w:w="2830" w:type="dxa"/>
            <w:shd w:val="clear" w:color="auto" w:fill="F2F2F2" w:themeFill="background1" w:themeFillShade="F2"/>
            <w:vAlign w:val="center"/>
          </w:tcPr>
          <w:p w14:paraId="6556D43C" w14:textId="77777777" w:rsidR="00E269CB" w:rsidRPr="00D90165" w:rsidRDefault="009C4EC4" w:rsidP="00855719">
            <w:pPr>
              <w:tabs>
                <w:tab w:val="clear" w:pos="567"/>
              </w:tabs>
              <w:spacing w:before="120" w:line="240" w:lineRule="auto"/>
              <w:rPr>
                <w:b/>
                <w:bCs/>
                <w:color w:val="000000"/>
                <w:sz w:val="20"/>
              </w:rPr>
            </w:pPr>
            <w:r w:rsidRPr="00D90165">
              <w:rPr>
                <w:b/>
                <w:color w:val="000000" w:themeColor="text1"/>
                <w:sz w:val="20"/>
              </w:rPr>
              <w:t>Odległość 6MWT (w metrach)</w:t>
            </w:r>
          </w:p>
        </w:tc>
        <w:tc>
          <w:tcPr>
            <w:tcW w:w="1134" w:type="dxa"/>
            <w:shd w:val="clear" w:color="auto" w:fill="F2F2F2" w:themeFill="background1" w:themeFillShade="F2"/>
            <w:vAlign w:val="center"/>
          </w:tcPr>
          <w:p w14:paraId="4F18E2E7" w14:textId="77777777" w:rsidR="00E269CB" w:rsidRPr="00D90165" w:rsidRDefault="009C4EC4" w:rsidP="00855719">
            <w:pPr>
              <w:tabs>
                <w:tab w:val="clear" w:pos="567"/>
              </w:tabs>
              <w:spacing w:before="120" w:line="240" w:lineRule="auto"/>
              <w:jc w:val="center"/>
              <w:rPr>
                <w:b/>
                <w:bCs/>
                <w:color w:val="000000"/>
                <w:sz w:val="20"/>
              </w:rPr>
            </w:pPr>
            <w:r w:rsidRPr="00D90165">
              <w:rPr>
                <w:b/>
                <w:color w:val="000000" w:themeColor="text1"/>
                <w:sz w:val="20"/>
              </w:rPr>
              <w:t>Placebo</w:t>
            </w:r>
          </w:p>
        </w:tc>
        <w:tc>
          <w:tcPr>
            <w:tcW w:w="1701" w:type="dxa"/>
            <w:shd w:val="clear" w:color="auto" w:fill="F2F2F2" w:themeFill="background1" w:themeFillShade="F2"/>
            <w:vAlign w:val="center"/>
          </w:tcPr>
          <w:p w14:paraId="08C5A159" w14:textId="77777777" w:rsidR="00E269CB" w:rsidRPr="00D90165" w:rsidRDefault="009C4EC4" w:rsidP="00855719">
            <w:pPr>
              <w:tabs>
                <w:tab w:val="clear" w:pos="567"/>
              </w:tabs>
              <w:spacing w:before="120" w:line="240" w:lineRule="auto"/>
              <w:jc w:val="center"/>
              <w:rPr>
                <w:b/>
                <w:bCs/>
                <w:color w:val="000000"/>
                <w:sz w:val="20"/>
              </w:rPr>
            </w:pPr>
            <w:r w:rsidRPr="00D90165">
              <w:rPr>
                <w:b/>
                <w:color w:val="000000" w:themeColor="text1"/>
                <w:sz w:val="20"/>
              </w:rPr>
              <w:t>Wam 2 mg/kg</w:t>
            </w:r>
            <w:r w:rsidR="00FB7B5E">
              <w:t xml:space="preserve"> </w:t>
            </w:r>
            <w:bookmarkStart w:id="13" w:name="_Hlk149737825"/>
            <w:r w:rsidR="00FB7B5E" w:rsidRPr="00A510B3">
              <w:rPr>
                <w:b/>
                <w:bCs/>
              </w:rPr>
              <w:t>mc.</w:t>
            </w:r>
            <w:bookmarkEnd w:id="13"/>
            <w:r w:rsidRPr="00D90165">
              <w:rPr>
                <w:b/>
                <w:color w:val="000000" w:themeColor="text1"/>
                <w:sz w:val="20"/>
              </w:rPr>
              <w:t>/dobę</w:t>
            </w:r>
          </w:p>
        </w:tc>
        <w:tc>
          <w:tcPr>
            <w:tcW w:w="1701" w:type="dxa"/>
            <w:shd w:val="clear" w:color="auto" w:fill="F2F2F2" w:themeFill="background1" w:themeFillShade="F2"/>
            <w:vAlign w:val="center"/>
          </w:tcPr>
          <w:p w14:paraId="20CB7640" w14:textId="77777777" w:rsidR="00E269CB" w:rsidRPr="00D90165" w:rsidRDefault="009C4EC4" w:rsidP="00855719">
            <w:pPr>
              <w:tabs>
                <w:tab w:val="clear" w:pos="567"/>
              </w:tabs>
              <w:spacing w:before="120" w:line="240" w:lineRule="auto"/>
              <w:jc w:val="center"/>
              <w:rPr>
                <w:b/>
                <w:bCs/>
                <w:color w:val="000000"/>
                <w:sz w:val="20"/>
              </w:rPr>
            </w:pPr>
            <w:r w:rsidRPr="00D90165">
              <w:rPr>
                <w:b/>
                <w:color w:val="000000" w:themeColor="text1"/>
                <w:sz w:val="20"/>
              </w:rPr>
              <w:t>Wam 6 mg/kg</w:t>
            </w:r>
            <w:r w:rsidR="00FB7B5E" w:rsidRPr="00CE7EB2">
              <w:rPr>
                <w:b/>
                <w:bCs/>
              </w:rPr>
              <w:t xml:space="preserve"> mc.</w:t>
            </w:r>
            <w:r w:rsidRPr="00D90165">
              <w:rPr>
                <w:b/>
                <w:color w:val="000000" w:themeColor="text1"/>
                <w:sz w:val="20"/>
              </w:rPr>
              <w:t>/dobę</w:t>
            </w:r>
          </w:p>
        </w:tc>
        <w:tc>
          <w:tcPr>
            <w:tcW w:w="1917" w:type="dxa"/>
            <w:shd w:val="clear" w:color="auto" w:fill="F2F2F2" w:themeFill="background1" w:themeFillShade="F2"/>
            <w:vAlign w:val="center"/>
          </w:tcPr>
          <w:p w14:paraId="38844174" w14:textId="77777777" w:rsidR="00E269CB" w:rsidRPr="00833952" w:rsidRDefault="009C4EC4" w:rsidP="00855719">
            <w:pPr>
              <w:tabs>
                <w:tab w:val="clear" w:pos="567"/>
              </w:tabs>
              <w:spacing w:before="120" w:line="240" w:lineRule="auto"/>
              <w:jc w:val="center"/>
              <w:rPr>
                <w:b/>
                <w:bCs/>
                <w:color w:val="000000"/>
                <w:sz w:val="20"/>
              </w:rPr>
            </w:pPr>
            <w:r w:rsidRPr="00833952">
              <w:rPr>
                <w:b/>
                <w:color w:val="000000" w:themeColor="text1"/>
                <w:sz w:val="20"/>
              </w:rPr>
              <w:t>Pred 0,75 mg/kg</w:t>
            </w:r>
            <w:r w:rsidR="00FB7B5E" w:rsidRPr="00833952">
              <w:rPr>
                <w:b/>
                <w:bCs/>
              </w:rPr>
              <w:t xml:space="preserve"> mc.</w:t>
            </w:r>
            <w:r w:rsidRPr="00833952">
              <w:rPr>
                <w:b/>
                <w:color w:val="000000" w:themeColor="text1"/>
                <w:sz w:val="20"/>
              </w:rPr>
              <w:t>/dobę</w:t>
            </w:r>
          </w:p>
        </w:tc>
      </w:tr>
      <w:tr w:rsidR="005A28CF" w14:paraId="352673C5" w14:textId="77777777" w:rsidTr="000C453F">
        <w:trPr>
          <w:cantSplit/>
          <w:trHeight w:val="57"/>
        </w:trPr>
        <w:tc>
          <w:tcPr>
            <w:tcW w:w="2830" w:type="dxa"/>
            <w:vAlign w:val="center"/>
          </w:tcPr>
          <w:p w14:paraId="733458D4" w14:textId="77777777" w:rsidR="00E269CB" w:rsidRPr="00D90165" w:rsidRDefault="009C4EC4" w:rsidP="00855719">
            <w:pPr>
              <w:tabs>
                <w:tab w:val="clear" w:pos="567"/>
              </w:tabs>
              <w:spacing w:line="240" w:lineRule="auto"/>
              <w:rPr>
                <w:color w:val="000000"/>
                <w:sz w:val="20"/>
              </w:rPr>
            </w:pPr>
            <w:r w:rsidRPr="00D90165">
              <w:rPr>
                <w:color w:val="000000" w:themeColor="text1"/>
                <w:sz w:val="20"/>
              </w:rPr>
              <w:t>Średnia wyjściowa (m)</w:t>
            </w:r>
          </w:p>
        </w:tc>
        <w:tc>
          <w:tcPr>
            <w:tcW w:w="1134" w:type="dxa"/>
            <w:vAlign w:val="center"/>
          </w:tcPr>
          <w:p w14:paraId="3A40BA26"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354,5</w:t>
            </w:r>
          </w:p>
        </w:tc>
        <w:tc>
          <w:tcPr>
            <w:tcW w:w="1701" w:type="dxa"/>
            <w:vAlign w:val="center"/>
          </w:tcPr>
          <w:p w14:paraId="60320477"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316,1</w:t>
            </w:r>
          </w:p>
        </w:tc>
        <w:tc>
          <w:tcPr>
            <w:tcW w:w="1701" w:type="dxa"/>
            <w:vAlign w:val="center"/>
          </w:tcPr>
          <w:p w14:paraId="79E24010"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312,5</w:t>
            </w:r>
          </w:p>
        </w:tc>
        <w:tc>
          <w:tcPr>
            <w:tcW w:w="1917" w:type="dxa"/>
            <w:vAlign w:val="center"/>
          </w:tcPr>
          <w:p w14:paraId="77C0A929"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343,3</w:t>
            </w:r>
          </w:p>
        </w:tc>
      </w:tr>
      <w:tr w:rsidR="005A28CF" w14:paraId="5A0669A4" w14:textId="77777777" w:rsidTr="000C453F">
        <w:trPr>
          <w:cantSplit/>
          <w:trHeight w:val="57"/>
        </w:trPr>
        <w:tc>
          <w:tcPr>
            <w:tcW w:w="2830" w:type="dxa"/>
            <w:vAlign w:val="center"/>
          </w:tcPr>
          <w:p w14:paraId="1F34195F" w14:textId="77777777" w:rsidR="00E269CB" w:rsidRPr="00D90165" w:rsidRDefault="009C4EC4" w:rsidP="00855719">
            <w:pPr>
              <w:tabs>
                <w:tab w:val="clear" w:pos="567"/>
              </w:tabs>
              <w:spacing w:line="240" w:lineRule="auto"/>
              <w:rPr>
                <w:color w:val="000000"/>
                <w:sz w:val="20"/>
              </w:rPr>
            </w:pPr>
            <w:r w:rsidRPr="00D90165">
              <w:rPr>
                <w:color w:val="000000" w:themeColor="text1"/>
                <w:sz w:val="20"/>
              </w:rPr>
              <w:t>Średnia zmiana po 24 tygodniach</w:t>
            </w:r>
          </w:p>
        </w:tc>
        <w:tc>
          <w:tcPr>
            <w:tcW w:w="1134" w:type="dxa"/>
            <w:vAlign w:val="center"/>
          </w:tcPr>
          <w:p w14:paraId="2CBE0BF5"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-11,4</w:t>
            </w:r>
          </w:p>
        </w:tc>
        <w:tc>
          <w:tcPr>
            <w:tcW w:w="1701" w:type="dxa"/>
            <w:vAlign w:val="center"/>
          </w:tcPr>
          <w:p w14:paraId="11DD838F" w14:textId="77777777" w:rsidR="00E269CB" w:rsidRPr="00D90165" w:rsidRDefault="009C4EC4" w:rsidP="00855719">
            <w:pPr>
              <w:tabs>
                <w:tab w:val="clear" w:pos="567"/>
              </w:tabs>
              <w:spacing w:line="240" w:lineRule="auto"/>
              <w:jc w:val="center"/>
              <w:rPr>
                <w:color w:val="000000" w:themeColor="text1"/>
                <w:sz w:val="20"/>
              </w:rPr>
            </w:pPr>
            <w:r w:rsidRPr="00D90165">
              <w:rPr>
                <w:color w:val="000000" w:themeColor="text1"/>
                <w:sz w:val="20"/>
              </w:rPr>
              <w:t>+25,0</w:t>
            </w:r>
          </w:p>
        </w:tc>
        <w:tc>
          <w:tcPr>
            <w:tcW w:w="1701" w:type="dxa"/>
            <w:vAlign w:val="center"/>
          </w:tcPr>
          <w:p w14:paraId="7A0CB859" w14:textId="77777777" w:rsidR="00E269CB" w:rsidRPr="00D90165" w:rsidRDefault="009C4EC4" w:rsidP="00855719">
            <w:pPr>
              <w:tabs>
                <w:tab w:val="clear" w:pos="567"/>
              </w:tabs>
              <w:spacing w:line="240" w:lineRule="auto"/>
              <w:jc w:val="center"/>
              <w:rPr>
                <w:color w:val="000000" w:themeColor="text1"/>
                <w:sz w:val="20"/>
              </w:rPr>
            </w:pPr>
            <w:r w:rsidRPr="00D90165">
              <w:rPr>
                <w:color w:val="000000" w:themeColor="text1"/>
                <w:sz w:val="20"/>
              </w:rPr>
              <w:t>+24,6</w:t>
            </w:r>
          </w:p>
        </w:tc>
        <w:tc>
          <w:tcPr>
            <w:tcW w:w="1917" w:type="dxa"/>
            <w:vAlign w:val="center"/>
          </w:tcPr>
          <w:p w14:paraId="55091F66"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+44,1</w:t>
            </w:r>
          </w:p>
        </w:tc>
      </w:tr>
      <w:tr w:rsidR="005A28CF" w14:paraId="5F184389" w14:textId="77777777" w:rsidTr="000C453F">
        <w:trPr>
          <w:cantSplit/>
          <w:trHeight w:val="57"/>
        </w:trPr>
        <w:tc>
          <w:tcPr>
            <w:tcW w:w="2830" w:type="dxa"/>
            <w:vAlign w:val="center"/>
          </w:tcPr>
          <w:p w14:paraId="430F8D66" w14:textId="77777777" w:rsidR="00E269CB" w:rsidRPr="00D90165" w:rsidRDefault="009C4EC4" w:rsidP="00855719">
            <w:pPr>
              <w:tabs>
                <w:tab w:val="clear" w:pos="567"/>
              </w:tabs>
              <w:spacing w:line="240" w:lineRule="auto"/>
              <w:rPr>
                <w:color w:val="000000"/>
                <w:sz w:val="20"/>
              </w:rPr>
            </w:pPr>
            <w:r w:rsidRPr="00D90165">
              <w:rPr>
                <w:color w:val="000000" w:themeColor="text1"/>
                <w:sz w:val="20"/>
              </w:rPr>
              <w:t>Różnica w porównaniu z placebo*</w:t>
            </w:r>
          </w:p>
        </w:tc>
        <w:tc>
          <w:tcPr>
            <w:tcW w:w="1134" w:type="dxa"/>
            <w:vAlign w:val="center"/>
          </w:tcPr>
          <w:p w14:paraId="46B04D35"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lang w:eastAsia="en-GB"/>
              </w:rPr>
              <w:t>-</w:t>
            </w:r>
          </w:p>
        </w:tc>
        <w:tc>
          <w:tcPr>
            <w:tcW w:w="1701" w:type="dxa"/>
            <w:vAlign w:val="center"/>
          </w:tcPr>
          <w:p w14:paraId="748ECB35" w14:textId="77777777" w:rsidR="001664E6" w:rsidRPr="00D90165" w:rsidRDefault="009C4EC4" w:rsidP="00855719">
            <w:pPr>
              <w:tabs>
                <w:tab w:val="clear" w:pos="567"/>
              </w:tabs>
              <w:spacing w:line="240" w:lineRule="auto"/>
              <w:jc w:val="center"/>
              <w:rPr>
                <w:color w:val="000000" w:themeColor="text1"/>
                <w:sz w:val="20"/>
              </w:rPr>
            </w:pPr>
            <w:r w:rsidRPr="00D90165">
              <w:rPr>
                <w:color w:val="000000" w:themeColor="text1"/>
                <w:sz w:val="20"/>
              </w:rPr>
              <w:t>36,3</w:t>
            </w:r>
          </w:p>
          <w:p w14:paraId="2516B21B" w14:textId="77777777" w:rsidR="00E269CB" w:rsidRPr="00D90165" w:rsidRDefault="009C4EC4" w:rsidP="00855719">
            <w:pPr>
              <w:tabs>
                <w:tab w:val="clear" w:pos="567"/>
              </w:tabs>
              <w:spacing w:line="240" w:lineRule="auto"/>
              <w:jc w:val="center"/>
              <w:rPr>
                <w:color w:val="000000" w:themeColor="text1"/>
                <w:sz w:val="20"/>
              </w:rPr>
            </w:pPr>
            <w:r w:rsidRPr="00D90165">
              <w:rPr>
                <w:color w:val="000000" w:themeColor="text1"/>
                <w:sz w:val="20"/>
              </w:rPr>
              <w:t>(8,3 ; 64,4)</w:t>
            </w:r>
          </w:p>
        </w:tc>
        <w:tc>
          <w:tcPr>
            <w:tcW w:w="1701" w:type="dxa"/>
            <w:vAlign w:val="center"/>
          </w:tcPr>
          <w:p w14:paraId="72BB8767" w14:textId="77777777" w:rsidR="001664E6" w:rsidRPr="00D90165" w:rsidRDefault="009C4EC4" w:rsidP="00855719">
            <w:pPr>
              <w:tabs>
                <w:tab w:val="clear" w:pos="567"/>
              </w:tabs>
              <w:spacing w:line="240" w:lineRule="auto"/>
              <w:jc w:val="center"/>
              <w:rPr>
                <w:color w:val="000000" w:themeColor="text1"/>
                <w:sz w:val="20"/>
              </w:rPr>
            </w:pPr>
            <w:r w:rsidRPr="00D90165">
              <w:rPr>
                <w:color w:val="000000" w:themeColor="text1"/>
                <w:sz w:val="20"/>
              </w:rPr>
              <w:t>35,9</w:t>
            </w:r>
          </w:p>
          <w:p w14:paraId="1F467334" w14:textId="77777777" w:rsidR="00E269CB" w:rsidRPr="00D90165" w:rsidRDefault="009C4EC4" w:rsidP="00855719">
            <w:pPr>
              <w:tabs>
                <w:tab w:val="clear" w:pos="567"/>
              </w:tabs>
              <w:spacing w:line="240" w:lineRule="auto"/>
              <w:jc w:val="center"/>
              <w:rPr>
                <w:color w:val="000000" w:themeColor="text1"/>
                <w:sz w:val="20"/>
              </w:rPr>
            </w:pPr>
            <w:r w:rsidRPr="00D90165">
              <w:rPr>
                <w:color w:val="000000" w:themeColor="text1"/>
                <w:sz w:val="20"/>
              </w:rPr>
              <w:t>(8,0 ; 63,9)</w:t>
            </w:r>
          </w:p>
        </w:tc>
        <w:tc>
          <w:tcPr>
            <w:tcW w:w="1917" w:type="dxa"/>
            <w:vAlign w:val="center"/>
          </w:tcPr>
          <w:p w14:paraId="6CBE643C"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 xml:space="preserve">nie podano </w:t>
            </w:r>
          </w:p>
        </w:tc>
      </w:tr>
      <w:tr w:rsidR="005A28CF" w14:paraId="06411C25" w14:textId="77777777" w:rsidTr="000C453F">
        <w:trPr>
          <w:cantSplit/>
          <w:trHeight w:val="57"/>
        </w:trPr>
        <w:tc>
          <w:tcPr>
            <w:tcW w:w="2830" w:type="dxa"/>
            <w:vAlign w:val="center"/>
          </w:tcPr>
          <w:p w14:paraId="40E3D4C8" w14:textId="77777777" w:rsidR="00E269CB" w:rsidRPr="00D90165" w:rsidRDefault="009C4EC4" w:rsidP="00855719">
            <w:pPr>
              <w:tabs>
                <w:tab w:val="clear" w:pos="567"/>
              </w:tabs>
              <w:spacing w:line="240" w:lineRule="auto"/>
              <w:rPr>
                <w:color w:val="000000"/>
                <w:sz w:val="20"/>
              </w:rPr>
            </w:pPr>
            <w:r w:rsidRPr="00D90165">
              <w:rPr>
                <w:color w:val="000000" w:themeColor="text1"/>
                <w:sz w:val="20"/>
              </w:rPr>
              <w:t xml:space="preserve">wartość p </w:t>
            </w:r>
          </w:p>
        </w:tc>
        <w:tc>
          <w:tcPr>
            <w:tcW w:w="1134" w:type="dxa"/>
            <w:vAlign w:val="center"/>
          </w:tcPr>
          <w:p w14:paraId="7F66D9B7"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lang w:eastAsia="en-GB"/>
              </w:rPr>
              <w:t>-</w:t>
            </w:r>
          </w:p>
        </w:tc>
        <w:tc>
          <w:tcPr>
            <w:tcW w:w="1701" w:type="dxa"/>
            <w:vAlign w:val="center"/>
          </w:tcPr>
          <w:p w14:paraId="27BB3240"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0,011</w:t>
            </w:r>
          </w:p>
        </w:tc>
        <w:tc>
          <w:tcPr>
            <w:tcW w:w="1701" w:type="dxa"/>
            <w:vAlign w:val="center"/>
          </w:tcPr>
          <w:p w14:paraId="538382F6"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0,012</w:t>
            </w:r>
          </w:p>
        </w:tc>
        <w:tc>
          <w:tcPr>
            <w:tcW w:w="1917" w:type="dxa"/>
            <w:vAlign w:val="center"/>
          </w:tcPr>
          <w:p w14:paraId="7743FCAB" w14:textId="77777777" w:rsidR="00E269CB" w:rsidRPr="00D90165" w:rsidRDefault="009C4EC4" w:rsidP="00855719">
            <w:pPr>
              <w:tabs>
                <w:tab w:val="clear" w:pos="567"/>
              </w:tabs>
              <w:spacing w:line="240" w:lineRule="auto"/>
              <w:jc w:val="center"/>
              <w:rPr>
                <w:color w:val="000000"/>
                <w:sz w:val="20"/>
              </w:rPr>
            </w:pPr>
            <w:r w:rsidRPr="00D90165">
              <w:rPr>
                <w:color w:val="000000" w:themeColor="text1"/>
                <w:sz w:val="20"/>
              </w:rPr>
              <w:t xml:space="preserve">nie podano </w:t>
            </w:r>
          </w:p>
        </w:tc>
      </w:tr>
    </w:tbl>
    <w:p w14:paraId="0AE159D6" w14:textId="77777777" w:rsidR="00E269CB" w:rsidRPr="00D90165" w:rsidRDefault="009C4EC4" w:rsidP="00855719">
      <w:pPr>
        <w:autoSpaceDE w:val="0"/>
        <w:autoSpaceDN w:val="0"/>
        <w:adjustRightInd w:val="0"/>
        <w:spacing w:line="240" w:lineRule="auto"/>
        <w:rPr>
          <w:sz w:val="18"/>
        </w:rPr>
      </w:pPr>
      <w:r w:rsidRPr="00D90165">
        <w:rPr>
          <w:sz w:val="18"/>
        </w:rPr>
        <w:t xml:space="preserve">Średnie zmiany i różnice to oparte na modelu średnie najmniejszych kwadratów (ang. </w:t>
      </w:r>
      <w:r w:rsidRPr="00D90165">
        <w:rPr>
          <w:i/>
          <w:iCs/>
          <w:sz w:val="18"/>
        </w:rPr>
        <w:t>least-squares means</w:t>
      </w:r>
      <w:r w:rsidRPr="00D90165">
        <w:rPr>
          <w:sz w:val="18"/>
        </w:rPr>
        <w:t>, LSM) i średnie różnice.</w:t>
      </w:r>
    </w:p>
    <w:p w14:paraId="02402889" w14:textId="77777777" w:rsidR="00E269CB" w:rsidRPr="00D90165" w:rsidRDefault="009C4EC4" w:rsidP="00855719">
      <w:pPr>
        <w:autoSpaceDE w:val="0"/>
        <w:autoSpaceDN w:val="0"/>
        <w:adjustRightInd w:val="0"/>
        <w:spacing w:line="240" w:lineRule="auto"/>
        <w:rPr>
          <w:sz w:val="18"/>
        </w:rPr>
      </w:pPr>
      <w:r w:rsidRPr="00D90165">
        <w:rPr>
          <w:sz w:val="18"/>
        </w:rPr>
        <w:t>Liczby dodatnie oznaczają poprawę w porównaniu z wartością wyjściową. *Różnice w LSM przedstawiono w przypadku 95% CI</w:t>
      </w:r>
    </w:p>
    <w:p w14:paraId="725FAF50" w14:textId="77777777" w:rsidR="009272E1" w:rsidRPr="00D90165" w:rsidRDefault="009272E1" w:rsidP="00855719">
      <w:pPr>
        <w:rPr>
          <w:b/>
          <w:bCs/>
        </w:rPr>
      </w:pPr>
    </w:p>
    <w:p w14:paraId="5BD57BF6" w14:textId="4520945E" w:rsidR="006E3103" w:rsidRPr="00D90165" w:rsidRDefault="009C4EC4" w:rsidP="0056402B">
      <w:pPr>
        <w:pStyle w:val="Caption"/>
      </w:pPr>
      <w:r w:rsidRPr="00D90165">
        <w:lastRenderedPageBreak/>
        <w:t xml:space="preserve">Rysunek </w:t>
      </w:r>
      <w:fldSimple w:instr=" SEQ Figure \* ARABIC ">
        <w:r w:rsidR="00A037D1">
          <w:rPr>
            <w:noProof/>
          </w:rPr>
          <w:t>1</w:t>
        </w:r>
      </w:fldSimple>
      <w:r w:rsidRPr="00D90165">
        <w:rPr>
          <w:rStyle w:val="DNEx2"/>
        </w:rPr>
        <w:tab/>
      </w:r>
      <w:r w:rsidRPr="00D90165">
        <w:t>Porównanie wamorolonu i prednizonu w badaniach na czas funkcji motorycznych, analizowane jako procentowe zmiany w stosunku do wartości wyjściowej (populacja mITT-1)</w:t>
      </w:r>
    </w:p>
    <w:p w14:paraId="28016C81" w14:textId="77777777" w:rsidR="0082035F" w:rsidRPr="00D90165" w:rsidRDefault="0082035F" w:rsidP="0056402B">
      <w:pPr>
        <w:keepNext/>
        <w:rPr>
          <w:b/>
          <w:bCs/>
        </w:rPr>
      </w:pPr>
    </w:p>
    <w:bookmarkStart w:id="14" w:name="IDX"/>
    <w:bookmarkEnd w:id="14"/>
    <w:p w14:paraId="59AC4610" w14:textId="77777777" w:rsidR="00E00976" w:rsidRPr="00D90165" w:rsidRDefault="009C4EC4" w:rsidP="0056402B">
      <w:pPr>
        <w:keepNext/>
        <w:spacing w:line="240" w:lineRule="auto"/>
        <w:rPr>
          <w:color w:val="000000" w:themeColor="text1"/>
          <w:szCs w:val="22"/>
        </w:rPr>
      </w:pPr>
      <w:r w:rsidRPr="00D90165">
        <w:rPr>
          <w:b/>
          <w:noProof/>
          <w:lang w:eastAsia="pl-PL"/>
        </w:rPr>
        <mc:AlternateContent>
          <mc:Choice Requires="wps">
            <w:drawing>
              <wp:anchor distT="45720" distB="45720" distL="114300" distR="114300" simplePos="0" relativeHeight="251675648" behindDoc="0" locked="0" layoutInCell="1" allowOverlap="1" wp14:anchorId="6CFC1360" wp14:editId="1D804BA7">
                <wp:simplePos x="0" y="0"/>
                <wp:positionH relativeFrom="column">
                  <wp:posOffset>144599</wp:posOffset>
                </wp:positionH>
                <wp:positionV relativeFrom="paragraph">
                  <wp:posOffset>208988</wp:posOffset>
                </wp:positionV>
                <wp:extent cx="3734790" cy="3528769"/>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790" cy="3528769"/>
                        </a:xfrm>
                        <a:prstGeom prst="rect">
                          <a:avLst/>
                        </a:prstGeom>
                        <a:noFill/>
                        <a:ln w="9525">
                          <a:noFill/>
                          <a:miter lim="800000"/>
                          <a:headEnd/>
                          <a:tailEnd/>
                        </a:ln>
                      </wps:spPr>
                      <wps:txbx>
                        <w:txbxContent>
                          <w:p w14:paraId="38CF8039" w14:textId="77777777" w:rsidR="008A5320" w:rsidRPr="00D90165" w:rsidRDefault="008A5320" w:rsidP="00BB0071">
                            <w:pPr>
                              <w:jc w:val="center"/>
                              <w:rPr>
                                <w:sz w:val="14"/>
                                <w:szCs w:val="12"/>
                              </w:rPr>
                            </w:pPr>
                            <w:r w:rsidRPr="00D90165">
                              <w:rPr>
                                <w:sz w:val="18"/>
                              </w:rPr>
                              <w:t>Punkt końcowy (porównanie)</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FC1360" id="_x0000_t202" coordsize="21600,21600" o:spt="202" path="m,l,21600r21600,l21600,xe">
                <v:stroke joinstyle="miter"/>
                <v:path gradientshapeok="t" o:connecttype="rect"/>
              </v:shapetype>
              <v:shape id="Text Box 2" o:spid="_x0000_s1026" type="#_x0000_t202" style="position:absolute;margin-left:11.4pt;margin-top:16.45pt;width:294.1pt;height:277.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" filled="f" stroked="f">
                <v:textbox style="layout-flow:vertical;mso-layout-flow-alt:bottom-to-top;mso-fit-shape-to-text:t" inset="0,0,0,0">
                  <w:txbxContent>
                    <w:p w14:paraId="38CF8039" w14:textId="77777777" w:rsidR="008A5320" w:rsidRPr="00D90165" w:rsidRDefault="008A5320" w:rsidP="00BB0071">
                      <w:pPr>
                        <w:jc w:val="center"/>
                        <w:rPr>
                          <w:sz w:val="14"/>
                          <w:szCs w:val="12"/>
                        </w:rPr>
                      </w:pPr>
                      <w:r w:rsidRPr="00D90165">
                        <w:rPr>
                          <w:sz w:val="18"/>
                        </w:rPr>
                        <w:t>Punkt końcowy (porównanie)</w:t>
                      </w:r>
                    </w:p>
                  </w:txbxContent>
                </v:textbox>
              </v:shape>
            </w:pict>
          </mc:Fallback>
        </mc:AlternateContent>
      </w:r>
      <w:r w:rsidRPr="00D90165">
        <w:rPr>
          <w:b/>
          <w:noProof/>
          <w:lang w:eastAsia="pl-PL"/>
        </w:rPr>
        <mc:AlternateContent>
          <mc:Choice Requires="wps">
            <w:drawing>
              <wp:anchor distT="45720" distB="45720" distL="114300" distR="114300" simplePos="0" relativeHeight="251673600" behindDoc="0" locked="0" layoutInCell="1" allowOverlap="1" wp14:anchorId="5DE31038" wp14:editId="6AF22A47">
                <wp:simplePos x="0" y="0"/>
                <wp:positionH relativeFrom="column">
                  <wp:posOffset>1908084</wp:posOffset>
                </wp:positionH>
                <wp:positionV relativeFrom="paragraph">
                  <wp:posOffset>4009093</wp:posOffset>
                </wp:positionV>
                <wp:extent cx="3734790" cy="1850644"/>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790" cy="1850644"/>
                        </a:xfrm>
                        <a:prstGeom prst="rect">
                          <a:avLst/>
                        </a:prstGeom>
                        <a:noFill/>
                        <a:ln w="9525">
                          <a:noFill/>
                          <a:miter lim="800000"/>
                          <a:headEnd/>
                          <a:tailEnd/>
                        </a:ln>
                      </wps:spPr>
                      <wps:txbx>
                        <w:txbxContent>
                          <w:p w14:paraId="6BDCD883" w14:textId="77777777" w:rsidR="008A5320" w:rsidRPr="00D90165" w:rsidRDefault="008A5320" w:rsidP="00BB0071">
                            <w:pPr>
                              <w:jc w:val="center"/>
                              <w:rPr>
                                <w:sz w:val="14"/>
                                <w:szCs w:val="12"/>
                              </w:rPr>
                            </w:pPr>
                            <w:r w:rsidRPr="00D90165">
                              <w:rPr>
                                <w:sz w:val="18"/>
                              </w:rPr>
                              <w:t>różnica w % (95% CI)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E31038" id="_x0000_s1027" type="#_x0000_t202" style="position:absolute;margin-left:150.25pt;margin-top:315.7pt;width:294.1pt;height:145.7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" filled="f" stroked="f">
                <v:textbox style="mso-fit-shape-to-text:t" inset="0,0,0,0">
                  <w:txbxContent>
                    <w:p w14:paraId="6BDCD883" w14:textId="77777777" w:rsidR="008A5320" w:rsidRPr="00D90165" w:rsidRDefault="008A5320" w:rsidP="00BB0071">
                      <w:pPr>
                        <w:jc w:val="center"/>
                        <w:rPr>
                          <w:sz w:val="14"/>
                          <w:szCs w:val="12"/>
                        </w:rPr>
                      </w:pPr>
                      <w:r w:rsidRPr="00D90165">
                        <w:rPr>
                          <w:sz w:val="18"/>
                        </w:rPr>
                        <w:t>różnica w % (95% CI)</w:t>
                      </w:r>
                    </w:p>
                  </w:txbxContent>
                </v:textbox>
              </v:shape>
            </w:pict>
          </mc:Fallback>
        </mc:AlternateContent>
      </w:r>
      <w:r w:rsidRPr="00D90165">
        <w:rPr>
          <w:b/>
          <w:noProof/>
          <w:lang w:eastAsia="pl-PL"/>
        </w:rPr>
        <mc:AlternateContent>
          <mc:Choice Requires="wps">
            <w:drawing>
              <wp:anchor distT="45720" distB="45720" distL="114300" distR="114300" simplePos="0" relativeHeight="251671552" behindDoc="0" locked="0" layoutInCell="1" allowOverlap="1" wp14:anchorId="674CE23F" wp14:editId="0B907FDA">
                <wp:simplePos x="0" y="0"/>
                <wp:positionH relativeFrom="column">
                  <wp:posOffset>-484505</wp:posOffset>
                </wp:positionH>
                <wp:positionV relativeFrom="paragraph">
                  <wp:posOffset>3563496</wp:posOffset>
                </wp:positionV>
                <wp:extent cx="2302764" cy="1850644"/>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2DEC7EFB" w14:textId="77777777" w:rsidR="008A5320" w:rsidRPr="00D90165" w:rsidRDefault="008A5320" w:rsidP="00554DE4">
                            <w:pPr>
                              <w:jc w:val="right"/>
                              <w:rPr>
                                <w:sz w:val="14"/>
                                <w:szCs w:val="12"/>
                              </w:rPr>
                            </w:pPr>
                            <w:r w:rsidRPr="00D90165">
                              <w:rPr>
                                <w:sz w:val="18"/>
                              </w:rPr>
                              <w:t>6MWT (WAM2 vs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4CE23F" id="_x0000_s1028" type="#_x0000_t202" style="position:absolute;margin-left:-38.15pt;margin-top:280.6pt;width:181.3pt;height:145.7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" filled="f" stroked="f">
                <v:textbox style="mso-fit-shape-to-text:t" inset="0,0,0,0">
                  <w:txbxContent>
                    <w:p w14:paraId="2DEC7EFB" w14:textId="77777777" w:rsidR="008A5320" w:rsidRPr="00D90165" w:rsidRDefault="008A5320" w:rsidP="00554DE4">
                      <w:pPr>
                        <w:jc w:val="right"/>
                        <w:rPr>
                          <w:sz w:val="14"/>
                          <w:szCs w:val="12"/>
                        </w:rPr>
                      </w:pPr>
                      <w:r w:rsidRPr="00D90165">
                        <w:rPr>
                          <w:sz w:val="18"/>
                        </w:rPr>
                        <w:t>6MWT (WAM2 vs PDN)</w:t>
                      </w:r>
                    </w:p>
                  </w:txbxContent>
                </v:textbox>
              </v:shape>
            </w:pict>
          </mc:Fallback>
        </mc:AlternateContent>
      </w:r>
      <w:r w:rsidRPr="00D90165">
        <w:rPr>
          <w:b/>
          <w:noProof/>
          <w:lang w:eastAsia="pl-PL"/>
        </w:rPr>
        <mc:AlternateContent>
          <mc:Choice Requires="wps">
            <w:drawing>
              <wp:anchor distT="45720" distB="45720" distL="114300" distR="114300" simplePos="0" relativeHeight="251669504" behindDoc="0" locked="0" layoutInCell="1" allowOverlap="1" wp14:anchorId="4185966D" wp14:editId="3CE8B155">
                <wp:simplePos x="0" y="0"/>
                <wp:positionH relativeFrom="column">
                  <wp:posOffset>-477520</wp:posOffset>
                </wp:positionH>
                <wp:positionV relativeFrom="paragraph">
                  <wp:posOffset>2405157</wp:posOffset>
                </wp:positionV>
                <wp:extent cx="2302764" cy="1850644"/>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2476F8B5" w14:textId="77777777" w:rsidR="008A5320" w:rsidRPr="00D90165" w:rsidRDefault="008A5320" w:rsidP="00554DE4">
                            <w:pPr>
                              <w:jc w:val="right"/>
                              <w:rPr>
                                <w:sz w:val="14"/>
                                <w:szCs w:val="12"/>
                              </w:rPr>
                            </w:pPr>
                            <w:r w:rsidRPr="00D90165">
                              <w:rPr>
                                <w:sz w:val="18"/>
                              </w:rPr>
                              <w:t>TTSTANDV (WAM2 vs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85966D" id="_x0000_s1029" type="#_x0000_t202" style="position:absolute;margin-left:-37.6pt;margin-top:189.4pt;width:181.3pt;height:145.7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" filled="f" stroked="f">
                <v:textbox style="mso-fit-shape-to-text:t" inset="0,0,0,0">
                  <w:txbxContent>
                    <w:p w14:paraId="2476F8B5" w14:textId="77777777" w:rsidR="008A5320" w:rsidRPr="00D90165" w:rsidRDefault="008A5320" w:rsidP="00554DE4">
                      <w:pPr>
                        <w:jc w:val="right"/>
                        <w:rPr>
                          <w:sz w:val="14"/>
                          <w:szCs w:val="12"/>
                        </w:rPr>
                      </w:pPr>
                      <w:r w:rsidRPr="00D90165">
                        <w:rPr>
                          <w:sz w:val="18"/>
                        </w:rPr>
                        <w:t>TTSTANDV (WAM2 vs PDN)</w:t>
                      </w:r>
                    </w:p>
                  </w:txbxContent>
                </v:textbox>
              </v:shape>
            </w:pict>
          </mc:Fallback>
        </mc:AlternateContent>
      </w:r>
      <w:r w:rsidRPr="00D90165">
        <w:rPr>
          <w:b/>
          <w:noProof/>
          <w:lang w:eastAsia="pl-PL"/>
        </w:rPr>
        <mc:AlternateContent>
          <mc:Choice Requires="wps">
            <w:drawing>
              <wp:anchor distT="45720" distB="45720" distL="114300" distR="114300" simplePos="0" relativeHeight="251667456" behindDoc="0" locked="0" layoutInCell="1" allowOverlap="1" wp14:anchorId="45E7ECA2" wp14:editId="6D6DEC20">
                <wp:simplePos x="0" y="0"/>
                <wp:positionH relativeFrom="column">
                  <wp:posOffset>-483870</wp:posOffset>
                </wp:positionH>
                <wp:positionV relativeFrom="paragraph">
                  <wp:posOffset>1229772</wp:posOffset>
                </wp:positionV>
                <wp:extent cx="2302764" cy="1850644"/>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61A4D97D" w14:textId="77777777" w:rsidR="008A5320" w:rsidRPr="00D90165" w:rsidRDefault="008A5320" w:rsidP="006845EC">
                            <w:pPr>
                              <w:jc w:val="right"/>
                              <w:rPr>
                                <w:sz w:val="14"/>
                                <w:szCs w:val="12"/>
                              </w:rPr>
                            </w:pPr>
                            <w:r w:rsidRPr="00D90165">
                              <w:rPr>
                                <w:sz w:val="18"/>
                              </w:rPr>
                              <w:t>6MWT (WAM6 vs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E7ECA2" id="_x0000_s1030" type="#_x0000_t202" style="position:absolute;margin-left:-38.1pt;margin-top:96.85pt;width:181.3pt;height:145.7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" filled="f" stroked="f">
                <v:textbox style="mso-fit-shape-to-text:t" inset="0,0,0,0">
                  <w:txbxContent>
                    <w:p w14:paraId="61A4D97D" w14:textId="77777777" w:rsidR="008A5320" w:rsidRPr="00D90165" w:rsidRDefault="008A5320" w:rsidP="006845EC">
                      <w:pPr>
                        <w:jc w:val="right"/>
                        <w:rPr>
                          <w:sz w:val="14"/>
                          <w:szCs w:val="12"/>
                        </w:rPr>
                      </w:pPr>
                      <w:r w:rsidRPr="00D90165">
                        <w:rPr>
                          <w:sz w:val="18"/>
                        </w:rPr>
                        <w:t>6MWT (WAM6 vs PDN)</w:t>
                      </w:r>
                    </w:p>
                  </w:txbxContent>
                </v:textbox>
              </v:shape>
            </w:pict>
          </mc:Fallback>
        </mc:AlternateContent>
      </w:r>
      <w:r w:rsidRPr="00D90165">
        <w:rPr>
          <w:b/>
          <w:noProof/>
          <w:lang w:eastAsia="pl-PL"/>
        </w:rPr>
        <mc:AlternateContent>
          <mc:Choice Requires="wps">
            <w:drawing>
              <wp:anchor distT="45720" distB="45720" distL="114300" distR="114300" simplePos="0" relativeHeight="251665408" behindDoc="0" locked="0" layoutInCell="1" allowOverlap="1" wp14:anchorId="2D086955" wp14:editId="36BDB653">
                <wp:simplePos x="0" y="0"/>
                <wp:positionH relativeFrom="column">
                  <wp:posOffset>-492760</wp:posOffset>
                </wp:positionH>
                <wp:positionV relativeFrom="paragraph">
                  <wp:posOffset>75977</wp:posOffset>
                </wp:positionV>
                <wp:extent cx="2302764" cy="1850644"/>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703369AA" w14:textId="77777777" w:rsidR="008A5320" w:rsidRPr="00D90165" w:rsidRDefault="008A5320" w:rsidP="006845EC">
                            <w:pPr>
                              <w:jc w:val="right"/>
                              <w:rPr>
                                <w:sz w:val="14"/>
                                <w:szCs w:val="12"/>
                              </w:rPr>
                            </w:pPr>
                            <w:r w:rsidRPr="00D90165">
                              <w:rPr>
                                <w:sz w:val="18"/>
                              </w:rPr>
                              <w:t>TTSTANDV (WAM6 vs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086955" id="_x0000_s1031" type="#_x0000_t202" style="position:absolute;margin-left:-38.8pt;margin-top:6pt;width:181.3pt;height:145.7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" filled="f" stroked="f">
                <v:textbox style="mso-fit-shape-to-text:t" inset="0,0,0,0">
                  <w:txbxContent>
                    <w:p w14:paraId="703369AA" w14:textId="77777777" w:rsidR="008A5320" w:rsidRPr="00D90165" w:rsidRDefault="008A5320" w:rsidP="006845EC">
                      <w:pPr>
                        <w:jc w:val="right"/>
                        <w:rPr>
                          <w:sz w:val="14"/>
                          <w:szCs w:val="12"/>
                        </w:rPr>
                      </w:pPr>
                      <w:r w:rsidRPr="00D90165">
                        <w:rPr>
                          <w:sz w:val="18"/>
                        </w:rPr>
                        <w:t>TTSTANDV (WAM6 vs PDN)</w:t>
                      </w:r>
                    </w:p>
                  </w:txbxContent>
                </v:textbox>
              </v:shape>
            </w:pict>
          </mc:Fallback>
        </mc:AlternateContent>
      </w:r>
      <w:r w:rsidRPr="00D90165">
        <w:rPr>
          <w:noProof/>
          <w:sz w:val="24"/>
          <w:lang w:eastAsia="pl-PL"/>
        </w:rPr>
        <w:drawing>
          <wp:inline distT="0" distB="0" distL="0" distR="0" wp14:anchorId="27085CD4" wp14:editId="06DE0038">
            <wp:extent cx="5748110" cy="4320064"/>
            <wp:effectExtent l="0" t="0" r="508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28854" name="Picture 1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48110" cy="4320064"/>
                    </a:xfrm>
                    <a:prstGeom prst="rect">
                      <a:avLst/>
                    </a:prstGeom>
                    <a:noFill/>
                    <a:ln>
                      <a:noFill/>
                    </a:ln>
                  </pic:spPr>
                </pic:pic>
              </a:graphicData>
            </a:graphic>
          </wp:inline>
        </w:drawing>
      </w:r>
    </w:p>
    <w:p w14:paraId="4108AC4E" w14:textId="77777777" w:rsidR="00190EBD" w:rsidRPr="00D90165" w:rsidRDefault="009C4EC4" w:rsidP="0056402B">
      <w:pPr>
        <w:keepNext/>
        <w:autoSpaceDE w:val="0"/>
        <w:autoSpaceDN w:val="0"/>
        <w:adjustRightInd w:val="0"/>
        <w:spacing w:line="240" w:lineRule="auto"/>
        <w:rPr>
          <w:sz w:val="18"/>
        </w:rPr>
      </w:pPr>
      <w:r w:rsidRPr="00D90165">
        <w:rPr>
          <w:sz w:val="18"/>
        </w:rPr>
        <w:t>Dane z badań są standaryzowane przy użyciu procentowej zmiany w stosunku do wartości wyjściowej jako punktu końcowego. Zmiany percentylowe oblicza się jako (wartość przy wizycie – wartość wyjściowa)/wartość wyjściowa x 100%. VAM: Wamorolon, PDN: Prednizon</w:t>
      </w:r>
    </w:p>
    <w:p w14:paraId="04C6F3AC" w14:textId="77777777" w:rsidR="00726F52" w:rsidRPr="00D90165" w:rsidRDefault="009C4EC4" w:rsidP="00855719">
      <w:pPr>
        <w:autoSpaceDE w:val="0"/>
        <w:autoSpaceDN w:val="0"/>
        <w:adjustRightInd w:val="0"/>
        <w:spacing w:line="240" w:lineRule="auto"/>
        <w:rPr>
          <w:sz w:val="18"/>
        </w:rPr>
      </w:pPr>
      <w:r w:rsidRPr="00D90165">
        <w:rPr>
          <w:sz w:val="18"/>
        </w:rPr>
        <w:t>Wszystkie wartości zmiany procentowej z dwóch punktów końcowych są wprowadzane do jednego modelu statystycznego (MMRM).</w:t>
      </w:r>
    </w:p>
    <w:p w14:paraId="5F7EBDF6" w14:textId="77777777" w:rsidR="00A83024" w:rsidRPr="00D90165" w:rsidRDefault="00A83024" w:rsidP="00855719">
      <w:pPr>
        <w:spacing w:line="240" w:lineRule="auto"/>
        <w:rPr>
          <w:szCs w:val="22"/>
        </w:rPr>
      </w:pPr>
    </w:p>
    <w:p w14:paraId="1C4A7437" w14:textId="77777777" w:rsidR="00667BF8" w:rsidRPr="00D90165" w:rsidRDefault="009C4EC4" w:rsidP="00855719">
      <w:pPr>
        <w:spacing w:line="240" w:lineRule="auto"/>
      </w:pPr>
      <w:r w:rsidRPr="00D90165">
        <w:t>W przypadku wamorolonu w dawce 6 mg/kg</w:t>
      </w:r>
      <w:r w:rsidR="00FB7B5E" w:rsidRPr="00FB7B5E">
        <w:rPr>
          <w:b/>
          <w:bCs/>
        </w:rPr>
        <w:t xml:space="preserve"> </w:t>
      </w:r>
      <w:bookmarkStart w:id="15" w:name="_Hlk149737844"/>
      <w:r w:rsidR="00FB7B5E" w:rsidRPr="00A510B3">
        <w:t>mc.</w:t>
      </w:r>
      <w:bookmarkEnd w:id="15"/>
      <w:r w:rsidRPr="00D90165">
        <w:t>/dobę poprawa we wszystkich badanych pomiarach czynności kończyn dolnych obserwowana po 24 tygodniach była w dużej mierze utrzymywana przez 48 tygodni leczenia, natomiast wyniki dotyczące skuteczności dla dawki wamorolonu 2 mg/kg</w:t>
      </w:r>
      <w:r w:rsidR="00FB7B5E" w:rsidRPr="00FB7B5E">
        <w:t xml:space="preserve"> </w:t>
      </w:r>
      <w:r w:rsidR="00FB7B5E" w:rsidRPr="00CE7EB2">
        <w:t>mc.</w:t>
      </w:r>
      <w:r w:rsidRPr="00D90165">
        <w:t>/dobę były raczej niespójne ze spadkami istotnych parametrów wyników czynnościowych w 48. tygodniu, tj. prędkości TTSTAND i 6MWT, osiągając klinicznie istotne różnice w porównaniu z wamorolonem w dawce 6 mg/kg</w:t>
      </w:r>
      <w:r w:rsidR="00FB7B5E" w:rsidRPr="00FB7B5E">
        <w:t xml:space="preserve"> </w:t>
      </w:r>
      <w:r w:rsidR="00FB7B5E" w:rsidRPr="00CE7EB2">
        <w:t>mc.</w:t>
      </w:r>
      <w:r w:rsidRPr="00D90165">
        <w:t>/dobę, ale tylko minimalny spadek wyniku NSAA.</w:t>
      </w:r>
    </w:p>
    <w:p w14:paraId="6F592065" w14:textId="77777777" w:rsidR="00A83024" w:rsidRPr="00D90165" w:rsidRDefault="00A83024" w:rsidP="00855719">
      <w:pPr>
        <w:spacing w:line="240" w:lineRule="auto"/>
      </w:pPr>
    </w:p>
    <w:p w14:paraId="493CA84B" w14:textId="77777777" w:rsidR="00A83024" w:rsidRPr="00D90165" w:rsidRDefault="009C4EC4" w:rsidP="00855719">
      <w:pPr>
        <w:spacing w:line="240" w:lineRule="auto"/>
        <w:rPr>
          <w:szCs w:val="22"/>
        </w:rPr>
      </w:pPr>
      <w:r w:rsidRPr="00D90165">
        <w:t>Wydaje się, że pacjentom, którym w trakcie badania 1 zmieniono leczenie z prednizonu w dawce 0,75 mg/kg</w:t>
      </w:r>
      <w:r w:rsidR="00FB7B5E" w:rsidRPr="00FB7B5E">
        <w:t xml:space="preserve"> </w:t>
      </w:r>
      <w:r w:rsidR="00FB7B5E" w:rsidRPr="00CE7EB2">
        <w:t>mc.</w:t>
      </w:r>
      <w:r w:rsidRPr="00D90165">
        <w:t>/dobę w okresie 1 na wamorolon w dawce 6 mg/kg</w:t>
      </w:r>
      <w:r w:rsidR="00FB7B5E" w:rsidRPr="00FB7B5E">
        <w:t xml:space="preserve"> </w:t>
      </w:r>
      <w:r w:rsidR="00FB7B5E" w:rsidRPr="00CE7EB2">
        <w:t>mc.</w:t>
      </w:r>
      <w:r w:rsidRPr="00D90165">
        <w:t>/dobę w okresie 2, zachowują korzyści w zakresie punktów końcowych dotyczących funkcji motorycznej, natomiast spadek zaobserwowano u pacjentów, którym zmieniono leczenie na wamorolon w dawce 2 mg/kg</w:t>
      </w:r>
      <w:r w:rsidR="00FB7B5E" w:rsidRPr="00FB7B5E">
        <w:t xml:space="preserve"> </w:t>
      </w:r>
      <w:r w:rsidR="00FB7B5E" w:rsidRPr="00CE7EB2">
        <w:t>mc.</w:t>
      </w:r>
      <w:r w:rsidRPr="00D90165">
        <w:t>/dobę.</w:t>
      </w:r>
    </w:p>
    <w:p w14:paraId="37112AC6" w14:textId="77777777" w:rsidR="00A83024" w:rsidRPr="00D90165" w:rsidRDefault="00A83024" w:rsidP="00855719">
      <w:pPr>
        <w:spacing w:line="240" w:lineRule="auto"/>
        <w:rPr>
          <w:szCs w:val="22"/>
        </w:rPr>
      </w:pPr>
    </w:p>
    <w:p w14:paraId="28A2CC7E" w14:textId="77777777" w:rsidR="00A83024" w:rsidRPr="00D90165" w:rsidRDefault="009C4EC4" w:rsidP="00855719">
      <w:pPr>
        <w:spacing w:line="240" w:lineRule="auto"/>
      </w:pPr>
      <w:r w:rsidRPr="00D90165">
        <w:t>W punkcie wyjściowym u dzieci w grupach leczonych wamorolonem odnotowano niższy wzrost (mediana -0,74 SD i -1,04 SD wg skali wzrostu w grupach otrzymujących odpowiednio 2 mg/kg</w:t>
      </w:r>
      <w:r w:rsidR="00FB7B5E" w:rsidRPr="00FB7B5E">
        <w:t xml:space="preserve"> </w:t>
      </w:r>
      <w:r w:rsidR="00FB7B5E" w:rsidRPr="00CE7EB2">
        <w:t>mc.</w:t>
      </w:r>
      <w:r w:rsidRPr="00D90165">
        <w:t>/dobę i 6 mg/kg</w:t>
      </w:r>
      <w:r w:rsidR="00FB7B5E" w:rsidRPr="00FB7B5E">
        <w:t xml:space="preserve"> </w:t>
      </w:r>
      <w:r w:rsidR="00FB7B5E" w:rsidRPr="00CE7EB2">
        <w:t>mc.</w:t>
      </w:r>
      <w:r w:rsidRPr="00D90165">
        <w:t xml:space="preserve">/dobę) niż dzieci otrzymujące placebo (-0,54 SD) lub prednizon 0,75 mg/kg/dobę (0,56 SD). Zmiana percentyla wzrostu i wskaźnika Z-score wzrostu była podobna u dzieci leczonych wamorolonem lub placebo przez 24 tygodnie, natomiast w przypadku prednizonu wartości te uległy zmniejszeniu. W badaniu percentyle wzrostu i Z-score nie zmniejszyły się podczas 48-tygodniowego okresu badania stosowania wamorolonu. Zmiana z prednizonu po 24 tygodniach w </w:t>
      </w:r>
      <w:r w:rsidRPr="00D90165">
        <w:lastRenderedPageBreak/>
        <w:t>okresie 1 na wamorolon w okresie 2 doprowadziła do zwiększenia średniej i mediany wzrostu Z-score do 48. tygodnia.</w:t>
      </w:r>
    </w:p>
    <w:p w14:paraId="088BBA18" w14:textId="77777777" w:rsidR="00812D16" w:rsidRPr="00D90165" w:rsidRDefault="00812D16" w:rsidP="00855719">
      <w:pPr>
        <w:pStyle w:val="NormalWeb"/>
        <w:spacing w:before="0" w:beforeAutospacing="0" w:after="0" w:afterAutospacing="0"/>
        <w:jc w:val="both"/>
        <w:rPr>
          <w:noProof/>
        </w:rPr>
      </w:pPr>
    </w:p>
    <w:p w14:paraId="736EE6A9" w14:textId="77777777" w:rsidR="00812D16" w:rsidRPr="00D90165" w:rsidRDefault="009C4EC4" w:rsidP="0056402B">
      <w:pPr>
        <w:keepNext/>
        <w:spacing w:line="240" w:lineRule="auto"/>
        <w:ind w:left="567" w:hanging="567"/>
        <w:outlineLvl w:val="0"/>
        <w:rPr>
          <w:b/>
          <w:noProof/>
          <w:szCs w:val="22"/>
        </w:rPr>
      </w:pPr>
      <w:r w:rsidRPr="00D90165">
        <w:rPr>
          <w:rStyle w:val="DNEx2"/>
        </w:rPr>
        <w:t>5.2</w:t>
      </w:r>
      <w:r w:rsidRPr="00D90165">
        <w:rPr>
          <w:rStyle w:val="DNEx2"/>
        </w:rPr>
        <w:tab/>
      </w:r>
      <w:r w:rsidRPr="00D90165">
        <w:rPr>
          <w:b/>
        </w:rPr>
        <w:t>Właściwości farmakokinetyczne</w:t>
      </w:r>
    </w:p>
    <w:p w14:paraId="0093C73A" w14:textId="77777777" w:rsidR="00812D16" w:rsidRPr="00D90165" w:rsidRDefault="00812D16" w:rsidP="0056402B">
      <w:pPr>
        <w:pStyle w:val="NormalWeb"/>
        <w:keepNext/>
        <w:spacing w:before="0" w:beforeAutospacing="0" w:after="0" w:afterAutospacing="0"/>
        <w:jc w:val="both"/>
        <w:rPr>
          <w:rStyle w:val="normaltextrun"/>
          <w:color w:val="000000" w:themeColor="text1"/>
          <w:sz w:val="22"/>
          <w:szCs w:val="20"/>
          <w:lang w:eastAsia="en-US"/>
        </w:rPr>
      </w:pPr>
    </w:p>
    <w:p w14:paraId="404EA9DA" w14:textId="77777777" w:rsidR="00A83024" w:rsidRPr="00D90165" w:rsidRDefault="009C4EC4" w:rsidP="0056402B">
      <w:pPr>
        <w:keepNext/>
        <w:numPr>
          <w:ilvl w:val="12"/>
          <w:numId w:val="0"/>
        </w:numPr>
        <w:spacing w:line="240" w:lineRule="auto"/>
        <w:rPr>
          <w:u w:val="single"/>
        </w:rPr>
      </w:pPr>
      <w:r w:rsidRPr="00D90165">
        <w:rPr>
          <w:u w:val="single"/>
        </w:rPr>
        <w:t>Wchłanianie</w:t>
      </w:r>
    </w:p>
    <w:p w14:paraId="24D6E95D" w14:textId="77777777" w:rsidR="00553405" w:rsidRPr="00D90165" w:rsidRDefault="00553405" w:rsidP="0056402B">
      <w:pPr>
        <w:keepNext/>
        <w:spacing w:line="240" w:lineRule="auto"/>
        <w:ind w:right="-2"/>
        <w:rPr>
          <w:u w:val="single"/>
        </w:rPr>
      </w:pPr>
    </w:p>
    <w:p w14:paraId="63C35991" w14:textId="77777777" w:rsidR="00A83024" w:rsidRPr="00D90165" w:rsidRDefault="009C4EC4" w:rsidP="00855719">
      <w:pPr>
        <w:spacing w:line="240" w:lineRule="auto"/>
        <w:rPr>
          <w:szCs w:val="22"/>
        </w:rPr>
      </w:pPr>
      <w:r w:rsidRPr="00D90165">
        <w:t>Wamorolon jest dobrze wchłaniany i szybko dystrybuowany w tkankach. Po podaniu doustnym wraz z posiłkiem mediana wartości T</w:t>
      </w:r>
      <w:r w:rsidRPr="00D90165">
        <w:rPr>
          <w:vertAlign w:val="subscript"/>
        </w:rPr>
        <w:t>max</w:t>
      </w:r>
      <w:r w:rsidRPr="00D90165">
        <w:t xml:space="preserve"> wynosi około 2 godziny (zakres: 0,5 do 5 godzin).</w:t>
      </w:r>
    </w:p>
    <w:p w14:paraId="58500623" w14:textId="77777777" w:rsidR="00271875" w:rsidRPr="00D90165" w:rsidRDefault="00271875" w:rsidP="00855719">
      <w:pPr>
        <w:spacing w:line="240" w:lineRule="auto"/>
        <w:ind w:right="-2"/>
      </w:pPr>
    </w:p>
    <w:p w14:paraId="11084D3A" w14:textId="77777777" w:rsidR="00A83024" w:rsidRPr="00D90165" w:rsidRDefault="009C4EC4" w:rsidP="0056402B">
      <w:pPr>
        <w:keepNext/>
        <w:spacing w:line="240" w:lineRule="auto"/>
        <w:ind w:right="-2"/>
        <w:rPr>
          <w:i/>
        </w:rPr>
      </w:pPr>
      <w:bookmarkStart w:id="16" w:name="_Hlk133746806"/>
      <w:r w:rsidRPr="00D90165">
        <w:rPr>
          <w:i/>
        </w:rPr>
        <w:t>Wpływ pokarmów</w:t>
      </w:r>
    </w:p>
    <w:p w14:paraId="06875BC0" w14:textId="77777777" w:rsidR="39BFE624" w:rsidRPr="00D90165" w:rsidRDefault="009C4EC4" w:rsidP="00855719">
      <w:pPr>
        <w:spacing w:line="240" w:lineRule="auto"/>
      </w:pPr>
      <w:r w:rsidRPr="00D90165">
        <w:t>Jednoczesne podawanie wamorolonu z posiłkiem powodowało zmniejszenie wartości C</w:t>
      </w:r>
      <w:r w:rsidRPr="00D90165">
        <w:rPr>
          <w:vertAlign w:val="subscript"/>
        </w:rPr>
        <w:t>max</w:t>
      </w:r>
      <w:r w:rsidRPr="00D90165">
        <w:t xml:space="preserve"> o maksymalnie 8% i opóźnienie T</w:t>
      </w:r>
      <w:r w:rsidRPr="00D90165">
        <w:rPr>
          <w:vertAlign w:val="subscript"/>
        </w:rPr>
        <w:t>max</w:t>
      </w:r>
      <w:r w:rsidRPr="00D90165">
        <w:t xml:space="preserve"> o 1 godzinę w porównaniu do podania na czczo. Całkowite wchłanianie ogólnoustrojowe mierzone za pomocą AUC wzrastało o 14% w przypadku przyjmowania wamorolonu z posiłkiem. </w:t>
      </w:r>
      <w:bookmarkEnd w:id="16"/>
      <w:r w:rsidRPr="00D90165">
        <w:t>Obserwowane różnice we wchłanianiu nie prowadzą do klinicznie istotnych różnic w ekspozycji, w związku z czym wamorolon można podawać niezależnie od posiłków.</w:t>
      </w:r>
    </w:p>
    <w:p w14:paraId="11D798A3" w14:textId="77777777" w:rsidR="16B680D9" w:rsidRPr="00D90165" w:rsidRDefault="16B680D9" w:rsidP="00855719">
      <w:pPr>
        <w:spacing w:line="240" w:lineRule="auto"/>
        <w:ind w:right="-2"/>
        <w:rPr>
          <w:u w:val="single"/>
        </w:rPr>
      </w:pPr>
    </w:p>
    <w:p w14:paraId="17076E6C" w14:textId="77777777" w:rsidR="00A83024" w:rsidRPr="00D90165" w:rsidRDefault="009C4EC4" w:rsidP="0056402B">
      <w:pPr>
        <w:keepNext/>
        <w:spacing w:line="240" w:lineRule="auto"/>
        <w:rPr>
          <w:u w:val="single"/>
        </w:rPr>
      </w:pPr>
      <w:r w:rsidRPr="00D90165">
        <w:rPr>
          <w:u w:val="single"/>
        </w:rPr>
        <w:t>Dystrybucja</w:t>
      </w:r>
    </w:p>
    <w:p w14:paraId="1323EA79" w14:textId="77777777" w:rsidR="0005119C" w:rsidRPr="00D90165" w:rsidRDefault="0005119C" w:rsidP="0056402B">
      <w:pPr>
        <w:keepNext/>
        <w:spacing w:line="240" w:lineRule="auto"/>
        <w:ind w:right="-2"/>
        <w:rPr>
          <w:u w:val="single"/>
        </w:rPr>
      </w:pPr>
    </w:p>
    <w:p w14:paraId="63E6D123" w14:textId="77777777" w:rsidR="00A83024" w:rsidRPr="00D90165" w:rsidRDefault="009C4EC4" w:rsidP="00855719">
      <w:pPr>
        <w:spacing w:line="240" w:lineRule="auto"/>
      </w:pPr>
      <w:r w:rsidRPr="00D90165">
        <w:t>Pozorna objętość dystrybucji wamorolonu u pacjenta z DMD o masie ciała 20 kg przyjmującego wamorolon wynosi 28,5 </w:t>
      </w:r>
      <w:r w:rsidR="00FB7B5E">
        <w:t>L</w:t>
      </w:r>
      <w:r w:rsidR="00FB7B5E" w:rsidRPr="00D90165">
        <w:t xml:space="preserve"> </w:t>
      </w:r>
      <w:r w:rsidRPr="00D90165">
        <w:t xml:space="preserve">na podstawie analizy farmakokinetyki populacyjnej. Wiązanie z białkami w warunkach </w:t>
      </w:r>
      <w:r w:rsidRPr="00D90165">
        <w:rPr>
          <w:i/>
          <w:iCs/>
        </w:rPr>
        <w:t>in vitro</w:t>
      </w:r>
      <w:r w:rsidRPr="00D90165">
        <w:t xml:space="preserve"> wynosi 88,1%. Stosunek stężenia we krwi do stężenia w osoczu wynosi około 0,87.</w:t>
      </w:r>
    </w:p>
    <w:p w14:paraId="28F219DC" w14:textId="77777777" w:rsidR="00A83024" w:rsidRPr="00D90165" w:rsidRDefault="00A83024" w:rsidP="00855719">
      <w:pPr>
        <w:numPr>
          <w:ilvl w:val="12"/>
          <w:numId w:val="0"/>
        </w:numPr>
        <w:spacing w:line="240" w:lineRule="auto"/>
        <w:ind w:right="-2"/>
        <w:rPr>
          <w:u w:val="single"/>
        </w:rPr>
      </w:pPr>
    </w:p>
    <w:p w14:paraId="6AD6E735" w14:textId="77777777" w:rsidR="00A83024" w:rsidRPr="00D90165" w:rsidRDefault="009C4EC4" w:rsidP="0056402B">
      <w:pPr>
        <w:keepNext/>
        <w:numPr>
          <w:ilvl w:val="12"/>
          <w:numId w:val="0"/>
        </w:numPr>
        <w:spacing w:line="240" w:lineRule="auto"/>
        <w:rPr>
          <w:u w:val="single"/>
        </w:rPr>
      </w:pPr>
      <w:bookmarkStart w:id="17" w:name="_Hlk133747120"/>
      <w:r w:rsidRPr="00D90165">
        <w:rPr>
          <w:u w:val="single"/>
        </w:rPr>
        <w:t>Metabolizm</w:t>
      </w:r>
    </w:p>
    <w:p w14:paraId="5170D7BC" w14:textId="77777777" w:rsidR="0005119C" w:rsidRPr="00D90165" w:rsidRDefault="0005119C" w:rsidP="0056402B">
      <w:pPr>
        <w:keepNext/>
        <w:numPr>
          <w:ilvl w:val="12"/>
          <w:numId w:val="0"/>
        </w:numPr>
        <w:spacing w:line="240" w:lineRule="auto"/>
        <w:ind w:right="-2"/>
        <w:rPr>
          <w:u w:val="single"/>
        </w:rPr>
      </w:pPr>
    </w:p>
    <w:p w14:paraId="71112E52" w14:textId="77777777" w:rsidR="00A83024" w:rsidRPr="00D90165" w:rsidRDefault="009C4EC4" w:rsidP="00855719">
      <w:pPr>
        <w:spacing w:line="240" w:lineRule="auto"/>
      </w:pPr>
      <w:r w:rsidRPr="00D90165">
        <w:t>Wamorolon jest metabolizowany przez wiele szlaków fazy I i fazy II, takich jak glukuronidacja, hydroksylacja i redukcja. Główne metabolity w osoczu i moczu powstają w wyniku bezpośredniej glukuronidacji oraz uwodornienia z następczą glukuronidacją. Udział specyficznych enzymów UGT i CYP w metabolizmie wamorolonu nie został ostatecznie wykazany.</w:t>
      </w:r>
    </w:p>
    <w:bookmarkEnd w:id="17"/>
    <w:p w14:paraId="3B2AF6A0" w14:textId="77777777" w:rsidR="00D83D7C" w:rsidRPr="00D90165" w:rsidRDefault="00D83D7C" w:rsidP="00855719">
      <w:pPr>
        <w:spacing w:line="240" w:lineRule="auto"/>
        <w:ind w:right="-2"/>
        <w:rPr>
          <w:u w:val="single"/>
        </w:rPr>
      </w:pPr>
    </w:p>
    <w:p w14:paraId="7A443542" w14:textId="77777777" w:rsidR="00A83024" w:rsidRPr="00D90165" w:rsidRDefault="009C4EC4" w:rsidP="0056402B">
      <w:pPr>
        <w:keepNext/>
        <w:spacing w:line="240" w:lineRule="auto"/>
        <w:rPr>
          <w:u w:val="single"/>
        </w:rPr>
      </w:pPr>
      <w:r w:rsidRPr="00D90165">
        <w:rPr>
          <w:u w:val="single"/>
        </w:rPr>
        <w:t>Eliminacja</w:t>
      </w:r>
    </w:p>
    <w:p w14:paraId="25BC1CB7" w14:textId="77777777" w:rsidR="0005119C" w:rsidRPr="00D90165" w:rsidRDefault="0005119C" w:rsidP="0056402B">
      <w:pPr>
        <w:keepNext/>
        <w:spacing w:line="240" w:lineRule="auto"/>
      </w:pPr>
    </w:p>
    <w:p w14:paraId="3CA65626" w14:textId="77777777" w:rsidR="00A83024" w:rsidRPr="00D90165" w:rsidRDefault="009C4EC4" w:rsidP="00855719">
      <w:pPr>
        <w:spacing w:line="240" w:lineRule="auto"/>
      </w:pPr>
      <w:r w:rsidRPr="00D90165">
        <w:t>Główną drogą eliminacji jest metabolizm z późniejszym wydalaniem metabolitów z moczem i kałem. Na podstawie analizy farmakokinetyki populacyjnej klirens wamorolonu u pacjenta z DMD o masie ciała 20 kg przyjmującego wamorolon, wynosi 58 </w:t>
      </w:r>
      <w:r w:rsidR="006E76E0">
        <w:t>L</w:t>
      </w:r>
      <w:r w:rsidRPr="00D90165">
        <w:t>/h. Końcowy okres półtrwania w fazie eliminacji wamorolonu u dzieci z DMD wynosi około 2 godzin.</w:t>
      </w:r>
    </w:p>
    <w:p w14:paraId="5443B616" w14:textId="77777777" w:rsidR="00A83024" w:rsidRPr="00D90165" w:rsidRDefault="00A83024" w:rsidP="00855719">
      <w:pPr>
        <w:spacing w:line="240" w:lineRule="auto"/>
        <w:rPr>
          <w:szCs w:val="22"/>
        </w:rPr>
      </w:pPr>
    </w:p>
    <w:p w14:paraId="44AD525E" w14:textId="77777777" w:rsidR="00A83024" w:rsidRPr="00D90165" w:rsidRDefault="009C4EC4" w:rsidP="00855719">
      <w:pPr>
        <w:spacing w:line="240" w:lineRule="auto"/>
        <w:rPr>
          <w:szCs w:val="22"/>
        </w:rPr>
      </w:pPr>
      <w:r w:rsidRPr="00D90165">
        <w:t>Około 30% dawki wamorolonu jest wydalane z kałem (15,4% w postaci niezmienionej), a 57% dawki wamorolonu jest wydalane z moczem w postaci metabolitów (&lt; 1 % w postaci niezmienionej). Głównymi metabolitami w moczu są glukuronidy.</w:t>
      </w:r>
    </w:p>
    <w:p w14:paraId="483DBAF6" w14:textId="77777777" w:rsidR="00A83024" w:rsidRPr="00D90165" w:rsidRDefault="00A83024" w:rsidP="00855719">
      <w:pPr>
        <w:numPr>
          <w:ilvl w:val="12"/>
          <w:numId w:val="0"/>
        </w:numPr>
        <w:spacing w:line="240" w:lineRule="auto"/>
        <w:ind w:right="-2"/>
        <w:rPr>
          <w:u w:val="single"/>
        </w:rPr>
      </w:pPr>
    </w:p>
    <w:p w14:paraId="033A4EE8" w14:textId="77777777" w:rsidR="00A83024" w:rsidRPr="00D90165" w:rsidRDefault="009C4EC4" w:rsidP="0056402B">
      <w:pPr>
        <w:keepNext/>
        <w:numPr>
          <w:ilvl w:val="12"/>
          <w:numId w:val="0"/>
        </w:numPr>
        <w:spacing w:line="240" w:lineRule="auto"/>
        <w:rPr>
          <w:iCs/>
          <w:noProof/>
          <w:szCs w:val="22"/>
          <w:u w:val="single"/>
        </w:rPr>
      </w:pPr>
      <w:r w:rsidRPr="00D90165">
        <w:rPr>
          <w:u w:val="single"/>
        </w:rPr>
        <w:t>Liniowość/nieliniowość</w:t>
      </w:r>
    </w:p>
    <w:p w14:paraId="6EF1BE18" w14:textId="77777777" w:rsidR="0005119C" w:rsidRPr="00D90165" w:rsidRDefault="0005119C" w:rsidP="0056402B">
      <w:pPr>
        <w:keepNext/>
        <w:spacing w:line="240" w:lineRule="auto"/>
        <w:rPr>
          <w:szCs w:val="22"/>
        </w:rPr>
      </w:pPr>
    </w:p>
    <w:p w14:paraId="4B16982E" w14:textId="77777777" w:rsidR="00A83024" w:rsidRPr="00D90165" w:rsidRDefault="009C4EC4" w:rsidP="00855719">
      <w:pPr>
        <w:spacing w:line="240" w:lineRule="auto"/>
        <w:rPr>
          <w:szCs w:val="22"/>
        </w:rPr>
      </w:pPr>
      <w:r w:rsidRPr="00D90165">
        <w:t>Parametry farmakokinetyczne mają charakter liniowy, a ekspozycja na wamorolon wzrasta proporcjonalnie do pojedynczej dawki lub wielu dawek. Podczas wielokrotnego podawania wamorolon nie ulega kumulacji.</w:t>
      </w:r>
    </w:p>
    <w:p w14:paraId="3CD8F80D" w14:textId="77777777" w:rsidR="00A83024" w:rsidRPr="00D90165" w:rsidRDefault="00A83024" w:rsidP="00855719">
      <w:pPr>
        <w:numPr>
          <w:ilvl w:val="12"/>
          <w:numId w:val="0"/>
        </w:numPr>
        <w:spacing w:line="240" w:lineRule="auto"/>
        <w:ind w:right="-2"/>
        <w:rPr>
          <w:iCs/>
          <w:noProof/>
          <w:szCs w:val="22"/>
        </w:rPr>
      </w:pPr>
    </w:p>
    <w:p w14:paraId="6AB0CE4E" w14:textId="77777777" w:rsidR="00A83024" w:rsidRPr="00D90165" w:rsidRDefault="009C4EC4" w:rsidP="0056402B">
      <w:pPr>
        <w:pStyle w:val="paragraph"/>
        <w:keepNext/>
        <w:spacing w:before="0" w:beforeAutospacing="0" w:after="0" w:afterAutospacing="0"/>
        <w:jc w:val="both"/>
        <w:textAlignment w:val="baseline"/>
        <w:rPr>
          <w:rStyle w:val="normaltextrun"/>
          <w:color w:val="000000" w:themeColor="text1"/>
          <w:sz w:val="22"/>
          <w:szCs w:val="22"/>
          <w:u w:val="single"/>
        </w:rPr>
      </w:pPr>
      <w:r w:rsidRPr="00D90165">
        <w:rPr>
          <w:rStyle w:val="normaltextrun"/>
          <w:color w:val="000000" w:themeColor="text1"/>
          <w:sz w:val="22"/>
          <w:u w:val="single"/>
        </w:rPr>
        <w:t>Szczególne grupy pacjentów</w:t>
      </w:r>
    </w:p>
    <w:p w14:paraId="1BE78066" w14:textId="77777777" w:rsidR="00A83024" w:rsidRPr="00D90165" w:rsidRDefault="00A83024" w:rsidP="0056402B">
      <w:pPr>
        <w:pStyle w:val="paragraph"/>
        <w:keepNext/>
        <w:spacing w:before="0" w:beforeAutospacing="0" w:after="0" w:afterAutospacing="0"/>
        <w:jc w:val="both"/>
        <w:textAlignment w:val="baseline"/>
        <w:rPr>
          <w:rStyle w:val="eop"/>
          <w:color w:val="000000" w:themeColor="text1"/>
          <w:sz w:val="16"/>
          <w:szCs w:val="16"/>
        </w:rPr>
      </w:pPr>
    </w:p>
    <w:p w14:paraId="1B357869" w14:textId="77777777" w:rsidR="00A83024" w:rsidRPr="00D90165" w:rsidRDefault="009C4EC4" w:rsidP="0056402B">
      <w:pPr>
        <w:pStyle w:val="paragraph"/>
        <w:keepNext/>
        <w:spacing w:before="0" w:beforeAutospacing="0" w:after="0" w:afterAutospacing="0"/>
        <w:jc w:val="both"/>
        <w:textAlignment w:val="baseline"/>
        <w:rPr>
          <w:sz w:val="22"/>
          <w:szCs w:val="22"/>
        </w:rPr>
      </w:pPr>
      <w:bookmarkStart w:id="18" w:name="_Hlk133747301"/>
      <w:r w:rsidRPr="00D90165">
        <w:rPr>
          <w:rStyle w:val="normaltextrun"/>
          <w:i/>
          <w:color w:val="000000" w:themeColor="text1"/>
          <w:sz w:val="22"/>
        </w:rPr>
        <w:t>Zaburzenia czynności wątroby</w:t>
      </w:r>
    </w:p>
    <w:p w14:paraId="6D592630" w14:textId="77777777" w:rsidR="008F7AAD" w:rsidRPr="00D90165" w:rsidRDefault="009C4EC4" w:rsidP="00855719">
      <w:pPr>
        <w:spacing w:line="240" w:lineRule="auto"/>
      </w:pPr>
      <w:r w:rsidRPr="00D90165">
        <w:t xml:space="preserve">Wpływ umiarkowanego zaburzenia czynności wątroby (klasa B wg klasyfikacji Childa-Pugha) wamorolonu badano u ludzi. Wartości Cmax i AUC0inf wamorolonu były około 1,7- i 2,6-krotnie wyższe u osób z umiarkowanymi zaburzeniami czynności wątroby w porównaniu ze zdrowymi osobami dorosłymi dobranymi pod względem wieku, masy ciała i płci. U pacjentów z umiarkowanymi zaburzeniami czynności wątroby dawkę produktu leczniczego AGAMREE należy zmniejszyć do </w:t>
      </w:r>
      <w:r w:rsidRPr="00D90165">
        <w:lastRenderedPageBreak/>
        <w:t>2 mg/kg</w:t>
      </w:r>
      <w:r w:rsidR="0079615D" w:rsidRPr="0079615D">
        <w:t xml:space="preserve"> </w:t>
      </w:r>
      <w:r w:rsidR="0079615D" w:rsidRPr="00CE7EB2">
        <w:t>mc.</w:t>
      </w:r>
      <w:r w:rsidRPr="00D90165">
        <w:t>/dobę w przypadku pacjentów o masie ciała do 40 kg oraz do 80 mg w przypadku pacjentów o masie ciała co najmniej 40 kg.</w:t>
      </w:r>
    </w:p>
    <w:p w14:paraId="101AFBAC" w14:textId="77777777" w:rsidR="005C122C" w:rsidRPr="00D90165" w:rsidRDefault="005C122C" w:rsidP="00855719">
      <w:pPr>
        <w:spacing w:line="240" w:lineRule="auto"/>
      </w:pPr>
    </w:p>
    <w:p w14:paraId="7635AF40" w14:textId="77777777" w:rsidR="005C122C" w:rsidRPr="00D90165" w:rsidRDefault="009C4EC4" w:rsidP="00855719">
      <w:pPr>
        <w:spacing w:line="240" w:lineRule="auto"/>
        <w:rPr>
          <w:szCs w:val="22"/>
        </w:rPr>
      </w:pPr>
      <w:r w:rsidRPr="00D90165">
        <w:t>Na podstawie dostępnych danych stwierdzono, że wzrost ekspozycji na wamorolon jest proporcjonalny do nasilenia zaburzeń czynności wątroby. U pacjentów z łagodnymi zaburzeniami czynności wątroby (klasa A wg klasyfikacji Childa-Pugha) nie oczekuje się istotnego zwiększenia ekspozycji, dlatego nie zaleca się dostosowywania dawki.</w:t>
      </w:r>
    </w:p>
    <w:p w14:paraId="04912C2E" w14:textId="77777777" w:rsidR="00A83024" w:rsidRPr="00D90165" w:rsidRDefault="009C4EC4" w:rsidP="00855719">
      <w:pPr>
        <w:spacing w:line="240" w:lineRule="auto"/>
        <w:rPr>
          <w:szCs w:val="22"/>
        </w:rPr>
      </w:pPr>
      <w:r w:rsidRPr="00D90165">
        <w:t>Nie ma doświadczeń dotyczących stosowania wamorolonu u pacjentów z ciężkimi zaburzeniami czynności wątroby (klasa C wg klasyfikacji Childa-Pugha) i nie należy podawać wamorolonu tym pacjentom (patrz punkt 4.3).</w:t>
      </w:r>
    </w:p>
    <w:bookmarkEnd w:id="18"/>
    <w:p w14:paraId="505892FD" w14:textId="77777777" w:rsidR="00950C1F" w:rsidRPr="00D90165" w:rsidRDefault="00950C1F" w:rsidP="00855719">
      <w:pPr>
        <w:numPr>
          <w:ilvl w:val="12"/>
          <w:numId w:val="0"/>
        </w:numPr>
        <w:spacing w:line="240" w:lineRule="auto"/>
        <w:ind w:right="-2"/>
        <w:rPr>
          <w:iCs/>
          <w:noProof/>
          <w:szCs w:val="22"/>
        </w:rPr>
      </w:pPr>
    </w:p>
    <w:p w14:paraId="710BC92D" w14:textId="77777777" w:rsidR="00A83024" w:rsidRPr="00D90165" w:rsidRDefault="009C4EC4" w:rsidP="0056402B">
      <w:pPr>
        <w:pStyle w:val="paragraph"/>
        <w:keepNext/>
        <w:spacing w:before="0" w:beforeAutospacing="0" w:after="0" w:afterAutospacing="0"/>
        <w:jc w:val="both"/>
        <w:textAlignment w:val="baseline"/>
        <w:rPr>
          <w:sz w:val="22"/>
          <w:szCs w:val="22"/>
        </w:rPr>
      </w:pPr>
      <w:r w:rsidRPr="00D90165">
        <w:rPr>
          <w:rStyle w:val="normaltextrun"/>
          <w:i/>
          <w:color w:val="000000" w:themeColor="text1"/>
          <w:sz w:val="22"/>
        </w:rPr>
        <w:t>Zaburzenia czynności nerek</w:t>
      </w:r>
    </w:p>
    <w:p w14:paraId="6C31B84F" w14:textId="77777777" w:rsidR="00A83024" w:rsidRPr="00D90165" w:rsidRDefault="009C4EC4" w:rsidP="00855719">
      <w:pPr>
        <w:spacing w:line="240" w:lineRule="auto"/>
        <w:rPr>
          <w:szCs w:val="22"/>
        </w:rPr>
      </w:pPr>
      <w:r w:rsidRPr="00D90165">
        <w:t>Brak doświadczenia klinicznego u pacjentów z zaburzeniami czynności nerek. Wamorolon nie jest wydalany przez nerki w postaci niezmienionej, a wzrost narażenia spowodowany zaburzeniami czynności nerek uważa się za mało prawdopodobny.</w:t>
      </w:r>
    </w:p>
    <w:p w14:paraId="4A789D5E" w14:textId="77777777" w:rsidR="00A83024" w:rsidRPr="00D90165" w:rsidRDefault="00A83024" w:rsidP="00855719">
      <w:pPr>
        <w:spacing w:line="240" w:lineRule="auto"/>
        <w:rPr>
          <w:i/>
          <w:iCs/>
        </w:rPr>
      </w:pPr>
    </w:p>
    <w:p w14:paraId="103A03EE" w14:textId="77777777" w:rsidR="00A83024" w:rsidRPr="00D90165" w:rsidRDefault="009C4EC4" w:rsidP="0056402B">
      <w:pPr>
        <w:keepNext/>
        <w:spacing w:line="240" w:lineRule="auto"/>
        <w:jc w:val="both"/>
        <w:rPr>
          <w:i/>
          <w:iCs/>
        </w:rPr>
      </w:pPr>
      <w:r w:rsidRPr="00D90165">
        <w:rPr>
          <w:i/>
        </w:rPr>
        <w:t>Interakcje zależne od transportera</w:t>
      </w:r>
    </w:p>
    <w:p w14:paraId="1CB580B4" w14:textId="77777777" w:rsidR="00A83024" w:rsidRPr="00D90165" w:rsidRDefault="009C4EC4" w:rsidP="00855719">
      <w:pPr>
        <w:spacing w:line="240" w:lineRule="auto"/>
      </w:pPr>
      <w:r w:rsidRPr="00D90165">
        <w:t xml:space="preserve">Wamorolon nie jest inhibitorem P-gp, BCRP, OATP1B1, OATP1B3, OCT2, OAT1, MATE1 ani BSEP. W warunkach </w:t>
      </w:r>
      <w:r w:rsidRPr="00D90165">
        <w:rPr>
          <w:i/>
        </w:rPr>
        <w:t>in vitro</w:t>
      </w:r>
      <w:r w:rsidRPr="00D90165">
        <w:t xml:space="preserve"> wamorolon wykazuje słabe hamowanie aktywności transporterów OAT3 i MATE2-K. Wamorolon nie jest substratem P-gp, BCRP, OATP1A2, OATP1B1, OATP1B3, OCT2, OAT1, OAT3, MATE1, MATE2-K ani BSEP.</w:t>
      </w:r>
    </w:p>
    <w:p w14:paraId="7A17388D" w14:textId="77777777" w:rsidR="00A83024" w:rsidRPr="00D90165" w:rsidRDefault="00A83024" w:rsidP="00855719">
      <w:pPr>
        <w:spacing w:line="240" w:lineRule="auto"/>
        <w:ind w:right="-2"/>
        <w:rPr>
          <w:noProof/>
        </w:rPr>
      </w:pPr>
    </w:p>
    <w:p w14:paraId="67E17E25" w14:textId="77777777" w:rsidR="00221C15" w:rsidRPr="00D90165" w:rsidRDefault="009C4EC4" w:rsidP="0056402B">
      <w:pPr>
        <w:pStyle w:val="paragraph"/>
        <w:keepNext/>
        <w:spacing w:before="0" w:beforeAutospacing="0" w:after="0" w:afterAutospacing="0"/>
        <w:jc w:val="both"/>
        <w:textAlignment w:val="baseline"/>
        <w:rPr>
          <w:rStyle w:val="normaltextrun"/>
          <w:i/>
          <w:iCs/>
          <w:color w:val="000000" w:themeColor="text1"/>
          <w:sz w:val="22"/>
          <w:szCs w:val="22"/>
        </w:rPr>
      </w:pPr>
      <w:r w:rsidRPr="00D90165">
        <w:rPr>
          <w:rStyle w:val="normaltextrun"/>
          <w:i/>
          <w:color w:val="000000" w:themeColor="text1"/>
          <w:sz w:val="22"/>
        </w:rPr>
        <w:t>Dzieci i młodzież</w:t>
      </w:r>
    </w:p>
    <w:p w14:paraId="50B13445" w14:textId="77777777" w:rsidR="00221C15" w:rsidRPr="00D90165" w:rsidRDefault="009C4EC4" w:rsidP="00855719">
      <w:pPr>
        <w:spacing w:line="240" w:lineRule="auto"/>
      </w:pPr>
      <w:r w:rsidRPr="00D90165">
        <w:t>W stanie stacjonarnym średnią geometryczną C</w:t>
      </w:r>
      <w:r w:rsidRPr="00D90165">
        <w:rPr>
          <w:vertAlign w:val="subscript"/>
        </w:rPr>
        <w:t>max</w:t>
      </w:r>
      <w:r w:rsidRPr="00D90165">
        <w:t xml:space="preserve"> i średnią geometryczną AUC wamorolonu u dzieci (w wieku 4-7 lat) oszacowano odpowiednio według farmakokinetyki populacyjnej na 1200 ng/ml (CV% = 26,8) i 3650 ng/ml.h po </w:t>
      </w:r>
      <w:r w:rsidRPr="00D90165">
        <w:rPr>
          <w:rStyle w:val="normaltextrun"/>
        </w:rPr>
        <w:t>podaniu</w:t>
      </w:r>
      <w:r w:rsidRPr="00D90165">
        <w:t xml:space="preserve"> dawki wynoszącej 6 mg/kg </w:t>
      </w:r>
      <w:r w:rsidR="0079615D" w:rsidRPr="00CE7EB2">
        <w:t>mc.</w:t>
      </w:r>
      <w:r w:rsidRPr="00D90165">
        <w:t>wamorolonu na dobę.</w:t>
      </w:r>
    </w:p>
    <w:p w14:paraId="392F2B4F" w14:textId="77777777" w:rsidR="00DD7FFA" w:rsidRPr="00D90165" w:rsidRDefault="00DD7FFA" w:rsidP="00855719">
      <w:pPr>
        <w:spacing w:line="240" w:lineRule="auto"/>
      </w:pPr>
    </w:p>
    <w:p w14:paraId="619D5348" w14:textId="77777777" w:rsidR="00812D16" w:rsidRPr="00D90165" w:rsidRDefault="009C4EC4" w:rsidP="0056402B">
      <w:pPr>
        <w:keepNext/>
        <w:spacing w:line="240" w:lineRule="auto"/>
        <w:ind w:left="567" w:hanging="567"/>
        <w:outlineLvl w:val="0"/>
        <w:rPr>
          <w:b/>
          <w:noProof/>
          <w:szCs w:val="22"/>
        </w:rPr>
      </w:pPr>
      <w:r w:rsidRPr="00D90165">
        <w:rPr>
          <w:rStyle w:val="DNEx2"/>
        </w:rPr>
        <w:t>5.3</w:t>
      </w:r>
      <w:r w:rsidRPr="00D90165">
        <w:rPr>
          <w:rStyle w:val="DNEx2"/>
        </w:rPr>
        <w:tab/>
      </w:r>
      <w:r w:rsidRPr="00D90165">
        <w:rPr>
          <w:b/>
        </w:rPr>
        <w:t>Przedkliniczne dane o bezpieczeństwie</w:t>
      </w:r>
    </w:p>
    <w:p w14:paraId="6B90EC56" w14:textId="77777777" w:rsidR="00812D16" w:rsidRPr="00D90165" w:rsidRDefault="00812D16" w:rsidP="0056402B">
      <w:pPr>
        <w:keepNext/>
        <w:spacing w:line="240" w:lineRule="auto"/>
        <w:rPr>
          <w:noProof/>
          <w:szCs w:val="22"/>
        </w:rPr>
      </w:pPr>
    </w:p>
    <w:p w14:paraId="31C790C2" w14:textId="77777777" w:rsidR="06276268" w:rsidRPr="00D90165" w:rsidRDefault="009C4EC4" w:rsidP="0056402B">
      <w:pPr>
        <w:keepNext/>
        <w:spacing w:line="240" w:lineRule="auto"/>
        <w:rPr>
          <w:szCs w:val="22"/>
          <w:u w:val="single"/>
        </w:rPr>
      </w:pPr>
      <w:r w:rsidRPr="00D90165">
        <w:rPr>
          <w:u w:val="single"/>
        </w:rPr>
        <w:t>Toksyczność po podaniu wielokrotnym</w:t>
      </w:r>
    </w:p>
    <w:p w14:paraId="50094382" w14:textId="77777777" w:rsidR="00A620CA" w:rsidRPr="00D90165" w:rsidRDefault="009C4EC4" w:rsidP="00855719">
      <w:pPr>
        <w:spacing w:line="240" w:lineRule="auto"/>
      </w:pPr>
      <w:r w:rsidRPr="00D90165">
        <w:t>Wielokrotne podawanie wamorolonu powodowało przejściowe zwiększenie stężenia trójglicerydów i cholesterolu oraz enzymów wątrobowych u myszy i psów. Ogniskowe zapalenie wątroby/martwica obserwowane u obu gatunków mogły rozwinąć się wtórnie do przerostu komórek wątrobowych oraz wakuolizacji zawierającej nagromadzenie glikogenu i lipidów, co prawdopodobnie odzwierciedla stymulację glukoneogenezy.</w:t>
      </w:r>
    </w:p>
    <w:p w14:paraId="0E6FB4B0" w14:textId="77777777" w:rsidR="007C2B0F" w:rsidRPr="00A510B3" w:rsidRDefault="007C2B0F" w:rsidP="00855719">
      <w:pPr>
        <w:spacing w:line="240" w:lineRule="auto"/>
      </w:pPr>
    </w:p>
    <w:p w14:paraId="6E736AF9" w14:textId="77777777" w:rsidR="06276268" w:rsidRPr="00D90165" w:rsidRDefault="009C4EC4" w:rsidP="00855719">
      <w:pPr>
        <w:spacing w:line="240" w:lineRule="auto"/>
      </w:pPr>
      <w:r w:rsidRPr="00D90165">
        <w:t>Długotrwałe podawanie wamorolonu powodowało również atrofię kordy nadnerczy u myszy i psów, co można przypisać znanej supresji osi podwzgórze-przysadka-nadnercza przez środki glukokortykoidowe.</w:t>
      </w:r>
    </w:p>
    <w:p w14:paraId="5CDBC4A5" w14:textId="77777777" w:rsidR="06276268" w:rsidRPr="00A510B3" w:rsidRDefault="06276268" w:rsidP="00855719">
      <w:pPr>
        <w:spacing w:line="240" w:lineRule="auto"/>
      </w:pPr>
    </w:p>
    <w:p w14:paraId="7613E73F" w14:textId="77777777" w:rsidR="74E8AA19" w:rsidRPr="00D90165" w:rsidRDefault="009C4EC4" w:rsidP="00855719">
      <w:pPr>
        <w:spacing w:line="240" w:lineRule="auto"/>
      </w:pPr>
      <w:r w:rsidRPr="00D90165">
        <w:t>Pierwotne działanie przeciwzapalne wamorolonu przyczyniło się ponadto do łagodnego do umiarkowanego zmniejszenia liczby limfocytów w śledzionie, grasicy i węzłach chłonnych obu gatunków. Niekorzystne wyniki badań wątroby i nadnerczy oraz zmiany limfoidalne u myszy i psów rozwinęły się bez marginesów bezpieczeństwa w stosunku do MRHD w oparciu o AUC.</w:t>
      </w:r>
    </w:p>
    <w:p w14:paraId="749B5F02" w14:textId="77777777" w:rsidR="06276268" w:rsidRPr="00D90165" w:rsidRDefault="06276268" w:rsidP="00855719">
      <w:pPr>
        <w:spacing w:line="240" w:lineRule="auto"/>
        <w:rPr>
          <w:szCs w:val="22"/>
        </w:rPr>
      </w:pPr>
    </w:p>
    <w:p w14:paraId="0798CB23" w14:textId="77777777" w:rsidR="001F7FDB" w:rsidRPr="00D90165" w:rsidRDefault="009C4EC4" w:rsidP="0056402B">
      <w:pPr>
        <w:keepNext/>
        <w:spacing w:line="240" w:lineRule="auto"/>
        <w:rPr>
          <w:szCs w:val="22"/>
        </w:rPr>
      </w:pPr>
      <w:r w:rsidRPr="00CA7F9B">
        <w:rPr>
          <w:szCs w:val="22"/>
          <w:u w:val="single"/>
        </w:rPr>
        <w:t>Genotoksyczność i rakotwórczość</w:t>
      </w:r>
    </w:p>
    <w:p w14:paraId="0BB5B77D" w14:textId="77777777" w:rsidR="007C2B0F" w:rsidRPr="00D90165" w:rsidRDefault="007C2B0F" w:rsidP="0056402B">
      <w:pPr>
        <w:keepNext/>
        <w:spacing w:line="240" w:lineRule="auto"/>
        <w:rPr>
          <w:szCs w:val="22"/>
        </w:rPr>
      </w:pPr>
    </w:p>
    <w:p w14:paraId="554CEB9C" w14:textId="77777777" w:rsidR="06276268" w:rsidRPr="00D90165" w:rsidRDefault="009C4EC4" w:rsidP="00855719">
      <w:pPr>
        <w:spacing w:line="240" w:lineRule="auto"/>
      </w:pPr>
      <w:r w:rsidRPr="00D90165">
        <w:t xml:space="preserve">Wamorolon nie wykazywał potencjału genotoksycznego w standardowym zestawie testów. Nie przeprowadzono badań rakotwórczości wamorolonu, ale brak zmian przednowotworowych w </w:t>
      </w:r>
      <w:r w:rsidR="0079615D" w:rsidRPr="00D90165">
        <w:t>długoterminow</w:t>
      </w:r>
      <w:r w:rsidR="0079615D">
        <w:t>ych</w:t>
      </w:r>
      <w:r w:rsidR="0079615D" w:rsidRPr="00D90165">
        <w:t xml:space="preserve"> </w:t>
      </w:r>
      <w:r w:rsidRPr="00D90165">
        <w:t>badaniach toksyczności oraz doświadczenie dotyczące innych leków zawierających glikokortykoidy nie wskazują na szczególne zagrożenie rakotwórcze.</w:t>
      </w:r>
    </w:p>
    <w:p w14:paraId="02F7982B" w14:textId="77777777" w:rsidR="06276268" w:rsidRPr="00D90165" w:rsidRDefault="06276268" w:rsidP="00855719">
      <w:pPr>
        <w:spacing w:line="276" w:lineRule="auto"/>
        <w:jc w:val="both"/>
        <w:rPr>
          <w:u w:val="single"/>
        </w:rPr>
      </w:pPr>
    </w:p>
    <w:p w14:paraId="6F954A96" w14:textId="77777777" w:rsidR="06276268" w:rsidRPr="00D90165" w:rsidRDefault="009C4EC4" w:rsidP="0056402B">
      <w:pPr>
        <w:keepNext/>
        <w:spacing w:line="240" w:lineRule="auto"/>
        <w:rPr>
          <w:szCs w:val="22"/>
          <w:u w:val="single"/>
        </w:rPr>
      </w:pPr>
      <w:r w:rsidRPr="00CA7F9B">
        <w:rPr>
          <w:szCs w:val="22"/>
          <w:u w:val="single"/>
        </w:rPr>
        <w:t>Toksyczny wpływ na reprodukcję i rozwój potomstwa</w:t>
      </w:r>
    </w:p>
    <w:p w14:paraId="4D5B59B3" w14:textId="77777777" w:rsidR="007C2B0F" w:rsidRPr="00D90165" w:rsidRDefault="007C2B0F" w:rsidP="0056402B">
      <w:pPr>
        <w:keepNext/>
        <w:spacing w:line="240" w:lineRule="auto"/>
        <w:rPr>
          <w:szCs w:val="22"/>
        </w:rPr>
      </w:pPr>
    </w:p>
    <w:p w14:paraId="448D0683" w14:textId="38ABE7A8" w:rsidR="00BD1042" w:rsidRPr="00D90165" w:rsidRDefault="009C4EC4" w:rsidP="00855719">
      <w:pPr>
        <w:spacing w:line="240" w:lineRule="auto"/>
      </w:pPr>
      <w:r w:rsidRPr="00D90165">
        <w:t>Nie przeprowadzono żadnych standardowych badań toksyczn</w:t>
      </w:r>
      <w:r w:rsidR="001F7FDB">
        <w:t>ego wpływu na</w:t>
      </w:r>
      <w:r w:rsidRPr="00D90165">
        <w:t xml:space="preserve"> </w:t>
      </w:r>
      <w:r w:rsidR="00373D32" w:rsidRPr="00D90165">
        <w:t>reprodukcję</w:t>
      </w:r>
      <w:r w:rsidRPr="00D90165">
        <w:t xml:space="preserve"> i rozw</w:t>
      </w:r>
      <w:r w:rsidR="001F7FDB">
        <w:t>ó</w:t>
      </w:r>
      <w:r w:rsidRPr="00D90165">
        <w:t>j</w:t>
      </w:r>
      <w:r w:rsidR="001F7FDB">
        <w:t xml:space="preserve"> potomstwa</w:t>
      </w:r>
      <w:r w:rsidRPr="00D90165">
        <w:t>.</w:t>
      </w:r>
      <w:r w:rsidR="006A1A7C">
        <w:t xml:space="preserve"> </w:t>
      </w:r>
      <w:r w:rsidR="006A1A7C" w:rsidRPr="006A1A7C">
        <w:t>Badanie eksploracyjne rozwoju zarodka i</w:t>
      </w:r>
      <w:r w:rsidR="006A1A7C">
        <w:t> </w:t>
      </w:r>
      <w:r w:rsidR="006A1A7C" w:rsidRPr="006A1A7C">
        <w:t>płodu z</w:t>
      </w:r>
      <w:r w:rsidR="006A1A7C">
        <w:t> </w:t>
      </w:r>
      <w:r w:rsidR="006A1A7C" w:rsidRPr="006A1A7C">
        <w:t>zastosowaniem wamorolonu u</w:t>
      </w:r>
      <w:r w:rsidR="006A1A7C">
        <w:t> </w:t>
      </w:r>
      <w:r w:rsidR="006A1A7C" w:rsidRPr="006A1A7C">
        <w:t>myszy wykazało większą częstość występowania rozszczepu podniebienia u</w:t>
      </w:r>
      <w:r w:rsidR="006A1A7C">
        <w:t> </w:t>
      </w:r>
      <w:r w:rsidR="006A1A7C" w:rsidRPr="006A1A7C">
        <w:t>płodów i</w:t>
      </w:r>
      <w:r w:rsidR="006A1A7C">
        <w:t> </w:t>
      </w:r>
      <w:r w:rsidR="006A1A7C" w:rsidRPr="006A1A7C">
        <w:t xml:space="preserve">miotów przy narażeniu </w:t>
      </w:r>
      <w:r w:rsidR="006A1A7C" w:rsidRPr="006A1A7C">
        <w:lastRenderedPageBreak/>
        <w:t>zbliżonym do narażenia ludzi w</w:t>
      </w:r>
      <w:r w:rsidR="006A1A7C">
        <w:t> </w:t>
      </w:r>
      <w:r w:rsidR="006A1A7C" w:rsidRPr="006A1A7C">
        <w:t>MRHD, co wskazuje na teratogenne działanie wamorolonu.</w:t>
      </w:r>
      <w:r w:rsidRPr="00D90165">
        <w:t xml:space="preserve"> W badaniu toksyczności przewlekłej u myszy wamorolon nie wpływa niekorzystnie na rozwój plemników i tkanek rozrodczych. Po długotrwałym dawkowaniu u psów zaobserwowano niecałkowicie odwracalne zwyrodnienie spermatocytów/spermatydów w jądrach, prowadzące do powstania oligospermii i pozostałości komórek rozrodczych w najądrzach. Ponadto gruczoły krokowe uległy zmniejszeniu i zawierały mniej produktu wydzielniczego.</w:t>
      </w:r>
    </w:p>
    <w:p w14:paraId="713FAB4D" w14:textId="77777777" w:rsidR="007C2B0F" w:rsidRPr="00D90165" w:rsidRDefault="007C2B0F" w:rsidP="00855719">
      <w:pPr>
        <w:spacing w:line="240" w:lineRule="auto"/>
        <w:rPr>
          <w:szCs w:val="22"/>
        </w:rPr>
      </w:pPr>
    </w:p>
    <w:p w14:paraId="329B8F67" w14:textId="77777777" w:rsidR="00B11FC5" w:rsidRPr="00D90165" w:rsidRDefault="009C4EC4" w:rsidP="00855719">
      <w:pPr>
        <w:spacing w:line="240" w:lineRule="auto"/>
      </w:pPr>
      <w:r w:rsidRPr="00D90165">
        <w:t xml:space="preserve">U samic długotrwałe powtarzane dawkowanie u psów dodatkowo powodowało częściowo odwracalny dwustronny brak </w:t>
      </w:r>
      <w:r w:rsidRPr="00D90165">
        <w:rPr>
          <w:i/>
        </w:rPr>
        <w:t>ciałek żółtych</w:t>
      </w:r>
      <w:r w:rsidRPr="00D90165">
        <w:t xml:space="preserve"> w jajnikach. Zahamowanie płodności samców i samic można przypisać znanej interferencji długotrwałego leczenia glikokortykoidami z osią podwzgórze-przysadka-nadnercza i rozwija się bez opartego na AUC marginesu bezpieczeństwa dla ludzi w MRHD.</w:t>
      </w:r>
    </w:p>
    <w:p w14:paraId="14D92196" w14:textId="77777777" w:rsidR="06276268" w:rsidRPr="00D90165" w:rsidRDefault="06276268" w:rsidP="00855719">
      <w:pPr>
        <w:jc w:val="both"/>
        <w:rPr>
          <w:noProof/>
          <w:szCs w:val="22"/>
        </w:rPr>
      </w:pPr>
    </w:p>
    <w:p w14:paraId="68EA2FB0" w14:textId="77777777" w:rsidR="06276268" w:rsidRPr="00D90165" w:rsidRDefault="009C4EC4" w:rsidP="0056402B">
      <w:pPr>
        <w:keepNext/>
        <w:spacing w:line="240" w:lineRule="auto"/>
        <w:rPr>
          <w:u w:val="single"/>
        </w:rPr>
      </w:pPr>
      <w:r w:rsidRPr="00D90165">
        <w:rPr>
          <w:u w:val="single"/>
        </w:rPr>
        <w:t>Toksyczność dla młodych osobników</w:t>
      </w:r>
    </w:p>
    <w:p w14:paraId="7B34559D" w14:textId="77777777" w:rsidR="06276268" w:rsidRPr="00D90165" w:rsidRDefault="06276268" w:rsidP="0056402B">
      <w:pPr>
        <w:keepNext/>
        <w:spacing w:line="240" w:lineRule="auto"/>
        <w:rPr>
          <w:szCs w:val="22"/>
        </w:rPr>
      </w:pPr>
    </w:p>
    <w:p w14:paraId="21C570B5" w14:textId="77777777" w:rsidR="06276268" w:rsidRPr="00D90165" w:rsidRDefault="009C4EC4" w:rsidP="00855719">
      <w:pPr>
        <w:spacing w:line="240" w:lineRule="auto"/>
        <w:rPr>
          <w:szCs w:val="22"/>
        </w:rPr>
      </w:pPr>
      <w:r w:rsidRPr="00D90165">
        <w:t>Główne narządy docelowe wamorolonu u samców i samic młodych myszy, jak również dorosłych myszy, pokrywają się; występuje m.in. zanik kory nadnerczy i związane z wamorolonem niepożądane zwyrodnienie/martwica wątrobowokomórkowa.</w:t>
      </w:r>
    </w:p>
    <w:p w14:paraId="2E818F38" w14:textId="77777777" w:rsidR="007C2B0F" w:rsidRPr="00D90165" w:rsidRDefault="007C2B0F" w:rsidP="00855719">
      <w:pPr>
        <w:spacing w:line="240" w:lineRule="auto"/>
        <w:rPr>
          <w:szCs w:val="22"/>
        </w:rPr>
      </w:pPr>
    </w:p>
    <w:p w14:paraId="3B602B6A" w14:textId="77777777" w:rsidR="06276268" w:rsidRPr="00D90165" w:rsidRDefault="009C4EC4" w:rsidP="00855719">
      <w:pPr>
        <w:spacing w:line="240" w:lineRule="auto"/>
      </w:pPr>
      <w:r w:rsidRPr="00D90165">
        <w:t xml:space="preserve">Skutki związane z wamorolonem obserwowane wyłącznie u młodych myszy polegały na niekwalifikowanym jako niepożądane zmniejszeniu długości kości piszczelowej i skrócenia długości ciała u samców i samic i były przypisywane indukcji wolniejszego wzrostu. Ponadto u samic wykryto przerost komórek zrazikowych żuchwowych gruczołów ślinowych. Podczas gdy opóźnienie wzrostu jest dobrze znanym działaniem związanym z leczeniem glikokortykoidami u dzieci, znaczenie wyników badań gruczołów ślinowych u dzieci jest nieznane. Przy poziomie dawkowania, przy którym nie obserwuje się działań niepożądanych (ang. </w:t>
      </w:r>
      <w:r w:rsidRPr="00D90165">
        <w:rPr>
          <w:i/>
          <w:iCs/>
        </w:rPr>
        <w:t>no observed adverse effect level</w:t>
      </w:r>
      <w:r w:rsidRPr="00D90165">
        <w:t>, NOAEL), w odniesieniu do ogólnej toksyczności u młodych myszy płci męskiej i żeńskiej nie istnieje żaden margines bezpieczeństwa w odniesieniu do narażenia ludzi na MRHD.</w:t>
      </w:r>
    </w:p>
    <w:p w14:paraId="736E53B4" w14:textId="77777777" w:rsidR="462F3980" w:rsidRPr="00D90165" w:rsidRDefault="462F3980" w:rsidP="00855719">
      <w:pPr>
        <w:spacing w:line="240" w:lineRule="auto"/>
        <w:jc w:val="both"/>
        <w:rPr>
          <w:noProof/>
        </w:rPr>
      </w:pPr>
    </w:p>
    <w:p w14:paraId="6A8E0431" w14:textId="77777777" w:rsidR="00812D16" w:rsidRPr="00D90165" w:rsidRDefault="00812D16" w:rsidP="00855719">
      <w:pPr>
        <w:spacing w:line="240" w:lineRule="auto"/>
        <w:rPr>
          <w:noProof/>
          <w:szCs w:val="22"/>
        </w:rPr>
      </w:pPr>
    </w:p>
    <w:p w14:paraId="6543C9E7" w14:textId="77777777" w:rsidR="00812D16" w:rsidRPr="00D90165" w:rsidRDefault="009C4EC4" w:rsidP="0056402B">
      <w:pPr>
        <w:keepNext/>
        <w:suppressAutoHyphens/>
        <w:spacing w:line="240" w:lineRule="auto"/>
        <w:ind w:left="567" w:hanging="567"/>
        <w:rPr>
          <w:b/>
          <w:noProof/>
          <w:szCs w:val="22"/>
        </w:rPr>
      </w:pPr>
      <w:r w:rsidRPr="00D90165">
        <w:rPr>
          <w:rStyle w:val="DNEx2"/>
        </w:rPr>
        <w:t>6.</w:t>
      </w:r>
      <w:r w:rsidRPr="00D90165">
        <w:rPr>
          <w:rStyle w:val="DNEx2"/>
        </w:rPr>
        <w:tab/>
      </w:r>
      <w:r w:rsidRPr="00D90165">
        <w:rPr>
          <w:b/>
        </w:rPr>
        <w:t>DANE FARMACEUTYCZNE</w:t>
      </w:r>
    </w:p>
    <w:p w14:paraId="74A597A7" w14:textId="77777777" w:rsidR="00812D16" w:rsidRPr="00D90165" w:rsidRDefault="00812D16" w:rsidP="0056402B">
      <w:pPr>
        <w:keepNext/>
        <w:spacing w:line="240" w:lineRule="auto"/>
        <w:rPr>
          <w:noProof/>
          <w:szCs w:val="22"/>
        </w:rPr>
      </w:pPr>
    </w:p>
    <w:p w14:paraId="0FB7E1B9" w14:textId="77777777" w:rsidR="00812D16" w:rsidRPr="00D90165" w:rsidRDefault="009C4EC4" w:rsidP="0056402B">
      <w:pPr>
        <w:keepNext/>
        <w:spacing w:line="240" w:lineRule="auto"/>
        <w:ind w:left="567" w:hanging="567"/>
        <w:outlineLvl w:val="0"/>
        <w:rPr>
          <w:noProof/>
          <w:szCs w:val="22"/>
        </w:rPr>
      </w:pPr>
      <w:r w:rsidRPr="00D90165">
        <w:rPr>
          <w:rStyle w:val="DNEx2"/>
        </w:rPr>
        <w:t>6.1</w:t>
      </w:r>
      <w:r w:rsidRPr="00D90165">
        <w:rPr>
          <w:rStyle w:val="DNEx2"/>
        </w:rPr>
        <w:tab/>
      </w:r>
      <w:r w:rsidRPr="00D90165">
        <w:rPr>
          <w:b/>
        </w:rPr>
        <w:t>Wykaz substancji pomocniczych</w:t>
      </w:r>
    </w:p>
    <w:p w14:paraId="1C5B3A05" w14:textId="77777777" w:rsidR="00812D16" w:rsidRPr="00D90165" w:rsidRDefault="00812D16" w:rsidP="0056402B">
      <w:pPr>
        <w:keepNext/>
        <w:spacing w:line="240" w:lineRule="auto"/>
        <w:rPr>
          <w:i/>
          <w:noProof/>
          <w:szCs w:val="22"/>
        </w:rPr>
      </w:pPr>
    </w:p>
    <w:p w14:paraId="72CD940D" w14:textId="77777777" w:rsidR="000533DD" w:rsidRPr="00D90165" w:rsidRDefault="009C4EC4" w:rsidP="00855719">
      <w:pPr>
        <w:spacing w:line="240" w:lineRule="auto"/>
        <w:rPr>
          <w:noProof/>
        </w:rPr>
      </w:pPr>
      <w:r w:rsidRPr="00D90165">
        <w:t>Kwas cytrynowy jednowodny (E 330)</w:t>
      </w:r>
    </w:p>
    <w:p w14:paraId="53B5A671" w14:textId="77777777" w:rsidR="000533DD" w:rsidRPr="006E03A9" w:rsidRDefault="009C4EC4" w:rsidP="00855719">
      <w:pPr>
        <w:spacing w:line="240" w:lineRule="auto"/>
        <w:rPr>
          <w:noProof/>
          <w:lang w:val="it-IT"/>
        </w:rPr>
      </w:pPr>
      <w:r w:rsidRPr="006E03A9">
        <w:rPr>
          <w:lang w:val="it-IT"/>
        </w:rPr>
        <w:t>Disodu fosforan (E 339)</w:t>
      </w:r>
    </w:p>
    <w:p w14:paraId="7ABF104B" w14:textId="77777777" w:rsidR="000533DD" w:rsidRPr="006E03A9" w:rsidRDefault="009C4EC4" w:rsidP="00855719">
      <w:pPr>
        <w:spacing w:line="240" w:lineRule="auto"/>
        <w:rPr>
          <w:noProof/>
          <w:lang w:val="it-IT"/>
        </w:rPr>
      </w:pPr>
      <w:r w:rsidRPr="006E03A9">
        <w:rPr>
          <w:lang w:val="it-IT"/>
        </w:rPr>
        <w:t>Glicerol (E 422)</w:t>
      </w:r>
    </w:p>
    <w:p w14:paraId="0EE105E2" w14:textId="77777777" w:rsidR="000533DD" w:rsidRPr="00833952" w:rsidRDefault="009C4EC4" w:rsidP="00855719">
      <w:pPr>
        <w:spacing w:line="240" w:lineRule="auto"/>
        <w:rPr>
          <w:noProof/>
        </w:rPr>
      </w:pPr>
      <w:r w:rsidRPr="00833952">
        <w:t>Aromat pomarańczowy</w:t>
      </w:r>
    </w:p>
    <w:p w14:paraId="69AB73A9" w14:textId="77777777" w:rsidR="000533DD" w:rsidRPr="00D90165" w:rsidRDefault="009C4EC4" w:rsidP="00855719">
      <w:pPr>
        <w:spacing w:line="240" w:lineRule="auto"/>
        <w:rPr>
          <w:noProof/>
        </w:rPr>
      </w:pPr>
      <w:r w:rsidRPr="00D90165">
        <w:t>Woda oczyszczona</w:t>
      </w:r>
    </w:p>
    <w:p w14:paraId="7180FBF3" w14:textId="77777777" w:rsidR="000533DD" w:rsidRPr="00D90165" w:rsidRDefault="009C4EC4" w:rsidP="00855719">
      <w:pPr>
        <w:spacing w:line="240" w:lineRule="auto"/>
      </w:pPr>
      <w:r w:rsidRPr="00D90165">
        <w:t>Sodu benzoesan (E 211)</w:t>
      </w:r>
    </w:p>
    <w:p w14:paraId="7C4E8625" w14:textId="77777777" w:rsidR="000533DD" w:rsidRPr="00D90165" w:rsidRDefault="009C4EC4" w:rsidP="00855719">
      <w:pPr>
        <w:spacing w:line="240" w:lineRule="auto"/>
        <w:rPr>
          <w:noProof/>
        </w:rPr>
      </w:pPr>
      <w:r w:rsidRPr="00D90165">
        <w:t>Sukraloza (E 955)</w:t>
      </w:r>
    </w:p>
    <w:p w14:paraId="6B7D36CB" w14:textId="77777777" w:rsidR="000533DD" w:rsidRPr="00D90165" w:rsidRDefault="009C4EC4" w:rsidP="00855719">
      <w:pPr>
        <w:spacing w:line="240" w:lineRule="auto"/>
        <w:rPr>
          <w:noProof/>
        </w:rPr>
      </w:pPr>
      <w:r w:rsidRPr="00D90165">
        <w:t>Guma ksantanowa (E 415)</w:t>
      </w:r>
    </w:p>
    <w:p w14:paraId="3DAC059A" w14:textId="77777777" w:rsidR="00E70B7F" w:rsidRPr="00D90165" w:rsidRDefault="009C4EC4" w:rsidP="00855719">
      <w:pPr>
        <w:spacing w:line="240" w:lineRule="auto"/>
        <w:rPr>
          <w:noProof/>
        </w:rPr>
      </w:pPr>
      <w:r w:rsidRPr="00D90165">
        <w:t xml:space="preserve">Kwas </w:t>
      </w:r>
      <w:r w:rsidR="001F7FDB">
        <w:t>solny</w:t>
      </w:r>
      <w:r w:rsidR="001F7FDB" w:rsidRPr="00D90165">
        <w:t xml:space="preserve"> </w:t>
      </w:r>
      <w:r w:rsidRPr="00D90165">
        <w:t>(do regulacji pH)</w:t>
      </w:r>
    </w:p>
    <w:p w14:paraId="0B5FC887" w14:textId="77777777" w:rsidR="00812D16" w:rsidRPr="00D90165" w:rsidRDefault="00812D16" w:rsidP="00855719">
      <w:pPr>
        <w:spacing w:line="240" w:lineRule="auto"/>
      </w:pPr>
    </w:p>
    <w:p w14:paraId="749CA5E0" w14:textId="77777777" w:rsidR="00812D16" w:rsidRPr="00D90165" w:rsidRDefault="009C4EC4" w:rsidP="0056402B">
      <w:pPr>
        <w:keepNext/>
        <w:spacing w:line="240" w:lineRule="auto"/>
        <w:ind w:left="567" w:hanging="567"/>
        <w:outlineLvl w:val="0"/>
        <w:rPr>
          <w:noProof/>
          <w:szCs w:val="22"/>
        </w:rPr>
      </w:pPr>
      <w:r w:rsidRPr="00D90165">
        <w:rPr>
          <w:rStyle w:val="DNEx2"/>
        </w:rPr>
        <w:t>6.2</w:t>
      </w:r>
      <w:r w:rsidRPr="00D90165">
        <w:rPr>
          <w:rStyle w:val="DNEx2"/>
        </w:rPr>
        <w:tab/>
      </w:r>
      <w:r w:rsidRPr="00D90165">
        <w:rPr>
          <w:b/>
        </w:rPr>
        <w:t>Niezgodności farmaceutyczne</w:t>
      </w:r>
    </w:p>
    <w:p w14:paraId="3894837A" w14:textId="77777777" w:rsidR="00812D16" w:rsidRPr="00D90165" w:rsidRDefault="00812D16" w:rsidP="0056402B">
      <w:pPr>
        <w:keepNext/>
        <w:spacing w:line="240" w:lineRule="auto"/>
        <w:rPr>
          <w:noProof/>
          <w:szCs w:val="22"/>
        </w:rPr>
      </w:pPr>
    </w:p>
    <w:p w14:paraId="3484B7F6" w14:textId="77777777" w:rsidR="00812D16" w:rsidRPr="00D90165" w:rsidRDefault="009C4EC4" w:rsidP="00855719">
      <w:pPr>
        <w:spacing w:line="240" w:lineRule="auto"/>
        <w:rPr>
          <w:noProof/>
          <w:szCs w:val="22"/>
        </w:rPr>
      </w:pPr>
      <w:r w:rsidRPr="00D90165">
        <w:t>Nie dotyczy.</w:t>
      </w:r>
    </w:p>
    <w:p w14:paraId="62922DA2" w14:textId="77777777" w:rsidR="00812D16" w:rsidRPr="00D90165" w:rsidRDefault="00812D16" w:rsidP="00855719">
      <w:pPr>
        <w:spacing w:line="240" w:lineRule="auto"/>
        <w:rPr>
          <w:noProof/>
          <w:szCs w:val="22"/>
        </w:rPr>
      </w:pPr>
    </w:p>
    <w:p w14:paraId="1CED94D1" w14:textId="77777777" w:rsidR="00812D16" w:rsidRPr="00D90165" w:rsidRDefault="009C4EC4" w:rsidP="0056402B">
      <w:pPr>
        <w:keepNext/>
        <w:spacing w:line="240" w:lineRule="auto"/>
        <w:ind w:left="567" w:hanging="567"/>
        <w:outlineLvl w:val="0"/>
        <w:rPr>
          <w:noProof/>
          <w:szCs w:val="22"/>
        </w:rPr>
      </w:pPr>
      <w:r w:rsidRPr="00D90165">
        <w:rPr>
          <w:rStyle w:val="DNEx2"/>
        </w:rPr>
        <w:t>6.3</w:t>
      </w:r>
      <w:r w:rsidRPr="00D90165">
        <w:rPr>
          <w:rStyle w:val="DNEx2"/>
        </w:rPr>
        <w:tab/>
      </w:r>
      <w:r w:rsidRPr="00D90165">
        <w:rPr>
          <w:b/>
        </w:rPr>
        <w:t>Okres ważności</w:t>
      </w:r>
    </w:p>
    <w:p w14:paraId="6172DE28" w14:textId="77777777" w:rsidR="00812D16" w:rsidRPr="00D90165" w:rsidRDefault="00812D16" w:rsidP="0056402B">
      <w:pPr>
        <w:keepNext/>
        <w:spacing w:line="240" w:lineRule="auto"/>
        <w:rPr>
          <w:noProof/>
          <w:szCs w:val="22"/>
        </w:rPr>
      </w:pPr>
    </w:p>
    <w:p w14:paraId="0EC18245" w14:textId="77777777" w:rsidR="00C62120" w:rsidRPr="00D90165" w:rsidRDefault="009C4EC4" w:rsidP="0056402B">
      <w:pPr>
        <w:keepNext/>
        <w:spacing w:line="240" w:lineRule="auto"/>
        <w:rPr>
          <w:noProof/>
          <w:u w:val="single"/>
        </w:rPr>
      </w:pPr>
      <w:r w:rsidRPr="00D90165">
        <w:rPr>
          <w:u w:val="single"/>
        </w:rPr>
        <w:t>Przed otwarciem</w:t>
      </w:r>
    </w:p>
    <w:p w14:paraId="30AF4D76" w14:textId="77777777" w:rsidR="00C62120" w:rsidRPr="00D90165" w:rsidRDefault="00C62120" w:rsidP="00855719">
      <w:pPr>
        <w:spacing w:line="240" w:lineRule="auto"/>
        <w:rPr>
          <w:noProof/>
          <w:u w:val="single"/>
        </w:rPr>
      </w:pPr>
    </w:p>
    <w:p w14:paraId="503B6AC7" w14:textId="1260A1CE" w:rsidR="00303389" w:rsidRPr="00D90165" w:rsidRDefault="003E081F" w:rsidP="00855719">
      <w:pPr>
        <w:spacing w:line="240" w:lineRule="auto"/>
        <w:rPr>
          <w:noProof/>
        </w:rPr>
      </w:pPr>
      <w:r>
        <w:t>3</w:t>
      </w:r>
      <w:r w:rsidR="009C4EC4" w:rsidRPr="00D90165">
        <w:t xml:space="preserve"> lata.</w:t>
      </w:r>
    </w:p>
    <w:p w14:paraId="127C3601" w14:textId="77777777" w:rsidR="006523EC" w:rsidRPr="00D90165" w:rsidRDefault="006523EC" w:rsidP="00855719">
      <w:pPr>
        <w:spacing w:line="240" w:lineRule="auto"/>
        <w:rPr>
          <w:noProof/>
        </w:rPr>
      </w:pPr>
    </w:p>
    <w:p w14:paraId="42307272" w14:textId="77777777" w:rsidR="00DD2734" w:rsidRPr="00D90165" w:rsidRDefault="009C4EC4" w:rsidP="0056402B">
      <w:pPr>
        <w:keepNext/>
        <w:spacing w:line="240" w:lineRule="auto"/>
        <w:rPr>
          <w:u w:val="single"/>
        </w:rPr>
      </w:pPr>
      <w:r w:rsidRPr="00D90165">
        <w:rPr>
          <w:u w:val="single"/>
        </w:rPr>
        <w:t>Po pierwszym otwarciu</w:t>
      </w:r>
    </w:p>
    <w:p w14:paraId="57A34E16" w14:textId="77777777" w:rsidR="00DD2734" w:rsidRPr="00D90165" w:rsidRDefault="00DD2734" w:rsidP="0056402B">
      <w:pPr>
        <w:keepNext/>
        <w:spacing w:line="240" w:lineRule="auto"/>
      </w:pPr>
    </w:p>
    <w:p w14:paraId="2EF7978E" w14:textId="77777777" w:rsidR="00DD2734" w:rsidRPr="00D90165" w:rsidRDefault="009C4EC4" w:rsidP="00855719">
      <w:pPr>
        <w:spacing w:line="240" w:lineRule="auto"/>
      </w:pPr>
      <w:r w:rsidRPr="00D90165">
        <w:t>3 miesiące.</w:t>
      </w:r>
    </w:p>
    <w:p w14:paraId="6B7DFC33" w14:textId="77777777" w:rsidR="00E70B7F" w:rsidRPr="00D90165" w:rsidRDefault="009C4EC4" w:rsidP="00855719">
      <w:pPr>
        <w:spacing w:line="240" w:lineRule="auto"/>
      </w:pPr>
      <w:r w:rsidRPr="00D90165">
        <w:lastRenderedPageBreak/>
        <w:t>Przechowywać w lodówce (2°C – 8°C) w pozycji pionowej.</w:t>
      </w:r>
    </w:p>
    <w:p w14:paraId="5B4113A8" w14:textId="77777777" w:rsidR="006523EC" w:rsidRPr="00D90165" w:rsidRDefault="006523EC" w:rsidP="00855719">
      <w:pPr>
        <w:spacing w:line="240" w:lineRule="auto"/>
      </w:pPr>
    </w:p>
    <w:p w14:paraId="6A9BF9DB" w14:textId="77777777" w:rsidR="00812D16" w:rsidRPr="00D90165" w:rsidRDefault="009C4EC4" w:rsidP="0056402B">
      <w:pPr>
        <w:keepNext/>
        <w:spacing w:line="240" w:lineRule="auto"/>
        <w:ind w:left="567" w:hanging="567"/>
        <w:outlineLvl w:val="0"/>
        <w:rPr>
          <w:b/>
          <w:noProof/>
          <w:szCs w:val="22"/>
        </w:rPr>
      </w:pPr>
      <w:r w:rsidRPr="00D90165">
        <w:rPr>
          <w:rStyle w:val="DNEx2"/>
        </w:rPr>
        <w:t>6.4</w:t>
      </w:r>
      <w:r w:rsidRPr="00D90165">
        <w:rPr>
          <w:rStyle w:val="DNEx2"/>
        </w:rPr>
        <w:tab/>
      </w:r>
      <w:r w:rsidRPr="00D90165">
        <w:rPr>
          <w:b/>
        </w:rPr>
        <w:t>Specjalne środki ostrożności podczas przechowywania</w:t>
      </w:r>
    </w:p>
    <w:p w14:paraId="7CCD40FD" w14:textId="77777777" w:rsidR="005108A3" w:rsidRPr="00D90165" w:rsidRDefault="005108A3" w:rsidP="0056402B">
      <w:pPr>
        <w:keepNext/>
        <w:spacing w:line="240" w:lineRule="auto"/>
        <w:rPr>
          <w:noProof/>
          <w:szCs w:val="22"/>
        </w:rPr>
      </w:pPr>
    </w:p>
    <w:p w14:paraId="69432278" w14:textId="77777777" w:rsidR="006939FA" w:rsidRPr="00D90165" w:rsidRDefault="009C4EC4" w:rsidP="00855719">
      <w:pPr>
        <w:spacing w:line="240" w:lineRule="auto"/>
        <w:rPr>
          <w:noProof/>
        </w:rPr>
      </w:pPr>
      <w:r w:rsidRPr="00D90165">
        <w:t xml:space="preserve">Brak specjalnych </w:t>
      </w:r>
      <w:r w:rsidR="001F7FDB">
        <w:t>zaleceń</w:t>
      </w:r>
      <w:r w:rsidR="001F7FDB" w:rsidRPr="00D90165">
        <w:t xml:space="preserve"> </w:t>
      </w:r>
      <w:r w:rsidRPr="00D90165">
        <w:t>dotyczących temperatury przechowywania produktu leczniczego.</w:t>
      </w:r>
    </w:p>
    <w:p w14:paraId="4F8E3979" w14:textId="77777777" w:rsidR="00360450" w:rsidRPr="00D90165" w:rsidRDefault="00360450" w:rsidP="00855719">
      <w:pPr>
        <w:spacing w:line="240" w:lineRule="auto"/>
        <w:rPr>
          <w:noProof/>
        </w:rPr>
      </w:pPr>
    </w:p>
    <w:p w14:paraId="1E3FB5AB" w14:textId="77777777" w:rsidR="00360450" w:rsidRPr="00D90165" w:rsidRDefault="009C4EC4" w:rsidP="00855719">
      <w:pPr>
        <w:spacing w:line="240" w:lineRule="auto"/>
        <w:rPr>
          <w:noProof/>
        </w:rPr>
      </w:pPr>
      <w:r w:rsidRPr="00D90165">
        <w:t>Warunki przechowywania produktu leczniczego po pierwszym otwarciu, patrz punkt 6.3.</w:t>
      </w:r>
    </w:p>
    <w:p w14:paraId="0D292B61" w14:textId="77777777" w:rsidR="00812D16" w:rsidRPr="00D90165" w:rsidRDefault="00812D16" w:rsidP="00855719">
      <w:pPr>
        <w:spacing w:line="240" w:lineRule="auto"/>
        <w:rPr>
          <w:noProof/>
          <w:szCs w:val="22"/>
        </w:rPr>
      </w:pPr>
    </w:p>
    <w:p w14:paraId="7F71DBEF" w14:textId="77777777" w:rsidR="00812D16" w:rsidRPr="00D90165" w:rsidRDefault="009C4EC4" w:rsidP="0056402B">
      <w:pPr>
        <w:keepNext/>
        <w:spacing w:line="240" w:lineRule="auto"/>
        <w:ind w:left="567" w:hanging="567"/>
        <w:outlineLvl w:val="0"/>
        <w:rPr>
          <w:b/>
          <w:bCs/>
        </w:rPr>
      </w:pPr>
      <w:r w:rsidRPr="00D90165">
        <w:rPr>
          <w:rStyle w:val="DNEx2"/>
        </w:rPr>
        <w:t>6.5</w:t>
      </w:r>
      <w:r w:rsidRPr="00D90165">
        <w:rPr>
          <w:rStyle w:val="DNEx2"/>
        </w:rPr>
        <w:tab/>
      </w:r>
      <w:r w:rsidRPr="00D90165">
        <w:rPr>
          <w:b/>
        </w:rPr>
        <w:t>Rodzaj i zawartość opakowania</w:t>
      </w:r>
    </w:p>
    <w:p w14:paraId="4E0F6CC4" w14:textId="77777777" w:rsidR="00360450" w:rsidRPr="00D90165" w:rsidRDefault="00360450" w:rsidP="0056402B">
      <w:pPr>
        <w:pStyle w:val="Default"/>
        <w:keepNext/>
        <w:rPr>
          <w:sz w:val="22"/>
          <w:szCs w:val="22"/>
        </w:rPr>
      </w:pPr>
    </w:p>
    <w:p w14:paraId="40CC684E" w14:textId="77777777" w:rsidR="00205F5D" w:rsidRPr="00D90165" w:rsidRDefault="009C4EC4" w:rsidP="00855719">
      <w:pPr>
        <w:spacing w:line="240" w:lineRule="auto"/>
      </w:pPr>
      <w:r w:rsidRPr="00D90165">
        <w:t>Butelka ze szkła w kolorze bursztynowym zawierająca 100 ml zawiesiny doustnej z polipropylenowym zamknięciem zabezpieczającym przed otwarciem przez dzieci i z wkładką polietylenową o niskiej gęstości.</w:t>
      </w:r>
    </w:p>
    <w:p w14:paraId="7CCA4EA6" w14:textId="77777777" w:rsidR="00AE6854" w:rsidRPr="00D90165" w:rsidRDefault="00AE6854" w:rsidP="00855719">
      <w:pPr>
        <w:spacing w:line="240" w:lineRule="auto"/>
        <w:rPr>
          <w:noProof/>
          <w:szCs w:val="22"/>
        </w:rPr>
      </w:pPr>
    </w:p>
    <w:p w14:paraId="78384018" w14:textId="77777777" w:rsidR="00812D16" w:rsidRPr="00D90165" w:rsidRDefault="009C4EC4" w:rsidP="00855719">
      <w:pPr>
        <w:spacing w:line="240" w:lineRule="auto"/>
      </w:pPr>
      <w:r w:rsidRPr="00D90165">
        <w:t>Każde opakowanie zawiera jedną butelkę, jeden wciskany adapter do butelki (polietylen o niskiej gęstości) i dwie identyczne strzykawki doustne (polietylen o niskiej gęstości) z podziałką od 0 do 8 ml co 0,1 ml.</w:t>
      </w:r>
    </w:p>
    <w:p w14:paraId="20FFDA6C" w14:textId="77777777" w:rsidR="0082035F" w:rsidRPr="00D90165" w:rsidRDefault="0082035F" w:rsidP="00855719">
      <w:pPr>
        <w:spacing w:line="240" w:lineRule="auto"/>
        <w:rPr>
          <w:noProof/>
          <w:szCs w:val="22"/>
        </w:rPr>
      </w:pPr>
    </w:p>
    <w:p w14:paraId="126B24E6" w14:textId="77777777" w:rsidR="00812D16" w:rsidRPr="00D90165" w:rsidRDefault="009C4EC4" w:rsidP="0056402B">
      <w:pPr>
        <w:keepNext/>
        <w:spacing w:line="240" w:lineRule="auto"/>
        <w:ind w:left="567" w:hanging="567"/>
        <w:outlineLvl w:val="0"/>
        <w:rPr>
          <w:noProof/>
        </w:rPr>
      </w:pPr>
      <w:bookmarkStart w:id="19" w:name="OLE_LINK1"/>
      <w:r w:rsidRPr="00D90165">
        <w:rPr>
          <w:rStyle w:val="DNEx2"/>
        </w:rPr>
        <w:t>6.6</w:t>
      </w:r>
      <w:r w:rsidRPr="00D90165">
        <w:rPr>
          <w:rStyle w:val="DNEx2"/>
        </w:rPr>
        <w:tab/>
      </w:r>
      <w:r w:rsidRPr="00D90165">
        <w:rPr>
          <w:b/>
        </w:rPr>
        <w:t>Specjalne środki ostrożności dotyczące usuwania i przygotowania produktu leczniczego do stosowania</w:t>
      </w:r>
    </w:p>
    <w:p w14:paraId="33733FDB" w14:textId="77777777" w:rsidR="00812D16" w:rsidRPr="00D90165" w:rsidRDefault="00812D16" w:rsidP="0056402B">
      <w:pPr>
        <w:keepNext/>
        <w:spacing w:line="240" w:lineRule="auto"/>
        <w:rPr>
          <w:noProof/>
          <w:szCs w:val="22"/>
        </w:rPr>
      </w:pPr>
    </w:p>
    <w:p w14:paraId="67658627" w14:textId="77777777" w:rsidR="00E70B7F" w:rsidRPr="00D90165" w:rsidRDefault="009C4EC4" w:rsidP="00855719">
      <w:pPr>
        <w:spacing w:line="240" w:lineRule="auto"/>
      </w:pPr>
      <w:r w:rsidRPr="00D90165">
        <w:t>Wszelkie niewykorzystane resztki produktu leczniczego lub jego odpady należy usunąć zgodnie z lokalnymi przepisami.</w:t>
      </w:r>
    </w:p>
    <w:p w14:paraId="3CD87EF4" w14:textId="77777777" w:rsidR="005529BD" w:rsidRPr="00D90165" w:rsidRDefault="005529BD" w:rsidP="00855719">
      <w:pPr>
        <w:spacing w:line="240" w:lineRule="auto"/>
      </w:pPr>
    </w:p>
    <w:p w14:paraId="588B28FC" w14:textId="77777777" w:rsidR="0082035F" w:rsidRPr="00D90165" w:rsidRDefault="009C4EC4" w:rsidP="00855719">
      <w:pPr>
        <w:spacing w:line="240" w:lineRule="auto"/>
      </w:pPr>
      <w:r w:rsidRPr="00D90165">
        <w:t>Każda strzykawka doustna dostarczana wraz z produktem leczniczym AGAMREE może być używana przez maksymalnie 45 dni.</w:t>
      </w:r>
    </w:p>
    <w:p w14:paraId="6DB03D49" w14:textId="77777777" w:rsidR="005529BD" w:rsidRDefault="005529BD" w:rsidP="00855719">
      <w:pPr>
        <w:spacing w:line="240" w:lineRule="auto"/>
      </w:pPr>
    </w:p>
    <w:p w14:paraId="27B8D2BC" w14:textId="246F6DC4" w:rsidR="00D86F82" w:rsidRPr="00C934F3" w:rsidRDefault="00D86F82" w:rsidP="00D86F82">
      <w:pPr>
        <w:keepNext/>
        <w:keepLines/>
        <w:spacing w:line="240" w:lineRule="auto"/>
        <w:rPr>
          <w:u w:val="single"/>
        </w:rPr>
      </w:pPr>
      <w:r>
        <w:rPr>
          <w:u w:val="single"/>
        </w:rPr>
        <w:t xml:space="preserve">Stosowanie ze zgłębnikiem dojelitowym: </w:t>
      </w:r>
    </w:p>
    <w:p w14:paraId="78793994" w14:textId="77777777" w:rsidR="00D86F82" w:rsidRDefault="00D86F82" w:rsidP="00D86F82">
      <w:pPr>
        <w:rPr>
          <w:noProof/>
        </w:rPr>
      </w:pPr>
      <w:r>
        <w:t>Produkt leczniczy AGAMREE można podawać przez zgłębnik dojelitowy (12 – 24 F) bez konieczności modyfikacji lub rozcieńczenia zwykłej przepisanej dawki. Produktu leczniczego AGAMREE nie należy mieszać z preparatem do karmienia ani z innymi produktami. Przed i po podaniu produktu leczniczego AGAMREE należy przepłukać zgłębnik dojelitowy co najmniej 20 ml wody.</w:t>
      </w:r>
    </w:p>
    <w:p w14:paraId="088E6A55" w14:textId="77777777" w:rsidR="00D86F82" w:rsidRPr="00D90165" w:rsidRDefault="00D86F82" w:rsidP="00855719">
      <w:pPr>
        <w:spacing w:line="240" w:lineRule="auto"/>
      </w:pPr>
    </w:p>
    <w:bookmarkEnd w:id="19"/>
    <w:p w14:paraId="1D2C0F62" w14:textId="77777777" w:rsidR="00812D16" w:rsidRPr="00D90165" w:rsidRDefault="00812D16" w:rsidP="00855719">
      <w:pPr>
        <w:spacing w:line="240" w:lineRule="auto"/>
        <w:rPr>
          <w:noProof/>
          <w:szCs w:val="22"/>
        </w:rPr>
      </w:pPr>
    </w:p>
    <w:p w14:paraId="3E56F1CD" w14:textId="77777777" w:rsidR="00812D16" w:rsidRPr="00D90165" w:rsidRDefault="009C4EC4" w:rsidP="0056402B">
      <w:pPr>
        <w:keepNext/>
        <w:spacing w:line="240" w:lineRule="auto"/>
        <w:ind w:left="567" w:hanging="567"/>
        <w:rPr>
          <w:noProof/>
        </w:rPr>
      </w:pPr>
      <w:r w:rsidRPr="00D90165">
        <w:rPr>
          <w:rStyle w:val="DNEx2"/>
        </w:rPr>
        <w:t>7.</w:t>
      </w:r>
      <w:r w:rsidRPr="00D90165">
        <w:rPr>
          <w:rStyle w:val="DNEx2"/>
        </w:rPr>
        <w:tab/>
      </w:r>
      <w:r w:rsidRPr="00D90165">
        <w:rPr>
          <w:b/>
        </w:rPr>
        <w:t>PODMIOT ODPOWIEDZIALNY POSIADAJĄCY POZWOLENIE NA DOPUSZCZENIE DO OBROTU</w:t>
      </w:r>
    </w:p>
    <w:p w14:paraId="28871F17" w14:textId="77777777" w:rsidR="00812D16" w:rsidRPr="00E80238" w:rsidRDefault="00812D16" w:rsidP="0056402B">
      <w:pPr>
        <w:keepNext/>
        <w:spacing w:line="240" w:lineRule="auto"/>
        <w:rPr>
          <w:noProof/>
          <w:szCs w:val="22"/>
        </w:rPr>
      </w:pPr>
    </w:p>
    <w:p w14:paraId="62C0721F" w14:textId="77777777" w:rsidR="00812D16" w:rsidRPr="006E03A9" w:rsidRDefault="009C4EC4" w:rsidP="0056402B">
      <w:pPr>
        <w:keepNext/>
        <w:spacing w:line="240" w:lineRule="auto"/>
        <w:rPr>
          <w:szCs w:val="22"/>
          <w:lang w:val="de-DE"/>
        </w:rPr>
      </w:pPr>
      <w:r w:rsidRPr="006E03A9">
        <w:rPr>
          <w:lang w:val="de-DE"/>
        </w:rPr>
        <w:t>Santhera Pharmaceuticals (Deutschland) GmbH</w:t>
      </w:r>
    </w:p>
    <w:p w14:paraId="0BE6F505" w14:textId="77777777" w:rsidR="00812D16" w:rsidRPr="006E03A9" w:rsidRDefault="009C4EC4" w:rsidP="0056402B">
      <w:pPr>
        <w:keepNext/>
        <w:spacing w:line="240" w:lineRule="auto"/>
        <w:rPr>
          <w:noProof/>
          <w:szCs w:val="22"/>
          <w:lang w:val="de-DE"/>
        </w:rPr>
      </w:pPr>
      <w:r w:rsidRPr="006E03A9">
        <w:rPr>
          <w:lang w:val="de-DE"/>
        </w:rPr>
        <w:t>Marie-Curie Strasse 8</w:t>
      </w:r>
    </w:p>
    <w:p w14:paraId="3652678E" w14:textId="77777777" w:rsidR="00E70B7F" w:rsidRPr="006E03A9" w:rsidRDefault="009C4EC4" w:rsidP="0056402B">
      <w:pPr>
        <w:keepNext/>
        <w:spacing w:line="240" w:lineRule="auto"/>
        <w:rPr>
          <w:noProof/>
          <w:szCs w:val="22"/>
          <w:lang w:val="de-DE"/>
        </w:rPr>
      </w:pPr>
      <w:r w:rsidRPr="006E03A9">
        <w:rPr>
          <w:lang w:val="de-DE"/>
        </w:rPr>
        <w:t>D-79539 Lörrach</w:t>
      </w:r>
    </w:p>
    <w:p w14:paraId="125B88E8" w14:textId="77777777" w:rsidR="00E70B7F" w:rsidRPr="006E03A9" w:rsidRDefault="009C4EC4" w:rsidP="0056402B">
      <w:pPr>
        <w:keepNext/>
        <w:spacing w:line="240" w:lineRule="auto"/>
        <w:rPr>
          <w:noProof/>
          <w:szCs w:val="22"/>
          <w:lang w:val="de-DE"/>
        </w:rPr>
      </w:pPr>
      <w:r w:rsidRPr="006E03A9">
        <w:rPr>
          <w:lang w:val="de-DE"/>
        </w:rPr>
        <w:t>NIEMCY</w:t>
      </w:r>
    </w:p>
    <w:p w14:paraId="5C9FE959" w14:textId="77777777" w:rsidR="00812D16" w:rsidRPr="006E03A9" w:rsidRDefault="00E70B7F" w:rsidP="009D38B2">
      <w:pPr>
        <w:pStyle w:val="DNEx5"/>
        <w:rPr>
          <w:lang w:val="de-DE"/>
        </w:rPr>
      </w:pPr>
      <w:hyperlink r:id="rId13" w:history="1">
        <w:r w:rsidRPr="006E03A9">
          <w:rPr>
            <w:rStyle w:val="Hyperlink"/>
            <w:lang w:val="de-DE"/>
          </w:rPr>
          <w:t>office@santhera.com</w:t>
        </w:r>
      </w:hyperlink>
    </w:p>
    <w:p w14:paraId="7DC7D697" w14:textId="77777777" w:rsidR="00812D16" w:rsidRPr="006E03A9" w:rsidRDefault="00812D16" w:rsidP="00855719">
      <w:pPr>
        <w:spacing w:line="240" w:lineRule="auto"/>
        <w:rPr>
          <w:noProof/>
          <w:szCs w:val="22"/>
          <w:lang w:val="de-DE"/>
        </w:rPr>
      </w:pPr>
    </w:p>
    <w:p w14:paraId="76806832" w14:textId="77777777" w:rsidR="00812D16" w:rsidRPr="006E03A9" w:rsidRDefault="00812D16" w:rsidP="00855719">
      <w:pPr>
        <w:spacing w:line="240" w:lineRule="auto"/>
        <w:rPr>
          <w:noProof/>
          <w:szCs w:val="22"/>
          <w:lang w:val="de-DE"/>
        </w:rPr>
      </w:pPr>
    </w:p>
    <w:p w14:paraId="372A446B" w14:textId="77777777" w:rsidR="00812D16" w:rsidRPr="00D90165" w:rsidRDefault="009C4EC4" w:rsidP="0056402B">
      <w:pPr>
        <w:keepNext/>
        <w:spacing w:line="240" w:lineRule="auto"/>
        <w:ind w:left="567" w:hanging="567"/>
        <w:rPr>
          <w:b/>
          <w:noProof/>
          <w:szCs w:val="22"/>
        </w:rPr>
      </w:pPr>
      <w:r w:rsidRPr="00D90165">
        <w:rPr>
          <w:rStyle w:val="DNEx2"/>
        </w:rPr>
        <w:t>8.</w:t>
      </w:r>
      <w:r w:rsidRPr="00D90165">
        <w:rPr>
          <w:rStyle w:val="DNEx2"/>
        </w:rPr>
        <w:tab/>
      </w:r>
      <w:r w:rsidRPr="00D90165">
        <w:rPr>
          <w:b/>
        </w:rPr>
        <w:t>NUMER POZWOLENIA NA DOPUSZCZENIE DO OBROTU</w:t>
      </w:r>
    </w:p>
    <w:p w14:paraId="6B8F9941" w14:textId="77777777" w:rsidR="00812D16" w:rsidRPr="00D90165" w:rsidRDefault="00812D16" w:rsidP="0056402B">
      <w:pPr>
        <w:keepNext/>
        <w:spacing w:line="240" w:lineRule="auto"/>
        <w:rPr>
          <w:noProof/>
          <w:szCs w:val="22"/>
        </w:rPr>
      </w:pPr>
    </w:p>
    <w:p w14:paraId="7EF75163" w14:textId="77777777" w:rsidR="00812D16" w:rsidRPr="00D90165" w:rsidRDefault="009C4EC4" w:rsidP="00855719">
      <w:pPr>
        <w:spacing w:line="240" w:lineRule="auto"/>
        <w:rPr>
          <w:noProof/>
          <w:szCs w:val="22"/>
        </w:rPr>
      </w:pPr>
      <w:r w:rsidRPr="00D90165">
        <w:t>EU/1/23/1776/001</w:t>
      </w:r>
    </w:p>
    <w:p w14:paraId="70FA500D" w14:textId="77777777" w:rsidR="007932D3" w:rsidRPr="00D90165" w:rsidRDefault="007932D3" w:rsidP="00855719">
      <w:pPr>
        <w:spacing w:line="240" w:lineRule="auto"/>
        <w:rPr>
          <w:noProof/>
          <w:szCs w:val="22"/>
        </w:rPr>
      </w:pPr>
    </w:p>
    <w:p w14:paraId="4DDE0420" w14:textId="77777777" w:rsidR="00961799" w:rsidRPr="00D90165" w:rsidRDefault="00961799" w:rsidP="00855719">
      <w:pPr>
        <w:spacing w:line="240" w:lineRule="auto"/>
        <w:rPr>
          <w:noProof/>
          <w:szCs w:val="22"/>
        </w:rPr>
      </w:pPr>
    </w:p>
    <w:p w14:paraId="59510DC6" w14:textId="77777777" w:rsidR="00812D16" w:rsidRPr="00D90165" w:rsidRDefault="009C4EC4" w:rsidP="0056402B">
      <w:pPr>
        <w:keepNext/>
        <w:spacing w:line="240" w:lineRule="auto"/>
        <w:ind w:left="567" w:hanging="567"/>
        <w:rPr>
          <w:noProof/>
          <w:szCs w:val="22"/>
        </w:rPr>
      </w:pPr>
      <w:r w:rsidRPr="00D90165">
        <w:rPr>
          <w:rStyle w:val="DNEx2"/>
        </w:rPr>
        <w:t>9.</w:t>
      </w:r>
      <w:r w:rsidRPr="00D90165">
        <w:rPr>
          <w:rStyle w:val="DNEx2"/>
        </w:rPr>
        <w:tab/>
      </w:r>
      <w:r w:rsidRPr="00D90165">
        <w:rPr>
          <w:b/>
        </w:rPr>
        <w:t>DATA WYDANIA PIERWSZEGO POZWOLENIA NA DOPUSZCZENIE DO OBROTU</w:t>
      </w:r>
    </w:p>
    <w:p w14:paraId="158A5014" w14:textId="77777777" w:rsidR="00812D16" w:rsidRPr="00D90165" w:rsidRDefault="00812D16" w:rsidP="0056402B">
      <w:pPr>
        <w:keepNext/>
        <w:spacing w:line="240" w:lineRule="auto"/>
        <w:rPr>
          <w:i/>
          <w:noProof/>
          <w:szCs w:val="22"/>
        </w:rPr>
      </w:pPr>
    </w:p>
    <w:p w14:paraId="762EDF5C" w14:textId="7120E95C" w:rsidR="00812D16" w:rsidRPr="00D90165" w:rsidRDefault="009C4EC4" w:rsidP="00855719">
      <w:pPr>
        <w:spacing w:line="240" w:lineRule="auto"/>
        <w:rPr>
          <w:noProof/>
          <w:szCs w:val="22"/>
        </w:rPr>
      </w:pPr>
      <w:r w:rsidRPr="00D90165">
        <w:t>Data wydania pierwszego pozwolenia na dopuszczenie do obrotu:</w:t>
      </w:r>
      <w:r w:rsidR="00007E95">
        <w:t xml:space="preserve"> 1</w:t>
      </w:r>
      <w:r w:rsidR="00B61797">
        <w:t>4</w:t>
      </w:r>
      <w:r w:rsidR="00007E95">
        <w:t> grudnia 2023</w:t>
      </w:r>
      <w:r w:rsidR="00EB1E4C">
        <w:t> </w:t>
      </w:r>
      <w:r w:rsidR="00007E95">
        <w:t>r.</w:t>
      </w:r>
    </w:p>
    <w:p w14:paraId="7F3BD34A" w14:textId="77777777" w:rsidR="009922FE" w:rsidRPr="00D90165" w:rsidRDefault="009922FE" w:rsidP="00855719">
      <w:pPr>
        <w:spacing w:line="240" w:lineRule="auto"/>
        <w:rPr>
          <w:noProof/>
          <w:szCs w:val="22"/>
        </w:rPr>
      </w:pPr>
    </w:p>
    <w:p w14:paraId="3525BC4A" w14:textId="77777777" w:rsidR="00812D16" w:rsidRPr="00D90165" w:rsidRDefault="00812D16" w:rsidP="00855719">
      <w:pPr>
        <w:spacing w:line="240" w:lineRule="auto"/>
        <w:rPr>
          <w:noProof/>
          <w:szCs w:val="22"/>
        </w:rPr>
      </w:pPr>
    </w:p>
    <w:p w14:paraId="03B526D9" w14:textId="77777777" w:rsidR="00812D16" w:rsidRPr="00D90165" w:rsidRDefault="009C4EC4" w:rsidP="0056402B">
      <w:pPr>
        <w:keepNext/>
        <w:spacing w:line="240" w:lineRule="auto"/>
        <w:ind w:left="567" w:hanging="567"/>
        <w:rPr>
          <w:b/>
          <w:noProof/>
          <w:szCs w:val="22"/>
        </w:rPr>
      </w:pPr>
      <w:r w:rsidRPr="00D90165">
        <w:rPr>
          <w:rStyle w:val="DNEx2"/>
        </w:rPr>
        <w:lastRenderedPageBreak/>
        <w:t>10.</w:t>
      </w:r>
      <w:r w:rsidRPr="00D90165">
        <w:rPr>
          <w:rStyle w:val="DNEx2"/>
        </w:rPr>
        <w:tab/>
      </w:r>
      <w:r w:rsidRPr="00D90165">
        <w:rPr>
          <w:b/>
        </w:rPr>
        <w:t>DATA ZATWIERDZENIA LUB CZĘŚCIOWEJ ZMIANY TEKSTU CHARAKTERYSTYKI PRODUKTU LECZNICZEGO</w:t>
      </w:r>
    </w:p>
    <w:p w14:paraId="579FFCA4" w14:textId="1A733876" w:rsidR="00812D16" w:rsidRDefault="00812D16" w:rsidP="0056402B">
      <w:pPr>
        <w:keepNext/>
        <w:numPr>
          <w:ilvl w:val="12"/>
          <w:numId w:val="0"/>
        </w:numPr>
        <w:spacing w:line="240" w:lineRule="auto"/>
        <w:ind w:right="-2"/>
        <w:rPr>
          <w:iCs/>
          <w:noProof/>
          <w:szCs w:val="22"/>
        </w:rPr>
      </w:pPr>
    </w:p>
    <w:p w14:paraId="5149BAF1" w14:textId="72468758" w:rsidR="000717B2" w:rsidRPr="00D90165" w:rsidRDefault="000717B2" w:rsidP="0056402B">
      <w:pPr>
        <w:keepNext/>
        <w:numPr>
          <w:ilvl w:val="12"/>
          <w:numId w:val="0"/>
        </w:numPr>
        <w:spacing w:line="240" w:lineRule="auto"/>
        <w:ind w:right="-2"/>
        <w:rPr>
          <w:iCs/>
          <w:noProof/>
          <w:szCs w:val="22"/>
        </w:rPr>
      </w:pPr>
    </w:p>
    <w:p w14:paraId="2FAC070E" w14:textId="77777777" w:rsidR="00E40225" w:rsidRPr="00D90165" w:rsidRDefault="00E40225" w:rsidP="0056402B">
      <w:pPr>
        <w:keepNext/>
        <w:numPr>
          <w:ilvl w:val="12"/>
          <w:numId w:val="0"/>
        </w:numPr>
        <w:spacing w:line="240" w:lineRule="auto"/>
        <w:ind w:right="-2"/>
        <w:rPr>
          <w:iCs/>
          <w:noProof/>
          <w:szCs w:val="22"/>
        </w:rPr>
      </w:pPr>
    </w:p>
    <w:p w14:paraId="75977801" w14:textId="77777777" w:rsidR="00812D16" w:rsidRPr="00D90165" w:rsidRDefault="009C4EC4" w:rsidP="00855719">
      <w:pPr>
        <w:numPr>
          <w:ilvl w:val="12"/>
          <w:numId w:val="0"/>
        </w:numPr>
        <w:spacing w:line="240" w:lineRule="auto"/>
        <w:ind w:right="-2"/>
        <w:rPr>
          <w:noProof/>
          <w:szCs w:val="22"/>
        </w:rPr>
      </w:pPr>
      <w:r w:rsidRPr="00D90165">
        <w:t xml:space="preserve">Szczegółowe informacje na temat tego produktu leczniczego są dostępne na stronie internetowej Europejskiej Agencji Leków </w:t>
      </w:r>
      <w:hyperlink r:id="rId14" w:history="1">
        <w:r w:rsidRPr="00D90165">
          <w:rPr>
            <w:rStyle w:val="Hyperlink"/>
          </w:rPr>
          <w:t>http://www.ema.europa.eu</w:t>
        </w:r>
      </w:hyperlink>
      <w:r w:rsidRPr="00D90165">
        <w:t>.</w:t>
      </w:r>
      <w:r w:rsidRPr="00D90165">
        <w:br w:type="page"/>
      </w:r>
    </w:p>
    <w:p w14:paraId="4EE3A8FC" w14:textId="77777777" w:rsidR="00812D16" w:rsidRPr="00D90165" w:rsidRDefault="00812D16" w:rsidP="00855719">
      <w:pPr>
        <w:spacing w:line="240" w:lineRule="auto"/>
        <w:rPr>
          <w:noProof/>
          <w:szCs w:val="22"/>
        </w:rPr>
      </w:pPr>
    </w:p>
    <w:p w14:paraId="0ED6B7AC" w14:textId="77777777" w:rsidR="00812D16" w:rsidRPr="00D90165" w:rsidRDefault="00812D16" w:rsidP="00855719">
      <w:pPr>
        <w:spacing w:line="240" w:lineRule="auto"/>
        <w:rPr>
          <w:noProof/>
          <w:szCs w:val="22"/>
        </w:rPr>
      </w:pPr>
    </w:p>
    <w:p w14:paraId="5E50F914" w14:textId="77777777" w:rsidR="00812D16" w:rsidRPr="00D90165" w:rsidRDefault="00812D16" w:rsidP="00855719">
      <w:pPr>
        <w:spacing w:line="240" w:lineRule="auto"/>
        <w:rPr>
          <w:noProof/>
          <w:szCs w:val="22"/>
        </w:rPr>
      </w:pPr>
    </w:p>
    <w:p w14:paraId="63706BED" w14:textId="77777777" w:rsidR="00812D16" w:rsidRPr="00D90165" w:rsidRDefault="00812D16" w:rsidP="00855719">
      <w:pPr>
        <w:spacing w:line="240" w:lineRule="auto"/>
        <w:rPr>
          <w:noProof/>
          <w:szCs w:val="22"/>
        </w:rPr>
      </w:pPr>
    </w:p>
    <w:p w14:paraId="6AE94002" w14:textId="77777777" w:rsidR="00812D16" w:rsidRPr="00D90165" w:rsidRDefault="00812D16" w:rsidP="00855719">
      <w:pPr>
        <w:spacing w:line="240" w:lineRule="auto"/>
        <w:rPr>
          <w:noProof/>
          <w:szCs w:val="22"/>
        </w:rPr>
      </w:pPr>
    </w:p>
    <w:p w14:paraId="11496F8F" w14:textId="77777777" w:rsidR="00812D16" w:rsidRPr="00D90165" w:rsidRDefault="00812D16" w:rsidP="00855719">
      <w:pPr>
        <w:spacing w:line="240" w:lineRule="auto"/>
        <w:rPr>
          <w:noProof/>
          <w:szCs w:val="22"/>
        </w:rPr>
      </w:pPr>
    </w:p>
    <w:p w14:paraId="49498AE7" w14:textId="77777777" w:rsidR="00812D16" w:rsidRPr="00D90165" w:rsidRDefault="00812D16" w:rsidP="00855719">
      <w:pPr>
        <w:spacing w:line="240" w:lineRule="auto"/>
        <w:rPr>
          <w:noProof/>
          <w:szCs w:val="22"/>
        </w:rPr>
      </w:pPr>
    </w:p>
    <w:p w14:paraId="2562A479" w14:textId="77777777" w:rsidR="00812D16" w:rsidRPr="00D90165" w:rsidRDefault="00812D16" w:rsidP="00855719">
      <w:pPr>
        <w:spacing w:line="240" w:lineRule="auto"/>
        <w:rPr>
          <w:noProof/>
          <w:szCs w:val="22"/>
        </w:rPr>
      </w:pPr>
    </w:p>
    <w:p w14:paraId="544C86A7" w14:textId="77777777" w:rsidR="00812D16" w:rsidRPr="00D90165" w:rsidRDefault="00812D16" w:rsidP="00855719">
      <w:pPr>
        <w:spacing w:line="240" w:lineRule="auto"/>
        <w:rPr>
          <w:noProof/>
          <w:szCs w:val="22"/>
        </w:rPr>
      </w:pPr>
    </w:p>
    <w:p w14:paraId="16D6A690" w14:textId="77777777" w:rsidR="00812D16" w:rsidRPr="00D90165" w:rsidRDefault="00812D16" w:rsidP="00855719">
      <w:pPr>
        <w:spacing w:line="240" w:lineRule="auto"/>
        <w:rPr>
          <w:noProof/>
          <w:szCs w:val="22"/>
        </w:rPr>
      </w:pPr>
    </w:p>
    <w:p w14:paraId="43C09963" w14:textId="77777777" w:rsidR="00812D16" w:rsidRPr="00D90165" w:rsidRDefault="00812D16" w:rsidP="00855719">
      <w:pPr>
        <w:spacing w:line="240" w:lineRule="auto"/>
        <w:rPr>
          <w:noProof/>
          <w:szCs w:val="22"/>
        </w:rPr>
      </w:pPr>
    </w:p>
    <w:p w14:paraId="4EC931D9" w14:textId="77777777" w:rsidR="00812D16" w:rsidRPr="00D90165" w:rsidRDefault="00812D16" w:rsidP="00855719">
      <w:pPr>
        <w:spacing w:line="240" w:lineRule="auto"/>
        <w:rPr>
          <w:noProof/>
          <w:szCs w:val="22"/>
        </w:rPr>
      </w:pPr>
    </w:p>
    <w:p w14:paraId="178A253B" w14:textId="77777777" w:rsidR="00812D16" w:rsidRPr="00D90165" w:rsidRDefault="00812D16" w:rsidP="00855719">
      <w:pPr>
        <w:spacing w:line="240" w:lineRule="auto"/>
        <w:rPr>
          <w:noProof/>
          <w:szCs w:val="22"/>
        </w:rPr>
      </w:pPr>
    </w:p>
    <w:p w14:paraId="29C30248" w14:textId="77777777" w:rsidR="00812D16" w:rsidRPr="00D90165" w:rsidRDefault="00812D16" w:rsidP="00855719">
      <w:pPr>
        <w:spacing w:line="240" w:lineRule="auto"/>
        <w:rPr>
          <w:noProof/>
          <w:szCs w:val="22"/>
        </w:rPr>
      </w:pPr>
    </w:p>
    <w:p w14:paraId="393B4053" w14:textId="77777777" w:rsidR="00812D16" w:rsidRPr="00D90165" w:rsidRDefault="00812D16" w:rsidP="00855719">
      <w:pPr>
        <w:spacing w:line="240" w:lineRule="auto"/>
        <w:rPr>
          <w:noProof/>
          <w:szCs w:val="22"/>
        </w:rPr>
      </w:pPr>
    </w:p>
    <w:p w14:paraId="311F8486" w14:textId="77777777" w:rsidR="00812D16" w:rsidRPr="00D90165" w:rsidRDefault="00812D16" w:rsidP="00855719">
      <w:pPr>
        <w:spacing w:line="240" w:lineRule="auto"/>
        <w:rPr>
          <w:noProof/>
          <w:szCs w:val="22"/>
        </w:rPr>
      </w:pPr>
    </w:p>
    <w:p w14:paraId="212BD063" w14:textId="77777777" w:rsidR="00812D16" w:rsidRPr="00D90165" w:rsidRDefault="00812D16" w:rsidP="00855719">
      <w:pPr>
        <w:spacing w:line="240" w:lineRule="auto"/>
        <w:rPr>
          <w:noProof/>
          <w:szCs w:val="22"/>
        </w:rPr>
      </w:pPr>
    </w:p>
    <w:p w14:paraId="28E63949" w14:textId="77777777" w:rsidR="00812D16" w:rsidRPr="00D90165" w:rsidRDefault="00812D16" w:rsidP="00855719">
      <w:pPr>
        <w:spacing w:line="240" w:lineRule="auto"/>
        <w:rPr>
          <w:noProof/>
          <w:szCs w:val="22"/>
        </w:rPr>
      </w:pPr>
    </w:p>
    <w:p w14:paraId="23307EC3" w14:textId="77777777" w:rsidR="00812D16" w:rsidRPr="00D90165" w:rsidRDefault="00812D16" w:rsidP="00855719">
      <w:pPr>
        <w:spacing w:line="240" w:lineRule="auto"/>
        <w:rPr>
          <w:noProof/>
          <w:szCs w:val="22"/>
        </w:rPr>
      </w:pPr>
    </w:p>
    <w:p w14:paraId="167BBF22" w14:textId="77777777" w:rsidR="00812D16" w:rsidRPr="00D90165" w:rsidRDefault="00812D16" w:rsidP="00855719">
      <w:pPr>
        <w:spacing w:line="240" w:lineRule="auto"/>
        <w:rPr>
          <w:noProof/>
          <w:szCs w:val="22"/>
        </w:rPr>
      </w:pPr>
    </w:p>
    <w:p w14:paraId="246028FC" w14:textId="77777777" w:rsidR="00812D16" w:rsidRPr="00D90165" w:rsidRDefault="00812D16" w:rsidP="00855719">
      <w:pPr>
        <w:spacing w:line="240" w:lineRule="auto"/>
        <w:rPr>
          <w:noProof/>
          <w:szCs w:val="22"/>
        </w:rPr>
      </w:pPr>
    </w:p>
    <w:p w14:paraId="181116C7" w14:textId="77777777" w:rsidR="00812D16" w:rsidRPr="00D90165" w:rsidRDefault="00812D16" w:rsidP="00855719">
      <w:pPr>
        <w:spacing w:line="240" w:lineRule="auto"/>
        <w:rPr>
          <w:noProof/>
          <w:szCs w:val="22"/>
        </w:rPr>
      </w:pPr>
    </w:p>
    <w:p w14:paraId="62A391DA" w14:textId="77777777" w:rsidR="00812D16" w:rsidRPr="00D90165" w:rsidRDefault="009C4EC4" w:rsidP="00855719">
      <w:pPr>
        <w:spacing w:line="240" w:lineRule="auto"/>
        <w:jc w:val="center"/>
        <w:rPr>
          <w:noProof/>
          <w:szCs w:val="22"/>
        </w:rPr>
      </w:pPr>
      <w:r w:rsidRPr="00D90165">
        <w:rPr>
          <w:b/>
        </w:rPr>
        <w:t>ANEKS II</w:t>
      </w:r>
    </w:p>
    <w:p w14:paraId="381F55ED" w14:textId="77777777" w:rsidR="00812D16" w:rsidRPr="00D90165" w:rsidRDefault="00812D16" w:rsidP="00855719">
      <w:pPr>
        <w:spacing w:line="240" w:lineRule="auto"/>
        <w:ind w:right="1416"/>
        <w:rPr>
          <w:noProof/>
          <w:szCs w:val="22"/>
        </w:rPr>
      </w:pPr>
    </w:p>
    <w:p w14:paraId="253036FF" w14:textId="77777777" w:rsidR="00812D16" w:rsidRPr="00D90165" w:rsidRDefault="009C4EC4" w:rsidP="00744F13">
      <w:pPr>
        <w:pStyle w:val="Style1"/>
      </w:pPr>
      <w:r w:rsidRPr="00D90165">
        <w:t>WYTWÓRCA ODPOWIEDZIALNY ZA ZWOLNIENIE SERII</w:t>
      </w:r>
    </w:p>
    <w:p w14:paraId="45BA9C91" w14:textId="77777777" w:rsidR="00812D16" w:rsidRPr="00D90165" w:rsidRDefault="00812D16" w:rsidP="00855719">
      <w:pPr>
        <w:spacing w:line="240" w:lineRule="auto"/>
        <w:ind w:left="567" w:hanging="567"/>
        <w:rPr>
          <w:noProof/>
          <w:szCs w:val="22"/>
        </w:rPr>
      </w:pPr>
    </w:p>
    <w:p w14:paraId="23154EE7" w14:textId="77777777" w:rsidR="00812D16" w:rsidRPr="00D90165" w:rsidRDefault="009C4EC4" w:rsidP="00744F13">
      <w:pPr>
        <w:pStyle w:val="Style1"/>
      </w:pPr>
      <w:r w:rsidRPr="00D90165">
        <w:t>WARUNKI LUB OGRANICZENIA DOTYCZĄCE ZAOPATRZENIA I STOSOWANIA</w:t>
      </w:r>
    </w:p>
    <w:p w14:paraId="0380C0CC" w14:textId="77777777" w:rsidR="00812D16" w:rsidRPr="00D90165" w:rsidRDefault="00812D16" w:rsidP="00855719">
      <w:pPr>
        <w:spacing w:line="240" w:lineRule="auto"/>
        <w:ind w:left="567" w:hanging="567"/>
        <w:rPr>
          <w:noProof/>
          <w:szCs w:val="22"/>
        </w:rPr>
      </w:pPr>
    </w:p>
    <w:p w14:paraId="7D711385" w14:textId="77777777" w:rsidR="00812D16" w:rsidRPr="00D90165" w:rsidRDefault="009C4EC4" w:rsidP="00744F13">
      <w:pPr>
        <w:pStyle w:val="Style1"/>
      </w:pPr>
      <w:r w:rsidRPr="00D90165">
        <w:t>INNE WARUNKI I WYMAGANIA DOTYCZĄCE DOPUSZCZENIA DO OBROTU</w:t>
      </w:r>
    </w:p>
    <w:p w14:paraId="7606C51B" w14:textId="77777777" w:rsidR="009B5C19" w:rsidRPr="00D90165" w:rsidRDefault="009B5C19" w:rsidP="00855719">
      <w:pPr>
        <w:spacing w:line="240" w:lineRule="auto"/>
        <w:ind w:right="1558"/>
        <w:rPr>
          <w:b/>
        </w:rPr>
      </w:pPr>
    </w:p>
    <w:p w14:paraId="7CC49D4F" w14:textId="77777777" w:rsidR="009B5C19" w:rsidRPr="00D90165" w:rsidRDefault="009C4EC4" w:rsidP="00744F13">
      <w:pPr>
        <w:pStyle w:val="Style1"/>
      </w:pPr>
      <w:r w:rsidRPr="00D90165">
        <w:t>WARUNKI LUB OGRANICZENIA DOTYCZĄCE BEZPIECZNEGO I SKUTECZNEGO STOSOWANIA PRODUKTU LECZNICZEGO</w:t>
      </w:r>
    </w:p>
    <w:p w14:paraId="1DD3CD52" w14:textId="77777777" w:rsidR="009B5C19" w:rsidRPr="00D90165" w:rsidRDefault="009B5C19" w:rsidP="00855719">
      <w:pPr>
        <w:spacing w:line="240" w:lineRule="auto"/>
        <w:ind w:right="1416"/>
        <w:rPr>
          <w:b/>
        </w:rPr>
      </w:pPr>
    </w:p>
    <w:p w14:paraId="617892BC" w14:textId="4A948F7F" w:rsidR="00812D16" w:rsidRPr="00D90165" w:rsidRDefault="009C4EC4" w:rsidP="006F6222">
      <w:pPr>
        <w:pStyle w:val="TitleB"/>
      </w:pPr>
      <w:r w:rsidRPr="00D90165">
        <w:br w:type="page"/>
      </w:r>
      <w:r w:rsidR="006F6222">
        <w:lastRenderedPageBreak/>
        <w:t>A.</w:t>
      </w:r>
      <w:r w:rsidR="006F6222">
        <w:tab/>
      </w:r>
      <w:r w:rsidRPr="00D90165">
        <w:t>WYTWÓRCA ODPOWIEDZIALNY ZA ZWOLNIENIE SERII</w:t>
      </w:r>
    </w:p>
    <w:p w14:paraId="69A22F3B" w14:textId="77777777" w:rsidR="00812D16" w:rsidRPr="00D90165" w:rsidRDefault="00812D16" w:rsidP="0056402B">
      <w:pPr>
        <w:keepNext/>
        <w:spacing w:line="240" w:lineRule="auto"/>
        <w:ind w:right="1416"/>
        <w:rPr>
          <w:noProof/>
          <w:szCs w:val="22"/>
        </w:rPr>
      </w:pPr>
    </w:p>
    <w:p w14:paraId="0DFACAB8" w14:textId="77777777" w:rsidR="00812D16" w:rsidRPr="00D90165" w:rsidRDefault="009C4EC4" w:rsidP="0056402B">
      <w:pPr>
        <w:keepNext/>
        <w:spacing w:line="240" w:lineRule="auto"/>
        <w:outlineLvl w:val="0"/>
        <w:rPr>
          <w:noProof/>
          <w:szCs w:val="22"/>
        </w:rPr>
      </w:pPr>
      <w:r w:rsidRPr="00D90165">
        <w:rPr>
          <w:u w:val="single"/>
        </w:rPr>
        <w:t>Nazwa i adres wytwórcy odpowiedzialnego za zwolnienie serii</w:t>
      </w:r>
    </w:p>
    <w:p w14:paraId="693FB7FA" w14:textId="77777777" w:rsidR="00812D16" w:rsidRPr="00D90165" w:rsidRDefault="00812D16" w:rsidP="0056402B">
      <w:pPr>
        <w:keepNext/>
        <w:spacing w:line="240" w:lineRule="auto"/>
        <w:rPr>
          <w:noProof/>
          <w:szCs w:val="22"/>
        </w:rPr>
      </w:pPr>
    </w:p>
    <w:p w14:paraId="4C81E86E" w14:textId="77777777" w:rsidR="00E70B7F" w:rsidRPr="00E80238" w:rsidRDefault="009C4EC4" w:rsidP="00855719">
      <w:pPr>
        <w:spacing w:line="240" w:lineRule="auto"/>
        <w:rPr>
          <w:szCs w:val="22"/>
          <w:lang w:val="de-CH"/>
        </w:rPr>
      </w:pPr>
      <w:r w:rsidRPr="00E80238">
        <w:rPr>
          <w:lang w:val="de-CH"/>
        </w:rPr>
        <w:t>Santhera Pharmaceuticals (Deutschland) GmbH</w:t>
      </w:r>
    </w:p>
    <w:p w14:paraId="2EBEB268" w14:textId="77777777" w:rsidR="00E70B7F" w:rsidRPr="00E80238" w:rsidRDefault="009C4EC4" w:rsidP="00855719">
      <w:pPr>
        <w:spacing w:line="240" w:lineRule="auto"/>
        <w:rPr>
          <w:noProof/>
          <w:szCs w:val="22"/>
          <w:lang w:val="de-CH"/>
        </w:rPr>
      </w:pPr>
      <w:r w:rsidRPr="00E80238">
        <w:rPr>
          <w:lang w:val="de-CH"/>
        </w:rPr>
        <w:t>Marie-Curie-Strasse 8</w:t>
      </w:r>
    </w:p>
    <w:p w14:paraId="64CF0F94" w14:textId="77777777" w:rsidR="00E70B7F" w:rsidRPr="00D90165" w:rsidRDefault="009C4EC4" w:rsidP="00855719">
      <w:pPr>
        <w:spacing w:line="240" w:lineRule="auto"/>
        <w:rPr>
          <w:szCs w:val="22"/>
        </w:rPr>
      </w:pPr>
      <w:r w:rsidRPr="00D90165">
        <w:t>D-79539 Lörrach</w:t>
      </w:r>
    </w:p>
    <w:p w14:paraId="76958BC3" w14:textId="77777777" w:rsidR="00E70B7F" w:rsidRPr="00D90165" w:rsidRDefault="009C4EC4" w:rsidP="00855719">
      <w:pPr>
        <w:spacing w:line="240" w:lineRule="auto"/>
        <w:rPr>
          <w:szCs w:val="22"/>
        </w:rPr>
      </w:pPr>
      <w:r w:rsidRPr="00D90165">
        <w:t>NIEMCY</w:t>
      </w:r>
    </w:p>
    <w:p w14:paraId="621FA05D" w14:textId="77777777" w:rsidR="00812D16" w:rsidRPr="006F6222" w:rsidRDefault="00812D16" w:rsidP="00855719">
      <w:pPr>
        <w:spacing w:line="240" w:lineRule="auto"/>
        <w:rPr>
          <w:szCs w:val="22"/>
        </w:rPr>
      </w:pPr>
    </w:p>
    <w:p w14:paraId="7257F89B" w14:textId="77777777" w:rsidR="00812D16" w:rsidRPr="006F6222" w:rsidRDefault="00812D16" w:rsidP="00855719">
      <w:pPr>
        <w:spacing w:line="240" w:lineRule="auto"/>
        <w:rPr>
          <w:szCs w:val="22"/>
        </w:rPr>
      </w:pPr>
    </w:p>
    <w:p w14:paraId="33E956EF" w14:textId="33A95155" w:rsidR="00A73A74" w:rsidRPr="00D90165" w:rsidRDefault="006F6222" w:rsidP="006F6222">
      <w:pPr>
        <w:pStyle w:val="TitleB"/>
      </w:pPr>
      <w:r>
        <w:t>B.</w:t>
      </w:r>
      <w:r>
        <w:tab/>
      </w:r>
      <w:r w:rsidR="009C4EC4" w:rsidRPr="00D90165">
        <w:t>WARUNKI LUB OGRANICZENIA DOTYCZĄCE ZAOPATRZENIA I STOSOWANIA</w:t>
      </w:r>
    </w:p>
    <w:p w14:paraId="19B8D5C9" w14:textId="77777777" w:rsidR="00812D16" w:rsidRPr="00D90165" w:rsidRDefault="00812D16" w:rsidP="0056402B">
      <w:pPr>
        <w:keepNext/>
        <w:spacing w:line="240" w:lineRule="auto"/>
        <w:rPr>
          <w:noProof/>
          <w:szCs w:val="22"/>
        </w:rPr>
      </w:pPr>
    </w:p>
    <w:p w14:paraId="62EE3405" w14:textId="77777777" w:rsidR="004862D4" w:rsidRPr="00D90165" w:rsidRDefault="009C4EC4" w:rsidP="00855719">
      <w:pPr>
        <w:spacing w:line="240" w:lineRule="auto"/>
        <w:rPr>
          <w:noProof/>
        </w:rPr>
      </w:pPr>
      <w:r w:rsidRPr="00D90165">
        <w:t>Produkt leczniczy wydawany na receptę do zastrzeżonego stosowania (patrz aneks I: Charakterystyka Produktu Leczniczego, punkt 4.2).</w:t>
      </w:r>
    </w:p>
    <w:p w14:paraId="674E7FE7" w14:textId="77777777" w:rsidR="00812D16" w:rsidRPr="00D90165" w:rsidRDefault="00812D16" w:rsidP="00855719">
      <w:pPr>
        <w:numPr>
          <w:ilvl w:val="12"/>
          <w:numId w:val="0"/>
        </w:numPr>
        <w:spacing w:line="240" w:lineRule="auto"/>
        <w:rPr>
          <w:noProof/>
          <w:szCs w:val="22"/>
        </w:rPr>
      </w:pPr>
    </w:p>
    <w:p w14:paraId="498DA3D3" w14:textId="77777777" w:rsidR="00C97C7F" w:rsidRPr="00D90165" w:rsidRDefault="00C97C7F" w:rsidP="00855719">
      <w:pPr>
        <w:numPr>
          <w:ilvl w:val="12"/>
          <w:numId w:val="0"/>
        </w:numPr>
        <w:spacing w:line="240" w:lineRule="auto"/>
        <w:rPr>
          <w:noProof/>
          <w:szCs w:val="22"/>
        </w:rPr>
      </w:pPr>
    </w:p>
    <w:p w14:paraId="59D2A680" w14:textId="59C10391" w:rsidR="00812D16" w:rsidRPr="00D90165" w:rsidRDefault="006F6222" w:rsidP="006F6222">
      <w:pPr>
        <w:pStyle w:val="TitleB"/>
      </w:pPr>
      <w:r>
        <w:t>C.</w:t>
      </w:r>
      <w:r>
        <w:tab/>
      </w:r>
      <w:r w:rsidR="009C4EC4" w:rsidRPr="00D90165">
        <w:t>INNE WARUNKI I WYMAGANIA DOTYCZĄCE DOPUSZCZENIA DO OBROTU</w:t>
      </w:r>
    </w:p>
    <w:p w14:paraId="014A55F8" w14:textId="77777777" w:rsidR="009B5C19" w:rsidRPr="00D90165" w:rsidRDefault="009B5C19" w:rsidP="0056402B">
      <w:pPr>
        <w:keepNext/>
        <w:spacing w:line="240" w:lineRule="auto"/>
        <w:ind w:right="-1"/>
        <w:rPr>
          <w:iCs/>
          <w:noProof/>
          <w:szCs w:val="22"/>
          <w:u w:val="single"/>
        </w:rPr>
      </w:pPr>
    </w:p>
    <w:p w14:paraId="1BD0B9ED" w14:textId="77777777" w:rsidR="009B5C19" w:rsidRPr="00A510B3" w:rsidRDefault="009C4EC4" w:rsidP="0056402B">
      <w:pPr>
        <w:keepNext/>
        <w:numPr>
          <w:ilvl w:val="0"/>
          <w:numId w:val="6"/>
        </w:numPr>
        <w:spacing w:line="240" w:lineRule="auto"/>
        <w:ind w:right="-1" w:hanging="720"/>
        <w:rPr>
          <w:b/>
          <w:szCs w:val="22"/>
          <w:lang w:val="en-US"/>
        </w:rPr>
      </w:pPr>
      <w:r w:rsidRPr="00D90165">
        <w:rPr>
          <w:b/>
        </w:rPr>
        <w:t xml:space="preserve">Okresowe raporty o bezpieczeństwie stosowania (ang. </w:t>
      </w:r>
      <w:r w:rsidRPr="00A510B3">
        <w:rPr>
          <w:b/>
          <w:lang w:val="en-US"/>
        </w:rPr>
        <w:t>Periodic safety update reports, PSURs)</w:t>
      </w:r>
    </w:p>
    <w:p w14:paraId="317980BB" w14:textId="77777777" w:rsidR="009B5C19" w:rsidRPr="00A510B3" w:rsidRDefault="009B5C19" w:rsidP="0056402B">
      <w:pPr>
        <w:keepNext/>
        <w:tabs>
          <w:tab w:val="left" w:pos="0"/>
        </w:tabs>
        <w:spacing w:line="240" w:lineRule="auto"/>
        <w:ind w:right="567"/>
        <w:rPr>
          <w:lang w:val="en-US"/>
        </w:rPr>
      </w:pPr>
    </w:p>
    <w:p w14:paraId="1D4C5DCA" w14:textId="77777777" w:rsidR="009B5C19" w:rsidRPr="00D90165" w:rsidRDefault="009C4EC4" w:rsidP="00855719">
      <w:pPr>
        <w:tabs>
          <w:tab w:val="left" w:pos="0"/>
        </w:tabs>
        <w:spacing w:line="240" w:lineRule="auto"/>
        <w:ind w:right="567"/>
        <w:rPr>
          <w:iCs/>
          <w:szCs w:val="22"/>
        </w:rPr>
      </w:pPr>
      <w:r w:rsidRPr="00D90165">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15B6D408" w14:textId="77777777" w:rsidR="00E11D49" w:rsidRPr="00D90165" w:rsidRDefault="00E11D49" w:rsidP="00855719">
      <w:pPr>
        <w:tabs>
          <w:tab w:val="left" w:pos="0"/>
        </w:tabs>
        <w:spacing w:line="240" w:lineRule="auto"/>
        <w:ind w:right="567"/>
        <w:rPr>
          <w:iCs/>
          <w:szCs w:val="22"/>
        </w:rPr>
      </w:pPr>
    </w:p>
    <w:p w14:paraId="21F0F73C" w14:textId="77777777" w:rsidR="00910624" w:rsidRPr="00D90165" w:rsidRDefault="00910624" w:rsidP="00855719">
      <w:pPr>
        <w:spacing w:line="240" w:lineRule="auto"/>
        <w:ind w:right="-1"/>
        <w:rPr>
          <w:u w:val="single"/>
        </w:rPr>
      </w:pPr>
    </w:p>
    <w:p w14:paraId="34497D18" w14:textId="4AFF7760" w:rsidR="00910624" w:rsidRPr="00D90165" w:rsidRDefault="006F6222" w:rsidP="006F6222">
      <w:pPr>
        <w:pStyle w:val="TitleB"/>
      </w:pPr>
      <w:r>
        <w:t>D.</w:t>
      </w:r>
      <w:r>
        <w:tab/>
      </w:r>
      <w:r w:rsidR="009C4EC4" w:rsidRPr="00D90165">
        <w:t>WARUNKI LUB OGRANICZENIA DOTYCZĄCE BEZPIECZNEGO I SKUTECZNEGO STOSOWANIA PRODUKTU LECZNICZEGO</w:t>
      </w:r>
    </w:p>
    <w:p w14:paraId="0250DE12" w14:textId="77777777" w:rsidR="00812D16" w:rsidRPr="00D90165" w:rsidRDefault="00812D16" w:rsidP="0056402B">
      <w:pPr>
        <w:keepNext/>
        <w:spacing w:line="240" w:lineRule="auto"/>
        <w:ind w:right="-1"/>
        <w:rPr>
          <w:u w:val="single"/>
        </w:rPr>
      </w:pPr>
    </w:p>
    <w:p w14:paraId="73641A49" w14:textId="77777777" w:rsidR="00812D16" w:rsidRPr="00D90165" w:rsidRDefault="009C4EC4" w:rsidP="0056402B">
      <w:pPr>
        <w:keepNext/>
        <w:numPr>
          <w:ilvl w:val="0"/>
          <w:numId w:val="6"/>
        </w:numPr>
        <w:spacing w:line="240" w:lineRule="auto"/>
        <w:ind w:right="-1" w:hanging="720"/>
        <w:rPr>
          <w:b/>
          <w:bCs/>
        </w:rPr>
      </w:pPr>
      <w:r w:rsidRPr="00D90165">
        <w:rPr>
          <w:b/>
        </w:rPr>
        <w:t>Plan zarządzania ryzykiem (ang. Risk Management Plan, RMP)</w:t>
      </w:r>
    </w:p>
    <w:p w14:paraId="62515E7D" w14:textId="77777777" w:rsidR="00CB31DA" w:rsidRPr="00D90165" w:rsidRDefault="00CB31DA" w:rsidP="0056402B">
      <w:pPr>
        <w:keepNext/>
        <w:spacing w:line="240" w:lineRule="auto"/>
        <w:ind w:left="720" w:right="-1"/>
        <w:rPr>
          <w:b/>
        </w:rPr>
      </w:pPr>
    </w:p>
    <w:p w14:paraId="66A2D339" w14:textId="77777777" w:rsidR="00812D16" w:rsidRPr="00D90165" w:rsidRDefault="009C4EC4" w:rsidP="00855719">
      <w:pPr>
        <w:tabs>
          <w:tab w:val="left" w:pos="0"/>
        </w:tabs>
        <w:spacing w:line="240" w:lineRule="auto"/>
        <w:ind w:right="567"/>
        <w:rPr>
          <w:noProof/>
          <w:szCs w:val="22"/>
        </w:rPr>
      </w:pPr>
      <w:r w:rsidRPr="00D90165">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0F8E2E8A" w14:textId="77777777" w:rsidR="00812D16" w:rsidRPr="00D90165" w:rsidRDefault="00812D16" w:rsidP="00855719">
      <w:pPr>
        <w:spacing w:line="240" w:lineRule="auto"/>
        <w:ind w:right="-1"/>
        <w:rPr>
          <w:iCs/>
          <w:noProof/>
          <w:szCs w:val="22"/>
        </w:rPr>
      </w:pPr>
    </w:p>
    <w:p w14:paraId="5C9C2F22" w14:textId="77777777" w:rsidR="00812D16" w:rsidRPr="00D90165" w:rsidRDefault="009C4EC4" w:rsidP="00855719">
      <w:pPr>
        <w:spacing w:line="240" w:lineRule="auto"/>
        <w:ind w:right="-1"/>
        <w:rPr>
          <w:iCs/>
          <w:noProof/>
          <w:szCs w:val="22"/>
        </w:rPr>
      </w:pPr>
      <w:r w:rsidRPr="00D90165">
        <w:t>Uaktualniony RMP należy przedstawiać:</w:t>
      </w:r>
    </w:p>
    <w:p w14:paraId="6EC924BC" w14:textId="77777777" w:rsidR="00660403" w:rsidRPr="00D90165" w:rsidRDefault="009C4EC4" w:rsidP="00855719">
      <w:pPr>
        <w:numPr>
          <w:ilvl w:val="0"/>
          <w:numId w:val="4"/>
        </w:numPr>
        <w:spacing w:line="240" w:lineRule="auto"/>
        <w:ind w:left="567" w:right="-1" w:hanging="207"/>
        <w:rPr>
          <w:noProof/>
        </w:rPr>
      </w:pPr>
      <w:r w:rsidRPr="00D90165">
        <w:t>na żądanie Europejskiej Agencji Leków;</w:t>
      </w:r>
    </w:p>
    <w:p w14:paraId="35932407" w14:textId="77777777" w:rsidR="007B31AB" w:rsidRPr="00D90165" w:rsidRDefault="009C4EC4" w:rsidP="00855719">
      <w:pPr>
        <w:numPr>
          <w:ilvl w:val="0"/>
          <w:numId w:val="4"/>
        </w:numPr>
        <w:tabs>
          <w:tab w:val="clear" w:pos="567"/>
          <w:tab w:val="clear" w:pos="720"/>
        </w:tabs>
        <w:spacing w:line="240" w:lineRule="auto"/>
        <w:ind w:left="567" w:right="-1" w:hanging="207"/>
        <w:rPr>
          <w:noProof/>
          <w:szCs w:val="22"/>
        </w:rPr>
      </w:pPr>
      <w:r w:rsidRPr="00D90165">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68D9F163" w14:textId="77777777" w:rsidR="0020023D" w:rsidRPr="00D90165" w:rsidRDefault="0020023D" w:rsidP="00855719">
      <w:pPr>
        <w:spacing w:line="240" w:lineRule="auto"/>
        <w:ind w:right="-1"/>
        <w:rPr>
          <w:noProof/>
        </w:rPr>
      </w:pPr>
    </w:p>
    <w:p w14:paraId="0C0E62CC" w14:textId="77777777" w:rsidR="007E4337" w:rsidRPr="00D90165" w:rsidRDefault="009C4EC4" w:rsidP="0056402B">
      <w:pPr>
        <w:keepNext/>
        <w:numPr>
          <w:ilvl w:val="0"/>
          <w:numId w:val="8"/>
        </w:numPr>
        <w:spacing w:line="240" w:lineRule="auto"/>
        <w:ind w:right="-1" w:hanging="720"/>
        <w:rPr>
          <w:b/>
          <w:bCs/>
        </w:rPr>
      </w:pPr>
      <w:r w:rsidRPr="00D90165">
        <w:rPr>
          <w:b/>
        </w:rPr>
        <w:t>Dodatkowe działania w celu minimalizacji ryzyka</w:t>
      </w:r>
    </w:p>
    <w:p w14:paraId="1EF0DAF1" w14:textId="77777777" w:rsidR="007E4337" w:rsidRPr="00D90165" w:rsidRDefault="007E4337" w:rsidP="0056402B">
      <w:pPr>
        <w:keepNext/>
        <w:spacing w:line="240" w:lineRule="auto"/>
        <w:ind w:right="-1"/>
        <w:rPr>
          <w:noProof/>
          <w:szCs w:val="22"/>
        </w:rPr>
      </w:pPr>
    </w:p>
    <w:p w14:paraId="190C172F" w14:textId="77777777" w:rsidR="007E4337" w:rsidRPr="00D90165" w:rsidRDefault="009C4EC4" w:rsidP="0056402B">
      <w:pPr>
        <w:keepNext/>
        <w:spacing w:line="240" w:lineRule="auto"/>
        <w:rPr>
          <w:b/>
          <w:bCs/>
          <w:noProof/>
        </w:rPr>
      </w:pPr>
      <w:r w:rsidRPr="00D90165">
        <w:rPr>
          <w:b/>
        </w:rPr>
        <w:t>Karta ostrzeżeń dla pacjenta</w:t>
      </w:r>
    </w:p>
    <w:p w14:paraId="7FE2326C" w14:textId="77777777" w:rsidR="007E4337" w:rsidRPr="00D90165" w:rsidRDefault="007E4337" w:rsidP="0056402B">
      <w:pPr>
        <w:keepNext/>
        <w:spacing w:line="240" w:lineRule="auto"/>
        <w:rPr>
          <w:b/>
          <w:bCs/>
          <w:noProof/>
        </w:rPr>
      </w:pPr>
    </w:p>
    <w:p w14:paraId="23B55CF6" w14:textId="77777777" w:rsidR="007E4337" w:rsidRPr="00D90165" w:rsidRDefault="009C4EC4" w:rsidP="00855719">
      <w:pPr>
        <w:spacing w:line="240" w:lineRule="auto"/>
        <w:rPr>
          <w:noProof/>
        </w:rPr>
      </w:pPr>
      <w:r w:rsidRPr="00D90165">
        <w:t>Ten pacjent jest poddawany długoterminowemu leczeniu z zastosowaniem produktu leczniczego AGAMREE (wamorolon), dysocjacyjnym kortykosteroidem do leczenia dystrofii mięśniowej Duchenne'a, a zatem jest on fizycznie uzależniony od codziennej terapii steroidowej jako leku o krytycznym znaczeniu.</w:t>
      </w:r>
    </w:p>
    <w:p w14:paraId="7FBC096D" w14:textId="77777777" w:rsidR="007E4337" w:rsidRPr="00D90165" w:rsidRDefault="007E4337" w:rsidP="00855719">
      <w:pPr>
        <w:spacing w:line="240" w:lineRule="auto"/>
        <w:rPr>
          <w:noProof/>
        </w:rPr>
      </w:pPr>
    </w:p>
    <w:p w14:paraId="6BC2A669" w14:textId="77777777" w:rsidR="007E4337" w:rsidRPr="00D90165" w:rsidRDefault="009C4EC4" w:rsidP="00855719">
      <w:pPr>
        <w:spacing w:line="240" w:lineRule="auto"/>
      </w:pPr>
      <w:r w:rsidRPr="00D90165">
        <w:t>W przypadku złego samopoczucia pacjenta (nadmierne zmęczenie, nagłe osłabienie, wymioty, biegunka, zawroty głowy lub splątanie), należy mieć na względzie ostrą niewydolność nadnerczy lub przełom nadnerczowy.</w:t>
      </w:r>
    </w:p>
    <w:p w14:paraId="25770840" w14:textId="77777777" w:rsidR="00812D16" w:rsidRPr="00D90165" w:rsidRDefault="009C4EC4" w:rsidP="00855719">
      <w:pPr>
        <w:tabs>
          <w:tab w:val="clear" w:pos="567"/>
        </w:tabs>
        <w:spacing w:line="240" w:lineRule="auto"/>
        <w:ind w:right="-1"/>
        <w:rPr>
          <w:noProof/>
          <w:szCs w:val="22"/>
        </w:rPr>
      </w:pPr>
      <w:r w:rsidRPr="00D90165">
        <w:br w:type="page"/>
      </w:r>
    </w:p>
    <w:p w14:paraId="62844DB3" w14:textId="77777777" w:rsidR="00812D16" w:rsidRPr="00A510B3" w:rsidRDefault="00812D16" w:rsidP="00855719">
      <w:pPr>
        <w:spacing w:line="240" w:lineRule="auto"/>
        <w:rPr>
          <w:noProof/>
          <w:szCs w:val="22"/>
        </w:rPr>
      </w:pPr>
    </w:p>
    <w:p w14:paraId="08A5ACB0" w14:textId="77777777" w:rsidR="00812D16" w:rsidRPr="00A510B3" w:rsidRDefault="00812D16" w:rsidP="00855719">
      <w:pPr>
        <w:spacing w:line="240" w:lineRule="auto"/>
        <w:rPr>
          <w:noProof/>
          <w:szCs w:val="22"/>
        </w:rPr>
      </w:pPr>
    </w:p>
    <w:p w14:paraId="56DE9B8D" w14:textId="77777777" w:rsidR="00812D16" w:rsidRPr="00A510B3" w:rsidRDefault="00812D16" w:rsidP="00855719">
      <w:pPr>
        <w:spacing w:line="240" w:lineRule="auto"/>
        <w:rPr>
          <w:noProof/>
          <w:szCs w:val="22"/>
        </w:rPr>
      </w:pPr>
    </w:p>
    <w:p w14:paraId="3502523B" w14:textId="77777777" w:rsidR="00812D16" w:rsidRPr="00A510B3" w:rsidRDefault="00812D16" w:rsidP="00855719">
      <w:pPr>
        <w:spacing w:line="240" w:lineRule="auto"/>
        <w:rPr>
          <w:noProof/>
          <w:szCs w:val="22"/>
        </w:rPr>
      </w:pPr>
    </w:p>
    <w:p w14:paraId="35196B64" w14:textId="77777777" w:rsidR="00812D16" w:rsidRPr="00A510B3" w:rsidRDefault="00812D16" w:rsidP="00855719">
      <w:pPr>
        <w:spacing w:line="240" w:lineRule="auto"/>
        <w:rPr>
          <w:noProof/>
          <w:szCs w:val="22"/>
        </w:rPr>
      </w:pPr>
    </w:p>
    <w:p w14:paraId="2B399985" w14:textId="77777777" w:rsidR="00812D16" w:rsidRPr="00A510B3" w:rsidRDefault="00812D16" w:rsidP="00855719">
      <w:pPr>
        <w:spacing w:line="240" w:lineRule="auto"/>
        <w:rPr>
          <w:noProof/>
          <w:szCs w:val="22"/>
        </w:rPr>
      </w:pPr>
    </w:p>
    <w:p w14:paraId="5BC35403" w14:textId="77777777" w:rsidR="00812D16" w:rsidRPr="00A510B3" w:rsidRDefault="00812D16" w:rsidP="00855719">
      <w:pPr>
        <w:spacing w:line="240" w:lineRule="auto"/>
        <w:rPr>
          <w:noProof/>
          <w:szCs w:val="22"/>
        </w:rPr>
      </w:pPr>
    </w:p>
    <w:p w14:paraId="6F7AE8FA" w14:textId="77777777" w:rsidR="00812D16" w:rsidRPr="00A510B3" w:rsidRDefault="00812D16" w:rsidP="00855719">
      <w:pPr>
        <w:spacing w:line="240" w:lineRule="auto"/>
        <w:rPr>
          <w:noProof/>
          <w:szCs w:val="22"/>
        </w:rPr>
      </w:pPr>
    </w:p>
    <w:p w14:paraId="5948C29E" w14:textId="77777777" w:rsidR="00812D16" w:rsidRPr="00A510B3" w:rsidRDefault="00812D16" w:rsidP="00855719">
      <w:pPr>
        <w:spacing w:line="240" w:lineRule="auto"/>
        <w:rPr>
          <w:noProof/>
          <w:szCs w:val="22"/>
        </w:rPr>
      </w:pPr>
    </w:p>
    <w:p w14:paraId="575F14B8" w14:textId="77777777" w:rsidR="00812D16" w:rsidRPr="00A510B3" w:rsidRDefault="00812D16" w:rsidP="00855719">
      <w:pPr>
        <w:spacing w:line="240" w:lineRule="auto"/>
        <w:rPr>
          <w:noProof/>
          <w:szCs w:val="22"/>
        </w:rPr>
      </w:pPr>
    </w:p>
    <w:p w14:paraId="75AAB134" w14:textId="77777777" w:rsidR="00812D16" w:rsidRPr="00A510B3" w:rsidRDefault="00812D16" w:rsidP="00855719">
      <w:pPr>
        <w:spacing w:line="240" w:lineRule="auto"/>
        <w:rPr>
          <w:noProof/>
          <w:szCs w:val="22"/>
        </w:rPr>
      </w:pPr>
    </w:p>
    <w:p w14:paraId="305D1A58" w14:textId="77777777" w:rsidR="00812D16" w:rsidRPr="00A510B3" w:rsidRDefault="00812D16" w:rsidP="00855719">
      <w:pPr>
        <w:spacing w:line="240" w:lineRule="auto"/>
        <w:rPr>
          <w:noProof/>
          <w:szCs w:val="22"/>
        </w:rPr>
      </w:pPr>
    </w:p>
    <w:p w14:paraId="7EC85E95" w14:textId="77777777" w:rsidR="00812D16" w:rsidRPr="00A510B3" w:rsidRDefault="00812D16" w:rsidP="00855719">
      <w:pPr>
        <w:spacing w:line="240" w:lineRule="auto"/>
        <w:rPr>
          <w:noProof/>
          <w:szCs w:val="22"/>
        </w:rPr>
      </w:pPr>
    </w:p>
    <w:p w14:paraId="67E1784E" w14:textId="77777777" w:rsidR="00812D16" w:rsidRPr="00A510B3" w:rsidRDefault="00812D16" w:rsidP="00855719">
      <w:pPr>
        <w:spacing w:line="240" w:lineRule="auto"/>
        <w:rPr>
          <w:noProof/>
          <w:szCs w:val="22"/>
        </w:rPr>
      </w:pPr>
    </w:p>
    <w:p w14:paraId="4FD1440B" w14:textId="77777777" w:rsidR="00812D16" w:rsidRPr="00A510B3" w:rsidRDefault="00812D16" w:rsidP="00855719">
      <w:pPr>
        <w:spacing w:line="240" w:lineRule="auto"/>
        <w:rPr>
          <w:noProof/>
          <w:szCs w:val="22"/>
        </w:rPr>
      </w:pPr>
    </w:p>
    <w:p w14:paraId="2A2C2F91" w14:textId="77777777" w:rsidR="00812D16" w:rsidRPr="00A510B3" w:rsidRDefault="00812D16" w:rsidP="00855719">
      <w:pPr>
        <w:spacing w:line="240" w:lineRule="auto"/>
        <w:rPr>
          <w:noProof/>
          <w:szCs w:val="22"/>
        </w:rPr>
      </w:pPr>
    </w:p>
    <w:p w14:paraId="7C2991C8" w14:textId="77777777" w:rsidR="00812D16" w:rsidRPr="00A510B3" w:rsidRDefault="00812D16" w:rsidP="00855719">
      <w:pPr>
        <w:spacing w:line="240" w:lineRule="auto"/>
        <w:rPr>
          <w:noProof/>
          <w:szCs w:val="22"/>
        </w:rPr>
      </w:pPr>
    </w:p>
    <w:p w14:paraId="61CAAA21" w14:textId="77777777" w:rsidR="00812D16" w:rsidRPr="00A510B3" w:rsidRDefault="00812D16" w:rsidP="00855719">
      <w:pPr>
        <w:spacing w:line="240" w:lineRule="auto"/>
        <w:rPr>
          <w:noProof/>
          <w:szCs w:val="22"/>
        </w:rPr>
      </w:pPr>
    </w:p>
    <w:p w14:paraId="36ED9339" w14:textId="77777777" w:rsidR="00812D16" w:rsidRPr="00A510B3" w:rsidRDefault="00812D16" w:rsidP="00855719">
      <w:pPr>
        <w:spacing w:line="240" w:lineRule="auto"/>
        <w:rPr>
          <w:noProof/>
          <w:szCs w:val="22"/>
        </w:rPr>
      </w:pPr>
    </w:p>
    <w:p w14:paraId="5335C660" w14:textId="77777777" w:rsidR="00812D16" w:rsidRPr="00A510B3" w:rsidRDefault="00812D16" w:rsidP="00855719">
      <w:pPr>
        <w:spacing w:line="240" w:lineRule="auto"/>
        <w:rPr>
          <w:noProof/>
          <w:szCs w:val="22"/>
        </w:rPr>
      </w:pPr>
    </w:p>
    <w:p w14:paraId="51083474" w14:textId="77777777" w:rsidR="00812D16" w:rsidRPr="00A510B3" w:rsidRDefault="00812D16" w:rsidP="00855719">
      <w:pPr>
        <w:spacing w:line="240" w:lineRule="auto"/>
        <w:rPr>
          <w:noProof/>
          <w:szCs w:val="22"/>
        </w:rPr>
      </w:pPr>
    </w:p>
    <w:p w14:paraId="42D12F57" w14:textId="77777777" w:rsidR="00812D16" w:rsidRPr="00A510B3" w:rsidRDefault="00812D16" w:rsidP="00855719">
      <w:pPr>
        <w:spacing w:line="240" w:lineRule="auto"/>
        <w:rPr>
          <w:noProof/>
          <w:szCs w:val="22"/>
        </w:rPr>
      </w:pPr>
    </w:p>
    <w:p w14:paraId="6E11F757" w14:textId="77777777" w:rsidR="00812D16" w:rsidRPr="00D90165" w:rsidRDefault="009C4EC4" w:rsidP="00855719">
      <w:pPr>
        <w:spacing w:line="240" w:lineRule="auto"/>
        <w:jc w:val="center"/>
        <w:outlineLvl w:val="0"/>
        <w:rPr>
          <w:b/>
          <w:noProof/>
          <w:szCs w:val="22"/>
        </w:rPr>
      </w:pPr>
      <w:r w:rsidRPr="00D90165">
        <w:rPr>
          <w:b/>
        </w:rPr>
        <w:t>ANEKS III</w:t>
      </w:r>
    </w:p>
    <w:p w14:paraId="424AC389" w14:textId="77777777" w:rsidR="00812D16" w:rsidRPr="00D90165" w:rsidRDefault="00812D16" w:rsidP="00855719">
      <w:pPr>
        <w:spacing w:line="240" w:lineRule="auto"/>
        <w:jc w:val="center"/>
        <w:rPr>
          <w:b/>
          <w:noProof/>
          <w:szCs w:val="22"/>
        </w:rPr>
      </w:pPr>
    </w:p>
    <w:p w14:paraId="493C2D38" w14:textId="77777777" w:rsidR="00812D16" w:rsidRPr="00D90165" w:rsidRDefault="009C4EC4" w:rsidP="00855719">
      <w:pPr>
        <w:spacing w:line="240" w:lineRule="auto"/>
        <w:jc w:val="center"/>
        <w:outlineLvl w:val="0"/>
        <w:rPr>
          <w:b/>
          <w:noProof/>
          <w:szCs w:val="22"/>
        </w:rPr>
      </w:pPr>
      <w:r w:rsidRPr="00D90165">
        <w:rPr>
          <w:b/>
        </w:rPr>
        <w:t>OZNAKOWANIE OPAKOWAŃ I ULOTKA INFORMACYJNA</w:t>
      </w:r>
    </w:p>
    <w:p w14:paraId="249F9E01" w14:textId="77777777" w:rsidR="000166C1" w:rsidRPr="00D90165" w:rsidRDefault="009C4EC4" w:rsidP="00855719">
      <w:pPr>
        <w:spacing w:line="240" w:lineRule="auto"/>
        <w:rPr>
          <w:b/>
          <w:noProof/>
          <w:szCs w:val="22"/>
        </w:rPr>
      </w:pPr>
      <w:r w:rsidRPr="00D90165">
        <w:br w:type="page"/>
      </w:r>
    </w:p>
    <w:p w14:paraId="1A7D4BFB" w14:textId="77777777" w:rsidR="000166C1" w:rsidRPr="00A510B3" w:rsidRDefault="000166C1" w:rsidP="00855719">
      <w:pPr>
        <w:spacing w:line="240" w:lineRule="auto"/>
        <w:rPr>
          <w:noProof/>
          <w:szCs w:val="22"/>
        </w:rPr>
      </w:pPr>
    </w:p>
    <w:p w14:paraId="53D897D3" w14:textId="77777777" w:rsidR="000166C1" w:rsidRPr="00A510B3" w:rsidRDefault="000166C1" w:rsidP="00855719">
      <w:pPr>
        <w:spacing w:line="240" w:lineRule="auto"/>
        <w:rPr>
          <w:noProof/>
          <w:szCs w:val="22"/>
        </w:rPr>
      </w:pPr>
    </w:p>
    <w:p w14:paraId="374569F9" w14:textId="77777777" w:rsidR="000166C1" w:rsidRPr="00A510B3" w:rsidRDefault="000166C1" w:rsidP="00855719">
      <w:pPr>
        <w:spacing w:line="240" w:lineRule="auto"/>
        <w:rPr>
          <w:noProof/>
          <w:szCs w:val="22"/>
        </w:rPr>
      </w:pPr>
    </w:p>
    <w:p w14:paraId="7CFF33A5" w14:textId="77777777" w:rsidR="000166C1" w:rsidRPr="00A510B3" w:rsidRDefault="000166C1" w:rsidP="00855719">
      <w:pPr>
        <w:spacing w:line="240" w:lineRule="auto"/>
        <w:rPr>
          <w:noProof/>
          <w:szCs w:val="22"/>
        </w:rPr>
      </w:pPr>
    </w:p>
    <w:p w14:paraId="656D3800" w14:textId="77777777" w:rsidR="000166C1" w:rsidRPr="00A510B3" w:rsidRDefault="000166C1" w:rsidP="00855719">
      <w:pPr>
        <w:spacing w:line="240" w:lineRule="auto"/>
        <w:rPr>
          <w:noProof/>
          <w:szCs w:val="22"/>
        </w:rPr>
      </w:pPr>
    </w:p>
    <w:p w14:paraId="2A0A49F8" w14:textId="77777777" w:rsidR="000166C1" w:rsidRPr="00A510B3" w:rsidRDefault="000166C1" w:rsidP="00855719">
      <w:pPr>
        <w:spacing w:line="240" w:lineRule="auto"/>
        <w:rPr>
          <w:noProof/>
          <w:szCs w:val="22"/>
        </w:rPr>
      </w:pPr>
    </w:p>
    <w:p w14:paraId="67C46D22" w14:textId="77777777" w:rsidR="000166C1" w:rsidRPr="00A510B3" w:rsidRDefault="000166C1" w:rsidP="00855719">
      <w:pPr>
        <w:spacing w:line="240" w:lineRule="auto"/>
        <w:rPr>
          <w:noProof/>
          <w:szCs w:val="22"/>
        </w:rPr>
      </w:pPr>
    </w:p>
    <w:p w14:paraId="759B9A79" w14:textId="77777777" w:rsidR="000166C1" w:rsidRPr="00A510B3" w:rsidRDefault="000166C1" w:rsidP="00855719">
      <w:pPr>
        <w:spacing w:line="240" w:lineRule="auto"/>
        <w:rPr>
          <w:noProof/>
          <w:szCs w:val="22"/>
        </w:rPr>
      </w:pPr>
    </w:p>
    <w:p w14:paraId="6D820E16" w14:textId="77777777" w:rsidR="000166C1" w:rsidRPr="00A510B3" w:rsidRDefault="000166C1" w:rsidP="00855719">
      <w:pPr>
        <w:spacing w:line="240" w:lineRule="auto"/>
        <w:rPr>
          <w:noProof/>
          <w:szCs w:val="22"/>
        </w:rPr>
      </w:pPr>
    </w:p>
    <w:p w14:paraId="31636531" w14:textId="77777777" w:rsidR="000166C1" w:rsidRPr="00A510B3" w:rsidRDefault="000166C1" w:rsidP="00855719">
      <w:pPr>
        <w:spacing w:line="240" w:lineRule="auto"/>
        <w:rPr>
          <w:noProof/>
          <w:szCs w:val="22"/>
        </w:rPr>
      </w:pPr>
    </w:p>
    <w:p w14:paraId="4D2DE4BD" w14:textId="77777777" w:rsidR="000166C1" w:rsidRPr="00A510B3" w:rsidRDefault="000166C1" w:rsidP="00855719">
      <w:pPr>
        <w:spacing w:line="240" w:lineRule="auto"/>
        <w:rPr>
          <w:noProof/>
          <w:szCs w:val="22"/>
        </w:rPr>
      </w:pPr>
    </w:p>
    <w:p w14:paraId="74ACFBA0" w14:textId="77777777" w:rsidR="000166C1" w:rsidRPr="00A510B3" w:rsidRDefault="000166C1" w:rsidP="00855719">
      <w:pPr>
        <w:spacing w:line="240" w:lineRule="auto"/>
        <w:rPr>
          <w:noProof/>
          <w:szCs w:val="22"/>
        </w:rPr>
      </w:pPr>
    </w:p>
    <w:p w14:paraId="2B3E2894" w14:textId="77777777" w:rsidR="000166C1" w:rsidRPr="00A510B3" w:rsidRDefault="000166C1" w:rsidP="00855719">
      <w:pPr>
        <w:spacing w:line="240" w:lineRule="auto"/>
        <w:rPr>
          <w:noProof/>
          <w:szCs w:val="22"/>
        </w:rPr>
      </w:pPr>
    </w:p>
    <w:p w14:paraId="0AA78E8F" w14:textId="77777777" w:rsidR="000166C1" w:rsidRPr="00A510B3" w:rsidRDefault="000166C1" w:rsidP="00855719">
      <w:pPr>
        <w:spacing w:line="240" w:lineRule="auto"/>
        <w:rPr>
          <w:noProof/>
          <w:szCs w:val="22"/>
        </w:rPr>
      </w:pPr>
    </w:p>
    <w:p w14:paraId="5914C0CA" w14:textId="77777777" w:rsidR="000166C1" w:rsidRPr="00A510B3" w:rsidRDefault="000166C1" w:rsidP="00855719">
      <w:pPr>
        <w:spacing w:line="240" w:lineRule="auto"/>
        <w:rPr>
          <w:noProof/>
          <w:szCs w:val="22"/>
        </w:rPr>
      </w:pPr>
    </w:p>
    <w:p w14:paraId="0C34F21B" w14:textId="77777777" w:rsidR="000166C1" w:rsidRPr="00A510B3" w:rsidRDefault="000166C1" w:rsidP="00855719">
      <w:pPr>
        <w:spacing w:line="240" w:lineRule="auto"/>
        <w:rPr>
          <w:noProof/>
          <w:szCs w:val="22"/>
        </w:rPr>
      </w:pPr>
    </w:p>
    <w:p w14:paraId="6638BEC9" w14:textId="77777777" w:rsidR="000166C1" w:rsidRPr="00A510B3" w:rsidRDefault="000166C1" w:rsidP="00855719">
      <w:pPr>
        <w:spacing w:line="240" w:lineRule="auto"/>
        <w:rPr>
          <w:noProof/>
          <w:szCs w:val="22"/>
        </w:rPr>
      </w:pPr>
    </w:p>
    <w:p w14:paraId="29FC2214" w14:textId="77777777" w:rsidR="000166C1" w:rsidRPr="00A510B3" w:rsidRDefault="000166C1" w:rsidP="00855719">
      <w:pPr>
        <w:spacing w:line="240" w:lineRule="auto"/>
        <w:rPr>
          <w:noProof/>
          <w:szCs w:val="22"/>
        </w:rPr>
      </w:pPr>
    </w:p>
    <w:p w14:paraId="48B412CF" w14:textId="77777777" w:rsidR="00B64B2F" w:rsidRPr="00A510B3" w:rsidRDefault="00B64B2F" w:rsidP="00855719">
      <w:pPr>
        <w:spacing w:line="240" w:lineRule="auto"/>
        <w:rPr>
          <w:noProof/>
          <w:szCs w:val="22"/>
        </w:rPr>
      </w:pPr>
    </w:p>
    <w:p w14:paraId="3F427C38" w14:textId="77777777" w:rsidR="00B64B2F" w:rsidRPr="00A510B3" w:rsidRDefault="00B64B2F" w:rsidP="00855719">
      <w:pPr>
        <w:spacing w:line="240" w:lineRule="auto"/>
        <w:rPr>
          <w:noProof/>
          <w:szCs w:val="22"/>
        </w:rPr>
      </w:pPr>
    </w:p>
    <w:p w14:paraId="74A45532" w14:textId="77777777" w:rsidR="00B64B2F" w:rsidRPr="00A510B3" w:rsidRDefault="00B64B2F" w:rsidP="00855719">
      <w:pPr>
        <w:spacing w:line="240" w:lineRule="auto"/>
        <w:rPr>
          <w:noProof/>
          <w:szCs w:val="22"/>
        </w:rPr>
      </w:pPr>
    </w:p>
    <w:p w14:paraId="5F654BBC" w14:textId="77777777" w:rsidR="00B64B2F" w:rsidRPr="00A510B3" w:rsidRDefault="00B64B2F" w:rsidP="00855719">
      <w:pPr>
        <w:spacing w:line="240" w:lineRule="auto"/>
        <w:rPr>
          <w:noProof/>
          <w:szCs w:val="22"/>
        </w:rPr>
      </w:pPr>
    </w:p>
    <w:p w14:paraId="4C174CC7" w14:textId="7CE683B2" w:rsidR="00812D16" w:rsidRPr="00D90165" w:rsidRDefault="00D24FAB" w:rsidP="00D24FAB">
      <w:pPr>
        <w:pStyle w:val="TitleA"/>
      </w:pPr>
      <w:r>
        <w:t xml:space="preserve">A. </w:t>
      </w:r>
      <w:r w:rsidR="009C4EC4" w:rsidRPr="00D90165">
        <w:t>OZNAKOWANIE OPAKOWAŃ</w:t>
      </w:r>
    </w:p>
    <w:p w14:paraId="34E95432" w14:textId="77777777" w:rsidR="00812D16" w:rsidRPr="00D90165" w:rsidRDefault="009C4EC4" w:rsidP="00855719">
      <w:pPr>
        <w:shd w:val="clear" w:color="auto" w:fill="FFFFFF"/>
        <w:spacing w:line="240" w:lineRule="auto"/>
        <w:rPr>
          <w:noProof/>
          <w:szCs w:val="22"/>
        </w:rPr>
      </w:pPr>
      <w:r w:rsidRPr="00D90165">
        <w:br w:type="page"/>
      </w:r>
    </w:p>
    <w:p w14:paraId="764FDD33" w14:textId="77777777" w:rsidR="00812D16" w:rsidRPr="00D90165" w:rsidRDefault="009C4EC4" w:rsidP="00855719">
      <w:pPr>
        <w:pBdr>
          <w:top w:val="single" w:sz="4" w:space="1" w:color="auto"/>
          <w:left w:val="single" w:sz="4" w:space="4" w:color="auto"/>
          <w:bottom w:val="single" w:sz="4" w:space="1" w:color="auto"/>
          <w:right w:val="single" w:sz="4" w:space="4" w:color="auto"/>
        </w:pBdr>
        <w:spacing w:line="240" w:lineRule="auto"/>
        <w:rPr>
          <w:b/>
          <w:noProof/>
          <w:szCs w:val="22"/>
        </w:rPr>
      </w:pPr>
      <w:r w:rsidRPr="00D90165">
        <w:rPr>
          <w:b/>
        </w:rPr>
        <w:lastRenderedPageBreak/>
        <w:t>INFORMACJE ZAMIESZCZANE NA OPAKOWANIACH ZEWNĘTRZNYCH</w:t>
      </w:r>
    </w:p>
    <w:p w14:paraId="70E5E1F7" w14:textId="77777777" w:rsidR="00812D16" w:rsidRPr="00D90165" w:rsidRDefault="00812D16" w:rsidP="008557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E1AA50F" w14:textId="77777777" w:rsidR="00312D4B" w:rsidRPr="00D90165" w:rsidRDefault="009C4EC4" w:rsidP="0085571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D90165">
        <w:rPr>
          <w:b/>
        </w:rPr>
        <w:t>PUDEŁKO TEKTUROWE</w:t>
      </w:r>
    </w:p>
    <w:p w14:paraId="1F3B12AF" w14:textId="77777777" w:rsidR="00812D16" w:rsidRPr="00D90165" w:rsidRDefault="00812D16" w:rsidP="00855719">
      <w:pPr>
        <w:spacing w:line="240" w:lineRule="auto"/>
      </w:pPr>
    </w:p>
    <w:p w14:paraId="38487C12" w14:textId="77777777" w:rsidR="006C6114" w:rsidRPr="00D90165" w:rsidRDefault="006C6114" w:rsidP="00855719">
      <w:pPr>
        <w:spacing w:line="240" w:lineRule="auto"/>
        <w:rPr>
          <w:noProof/>
          <w:szCs w:val="22"/>
        </w:rPr>
      </w:pPr>
    </w:p>
    <w:p w14:paraId="4FCC96BB" w14:textId="77777777" w:rsidR="00812D16"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D90165">
        <w:rPr>
          <w:rStyle w:val="DNEx2"/>
        </w:rPr>
        <w:t>1.</w:t>
      </w:r>
      <w:r w:rsidRPr="00D90165">
        <w:rPr>
          <w:rStyle w:val="DNEx2"/>
        </w:rPr>
        <w:tab/>
      </w:r>
      <w:r w:rsidRPr="00D90165">
        <w:rPr>
          <w:b/>
        </w:rPr>
        <w:t>NAZWA PRODUKTU LECZNICZEGO</w:t>
      </w:r>
    </w:p>
    <w:p w14:paraId="76BF55C1" w14:textId="77777777" w:rsidR="00812D16" w:rsidRPr="00D90165" w:rsidRDefault="00812D16" w:rsidP="0056402B">
      <w:pPr>
        <w:keepNext/>
        <w:spacing w:line="240" w:lineRule="auto"/>
        <w:rPr>
          <w:noProof/>
          <w:szCs w:val="22"/>
        </w:rPr>
      </w:pPr>
    </w:p>
    <w:p w14:paraId="2549B471" w14:textId="77777777" w:rsidR="008E30AE" w:rsidRPr="00D90165" w:rsidRDefault="009C4EC4" w:rsidP="00855719">
      <w:pPr>
        <w:spacing w:line="240" w:lineRule="auto"/>
        <w:rPr>
          <w:noProof/>
          <w:szCs w:val="22"/>
        </w:rPr>
      </w:pPr>
      <w:r w:rsidRPr="00D90165">
        <w:t>AGAMREE 40 mg/ml zawiesina doustna</w:t>
      </w:r>
    </w:p>
    <w:p w14:paraId="179C191D" w14:textId="77777777" w:rsidR="008E30AE" w:rsidRPr="00D90165" w:rsidRDefault="009C4EC4" w:rsidP="00855719">
      <w:pPr>
        <w:spacing w:line="240" w:lineRule="auto"/>
        <w:rPr>
          <w:noProof/>
          <w:szCs w:val="22"/>
        </w:rPr>
      </w:pPr>
      <w:r w:rsidRPr="00D90165">
        <w:t>wamorolon</w:t>
      </w:r>
    </w:p>
    <w:p w14:paraId="5A7C1AA4" w14:textId="77777777" w:rsidR="00812D16" w:rsidRPr="006E03A9" w:rsidRDefault="00812D16" w:rsidP="00855719">
      <w:pPr>
        <w:spacing w:line="240" w:lineRule="auto"/>
        <w:rPr>
          <w:noProof/>
          <w:szCs w:val="22"/>
        </w:rPr>
      </w:pPr>
    </w:p>
    <w:p w14:paraId="6616ECC1" w14:textId="77777777" w:rsidR="00812D16" w:rsidRPr="006E03A9" w:rsidRDefault="00812D16" w:rsidP="00855719">
      <w:pPr>
        <w:spacing w:line="240" w:lineRule="auto"/>
        <w:rPr>
          <w:noProof/>
          <w:szCs w:val="22"/>
        </w:rPr>
      </w:pPr>
    </w:p>
    <w:p w14:paraId="18858687" w14:textId="77777777" w:rsidR="00812D16"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D90165">
        <w:rPr>
          <w:rStyle w:val="DNEx2"/>
        </w:rPr>
        <w:t>2.</w:t>
      </w:r>
      <w:r w:rsidRPr="00D90165">
        <w:rPr>
          <w:rStyle w:val="DNEx2"/>
        </w:rPr>
        <w:tab/>
      </w:r>
      <w:r w:rsidRPr="00D90165">
        <w:rPr>
          <w:b/>
        </w:rPr>
        <w:t>ZAWARTOŚĆ SUBSTANCJI CZYNNEJ</w:t>
      </w:r>
    </w:p>
    <w:p w14:paraId="5586976C" w14:textId="77777777" w:rsidR="00812D16" w:rsidRPr="00D90165" w:rsidRDefault="00812D16" w:rsidP="0056402B">
      <w:pPr>
        <w:keepNext/>
        <w:spacing w:line="240" w:lineRule="auto"/>
        <w:rPr>
          <w:noProof/>
          <w:szCs w:val="22"/>
        </w:rPr>
      </w:pPr>
    </w:p>
    <w:p w14:paraId="276BF4C9" w14:textId="77777777" w:rsidR="008E30AE" w:rsidRPr="00D90165" w:rsidRDefault="009C4EC4" w:rsidP="00855719">
      <w:pPr>
        <w:spacing w:line="240" w:lineRule="auto"/>
        <w:rPr>
          <w:noProof/>
          <w:szCs w:val="22"/>
        </w:rPr>
      </w:pPr>
      <w:r w:rsidRPr="00D90165">
        <w:t>Każdy ml zawiesiny doustnej zawiera 40 mg wamorolonu.</w:t>
      </w:r>
    </w:p>
    <w:p w14:paraId="739A81BB" w14:textId="77777777" w:rsidR="00812D16" w:rsidRPr="00D90165" w:rsidRDefault="00812D16" w:rsidP="00855719">
      <w:pPr>
        <w:spacing w:line="240" w:lineRule="auto"/>
        <w:rPr>
          <w:noProof/>
          <w:szCs w:val="22"/>
        </w:rPr>
      </w:pPr>
    </w:p>
    <w:p w14:paraId="096FE46A" w14:textId="77777777" w:rsidR="00812D16" w:rsidRPr="00D90165" w:rsidRDefault="00812D16" w:rsidP="00855719">
      <w:pPr>
        <w:spacing w:line="240" w:lineRule="auto"/>
        <w:rPr>
          <w:noProof/>
          <w:szCs w:val="22"/>
        </w:rPr>
      </w:pPr>
    </w:p>
    <w:p w14:paraId="249A6531" w14:textId="77777777" w:rsidR="00812D16"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90165">
        <w:rPr>
          <w:rStyle w:val="DNEx2"/>
        </w:rPr>
        <w:t>3.</w:t>
      </w:r>
      <w:r w:rsidRPr="00D90165">
        <w:rPr>
          <w:rStyle w:val="DNEx2"/>
        </w:rPr>
        <w:tab/>
      </w:r>
      <w:r w:rsidRPr="00D90165">
        <w:rPr>
          <w:b/>
        </w:rPr>
        <w:t>WYKAZ SUBSTANCJI POMOCNICZYCH</w:t>
      </w:r>
    </w:p>
    <w:p w14:paraId="5228C27F" w14:textId="77777777" w:rsidR="00812D16" w:rsidRPr="00D90165" w:rsidRDefault="00812D16" w:rsidP="0056402B">
      <w:pPr>
        <w:keepNext/>
        <w:spacing w:line="240" w:lineRule="auto"/>
        <w:rPr>
          <w:noProof/>
          <w:szCs w:val="22"/>
        </w:rPr>
      </w:pPr>
    </w:p>
    <w:p w14:paraId="00BA56BC" w14:textId="77777777" w:rsidR="008E30AE" w:rsidRPr="00D90165" w:rsidRDefault="009C4EC4" w:rsidP="00855719">
      <w:pPr>
        <w:spacing w:line="240" w:lineRule="auto"/>
        <w:rPr>
          <w:szCs w:val="22"/>
        </w:rPr>
      </w:pPr>
      <w:r w:rsidRPr="00D90165">
        <w:t xml:space="preserve">Zawiera benzoesan sodu (E 211). </w:t>
      </w:r>
      <w:r w:rsidRPr="00D90165">
        <w:rPr>
          <w:highlight w:val="lightGray"/>
        </w:rPr>
        <w:t>Więcej informacji podano w ulotce.</w:t>
      </w:r>
    </w:p>
    <w:p w14:paraId="079E208C" w14:textId="77777777" w:rsidR="008E30AE" w:rsidRPr="00D90165" w:rsidRDefault="008E30AE" w:rsidP="00855719">
      <w:pPr>
        <w:spacing w:line="240" w:lineRule="auto"/>
        <w:rPr>
          <w:noProof/>
          <w:szCs w:val="22"/>
        </w:rPr>
      </w:pPr>
    </w:p>
    <w:p w14:paraId="585361D1" w14:textId="77777777" w:rsidR="00812D16" w:rsidRPr="00D90165" w:rsidRDefault="00812D16" w:rsidP="00855719">
      <w:pPr>
        <w:spacing w:line="240" w:lineRule="auto"/>
        <w:rPr>
          <w:noProof/>
          <w:szCs w:val="22"/>
        </w:rPr>
      </w:pPr>
    </w:p>
    <w:p w14:paraId="11DC74CB" w14:textId="77777777" w:rsidR="00812D16"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90165">
        <w:rPr>
          <w:rStyle w:val="DNEx2"/>
        </w:rPr>
        <w:t>4.</w:t>
      </w:r>
      <w:r w:rsidRPr="00D90165">
        <w:rPr>
          <w:rStyle w:val="DNEx2"/>
        </w:rPr>
        <w:tab/>
      </w:r>
      <w:r w:rsidRPr="00D90165">
        <w:rPr>
          <w:b/>
        </w:rPr>
        <w:t>POSTAĆ FARMACEUTYCZNA I ZAWARTOŚĆ OPAKOWANIA</w:t>
      </w:r>
    </w:p>
    <w:p w14:paraId="51795414" w14:textId="77777777" w:rsidR="00812D16" w:rsidRPr="00D90165" w:rsidRDefault="00812D16" w:rsidP="0056402B">
      <w:pPr>
        <w:keepNext/>
        <w:spacing w:line="240" w:lineRule="auto"/>
        <w:rPr>
          <w:noProof/>
          <w:szCs w:val="22"/>
        </w:rPr>
      </w:pPr>
    </w:p>
    <w:p w14:paraId="369B7648" w14:textId="77777777" w:rsidR="00F40E7B" w:rsidRPr="00D90165" w:rsidRDefault="009C4EC4" w:rsidP="00855719">
      <w:pPr>
        <w:spacing w:line="240" w:lineRule="auto"/>
        <w:rPr>
          <w:noProof/>
        </w:rPr>
      </w:pPr>
      <w:r w:rsidRPr="00D90165">
        <w:rPr>
          <w:highlight w:val="lightGray"/>
        </w:rPr>
        <w:t>Zawiesina doustna</w:t>
      </w:r>
    </w:p>
    <w:p w14:paraId="05157B08" w14:textId="77777777" w:rsidR="00F40E7B" w:rsidRPr="00D90165" w:rsidRDefault="00F40E7B" w:rsidP="00855719">
      <w:pPr>
        <w:spacing w:line="240" w:lineRule="auto"/>
        <w:rPr>
          <w:noProof/>
          <w:szCs w:val="22"/>
        </w:rPr>
      </w:pPr>
    </w:p>
    <w:p w14:paraId="241D9157" w14:textId="77777777" w:rsidR="008E30AE" w:rsidRPr="00D90165" w:rsidRDefault="009C4EC4" w:rsidP="00855719">
      <w:pPr>
        <w:spacing w:line="240" w:lineRule="auto"/>
        <w:rPr>
          <w:noProof/>
          <w:szCs w:val="22"/>
        </w:rPr>
      </w:pPr>
      <w:r w:rsidRPr="00D90165">
        <w:t xml:space="preserve">1 butelka zawierająca 100 ml </w:t>
      </w:r>
      <w:r w:rsidRPr="00D90165">
        <w:rPr>
          <w:highlight w:val="lightGray"/>
        </w:rPr>
        <w:t>zawiesiny doustnej.</w:t>
      </w:r>
    </w:p>
    <w:p w14:paraId="1D5D6942" w14:textId="77777777" w:rsidR="008E30AE" w:rsidRPr="00D90165" w:rsidRDefault="009C4EC4" w:rsidP="00855719">
      <w:pPr>
        <w:spacing w:line="240" w:lineRule="auto"/>
        <w:rPr>
          <w:noProof/>
        </w:rPr>
      </w:pPr>
      <w:r w:rsidRPr="00D90165">
        <w:t>1 adapter do butelki (wciskany do butelki).</w:t>
      </w:r>
    </w:p>
    <w:p w14:paraId="239BDABA" w14:textId="77777777" w:rsidR="008E30AE" w:rsidRPr="00D90165" w:rsidRDefault="009C4EC4" w:rsidP="00855719">
      <w:pPr>
        <w:spacing w:line="240" w:lineRule="auto"/>
        <w:rPr>
          <w:noProof/>
        </w:rPr>
      </w:pPr>
      <w:r w:rsidRPr="00D90165">
        <w:t>Dwie strzykawki doustne o pojemności 8 ml.</w:t>
      </w:r>
    </w:p>
    <w:p w14:paraId="2D22CB91" w14:textId="77777777" w:rsidR="008E30AE" w:rsidRPr="00D90165" w:rsidRDefault="008E30AE" w:rsidP="00855719">
      <w:pPr>
        <w:spacing w:line="240" w:lineRule="auto"/>
        <w:rPr>
          <w:noProof/>
          <w:szCs w:val="22"/>
        </w:rPr>
      </w:pPr>
    </w:p>
    <w:p w14:paraId="2AE843C8" w14:textId="77777777" w:rsidR="00812D16" w:rsidRPr="00D90165" w:rsidRDefault="00812D16" w:rsidP="00855719">
      <w:pPr>
        <w:spacing w:line="240" w:lineRule="auto"/>
        <w:rPr>
          <w:noProof/>
          <w:szCs w:val="22"/>
        </w:rPr>
      </w:pPr>
    </w:p>
    <w:p w14:paraId="2B7D1BC9" w14:textId="77777777" w:rsidR="00812D16"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90165">
        <w:rPr>
          <w:rStyle w:val="DNEx2"/>
        </w:rPr>
        <w:t>5.</w:t>
      </w:r>
      <w:r w:rsidRPr="00D90165">
        <w:rPr>
          <w:rStyle w:val="DNEx2"/>
        </w:rPr>
        <w:tab/>
      </w:r>
      <w:r w:rsidRPr="00D90165">
        <w:rPr>
          <w:b/>
        </w:rPr>
        <w:t>SPOSÓB I DROGA PODANIA</w:t>
      </w:r>
    </w:p>
    <w:p w14:paraId="799FB679" w14:textId="77777777" w:rsidR="00F515DE" w:rsidRPr="00D90165" w:rsidRDefault="00F515DE" w:rsidP="0056402B">
      <w:pPr>
        <w:keepNext/>
        <w:spacing w:line="240" w:lineRule="auto"/>
        <w:rPr>
          <w:noProof/>
        </w:rPr>
      </w:pPr>
    </w:p>
    <w:p w14:paraId="7F283298" w14:textId="77777777" w:rsidR="00812D16" w:rsidRPr="00D90165" w:rsidRDefault="009C4EC4" w:rsidP="00855719">
      <w:pPr>
        <w:spacing w:line="240" w:lineRule="auto"/>
        <w:rPr>
          <w:noProof/>
        </w:rPr>
      </w:pPr>
      <w:r w:rsidRPr="00D90165">
        <w:t>Dobrze wstrząsnąć przed użyciem.</w:t>
      </w:r>
    </w:p>
    <w:p w14:paraId="4429EE20" w14:textId="77777777" w:rsidR="008E30AE" w:rsidRPr="00D90165" w:rsidRDefault="009C4EC4" w:rsidP="00855719">
      <w:pPr>
        <w:spacing w:line="240" w:lineRule="auto"/>
        <w:rPr>
          <w:noProof/>
          <w:szCs w:val="22"/>
        </w:rPr>
      </w:pPr>
      <w:r w:rsidRPr="00D90165">
        <w:t>Przed zastosowaniem leku należy zapoznać się z treścią ulotki.</w:t>
      </w:r>
    </w:p>
    <w:p w14:paraId="17A113AD" w14:textId="77777777" w:rsidR="008E30AE" w:rsidRPr="00D90165" w:rsidRDefault="009C4EC4" w:rsidP="00855719">
      <w:pPr>
        <w:autoSpaceDE w:val="0"/>
        <w:autoSpaceDN w:val="0"/>
        <w:adjustRightInd w:val="0"/>
        <w:spacing w:line="240" w:lineRule="auto"/>
        <w:rPr>
          <w:szCs w:val="22"/>
        </w:rPr>
      </w:pPr>
      <w:r w:rsidRPr="00D90165">
        <w:t>Podanie doustne.</w:t>
      </w:r>
    </w:p>
    <w:p w14:paraId="197C835B" w14:textId="77777777" w:rsidR="00812D16" w:rsidRPr="00D90165" w:rsidRDefault="00812D16" w:rsidP="00855719">
      <w:pPr>
        <w:spacing w:line="240" w:lineRule="auto"/>
        <w:rPr>
          <w:noProof/>
          <w:szCs w:val="22"/>
        </w:rPr>
      </w:pPr>
    </w:p>
    <w:p w14:paraId="58C7F3AD" w14:textId="77777777" w:rsidR="00812D16" w:rsidRPr="00D90165" w:rsidRDefault="00812D16" w:rsidP="00855719">
      <w:pPr>
        <w:spacing w:line="240" w:lineRule="auto"/>
        <w:rPr>
          <w:noProof/>
          <w:szCs w:val="22"/>
        </w:rPr>
      </w:pPr>
    </w:p>
    <w:p w14:paraId="09DC27D7" w14:textId="77777777" w:rsidR="00812D16"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90165">
        <w:rPr>
          <w:rStyle w:val="DNEx2"/>
        </w:rPr>
        <w:t>6.</w:t>
      </w:r>
      <w:r w:rsidRPr="00D90165">
        <w:rPr>
          <w:rStyle w:val="DNEx2"/>
        </w:rPr>
        <w:tab/>
      </w:r>
      <w:r w:rsidRPr="00D90165">
        <w:rPr>
          <w:b/>
        </w:rPr>
        <w:t>OSTRZEŻENIE DOTYCZĄCE PRZECHOWYWANIA PRODUKTU LECZNICZEGO W MIEJSCU NIEWIDOCZNYM I NIEDOSTĘPNYM DLA DZIECI</w:t>
      </w:r>
    </w:p>
    <w:p w14:paraId="5DF11D79" w14:textId="77777777" w:rsidR="00812D16" w:rsidRPr="00D90165" w:rsidRDefault="00812D16" w:rsidP="0056402B">
      <w:pPr>
        <w:keepNext/>
        <w:spacing w:line="240" w:lineRule="auto"/>
        <w:rPr>
          <w:noProof/>
          <w:szCs w:val="22"/>
        </w:rPr>
      </w:pPr>
    </w:p>
    <w:p w14:paraId="060497E8" w14:textId="77777777" w:rsidR="00812D16" w:rsidRPr="00D90165" w:rsidRDefault="009C4EC4" w:rsidP="00855719">
      <w:pPr>
        <w:spacing w:line="240" w:lineRule="auto"/>
        <w:rPr>
          <w:noProof/>
          <w:szCs w:val="22"/>
        </w:rPr>
      </w:pPr>
      <w:r w:rsidRPr="00D90165">
        <w:t>Lek przechowywać w miejscu niewidocznym i niedostępnym dla dzieci.</w:t>
      </w:r>
    </w:p>
    <w:p w14:paraId="794456CD" w14:textId="77777777" w:rsidR="00812D16" w:rsidRPr="00D90165" w:rsidRDefault="00812D16" w:rsidP="00855719">
      <w:pPr>
        <w:spacing w:line="240" w:lineRule="auto"/>
        <w:rPr>
          <w:noProof/>
          <w:szCs w:val="22"/>
        </w:rPr>
      </w:pPr>
    </w:p>
    <w:p w14:paraId="4DC2E72A" w14:textId="77777777" w:rsidR="0036104F" w:rsidRPr="00D90165" w:rsidRDefault="0036104F" w:rsidP="00855719">
      <w:pPr>
        <w:spacing w:line="240" w:lineRule="auto"/>
        <w:rPr>
          <w:noProof/>
          <w:szCs w:val="22"/>
        </w:rPr>
      </w:pPr>
    </w:p>
    <w:p w14:paraId="492B174A" w14:textId="77777777" w:rsidR="00812D16" w:rsidRPr="00D90165" w:rsidRDefault="009C4EC4"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90165">
        <w:rPr>
          <w:rStyle w:val="DNEx2"/>
        </w:rPr>
        <w:t>7.</w:t>
      </w:r>
      <w:r w:rsidRPr="00D90165">
        <w:rPr>
          <w:rStyle w:val="DNEx2"/>
        </w:rPr>
        <w:tab/>
      </w:r>
      <w:r w:rsidRPr="00D90165">
        <w:rPr>
          <w:b/>
        </w:rPr>
        <w:t>INNE OSTRZEŻENIA SPECJALNE, JEŚLI KONIECZNE</w:t>
      </w:r>
    </w:p>
    <w:p w14:paraId="15295457" w14:textId="77777777" w:rsidR="00812D16" w:rsidRPr="00D90165" w:rsidRDefault="00812D16" w:rsidP="00855719">
      <w:pPr>
        <w:spacing w:line="240" w:lineRule="auto"/>
        <w:rPr>
          <w:noProof/>
          <w:szCs w:val="22"/>
        </w:rPr>
      </w:pPr>
    </w:p>
    <w:p w14:paraId="6D955B01" w14:textId="77777777" w:rsidR="00812D16" w:rsidRPr="00D90165" w:rsidRDefault="00812D16" w:rsidP="00855719">
      <w:pPr>
        <w:tabs>
          <w:tab w:val="left" w:pos="749"/>
        </w:tabs>
        <w:spacing w:line="240" w:lineRule="auto"/>
      </w:pPr>
    </w:p>
    <w:p w14:paraId="15D1278F" w14:textId="77777777" w:rsidR="00812D16"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D90165">
        <w:rPr>
          <w:rStyle w:val="DNEx2"/>
        </w:rPr>
        <w:t>8.</w:t>
      </w:r>
      <w:r w:rsidRPr="00D90165">
        <w:rPr>
          <w:rStyle w:val="DNEx2"/>
        </w:rPr>
        <w:tab/>
      </w:r>
      <w:r w:rsidRPr="00D90165">
        <w:rPr>
          <w:b/>
        </w:rPr>
        <w:t>TERMIN WAŻNOŚCI</w:t>
      </w:r>
    </w:p>
    <w:p w14:paraId="13E74589" w14:textId="77777777" w:rsidR="00812D16" w:rsidRPr="00D90165" w:rsidRDefault="00812D16" w:rsidP="0056402B">
      <w:pPr>
        <w:keepNext/>
        <w:spacing w:line="240" w:lineRule="auto"/>
      </w:pPr>
    </w:p>
    <w:p w14:paraId="2A634F2B" w14:textId="77777777" w:rsidR="008E30AE" w:rsidRPr="00D90165" w:rsidRDefault="009C4EC4" w:rsidP="00855719">
      <w:pPr>
        <w:spacing w:line="240" w:lineRule="auto"/>
      </w:pPr>
      <w:r w:rsidRPr="00D90165">
        <w:t>Termin ważności (EXP)</w:t>
      </w:r>
    </w:p>
    <w:p w14:paraId="3EE0F984" w14:textId="77777777" w:rsidR="00221C15" w:rsidRPr="00D90165" w:rsidRDefault="009C4EC4" w:rsidP="00855719">
      <w:pPr>
        <w:spacing w:line="240" w:lineRule="auto"/>
      </w:pPr>
      <w:r w:rsidRPr="00D90165">
        <w:t>Po pierwszym otwarciu butelkę należy przechowywać w pozycji pionowej w lodówce.</w:t>
      </w:r>
    </w:p>
    <w:p w14:paraId="57D10F13" w14:textId="77777777" w:rsidR="00221C15" w:rsidRPr="00D90165" w:rsidRDefault="009C4EC4" w:rsidP="00855719">
      <w:pPr>
        <w:spacing w:line="240" w:lineRule="auto"/>
      </w:pPr>
      <w:r w:rsidRPr="00D90165">
        <w:t>Należy wyrzucić pozostałą zawiesinę w ciągu 3 miesięcy od pierwszego otwarcia.</w:t>
      </w:r>
    </w:p>
    <w:p w14:paraId="0A3C28BE" w14:textId="77777777" w:rsidR="00DD5723" w:rsidRPr="00D90165" w:rsidRDefault="00DD5723" w:rsidP="00855719">
      <w:pPr>
        <w:spacing w:line="240" w:lineRule="auto"/>
      </w:pPr>
    </w:p>
    <w:p w14:paraId="40F3B686" w14:textId="77777777" w:rsidR="00DD5723" w:rsidRPr="00D90165" w:rsidRDefault="009C4EC4" w:rsidP="00855719">
      <w:pPr>
        <w:spacing w:line="240" w:lineRule="auto"/>
      </w:pPr>
      <w:r w:rsidRPr="00D90165">
        <w:t>Data pierwszego otwarcia:</w:t>
      </w:r>
    </w:p>
    <w:p w14:paraId="60AE00AE" w14:textId="77777777" w:rsidR="008E30AE" w:rsidRPr="00D90165" w:rsidRDefault="008E30AE" w:rsidP="00855719">
      <w:pPr>
        <w:spacing w:line="240" w:lineRule="auto"/>
      </w:pPr>
    </w:p>
    <w:p w14:paraId="0E5CF06D" w14:textId="77777777" w:rsidR="00812D16" w:rsidRPr="00D90165" w:rsidRDefault="00812D16" w:rsidP="00855719">
      <w:pPr>
        <w:spacing w:line="240" w:lineRule="auto"/>
        <w:rPr>
          <w:noProof/>
          <w:szCs w:val="22"/>
        </w:rPr>
      </w:pPr>
    </w:p>
    <w:p w14:paraId="1E803794" w14:textId="77777777" w:rsidR="00812D16" w:rsidRPr="00D90165" w:rsidRDefault="009C4EC4"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90165">
        <w:rPr>
          <w:rStyle w:val="DNEx2"/>
        </w:rPr>
        <w:lastRenderedPageBreak/>
        <w:t>9.</w:t>
      </w:r>
      <w:r w:rsidRPr="00D90165">
        <w:rPr>
          <w:rStyle w:val="DNEx2"/>
        </w:rPr>
        <w:tab/>
      </w:r>
      <w:r w:rsidRPr="00D90165">
        <w:rPr>
          <w:b/>
        </w:rPr>
        <w:t>WARUNKI PRZECHOWYWANIA</w:t>
      </w:r>
    </w:p>
    <w:p w14:paraId="37E0E229" w14:textId="77777777" w:rsidR="00812D16" w:rsidRPr="00D90165" w:rsidRDefault="00812D16" w:rsidP="00855719">
      <w:pPr>
        <w:spacing w:line="240" w:lineRule="auto"/>
        <w:rPr>
          <w:noProof/>
          <w:szCs w:val="22"/>
        </w:rPr>
      </w:pPr>
    </w:p>
    <w:p w14:paraId="49511DFA" w14:textId="77777777" w:rsidR="00812D16" w:rsidRPr="00D90165" w:rsidRDefault="00812D16" w:rsidP="00855719">
      <w:pPr>
        <w:spacing w:line="240" w:lineRule="auto"/>
        <w:ind w:left="567" w:hanging="567"/>
        <w:rPr>
          <w:noProof/>
          <w:szCs w:val="22"/>
        </w:rPr>
      </w:pPr>
    </w:p>
    <w:p w14:paraId="47F7ECEA" w14:textId="77777777" w:rsidR="008E30AE" w:rsidRPr="00D90165" w:rsidRDefault="008E30AE" w:rsidP="00855719">
      <w:pPr>
        <w:spacing w:line="240" w:lineRule="auto"/>
        <w:ind w:left="567" w:hanging="567"/>
        <w:rPr>
          <w:noProof/>
          <w:szCs w:val="22"/>
        </w:rPr>
      </w:pPr>
    </w:p>
    <w:p w14:paraId="0D48B8D5" w14:textId="77777777" w:rsidR="00812D16" w:rsidRPr="00D90165" w:rsidRDefault="009C4EC4"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D90165">
        <w:rPr>
          <w:rStyle w:val="DNEx2"/>
        </w:rPr>
        <w:t>10.</w:t>
      </w:r>
      <w:r w:rsidRPr="00D90165">
        <w:rPr>
          <w:rStyle w:val="DNEx2"/>
        </w:rPr>
        <w:tab/>
      </w:r>
      <w:r w:rsidRPr="00D90165">
        <w:rPr>
          <w:b/>
        </w:rPr>
        <w:t>SPECJALNE ŚRODKI OSTROŻNOŚCI DOTYCZĄCE USUWANIA NIEZUŻYTEGO PRODUKTU LECZNICZEGO LUB POCHODZĄCYCH Z NIEGO ODPADÓW, JEŚLI WŁAŚCIWE</w:t>
      </w:r>
    </w:p>
    <w:p w14:paraId="39E78577" w14:textId="77777777" w:rsidR="00812D16" w:rsidRPr="00D90165" w:rsidRDefault="00812D16" w:rsidP="00855719">
      <w:pPr>
        <w:spacing w:line="240" w:lineRule="auto"/>
        <w:rPr>
          <w:noProof/>
          <w:szCs w:val="22"/>
        </w:rPr>
      </w:pPr>
    </w:p>
    <w:p w14:paraId="01F80804" w14:textId="77777777" w:rsidR="008E30AE" w:rsidRPr="00D90165" w:rsidRDefault="008E30AE" w:rsidP="00855719">
      <w:pPr>
        <w:spacing w:line="240" w:lineRule="auto"/>
        <w:rPr>
          <w:noProof/>
          <w:szCs w:val="22"/>
        </w:rPr>
      </w:pPr>
    </w:p>
    <w:p w14:paraId="23583681" w14:textId="77777777" w:rsidR="00812D16" w:rsidRPr="00D90165" w:rsidRDefault="00812D16" w:rsidP="00855719">
      <w:pPr>
        <w:spacing w:line="240" w:lineRule="auto"/>
        <w:rPr>
          <w:noProof/>
          <w:szCs w:val="22"/>
        </w:rPr>
      </w:pPr>
    </w:p>
    <w:p w14:paraId="0A2FBD6C" w14:textId="77777777" w:rsidR="00812D16"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D90165">
        <w:rPr>
          <w:rStyle w:val="DNEx2"/>
        </w:rPr>
        <w:t>11.</w:t>
      </w:r>
      <w:r w:rsidRPr="00D90165">
        <w:rPr>
          <w:rStyle w:val="DNEx2"/>
        </w:rPr>
        <w:tab/>
      </w:r>
      <w:r w:rsidRPr="00D90165">
        <w:rPr>
          <w:b/>
        </w:rPr>
        <w:t>NAZWA I ADRES PODMIOTU ODPOWIEDZIALNEGO</w:t>
      </w:r>
    </w:p>
    <w:p w14:paraId="64829872" w14:textId="77777777" w:rsidR="00812D16" w:rsidRPr="00D90165" w:rsidRDefault="00812D16" w:rsidP="0056402B">
      <w:pPr>
        <w:keepNext/>
        <w:spacing w:line="240" w:lineRule="auto"/>
        <w:rPr>
          <w:noProof/>
          <w:szCs w:val="22"/>
        </w:rPr>
      </w:pPr>
    </w:p>
    <w:p w14:paraId="011F40CF" w14:textId="77777777" w:rsidR="008E30AE" w:rsidRPr="00D90165" w:rsidRDefault="009C4EC4" w:rsidP="00855719">
      <w:pPr>
        <w:spacing w:line="240" w:lineRule="auto"/>
        <w:rPr>
          <w:szCs w:val="22"/>
        </w:rPr>
      </w:pPr>
      <w:r w:rsidRPr="00D90165">
        <w:t>Santhera Pharmaceuticals (Deutschland) GmbH</w:t>
      </w:r>
    </w:p>
    <w:p w14:paraId="2705EE30" w14:textId="77777777" w:rsidR="008E30AE" w:rsidRPr="00E80238" w:rsidRDefault="009C4EC4" w:rsidP="00855719">
      <w:pPr>
        <w:spacing w:line="240" w:lineRule="auto"/>
        <w:rPr>
          <w:szCs w:val="22"/>
        </w:rPr>
      </w:pPr>
      <w:r w:rsidRPr="00E80238">
        <w:t>Marie-Curie-Strasse 8</w:t>
      </w:r>
    </w:p>
    <w:p w14:paraId="298F68A1" w14:textId="77777777" w:rsidR="008E30AE" w:rsidRPr="00E80238" w:rsidRDefault="009C4EC4" w:rsidP="00855719">
      <w:pPr>
        <w:spacing w:line="240" w:lineRule="auto"/>
        <w:rPr>
          <w:szCs w:val="22"/>
        </w:rPr>
      </w:pPr>
      <w:r w:rsidRPr="00E80238">
        <w:t>D-79539 Lörrach</w:t>
      </w:r>
    </w:p>
    <w:p w14:paraId="7DADA883" w14:textId="77777777" w:rsidR="008E30AE" w:rsidRPr="00E80238" w:rsidRDefault="009C4EC4" w:rsidP="00855719">
      <w:pPr>
        <w:spacing w:line="240" w:lineRule="auto"/>
        <w:rPr>
          <w:szCs w:val="22"/>
        </w:rPr>
      </w:pPr>
      <w:r w:rsidRPr="00E80238">
        <w:t>Niemcy</w:t>
      </w:r>
    </w:p>
    <w:p w14:paraId="0A269EBE" w14:textId="77777777" w:rsidR="00812D16" w:rsidRPr="00E80238" w:rsidRDefault="00812D16" w:rsidP="00855719">
      <w:pPr>
        <w:spacing w:line="240" w:lineRule="auto"/>
        <w:rPr>
          <w:noProof/>
          <w:szCs w:val="22"/>
        </w:rPr>
      </w:pPr>
    </w:p>
    <w:p w14:paraId="06A4A589" w14:textId="77777777" w:rsidR="00812D16" w:rsidRPr="00E80238" w:rsidRDefault="00812D16" w:rsidP="00855719">
      <w:pPr>
        <w:spacing w:line="240" w:lineRule="auto"/>
        <w:rPr>
          <w:noProof/>
          <w:szCs w:val="22"/>
        </w:rPr>
      </w:pPr>
    </w:p>
    <w:p w14:paraId="756F2952" w14:textId="77777777" w:rsidR="00812D16"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D90165">
        <w:rPr>
          <w:rStyle w:val="DNEx2"/>
        </w:rPr>
        <w:t>12.</w:t>
      </w:r>
      <w:r w:rsidRPr="00D90165">
        <w:rPr>
          <w:rStyle w:val="DNEx2"/>
        </w:rPr>
        <w:tab/>
      </w:r>
      <w:r w:rsidRPr="00D90165">
        <w:rPr>
          <w:b/>
        </w:rPr>
        <w:t>NUMER POZWOLENIA NA DOPUSZCZENIE DO OBROTU</w:t>
      </w:r>
    </w:p>
    <w:p w14:paraId="4491239A" w14:textId="77777777" w:rsidR="00812D16" w:rsidRPr="00D90165" w:rsidRDefault="00812D16" w:rsidP="0056402B">
      <w:pPr>
        <w:keepNext/>
        <w:spacing w:line="240" w:lineRule="auto"/>
        <w:rPr>
          <w:noProof/>
          <w:szCs w:val="22"/>
        </w:rPr>
      </w:pPr>
    </w:p>
    <w:p w14:paraId="0F0FABAE" w14:textId="77777777" w:rsidR="00812D16" w:rsidRPr="00E80238" w:rsidRDefault="009C4EC4" w:rsidP="00855719">
      <w:pPr>
        <w:spacing w:line="240" w:lineRule="auto"/>
        <w:outlineLvl w:val="0"/>
        <w:rPr>
          <w:noProof/>
          <w:szCs w:val="22"/>
        </w:rPr>
      </w:pPr>
      <w:r w:rsidRPr="00E80238">
        <w:t>EU/1/23/1776/001</w:t>
      </w:r>
    </w:p>
    <w:p w14:paraId="6739F8CB" w14:textId="77777777" w:rsidR="00812D16" w:rsidRPr="00E80238" w:rsidRDefault="00812D16" w:rsidP="00855719">
      <w:pPr>
        <w:spacing w:line="240" w:lineRule="auto"/>
        <w:rPr>
          <w:noProof/>
          <w:szCs w:val="22"/>
        </w:rPr>
      </w:pPr>
    </w:p>
    <w:p w14:paraId="360A61A2" w14:textId="77777777" w:rsidR="00812D16" w:rsidRPr="00E80238" w:rsidRDefault="00812D16" w:rsidP="00855719">
      <w:pPr>
        <w:spacing w:line="240" w:lineRule="auto"/>
        <w:rPr>
          <w:noProof/>
          <w:szCs w:val="22"/>
        </w:rPr>
      </w:pPr>
    </w:p>
    <w:p w14:paraId="47504E2E" w14:textId="77777777" w:rsidR="00812D16" w:rsidRPr="00E80238" w:rsidRDefault="009C4EC4" w:rsidP="0056402B">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80238">
        <w:rPr>
          <w:rStyle w:val="DNEx2"/>
        </w:rPr>
        <w:t>13.</w:t>
      </w:r>
      <w:r w:rsidRPr="00E80238">
        <w:rPr>
          <w:rStyle w:val="DNEx2"/>
        </w:rPr>
        <w:tab/>
      </w:r>
      <w:r w:rsidRPr="00E80238">
        <w:rPr>
          <w:b/>
        </w:rPr>
        <w:t>NUMER SERII</w:t>
      </w:r>
    </w:p>
    <w:p w14:paraId="6ED41BBE" w14:textId="77777777" w:rsidR="00812D16" w:rsidRPr="00E80238" w:rsidRDefault="00812D16" w:rsidP="0056402B">
      <w:pPr>
        <w:keepNext/>
        <w:spacing w:line="240" w:lineRule="auto"/>
        <w:rPr>
          <w:i/>
          <w:noProof/>
          <w:szCs w:val="22"/>
        </w:rPr>
      </w:pPr>
    </w:p>
    <w:p w14:paraId="5A392A7A" w14:textId="77777777" w:rsidR="008E30AE" w:rsidRPr="00E80238" w:rsidRDefault="009C4EC4" w:rsidP="00855719">
      <w:pPr>
        <w:spacing w:line="240" w:lineRule="auto"/>
      </w:pPr>
      <w:r w:rsidRPr="00E80238">
        <w:t>Numer serii (Lot)</w:t>
      </w:r>
    </w:p>
    <w:p w14:paraId="5E1F7E3C" w14:textId="77777777" w:rsidR="008E30AE" w:rsidRPr="00E80238" w:rsidRDefault="008E30AE" w:rsidP="00855719">
      <w:pPr>
        <w:spacing w:line="240" w:lineRule="auto"/>
        <w:rPr>
          <w:i/>
          <w:noProof/>
          <w:szCs w:val="22"/>
        </w:rPr>
      </w:pPr>
    </w:p>
    <w:p w14:paraId="793A9D8F" w14:textId="77777777" w:rsidR="00812D16" w:rsidRPr="00E80238" w:rsidRDefault="00812D16" w:rsidP="00855719">
      <w:pPr>
        <w:spacing w:line="240" w:lineRule="auto"/>
        <w:rPr>
          <w:noProof/>
          <w:szCs w:val="22"/>
        </w:rPr>
      </w:pPr>
    </w:p>
    <w:p w14:paraId="58BB6804" w14:textId="77777777" w:rsidR="00812D16" w:rsidRPr="00D90165" w:rsidRDefault="009C4EC4" w:rsidP="00855719">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D90165">
        <w:rPr>
          <w:rStyle w:val="DNEx2"/>
        </w:rPr>
        <w:t>14.</w:t>
      </w:r>
      <w:r w:rsidRPr="00D90165">
        <w:rPr>
          <w:rStyle w:val="DNEx2"/>
        </w:rPr>
        <w:tab/>
      </w:r>
      <w:r w:rsidRPr="00D90165">
        <w:rPr>
          <w:b/>
        </w:rPr>
        <w:t>OGÓLNA KATEGORIA DOSTĘPNOŚCI</w:t>
      </w:r>
    </w:p>
    <w:p w14:paraId="28923F0A" w14:textId="77777777" w:rsidR="00812D16" w:rsidRPr="00D90165" w:rsidRDefault="00812D16" w:rsidP="00855719">
      <w:pPr>
        <w:spacing w:line="240" w:lineRule="auto"/>
        <w:rPr>
          <w:i/>
          <w:noProof/>
          <w:szCs w:val="22"/>
        </w:rPr>
      </w:pPr>
    </w:p>
    <w:p w14:paraId="0D893774" w14:textId="77777777" w:rsidR="008E30AE" w:rsidRPr="00D90165" w:rsidRDefault="008E30AE" w:rsidP="00855719">
      <w:pPr>
        <w:spacing w:line="240" w:lineRule="auto"/>
        <w:rPr>
          <w:i/>
          <w:noProof/>
          <w:szCs w:val="22"/>
        </w:rPr>
      </w:pPr>
    </w:p>
    <w:p w14:paraId="6421284B" w14:textId="77777777" w:rsidR="00812D16" w:rsidRPr="00D90165" w:rsidRDefault="00812D16" w:rsidP="00855719">
      <w:pPr>
        <w:spacing w:line="240" w:lineRule="auto"/>
        <w:rPr>
          <w:noProof/>
          <w:szCs w:val="22"/>
        </w:rPr>
      </w:pPr>
    </w:p>
    <w:p w14:paraId="6713A634" w14:textId="77777777" w:rsidR="00812D16" w:rsidRPr="00D90165" w:rsidRDefault="009C4EC4" w:rsidP="00855719">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D90165">
        <w:rPr>
          <w:rStyle w:val="DNEx2"/>
        </w:rPr>
        <w:t>15.</w:t>
      </w:r>
      <w:r w:rsidRPr="00D90165">
        <w:rPr>
          <w:rStyle w:val="DNEx2"/>
        </w:rPr>
        <w:tab/>
      </w:r>
      <w:r w:rsidRPr="00D90165">
        <w:rPr>
          <w:b/>
        </w:rPr>
        <w:t>INSTRUKCJA UŻYCIA</w:t>
      </w:r>
    </w:p>
    <w:p w14:paraId="77DBF460" w14:textId="77777777" w:rsidR="00812D16" w:rsidRPr="00D90165" w:rsidRDefault="00812D16" w:rsidP="00855719">
      <w:pPr>
        <w:spacing w:line="240" w:lineRule="auto"/>
        <w:rPr>
          <w:noProof/>
          <w:szCs w:val="22"/>
        </w:rPr>
      </w:pPr>
    </w:p>
    <w:p w14:paraId="4C3AFEC3" w14:textId="77777777" w:rsidR="00812D16" w:rsidRPr="00D90165" w:rsidRDefault="00812D16" w:rsidP="00855719">
      <w:pPr>
        <w:spacing w:line="240" w:lineRule="auto"/>
        <w:rPr>
          <w:noProof/>
          <w:szCs w:val="22"/>
        </w:rPr>
      </w:pPr>
    </w:p>
    <w:p w14:paraId="0E4C4A4C" w14:textId="77777777" w:rsidR="00812D16" w:rsidRPr="00D90165" w:rsidRDefault="009C4EC4" w:rsidP="0056402B">
      <w:pPr>
        <w:keepNext/>
        <w:pBdr>
          <w:top w:val="single" w:sz="4" w:space="1" w:color="auto"/>
          <w:left w:val="single" w:sz="4" w:space="4" w:color="auto"/>
          <w:bottom w:val="single" w:sz="4" w:space="0" w:color="auto"/>
          <w:right w:val="single" w:sz="4" w:space="4" w:color="auto"/>
        </w:pBdr>
        <w:spacing w:line="240" w:lineRule="auto"/>
        <w:rPr>
          <w:noProof/>
          <w:szCs w:val="22"/>
        </w:rPr>
      </w:pPr>
      <w:r w:rsidRPr="00D90165">
        <w:rPr>
          <w:rStyle w:val="DNEx2"/>
        </w:rPr>
        <w:t>16.</w:t>
      </w:r>
      <w:r w:rsidRPr="00D90165">
        <w:rPr>
          <w:rStyle w:val="DNEx2"/>
        </w:rPr>
        <w:tab/>
      </w:r>
      <w:r w:rsidRPr="00D90165">
        <w:rPr>
          <w:b/>
        </w:rPr>
        <w:t>INFORMACJA PODANA SYSTEMEM BRAILLE’A</w:t>
      </w:r>
    </w:p>
    <w:p w14:paraId="1FCAF5B7" w14:textId="77777777" w:rsidR="00812D16" w:rsidRPr="00D90165" w:rsidRDefault="00812D16" w:rsidP="0056402B">
      <w:pPr>
        <w:keepNext/>
        <w:spacing w:line="240" w:lineRule="auto"/>
        <w:rPr>
          <w:noProof/>
          <w:szCs w:val="22"/>
        </w:rPr>
      </w:pPr>
    </w:p>
    <w:p w14:paraId="4841387C" w14:textId="77777777" w:rsidR="008E30AE" w:rsidRPr="00D90165" w:rsidRDefault="009C4EC4" w:rsidP="00855719">
      <w:pPr>
        <w:spacing w:line="240" w:lineRule="auto"/>
        <w:rPr>
          <w:noProof/>
          <w:szCs w:val="22"/>
        </w:rPr>
      </w:pPr>
      <w:r w:rsidRPr="00D90165">
        <w:t>AGAMREE</w:t>
      </w:r>
    </w:p>
    <w:p w14:paraId="0920C012" w14:textId="77777777" w:rsidR="005C71E4" w:rsidRPr="00D90165" w:rsidRDefault="005C71E4" w:rsidP="00855719">
      <w:pPr>
        <w:spacing w:line="240" w:lineRule="auto"/>
        <w:rPr>
          <w:noProof/>
          <w:szCs w:val="22"/>
          <w:shd w:val="clear" w:color="auto" w:fill="CCCCCC"/>
        </w:rPr>
      </w:pPr>
    </w:p>
    <w:p w14:paraId="48752FE8" w14:textId="77777777" w:rsidR="005C71E4" w:rsidRPr="00D90165" w:rsidRDefault="005C71E4" w:rsidP="00855719">
      <w:pPr>
        <w:spacing w:line="240" w:lineRule="auto"/>
        <w:rPr>
          <w:noProof/>
          <w:szCs w:val="22"/>
          <w:shd w:val="clear" w:color="auto" w:fill="CCCCCC"/>
        </w:rPr>
      </w:pPr>
    </w:p>
    <w:p w14:paraId="52BBA80E" w14:textId="77777777" w:rsidR="005C71E4" w:rsidRPr="00D90165" w:rsidRDefault="009C4EC4" w:rsidP="0056402B">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D90165">
        <w:rPr>
          <w:rStyle w:val="DNEx2"/>
        </w:rPr>
        <w:t>17.</w:t>
      </w:r>
      <w:r w:rsidRPr="00D90165">
        <w:rPr>
          <w:rStyle w:val="DNEx2"/>
        </w:rPr>
        <w:tab/>
      </w:r>
      <w:r w:rsidRPr="00D90165">
        <w:rPr>
          <w:b/>
        </w:rPr>
        <w:t>NIEPOWTARZALNY IDENTYFIKATOR — KOD 2D</w:t>
      </w:r>
    </w:p>
    <w:p w14:paraId="042AF396" w14:textId="77777777" w:rsidR="005C71E4" w:rsidRPr="00D90165" w:rsidRDefault="005C71E4" w:rsidP="0056402B">
      <w:pPr>
        <w:keepNext/>
        <w:tabs>
          <w:tab w:val="clear" w:pos="567"/>
        </w:tabs>
        <w:spacing w:line="240" w:lineRule="auto"/>
        <w:rPr>
          <w:noProof/>
        </w:rPr>
      </w:pPr>
    </w:p>
    <w:p w14:paraId="7ECF7471" w14:textId="77777777" w:rsidR="005C71E4" w:rsidRPr="00D90165" w:rsidRDefault="009C4EC4" w:rsidP="00855719">
      <w:pPr>
        <w:spacing w:line="240" w:lineRule="auto"/>
        <w:rPr>
          <w:noProof/>
          <w:szCs w:val="22"/>
          <w:shd w:val="clear" w:color="auto" w:fill="CCCCCC"/>
        </w:rPr>
      </w:pPr>
      <w:r w:rsidRPr="00D90165">
        <w:rPr>
          <w:highlight w:val="lightGray"/>
        </w:rPr>
        <w:t>Obejmuje kod 2D będący nośnikiem niepowtarzalnego identyfikatora.</w:t>
      </w:r>
    </w:p>
    <w:p w14:paraId="77B300AB" w14:textId="77777777" w:rsidR="005C71E4" w:rsidRPr="00D90165" w:rsidRDefault="005C71E4" w:rsidP="00855719">
      <w:pPr>
        <w:spacing w:line="240" w:lineRule="auto"/>
        <w:rPr>
          <w:noProof/>
          <w:szCs w:val="22"/>
          <w:shd w:val="clear" w:color="auto" w:fill="CCCCCC"/>
        </w:rPr>
      </w:pPr>
    </w:p>
    <w:p w14:paraId="292D966F" w14:textId="77777777" w:rsidR="005C71E4" w:rsidRPr="00D90165" w:rsidRDefault="005C71E4" w:rsidP="00855719">
      <w:pPr>
        <w:tabs>
          <w:tab w:val="clear" w:pos="567"/>
        </w:tabs>
        <w:spacing w:line="240" w:lineRule="auto"/>
        <w:rPr>
          <w:noProof/>
        </w:rPr>
      </w:pPr>
    </w:p>
    <w:p w14:paraId="54F0F2F8" w14:textId="77777777" w:rsidR="005C71E4" w:rsidRPr="00D90165" w:rsidRDefault="009C4EC4" w:rsidP="0056402B">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D90165">
        <w:rPr>
          <w:rStyle w:val="DNEx2"/>
        </w:rPr>
        <w:t>18.</w:t>
      </w:r>
      <w:r w:rsidRPr="00D90165">
        <w:rPr>
          <w:rStyle w:val="DNEx2"/>
        </w:rPr>
        <w:tab/>
      </w:r>
      <w:r w:rsidRPr="00D90165">
        <w:rPr>
          <w:b/>
        </w:rPr>
        <w:t>NIEPOWTARZALNY IDENTYFIKATOR – DANE CZYTELNE DLA CZŁOWIEKA</w:t>
      </w:r>
    </w:p>
    <w:p w14:paraId="3AA5FB58" w14:textId="77777777" w:rsidR="005C71E4" w:rsidRPr="00D90165" w:rsidRDefault="005C71E4" w:rsidP="0056402B">
      <w:pPr>
        <w:keepNext/>
        <w:tabs>
          <w:tab w:val="clear" w:pos="567"/>
        </w:tabs>
        <w:spacing w:line="240" w:lineRule="auto"/>
        <w:rPr>
          <w:noProof/>
        </w:rPr>
      </w:pPr>
    </w:p>
    <w:p w14:paraId="0CA8445A" w14:textId="77777777" w:rsidR="008E30AE" w:rsidRPr="00D90165" w:rsidRDefault="009C4EC4" w:rsidP="00855719">
      <w:pPr>
        <w:spacing w:line="240" w:lineRule="auto"/>
        <w:rPr>
          <w:noProof/>
        </w:rPr>
      </w:pPr>
      <w:r w:rsidRPr="00D90165">
        <w:t>PC</w:t>
      </w:r>
    </w:p>
    <w:p w14:paraId="2E52DAF5" w14:textId="77777777" w:rsidR="008E30AE" w:rsidRPr="00D90165" w:rsidRDefault="009C4EC4" w:rsidP="00855719">
      <w:pPr>
        <w:spacing w:line="240" w:lineRule="auto"/>
        <w:rPr>
          <w:noProof/>
        </w:rPr>
      </w:pPr>
      <w:r w:rsidRPr="00D90165">
        <w:t>SN</w:t>
      </w:r>
    </w:p>
    <w:p w14:paraId="3BA6AD90" w14:textId="77777777" w:rsidR="00CB0AFE" w:rsidRPr="00D90165" w:rsidRDefault="009C4EC4" w:rsidP="00855719">
      <w:pPr>
        <w:spacing w:line="240" w:lineRule="auto"/>
        <w:rPr>
          <w:noProof/>
        </w:rPr>
      </w:pPr>
      <w:r w:rsidRPr="00D90165">
        <w:t>NN</w:t>
      </w:r>
    </w:p>
    <w:p w14:paraId="045D4EE0" w14:textId="77777777" w:rsidR="73D2FEC4" w:rsidRPr="00D90165" w:rsidRDefault="73D2FEC4" w:rsidP="00855719">
      <w:pPr>
        <w:spacing w:line="240" w:lineRule="auto"/>
        <w:rPr>
          <w:noProof/>
        </w:rPr>
      </w:pPr>
    </w:p>
    <w:p w14:paraId="0AA78786" w14:textId="77777777" w:rsidR="00A13AB7" w:rsidRPr="00D90165" w:rsidRDefault="00A13AB7" w:rsidP="00855719">
      <w:pPr>
        <w:spacing w:line="240" w:lineRule="auto"/>
        <w:rPr>
          <w:noProof/>
        </w:rPr>
      </w:pPr>
    </w:p>
    <w:p w14:paraId="5806D03B" w14:textId="77777777" w:rsidR="00A13AB7" w:rsidRPr="00D90165" w:rsidRDefault="00A13AB7" w:rsidP="00855719">
      <w:pPr>
        <w:spacing w:line="240" w:lineRule="auto"/>
        <w:rPr>
          <w:noProof/>
        </w:rPr>
      </w:pPr>
    </w:p>
    <w:p w14:paraId="186F5C40" w14:textId="77777777" w:rsidR="00A13AB7" w:rsidRPr="00D90165" w:rsidRDefault="00A13AB7" w:rsidP="00855719">
      <w:pPr>
        <w:spacing w:line="240" w:lineRule="auto"/>
        <w:rPr>
          <w:noProof/>
        </w:rPr>
      </w:pPr>
    </w:p>
    <w:p w14:paraId="0332BD8C" w14:textId="77777777" w:rsidR="35B2518E" w:rsidRPr="00D90165" w:rsidRDefault="35B2518E" w:rsidP="00855719">
      <w:pPr>
        <w:rPr>
          <w:noProof/>
          <w:szCs w:val="22"/>
        </w:rPr>
      </w:pPr>
    </w:p>
    <w:p w14:paraId="4C9E6379" w14:textId="77777777" w:rsidR="002818A8" w:rsidRPr="00D90165" w:rsidRDefault="009C4EC4" w:rsidP="00855719">
      <w:pPr>
        <w:pBdr>
          <w:top w:val="single" w:sz="4" w:space="1" w:color="auto"/>
          <w:left w:val="single" w:sz="4" w:space="4" w:color="auto"/>
          <w:bottom w:val="single" w:sz="4" w:space="1" w:color="auto"/>
          <w:right w:val="single" w:sz="4" w:space="4" w:color="auto"/>
        </w:pBdr>
        <w:spacing w:line="240" w:lineRule="auto"/>
        <w:rPr>
          <w:b/>
          <w:noProof/>
          <w:szCs w:val="22"/>
        </w:rPr>
      </w:pPr>
      <w:r w:rsidRPr="00D90165">
        <w:rPr>
          <w:b/>
        </w:rPr>
        <w:lastRenderedPageBreak/>
        <w:t>INFORMACJE ZAMIESZCZANE NA OPAKOWANIACH BEZPOŚREDNICH</w:t>
      </w:r>
    </w:p>
    <w:p w14:paraId="735AFAF6" w14:textId="77777777" w:rsidR="002818A8" w:rsidRPr="00D90165" w:rsidRDefault="002818A8" w:rsidP="0056402B">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45AB6B1" w14:textId="77777777" w:rsidR="002818A8"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rPr>
          <w:noProof/>
        </w:rPr>
      </w:pPr>
      <w:r w:rsidRPr="00D90165">
        <w:rPr>
          <w:b/>
        </w:rPr>
        <w:t>ETYKIETA BUTELKI</w:t>
      </w:r>
    </w:p>
    <w:p w14:paraId="271F5994" w14:textId="77777777" w:rsidR="002818A8" w:rsidRPr="00D90165" w:rsidRDefault="002818A8" w:rsidP="0056402B">
      <w:pPr>
        <w:keepNext/>
        <w:spacing w:line="240" w:lineRule="auto"/>
      </w:pPr>
    </w:p>
    <w:p w14:paraId="78BC3BDC" w14:textId="77777777" w:rsidR="002818A8" w:rsidRPr="00D90165" w:rsidRDefault="002818A8" w:rsidP="0056402B">
      <w:pPr>
        <w:keepNext/>
        <w:spacing w:line="240" w:lineRule="auto"/>
        <w:rPr>
          <w:noProof/>
          <w:szCs w:val="22"/>
        </w:rPr>
      </w:pPr>
    </w:p>
    <w:p w14:paraId="6851507E" w14:textId="77777777" w:rsidR="002818A8"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D90165">
        <w:rPr>
          <w:rStyle w:val="DNEx2"/>
        </w:rPr>
        <w:t>1.</w:t>
      </w:r>
      <w:r w:rsidRPr="00D90165">
        <w:rPr>
          <w:rStyle w:val="DNEx2"/>
        </w:rPr>
        <w:tab/>
      </w:r>
      <w:r w:rsidRPr="00D90165">
        <w:rPr>
          <w:b/>
        </w:rPr>
        <w:t>NAZWA PRODUKTU LECZNICZEGO</w:t>
      </w:r>
    </w:p>
    <w:p w14:paraId="1289EF6E" w14:textId="77777777" w:rsidR="002818A8" w:rsidRPr="00D90165" w:rsidRDefault="002818A8" w:rsidP="0056402B">
      <w:pPr>
        <w:keepNext/>
        <w:spacing w:line="240" w:lineRule="auto"/>
        <w:rPr>
          <w:noProof/>
          <w:szCs w:val="22"/>
        </w:rPr>
      </w:pPr>
    </w:p>
    <w:p w14:paraId="50B319E3" w14:textId="77777777" w:rsidR="002818A8" w:rsidRPr="00D90165" w:rsidRDefault="009C4EC4" w:rsidP="00855719">
      <w:pPr>
        <w:spacing w:line="240" w:lineRule="auto"/>
        <w:rPr>
          <w:noProof/>
          <w:szCs w:val="22"/>
        </w:rPr>
      </w:pPr>
      <w:r w:rsidRPr="00D90165">
        <w:t>AGAMREE 40 mg/ml zawiesina doustna</w:t>
      </w:r>
    </w:p>
    <w:p w14:paraId="01F50BE2" w14:textId="77777777" w:rsidR="06828FCF" w:rsidRPr="00D90165" w:rsidRDefault="009C4EC4" w:rsidP="00855719">
      <w:pPr>
        <w:rPr>
          <w:noProof/>
          <w:szCs w:val="22"/>
        </w:rPr>
      </w:pPr>
      <w:r w:rsidRPr="00D90165">
        <w:t>wamorolon</w:t>
      </w:r>
    </w:p>
    <w:p w14:paraId="30D59E97" w14:textId="77777777" w:rsidR="00060891" w:rsidRPr="00833952" w:rsidRDefault="00060891" w:rsidP="00855719">
      <w:pPr>
        <w:spacing w:line="240" w:lineRule="auto"/>
        <w:rPr>
          <w:noProof/>
          <w:szCs w:val="22"/>
        </w:rPr>
      </w:pPr>
    </w:p>
    <w:p w14:paraId="0E31D742" w14:textId="77777777" w:rsidR="00CF4EA1" w:rsidRPr="00833952" w:rsidRDefault="00CF4EA1" w:rsidP="00855719">
      <w:pPr>
        <w:spacing w:line="240" w:lineRule="auto"/>
        <w:rPr>
          <w:noProof/>
          <w:szCs w:val="22"/>
        </w:rPr>
      </w:pPr>
    </w:p>
    <w:p w14:paraId="291BC5A3" w14:textId="77777777" w:rsidR="00060891"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D90165">
        <w:rPr>
          <w:rStyle w:val="DNEx2"/>
        </w:rPr>
        <w:t>2.</w:t>
      </w:r>
      <w:r w:rsidRPr="00D90165">
        <w:rPr>
          <w:rStyle w:val="DNEx2"/>
        </w:rPr>
        <w:tab/>
      </w:r>
      <w:r w:rsidRPr="00D90165">
        <w:rPr>
          <w:b/>
        </w:rPr>
        <w:t>ZAWARTOŚĆ SUBSTANCJI CZYNNEJ</w:t>
      </w:r>
    </w:p>
    <w:p w14:paraId="2979BCB5" w14:textId="77777777" w:rsidR="00060891" w:rsidRPr="00D90165" w:rsidRDefault="00060891" w:rsidP="0056402B">
      <w:pPr>
        <w:keepNext/>
        <w:spacing w:line="240" w:lineRule="auto"/>
        <w:rPr>
          <w:noProof/>
          <w:szCs w:val="22"/>
        </w:rPr>
      </w:pPr>
    </w:p>
    <w:p w14:paraId="3E4931F6" w14:textId="77777777" w:rsidR="00060891" w:rsidRPr="00D90165" w:rsidRDefault="009C4EC4" w:rsidP="00855719">
      <w:pPr>
        <w:spacing w:line="240" w:lineRule="auto"/>
        <w:rPr>
          <w:noProof/>
          <w:szCs w:val="22"/>
        </w:rPr>
      </w:pPr>
      <w:r w:rsidRPr="00D90165">
        <w:t>Każdy ml zawiesiny doustnej zawiera 40 mg wamorolonu.</w:t>
      </w:r>
    </w:p>
    <w:p w14:paraId="190E8BC7" w14:textId="77777777" w:rsidR="00060891" w:rsidRPr="00D90165" w:rsidRDefault="00060891" w:rsidP="00855719">
      <w:pPr>
        <w:spacing w:line="240" w:lineRule="auto"/>
        <w:rPr>
          <w:noProof/>
          <w:szCs w:val="22"/>
        </w:rPr>
      </w:pPr>
    </w:p>
    <w:p w14:paraId="5E1509DD" w14:textId="77777777" w:rsidR="00060891" w:rsidRPr="00D90165" w:rsidRDefault="00060891" w:rsidP="00855719">
      <w:pPr>
        <w:spacing w:line="240" w:lineRule="auto"/>
        <w:rPr>
          <w:noProof/>
          <w:szCs w:val="22"/>
        </w:rPr>
      </w:pPr>
    </w:p>
    <w:p w14:paraId="68284271" w14:textId="77777777" w:rsidR="00060891"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90165">
        <w:rPr>
          <w:rStyle w:val="DNEx2"/>
        </w:rPr>
        <w:t>3.</w:t>
      </w:r>
      <w:r w:rsidRPr="00D90165">
        <w:rPr>
          <w:rStyle w:val="DNEx2"/>
        </w:rPr>
        <w:tab/>
      </w:r>
      <w:r w:rsidRPr="00D90165">
        <w:rPr>
          <w:b/>
        </w:rPr>
        <w:t>WYKAZ SUBSTANCJI POMOCNICZYCH</w:t>
      </w:r>
    </w:p>
    <w:p w14:paraId="6B89DD1D" w14:textId="77777777" w:rsidR="00060891" w:rsidRPr="00D90165" w:rsidRDefault="00060891" w:rsidP="0056402B">
      <w:pPr>
        <w:keepNext/>
        <w:spacing w:line="240" w:lineRule="auto"/>
        <w:rPr>
          <w:noProof/>
          <w:szCs w:val="22"/>
        </w:rPr>
      </w:pPr>
    </w:p>
    <w:p w14:paraId="22F4893D" w14:textId="77777777" w:rsidR="00060891" w:rsidRPr="00D90165" w:rsidRDefault="009C4EC4" w:rsidP="00855719">
      <w:pPr>
        <w:spacing w:line="240" w:lineRule="auto"/>
        <w:rPr>
          <w:szCs w:val="22"/>
        </w:rPr>
      </w:pPr>
      <w:r w:rsidRPr="00D90165">
        <w:t xml:space="preserve">Zawiera benzoesan sodu (E 211). </w:t>
      </w:r>
      <w:r w:rsidRPr="00D90165">
        <w:rPr>
          <w:highlight w:val="lightGray"/>
        </w:rPr>
        <w:t>Więcej informacji podano w ulotce.</w:t>
      </w:r>
    </w:p>
    <w:p w14:paraId="1A41ABA0" w14:textId="77777777" w:rsidR="00060891" w:rsidRPr="00D90165" w:rsidRDefault="00060891" w:rsidP="00855719">
      <w:pPr>
        <w:spacing w:line="240" w:lineRule="auto"/>
        <w:rPr>
          <w:noProof/>
          <w:szCs w:val="22"/>
        </w:rPr>
      </w:pPr>
    </w:p>
    <w:p w14:paraId="6461D105" w14:textId="77777777" w:rsidR="00060891" w:rsidRPr="00D90165" w:rsidRDefault="00060891" w:rsidP="00855719">
      <w:pPr>
        <w:spacing w:line="240" w:lineRule="auto"/>
        <w:rPr>
          <w:noProof/>
          <w:szCs w:val="22"/>
        </w:rPr>
      </w:pPr>
    </w:p>
    <w:p w14:paraId="179C99FD" w14:textId="77777777" w:rsidR="00060891"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90165">
        <w:rPr>
          <w:rStyle w:val="DNEx2"/>
        </w:rPr>
        <w:t>4.</w:t>
      </w:r>
      <w:r w:rsidRPr="00D90165">
        <w:rPr>
          <w:rStyle w:val="DNEx2"/>
        </w:rPr>
        <w:tab/>
      </w:r>
      <w:r w:rsidRPr="00D90165">
        <w:rPr>
          <w:b/>
        </w:rPr>
        <w:t>POSTAĆ FARMACEUTYCZNA I ZAWARTOŚĆ OPAKOWANIA</w:t>
      </w:r>
    </w:p>
    <w:p w14:paraId="6DCC4B56" w14:textId="77777777" w:rsidR="00060891" w:rsidRPr="00D90165" w:rsidRDefault="00060891" w:rsidP="0056402B">
      <w:pPr>
        <w:keepNext/>
        <w:spacing w:line="240" w:lineRule="auto"/>
        <w:rPr>
          <w:noProof/>
          <w:szCs w:val="22"/>
        </w:rPr>
      </w:pPr>
    </w:p>
    <w:p w14:paraId="51730692" w14:textId="77777777" w:rsidR="00CF4EA1" w:rsidRPr="00D90165" w:rsidRDefault="009C4EC4" w:rsidP="00855719">
      <w:pPr>
        <w:spacing w:line="240" w:lineRule="auto"/>
        <w:rPr>
          <w:noProof/>
          <w:szCs w:val="22"/>
        </w:rPr>
      </w:pPr>
      <w:r w:rsidRPr="00D90165">
        <w:rPr>
          <w:highlight w:val="lightGray"/>
        </w:rPr>
        <w:t>Zawiesina doustna</w:t>
      </w:r>
    </w:p>
    <w:p w14:paraId="44CFF145" w14:textId="77777777" w:rsidR="001B5AB1" w:rsidRPr="00D90165" w:rsidRDefault="001B5AB1" w:rsidP="00855719">
      <w:pPr>
        <w:spacing w:line="240" w:lineRule="auto"/>
        <w:rPr>
          <w:noProof/>
          <w:szCs w:val="22"/>
        </w:rPr>
      </w:pPr>
    </w:p>
    <w:p w14:paraId="7867C2EC" w14:textId="77777777" w:rsidR="00060891" w:rsidRPr="00D90165" w:rsidRDefault="009C4EC4" w:rsidP="00855719">
      <w:pPr>
        <w:spacing w:line="240" w:lineRule="auto"/>
        <w:rPr>
          <w:noProof/>
          <w:szCs w:val="22"/>
        </w:rPr>
      </w:pPr>
      <w:r w:rsidRPr="00D90165">
        <w:t>100 ml</w:t>
      </w:r>
    </w:p>
    <w:p w14:paraId="3FADD64A" w14:textId="77777777" w:rsidR="00060891" w:rsidRPr="00D90165" w:rsidRDefault="00060891" w:rsidP="00855719">
      <w:pPr>
        <w:spacing w:line="240" w:lineRule="auto"/>
        <w:rPr>
          <w:noProof/>
          <w:szCs w:val="22"/>
        </w:rPr>
      </w:pPr>
    </w:p>
    <w:p w14:paraId="0B02A6C8" w14:textId="77777777" w:rsidR="001B5AB1" w:rsidRPr="00D90165" w:rsidRDefault="001B5AB1" w:rsidP="00855719">
      <w:pPr>
        <w:spacing w:line="240" w:lineRule="auto"/>
        <w:rPr>
          <w:noProof/>
          <w:szCs w:val="22"/>
        </w:rPr>
      </w:pPr>
    </w:p>
    <w:p w14:paraId="7FC50E95" w14:textId="77777777" w:rsidR="00060891"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90165">
        <w:rPr>
          <w:rStyle w:val="DNEx2"/>
        </w:rPr>
        <w:t>5.</w:t>
      </w:r>
      <w:r w:rsidRPr="00D90165">
        <w:rPr>
          <w:rStyle w:val="DNEx2"/>
        </w:rPr>
        <w:tab/>
      </w:r>
      <w:r w:rsidRPr="00D90165">
        <w:rPr>
          <w:b/>
        </w:rPr>
        <w:t>SPOSÓB I DROGA PODANIA</w:t>
      </w:r>
    </w:p>
    <w:p w14:paraId="45CD78B8" w14:textId="77777777" w:rsidR="00060891" w:rsidRPr="00D90165" w:rsidRDefault="00060891" w:rsidP="0056402B">
      <w:pPr>
        <w:keepNext/>
        <w:spacing w:line="240" w:lineRule="auto"/>
        <w:rPr>
          <w:noProof/>
          <w:szCs w:val="22"/>
        </w:rPr>
      </w:pPr>
    </w:p>
    <w:p w14:paraId="769CF7CB" w14:textId="77777777" w:rsidR="00CF6B63" w:rsidRPr="00D90165" w:rsidRDefault="009C4EC4" w:rsidP="00855719">
      <w:pPr>
        <w:spacing w:line="240" w:lineRule="auto"/>
        <w:rPr>
          <w:noProof/>
        </w:rPr>
      </w:pPr>
      <w:r w:rsidRPr="00D90165">
        <w:t>Dobrze wstrząsnąć przed użyciem.</w:t>
      </w:r>
    </w:p>
    <w:p w14:paraId="7EDB157D" w14:textId="77777777" w:rsidR="00060891" w:rsidRPr="00D90165" w:rsidRDefault="009C4EC4" w:rsidP="00855719">
      <w:pPr>
        <w:spacing w:line="240" w:lineRule="auto"/>
        <w:rPr>
          <w:noProof/>
          <w:szCs w:val="22"/>
        </w:rPr>
      </w:pPr>
      <w:r w:rsidRPr="00D90165">
        <w:t>Należy zapoznać się z treścią ulotki przed zastosowaniem leku.</w:t>
      </w:r>
    </w:p>
    <w:p w14:paraId="35D4483C" w14:textId="77777777" w:rsidR="00060891" w:rsidRPr="00D90165" w:rsidRDefault="009C4EC4" w:rsidP="00855719">
      <w:pPr>
        <w:autoSpaceDE w:val="0"/>
        <w:autoSpaceDN w:val="0"/>
        <w:adjustRightInd w:val="0"/>
        <w:spacing w:line="240" w:lineRule="auto"/>
        <w:rPr>
          <w:szCs w:val="22"/>
        </w:rPr>
      </w:pPr>
      <w:r w:rsidRPr="00D90165">
        <w:t>Podanie doustne.</w:t>
      </w:r>
    </w:p>
    <w:p w14:paraId="2BE3E7F6" w14:textId="77777777" w:rsidR="00060891" w:rsidRPr="00D90165" w:rsidRDefault="00060891" w:rsidP="00855719">
      <w:pPr>
        <w:spacing w:line="240" w:lineRule="auto"/>
        <w:rPr>
          <w:noProof/>
          <w:szCs w:val="22"/>
        </w:rPr>
      </w:pPr>
    </w:p>
    <w:p w14:paraId="61468AC0" w14:textId="77777777" w:rsidR="00060891" w:rsidRPr="00D90165" w:rsidRDefault="00060891" w:rsidP="00855719">
      <w:pPr>
        <w:spacing w:line="240" w:lineRule="auto"/>
        <w:rPr>
          <w:noProof/>
          <w:szCs w:val="22"/>
        </w:rPr>
      </w:pPr>
    </w:p>
    <w:p w14:paraId="6A45E567" w14:textId="77777777" w:rsidR="00060891"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90165">
        <w:rPr>
          <w:rStyle w:val="DNEx2"/>
        </w:rPr>
        <w:t>6.</w:t>
      </w:r>
      <w:r w:rsidRPr="00D90165">
        <w:rPr>
          <w:rStyle w:val="DNEx2"/>
        </w:rPr>
        <w:tab/>
      </w:r>
      <w:r w:rsidRPr="00D90165">
        <w:rPr>
          <w:b/>
        </w:rPr>
        <w:t>OSTRZEŻENIE DOTYCZĄCE PRZECHOWYWANIA PRODUKTU LECZNICZEGO W MIEJSCU NIEWIDOCZNYM I NIEDOSTĘPNYM DLA DZIECI</w:t>
      </w:r>
    </w:p>
    <w:p w14:paraId="167E91B6" w14:textId="77777777" w:rsidR="00060891" w:rsidRPr="00D90165" w:rsidRDefault="00060891" w:rsidP="0056402B">
      <w:pPr>
        <w:keepNext/>
        <w:spacing w:line="240" w:lineRule="auto"/>
        <w:rPr>
          <w:noProof/>
          <w:szCs w:val="22"/>
        </w:rPr>
      </w:pPr>
    </w:p>
    <w:p w14:paraId="10A8BF2C" w14:textId="77777777" w:rsidR="06828FCF" w:rsidRPr="00D90165" w:rsidRDefault="009C4EC4" w:rsidP="00855719">
      <w:pPr>
        <w:spacing w:line="240" w:lineRule="auto"/>
        <w:rPr>
          <w:noProof/>
          <w:szCs w:val="22"/>
        </w:rPr>
      </w:pPr>
      <w:r w:rsidRPr="00D90165">
        <w:t>Lek przechowywać w miejscu niewidocznym i niedostępnym dla dzieci.</w:t>
      </w:r>
    </w:p>
    <w:p w14:paraId="34BABC79" w14:textId="77777777" w:rsidR="00A1609D" w:rsidRPr="00D90165" w:rsidRDefault="00A1609D" w:rsidP="00855719">
      <w:pPr>
        <w:spacing w:line="240" w:lineRule="auto"/>
      </w:pPr>
    </w:p>
    <w:p w14:paraId="7ADD3E5A" w14:textId="77777777" w:rsidR="00E47069" w:rsidRPr="00D90165" w:rsidRDefault="00E47069" w:rsidP="00855719">
      <w:pPr>
        <w:spacing w:line="240" w:lineRule="auto"/>
      </w:pPr>
    </w:p>
    <w:p w14:paraId="14ADFF14" w14:textId="77777777" w:rsidR="06828FCF" w:rsidRPr="00D90165" w:rsidRDefault="009C4EC4"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90165">
        <w:rPr>
          <w:rStyle w:val="DNEx2"/>
        </w:rPr>
        <w:t>7.</w:t>
      </w:r>
      <w:r w:rsidRPr="00D90165">
        <w:rPr>
          <w:rStyle w:val="DNEx2"/>
        </w:rPr>
        <w:tab/>
      </w:r>
      <w:r w:rsidRPr="00D90165">
        <w:rPr>
          <w:b/>
        </w:rPr>
        <w:t>INNE OSTRZEŻENIA SPECJALNE, JEŚLI KONIECZNE</w:t>
      </w:r>
    </w:p>
    <w:p w14:paraId="721F69D2" w14:textId="77777777" w:rsidR="00CF4EA1" w:rsidRPr="00D90165" w:rsidRDefault="00CF4EA1" w:rsidP="00855719">
      <w:pPr>
        <w:spacing w:line="240" w:lineRule="auto"/>
        <w:rPr>
          <w:noProof/>
          <w:szCs w:val="22"/>
        </w:rPr>
      </w:pPr>
    </w:p>
    <w:p w14:paraId="3A2B8909" w14:textId="77777777" w:rsidR="06828FCF" w:rsidRPr="00D90165" w:rsidRDefault="06828FCF" w:rsidP="00855719">
      <w:pPr>
        <w:tabs>
          <w:tab w:val="left" w:pos="749"/>
        </w:tabs>
        <w:spacing w:line="240" w:lineRule="auto"/>
      </w:pPr>
    </w:p>
    <w:p w14:paraId="3334FFE7" w14:textId="77777777" w:rsidR="06828FCF"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D90165">
        <w:rPr>
          <w:rStyle w:val="DNEx2"/>
        </w:rPr>
        <w:t>8.</w:t>
      </w:r>
      <w:r w:rsidRPr="00D90165">
        <w:rPr>
          <w:rStyle w:val="DNEx2"/>
        </w:rPr>
        <w:tab/>
      </w:r>
      <w:r w:rsidRPr="00D90165">
        <w:rPr>
          <w:b/>
        </w:rPr>
        <w:t>TERMIN WAŻNOŚCI</w:t>
      </w:r>
    </w:p>
    <w:p w14:paraId="134A0E66" w14:textId="77777777" w:rsidR="00CF4EA1" w:rsidRPr="00D90165" w:rsidRDefault="00CF4EA1" w:rsidP="0056402B">
      <w:pPr>
        <w:keepNext/>
        <w:spacing w:line="240" w:lineRule="auto"/>
      </w:pPr>
    </w:p>
    <w:p w14:paraId="1B170B7D" w14:textId="77777777" w:rsidR="004B2139" w:rsidRPr="00D90165" w:rsidRDefault="009C4EC4" w:rsidP="00855719">
      <w:pPr>
        <w:spacing w:line="240" w:lineRule="auto"/>
      </w:pPr>
      <w:r w:rsidRPr="00D90165">
        <w:t>EXP</w:t>
      </w:r>
    </w:p>
    <w:p w14:paraId="5E20893C" w14:textId="77777777" w:rsidR="00CF4EA1" w:rsidRPr="00D90165" w:rsidRDefault="009C4EC4" w:rsidP="00855719">
      <w:pPr>
        <w:spacing w:line="240" w:lineRule="auto"/>
      </w:pPr>
      <w:r w:rsidRPr="00D90165">
        <w:t>Po pierwszym otwarciu butelki butelkę należy przechowywać w pozycji pionowej w lodówce.</w:t>
      </w:r>
    </w:p>
    <w:p w14:paraId="213D9FEF" w14:textId="77777777" w:rsidR="00CF4EA1" w:rsidRPr="00D90165" w:rsidRDefault="009C4EC4" w:rsidP="00855719">
      <w:pPr>
        <w:spacing w:line="240" w:lineRule="auto"/>
      </w:pPr>
      <w:r w:rsidRPr="00D90165">
        <w:t>Należy wyrzucić pozostałą zawiesinę w ciągu 3 miesięcy od pierwszego otwarcia.</w:t>
      </w:r>
    </w:p>
    <w:p w14:paraId="542D6532" w14:textId="77777777" w:rsidR="06828FCF" w:rsidRPr="00D90165" w:rsidRDefault="06828FCF" w:rsidP="00855719">
      <w:pPr>
        <w:spacing w:line="240" w:lineRule="auto"/>
      </w:pPr>
    </w:p>
    <w:p w14:paraId="6C90130B" w14:textId="77777777" w:rsidR="06828FCF" w:rsidRPr="00D90165" w:rsidRDefault="06828FCF" w:rsidP="00855719">
      <w:pPr>
        <w:spacing w:line="240" w:lineRule="auto"/>
      </w:pPr>
    </w:p>
    <w:p w14:paraId="6E376BB4" w14:textId="77777777" w:rsidR="06828FCF" w:rsidRPr="00D90165" w:rsidRDefault="009C4EC4" w:rsidP="00855719">
      <w:pPr>
        <w:pBdr>
          <w:top w:val="single" w:sz="4" w:space="1" w:color="auto"/>
          <w:left w:val="single" w:sz="4" w:space="4" w:color="auto"/>
          <w:bottom w:val="single" w:sz="4" w:space="1" w:color="auto"/>
          <w:right w:val="single" w:sz="4" w:space="4" w:color="auto"/>
        </w:pBdr>
        <w:spacing w:line="240" w:lineRule="auto"/>
        <w:ind w:left="567" w:hanging="567"/>
        <w:outlineLvl w:val="1"/>
        <w:rPr>
          <w:szCs w:val="22"/>
        </w:rPr>
      </w:pPr>
      <w:r w:rsidRPr="00D90165">
        <w:rPr>
          <w:rStyle w:val="DNEx2"/>
        </w:rPr>
        <w:t>9.</w:t>
      </w:r>
      <w:r w:rsidRPr="00D90165">
        <w:rPr>
          <w:rStyle w:val="DNEx2"/>
        </w:rPr>
        <w:tab/>
      </w:r>
      <w:r w:rsidRPr="00D90165">
        <w:rPr>
          <w:b/>
        </w:rPr>
        <w:t>WARUNKI PRZECHOWYWANIA</w:t>
      </w:r>
    </w:p>
    <w:p w14:paraId="5F2BC902" w14:textId="77777777" w:rsidR="00CF4EA1" w:rsidRPr="00D90165" w:rsidRDefault="00CF4EA1" w:rsidP="00855719">
      <w:pPr>
        <w:spacing w:line="240" w:lineRule="auto"/>
        <w:rPr>
          <w:szCs w:val="22"/>
        </w:rPr>
      </w:pPr>
    </w:p>
    <w:p w14:paraId="2DCB2BDE" w14:textId="77777777" w:rsidR="00CF4EA1" w:rsidRPr="00D90165" w:rsidRDefault="00CF4EA1" w:rsidP="00855719">
      <w:pPr>
        <w:spacing w:line="240" w:lineRule="auto"/>
        <w:rPr>
          <w:noProof/>
          <w:szCs w:val="22"/>
        </w:rPr>
      </w:pPr>
    </w:p>
    <w:p w14:paraId="665EAAD4" w14:textId="77777777" w:rsidR="00CF4EA1" w:rsidRPr="00D90165" w:rsidRDefault="009C4EC4" w:rsidP="00855719">
      <w:pPr>
        <w:pBdr>
          <w:top w:val="single" w:sz="4" w:space="1" w:color="auto"/>
          <w:left w:val="single" w:sz="4" w:space="4" w:color="auto"/>
          <w:bottom w:val="single" w:sz="4" w:space="1" w:color="auto"/>
          <w:right w:val="single" w:sz="4" w:space="4" w:color="auto"/>
        </w:pBdr>
        <w:spacing w:line="240" w:lineRule="auto"/>
        <w:outlineLvl w:val="1"/>
        <w:rPr>
          <w:b/>
          <w:noProof/>
          <w:szCs w:val="22"/>
        </w:rPr>
      </w:pPr>
      <w:r w:rsidRPr="00D90165">
        <w:rPr>
          <w:rStyle w:val="DNEx2"/>
        </w:rPr>
        <w:lastRenderedPageBreak/>
        <w:t>10.</w:t>
      </w:r>
      <w:r w:rsidRPr="00D90165">
        <w:rPr>
          <w:rStyle w:val="DNEx2"/>
        </w:rPr>
        <w:tab/>
      </w:r>
      <w:r w:rsidRPr="00D90165">
        <w:rPr>
          <w:b/>
        </w:rPr>
        <w:t>SPECJALNE ŚRODKI OSTROŻNOŚCI DOTYCZĄCE USUWANIA NIEZUŻYTEGO PRODUKTU LECZNICZEGO LUB POCHODZĄCYCH Z NIEGO ODPADÓW, JEŚLI WŁAŚCIWE</w:t>
      </w:r>
    </w:p>
    <w:p w14:paraId="58CC7648" w14:textId="77777777" w:rsidR="00CF4EA1" w:rsidRPr="00D90165" w:rsidRDefault="00CF4EA1" w:rsidP="00855719">
      <w:pPr>
        <w:spacing w:line="240" w:lineRule="auto"/>
        <w:rPr>
          <w:noProof/>
          <w:szCs w:val="22"/>
        </w:rPr>
      </w:pPr>
    </w:p>
    <w:p w14:paraId="36E29E3E" w14:textId="77777777" w:rsidR="06828FCF" w:rsidRPr="00D90165" w:rsidRDefault="06828FCF" w:rsidP="00855719">
      <w:pPr>
        <w:spacing w:line="240" w:lineRule="auto"/>
      </w:pPr>
    </w:p>
    <w:p w14:paraId="2EDD948E" w14:textId="77777777" w:rsidR="06828FCF"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outlineLvl w:val="1"/>
        <w:rPr>
          <w:b/>
          <w:bCs/>
        </w:rPr>
      </w:pPr>
      <w:r w:rsidRPr="00D90165">
        <w:rPr>
          <w:rStyle w:val="DNEx2"/>
        </w:rPr>
        <w:t>11.</w:t>
      </w:r>
      <w:r w:rsidRPr="00D90165">
        <w:rPr>
          <w:rStyle w:val="DNEx2"/>
        </w:rPr>
        <w:tab/>
      </w:r>
      <w:r w:rsidRPr="00D90165">
        <w:rPr>
          <w:b/>
        </w:rPr>
        <w:t>NAZWA I ADRES PODMIOTU ODPOWIEDZIALNEGO</w:t>
      </w:r>
    </w:p>
    <w:p w14:paraId="0598D1DF" w14:textId="77777777" w:rsidR="00CF4EA1" w:rsidRPr="00D90165" w:rsidRDefault="00CF4EA1" w:rsidP="0056402B">
      <w:pPr>
        <w:keepNext/>
        <w:spacing w:line="240" w:lineRule="auto"/>
        <w:rPr>
          <w:i/>
          <w:noProof/>
          <w:szCs w:val="22"/>
        </w:rPr>
      </w:pPr>
    </w:p>
    <w:p w14:paraId="52B81A06" w14:textId="77777777" w:rsidR="00CF4EA1" w:rsidRPr="00D90165" w:rsidRDefault="009C4EC4" w:rsidP="0056402B">
      <w:pPr>
        <w:keepNext/>
        <w:spacing w:line="240" w:lineRule="auto"/>
        <w:rPr>
          <w:szCs w:val="22"/>
        </w:rPr>
      </w:pPr>
      <w:r w:rsidRPr="00D90165">
        <w:t>Santhera Pharmaceuticals (Deutschland) GmbH</w:t>
      </w:r>
    </w:p>
    <w:p w14:paraId="7BCB32FD" w14:textId="77777777" w:rsidR="00CF6B63" w:rsidRPr="00E80238" w:rsidRDefault="009C4EC4" w:rsidP="0056402B">
      <w:pPr>
        <w:keepNext/>
        <w:spacing w:line="240" w:lineRule="auto"/>
        <w:rPr>
          <w:szCs w:val="22"/>
        </w:rPr>
      </w:pPr>
      <w:r w:rsidRPr="00E80238">
        <w:t>Marie-Curie-Strasse 8</w:t>
      </w:r>
    </w:p>
    <w:p w14:paraId="3D7019CF" w14:textId="77777777" w:rsidR="00CF6B63" w:rsidRPr="00E80238" w:rsidRDefault="009C4EC4" w:rsidP="0056402B">
      <w:pPr>
        <w:keepNext/>
        <w:spacing w:line="240" w:lineRule="auto"/>
        <w:rPr>
          <w:szCs w:val="22"/>
        </w:rPr>
      </w:pPr>
      <w:r w:rsidRPr="00E80238">
        <w:t>D-79539 Lörrach</w:t>
      </w:r>
    </w:p>
    <w:p w14:paraId="109AE475" w14:textId="77777777" w:rsidR="00CF6B63" w:rsidRPr="00E80238" w:rsidRDefault="009C4EC4" w:rsidP="00855719">
      <w:pPr>
        <w:spacing w:line="240" w:lineRule="auto"/>
        <w:rPr>
          <w:szCs w:val="22"/>
        </w:rPr>
      </w:pPr>
      <w:r w:rsidRPr="00E80238">
        <w:t>Niemcy</w:t>
      </w:r>
    </w:p>
    <w:p w14:paraId="213B1035" w14:textId="77777777" w:rsidR="06828FCF" w:rsidRPr="00E80238" w:rsidRDefault="06828FCF" w:rsidP="00855719">
      <w:pPr>
        <w:spacing w:line="240" w:lineRule="auto"/>
      </w:pPr>
    </w:p>
    <w:p w14:paraId="71E98177" w14:textId="77777777" w:rsidR="06828FCF" w:rsidRPr="00E80238" w:rsidRDefault="06828FCF" w:rsidP="00855719">
      <w:pPr>
        <w:spacing w:line="240" w:lineRule="auto"/>
      </w:pPr>
    </w:p>
    <w:p w14:paraId="2618A59F" w14:textId="77777777" w:rsidR="06828FCF"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outlineLvl w:val="1"/>
      </w:pPr>
      <w:r w:rsidRPr="00D90165">
        <w:rPr>
          <w:rStyle w:val="DNEx2"/>
        </w:rPr>
        <w:t>12.</w:t>
      </w:r>
      <w:r w:rsidRPr="00D90165">
        <w:rPr>
          <w:rStyle w:val="DNEx2"/>
        </w:rPr>
        <w:tab/>
      </w:r>
      <w:r w:rsidRPr="00D90165">
        <w:rPr>
          <w:b/>
        </w:rPr>
        <w:t>NUMER POZWOLENIA NA DOPUSZCZENIE DO OBROTU</w:t>
      </w:r>
    </w:p>
    <w:p w14:paraId="1A96941D" w14:textId="77777777" w:rsidR="06828FCF" w:rsidRPr="00D90165" w:rsidRDefault="06828FCF" w:rsidP="0056402B">
      <w:pPr>
        <w:keepNext/>
        <w:spacing w:line="240" w:lineRule="auto"/>
      </w:pPr>
    </w:p>
    <w:p w14:paraId="1DBCDDBA" w14:textId="77777777" w:rsidR="06828FCF" w:rsidRPr="00D90165" w:rsidRDefault="009C4EC4" w:rsidP="00855719">
      <w:pPr>
        <w:spacing w:line="240" w:lineRule="auto"/>
        <w:outlineLvl w:val="0"/>
      </w:pPr>
      <w:r w:rsidRPr="00D90165">
        <w:t>EU/1/23/1776/001</w:t>
      </w:r>
    </w:p>
    <w:p w14:paraId="7192DD18" w14:textId="77777777" w:rsidR="00CF4EA1" w:rsidRPr="00D90165" w:rsidRDefault="00CF4EA1" w:rsidP="00855719">
      <w:pPr>
        <w:spacing w:line="240" w:lineRule="auto"/>
        <w:rPr>
          <w:noProof/>
          <w:szCs w:val="22"/>
        </w:rPr>
      </w:pPr>
    </w:p>
    <w:p w14:paraId="2A38C839" w14:textId="77777777" w:rsidR="06828FCF" w:rsidRPr="00D90165" w:rsidRDefault="06828FCF" w:rsidP="00855719">
      <w:pPr>
        <w:spacing w:line="240" w:lineRule="auto"/>
      </w:pPr>
    </w:p>
    <w:p w14:paraId="5F65F8C3" w14:textId="77777777" w:rsidR="06828FCF" w:rsidRPr="00D90165" w:rsidRDefault="009C4EC4" w:rsidP="0056402B">
      <w:pPr>
        <w:keepNext/>
        <w:pBdr>
          <w:top w:val="single" w:sz="4" w:space="1" w:color="auto"/>
          <w:left w:val="single" w:sz="4" w:space="4" w:color="auto"/>
          <w:bottom w:val="single" w:sz="4" w:space="1" w:color="auto"/>
          <w:right w:val="single" w:sz="4" w:space="4" w:color="auto"/>
        </w:pBdr>
        <w:spacing w:line="240" w:lineRule="auto"/>
        <w:outlineLvl w:val="1"/>
        <w:rPr>
          <w:b/>
          <w:szCs w:val="22"/>
        </w:rPr>
      </w:pPr>
      <w:r w:rsidRPr="00D90165">
        <w:rPr>
          <w:rStyle w:val="DNEx2"/>
        </w:rPr>
        <w:t>13.</w:t>
      </w:r>
      <w:r w:rsidRPr="00D90165">
        <w:rPr>
          <w:rStyle w:val="DNEx2"/>
        </w:rPr>
        <w:tab/>
      </w:r>
      <w:r w:rsidRPr="00D90165">
        <w:rPr>
          <w:b/>
        </w:rPr>
        <w:t>NUMER SERII</w:t>
      </w:r>
    </w:p>
    <w:p w14:paraId="66054AAC" w14:textId="77777777" w:rsidR="00CF4EA1" w:rsidRPr="00D90165" w:rsidRDefault="00CF4EA1" w:rsidP="0056402B">
      <w:pPr>
        <w:keepNext/>
        <w:spacing w:line="240" w:lineRule="auto"/>
        <w:rPr>
          <w:noProof/>
          <w:szCs w:val="22"/>
        </w:rPr>
      </w:pPr>
    </w:p>
    <w:p w14:paraId="740E8FA8" w14:textId="77777777" w:rsidR="00CF4EA1" w:rsidRPr="00D90165" w:rsidRDefault="009C4EC4" w:rsidP="00855719">
      <w:pPr>
        <w:spacing w:line="240" w:lineRule="auto"/>
        <w:rPr>
          <w:szCs w:val="22"/>
        </w:rPr>
      </w:pPr>
      <w:r w:rsidRPr="00D90165">
        <w:t>Lot</w:t>
      </w:r>
    </w:p>
    <w:p w14:paraId="6DAA24CD" w14:textId="77777777" w:rsidR="00CF4EA1" w:rsidRPr="00D90165" w:rsidRDefault="00CF4EA1" w:rsidP="00855719">
      <w:pPr>
        <w:spacing w:line="240" w:lineRule="auto"/>
        <w:rPr>
          <w:b/>
          <w:noProof/>
          <w:szCs w:val="22"/>
        </w:rPr>
      </w:pPr>
    </w:p>
    <w:p w14:paraId="3352C795" w14:textId="77777777" w:rsidR="06828FCF" w:rsidRPr="00D90165" w:rsidRDefault="06828FCF" w:rsidP="00855719">
      <w:pPr>
        <w:spacing w:line="240" w:lineRule="auto"/>
        <w:rPr>
          <w:b/>
          <w:szCs w:val="22"/>
        </w:rPr>
      </w:pPr>
    </w:p>
    <w:p w14:paraId="09BF6364" w14:textId="77777777" w:rsidR="06828FCF" w:rsidRPr="00D90165" w:rsidRDefault="009C4EC4" w:rsidP="00855719">
      <w:pPr>
        <w:pBdr>
          <w:top w:val="single" w:sz="4" w:space="1" w:color="auto"/>
          <w:left w:val="single" w:sz="4" w:space="4" w:color="auto"/>
          <w:bottom w:val="single" w:sz="4" w:space="1" w:color="auto"/>
          <w:right w:val="single" w:sz="4" w:space="4" w:color="auto"/>
        </w:pBdr>
        <w:spacing w:line="240" w:lineRule="auto"/>
        <w:outlineLvl w:val="1"/>
      </w:pPr>
      <w:r w:rsidRPr="00D90165">
        <w:rPr>
          <w:rStyle w:val="DNEx2"/>
        </w:rPr>
        <w:t>14.</w:t>
      </w:r>
      <w:r w:rsidRPr="00D90165">
        <w:rPr>
          <w:rStyle w:val="DNEx2"/>
        </w:rPr>
        <w:tab/>
      </w:r>
      <w:r w:rsidRPr="00D90165">
        <w:rPr>
          <w:b/>
        </w:rPr>
        <w:t>OGÓLNA KATEGORIA DOSTĘPNOŚCI</w:t>
      </w:r>
    </w:p>
    <w:p w14:paraId="0E54B904" w14:textId="77777777" w:rsidR="00CF4EA1" w:rsidRPr="00D90165" w:rsidRDefault="00CF4EA1" w:rsidP="00855719">
      <w:pPr>
        <w:spacing w:line="240" w:lineRule="auto"/>
        <w:rPr>
          <w:noProof/>
          <w:szCs w:val="22"/>
        </w:rPr>
      </w:pPr>
    </w:p>
    <w:p w14:paraId="634A7F14" w14:textId="77777777" w:rsidR="06828FCF" w:rsidRPr="00D90165" w:rsidRDefault="06828FCF" w:rsidP="00855719">
      <w:pPr>
        <w:spacing w:line="240" w:lineRule="auto"/>
      </w:pPr>
    </w:p>
    <w:p w14:paraId="3BFA1E0C" w14:textId="77777777" w:rsidR="06828FCF" w:rsidRPr="00D90165" w:rsidRDefault="009C4EC4" w:rsidP="00855719">
      <w:pPr>
        <w:pBdr>
          <w:top w:val="single" w:sz="4" w:space="2" w:color="auto"/>
          <w:left w:val="single" w:sz="4" w:space="4" w:color="auto"/>
          <w:bottom w:val="single" w:sz="4" w:space="1" w:color="auto"/>
          <w:right w:val="single" w:sz="4" w:space="4" w:color="auto"/>
        </w:pBdr>
        <w:spacing w:line="240" w:lineRule="auto"/>
        <w:outlineLvl w:val="1"/>
      </w:pPr>
      <w:r w:rsidRPr="00D90165">
        <w:rPr>
          <w:rStyle w:val="DNEx2"/>
        </w:rPr>
        <w:t>15.</w:t>
      </w:r>
      <w:r w:rsidRPr="00D90165">
        <w:rPr>
          <w:rStyle w:val="DNEx2"/>
        </w:rPr>
        <w:tab/>
      </w:r>
      <w:r w:rsidRPr="00D90165">
        <w:rPr>
          <w:b/>
        </w:rPr>
        <w:t>INSTRUKCJA UŻYCIA</w:t>
      </w:r>
    </w:p>
    <w:p w14:paraId="055F8EE6" w14:textId="77777777" w:rsidR="00CF4EA1" w:rsidRPr="00D90165" w:rsidRDefault="00CF4EA1" w:rsidP="00855719">
      <w:pPr>
        <w:spacing w:line="240" w:lineRule="auto"/>
        <w:rPr>
          <w:i/>
          <w:noProof/>
          <w:szCs w:val="22"/>
        </w:rPr>
      </w:pPr>
    </w:p>
    <w:p w14:paraId="3DF9CD8B" w14:textId="77777777" w:rsidR="06828FCF" w:rsidRPr="00D90165" w:rsidRDefault="06828FCF" w:rsidP="00855719">
      <w:pPr>
        <w:spacing w:line="240" w:lineRule="auto"/>
      </w:pPr>
    </w:p>
    <w:p w14:paraId="334F2BFB" w14:textId="77777777" w:rsidR="06828FCF" w:rsidRPr="00D90165" w:rsidRDefault="009C4EC4"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D90165">
        <w:rPr>
          <w:rStyle w:val="DNEx2"/>
        </w:rPr>
        <w:t>16.</w:t>
      </w:r>
      <w:r w:rsidRPr="00D90165">
        <w:rPr>
          <w:rStyle w:val="DNEx2"/>
        </w:rPr>
        <w:tab/>
      </w:r>
      <w:r w:rsidRPr="00D90165">
        <w:rPr>
          <w:b/>
        </w:rPr>
        <w:t>INFORMACJA PODANA SYSTEMEM BRAILLE’A</w:t>
      </w:r>
    </w:p>
    <w:p w14:paraId="7F5717E4" w14:textId="77777777" w:rsidR="00CF4EA1" w:rsidRPr="00D90165" w:rsidRDefault="00CF4EA1" w:rsidP="0056402B">
      <w:pPr>
        <w:keepNext/>
        <w:spacing w:line="240" w:lineRule="auto"/>
        <w:rPr>
          <w:noProof/>
          <w:szCs w:val="22"/>
          <w:highlight w:val="yellow"/>
        </w:rPr>
      </w:pPr>
    </w:p>
    <w:p w14:paraId="4B3C929E" w14:textId="77777777" w:rsidR="00CF4EA1" w:rsidRPr="00D90165" w:rsidRDefault="009C4EC4" w:rsidP="00855719">
      <w:pPr>
        <w:pStyle w:val="TextAr11CarCar"/>
        <w:spacing w:after="0" w:line="240" w:lineRule="auto"/>
        <w:jc w:val="left"/>
        <w:rPr>
          <w:noProof/>
          <w:sz w:val="22"/>
          <w:szCs w:val="22"/>
          <w:highlight w:val="lightGray"/>
          <w:shd w:val="clear" w:color="auto" w:fill="CCCCCC"/>
        </w:rPr>
      </w:pPr>
      <w:r w:rsidRPr="00D90165">
        <w:rPr>
          <w:sz w:val="22"/>
          <w:highlight w:val="lightGray"/>
          <w:shd w:val="clear" w:color="auto" w:fill="CCCCCC"/>
        </w:rPr>
        <w:t>Nie dotyczy.</w:t>
      </w:r>
    </w:p>
    <w:p w14:paraId="6DD19CEC" w14:textId="77777777" w:rsidR="00CF4EA1" w:rsidRPr="00A510B3" w:rsidRDefault="00CF4EA1" w:rsidP="00855719">
      <w:pPr>
        <w:pStyle w:val="TextAr11CarCar"/>
        <w:spacing w:after="0" w:line="240" w:lineRule="auto"/>
        <w:rPr>
          <w:noProof/>
          <w:sz w:val="22"/>
          <w:szCs w:val="22"/>
        </w:rPr>
      </w:pPr>
    </w:p>
    <w:p w14:paraId="1D7E0EA9" w14:textId="77777777" w:rsidR="06828FCF" w:rsidRPr="00A510B3" w:rsidRDefault="06828FCF" w:rsidP="00855719">
      <w:pPr>
        <w:pStyle w:val="TextAr11CarCar"/>
        <w:spacing w:after="0" w:line="240" w:lineRule="auto"/>
        <w:rPr>
          <w:sz w:val="22"/>
          <w:szCs w:val="22"/>
        </w:rPr>
      </w:pPr>
    </w:p>
    <w:p w14:paraId="080525DE" w14:textId="77777777" w:rsidR="06828FCF" w:rsidRPr="00D90165" w:rsidRDefault="009C4EC4"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D90165">
        <w:rPr>
          <w:rStyle w:val="DNEx2"/>
        </w:rPr>
        <w:t>17.</w:t>
      </w:r>
      <w:r w:rsidRPr="00D90165">
        <w:rPr>
          <w:rStyle w:val="DNEx2"/>
        </w:rPr>
        <w:tab/>
      </w:r>
      <w:r w:rsidRPr="00D90165">
        <w:rPr>
          <w:b/>
        </w:rPr>
        <w:t>NIEPOWTARZALNY IDENTYFIKATOR — KOD 2D</w:t>
      </w:r>
    </w:p>
    <w:p w14:paraId="488A592A" w14:textId="77777777" w:rsidR="00CF4EA1" w:rsidRPr="00A510B3" w:rsidRDefault="00CF4EA1" w:rsidP="0056402B">
      <w:pPr>
        <w:pStyle w:val="TextAr11CarCar"/>
        <w:keepNext/>
        <w:spacing w:after="0" w:line="240" w:lineRule="auto"/>
        <w:jc w:val="left"/>
        <w:rPr>
          <w:noProof/>
          <w:szCs w:val="22"/>
        </w:rPr>
      </w:pPr>
    </w:p>
    <w:p w14:paraId="7E8B7DD7" w14:textId="77777777" w:rsidR="00CF4EA1" w:rsidRPr="00D90165" w:rsidRDefault="009C4EC4" w:rsidP="00855719">
      <w:pPr>
        <w:pStyle w:val="TextAr11CarCar"/>
        <w:spacing w:after="0" w:line="240" w:lineRule="auto"/>
        <w:jc w:val="left"/>
        <w:rPr>
          <w:noProof/>
          <w:sz w:val="22"/>
          <w:szCs w:val="22"/>
          <w:highlight w:val="lightGray"/>
          <w:shd w:val="clear" w:color="auto" w:fill="CCCCCC"/>
        </w:rPr>
      </w:pPr>
      <w:r w:rsidRPr="00D90165">
        <w:rPr>
          <w:sz w:val="22"/>
          <w:highlight w:val="lightGray"/>
          <w:shd w:val="clear" w:color="auto" w:fill="CCCCCC"/>
        </w:rPr>
        <w:t>Nie dotyczy.</w:t>
      </w:r>
    </w:p>
    <w:p w14:paraId="48679C4A" w14:textId="77777777" w:rsidR="00CF4EA1" w:rsidRPr="00A510B3" w:rsidRDefault="00CF4EA1" w:rsidP="00855719">
      <w:pPr>
        <w:pStyle w:val="TextAr11CarCar"/>
        <w:spacing w:after="0" w:line="240" w:lineRule="auto"/>
        <w:jc w:val="left"/>
        <w:rPr>
          <w:noProof/>
          <w:szCs w:val="22"/>
        </w:rPr>
      </w:pPr>
    </w:p>
    <w:p w14:paraId="49E38E09" w14:textId="77777777" w:rsidR="06828FCF" w:rsidRPr="00A510B3" w:rsidRDefault="06828FCF" w:rsidP="00855719">
      <w:pPr>
        <w:pStyle w:val="TextAr11CarCar"/>
        <w:spacing w:after="0" w:line="240" w:lineRule="auto"/>
        <w:jc w:val="left"/>
      </w:pPr>
    </w:p>
    <w:p w14:paraId="39CCD03A" w14:textId="77777777" w:rsidR="06828FCF" w:rsidRPr="00D90165" w:rsidRDefault="009C4EC4"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D90165">
        <w:rPr>
          <w:rStyle w:val="DNEx2"/>
        </w:rPr>
        <w:t>18.</w:t>
      </w:r>
      <w:r w:rsidRPr="00D90165">
        <w:rPr>
          <w:rStyle w:val="DNEx2"/>
        </w:rPr>
        <w:tab/>
      </w:r>
      <w:r w:rsidRPr="00D90165">
        <w:rPr>
          <w:b/>
        </w:rPr>
        <w:t>NIEPOWTARZALNY IDENTYFIKATOR – DANE CZYTELNE DLA CZŁOWIEKA</w:t>
      </w:r>
    </w:p>
    <w:p w14:paraId="015D1C90" w14:textId="77777777" w:rsidR="00CF4EA1" w:rsidRPr="00A510B3" w:rsidRDefault="00CF4EA1" w:rsidP="0056402B">
      <w:pPr>
        <w:pStyle w:val="TextAr11CarCar"/>
        <w:keepNext/>
        <w:spacing w:after="0" w:line="240" w:lineRule="auto"/>
        <w:jc w:val="left"/>
        <w:rPr>
          <w:noProof/>
          <w:szCs w:val="22"/>
        </w:rPr>
      </w:pPr>
    </w:p>
    <w:p w14:paraId="6C1D6B78" w14:textId="77777777" w:rsidR="00CF4EA1" w:rsidRPr="00D90165" w:rsidRDefault="009C4EC4" w:rsidP="00855719">
      <w:pPr>
        <w:autoSpaceDE w:val="0"/>
        <w:autoSpaceDN w:val="0"/>
        <w:adjustRightInd w:val="0"/>
        <w:spacing w:line="240" w:lineRule="auto"/>
        <w:rPr>
          <w:noProof/>
        </w:rPr>
      </w:pPr>
      <w:r w:rsidRPr="00D90165">
        <w:rPr>
          <w:highlight w:val="lightGray"/>
          <w:shd w:val="clear" w:color="auto" w:fill="CCCCCC"/>
        </w:rPr>
        <w:t>Nie dotyczy.</w:t>
      </w:r>
    </w:p>
    <w:p w14:paraId="3FB0CC69" w14:textId="77777777" w:rsidR="74E8AA19" w:rsidRPr="00D90165" w:rsidRDefault="009C4EC4" w:rsidP="00855719">
      <w:r w:rsidRPr="00D90165">
        <w:br w:type="page"/>
      </w:r>
    </w:p>
    <w:p w14:paraId="7C9EBA39" w14:textId="77777777" w:rsidR="51DACF8B" w:rsidRPr="00D90165" w:rsidRDefault="51DACF8B" w:rsidP="00855719"/>
    <w:p w14:paraId="705B13FE" w14:textId="77777777" w:rsidR="00FE401B" w:rsidRPr="00D90165" w:rsidRDefault="00FE401B" w:rsidP="00855719">
      <w:pPr>
        <w:spacing w:line="240" w:lineRule="auto"/>
        <w:rPr>
          <w:b/>
          <w:noProof/>
        </w:rPr>
      </w:pPr>
    </w:p>
    <w:p w14:paraId="711AD7B4" w14:textId="77777777" w:rsidR="006317FE" w:rsidRPr="008A5320" w:rsidRDefault="006317FE" w:rsidP="00855719">
      <w:pPr>
        <w:spacing w:line="240" w:lineRule="auto"/>
        <w:rPr>
          <w:noProof/>
          <w:szCs w:val="22"/>
        </w:rPr>
      </w:pPr>
    </w:p>
    <w:p w14:paraId="2DD20BE7" w14:textId="77777777" w:rsidR="006317FE" w:rsidRPr="008A5320" w:rsidRDefault="006317FE" w:rsidP="00855719">
      <w:pPr>
        <w:spacing w:line="240" w:lineRule="auto"/>
        <w:rPr>
          <w:noProof/>
          <w:szCs w:val="22"/>
        </w:rPr>
      </w:pPr>
    </w:p>
    <w:p w14:paraId="6E1F6BF7" w14:textId="77777777" w:rsidR="00FE401B" w:rsidRPr="008A5320" w:rsidRDefault="00FE401B" w:rsidP="00855719">
      <w:pPr>
        <w:spacing w:line="240" w:lineRule="auto"/>
        <w:rPr>
          <w:noProof/>
          <w:szCs w:val="22"/>
        </w:rPr>
      </w:pPr>
    </w:p>
    <w:p w14:paraId="467DD4C5" w14:textId="77777777" w:rsidR="006317FE" w:rsidRPr="008A5320" w:rsidRDefault="006317FE" w:rsidP="00855719">
      <w:pPr>
        <w:spacing w:line="240" w:lineRule="auto"/>
        <w:rPr>
          <w:noProof/>
          <w:szCs w:val="22"/>
        </w:rPr>
      </w:pPr>
    </w:p>
    <w:p w14:paraId="64587516" w14:textId="77777777" w:rsidR="006317FE" w:rsidRPr="008A5320" w:rsidRDefault="006317FE" w:rsidP="00855719">
      <w:pPr>
        <w:spacing w:line="240" w:lineRule="auto"/>
        <w:rPr>
          <w:noProof/>
          <w:szCs w:val="22"/>
        </w:rPr>
      </w:pPr>
    </w:p>
    <w:p w14:paraId="3090BFEF" w14:textId="77777777" w:rsidR="00FE401B" w:rsidRPr="008A5320" w:rsidRDefault="00FE401B" w:rsidP="00855719">
      <w:pPr>
        <w:spacing w:line="240" w:lineRule="auto"/>
        <w:rPr>
          <w:noProof/>
          <w:szCs w:val="22"/>
        </w:rPr>
      </w:pPr>
    </w:p>
    <w:p w14:paraId="3C1FFFBA" w14:textId="77777777" w:rsidR="00FE401B" w:rsidRPr="008A5320" w:rsidRDefault="00FE401B" w:rsidP="00855719">
      <w:pPr>
        <w:spacing w:line="240" w:lineRule="auto"/>
        <w:rPr>
          <w:noProof/>
          <w:szCs w:val="22"/>
        </w:rPr>
      </w:pPr>
    </w:p>
    <w:p w14:paraId="32A25C7C" w14:textId="77777777" w:rsidR="00FE401B" w:rsidRPr="008A5320" w:rsidRDefault="00FE401B" w:rsidP="00855719">
      <w:pPr>
        <w:spacing w:line="240" w:lineRule="auto"/>
        <w:rPr>
          <w:noProof/>
          <w:szCs w:val="22"/>
        </w:rPr>
      </w:pPr>
    </w:p>
    <w:p w14:paraId="19C2D9B1" w14:textId="77777777" w:rsidR="00FE401B" w:rsidRPr="008A5320" w:rsidRDefault="00FE401B" w:rsidP="00855719">
      <w:pPr>
        <w:spacing w:line="240" w:lineRule="auto"/>
        <w:rPr>
          <w:noProof/>
          <w:szCs w:val="22"/>
        </w:rPr>
      </w:pPr>
    </w:p>
    <w:p w14:paraId="63260A34" w14:textId="77777777" w:rsidR="00FE401B" w:rsidRPr="008A5320" w:rsidRDefault="00FE401B" w:rsidP="00855719">
      <w:pPr>
        <w:spacing w:line="240" w:lineRule="auto"/>
        <w:rPr>
          <w:noProof/>
          <w:szCs w:val="22"/>
        </w:rPr>
      </w:pPr>
    </w:p>
    <w:p w14:paraId="456261DB" w14:textId="77777777" w:rsidR="00FE401B" w:rsidRPr="008A5320" w:rsidRDefault="00FE401B" w:rsidP="00855719">
      <w:pPr>
        <w:spacing w:line="240" w:lineRule="auto"/>
        <w:rPr>
          <w:noProof/>
          <w:szCs w:val="22"/>
        </w:rPr>
      </w:pPr>
    </w:p>
    <w:p w14:paraId="6A50D6CA" w14:textId="77777777" w:rsidR="00FE401B" w:rsidRPr="008A5320" w:rsidRDefault="00FE401B" w:rsidP="00855719">
      <w:pPr>
        <w:spacing w:line="240" w:lineRule="auto"/>
        <w:rPr>
          <w:noProof/>
          <w:szCs w:val="22"/>
        </w:rPr>
      </w:pPr>
    </w:p>
    <w:p w14:paraId="3A4CE11E" w14:textId="77777777" w:rsidR="00FE401B" w:rsidRPr="008A5320" w:rsidRDefault="00FE401B" w:rsidP="00855719">
      <w:pPr>
        <w:spacing w:line="240" w:lineRule="auto"/>
        <w:rPr>
          <w:noProof/>
          <w:szCs w:val="22"/>
        </w:rPr>
      </w:pPr>
    </w:p>
    <w:p w14:paraId="32651EA8" w14:textId="77777777" w:rsidR="00FE401B" w:rsidRPr="008A5320" w:rsidRDefault="00FE401B" w:rsidP="00855719">
      <w:pPr>
        <w:spacing w:line="240" w:lineRule="auto"/>
        <w:rPr>
          <w:noProof/>
          <w:szCs w:val="22"/>
        </w:rPr>
      </w:pPr>
    </w:p>
    <w:p w14:paraId="6C55D5F1" w14:textId="77777777" w:rsidR="00FE401B" w:rsidRPr="008A5320" w:rsidRDefault="00FE401B" w:rsidP="00855719">
      <w:pPr>
        <w:spacing w:line="240" w:lineRule="auto"/>
        <w:rPr>
          <w:noProof/>
          <w:szCs w:val="22"/>
        </w:rPr>
      </w:pPr>
    </w:p>
    <w:p w14:paraId="33FD6042" w14:textId="77777777" w:rsidR="00FE401B" w:rsidRPr="008A5320" w:rsidRDefault="00FE401B" w:rsidP="00855719">
      <w:pPr>
        <w:spacing w:line="240" w:lineRule="auto"/>
        <w:rPr>
          <w:noProof/>
          <w:szCs w:val="22"/>
        </w:rPr>
      </w:pPr>
    </w:p>
    <w:p w14:paraId="1A62986C" w14:textId="77777777" w:rsidR="00FE401B" w:rsidRPr="008A5320" w:rsidRDefault="00FE401B" w:rsidP="00855719">
      <w:pPr>
        <w:spacing w:line="240" w:lineRule="auto"/>
        <w:rPr>
          <w:noProof/>
          <w:szCs w:val="22"/>
        </w:rPr>
      </w:pPr>
    </w:p>
    <w:p w14:paraId="537E35E9" w14:textId="77777777" w:rsidR="00FE401B" w:rsidRPr="008A5320" w:rsidRDefault="00FE401B" w:rsidP="00855719">
      <w:pPr>
        <w:spacing w:line="240" w:lineRule="auto"/>
        <w:rPr>
          <w:noProof/>
          <w:szCs w:val="22"/>
        </w:rPr>
      </w:pPr>
    </w:p>
    <w:p w14:paraId="2BE6FAD8" w14:textId="4DF34512" w:rsidR="00812D16" w:rsidRPr="00D90165" w:rsidRDefault="008A5320" w:rsidP="008A5320">
      <w:pPr>
        <w:pStyle w:val="TitleA"/>
      </w:pPr>
      <w:r>
        <w:t xml:space="preserve">B. </w:t>
      </w:r>
      <w:r w:rsidR="009C4EC4" w:rsidRPr="00D90165">
        <w:t>ULOTKA INFORMACYJNA</w:t>
      </w:r>
    </w:p>
    <w:p w14:paraId="57320A15" w14:textId="77777777" w:rsidR="00812D16" w:rsidRPr="00D90165" w:rsidRDefault="009C4EC4" w:rsidP="00855719">
      <w:pPr>
        <w:tabs>
          <w:tab w:val="clear" w:pos="567"/>
        </w:tabs>
        <w:spacing w:line="240" w:lineRule="auto"/>
        <w:jc w:val="center"/>
        <w:outlineLvl w:val="0"/>
        <w:rPr>
          <w:noProof/>
        </w:rPr>
      </w:pPr>
      <w:r w:rsidRPr="00D90165">
        <w:br w:type="page"/>
      </w:r>
      <w:r w:rsidRPr="00D90165">
        <w:rPr>
          <w:b/>
        </w:rPr>
        <w:lastRenderedPageBreak/>
        <w:t>Ulotka dołączona do opakowania: informacja dla pacjenta</w:t>
      </w:r>
    </w:p>
    <w:p w14:paraId="35B9AAC3" w14:textId="77777777" w:rsidR="00812D16" w:rsidRPr="00D90165" w:rsidRDefault="00812D16" w:rsidP="00855719">
      <w:pPr>
        <w:numPr>
          <w:ilvl w:val="12"/>
          <w:numId w:val="0"/>
        </w:numPr>
        <w:shd w:val="clear" w:color="auto" w:fill="FFFFFF"/>
        <w:tabs>
          <w:tab w:val="clear" w:pos="567"/>
        </w:tabs>
        <w:spacing w:line="240" w:lineRule="auto"/>
        <w:jc w:val="center"/>
        <w:rPr>
          <w:noProof/>
        </w:rPr>
      </w:pPr>
    </w:p>
    <w:p w14:paraId="2ED8BA3B" w14:textId="77777777" w:rsidR="00812D16" w:rsidRPr="00D90165" w:rsidRDefault="009C4EC4" w:rsidP="00855719">
      <w:pPr>
        <w:tabs>
          <w:tab w:val="left" w:pos="993"/>
        </w:tabs>
        <w:spacing w:line="240" w:lineRule="auto"/>
        <w:jc w:val="center"/>
        <w:outlineLvl w:val="0"/>
        <w:rPr>
          <w:b/>
          <w:bCs/>
          <w:noProof/>
        </w:rPr>
      </w:pPr>
      <w:r w:rsidRPr="00D90165">
        <w:rPr>
          <w:b/>
        </w:rPr>
        <w:t>AGAMREE 40 mg/ml zawiesina doustna</w:t>
      </w:r>
    </w:p>
    <w:p w14:paraId="4B6D3689" w14:textId="77777777" w:rsidR="00812D16" w:rsidRPr="00D90165" w:rsidRDefault="009C4EC4" w:rsidP="00855719">
      <w:pPr>
        <w:numPr>
          <w:ilvl w:val="12"/>
          <w:numId w:val="0"/>
        </w:numPr>
        <w:tabs>
          <w:tab w:val="clear" w:pos="567"/>
        </w:tabs>
        <w:spacing w:line="240" w:lineRule="auto"/>
        <w:jc w:val="center"/>
        <w:rPr>
          <w:noProof/>
        </w:rPr>
      </w:pPr>
      <w:r w:rsidRPr="00D90165">
        <w:t>wamorolon</w:t>
      </w:r>
    </w:p>
    <w:p w14:paraId="37D1FC16" w14:textId="77777777" w:rsidR="00812D16" w:rsidRPr="00833952" w:rsidRDefault="00812D16" w:rsidP="00855719">
      <w:pPr>
        <w:tabs>
          <w:tab w:val="clear" w:pos="567"/>
        </w:tabs>
        <w:spacing w:line="240" w:lineRule="auto"/>
        <w:rPr>
          <w:noProof/>
        </w:rPr>
      </w:pPr>
    </w:p>
    <w:p w14:paraId="0DC0BB6D" w14:textId="77777777" w:rsidR="00033D26" w:rsidRPr="00D90165" w:rsidRDefault="009C4EC4" w:rsidP="00855719">
      <w:pPr>
        <w:spacing w:line="240" w:lineRule="auto"/>
      </w:pPr>
      <w:r w:rsidRPr="00D90165">
        <w:rPr>
          <w:rStyle w:val="DNEx1"/>
        </w:rPr>
        <w:t>▼</w:t>
      </w:r>
      <w:r w:rsidRPr="00D90165">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35E2F97F" w14:textId="77777777" w:rsidR="00812D16" w:rsidRPr="00D90165" w:rsidRDefault="00812D16" w:rsidP="00855719">
      <w:pPr>
        <w:tabs>
          <w:tab w:val="clear" w:pos="567"/>
        </w:tabs>
        <w:spacing w:line="240" w:lineRule="auto"/>
        <w:rPr>
          <w:noProof/>
        </w:rPr>
      </w:pPr>
    </w:p>
    <w:p w14:paraId="5F8A601E" w14:textId="77777777" w:rsidR="00812D16" w:rsidRPr="00D90165" w:rsidRDefault="009C4EC4" w:rsidP="0056402B">
      <w:pPr>
        <w:keepNext/>
        <w:tabs>
          <w:tab w:val="clear" w:pos="567"/>
        </w:tabs>
        <w:suppressAutoHyphens/>
        <w:spacing w:line="240" w:lineRule="auto"/>
        <w:rPr>
          <w:noProof/>
        </w:rPr>
      </w:pPr>
      <w:r w:rsidRPr="00D90165">
        <w:rPr>
          <w:b/>
        </w:rPr>
        <w:t>Należy uważnie zapoznać się z treścią ulotki przed zażyciem leku, ponieważ zawiera ona informacje ważne dla pacjenta.</w:t>
      </w:r>
    </w:p>
    <w:p w14:paraId="5A9636B7" w14:textId="77777777" w:rsidR="00A31FD4" w:rsidRPr="00D90165" w:rsidRDefault="009C4EC4" w:rsidP="00855719">
      <w:pPr>
        <w:numPr>
          <w:ilvl w:val="0"/>
          <w:numId w:val="3"/>
        </w:numPr>
        <w:tabs>
          <w:tab w:val="clear" w:pos="567"/>
          <w:tab w:val="left" w:pos="720"/>
        </w:tabs>
        <w:spacing w:line="240" w:lineRule="auto"/>
        <w:ind w:left="567" w:right="-2" w:hanging="567"/>
        <w:rPr>
          <w:noProof/>
        </w:rPr>
      </w:pPr>
      <w:r w:rsidRPr="00D90165">
        <w:t>Należy zachować tę ulotkę, aby w razie potrzeby móc ją ponownie przeczytać.</w:t>
      </w:r>
    </w:p>
    <w:p w14:paraId="4FBDDFD3" w14:textId="77777777" w:rsidR="00812D16" w:rsidRPr="00D90165" w:rsidRDefault="009C4EC4" w:rsidP="00855719">
      <w:pPr>
        <w:numPr>
          <w:ilvl w:val="0"/>
          <w:numId w:val="3"/>
        </w:numPr>
        <w:tabs>
          <w:tab w:val="clear" w:pos="567"/>
          <w:tab w:val="left" w:pos="720"/>
        </w:tabs>
        <w:spacing w:line="240" w:lineRule="auto"/>
        <w:ind w:left="567" w:right="-2" w:hanging="567"/>
        <w:rPr>
          <w:noProof/>
        </w:rPr>
      </w:pPr>
      <w:r w:rsidRPr="00D90165">
        <w:t>W razie jakichkolwiek wątpliwości należy zwrócić się do lekarza lub farmaceuty.</w:t>
      </w:r>
    </w:p>
    <w:p w14:paraId="42407738" w14:textId="77777777" w:rsidR="00812D16" w:rsidRPr="00D90165" w:rsidRDefault="009C4EC4" w:rsidP="00855719">
      <w:pPr>
        <w:numPr>
          <w:ilvl w:val="0"/>
          <w:numId w:val="3"/>
        </w:numPr>
        <w:tabs>
          <w:tab w:val="clear" w:pos="567"/>
          <w:tab w:val="left" w:pos="720"/>
        </w:tabs>
        <w:spacing w:line="240" w:lineRule="auto"/>
        <w:ind w:left="567" w:right="-2" w:hanging="567"/>
        <w:rPr>
          <w:noProof/>
        </w:rPr>
      </w:pPr>
      <w:r w:rsidRPr="00D90165">
        <w:t>Lek ten przepisano ściśle określonej osobie. Nie należy go przekazywać innym. Lek może zaszkodzić innej osobie, nawet jeśli objawy jej choroby są takie same.</w:t>
      </w:r>
    </w:p>
    <w:p w14:paraId="3E2A89D1" w14:textId="77777777" w:rsidR="00812D16" w:rsidRPr="00D90165" w:rsidRDefault="009C4EC4" w:rsidP="00855719">
      <w:pPr>
        <w:numPr>
          <w:ilvl w:val="0"/>
          <w:numId w:val="3"/>
        </w:numPr>
        <w:tabs>
          <w:tab w:val="clear" w:pos="567"/>
          <w:tab w:val="left" w:pos="720"/>
        </w:tabs>
        <w:spacing w:line="240" w:lineRule="auto"/>
        <w:ind w:left="567" w:right="-2" w:hanging="567"/>
        <w:rPr>
          <w:noProof/>
        </w:rPr>
      </w:pPr>
      <w:r w:rsidRPr="00D90165">
        <w:t xml:space="preserve">Jeśli u pacjenta wystąpią jakiekolwiek objawy niepożądane, w tym wszelkie objawy niepożądane niewymienione w tej </w:t>
      </w:r>
      <w:r w:rsidR="00B27A8D">
        <w:t>u</w:t>
      </w:r>
      <w:r w:rsidRPr="00D90165">
        <w:t>lotce, należy powiedzieć o tym lekarzowi lub farmaceucie. Patrz punkt 4.</w:t>
      </w:r>
    </w:p>
    <w:p w14:paraId="00F5F50A" w14:textId="77777777" w:rsidR="00812D16" w:rsidRPr="00D90165" w:rsidRDefault="00812D16" w:rsidP="00855719">
      <w:pPr>
        <w:tabs>
          <w:tab w:val="clear" w:pos="567"/>
        </w:tabs>
        <w:spacing w:line="240" w:lineRule="auto"/>
        <w:ind w:right="-2"/>
      </w:pPr>
    </w:p>
    <w:p w14:paraId="76C63980" w14:textId="77777777" w:rsidR="00812D16" w:rsidRPr="00D90165" w:rsidRDefault="009C4EC4" w:rsidP="0056402B">
      <w:pPr>
        <w:keepNext/>
        <w:numPr>
          <w:ilvl w:val="12"/>
          <w:numId w:val="0"/>
        </w:numPr>
        <w:tabs>
          <w:tab w:val="clear" w:pos="567"/>
        </w:tabs>
        <w:spacing w:line="240" w:lineRule="auto"/>
        <w:ind w:right="-2"/>
        <w:rPr>
          <w:b/>
          <w:noProof/>
        </w:rPr>
      </w:pPr>
      <w:r w:rsidRPr="00D90165">
        <w:rPr>
          <w:b/>
        </w:rPr>
        <w:t>Spis treści ulotki</w:t>
      </w:r>
    </w:p>
    <w:p w14:paraId="2D98DE89" w14:textId="77777777" w:rsidR="00812D16" w:rsidRPr="00D90165" w:rsidRDefault="00812D16" w:rsidP="0056402B">
      <w:pPr>
        <w:keepNext/>
        <w:tabs>
          <w:tab w:val="clear" w:pos="567"/>
        </w:tabs>
        <w:spacing w:line="240" w:lineRule="auto"/>
        <w:ind w:right="-2"/>
      </w:pPr>
    </w:p>
    <w:p w14:paraId="5C9DF686" w14:textId="77777777" w:rsidR="00F9016F" w:rsidRPr="00D90165" w:rsidRDefault="009C4EC4" w:rsidP="00855719">
      <w:pPr>
        <w:numPr>
          <w:ilvl w:val="12"/>
          <w:numId w:val="0"/>
        </w:numPr>
        <w:spacing w:line="240" w:lineRule="auto"/>
        <w:ind w:right="-29"/>
        <w:rPr>
          <w:noProof/>
        </w:rPr>
      </w:pPr>
      <w:r w:rsidRPr="00D90165">
        <w:rPr>
          <w:rStyle w:val="DNEx4"/>
        </w:rPr>
        <w:t>1.</w:t>
      </w:r>
      <w:r w:rsidRPr="00D90165">
        <w:rPr>
          <w:rStyle w:val="DNEx4"/>
        </w:rPr>
        <w:tab/>
      </w:r>
      <w:r w:rsidRPr="00D90165">
        <w:t>Co to jest lek AGAMREE i w jakim celu się go stosuje</w:t>
      </w:r>
    </w:p>
    <w:p w14:paraId="33075AD5" w14:textId="77777777" w:rsidR="00812D16" w:rsidRPr="00D90165" w:rsidRDefault="009C4EC4" w:rsidP="00855719">
      <w:pPr>
        <w:numPr>
          <w:ilvl w:val="12"/>
          <w:numId w:val="0"/>
        </w:numPr>
        <w:spacing w:line="240" w:lineRule="auto"/>
        <w:ind w:right="-29"/>
        <w:rPr>
          <w:noProof/>
        </w:rPr>
      </w:pPr>
      <w:r w:rsidRPr="00D90165">
        <w:rPr>
          <w:rStyle w:val="DNEx4"/>
        </w:rPr>
        <w:t>2.</w:t>
      </w:r>
      <w:r w:rsidRPr="00D90165">
        <w:rPr>
          <w:rStyle w:val="DNEx4"/>
        </w:rPr>
        <w:tab/>
      </w:r>
      <w:r w:rsidRPr="00D90165">
        <w:t>Informacje ważne przed przyjęciem leku AGAMREE</w:t>
      </w:r>
    </w:p>
    <w:p w14:paraId="3C34634A" w14:textId="77777777" w:rsidR="00812D16" w:rsidRPr="00D90165" w:rsidRDefault="009C4EC4" w:rsidP="00855719">
      <w:pPr>
        <w:numPr>
          <w:ilvl w:val="12"/>
          <w:numId w:val="0"/>
        </w:numPr>
        <w:spacing w:line="240" w:lineRule="auto"/>
        <w:ind w:right="-29"/>
        <w:rPr>
          <w:noProof/>
        </w:rPr>
      </w:pPr>
      <w:r w:rsidRPr="00D90165">
        <w:rPr>
          <w:rStyle w:val="DNEx4"/>
        </w:rPr>
        <w:t>3.</w:t>
      </w:r>
      <w:r w:rsidRPr="00D90165">
        <w:rPr>
          <w:rStyle w:val="DNEx4"/>
        </w:rPr>
        <w:tab/>
      </w:r>
      <w:r w:rsidRPr="00D90165">
        <w:t>Jak przyjmować lek AGAMREE</w:t>
      </w:r>
    </w:p>
    <w:p w14:paraId="40D1D36B" w14:textId="77777777" w:rsidR="00812D16" w:rsidRPr="00D90165" w:rsidRDefault="009C4EC4" w:rsidP="00855719">
      <w:pPr>
        <w:numPr>
          <w:ilvl w:val="12"/>
          <w:numId w:val="0"/>
        </w:numPr>
        <w:spacing w:line="240" w:lineRule="auto"/>
        <w:ind w:right="-29"/>
        <w:rPr>
          <w:noProof/>
        </w:rPr>
      </w:pPr>
      <w:r w:rsidRPr="00D90165">
        <w:rPr>
          <w:rStyle w:val="DNEx4"/>
        </w:rPr>
        <w:t>4.</w:t>
      </w:r>
      <w:r w:rsidRPr="00D90165">
        <w:rPr>
          <w:rStyle w:val="DNEx4"/>
        </w:rPr>
        <w:tab/>
      </w:r>
      <w:r w:rsidRPr="00D90165">
        <w:t>Możliwe działania niepożądane</w:t>
      </w:r>
    </w:p>
    <w:p w14:paraId="4CA878ED" w14:textId="77777777" w:rsidR="00F9016F" w:rsidRPr="00D90165" w:rsidRDefault="009C4EC4" w:rsidP="00855719">
      <w:pPr>
        <w:spacing w:line="240" w:lineRule="auto"/>
        <w:ind w:right="-29"/>
        <w:rPr>
          <w:noProof/>
        </w:rPr>
      </w:pPr>
      <w:r w:rsidRPr="00D90165">
        <w:rPr>
          <w:rStyle w:val="DNEx4"/>
        </w:rPr>
        <w:t>5.</w:t>
      </w:r>
      <w:r w:rsidRPr="00D90165">
        <w:rPr>
          <w:rStyle w:val="DNEx4"/>
        </w:rPr>
        <w:tab/>
      </w:r>
      <w:r w:rsidRPr="00D90165">
        <w:t>Jak przechowywać lek AGAMREE</w:t>
      </w:r>
    </w:p>
    <w:p w14:paraId="7633F9C1" w14:textId="77777777" w:rsidR="00812D16" w:rsidRPr="00D90165" w:rsidRDefault="009C4EC4" w:rsidP="00855719">
      <w:pPr>
        <w:spacing w:line="240" w:lineRule="auto"/>
        <w:ind w:right="-29"/>
        <w:rPr>
          <w:noProof/>
        </w:rPr>
      </w:pPr>
      <w:r w:rsidRPr="00D90165">
        <w:rPr>
          <w:rStyle w:val="DNEx4"/>
        </w:rPr>
        <w:t>6.</w:t>
      </w:r>
      <w:r w:rsidRPr="00D90165">
        <w:rPr>
          <w:rStyle w:val="DNEx4"/>
        </w:rPr>
        <w:tab/>
      </w:r>
      <w:r w:rsidRPr="00D90165">
        <w:t>Zawartość opakowania i inne informacje</w:t>
      </w:r>
    </w:p>
    <w:p w14:paraId="43016344" w14:textId="77777777" w:rsidR="00812D16" w:rsidRPr="00D90165" w:rsidRDefault="00812D16" w:rsidP="00855719">
      <w:pPr>
        <w:numPr>
          <w:ilvl w:val="12"/>
          <w:numId w:val="0"/>
        </w:numPr>
        <w:tabs>
          <w:tab w:val="clear" w:pos="567"/>
        </w:tabs>
        <w:spacing w:line="240" w:lineRule="auto"/>
        <w:ind w:right="-2"/>
        <w:rPr>
          <w:noProof/>
        </w:rPr>
      </w:pPr>
    </w:p>
    <w:p w14:paraId="2749EED0" w14:textId="77777777" w:rsidR="009B6496" w:rsidRPr="00D90165" w:rsidRDefault="009B6496" w:rsidP="00855719">
      <w:pPr>
        <w:numPr>
          <w:ilvl w:val="12"/>
          <w:numId w:val="0"/>
        </w:numPr>
        <w:tabs>
          <w:tab w:val="clear" w:pos="567"/>
        </w:tabs>
        <w:spacing w:line="240" w:lineRule="auto"/>
        <w:rPr>
          <w:noProof/>
          <w:szCs w:val="22"/>
        </w:rPr>
      </w:pPr>
    </w:p>
    <w:p w14:paraId="5A5B6380" w14:textId="77777777" w:rsidR="009B6496" w:rsidRPr="00D90165" w:rsidRDefault="009C4EC4" w:rsidP="0056402B">
      <w:pPr>
        <w:keepNext/>
        <w:spacing w:line="240" w:lineRule="auto"/>
        <w:ind w:right="-2"/>
        <w:rPr>
          <w:b/>
          <w:noProof/>
          <w:szCs w:val="22"/>
        </w:rPr>
      </w:pPr>
      <w:r w:rsidRPr="00D90165">
        <w:rPr>
          <w:rStyle w:val="DNEx2"/>
        </w:rPr>
        <w:t>1.</w:t>
      </w:r>
      <w:r w:rsidRPr="00D90165">
        <w:rPr>
          <w:rStyle w:val="DNEx2"/>
        </w:rPr>
        <w:tab/>
      </w:r>
      <w:r w:rsidRPr="00D90165">
        <w:rPr>
          <w:b/>
        </w:rPr>
        <w:t>Co to jest lek AGAMREE i w jakim celu się go stosuje</w:t>
      </w:r>
    </w:p>
    <w:p w14:paraId="7F04F957" w14:textId="77777777" w:rsidR="009B6496" w:rsidRPr="00D90165" w:rsidRDefault="009B6496" w:rsidP="0056402B">
      <w:pPr>
        <w:keepNext/>
        <w:numPr>
          <w:ilvl w:val="12"/>
          <w:numId w:val="0"/>
        </w:numPr>
        <w:tabs>
          <w:tab w:val="clear" w:pos="567"/>
        </w:tabs>
        <w:spacing w:line="240" w:lineRule="auto"/>
        <w:rPr>
          <w:noProof/>
          <w:szCs w:val="22"/>
        </w:rPr>
      </w:pPr>
    </w:p>
    <w:p w14:paraId="7CDE889F" w14:textId="77777777" w:rsidR="006550C7" w:rsidRPr="00D90165" w:rsidRDefault="009C4EC4" w:rsidP="00855719">
      <w:pPr>
        <w:tabs>
          <w:tab w:val="clear" w:pos="567"/>
        </w:tabs>
        <w:spacing w:line="240" w:lineRule="auto"/>
        <w:ind w:right="-2"/>
        <w:rPr>
          <w:noProof/>
        </w:rPr>
      </w:pPr>
      <w:r w:rsidRPr="00D90165">
        <w:t>AGAMREE jest steroidowym lekiem przeciwzapalnym zawierającym wamorolon jako substancję czynną.</w:t>
      </w:r>
    </w:p>
    <w:p w14:paraId="002C2C15" w14:textId="77777777" w:rsidR="007F041A" w:rsidRPr="00A510B3" w:rsidRDefault="007F041A" w:rsidP="00855719">
      <w:pPr>
        <w:tabs>
          <w:tab w:val="clear" w:pos="567"/>
        </w:tabs>
        <w:spacing w:line="240" w:lineRule="auto"/>
        <w:ind w:right="-2"/>
        <w:rPr>
          <w:noProof/>
        </w:rPr>
      </w:pPr>
    </w:p>
    <w:p w14:paraId="39A3DFE5" w14:textId="77777777" w:rsidR="006550C7" w:rsidRPr="00D90165" w:rsidRDefault="009C4EC4" w:rsidP="00855719">
      <w:pPr>
        <w:tabs>
          <w:tab w:val="clear" w:pos="567"/>
        </w:tabs>
        <w:spacing w:line="240" w:lineRule="auto"/>
        <w:ind w:right="-2"/>
        <w:rPr>
          <w:noProof/>
        </w:rPr>
      </w:pPr>
      <w:r w:rsidRPr="00D90165">
        <w:t xml:space="preserve">Lek AGAMREE stosuje się w leczeniu pacjentów w wieku 4 lat i starszych z dystrofią mięśniową Duchenne'a (ang. </w:t>
      </w:r>
      <w:r w:rsidRPr="00D90165">
        <w:rPr>
          <w:i/>
          <w:iCs/>
        </w:rPr>
        <w:t>Duchenne muscular dystrophy</w:t>
      </w:r>
      <w:r w:rsidRPr="00D90165">
        <w:t>, DMD). DMD jest chorobą genetyczną spowodowaną wadami genu dystrofiny, który normalnie wytwarza białko utrzymujące zdrowe i silne mięśnie. U pacjentów z DMD białko to nie jest wytwarzane, a organizm nie jest w stanie produkować nowych komórek mięśniowych ani zastępować uszkodzonych mięśni. Powoduje to, że mięśnie w organizmie z czasem stają się słabsze.</w:t>
      </w:r>
    </w:p>
    <w:p w14:paraId="5ED12BDB" w14:textId="77777777" w:rsidR="006550C7" w:rsidRPr="00D90165" w:rsidRDefault="006550C7" w:rsidP="00855719">
      <w:pPr>
        <w:tabs>
          <w:tab w:val="clear" w:pos="567"/>
        </w:tabs>
        <w:spacing w:line="240" w:lineRule="auto"/>
        <w:ind w:right="-2"/>
        <w:rPr>
          <w:noProof/>
        </w:rPr>
      </w:pPr>
    </w:p>
    <w:p w14:paraId="198C6CB8" w14:textId="77777777" w:rsidR="006550C7" w:rsidRPr="00D90165" w:rsidRDefault="009C4EC4" w:rsidP="00855719">
      <w:pPr>
        <w:tabs>
          <w:tab w:val="clear" w:pos="567"/>
        </w:tabs>
        <w:spacing w:line="240" w:lineRule="auto"/>
        <w:ind w:right="-2"/>
        <w:rPr>
          <w:noProof/>
        </w:rPr>
      </w:pPr>
      <w:r w:rsidRPr="00D90165">
        <w:t>Lek AGAMREE stosuje się w celu stabilizacji lub poprawy siły mięśni u pacjentów z DMD.</w:t>
      </w:r>
    </w:p>
    <w:p w14:paraId="3B33817F" w14:textId="77777777" w:rsidR="006550C7" w:rsidRPr="00D90165" w:rsidRDefault="006550C7" w:rsidP="00855719">
      <w:pPr>
        <w:tabs>
          <w:tab w:val="clear" w:pos="567"/>
        </w:tabs>
        <w:spacing w:line="240" w:lineRule="auto"/>
        <w:ind w:right="-2"/>
        <w:rPr>
          <w:noProof/>
        </w:rPr>
      </w:pPr>
    </w:p>
    <w:p w14:paraId="41FBB6E2" w14:textId="77777777" w:rsidR="006550C7" w:rsidRPr="00D90165" w:rsidRDefault="006550C7" w:rsidP="00855719">
      <w:pPr>
        <w:tabs>
          <w:tab w:val="clear" w:pos="567"/>
        </w:tabs>
        <w:spacing w:line="240" w:lineRule="auto"/>
        <w:ind w:right="-2"/>
        <w:rPr>
          <w:noProof/>
        </w:rPr>
      </w:pPr>
    </w:p>
    <w:p w14:paraId="70A3DC75" w14:textId="77777777" w:rsidR="009B6496" w:rsidRPr="00D90165" w:rsidRDefault="009C4EC4" w:rsidP="0056402B">
      <w:pPr>
        <w:keepNext/>
        <w:spacing w:line="240" w:lineRule="auto"/>
        <w:ind w:right="-2"/>
        <w:rPr>
          <w:b/>
          <w:noProof/>
          <w:szCs w:val="22"/>
        </w:rPr>
      </w:pPr>
      <w:r w:rsidRPr="00D90165">
        <w:rPr>
          <w:rStyle w:val="DNEx2"/>
        </w:rPr>
        <w:t>2.</w:t>
      </w:r>
      <w:r w:rsidRPr="00D90165">
        <w:rPr>
          <w:rStyle w:val="DNEx2"/>
        </w:rPr>
        <w:tab/>
      </w:r>
      <w:r w:rsidRPr="00D90165">
        <w:rPr>
          <w:b/>
        </w:rPr>
        <w:t>Informacje ważne przed przyjęciem leku AGAMREE</w:t>
      </w:r>
    </w:p>
    <w:p w14:paraId="594D64F8" w14:textId="77777777" w:rsidR="009B6496" w:rsidRPr="00D90165" w:rsidRDefault="009B6496" w:rsidP="0056402B">
      <w:pPr>
        <w:keepNext/>
        <w:tabs>
          <w:tab w:val="clear" w:pos="567"/>
        </w:tabs>
        <w:spacing w:line="240" w:lineRule="auto"/>
        <w:ind w:right="-2"/>
        <w:rPr>
          <w:noProof/>
        </w:rPr>
      </w:pPr>
    </w:p>
    <w:p w14:paraId="092770AA" w14:textId="77777777" w:rsidR="009B6496" w:rsidRPr="00D90165" w:rsidRDefault="009C4EC4" w:rsidP="0056402B">
      <w:pPr>
        <w:keepNext/>
        <w:numPr>
          <w:ilvl w:val="12"/>
          <w:numId w:val="0"/>
        </w:numPr>
        <w:tabs>
          <w:tab w:val="clear" w:pos="567"/>
        </w:tabs>
        <w:spacing w:line="240" w:lineRule="auto"/>
        <w:outlineLvl w:val="0"/>
        <w:rPr>
          <w:noProof/>
          <w:szCs w:val="22"/>
        </w:rPr>
      </w:pPr>
      <w:r w:rsidRPr="00D90165">
        <w:rPr>
          <w:b/>
        </w:rPr>
        <w:t>Kiedy nie przyjmować leku AGAMREE</w:t>
      </w:r>
    </w:p>
    <w:p w14:paraId="4919D2D1" w14:textId="77777777" w:rsidR="006550C7" w:rsidRPr="00D90165" w:rsidRDefault="009C4EC4" w:rsidP="00855719">
      <w:pPr>
        <w:tabs>
          <w:tab w:val="clear" w:pos="567"/>
        </w:tabs>
        <w:spacing w:line="240" w:lineRule="auto"/>
        <w:ind w:left="567" w:hanging="567"/>
        <w:rPr>
          <w:noProof/>
        </w:rPr>
      </w:pPr>
      <w:r w:rsidRPr="00D90165">
        <w:rPr>
          <w:rStyle w:val="DNEx4"/>
        </w:rPr>
        <w:t>-</w:t>
      </w:r>
      <w:r w:rsidRPr="00D90165">
        <w:rPr>
          <w:rStyle w:val="DNEx4"/>
        </w:rPr>
        <w:tab/>
      </w:r>
      <w:r w:rsidRPr="00D90165">
        <w:t>jeśli pacjent ma uczulenie na wamorolon lub którykolwiek z pozostałych składników tego leku (wymienionych w punkcie 6);</w:t>
      </w:r>
    </w:p>
    <w:p w14:paraId="7EB98A71" w14:textId="77777777" w:rsidR="07C6BD8F" w:rsidRPr="00D90165" w:rsidRDefault="009C4EC4" w:rsidP="00855719">
      <w:pPr>
        <w:tabs>
          <w:tab w:val="clear" w:pos="567"/>
        </w:tabs>
        <w:spacing w:line="240" w:lineRule="auto"/>
        <w:ind w:left="567" w:hanging="567"/>
      </w:pPr>
      <w:r w:rsidRPr="00D90165">
        <w:rPr>
          <w:rStyle w:val="DNEx4"/>
        </w:rPr>
        <w:t xml:space="preserve">- </w:t>
      </w:r>
      <w:r w:rsidRPr="00D90165">
        <w:rPr>
          <w:rStyle w:val="DNEx4"/>
        </w:rPr>
        <w:tab/>
      </w:r>
      <w:r w:rsidRPr="00D90165">
        <w:t xml:space="preserve">jeśli u pacjenta występuje </w:t>
      </w:r>
      <w:r w:rsidR="00080CD8">
        <w:t>ciężkie</w:t>
      </w:r>
      <w:r w:rsidR="00080CD8" w:rsidRPr="00D90165">
        <w:t xml:space="preserve"> </w:t>
      </w:r>
      <w:r w:rsidRPr="00D90165">
        <w:t>zaburzenie wątroby;</w:t>
      </w:r>
    </w:p>
    <w:p w14:paraId="2F010E2F" w14:textId="77777777" w:rsidR="00332E5D" w:rsidRPr="00D90165" w:rsidRDefault="009C4EC4" w:rsidP="00855719">
      <w:pPr>
        <w:tabs>
          <w:tab w:val="clear" w:pos="567"/>
        </w:tabs>
        <w:spacing w:line="240" w:lineRule="auto"/>
        <w:ind w:left="567" w:hanging="567"/>
      </w:pPr>
      <w:r w:rsidRPr="00D90165">
        <w:rPr>
          <w:rStyle w:val="DNEx4"/>
        </w:rPr>
        <w:t xml:space="preserve">- </w:t>
      </w:r>
      <w:r w:rsidRPr="00D90165">
        <w:rPr>
          <w:rStyle w:val="DNEx4"/>
        </w:rPr>
        <w:tab/>
      </w:r>
      <w:r w:rsidRPr="00D90165">
        <w:t>jeśli pacjent w ciągu ostatnich 6 tygodni planował otrzymać lub otrzymał szczepienie żywymi lub żywymi atenuowanymi szczepionkami (takimi jak przeciw odrze, śwince, różyczce lub ospie wietrznej). Należy porozmawiać z lekarzem, jeśli pacjent przyjmuje już lek AGAMREE i planuje takie szczepienie.</w:t>
      </w:r>
    </w:p>
    <w:p w14:paraId="5689E1BC" w14:textId="77777777" w:rsidR="009B6496" w:rsidRPr="00D90165" w:rsidRDefault="009B6496" w:rsidP="00855719">
      <w:pPr>
        <w:numPr>
          <w:ilvl w:val="12"/>
          <w:numId w:val="0"/>
        </w:numPr>
        <w:tabs>
          <w:tab w:val="clear" w:pos="567"/>
        </w:tabs>
        <w:spacing w:line="240" w:lineRule="auto"/>
        <w:rPr>
          <w:noProof/>
          <w:szCs w:val="22"/>
        </w:rPr>
      </w:pPr>
    </w:p>
    <w:p w14:paraId="02A5E023" w14:textId="77777777" w:rsidR="00D452D7" w:rsidRPr="00D90165" w:rsidRDefault="009C4EC4" w:rsidP="0056402B">
      <w:pPr>
        <w:keepNext/>
        <w:tabs>
          <w:tab w:val="clear" w:pos="567"/>
        </w:tabs>
        <w:spacing w:line="240" w:lineRule="auto"/>
        <w:outlineLvl w:val="0"/>
        <w:rPr>
          <w:noProof/>
        </w:rPr>
      </w:pPr>
      <w:r w:rsidRPr="00D90165">
        <w:rPr>
          <w:b/>
        </w:rPr>
        <w:lastRenderedPageBreak/>
        <w:t>Ostrzeżenia i środki ostrożności</w:t>
      </w:r>
    </w:p>
    <w:p w14:paraId="30945557" w14:textId="77777777" w:rsidR="00D35AFD" w:rsidRPr="00D90165" w:rsidRDefault="009C4EC4" w:rsidP="00855719">
      <w:pPr>
        <w:tabs>
          <w:tab w:val="clear" w:pos="567"/>
        </w:tabs>
        <w:spacing w:line="240" w:lineRule="auto"/>
        <w:rPr>
          <w:noProof/>
        </w:rPr>
      </w:pPr>
      <w:r w:rsidRPr="00D90165">
        <w:t>Przed rozpoczęciem stosowania leku AGAMREE należy omówić to z lekarzem</w:t>
      </w:r>
    </w:p>
    <w:p w14:paraId="459AAE0B" w14:textId="77777777" w:rsidR="00D35AFD" w:rsidRPr="00D90165" w:rsidRDefault="00D35AFD" w:rsidP="00855719">
      <w:pPr>
        <w:spacing w:line="240" w:lineRule="auto"/>
        <w:rPr>
          <w:noProof/>
          <w:u w:val="single"/>
        </w:rPr>
      </w:pPr>
    </w:p>
    <w:p w14:paraId="5A13B8C2" w14:textId="77777777" w:rsidR="00D35AFD" w:rsidRPr="00D90165" w:rsidRDefault="009C4EC4" w:rsidP="0056402B">
      <w:pPr>
        <w:keepNext/>
        <w:spacing w:line="240" w:lineRule="auto"/>
        <w:rPr>
          <w:noProof/>
          <w:u w:val="single"/>
        </w:rPr>
      </w:pPr>
      <w:r w:rsidRPr="00D90165">
        <w:rPr>
          <w:u w:val="single"/>
        </w:rPr>
        <w:t xml:space="preserve">Zmiany </w:t>
      </w:r>
      <w:r w:rsidR="008C3C04">
        <w:rPr>
          <w:u w:val="single"/>
        </w:rPr>
        <w:t>czynności</w:t>
      </w:r>
      <w:r w:rsidRPr="00D90165">
        <w:rPr>
          <w:u w:val="single"/>
        </w:rPr>
        <w:t xml:space="preserve"> układu hormonalnego: niewydolność nadnerczy</w:t>
      </w:r>
    </w:p>
    <w:p w14:paraId="41A3BF5F" w14:textId="77777777" w:rsidR="00D35AFD" w:rsidRPr="00D90165" w:rsidRDefault="00D35AFD" w:rsidP="0056402B">
      <w:pPr>
        <w:keepNext/>
        <w:tabs>
          <w:tab w:val="clear" w:pos="567"/>
        </w:tabs>
        <w:spacing w:line="240" w:lineRule="auto"/>
        <w:rPr>
          <w:noProof/>
        </w:rPr>
      </w:pPr>
    </w:p>
    <w:p w14:paraId="41F171A2" w14:textId="77777777" w:rsidR="00D35AFD" w:rsidRPr="00D90165" w:rsidRDefault="009C4EC4" w:rsidP="00855719">
      <w:pPr>
        <w:spacing w:line="240" w:lineRule="auto"/>
        <w:rPr>
          <w:noProof/>
        </w:rPr>
      </w:pPr>
      <w:r w:rsidRPr="00D90165">
        <w:t>Lek AGAMREE zmniejsza ilość hormonu o nazwie kortyzol, jaką organizm jest w stanie wytworzyć. Jest to tzw. niewydolność nadnerczy.</w:t>
      </w:r>
    </w:p>
    <w:p w14:paraId="66A130B0" w14:textId="77777777" w:rsidR="00D35AFD" w:rsidRPr="00D90165" w:rsidRDefault="00D35AFD" w:rsidP="00855719">
      <w:pPr>
        <w:spacing w:line="240" w:lineRule="auto"/>
        <w:rPr>
          <w:noProof/>
        </w:rPr>
      </w:pPr>
    </w:p>
    <w:p w14:paraId="50D5ABCD"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 xml:space="preserve">nie należy zmniejszać ilości leku AGAMREE ani przerywać jego stosowania bez konsultacji z lekarzem; w przypadku nagłego zmniejszenia dawki lub przerwania przyjmowania leku AGAMREE przez kilka dni mogą wystąpić objawy ostrej niewydolności nadnerczy, takie jak nadmierne zmęczenie, zawroty głowy lub splątanie, które mogą zagrażać życiu; może zaistnieć konieczność ściślejszego monitorowania leczenia </w:t>
      </w:r>
      <w:r w:rsidR="008C3C04">
        <w:t xml:space="preserve">przez lekarza </w:t>
      </w:r>
      <w:r w:rsidRPr="00D90165">
        <w:t>w przypadku zmiany dawki;</w:t>
      </w:r>
    </w:p>
    <w:p w14:paraId="302CA579"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jeśli u pacjenta występuje nietypowy stres (np. ostre zakażenie, urazy lub poważny zabieg chirurgiczny), konieczne może być zastosowanie dodatkowego leku steroidowego w celu zapobiegania ostrej niewydolności nadnerczy. Przed rozpoczęciem stosowania leku AGAMREE należy omówić z lekarzem czynności, jakie należy podjąć w razie nietypowego stresu;</w:t>
      </w:r>
    </w:p>
    <w:p w14:paraId="3BD4F02B"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w przypadku leczenia innym kortykosteroidem, takim jak prednizon, pacjent będzie mógł z dnia na dzień zmienić lek na lek AGAMREE, przy czym lekarz doradzi pacjentowi, jaką dawkę powinien przyjmować;</w:t>
      </w:r>
    </w:p>
    <w:p w14:paraId="730E79F5"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jeśli u pacjenta występuje określony rodzaj guza w nadnerczach, zwany „guzem chr</w:t>
      </w:r>
      <w:r w:rsidR="005926CB">
        <w:t>o</w:t>
      </w:r>
      <w:r w:rsidRPr="00D90165">
        <w:t>mochłonnym”, lekarz może być zmuszony do ściślejszego monitorowania leczenia.</w:t>
      </w:r>
    </w:p>
    <w:p w14:paraId="0D69B221" w14:textId="77777777" w:rsidR="74E8AA19" w:rsidRPr="00D90165" w:rsidRDefault="74E8AA19" w:rsidP="00855719">
      <w:pPr>
        <w:tabs>
          <w:tab w:val="clear" w:pos="567"/>
          <w:tab w:val="left" w:pos="720"/>
        </w:tabs>
        <w:spacing w:line="240" w:lineRule="auto"/>
        <w:ind w:right="-2"/>
        <w:rPr>
          <w:noProof/>
          <w:szCs w:val="22"/>
        </w:rPr>
      </w:pPr>
    </w:p>
    <w:p w14:paraId="2AE354DC" w14:textId="77777777" w:rsidR="3B2C02C2" w:rsidRPr="00D90165" w:rsidRDefault="009C4EC4" w:rsidP="00855719">
      <w:pPr>
        <w:tabs>
          <w:tab w:val="clear" w:pos="567"/>
          <w:tab w:val="left" w:pos="720"/>
        </w:tabs>
        <w:spacing w:line="240" w:lineRule="auto"/>
        <w:ind w:right="-2"/>
        <w:rPr>
          <w:noProof/>
        </w:rPr>
      </w:pPr>
      <w:r w:rsidRPr="00D90165">
        <w:t>WAŻNE: W opakowaniu leku AGAMREE znajduje się karta ostrzeżeń dla pacjenta, która zawiera ważne informacje dotyczące bezpieczeństwa w przypadku przełomu nadnerczowego. Kartę należy zawsze mieć przy sobie.</w:t>
      </w:r>
    </w:p>
    <w:p w14:paraId="6E3B5097" w14:textId="77777777" w:rsidR="0020023D" w:rsidRPr="00D90165" w:rsidRDefault="0020023D" w:rsidP="00855719">
      <w:pPr>
        <w:spacing w:line="240" w:lineRule="auto"/>
        <w:rPr>
          <w:b/>
          <w:bCs/>
          <w:u w:val="single"/>
        </w:rPr>
      </w:pPr>
    </w:p>
    <w:p w14:paraId="748F946F" w14:textId="77777777" w:rsidR="00D35AFD" w:rsidRPr="00D90165" w:rsidRDefault="009C4EC4" w:rsidP="0056402B">
      <w:pPr>
        <w:keepNext/>
        <w:spacing w:line="240" w:lineRule="auto"/>
        <w:rPr>
          <w:u w:val="single"/>
        </w:rPr>
      </w:pPr>
      <w:r w:rsidRPr="00D90165">
        <w:rPr>
          <w:u w:val="single"/>
        </w:rPr>
        <w:t>Przyrost masy ciała</w:t>
      </w:r>
    </w:p>
    <w:p w14:paraId="433E4F99" w14:textId="77777777" w:rsidR="00D35AFD" w:rsidRPr="00D90165" w:rsidRDefault="00D35AFD" w:rsidP="0056402B">
      <w:pPr>
        <w:keepNext/>
        <w:spacing w:line="240" w:lineRule="auto"/>
      </w:pPr>
    </w:p>
    <w:p w14:paraId="4880825D"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Lek AGAMREE może zwiększać apetyt i w związku z tym masę ciała pacjenta, głównie w pierwszych miesiącach leczenia; przed leczeniem i w jego trakcie lekarz lub pielęgniarka będą udzielać pacjentowi porad żywieniowych.</w:t>
      </w:r>
    </w:p>
    <w:p w14:paraId="05160534" w14:textId="77777777" w:rsidR="00D35AFD" w:rsidRPr="00D90165" w:rsidRDefault="00D35AFD" w:rsidP="00855719">
      <w:pPr>
        <w:pStyle w:val="ListParagraph"/>
        <w:spacing w:line="240" w:lineRule="auto"/>
        <w:ind w:left="567"/>
        <w:rPr>
          <w:noProof/>
          <w:u w:val="single"/>
        </w:rPr>
      </w:pPr>
    </w:p>
    <w:p w14:paraId="38D24015" w14:textId="77777777" w:rsidR="00D35AFD" w:rsidRPr="00D90165" w:rsidRDefault="009C4EC4" w:rsidP="0056402B">
      <w:pPr>
        <w:keepNext/>
        <w:spacing w:line="240" w:lineRule="auto"/>
        <w:rPr>
          <w:noProof/>
          <w:u w:val="single"/>
        </w:rPr>
      </w:pPr>
      <w:r w:rsidRPr="00D90165">
        <w:rPr>
          <w:u w:val="single"/>
        </w:rPr>
        <w:t>Pacjenci z zaburzeniami czynności tarczycy</w:t>
      </w:r>
    </w:p>
    <w:p w14:paraId="74F13533" w14:textId="77777777" w:rsidR="00D35AFD" w:rsidRPr="00D90165" w:rsidRDefault="00D35AFD" w:rsidP="0056402B">
      <w:pPr>
        <w:keepNext/>
        <w:rPr>
          <w:noProof/>
        </w:rPr>
      </w:pPr>
    </w:p>
    <w:p w14:paraId="6492E1FB"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jeśli u pacjenta występuje niedoczynność tarczycy lub nadczynność tarczycy, lekarz może dokładniej monitorować leczenie lub zmienić dawkę.</w:t>
      </w:r>
    </w:p>
    <w:p w14:paraId="71F44F25" w14:textId="77777777" w:rsidR="00D35AFD" w:rsidRPr="00D90165" w:rsidRDefault="00D35AFD" w:rsidP="00855719">
      <w:pPr>
        <w:spacing w:line="240" w:lineRule="auto"/>
        <w:rPr>
          <w:noProof/>
          <w:u w:val="single"/>
        </w:rPr>
      </w:pPr>
    </w:p>
    <w:p w14:paraId="448D2D09" w14:textId="77777777" w:rsidR="00D35AFD" w:rsidRPr="00D90165" w:rsidRDefault="009C4EC4" w:rsidP="0056402B">
      <w:pPr>
        <w:keepNext/>
        <w:spacing w:line="240" w:lineRule="auto"/>
        <w:rPr>
          <w:noProof/>
          <w:u w:val="single"/>
        </w:rPr>
      </w:pPr>
      <w:r w:rsidRPr="00D90165">
        <w:rPr>
          <w:u w:val="single"/>
        </w:rPr>
        <w:t>Działanie na oczy</w:t>
      </w:r>
    </w:p>
    <w:p w14:paraId="77059000" w14:textId="77777777" w:rsidR="00D35AFD" w:rsidRPr="00D90165" w:rsidRDefault="00D35AFD" w:rsidP="0056402B">
      <w:pPr>
        <w:keepNext/>
        <w:spacing w:line="240" w:lineRule="auto"/>
        <w:rPr>
          <w:noProof/>
        </w:rPr>
      </w:pPr>
    </w:p>
    <w:p w14:paraId="2B72591F"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jeśli u pacjenta lub osoby z jego rodziny występuje jaskra (zwiększone ciśnienie w gałce ocznej), lekarz może być zmuszony do ściślejszego monitorowania leczenia.</w:t>
      </w:r>
    </w:p>
    <w:p w14:paraId="5CD1BD52" w14:textId="77777777" w:rsidR="00D35AFD" w:rsidRPr="00D90165" w:rsidRDefault="00D35AFD" w:rsidP="00855719">
      <w:pPr>
        <w:pStyle w:val="ListParagraph"/>
        <w:spacing w:line="240" w:lineRule="auto"/>
        <w:ind w:left="567"/>
        <w:rPr>
          <w:u w:val="single"/>
        </w:rPr>
      </w:pPr>
    </w:p>
    <w:p w14:paraId="7558E26E" w14:textId="77777777" w:rsidR="00D35AFD" w:rsidRPr="00D90165" w:rsidRDefault="009C4EC4" w:rsidP="0056402B">
      <w:pPr>
        <w:keepNext/>
        <w:spacing w:line="240" w:lineRule="auto"/>
        <w:rPr>
          <w:noProof/>
          <w:u w:val="single"/>
        </w:rPr>
      </w:pPr>
      <w:r w:rsidRPr="00D90165">
        <w:rPr>
          <w:u w:val="single"/>
        </w:rPr>
        <w:t>Zwiększone ryzyko zakażeń</w:t>
      </w:r>
    </w:p>
    <w:p w14:paraId="6DF38886" w14:textId="77777777" w:rsidR="00D35AFD" w:rsidRPr="00D90165" w:rsidRDefault="00D35AFD" w:rsidP="0056402B">
      <w:pPr>
        <w:keepNext/>
        <w:spacing w:line="240" w:lineRule="auto"/>
      </w:pPr>
    </w:p>
    <w:p w14:paraId="32C9728B" w14:textId="77777777" w:rsidR="00D35AFD" w:rsidRPr="00D90165" w:rsidRDefault="009C4EC4" w:rsidP="00855719">
      <w:pPr>
        <w:spacing w:line="240" w:lineRule="auto"/>
      </w:pPr>
      <w:r w:rsidRPr="00D90165">
        <w:t>Lek AGAMREE może zmniejszać naturalną oporność na zakażenia.</w:t>
      </w:r>
    </w:p>
    <w:p w14:paraId="753C0DB1" w14:textId="77777777" w:rsidR="00D35AFD" w:rsidRPr="00D90165" w:rsidRDefault="00D35AFD" w:rsidP="00855719">
      <w:pPr>
        <w:spacing w:line="240" w:lineRule="auto"/>
      </w:pPr>
    </w:p>
    <w:p w14:paraId="1BE63F48"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jeśli u pacjenta występuje osłabiona odpowiedź immunologiczna (z powodu zespołu niedoboru odporności, choroby lub wywołanej przez inne leki hamujące działanie układu odpornościowego), lekarz może zlecić ściślejsze monitorowanie leczenia;</w:t>
      </w:r>
    </w:p>
    <w:p w14:paraId="6B1669EC"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jeśli w trakcie stosowania leku AGAMREE u pacjenta wystąpi zakażenie, lekarz może ściślej monitorować stan pacjenta i może stwierdzić, że konieczne jest zastosowanie dodatkowego leku steroidowego.</w:t>
      </w:r>
    </w:p>
    <w:p w14:paraId="55EA687C" w14:textId="77777777" w:rsidR="00D35AFD" w:rsidRPr="00D90165" w:rsidRDefault="00D35AFD" w:rsidP="00855719">
      <w:pPr>
        <w:pStyle w:val="Default"/>
        <w:rPr>
          <w:sz w:val="22"/>
          <w:szCs w:val="22"/>
          <w:u w:val="single"/>
        </w:rPr>
      </w:pPr>
    </w:p>
    <w:p w14:paraId="1CB750AA" w14:textId="77777777" w:rsidR="00D35AFD" w:rsidRPr="00D90165" w:rsidRDefault="009C4EC4" w:rsidP="0056402B">
      <w:pPr>
        <w:pStyle w:val="Default"/>
        <w:keepNext/>
        <w:rPr>
          <w:sz w:val="22"/>
          <w:szCs w:val="22"/>
          <w:u w:val="single"/>
        </w:rPr>
      </w:pPr>
      <w:r w:rsidRPr="00D90165">
        <w:rPr>
          <w:sz w:val="22"/>
          <w:u w:val="single"/>
        </w:rPr>
        <w:lastRenderedPageBreak/>
        <w:t>Cukrzyca</w:t>
      </w:r>
    </w:p>
    <w:p w14:paraId="3F9E47A6" w14:textId="77777777" w:rsidR="00D35AFD" w:rsidRPr="00D90165" w:rsidRDefault="00D35AFD" w:rsidP="0056402B">
      <w:pPr>
        <w:pStyle w:val="Default"/>
        <w:keepNext/>
        <w:rPr>
          <w:sz w:val="22"/>
          <w:szCs w:val="22"/>
          <w:u w:val="single"/>
        </w:rPr>
      </w:pPr>
    </w:p>
    <w:p w14:paraId="362F867E"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Długotrwałe stosowanie leku AGAMREE może zwiększać prawdopodobieństwo wystąpienia cukrzycy (choroby związanej ze stężeniem cukru); lekarz może regularnie sprawdzać stężenie cukru w organizmie.</w:t>
      </w:r>
    </w:p>
    <w:p w14:paraId="58476BC9" w14:textId="77777777" w:rsidR="00D35AFD" w:rsidRPr="00D90165" w:rsidRDefault="00D35AFD" w:rsidP="00855719">
      <w:pPr>
        <w:pStyle w:val="Default"/>
        <w:rPr>
          <w:sz w:val="22"/>
          <w:szCs w:val="22"/>
          <w:u w:val="single"/>
        </w:rPr>
      </w:pPr>
    </w:p>
    <w:p w14:paraId="46FED9F5" w14:textId="77777777" w:rsidR="00D35AFD" w:rsidRPr="00D90165" w:rsidRDefault="009C4EC4" w:rsidP="0056402B">
      <w:pPr>
        <w:keepNext/>
        <w:spacing w:line="240" w:lineRule="auto"/>
        <w:rPr>
          <w:noProof/>
          <w:u w:val="single"/>
        </w:rPr>
      </w:pPr>
      <w:r w:rsidRPr="00D90165">
        <w:rPr>
          <w:u w:val="single"/>
        </w:rPr>
        <w:t>Szczepienia</w:t>
      </w:r>
    </w:p>
    <w:p w14:paraId="39FC60F9" w14:textId="77777777" w:rsidR="00D35AFD" w:rsidRPr="00D90165" w:rsidRDefault="00D35AFD" w:rsidP="0056402B">
      <w:pPr>
        <w:keepNext/>
        <w:spacing w:line="240" w:lineRule="auto"/>
      </w:pPr>
    </w:p>
    <w:p w14:paraId="2221098D"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jeśli pacjent planuje otrzymać szczepionkę zawierającą żywe atenuowane lub żywe szczepionki, powinno to nastąpić co najmniej 6 tygodni przed rozpoczęciem stosowania leku AGAMREE;</w:t>
      </w:r>
    </w:p>
    <w:p w14:paraId="68781893"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jeżeli pacjent nigdy nie chorował na ospę wietrzną lub nie był szczepiony przeciwko ospie wietrznej, może omówić szczepienie z lekarzem przed rozpoczęciem przyjmowania leku AGAMREE.</w:t>
      </w:r>
    </w:p>
    <w:p w14:paraId="62539BA3" w14:textId="77777777" w:rsidR="00D35AFD" w:rsidRPr="00D90165" w:rsidRDefault="00D35AFD" w:rsidP="00855719">
      <w:pPr>
        <w:spacing w:line="240" w:lineRule="auto"/>
        <w:rPr>
          <w:lang w:eastAsia="en-GB"/>
        </w:rPr>
      </w:pPr>
    </w:p>
    <w:p w14:paraId="3C86AD0F" w14:textId="77777777" w:rsidR="00D35AFD" w:rsidRPr="00D90165" w:rsidRDefault="009C4EC4" w:rsidP="0056402B">
      <w:pPr>
        <w:keepNext/>
        <w:spacing w:line="240" w:lineRule="auto"/>
        <w:rPr>
          <w:noProof/>
          <w:u w:val="single"/>
        </w:rPr>
      </w:pPr>
      <w:r w:rsidRPr="00D90165">
        <w:rPr>
          <w:u w:val="single"/>
        </w:rPr>
        <w:t>Incydenty zakrzepowo-zatorowe</w:t>
      </w:r>
    </w:p>
    <w:p w14:paraId="15A9E10F" w14:textId="77777777" w:rsidR="00D35AFD" w:rsidRPr="00D90165" w:rsidRDefault="00D35AFD" w:rsidP="0056402B">
      <w:pPr>
        <w:keepNext/>
        <w:spacing w:line="240" w:lineRule="auto"/>
        <w:rPr>
          <w:lang w:eastAsia="en-GB"/>
        </w:rPr>
      </w:pPr>
    </w:p>
    <w:p w14:paraId="312BB04D"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jeśli u pacjenta wystąpiły incydenty zakrzepowo-zatorowe (zakrzep krwi w organizmie) lub choroba zwiększająca ryzyko wystąpienia krzepnięcia krwi, konieczne może być dokładniejsze monitorowanie leczenia przez lekarza.</w:t>
      </w:r>
    </w:p>
    <w:p w14:paraId="7417481F" w14:textId="77777777" w:rsidR="00D35AFD" w:rsidRPr="00D90165" w:rsidRDefault="00D35AFD" w:rsidP="00855719">
      <w:pPr>
        <w:spacing w:line="240" w:lineRule="auto"/>
        <w:rPr>
          <w:u w:val="single"/>
        </w:rPr>
      </w:pPr>
    </w:p>
    <w:p w14:paraId="3C36B869" w14:textId="77777777" w:rsidR="00D35AFD" w:rsidRPr="00D90165" w:rsidRDefault="009C4EC4" w:rsidP="0056402B">
      <w:pPr>
        <w:keepNext/>
        <w:spacing w:line="240" w:lineRule="auto"/>
        <w:rPr>
          <w:u w:val="single"/>
        </w:rPr>
      </w:pPr>
      <w:r w:rsidRPr="00D90165">
        <w:rPr>
          <w:u w:val="single"/>
        </w:rPr>
        <w:t>Zaburzenia czynności wątroby</w:t>
      </w:r>
    </w:p>
    <w:p w14:paraId="1A4D6465" w14:textId="77777777" w:rsidR="00D35AFD" w:rsidRPr="00D90165" w:rsidRDefault="00D35AFD" w:rsidP="0056402B">
      <w:pPr>
        <w:keepNext/>
        <w:spacing w:line="240" w:lineRule="auto"/>
        <w:rPr>
          <w:noProof/>
        </w:rPr>
      </w:pPr>
    </w:p>
    <w:p w14:paraId="26113EC6" w14:textId="77777777" w:rsidR="00D35AFD" w:rsidRPr="00D90165" w:rsidRDefault="009C4EC4" w:rsidP="00855719">
      <w:pPr>
        <w:numPr>
          <w:ilvl w:val="0"/>
          <w:numId w:val="3"/>
        </w:numPr>
        <w:tabs>
          <w:tab w:val="clear" w:pos="567"/>
          <w:tab w:val="left" w:pos="720"/>
        </w:tabs>
        <w:spacing w:line="240" w:lineRule="auto"/>
        <w:ind w:left="567" w:right="-2" w:hanging="567"/>
        <w:rPr>
          <w:noProof/>
        </w:rPr>
      </w:pPr>
      <w:r w:rsidRPr="00D90165">
        <w:t>jeśli u pacjenta występuje choroba wątroby, lekarz może zmienić dawkę leku.</w:t>
      </w:r>
    </w:p>
    <w:p w14:paraId="7EA201BA" w14:textId="77777777" w:rsidR="007F041A" w:rsidRPr="00D90165" w:rsidRDefault="007F041A" w:rsidP="00855719">
      <w:pPr>
        <w:tabs>
          <w:tab w:val="clear" w:pos="567"/>
        </w:tabs>
        <w:spacing w:line="240" w:lineRule="auto"/>
        <w:rPr>
          <w:noProof/>
        </w:rPr>
      </w:pPr>
    </w:p>
    <w:p w14:paraId="28292792" w14:textId="77777777" w:rsidR="006550C7" w:rsidRPr="00D90165" w:rsidRDefault="009C4EC4" w:rsidP="0056402B">
      <w:pPr>
        <w:keepNext/>
        <w:tabs>
          <w:tab w:val="clear" w:pos="567"/>
        </w:tabs>
        <w:spacing w:line="240" w:lineRule="auto"/>
        <w:rPr>
          <w:noProof/>
        </w:rPr>
      </w:pPr>
      <w:r w:rsidRPr="00D90165">
        <w:rPr>
          <w:b/>
        </w:rPr>
        <w:t>Dzieci</w:t>
      </w:r>
    </w:p>
    <w:p w14:paraId="4DDFCE33" w14:textId="77777777" w:rsidR="1E1B33A9" w:rsidRPr="00D90165" w:rsidRDefault="009C4EC4" w:rsidP="00855719">
      <w:pPr>
        <w:tabs>
          <w:tab w:val="clear" w:pos="567"/>
        </w:tabs>
        <w:spacing w:line="240" w:lineRule="auto"/>
      </w:pPr>
      <w:r w:rsidRPr="00D90165">
        <w:t>Nie podawać leku AGAMREE dzieciom w wieku poniżej 4 lat, ponieważ leku nie badano w tej grupie pacjentów.</w:t>
      </w:r>
    </w:p>
    <w:p w14:paraId="1DF66348" w14:textId="77777777" w:rsidR="006550C7" w:rsidRPr="00D90165" w:rsidRDefault="006550C7" w:rsidP="00855719">
      <w:pPr>
        <w:tabs>
          <w:tab w:val="clear" w:pos="567"/>
        </w:tabs>
        <w:spacing w:line="240" w:lineRule="auto"/>
        <w:rPr>
          <w:noProof/>
        </w:rPr>
      </w:pPr>
    </w:p>
    <w:p w14:paraId="104B7216" w14:textId="77777777" w:rsidR="006550C7" w:rsidRPr="00D90165" w:rsidRDefault="009C4EC4" w:rsidP="0056402B">
      <w:pPr>
        <w:keepNext/>
        <w:tabs>
          <w:tab w:val="clear" w:pos="567"/>
        </w:tabs>
        <w:spacing w:line="240" w:lineRule="auto"/>
        <w:ind w:right="-2"/>
        <w:rPr>
          <w:noProof/>
        </w:rPr>
      </w:pPr>
      <w:r w:rsidRPr="00D90165">
        <w:rPr>
          <w:b/>
        </w:rPr>
        <w:t>Lek AGAMREE a inne leki</w:t>
      </w:r>
    </w:p>
    <w:p w14:paraId="396480EC" w14:textId="77777777" w:rsidR="006550C7" w:rsidRPr="00D90165" w:rsidRDefault="009C4EC4" w:rsidP="00855719">
      <w:pPr>
        <w:numPr>
          <w:ilvl w:val="12"/>
          <w:numId w:val="0"/>
        </w:numPr>
        <w:tabs>
          <w:tab w:val="clear" w:pos="567"/>
        </w:tabs>
        <w:spacing w:line="240" w:lineRule="auto"/>
        <w:rPr>
          <w:noProof/>
        </w:rPr>
      </w:pPr>
      <w:r w:rsidRPr="00D90165">
        <w:t>Należy powiedzieć lekarzowi lub farmaceucie o wszystkich lekach przyjmowanych przez pacjenta obecnie lub ostatnio, a także o lekach, które pacjent planuje przyjmować.</w:t>
      </w:r>
    </w:p>
    <w:p w14:paraId="5FB2A9C9" w14:textId="77777777" w:rsidR="00FF6FC8" w:rsidRPr="00D90165" w:rsidRDefault="00FF6FC8" w:rsidP="00855719">
      <w:pPr>
        <w:numPr>
          <w:ilvl w:val="12"/>
          <w:numId w:val="0"/>
        </w:numPr>
        <w:tabs>
          <w:tab w:val="clear" w:pos="567"/>
        </w:tabs>
        <w:spacing w:line="240" w:lineRule="auto"/>
        <w:rPr>
          <w:rFonts w:eastAsia="SimSun"/>
          <w:szCs w:val="22"/>
          <w:lang w:eastAsia="en-GB"/>
        </w:rPr>
      </w:pPr>
    </w:p>
    <w:p w14:paraId="64286BDE" w14:textId="77777777" w:rsidR="00CB5739" w:rsidRPr="00D90165" w:rsidRDefault="009C4EC4" w:rsidP="00855719">
      <w:pPr>
        <w:numPr>
          <w:ilvl w:val="12"/>
          <w:numId w:val="0"/>
        </w:numPr>
        <w:tabs>
          <w:tab w:val="clear" w:pos="567"/>
        </w:tabs>
        <w:spacing w:line="240" w:lineRule="auto"/>
        <w:rPr>
          <w:rFonts w:eastAsia="SimSun"/>
          <w:szCs w:val="22"/>
        </w:rPr>
      </w:pPr>
      <w:r w:rsidRPr="00D90165">
        <w:t>Należy powiedzieć lekarzowi, jeśli pacjent przyjmuje którykolwiek z leków wymienionych poniżej.</w:t>
      </w:r>
    </w:p>
    <w:p w14:paraId="7DBF1A68" w14:textId="77777777" w:rsidR="00D92F79" w:rsidRPr="00D90165" w:rsidRDefault="009C4EC4" w:rsidP="00855719">
      <w:pPr>
        <w:pStyle w:val="ListParagraph"/>
        <w:numPr>
          <w:ilvl w:val="0"/>
          <w:numId w:val="7"/>
        </w:numPr>
        <w:spacing w:line="240" w:lineRule="auto"/>
        <w:ind w:left="567" w:hanging="567"/>
        <w:rPr>
          <w:rFonts w:eastAsia="SimSun"/>
          <w:szCs w:val="22"/>
        </w:rPr>
      </w:pPr>
      <w:r w:rsidRPr="00D90165">
        <w:t>leki stosowane w leczeniu napadów drgawkowych i bólu neuropatycznego, takie jak karbamazepina lub fenytoina, ponieważ mogą one wpływać na działanie leku</w:t>
      </w:r>
    </w:p>
    <w:p w14:paraId="2765042A" w14:textId="77777777" w:rsidR="00D92F79" w:rsidRPr="00D90165" w:rsidRDefault="009C4EC4" w:rsidP="00855719">
      <w:pPr>
        <w:pStyle w:val="ListParagraph"/>
        <w:numPr>
          <w:ilvl w:val="0"/>
          <w:numId w:val="7"/>
        </w:numPr>
        <w:spacing w:line="240" w:lineRule="auto"/>
        <w:ind w:left="567" w:hanging="567"/>
        <w:rPr>
          <w:rFonts w:eastAsia="SimSun"/>
        </w:rPr>
      </w:pPr>
      <w:r w:rsidRPr="00D90165">
        <w:t>leki stosowane w leczeniu zakażeń grzybiczych (w tym kandydozy i aspergilozy), zwane triazolami, takimi jak itrakonazol i worykonazol, ponieważ mogą one wpływać na działanie leku</w:t>
      </w:r>
    </w:p>
    <w:p w14:paraId="695D86D0" w14:textId="77777777" w:rsidR="00D92F79" w:rsidRPr="00D90165" w:rsidRDefault="009C4EC4" w:rsidP="00855719">
      <w:pPr>
        <w:pStyle w:val="ListParagraph"/>
        <w:numPr>
          <w:ilvl w:val="0"/>
          <w:numId w:val="7"/>
        </w:numPr>
        <w:spacing w:line="240" w:lineRule="auto"/>
        <w:ind w:left="567" w:hanging="567"/>
        <w:rPr>
          <w:rFonts w:eastAsia="SimSun"/>
          <w:szCs w:val="22"/>
        </w:rPr>
      </w:pPr>
      <w:r w:rsidRPr="00D90165">
        <w:t>antybiotyki znane jako makrolidy (takie jak klarytromycyna) lub ketolidy (takie jak telitromycyna), ponieważ mogą one wpływać na działanie leku;</w:t>
      </w:r>
    </w:p>
    <w:p w14:paraId="4409C54F" w14:textId="77777777" w:rsidR="00D92F79" w:rsidRPr="00D90165" w:rsidRDefault="009C4EC4" w:rsidP="00855719">
      <w:pPr>
        <w:pStyle w:val="ListParagraph"/>
        <w:numPr>
          <w:ilvl w:val="0"/>
          <w:numId w:val="7"/>
        </w:numPr>
        <w:spacing w:line="240" w:lineRule="auto"/>
        <w:ind w:left="567" w:hanging="567"/>
        <w:rPr>
          <w:rFonts w:eastAsia="SimSun"/>
        </w:rPr>
      </w:pPr>
      <w:r w:rsidRPr="00D90165">
        <w:t>antybiotyki znane jako ryfamycyny, takie jak ryfampicyna, ponieważ mogą one wpływać na działanie leku</w:t>
      </w:r>
    </w:p>
    <w:p w14:paraId="45E3492E" w14:textId="77777777" w:rsidR="007D153E" w:rsidRPr="00D90165" w:rsidRDefault="009C4EC4" w:rsidP="00855719">
      <w:pPr>
        <w:pStyle w:val="ListParagraph"/>
        <w:numPr>
          <w:ilvl w:val="0"/>
          <w:numId w:val="7"/>
        </w:numPr>
        <w:spacing w:line="240" w:lineRule="auto"/>
        <w:ind w:left="567" w:hanging="567"/>
        <w:rPr>
          <w:rFonts w:eastAsia="SimSun"/>
          <w:szCs w:val="22"/>
        </w:rPr>
      </w:pPr>
      <w:r w:rsidRPr="00D90165">
        <w:t xml:space="preserve">spironolakton lub eplerenon, znane jako leki diuretyczne oszczędzające potas (leki, które zwiększają wytwarzanie moczu), które mogą być stosowane w celu obniżenia ciśnienia krwi i ochrony </w:t>
      </w:r>
      <w:r w:rsidR="001A4D86">
        <w:t>czynności</w:t>
      </w:r>
      <w:r w:rsidR="001A4D86" w:rsidRPr="00D90165">
        <w:t xml:space="preserve"> </w:t>
      </w:r>
      <w:r w:rsidRPr="00D90165">
        <w:t xml:space="preserve">układu krążenia, ponieważ mogą one mieć podobne działanie jak lek AGAMREE; lekarz może być zmuszony do monitorowania </w:t>
      </w:r>
      <w:r w:rsidR="001A4D86">
        <w:t>stężenia</w:t>
      </w:r>
      <w:r w:rsidR="001A4D86" w:rsidRPr="00D90165">
        <w:t xml:space="preserve"> </w:t>
      </w:r>
      <w:r w:rsidRPr="00D90165">
        <w:t>potasu i zmiany dawki tych leków</w:t>
      </w:r>
    </w:p>
    <w:p w14:paraId="3B7B4F9D" w14:textId="77777777" w:rsidR="00F7284D" w:rsidRPr="00D90165" w:rsidRDefault="009C4EC4" w:rsidP="00855719">
      <w:pPr>
        <w:pStyle w:val="ListParagraph"/>
        <w:numPr>
          <w:ilvl w:val="0"/>
          <w:numId w:val="7"/>
        </w:numPr>
        <w:spacing w:line="240" w:lineRule="auto"/>
        <w:ind w:left="567" w:hanging="567"/>
        <w:rPr>
          <w:rFonts w:eastAsia="SimSun"/>
          <w:szCs w:val="22"/>
        </w:rPr>
      </w:pPr>
      <w:r w:rsidRPr="00D90165">
        <w:t>ziele dziurawca zwyczajnego (</w:t>
      </w:r>
      <w:r w:rsidRPr="00D90165">
        <w:rPr>
          <w:i/>
        </w:rPr>
        <w:t>Hypericum perforatum</w:t>
      </w:r>
      <w:r w:rsidRPr="00D90165">
        <w:t>), lek ziołowy stosowany w leczeniu depresji i zaburzeń emocjonalnych, ponieważ może on wpływać na działanie leku.</w:t>
      </w:r>
    </w:p>
    <w:p w14:paraId="04AA1514" w14:textId="77777777" w:rsidR="00E12269" w:rsidRPr="00D90165" w:rsidRDefault="00E12269" w:rsidP="00855719">
      <w:pPr>
        <w:numPr>
          <w:ilvl w:val="12"/>
          <w:numId w:val="0"/>
        </w:numPr>
        <w:tabs>
          <w:tab w:val="clear" w:pos="567"/>
        </w:tabs>
        <w:spacing w:line="240" w:lineRule="auto"/>
        <w:rPr>
          <w:rFonts w:eastAsia="SimSun"/>
          <w:szCs w:val="22"/>
          <w:lang w:eastAsia="en-GB"/>
        </w:rPr>
      </w:pPr>
    </w:p>
    <w:p w14:paraId="0BF747FB" w14:textId="77777777" w:rsidR="00CB5739" w:rsidRPr="00D90165" w:rsidRDefault="009C4EC4" w:rsidP="00855719">
      <w:pPr>
        <w:tabs>
          <w:tab w:val="clear" w:pos="567"/>
        </w:tabs>
        <w:spacing w:line="240" w:lineRule="auto"/>
        <w:rPr>
          <w:noProof/>
        </w:rPr>
      </w:pPr>
      <w:r w:rsidRPr="00D90165">
        <w:t>Jeśli pacjent musi przyjąć szczepionkę, powinien najpierw zasięgnąć porady swojego lekarza (patrz punkt 2: „Kiedy nie przyjmować leku AGAMREE”). Przez co najmniej 6 tygodni przed rozpoczęciem stosowania leku AGAMREE nie wolno przyjmować niektórych rodzajów szczepionek (szczepionek żywych lub żywych atenuowanych), ponieważ w takim skojarzeniu szczepionki te mogą wywołać zakażenie, któremu mają zapobiec.</w:t>
      </w:r>
    </w:p>
    <w:p w14:paraId="28912600" w14:textId="77777777" w:rsidR="009B6496" w:rsidRPr="00D90165" w:rsidRDefault="009B6496" w:rsidP="00855719">
      <w:pPr>
        <w:numPr>
          <w:ilvl w:val="12"/>
          <w:numId w:val="0"/>
        </w:numPr>
        <w:tabs>
          <w:tab w:val="clear" w:pos="567"/>
        </w:tabs>
        <w:spacing w:line="240" w:lineRule="auto"/>
        <w:rPr>
          <w:noProof/>
        </w:rPr>
      </w:pPr>
    </w:p>
    <w:p w14:paraId="636BA238" w14:textId="77777777" w:rsidR="00582199" w:rsidRPr="00D90165" w:rsidRDefault="009C4EC4" w:rsidP="0056402B">
      <w:pPr>
        <w:keepNext/>
        <w:tabs>
          <w:tab w:val="clear" w:pos="567"/>
        </w:tabs>
        <w:spacing w:line="240" w:lineRule="auto"/>
        <w:ind w:right="-2"/>
        <w:outlineLvl w:val="0"/>
        <w:rPr>
          <w:b/>
          <w:bCs/>
          <w:noProof/>
        </w:rPr>
      </w:pPr>
      <w:r w:rsidRPr="00D90165">
        <w:rPr>
          <w:b/>
        </w:rPr>
        <w:lastRenderedPageBreak/>
        <w:t>Stosowanie leku AGAMREE z jedzeniem i piciem</w:t>
      </w:r>
    </w:p>
    <w:p w14:paraId="333B1E7A" w14:textId="77777777" w:rsidR="003B5545" w:rsidRPr="00D90165" w:rsidRDefault="009C4EC4" w:rsidP="00855719">
      <w:pPr>
        <w:tabs>
          <w:tab w:val="clear" w:pos="567"/>
        </w:tabs>
        <w:spacing w:line="240" w:lineRule="auto"/>
        <w:rPr>
          <w:noProof/>
        </w:rPr>
      </w:pPr>
      <w:r w:rsidRPr="00D90165">
        <w:t>Podczas stosowania leku AGAMREE należy unikać spożywania grejpfrutów i soku grejpfrutowego, ponieważ mogą one wpłynąć na działanie leku.</w:t>
      </w:r>
    </w:p>
    <w:p w14:paraId="7E0D09E1" w14:textId="77777777" w:rsidR="003B5545" w:rsidRPr="00D90165" w:rsidRDefault="003B5545" w:rsidP="00855719">
      <w:pPr>
        <w:numPr>
          <w:ilvl w:val="12"/>
          <w:numId w:val="0"/>
        </w:numPr>
        <w:tabs>
          <w:tab w:val="clear" w:pos="567"/>
        </w:tabs>
        <w:spacing w:line="240" w:lineRule="auto"/>
        <w:jc w:val="center"/>
        <w:rPr>
          <w:noProof/>
        </w:rPr>
      </w:pPr>
    </w:p>
    <w:p w14:paraId="5540FB97" w14:textId="77777777" w:rsidR="006550C7" w:rsidRPr="00D90165" w:rsidRDefault="009C4EC4" w:rsidP="0056402B">
      <w:pPr>
        <w:keepNext/>
        <w:numPr>
          <w:ilvl w:val="12"/>
          <w:numId w:val="0"/>
        </w:numPr>
        <w:tabs>
          <w:tab w:val="clear" w:pos="567"/>
        </w:tabs>
        <w:spacing w:line="240" w:lineRule="auto"/>
        <w:ind w:right="-2"/>
        <w:outlineLvl w:val="0"/>
        <w:rPr>
          <w:noProof/>
        </w:rPr>
      </w:pPr>
      <w:r w:rsidRPr="00D90165">
        <w:rPr>
          <w:b/>
        </w:rPr>
        <w:t>Ciąża, karmienie piersią i wpływ na płodność</w:t>
      </w:r>
    </w:p>
    <w:p w14:paraId="3900BDA0" w14:textId="77777777" w:rsidR="00F96042" w:rsidRPr="00D90165" w:rsidRDefault="009C4EC4" w:rsidP="00855719">
      <w:pPr>
        <w:tabs>
          <w:tab w:val="clear" w:pos="567"/>
        </w:tabs>
        <w:spacing w:line="240" w:lineRule="auto"/>
        <w:rPr>
          <w:noProof/>
        </w:rPr>
      </w:pPr>
      <w:r w:rsidRPr="00D90165">
        <w:t>Jeśli pacjentka jest w ciąży lub karmi piersią, przypuszcza, że może być w ciąży, lub gdy planuje mieć dziecko, powinna poradzić się lekarza przed zastosowaniem tego leku.</w:t>
      </w:r>
    </w:p>
    <w:p w14:paraId="6C7780EF" w14:textId="77777777" w:rsidR="00F96042" w:rsidRPr="00D90165" w:rsidRDefault="00F96042" w:rsidP="00855719">
      <w:pPr>
        <w:tabs>
          <w:tab w:val="clear" w:pos="567"/>
        </w:tabs>
        <w:spacing w:line="240" w:lineRule="auto"/>
        <w:rPr>
          <w:noProof/>
        </w:rPr>
      </w:pPr>
    </w:p>
    <w:p w14:paraId="3F9A3A8C" w14:textId="77777777" w:rsidR="00660590" w:rsidRPr="00D90165" w:rsidRDefault="009C4EC4" w:rsidP="00855719">
      <w:pPr>
        <w:numPr>
          <w:ilvl w:val="12"/>
          <w:numId w:val="0"/>
        </w:numPr>
        <w:tabs>
          <w:tab w:val="clear" w:pos="567"/>
        </w:tabs>
        <w:spacing w:line="240" w:lineRule="auto"/>
        <w:rPr>
          <w:noProof/>
        </w:rPr>
      </w:pPr>
      <w:r w:rsidRPr="00D90165">
        <w:t>Jeśli pacjentka jest w ciąży, nie powinna stosować leku AGAMREE, chyba że zostanie to wyraźnie wskazane przez lekarza.</w:t>
      </w:r>
    </w:p>
    <w:p w14:paraId="1AC4F217" w14:textId="77777777" w:rsidR="00660590" w:rsidRPr="00D90165" w:rsidRDefault="009C4EC4" w:rsidP="00855719">
      <w:pPr>
        <w:tabs>
          <w:tab w:val="clear" w:pos="567"/>
        </w:tabs>
        <w:spacing w:line="240" w:lineRule="auto"/>
      </w:pPr>
      <w:r w:rsidRPr="00D90165">
        <w:t>Kobiety mogące zajść w ciążę powinny stosować skuteczną antykoncepcję w trakcie stosowania leku AGAMREE.</w:t>
      </w:r>
    </w:p>
    <w:p w14:paraId="10881F0B" w14:textId="77777777" w:rsidR="00660590" w:rsidRPr="00D90165" w:rsidRDefault="00660590" w:rsidP="00855719">
      <w:pPr>
        <w:numPr>
          <w:ilvl w:val="12"/>
          <w:numId w:val="0"/>
        </w:numPr>
        <w:tabs>
          <w:tab w:val="clear" w:pos="567"/>
        </w:tabs>
        <w:spacing w:line="240" w:lineRule="auto"/>
      </w:pPr>
    </w:p>
    <w:p w14:paraId="511BB5CC" w14:textId="77777777" w:rsidR="00660590" w:rsidRPr="00D90165" w:rsidRDefault="009C4EC4" w:rsidP="00855719">
      <w:pPr>
        <w:numPr>
          <w:ilvl w:val="12"/>
          <w:numId w:val="0"/>
        </w:numPr>
        <w:tabs>
          <w:tab w:val="clear" w:pos="567"/>
        </w:tabs>
        <w:spacing w:line="240" w:lineRule="auto"/>
        <w:rPr>
          <w:noProof/>
        </w:rPr>
      </w:pPr>
      <w:r w:rsidRPr="00D90165">
        <w:t>W badaniach na zwierzętach wykazano, że długotrwałe stosowanie leku AGAMREE może zmniejszać płodność u osobników płci męskiej i żeńskiej.</w:t>
      </w:r>
    </w:p>
    <w:p w14:paraId="2F1A33EB" w14:textId="77777777" w:rsidR="00660590" w:rsidRPr="00D90165" w:rsidRDefault="00660590" w:rsidP="00855719">
      <w:pPr>
        <w:numPr>
          <w:ilvl w:val="12"/>
          <w:numId w:val="0"/>
        </w:numPr>
        <w:tabs>
          <w:tab w:val="clear" w:pos="567"/>
        </w:tabs>
        <w:spacing w:line="240" w:lineRule="auto"/>
        <w:rPr>
          <w:noProof/>
        </w:rPr>
      </w:pPr>
    </w:p>
    <w:p w14:paraId="1B468BED" w14:textId="77777777" w:rsidR="009B6496" w:rsidRPr="00D90165" w:rsidRDefault="009C4EC4" w:rsidP="0056402B">
      <w:pPr>
        <w:keepNext/>
        <w:numPr>
          <w:ilvl w:val="12"/>
          <w:numId w:val="0"/>
        </w:numPr>
        <w:tabs>
          <w:tab w:val="clear" w:pos="567"/>
        </w:tabs>
        <w:spacing w:line="240" w:lineRule="auto"/>
        <w:outlineLvl w:val="0"/>
        <w:rPr>
          <w:noProof/>
          <w:szCs w:val="22"/>
        </w:rPr>
      </w:pPr>
      <w:r w:rsidRPr="00D90165">
        <w:rPr>
          <w:b/>
        </w:rPr>
        <w:t>Prowadzenie pojazdów i obsługiwanie maszyn</w:t>
      </w:r>
    </w:p>
    <w:p w14:paraId="7C72B67F" w14:textId="77777777" w:rsidR="00754702" w:rsidRPr="00D90165" w:rsidRDefault="009C4EC4" w:rsidP="00855719">
      <w:pPr>
        <w:numPr>
          <w:ilvl w:val="12"/>
          <w:numId w:val="0"/>
        </w:numPr>
        <w:tabs>
          <w:tab w:val="clear" w:pos="567"/>
        </w:tabs>
        <w:spacing w:line="240" w:lineRule="auto"/>
        <w:rPr>
          <w:noProof/>
          <w:szCs w:val="22"/>
        </w:rPr>
      </w:pPr>
      <w:r w:rsidRPr="00D90165">
        <w:t>Należy porozmawiać ze swoim lekarzem o tym, czy choroba pozwala na kierowanie pojazdami, w tym rowerem, i bezpieczne korzystanie z maszyn. Lek AGAMREE prawdopodobnie nie wpływa na zdolność prowadzenia pojazdów, jazdy na rowerze lub użytkowania maszyn.</w:t>
      </w:r>
    </w:p>
    <w:p w14:paraId="57D01734" w14:textId="77777777" w:rsidR="00754702" w:rsidRPr="00D90165" w:rsidRDefault="00754702" w:rsidP="00855719">
      <w:pPr>
        <w:numPr>
          <w:ilvl w:val="12"/>
          <w:numId w:val="0"/>
        </w:numPr>
        <w:tabs>
          <w:tab w:val="clear" w:pos="567"/>
        </w:tabs>
        <w:spacing w:line="240" w:lineRule="auto"/>
        <w:ind w:right="-2"/>
        <w:rPr>
          <w:noProof/>
          <w:szCs w:val="22"/>
        </w:rPr>
      </w:pPr>
    </w:p>
    <w:p w14:paraId="65170379" w14:textId="77777777" w:rsidR="00582199" w:rsidRPr="00D90165" w:rsidRDefault="009C4EC4" w:rsidP="0056402B">
      <w:pPr>
        <w:pStyle w:val="Default"/>
        <w:keepNext/>
        <w:rPr>
          <w:sz w:val="22"/>
          <w:szCs w:val="22"/>
        </w:rPr>
      </w:pPr>
      <w:r w:rsidRPr="00D90165">
        <w:rPr>
          <w:b/>
          <w:sz w:val="22"/>
        </w:rPr>
        <w:t xml:space="preserve">Lek AGAMARE zawiera </w:t>
      </w:r>
      <w:r w:rsidR="007D79F9" w:rsidRPr="00D90165">
        <w:rPr>
          <w:b/>
          <w:sz w:val="22"/>
        </w:rPr>
        <w:t xml:space="preserve">sodu </w:t>
      </w:r>
      <w:r w:rsidRPr="00D90165">
        <w:rPr>
          <w:b/>
          <w:sz w:val="22"/>
        </w:rPr>
        <w:t>benzoesan i sód</w:t>
      </w:r>
    </w:p>
    <w:p w14:paraId="3EED3424" w14:textId="77777777" w:rsidR="0068507B" w:rsidRPr="00D90165" w:rsidRDefault="009C4EC4" w:rsidP="00855719">
      <w:pPr>
        <w:tabs>
          <w:tab w:val="clear" w:pos="567"/>
        </w:tabs>
        <w:spacing w:line="240" w:lineRule="auto"/>
        <w:ind w:right="-2"/>
      </w:pPr>
      <w:r w:rsidRPr="00D90165">
        <w:t xml:space="preserve">Lek AGAMREE zawiera 1 mg </w:t>
      </w:r>
      <w:r w:rsidR="007D79F9" w:rsidRPr="00D90165">
        <w:t xml:space="preserve">sodu </w:t>
      </w:r>
      <w:r w:rsidRPr="00D90165">
        <w:t>benzoesanu (E211) w każdym mililitrze.</w:t>
      </w:r>
    </w:p>
    <w:p w14:paraId="2CF6143C" w14:textId="77777777" w:rsidR="00A136C5" w:rsidRPr="00D90165" w:rsidRDefault="009C4EC4" w:rsidP="00855719">
      <w:pPr>
        <w:tabs>
          <w:tab w:val="clear" w:pos="567"/>
        </w:tabs>
        <w:spacing w:line="240" w:lineRule="auto"/>
        <w:ind w:right="-2"/>
      </w:pPr>
      <w:r w:rsidRPr="00D90165">
        <w:t>Lek AGAMREE zawiera mniej niż 23 mg sodu na dawkę 7,5 ml, to znaczy lek uznaje się za „wolny od sodu”.</w:t>
      </w:r>
    </w:p>
    <w:p w14:paraId="7772FC63" w14:textId="77777777" w:rsidR="00976E99" w:rsidRPr="00D90165" w:rsidRDefault="00976E99" w:rsidP="00855719">
      <w:pPr>
        <w:numPr>
          <w:ilvl w:val="12"/>
          <w:numId w:val="0"/>
        </w:numPr>
        <w:tabs>
          <w:tab w:val="clear" w:pos="567"/>
        </w:tabs>
        <w:spacing w:line="240" w:lineRule="auto"/>
        <w:ind w:right="-2"/>
        <w:rPr>
          <w:noProof/>
          <w:szCs w:val="22"/>
        </w:rPr>
      </w:pPr>
    </w:p>
    <w:p w14:paraId="114963D2" w14:textId="77777777" w:rsidR="009B6496" w:rsidRPr="00D90165" w:rsidRDefault="009B6496" w:rsidP="00855719">
      <w:pPr>
        <w:numPr>
          <w:ilvl w:val="12"/>
          <w:numId w:val="0"/>
        </w:numPr>
        <w:tabs>
          <w:tab w:val="clear" w:pos="567"/>
        </w:tabs>
        <w:spacing w:line="240" w:lineRule="auto"/>
        <w:ind w:right="-2"/>
        <w:rPr>
          <w:noProof/>
          <w:szCs w:val="22"/>
        </w:rPr>
      </w:pPr>
    </w:p>
    <w:p w14:paraId="47871A86" w14:textId="77777777" w:rsidR="009B6496" w:rsidRPr="00D90165" w:rsidRDefault="009C4EC4" w:rsidP="0056402B">
      <w:pPr>
        <w:keepNext/>
        <w:spacing w:line="240" w:lineRule="auto"/>
        <w:rPr>
          <w:b/>
          <w:bCs/>
        </w:rPr>
      </w:pPr>
      <w:r w:rsidRPr="00D90165">
        <w:rPr>
          <w:rStyle w:val="DNEx2"/>
        </w:rPr>
        <w:t>3.</w:t>
      </w:r>
      <w:r w:rsidRPr="00D90165">
        <w:rPr>
          <w:rStyle w:val="DNEx2"/>
        </w:rPr>
        <w:tab/>
      </w:r>
      <w:r w:rsidRPr="00D90165">
        <w:rPr>
          <w:b/>
        </w:rPr>
        <w:t>Jak przyjmować lek AGAMREE</w:t>
      </w:r>
    </w:p>
    <w:p w14:paraId="2511591A" w14:textId="77777777" w:rsidR="009B6496" w:rsidRPr="00D90165" w:rsidRDefault="009B6496" w:rsidP="0056402B">
      <w:pPr>
        <w:keepNext/>
        <w:numPr>
          <w:ilvl w:val="12"/>
          <w:numId w:val="0"/>
        </w:numPr>
        <w:tabs>
          <w:tab w:val="clear" w:pos="567"/>
        </w:tabs>
        <w:spacing w:line="240" w:lineRule="auto"/>
        <w:rPr>
          <w:noProof/>
          <w:szCs w:val="22"/>
        </w:rPr>
      </w:pPr>
    </w:p>
    <w:p w14:paraId="25940CCB" w14:textId="77777777" w:rsidR="006550C7" w:rsidRPr="00D90165" w:rsidRDefault="009C4EC4" w:rsidP="00855719">
      <w:pPr>
        <w:tabs>
          <w:tab w:val="clear" w:pos="567"/>
        </w:tabs>
        <w:spacing w:line="240" w:lineRule="auto"/>
      </w:pPr>
      <w:r w:rsidRPr="00D90165">
        <w:t>Ten lek należy zawsze przyjmować zgodnie z zaleceniami lekarza lub farmaceuty. W razie wątpliwości należy zwrócić się do lekarza lub farmaceuty.</w:t>
      </w:r>
    </w:p>
    <w:p w14:paraId="3BBB9320" w14:textId="77777777" w:rsidR="006550C7" w:rsidRPr="00D90165" w:rsidRDefault="006550C7" w:rsidP="00855719">
      <w:pPr>
        <w:tabs>
          <w:tab w:val="clear" w:pos="567"/>
        </w:tabs>
        <w:spacing w:line="240" w:lineRule="auto"/>
        <w:ind w:right="-2"/>
        <w:rPr>
          <w:noProof/>
        </w:rPr>
      </w:pPr>
    </w:p>
    <w:p w14:paraId="26080220" w14:textId="77777777" w:rsidR="006550C7" w:rsidRPr="00D90165" w:rsidRDefault="009C4EC4" w:rsidP="00855719">
      <w:pPr>
        <w:tabs>
          <w:tab w:val="clear" w:pos="567"/>
        </w:tabs>
        <w:spacing w:line="240" w:lineRule="auto"/>
        <w:ind w:right="-2"/>
        <w:rPr>
          <w:noProof/>
        </w:rPr>
      </w:pPr>
      <w:r w:rsidRPr="00D90165">
        <w:t>Zalecana dawka leku AGAMREE zależy od masy ciała i wieku pacjenta.</w:t>
      </w:r>
    </w:p>
    <w:p w14:paraId="1C4654C0" w14:textId="77777777" w:rsidR="006550C7" w:rsidRPr="00D90165" w:rsidRDefault="006550C7" w:rsidP="00855719">
      <w:pPr>
        <w:tabs>
          <w:tab w:val="clear" w:pos="567"/>
        </w:tabs>
        <w:spacing w:line="240" w:lineRule="auto"/>
        <w:ind w:right="-2"/>
        <w:rPr>
          <w:noProof/>
        </w:rPr>
      </w:pPr>
    </w:p>
    <w:p w14:paraId="512E1C65" w14:textId="77777777" w:rsidR="00E56DC1" w:rsidRPr="00D90165" w:rsidRDefault="009C4EC4" w:rsidP="00855719">
      <w:pPr>
        <w:tabs>
          <w:tab w:val="clear" w:pos="567"/>
        </w:tabs>
        <w:spacing w:line="240" w:lineRule="auto"/>
        <w:ind w:right="-2"/>
        <w:rPr>
          <w:noProof/>
        </w:rPr>
      </w:pPr>
      <w:r w:rsidRPr="00D90165">
        <w:t>U pacjentów w wieku 4 lat lub starszych o masie ciała mniej niż 40 kg, dawka wynosi zazwyczaj 6 mg na kg masy ciała raz na dobę.</w:t>
      </w:r>
    </w:p>
    <w:p w14:paraId="710435F1" w14:textId="77777777" w:rsidR="00935DB7" w:rsidRPr="00D90165" w:rsidRDefault="00935DB7" w:rsidP="00855719">
      <w:pPr>
        <w:tabs>
          <w:tab w:val="clear" w:pos="567"/>
        </w:tabs>
        <w:spacing w:line="240" w:lineRule="auto"/>
        <w:ind w:right="-2"/>
        <w:rPr>
          <w:noProof/>
        </w:rPr>
      </w:pPr>
    </w:p>
    <w:p w14:paraId="499643EE" w14:textId="77777777" w:rsidR="006550C7" w:rsidRPr="00D90165" w:rsidRDefault="009C4EC4" w:rsidP="00855719">
      <w:pPr>
        <w:tabs>
          <w:tab w:val="clear" w:pos="567"/>
        </w:tabs>
        <w:spacing w:line="240" w:lineRule="auto"/>
        <w:ind w:right="-2"/>
        <w:rPr>
          <w:noProof/>
        </w:rPr>
      </w:pPr>
      <w:r w:rsidRPr="00D90165">
        <w:t>U pacjentów w wieku 4 lat lub starszych o masie ciała 40 kg lub więcej, dawka leku wynosi zazwyczaj 240 mg raz na dobę.</w:t>
      </w:r>
    </w:p>
    <w:p w14:paraId="24B8D229" w14:textId="77777777" w:rsidR="1DD6F544" w:rsidRPr="00D90165" w:rsidRDefault="1DD6F544" w:rsidP="00855719">
      <w:pPr>
        <w:tabs>
          <w:tab w:val="clear" w:pos="567"/>
        </w:tabs>
        <w:spacing w:line="240" w:lineRule="auto"/>
        <w:ind w:right="-2"/>
        <w:rPr>
          <w:noProof/>
        </w:rPr>
      </w:pPr>
    </w:p>
    <w:p w14:paraId="61633A6C" w14:textId="77777777" w:rsidR="00CD573A" w:rsidRPr="00D90165" w:rsidRDefault="009C4EC4" w:rsidP="00855719">
      <w:pPr>
        <w:tabs>
          <w:tab w:val="clear" w:pos="567"/>
        </w:tabs>
        <w:spacing w:line="240" w:lineRule="auto"/>
        <w:ind w:right="-2"/>
      </w:pPr>
      <w:r w:rsidRPr="00D90165">
        <w:t>W przypadku wystąpienia niektórych działań niepożądanych podczas przyjmowania leku AGAMREE (patrz punkt 4) lekarz może zmniejszyć dawkę lub tymczasowo bądź na stałe przerwać leczenie. Lekarz może zmniejszyć dawkę, jeśli u pacjenta występuje choroba wątroby.</w:t>
      </w:r>
    </w:p>
    <w:p w14:paraId="36C51EAC" w14:textId="77777777" w:rsidR="00E56DC1" w:rsidRPr="00D90165" w:rsidRDefault="00E56DC1" w:rsidP="00855719">
      <w:pPr>
        <w:tabs>
          <w:tab w:val="clear" w:pos="567"/>
        </w:tabs>
        <w:spacing w:line="240" w:lineRule="auto"/>
        <w:ind w:right="-2"/>
      </w:pPr>
    </w:p>
    <w:p w14:paraId="4336735E" w14:textId="77777777" w:rsidR="00E56DC1" w:rsidRPr="00D90165" w:rsidRDefault="009C4EC4" w:rsidP="00855719">
      <w:pPr>
        <w:tabs>
          <w:tab w:val="clear" w:pos="567"/>
        </w:tabs>
        <w:spacing w:line="240" w:lineRule="auto"/>
        <w:ind w:right="-2"/>
        <w:rPr>
          <w:noProof/>
        </w:rPr>
      </w:pPr>
      <w:r w:rsidRPr="00D90165">
        <w:t>Lek przyjmuje się doustnie. Lek AGAMREE można przyjmować z posiłkiem lub niezależnie od posiłku (patrz punkt 2 „Stosowanie leku AGAMREE z jedzeniem i piciem”).</w:t>
      </w:r>
    </w:p>
    <w:p w14:paraId="1AF4B08C" w14:textId="77777777" w:rsidR="006550C7" w:rsidRPr="00D90165" w:rsidRDefault="006550C7" w:rsidP="00855719">
      <w:pPr>
        <w:numPr>
          <w:ilvl w:val="12"/>
          <w:numId w:val="0"/>
        </w:numPr>
        <w:tabs>
          <w:tab w:val="clear" w:pos="567"/>
        </w:tabs>
        <w:spacing w:line="240" w:lineRule="auto"/>
        <w:ind w:right="-2"/>
        <w:rPr>
          <w:noProof/>
          <w:szCs w:val="22"/>
        </w:rPr>
      </w:pPr>
    </w:p>
    <w:p w14:paraId="3825A4B4" w14:textId="77777777" w:rsidR="006550C7" w:rsidRPr="00D90165" w:rsidRDefault="009C4EC4" w:rsidP="00855719">
      <w:pPr>
        <w:tabs>
          <w:tab w:val="clear" w:pos="567"/>
        </w:tabs>
        <w:spacing w:line="240" w:lineRule="auto"/>
        <w:ind w:right="-2"/>
      </w:pPr>
      <w:r w:rsidRPr="00D90165">
        <w:t>W celu pobrania leku należy użyć jednej ze strzykawek doustnych dołączonych do opakowania. Do pomiaru dawki należy stosować tylko te strzykawki doustne. Lekarz poinformuje pacjenta, jaką ilość leku należy pobrać do strzykawki w celu podania dawki dobowej.</w:t>
      </w:r>
    </w:p>
    <w:p w14:paraId="172C6FED" w14:textId="77777777" w:rsidR="007A4202" w:rsidRPr="00D90165" w:rsidRDefault="007A4202" w:rsidP="00855719">
      <w:pPr>
        <w:tabs>
          <w:tab w:val="clear" w:pos="567"/>
        </w:tabs>
        <w:spacing w:line="240" w:lineRule="auto"/>
        <w:ind w:right="-2"/>
      </w:pPr>
    </w:p>
    <w:p w14:paraId="1ECE851B" w14:textId="77777777" w:rsidR="007A4202" w:rsidRPr="00D90165" w:rsidRDefault="009C4EC4" w:rsidP="00855719">
      <w:pPr>
        <w:tabs>
          <w:tab w:val="clear" w:pos="567"/>
        </w:tabs>
        <w:spacing w:line="240" w:lineRule="auto"/>
        <w:ind w:right="-2"/>
      </w:pPr>
      <w:r w:rsidRPr="00D90165">
        <w:t>Opiekunowie powinni pomóc w podaniu leku AGAMREE. Dotyczy to zwłaszcza korzystania ze strzykawek doustnych w celu pomiaru i podania przepisanej dawki.</w:t>
      </w:r>
    </w:p>
    <w:p w14:paraId="73D52483" w14:textId="77777777" w:rsidR="007438FF" w:rsidRPr="00D90165" w:rsidRDefault="007438FF" w:rsidP="00855719">
      <w:pPr>
        <w:tabs>
          <w:tab w:val="clear" w:pos="567"/>
        </w:tabs>
        <w:spacing w:line="240" w:lineRule="auto"/>
        <w:ind w:right="-2"/>
      </w:pPr>
    </w:p>
    <w:p w14:paraId="52E6AF46" w14:textId="77777777" w:rsidR="007438FF" w:rsidRPr="00D90165" w:rsidRDefault="009C4EC4" w:rsidP="00855719">
      <w:pPr>
        <w:pStyle w:val="Default"/>
        <w:rPr>
          <w:sz w:val="22"/>
          <w:szCs w:val="22"/>
        </w:rPr>
      </w:pPr>
      <w:r w:rsidRPr="00D90165">
        <w:t xml:space="preserve">Należy wstrząsnąć energicznie butelką przed pobraniem leku do strzykawki. </w:t>
      </w:r>
      <w:r w:rsidRPr="00D90165">
        <w:rPr>
          <w:color w:val="auto"/>
          <w:sz w:val="22"/>
        </w:rPr>
        <w:t xml:space="preserve">Należy pobrać dawkę do strzykawki doustnej, a następnie natychmiast i powoli opróżnić strzykawkę bezpośrednio do ust. Aby uzyskać więcej informacji na temat sposobu odmierzania i prawidłowego przyjmowania </w:t>
      </w:r>
      <w:r w:rsidRPr="00D90165">
        <w:rPr>
          <w:color w:val="auto"/>
          <w:sz w:val="22"/>
        </w:rPr>
        <w:lastRenderedPageBreak/>
        <w:t>dawki, należy zapoznać się z poniższymi instrukcjami.</w:t>
      </w:r>
      <w:r w:rsidRPr="00D90165">
        <w:rPr>
          <w:sz w:val="22"/>
        </w:rPr>
        <w:t xml:space="preserve"> W razie wątpliwości co do sposobu używania strzykawki doustnej należy zwrócić się do lekarza lub farmaceuty.</w:t>
      </w:r>
    </w:p>
    <w:p w14:paraId="76DEE9AB" w14:textId="77777777" w:rsidR="11630121" w:rsidRPr="00D90165" w:rsidRDefault="11630121" w:rsidP="00855719">
      <w:pPr>
        <w:tabs>
          <w:tab w:val="clear" w:pos="567"/>
        </w:tabs>
        <w:spacing w:line="240" w:lineRule="auto"/>
        <w:ind w:right="-2"/>
        <w:rPr>
          <w:noProof/>
        </w:rPr>
      </w:pPr>
    </w:p>
    <w:p w14:paraId="60B72BC5" w14:textId="77777777" w:rsidR="007B7CFA" w:rsidRPr="00D90165" w:rsidRDefault="009C4EC4" w:rsidP="00855719">
      <w:pPr>
        <w:tabs>
          <w:tab w:val="clear" w:pos="567"/>
        </w:tabs>
        <w:autoSpaceDE w:val="0"/>
        <w:autoSpaceDN w:val="0"/>
        <w:adjustRightInd w:val="0"/>
        <w:spacing w:line="240" w:lineRule="auto"/>
        <w:ind w:right="-2"/>
      </w:pPr>
      <w:r w:rsidRPr="00D90165">
        <w:t>Po przyjęciu zalecanej dawki należy rozmontować strzykawkę doustną, przepłukać strzykawkę i tłok pod zimną wodą z kranu i wysuszyć na powietrzu. Umytą strzykawkę doustną należy przechowywać w opakowaniu do następnego użycia. Strzykawkę doustną należy stosować przez maksymalnie 45 dni. Po tym czasie należy ją wyrzucić i użyć drugiej strzykawki doustnej znajdującej się w opakowaniu. W razie jakichkolwiek dalszych wątpliwości związanych ze stosowaniem tego leku należy zwrócić się do lekarza lub farmaceuty.</w:t>
      </w:r>
    </w:p>
    <w:p w14:paraId="6E171F12" w14:textId="77777777" w:rsidR="00831BC0" w:rsidRPr="00D90165" w:rsidRDefault="00831BC0" w:rsidP="00855719">
      <w:pPr>
        <w:tabs>
          <w:tab w:val="clear" w:pos="567"/>
        </w:tabs>
        <w:spacing w:line="240" w:lineRule="auto"/>
        <w:ind w:right="-2"/>
      </w:pPr>
    </w:p>
    <w:p w14:paraId="080FF512" w14:textId="77777777" w:rsidR="00831BC0" w:rsidRPr="00D90165" w:rsidRDefault="009C4EC4" w:rsidP="0056402B">
      <w:pPr>
        <w:keepNext/>
        <w:spacing w:line="240" w:lineRule="auto"/>
        <w:ind w:right="-2"/>
        <w:rPr>
          <w:b/>
          <w:bCs/>
        </w:rPr>
      </w:pPr>
      <w:r w:rsidRPr="00D90165">
        <w:rPr>
          <w:b/>
        </w:rPr>
        <w:t>PRZYGOTOWANIE DAWKI LEKU AGAMREE W POSTACI ZAWIESINY DOUSTNEJ</w:t>
      </w:r>
    </w:p>
    <w:p w14:paraId="67396D02" w14:textId="77777777" w:rsidR="00831BC0" w:rsidRPr="00D90165" w:rsidRDefault="00831BC0" w:rsidP="0056402B">
      <w:pPr>
        <w:keepNext/>
        <w:spacing w:line="240" w:lineRule="auto"/>
        <w:ind w:right="-2"/>
      </w:pPr>
    </w:p>
    <w:tbl>
      <w:tblPr>
        <w:tblStyle w:val="TableGrid"/>
        <w:tblW w:w="9060" w:type="dxa"/>
        <w:tblLayout w:type="fixed"/>
        <w:tblLook w:val="0000" w:firstRow="0" w:lastRow="0" w:firstColumn="0" w:lastColumn="0" w:noHBand="0" w:noVBand="0"/>
      </w:tblPr>
      <w:tblGrid>
        <w:gridCol w:w="1008"/>
        <w:gridCol w:w="3752"/>
        <w:gridCol w:w="4300"/>
      </w:tblGrid>
      <w:tr w:rsidR="005A28CF" w14:paraId="5367527B"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2117CBC8" w14:textId="77777777" w:rsidR="00831BC0" w:rsidRPr="00A510B3"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28F17A45" w14:textId="77777777" w:rsidR="00831BC0" w:rsidRPr="00D90165" w:rsidRDefault="009C4EC4" w:rsidP="0056402B">
            <w:pPr>
              <w:keepNext/>
              <w:rPr>
                <w:color w:val="000000" w:themeColor="text1"/>
              </w:rPr>
            </w:pPr>
            <w:r w:rsidRPr="00D90165">
              <w:rPr>
                <w:b/>
                <w:color w:val="000000" w:themeColor="text1"/>
              </w:rPr>
              <w:t>Przed rozpoczęciem przyjmowania/podawania leku AGAMREE</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52EC6EE6" w14:textId="77777777" w:rsidR="00831BC0" w:rsidRPr="00A510B3" w:rsidRDefault="00831BC0" w:rsidP="0056402B">
            <w:pPr>
              <w:keepNext/>
              <w:rPr>
                <w:szCs w:val="22"/>
              </w:rPr>
            </w:pPr>
          </w:p>
        </w:tc>
      </w:tr>
      <w:tr w:rsidR="005A28CF" w14:paraId="732BE7A9" w14:textId="77777777" w:rsidTr="14C87AD7">
        <w:trPr>
          <w:trHeight w:val="2008"/>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3DD42C39" w14:textId="77777777" w:rsidR="00831BC0" w:rsidRPr="00D90165" w:rsidRDefault="009C4EC4" w:rsidP="00855719">
            <w:pPr>
              <w:jc w:val="center"/>
              <w:rPr>
                <w:color w:val="000000" w:themeColor="text1"/>
                <w:szCs w:val="22"/>
              </w:rPr>
            </w:pPr>
            <w:r w:rsidRPr="00D90165">
              <w:rPr>
                <w:b/>
                <w:color w:val="000000" w:themeColor="text1"/>
              </w:rPr>
              <w:t>Krok 1</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0FB163FF" w14:textId="77777777" w:rsidR="00831BC0" w:rsidRPr="00D90165" w:rsidRDefault="009C4EC4" w:rsidP="00855719">
            <w:pPr>
              <w:rPr>
                <w:color w:val="000000" w:themeColor="text1"/>
                <w:szCs w:val="22"/>
              </w:rPr>
            </w:pPr>
            <w:r w:rsidRPr="00D90165">
              <w:rPr>
                <w:color w:val="000000" w:themeColor="text1"/>
              </w:rPr>
              <w:t xml:space="preserve">Upewnić się, że nakrętka butelki zabezpieczająca przed otwarciem przez dzieci jest szczelnie zamknięta i dobrze wstrząsnąć butelką.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2355E696" w14:textId="77777777" w:rsidR="14C87AD7" w:rsidRPr="00D90165" w:rsidRDefault="009C4EC4" w:rsidP="00855719">
            <w:r w:rsidRPr="00D90165">
              <w:rPr>
                <w:noProof/>
                <w:lang w:eastAsia="pl-PL"/>
              </w:rPr>
              <w:drawing>
                <wp:anchor distT="0" distB="0" distL="114300" distR="114300" simplePos="0" relativeHeight="251661312" behindDoc="0" locked="0" layoutInCell="1" allowOverlap="1" wp14:anchorId="0DBB1799" wp14:editId="5D850559">
                  <wp:simplePos x="0" y="0"/>
                  <wp:positionH relativeFrom="column">
                    <wp:posOffset>-3810</wp:posOffset>
                  </wp:positionH>
                  <wp:positionV relativeFrom="paragraph">
                    <wp:posOffset>0</wp:posOffset>
                  </wp:positionV>
                  <wp:extent cx="1176655" cy="1214755"/>
                  <wp:effectExtent l="0" t="0" r="4445" b="4445"/>
                  <wp:wrapSquare wrapText="bothSides"/>
                  <wp:docPr id="327167874" name="Picture 3271678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2736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76655" cy="1214755"/>
                          </a:xfrm>
                          <a:prstGeom prst="rect">
                            <a:avLst/>
                          </a:prstGeom>
                        </pic:spPr>
                      </pic:pic>
                    </a:graphicData>
                  </a:graphic>
                  <wp14:sizeRelH relativeFrom="margin">
                    <wp14:pctWidth>0</wp14:pctWidth>
                  </wp14:sizeRelH>
                  <wp14:sizeRelV relativeFrom="margin">
                    <wp14:pctHeight>0</wp14:pctHeight>
                  </wp14:sizeRelV>
                </wp:anchor>
              </w:drawing>
            </w:r>
          </w:p>
          <w:p w14:paraId="317BBDC4" w14:textId="77777777" w:rsidR="00831BC0" w:rsidRPr="00A510B3" w:rsidRDefault="00831BC0" w:rsidP="00855719">
            <w:pPr>
              <w:rPr>
                <w:color w:val="000000" w:themeColor="text1"/>
                <w:sz w:val="20"/>
              </w:rPr>
            </w:pPr>
          </w:p>
        </w:tc>
      </w:tr>
      <w:tr w:rsidR="005A28CF" w14:paraId="7D62A91C"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766327F7" w14:textId="77777777" w:rsidR="00831BC0" w:rsidRPr="00D90165" w:rsidRDefault="009C4EC4" w:rsidP="00855719">
            <w:pPr>
              <w:jc w:val="center"/>
              <w:rPr>
                <w:color w:val="000000" w:themeColor="text1"/>
                <w:szCs w:val="22"/>
              </w:rPr>
            </w:pPr>
            <w:r w:rsidRPr="00D90165">
              <w:rPr>
                <w:b/>
                <w:color w:val="000000" w:themeColor="text1"/>
              </w:rPr>
              <w:t>Etap 2</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55012C62" w14:textId="77777777" w:rsidR="00831BC0" w:rsidRPr="00D90165" w:rsidRDefault="009C4EC4" w:rsidP="00855719">
            <w:pPr>
              <w:rPr>
                <w:color w:val="000000" w:themeColor="text1"/>
                <w:szCs w:val="22"/>
              </w:rPr>
            </w:pPr>
            <w:r w:rsidRPr="00D90165">
              <w:rPr>
                <w:color w:val="000000" w:themeColor="text1"/>
              </w:rPr>
              <w:t xml:space="preserve">Usunąć nakrętkę butelki zabezpieczającą przed otwarciem przez dzieci, naciskając ją mocno w dół i obracając ją w kierunku przeciwnym do wskazówek zegara.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29109CF8" w14:textId="77777777" w:rsidR="00831BC0" w:rsidRPr="00D90165" w:rsidRDefault="009C4EC4" w:rsidP="00855719">
            <w:pPr>
              <w:jc w:val="both"/>
              <w:rPr>
                <w:color w:val="000000" w:themeColor="text1"/>
                <w:sz w:val="20"/>
              </w:rPr>
            </w:pPr>
            <w:r w:rsidRPr="00D90165">
              <w:rPr>
                <w:noProof/>
                <w:lang w:eastAsia="pl-PL"/>
              </w:rPr>
              <w:drawing>
                <wp:anchor distT="0" distB="0" distL="114300" distR="114300" simplePos="0" relativeHeight="251662336" behindDoc="0" locked="0" layoutInCell="1" allowOverlap="1" wp14:anchorId="532B0D15" wp14:editId="35A1D218">
                  <wp:simplePos x="0" y="0"/>
                  <wp:positionH relativeFrom="column">
                    <wp:posOffset>-3810</wp:posOffset>
                  </wp:positionH>
                  <wp:positionV relativeFrom="paragraph">
                    <wp:posOffset>3175</wp:posOffset>
                  </wp:positionV>
                  <wp:extent cx="1423035" cy="1443990"/>
                  <wp:effectExtent l="0" t="0" r="5715" b="3810"/>
                  <wp:wrapSquare wrapText="bothSides"/>
                  <wp:docPr id="1872560505" name="Picture 187256050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14663"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3035" cy="1443990"/>
                          </a:xfrm>
                          <a:prstGeom prst="rect">
                            <a:avLst/>
                          </a:prstGeom>
                        </pic:spPr>
                      </pic:pic>
                    </a:graphicData>
                  </a:graphic>
                  <wp14:sizeRelH relativeFrom="margin">
                    <wp14:pctWidth>0</wp14:pctWidth>
                  </wp14:sizeRelH>
                  <wp14:sizeRelV relativeFrom="margin">
                    <wp14:pctHeight>0</wp14:pctHeight>
                  </wp14:sizeRelV>
                </wp:anchor>
              </w:drawing>
            </w:r>
          </w:p>
        </w:tc>
      </w:tr>
      <w:tr w:rsidR="005A28CF" w14:paraId="5DED91CE"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4CFEA144" w14:textId="77777777" w:rsidR="00831BC0" w:rsidRPr="00D90165" w:rsidRDefault="009C4EC4" w:rsidP="00855719">
            <w:pPr>
              <w:jc w:val="center"/>
              <w:rPr>
                <w:color w:val="000000" w:themeColor="text1"/>
                <w:szCs w:val="22"/>
              </w:rPr>
            </w:pPr>
            <w:r w:rsidRPr="00D90165">
              <w:rPr>
                <w:b/>
                <w:color w:val="000000" w:themeColor="text1"/>
              </w:rPr>
              <w:t>Krok 3</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5F7D7E8D" w14:textId="77777777" w:rsidR="00831BC0" w:rsidRPr="00D90165" w:rsidRDefault="009C4EC4" w:rsidP="00855719">
            <w:pPr>
              <w:rPr>
                <w:color w:val="000000" w:themeColor="text1"/>
                <w:szCs w:val="22"/>
              </w:rPr>
            </w:pPr>
            <w:r w:rsidRPr="00D90165">
              <w:rPr>
                <w:color w:val="000000" w:themeColor="text1"/>
              </w:rPr>
              <w:t>Mocno wcisnąć adapter do butelki.</w:t>
            </w:r>
          </w:p>
          <w:p w14:paraId="6C6CC0AF" w14:textId="77777777" w:rsidR="00831BC0" w:rsidRPr="00D90165" w:rsidRDefault="009C4EC4" w:rsidP="00855719">
            <w:pPr>
              <w:rPr>
                <w:color w:val="000000" w:themeColor="text1"/>
                <w:szCs w:val="22"/>
              </w:rPr>
            </w:pPr>
            <w:r w:rsidRPr="00D90165">
              <w:rPr>
                <w:color w:val="000000" w:themeColor="text1"/>
              </w:rPr>
              <w:t>Należy to zrobić po otwarciu butelki po raz pierwszy. Adapter musi następnie pozostać w butelce.</w:t>
            </w:r>
          </w:p>
          <w:p w14:paraId="2328F522" w14:textId="77777777" w:rsidR="00831BC0" w:rsidRPr="00D90165" w:rsidRDefault="009C4EC4" w:rsidP="00855719">
            <w:pPr>
              <w:rPr>
                <w:color w:val="000000" w:themeColor="text1"/>
                <w:szCs w:val="22"/>
              </w:rPr>
            </w:pPr>
            <w:r w:rsidRPr="00D90165">
              <w:rPr>
                <w:color w:val="000000" w:themeColor="text1"/>
              </w:rPr>
              <w:t>Po upuszczeniu adaptera należy go umyć pod zimną bieżącą wodą i wysuszyć na powietrzu przez co najmniej 2 godziny.</w:t>
            </w:r>
          </w:p>
          <w:p w14:paraId="7550E10E" w14:textId="77777777" w:rsidR="00831BC0" w:rsidRPr="00A510B3" w:rsidRDefault="00831BC0" w:rsidP="00855719">
            <w:pPr>
              <w:rPr>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3AD6CFC5" w14:textId="77777777" w:rsidR="00831BC0" w:rsidRPr="00D90165" w:rsidRDefault="009C4EC4" w:rsidP="00855719">
            <w:pPr>
              <w:rPr>
                <w:color w:val="000000" w:themeColor="text1"/>
                <w:sz w:val="20"/>
              </w:rPr>
            </w:pPr>
            <w:r w:rsidRPr="00D90165">
              <w:rPr>
                <w:noProof/>
                <w:lang w:eastAsia="pl-PL"/>
              </w:rPr>
              <w:drawing>
                <wp:anchor distT="0" distB="0" distL="114300" distR="114300" simplePos="0" relativeHeight="251663360" behindDoc="0" locked="0" layoutInCell="1" allowOverlap="1" wp14:anchorId="1C05B90A" wp14:editId="229871B4">
                  <wp:simplePos x="0" y="0"/>
                  <wp:positionH relativeFrom="column">
                    <wp:posOffset>-3810</wp:posOffset>
                  </wp:positionH>
                  <wp:positionV relativeFrom="paragraph">
                    <wp:posOffset>2540</wp:posOffset>
                  </wp:positionV>
                  <wp:extent cx="1725930" cy="1454785"/>
                  <wp:effectExtent l="0" t="0" r="7620" b="0"/>
                  <wp:wrapSquare wrapText="bothSides"/>
                  <wp:docPr id="1381368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58675" name=""/>
                          <pic:cNvPicPr/>
                        </pic:nvPicPr>
                        <pic:blipFill>
                          <a:blip r:embed="rId17">
                            <a:extLst>
                              <a:ext uri="{28A0092B-C50C-407E-A947-70E740481C1C}">
                                <a14:useLocalDpi xmlns:a14="http://schemas.microsoft.com/office/drawing/2010/main" val="0"/>
                              </a:ext>
                            </a:extLst>
                          </a:blip>
                          <a:stretch>
                            <a:fillRect/>
                          </a:stretch>
                        </pic:blipFill>
                        <pic:spPr>
                          <a:xfrm>
                            <a:off x="0" y="0"/>
                            <a:ext cx="1725930" cy="1454785"/>
                          </a:xfrm>
                          <a:prstGeom prst="rect">
                            <a:avLst/>
                          </a:prstGeom>
                        </pic:spPr>
                      </pic:pic>
                    </a:graphicData>
                  </a:graphic>
                  <wp14:sizeRelH relativeFrom="margin">
                    <wp14:pctWidth>0</wp14:pctWidth>
                  </wp14:sizeRelH>
                  <wp14:sizeRelV relativeFrom="margin">
                    <wp14:pctHeight>0</wp14:pctHeight>
                  </wp14:sizeRelV>
                </wp:anchor>
              </w:drawing>
            </w:r>
          </w:p>
        </w:tc>
      </w:tr>
      <w:tr w:rsidR="005A28CF" w14:paraId="712CD285"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7DFF727C" w14:textId="77777777" w:rsidR="00831BC0" w:rsidRPr="00A510B3" w:rsidRDefault="00831BC0" w:rsidP="0056402B">
            <w:pPr>
              <w:keepNext/>
              <w:jc w:val="center"/>
              <w:rPr>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4BD7F968" w14:textId="77777777" w:rsidR="00831BC0" w:rsidRPr="00D90165" w:rsidRDefault="009C4EC4" w:rsidP="0056402B">
            <w:pPr>
              <w:keepNext/>
              <w:rPr>
                <w:b/>
                <w:bCs/>
                <w:color w:val="000000" w:themeColor="text1"/>
                <w:szCs w:val="22"/>
              </w:rPr>
            </w:pPr>
            <w:r w:rsidRPr="00D90165">
              <w:rPr>
                <w:b/>
                <w:color w:val="000000" w:themeColor="text1"/>
              </w:rPr>
              <w:t xml:space="preserve">Przygotowanie dawki leku AGAMREE </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3787D616" w14:textId="77777777" w:rsidR="00831BC0" w:rsidRPr="00D90165" w:rsidRDefault="00831BC0" w:rsidP="00855719">
            <w:pPr>
              <w:rPr>
                <w:szCs w:val="22"/>
                <w:lang w:val="en-GB"/>
              </w:rPr>
            </w:pPr>
          </w:p>
        </w:tc>
      </w:tr>
      <w:tr w:rsidR="005A28CF" w14:paraId="1CF901E4"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5F9531EC" w14:textId="77777777" w:rsidR="00831BC0" w:rsidRPr="00D90165" w:rsidRDefault="009C4EC4" w:rsidP="00855719">
            <w:pPr>
              <w:jc w:val="center"/>
              <w:rPr>
                <w:color w:val="000000" w:themeColor="text1"/>
                <w:szCs w:val="22"/>
              </w:rPr>
            </w:pPr>
            <w:r w:rsidRPr="00D90165">
              <w:rPr>
                <w:b/>
                <w:color w:val="000000" w:themeColor="text1"/>
              </w:rPr>
              <w:t>Krok 4</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79A92371" w14:textId="77777777" w:rsidR="00831BC0" w:rsidRPr="00D90165" w:rsidRDefault="009C4EC4" w:rsidP="00855719">
            <w:pPr>
              <w:rPr>
                <w:color w:val="000000" w:themeColor="text1"/>
                <w:szCs w:val="22"/>
              </w:rPr>
            </w:pPr>
            <w:r w:rsidRPr="00D90165">
              <w:rPr>
                <w:color w:val="000000" w:themeColor="text1"/>
              </w:rPr>
              <w:t>Trzymać butelkę w pozycji pionowej.</w:t>
            </w:r>
          </w:p>
          <w:p w14:paraId="68C197CA" w14:textId="77777777" w:rsidR="00831BC0" w:rsidRPr="00D90165" w:rsidRDefault="009C4EC4" w:rsidP="00855719">
            <w:pPr>
              <w:rPr>
                <w:color w:val="000000" w:themeColor="text1"/>
                <w:szCs w:val="22"/>
              </w:rPr>
            </w:pPr>
            <w:r w:rsidRPr="00D90165">
              <w:rPr>
                <w:color w:val="000000" w:themeColor="text1"/>
              </w:rPr>
              <w:t>Przed włożeniem końcówki strzykawki doustnej do adaptera butelki należy całkowicie wcisnąć tłok w kierunku końcówki strzykawki doustnej. Końcówkę należy mocno wprowadzić do otworu adaptera do butelki.</w:t>
            </w:r>
          </w:p>
          <w:p w14:paraId="65E91665" w14:textId="77777777" w:rsidR="00831BC0" w:rsidRPr="00D90165" w:rsidRDefault="00831BC0" w:rsidP="00855719">
            <w:pPr>
              <w:rPr>
                <w:color w:val="000000" w:themeColor="text1"/>
                <w:szCs w:val="22"/>
                <w:lang w:val="en-GB"/>
              </w:rPr>
            </w:pPr>
          </w:p>
          <w:p w14:paraId="3A0CFDC1" w14:textId="77777777" w:rsidR="00831BC0" w:rsidRPr="00D90165" w:rsidRDefault="00831BC0" w:rsidP="00855719">
            <w:pPr>
              <w:rPr>
                <w:color w:val="000000" w:themeColor="text1"/>
                <w:szCs w:val="22"/>
                <w:lang w:val="en-GB"/>
              </w:rPr>
            </w:pPr>
          </w:p>
          <w:p w14:paraId="1F6F9F85" w14:textId="77777777" w:rsidR="00831BC0" w:rsidRPr="00D90165" w:rsidRDefault="00831BC0" w:rsidP="00855719">
            <w:pPr>
              <w:rPr>
                <w:color w:val="000000" w:themeColor="text1"/>
                <w:szCs w:val="22"/>
                <w:lang w:val="en-GB"/>
              </w:rPr>
            </w:pPr>
          </w:p>
          <w:p w14:paraId="184772F5" w14:textId="77777777" w:rsidR="00831BC0" w:rsidRPr="00D90165" w:rsidRDefault="00831BC0" w:rsidP="00855719">
            <w:pPr>
              <w:rPr>
                <w:color w:val="000000" w:themeColor="text1"/>
                <w:szCs w:val="22"/>
                <w:lang w:val="en-GB"/>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0811D8FB" w14:textId="77777777" w:rsidR="00831BC0" w:rsidRPr="00D90165" w:rsidRDefault="00831BC0" w:rsidP="00855719">
            <w:pPr>
              <w:rPr>
                <w:b/>
                <w:bCs/>
                <w:color w:val="000000" w:themeColor="text1"/>
                <w:sz w:val="20"/>
                <w:lang w:val="en-GB"/>
              </w:rPr>
            </w:pPr>
          </w:p>
          <w:p w14:paraId="2FBDBC99" w14:textId="77777777" w:rsidR="00831BC0" w:rsidRPr="00D90165" w:rsidRDefault="009C4EC4" w:rsidP="00855719">
            <w:pPr>
              <w:rPr>
                <w:b/>
                <w:bCs/>
                <w:color w:val="000000" w:themeColor="text1"/>
                <w:sz w:val="20"/>
              </w:rPr>
            </w:pPr>
            <w:r w:rsidRPr="00D90165">
              <w:rPr>
                <w:noProof/>
                <w:lang w:eastAsia="pl-PL"/>
              </w:rPr>
              <w:drawing>
                <wp:anchor distT="0" distB="0" distL="114300" distR="114300" simplePos="0" relativeHeight="251658240" behindDoc="0" locked="0" layoutInCell="1" allowOverlap="1" wp14:anchorId="4D4EBB4A" wp14:editId="6073E8DD">
                  <wp:simplePos x="0" y="0"/>
                  <wp:positionH relativeFrom="column">
                    <wp:posOffset>-3810</wp:posOffset>
                  </wp:positionH>
                  <wp:positionV relativeFrom="paragraph">
                    <wp:posOffset>1905</wp:posOffset>
                  </wp:positionV>
                  <wp:extent cx="1432560" cy="17227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99273" name=""/>
                          <pic:cNvPicPr/>
                        </pic:nvPicPr>
                        <pic:blipFill>
                          <a:blip r:embed="rId18">
                            <a:extLst>
                              <a:ext uri="{28A0092B-C50C-407E-A947-70E740481C1C}">
                                <a14:useLocalDpi xmlns:a14="http://schemas.microsoft.com/office/drawing/2010/main" val="0"/>
                              </a:ext>
                            </a:extLst>
                          </a:blip>
                          <a:stretch>
                            <a:fillRect/>
                          </a:stretch>
                        </pic:blipFill>
                        <pic:spPr>
                          <a:xfrm>
                            <a:off x="0" y="0"/>
                            <a:ext cx="1432560" cy="1722755"/>
                          </a:xfrm>
                          <a:prstGeom prst="rect">
                            <a:avLst/>
                          </a:prstGeom>
                        </pic:spPr>
                      </pic:pic>
                    </a:graphicData>
                  </a:graphic>
                </wp:anchor>
              </w:drawing>
            </w:r>
          </w:p>
        </w:tc>
      </w:tr>
      <w:tr w:rsidR="005A28CF" w14:paraId="136F4A92"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7CA462C" w14:textId="77777777" w:rsidR="00831BC0" w:rsidRPr="00D90165" w:rsidRDefault="009C4EC4" w:rsidP="00855719">
            <w:pPr>
              <w:jc w:val="center"/>
              <w:rPr>
                <w:color w:val="000000" w:themeColor="text1"/>
                <w:szCs w:val="22"/>
              </w:rPr>
            </w:pPr>
            <w:r w:rsidRPr="00D90165">
              <w:rPr>
                <w:b/>
                <w:color w:val="000000" w:themeColor="text1"/>
              </w:rPr>
              <w:lastRenderedPageBreak/>
              <w:t>Krok 5</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45F2BE41" w14:textId="77777777" w:rsidR="00831BC0" w:rsidRPr="00D90165" w:rsidRDefault="009C4EC4" w:rsidP="00855719">
            <w:pPr>
              <w:rPr>
                <w:color w:val="000000" w:themeColor="text1"/>
                <w:szCs w:val="22"/>
              </w:rPr>
            </w:pPr>
            <w:r w:rsidRPr="00D90165">
              <w:rPr>
                <w:color w:val="000000" w:themeColor="text1"/>
              </w:rPr>
              <w:t>Przytrzymać strzykawkę doustną w miejscu i ostrożnie obrócić butelkę do góry dnem.</w:t>
            </w:r>
          </w:p>
          <w:p w14:paraId="0C79AD44" w14:textId="77777777" w:rsidR="00831BC0" w:rsidRPr="00A510B3" w:rsidRDefault="00831BC0" w:rsidP="00855719">
            <w:pPr>
              <w:rPr>
                <w:color w:val="000000" w:themeColor="text1"/>
                <w:szCs w:val="22"/>
              </w:rPr>
            </w:pPr>
          </w:p>
          <w:p w14:paraId="32F8C187" w14:textId="77777777" w:rsidR="00831BC0" w:rsidRPr="00D90165" w:rsidRDefault="009C4EC4" w:rsidP="00855719">
            <w:pPr>
              <w:rPr>
                <w:color w:val="000000" w:themeColor="text1"/>
                <w:szCs w:val="22"/>
              </w:rPr>
            </w:pPr>
            <w:r w:rsidRPr="00D90165">
              <w:rPr>
                <w:color w:val="000000" w:themeColor="text1"/>
              </w:rPr>
              <w:t>Odciągać tłok strzykawki, aż do pobrania pożądanej ilości leku do strzykawki doustnej.</w:t>
            </w:r>
          </w:p>
          <w:p w14:paraId="0C2517E3" w14:textId="77777777" w:rsidR="00831BC0" w:rsidRPr="00A510B3" w:rsidRDefault="00831BC0" w:rsidP="00855719">
            <w:pPr>
              <w:rPr>
                <w:color w:val="000000" w:themeColor="text1"/>
                <w:szCs w:val="22"/>
              </w:rPr>
            </w:pPr>
          </w:p>
          <w:p w14:paraId="061209A7" w14:textId="77777777" w:rsidR="00831BC0" w:rsidRPr="00D90165" w:rsidRDefault="009C4EC4" w:rsidP="00855719">
            <w:pPr>
              <w:rPr>
                <w:color w:val="000000" w:themeColor="text1"/>
                <w:szCs w:val="22"/>
              </w:rPr>
            </w:pPr>
            <w:r w:rsidRPr="00D90165">
              <w:rPr>
                <w:color w:val="000000" w:themeColor="text1"/>
              </w:rPr>
              <w:t>Jeśli w strzykawce doustnej znajdują się duże pęcherzyki powietrza (widoczne na rysunku po lewej stronie) lub jeśli pobrano nieodpowiednią dawkę leku AGAMREE, należy mocno wsunąć końcówkę strzykawki do adaptera butelki, gdy butelka znajduje się w pozycji pionowej. Wcisnąć tłok aż do samego końca, tak aby lek AGAMREE z powrotem znalazł się w butelce i powtórzyć kroki od 4 do 6.</w:t>
            </w:r>
          </w:p>
          <w:p w14:paraId="7D090941" w14:textId="77777777" w:rsidR="00831BC0" w:rsidRPr="00A510B3"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5EB50EA7" w14:textId="77777777" w:rsidR="00831BC0" w:rsidRPr="00D90165" w:rsidRDefault="009C4EC4" w:rsidP="00855719">
            <w:pPr>
              <w:rPr>
                <w:color w:val="000000" w:themeColor="text1"/>
                <w:sz w:val="20"/>
              </w:rPr>
            </w:pPr>
            <w:r w:rsidRPr="00D90165">
              <w:rPr>
                <w:noProof/>
                <w:lang w:eastAsia="pl-PL"/>
              </w:rPr>
              <w:drawing>
                <wp:anchor distT="0" distB="0" distL="114300" distR="114300" simplePos="0" relativeHeight="251659264" behindDoc="0" locked="0" layoutInCell="1" allowOverlap="1" wp14:anchorId="59B93E1A" wp14:editId="329040CA">
                  <wp:simplePos x="0" y="0"/>
                  <wp:positionH relativeFrom="column">
                    <wp:posOffset>-59055</wp:posOffset>
                  </wp:positionH>
                  <wp:positionV relativeFrom="paragraph">
                    <wp:posOffset>167640</wp:posOffset>
                  </wp:positionV>
                  <wp:extent cx="2517775" cy="203517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21592" name=""/>
                          <pic:cNvPicPr/>
                        </pic:nvPicPr>
                        <pic:blipFill>
                          <a:blip r:embed="rId19">
                            <a:extLst>
                              <a:ext uri="{28A0092B-C50C-407E-A947-70E740481C1C}">
                                <a14:useLocalDpi xmlns:a14="http://schemas.microsoft.com/office/drawing/2010/main" val="0"/>
                              </a:ext>
                            </a:extLst>
                          </a:blip>
                          <a:stretch>
                            <a:fillRect/>
                          </a:stretch>
                        </pic:blipFill>
                        <pic:spPr>
                          <a:xfrm>
                            <a:off x="0" y="0"/>
                            <a:ext cx="2517775" cy="2035175"/>
                          </a:xfrm>
                          <a:prstGeom prst="rect">
                            <a:avLst/>
                          </a:prstGeom>
                        </pic:spPr>
                      </pic:pic>
                    </a:graphicData>
                  </a:graphic>
                  <wp14:sizeRelH relativeFrom="margin">
                    <wp14:pctWidth>0</wp14:pctWidth>
                  </wp14:sizeRelH>
                  <wp14:sizeRelV relativeFrom="margin">
                    <wp14:pctHeight>0</wp14:pctHeight>
                  </wp14:sizeRelV>
                </wp:anchor>
              </w:drawing>
            </w:r>
          </w:p>
          <w:p w14:paraId="6300093D" w14:textId="77777777" w:rsidR="00831BC0" w:rsidRPr="00A510B3" w:rsidRDefault="00831BC0" w:rsidP="00855719">
            <w:pPr>
              <w:rPr>
                <w:color w:val="000000" w:themeColor="text1"/>
                <w:sz w:val="20"/>
              </w:rPr>
            </w:pPr>
          </w:p>
        </w:tc>
      </w:tr>
      <w:tr w:rsidR="005A28CF" w14:paraId="565062D8" w14:textId="77777777" w:rsidTr="14C87AD7">
        <w:trPr>
          <w:trHeight w:val="5439"/>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2F8C7B9C" w14:textId="77777777" w:rsidR="00831BC0" w:rsidRPr="00D90165" w:rsidRDefault="009C4EC4" w:rsidP="00855719">
            <w:pPr>
              <w:jc w:val="center"/>
              <w:rPr>
                <w:color w:val="000000" w:themeColor="text1"/>
                <w:szCs w:val="22"/>
              </w:rPr>
            </w:pPr>
            <w:r w:rsidRPr="00D90165">
              <w:br w:type="page"/>
            </w:r>
            <w:r w:rsidRPr="00D90165">
              <w:rPr>
                <w:b/>
                <w:color w:val="000000" w:themeColor="text1"/>
              </w:rPr>
              <w:t>Krok 6</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3B6EEED5" w14:textId="77777777" w:rsidR="00831BC0" w:rsidRPr="00D90165" w:rsidRDefault="009C4EC4" w:rsidP="00855719">
            <w:pPr>
              <w:rPr>
                <w:color w:val="000000" w:themeColor="text1"/>
                <w:szCs w:val="22"/>
              </w:rPr>
            </w:pPr>
            <w:r w:rsidRPr="00D90165">
              <w:rPr>
                <w:color w:val="000000" w:themeColor="text1"/>
              </w:rPr>
              <w:t>Sprawdzić dawkę leku w mililitrach (ml) zgodnie z zaleceniami lekarza. Znaleźć podziałkę, aby odczytać dawkę w mililitrach (ml) na tłoku, jak pokazano na rysunku po prawej stronie. W przedstawionej skali każda z linii odpowiada 0,1 ml. W przykładzie tym wykazano, że dawka wynosi 1 ml. Nie należy przyjmować dawki większej niż zalecana dawka dobowa.</w:t>
            </w:r>
          </w:p>
          <w:p w14:paraId="29CD2F15" w14:textId="77777777" w:rsidR="00831BC0" w:rsidRPr="00D90165" w:rsidRDefault="00831BC0" w:rsidP="00855719">
            <w:pPr>
              <w:rPr>
                <w:color w:val="000000" w:themeColor="text1"/>
                <w:szCs w:val="22"/>
                <w:lang w:val="en-GB"/>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3F93F9F7" w14:textId="77777777" w:rsidR="00831BC0" w:rsidRPr="00D90165" w:rsidRDefault="009C4EC4" w:rsidP="00855719">
            <w:r w:rsidRPr="00D90165">
              <w:rPr>
                <w:noProof/>
                <w:lang w:eastAsia="pl-PL"/>
              </w:rPr>
              <w:drawing>
                <wp:anchor distT="0" distB="0" distL="114300" distR="114300" simplePos="0" relativeHeight="251664384" behindDoc="0" locked="0" layoutInCell="1" allowOverlap="1" wp14:anchorId="63125AF3" wp14:editId="523806C0">
                  <wp:simplePos x="0" y="0"/>
                  <wp:positionH relativeFrom="column">
                    <wp:posOffset>-3810</wp:posOffset>
                  </wp:positionH>
                  <wp:positionV relativeFrom="paragraph">
                    <wp:posOffset>1270</wp:posOffset>
                  </wp:positionV>
                  <wp:extent cx="2584450" cy="2647315"/>
                  <wp:effectExtent l="0" t="0" r="6350" b="635"/>
                  <wp:wrapSquare wrapText="bothSides"/>
                  <wp:docPr id="4929038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39254" name="Picture 6"/>
                          <pic:cNvPicPr/>
                        </pic:nvPicPr>
                        <pic:blipFill>
                          <a:blip r:embed="rId20">
                            <a:extLst>
                              <a:ext uri="{28A0092B-C50C-407E-A947-70E740481C1C}">
                                <a14:useLocalDpi xmlns:a14="http://schemas.microsoft.com/office/drawing/2010/main" val="0"/>
                              </a:ext>
                            </a:extLst>
                          </a:blip>
                          <a:stretch>
                            <a:fillRect/>
                          </a:stretch>
                        </pic:blipFill>
                        <pic:spPr>
                          <a:xfrm>
                            <a:off x="0" y="0"/>
                            <a:ext cx="2584450" cy="2647315"/>
                          </a:xfrm>
                          <a:prstGeom prst="rect">
                            <a:avLst/>
                          </a:prstGeom>
                        </pic:spPr>
                      </pic:pic>
                    </a:graphicData>
                  </a:graphic>
                  <wp14:sizeRelH relativeFrom="margin">
                    <wp14:pctWidth>0</wp14:pctWidth>
                  </wp14:sizeRelH>
                  <wp14:sizeRelV relativeFrom="margin">
                    <wp14:pctHeight>0</wp14:pctHeight>
                  </wp14:sizeRelV>
                </wp:anchor>
              </w:drawing>
            </w:r>
          </w:p>
          <w:p w14:paraId="2AE9618F" w14:textId="77777777" w:rsidR="00831BC0" w:rsidRPr="00D90165" w:rsidRDefault="00831BC0" w:rsidP="00855719">
            <w:pPr>
              <w:rPr>
                <w:lang w:val="en-GB"/>
              </w:rPr>
            </w:pPr>
          </w:p>
        </w:tc>
      </w:tr>
      <w:tr w:rsidR="005A28CF" w14:paraId="7FC0066A"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64ECE5A3" w14:textId="77777777" w:rsidR="00831BC0" w:rsidRPr="00D90165" w:rsidRDefault="009C4EC4" w:rsidP="00855719">
            <w:pPr>
              <w:jc w:val="center"/>
              <w:rPr>
                <w:color w:val="000000" w:themeColor="text1"/>
                <w:szCs w:val="22"/>
              </w:rPr>
            </w:pPr>
            <w:r w:rsidRPr="00D90165">
              <w:rPr>
                <w:b/>
                <w:color w:val="000000" w:themeColor="text1"/>
              </w:rPr>
              <w:t>Krok 7</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6F329101" w14:textId="77777777" w:rsidR="00831BC0" w:rsidRPr="00D90165" w:rsidRDefault="009C4EC4" w:rsidP="00855719">
            <w:pPr>
              <w:rPr>
                <w:color w:val="000000" w:themeColor="text1"/>
                <w:szCs w:val="22"/>
              </w:rPr>
            </w:pPr>
            <w:r w:rsidRPr="00D90165">
              <w:rPr>
                <w:color w:val="000000" w:themeColor="text1"/>
              </w:rPr>
              <w:t>Odwrócić butelkę do góry i ostrożnie wyjąć strzykawkę doustną z butelki.</w:t>
            </w:r>
          </w:p>
          <w:p w14:paraId="01F1B7B2" w14:textId="77777777" w:rsidR="00831BC0" w:rsidRPr="00A510B3" w:rsidRDefault="00831BC0" w:rsidP="00855719">
            <w:pPr>
              <w:rPr>
                <w:color w:val="000000" w:themeColor="text1"/>
                <w:szCs w:val="22"/>
              </w:rPr>
            </w:pPr>
          </w:p>
          <w:p w14:paraId="3120E388" w14:textId="77777777" w:rsidR="00831BC0" w:rsidRPr="00D90165" w:rsidRDefault="009C4EC4" w:rsidP="00855719">
            <w:pPr>
              <w:rPr>
                <w:color w:val="000000" w:themeColor="text1"/>
                <w:szCs w:val="22"/>
              </w:rPr>
            </w:pPr>
            <w:r w:rsidRPr="00D90165">
              <w:rPr>
                <w:color w:val="000000" w:themeColor="text1"/>
              </w:rPr>
              <w:t>Nie trzymać strzykawki doustnej za tłok, ponieważ tłok może wypaść.</w:t>
            </w:r>
          </w:p>
          <w:p w14:paraId="55C5B744" w14:textId="77777777" w:rsidR="00831BC0" w:rsidRPr="00A510B3" w:rsidRDefault="00831BC0" w:rsidP="00855719">
            <w:pPr>
              <w:rPr>
                <w:color w:val="000000" w:themeColor="text1"/>
                <w:szCs w:val="22"/>
              </w:rPr>
            </w:pPr>
          </w:p>
          <w:p w14:paraId="1D149AE6" w14:textId="77777777" w:rsidR="00831BC0" w:rsidRPr="00D90165" w:rsidRDefault="009C4EC4" w:rsidP="00855719">
            <w:pPr>
              <w:rPr>
                <w:color w:val="000000" w:themeColor="text1"/>
                <w:szCs w:val="22"/>
              </w:rPr>
            </w:pPr>
            <w:r w:rsidRPr="00D90165">
              <w:rPr>
                <w:color w:val="000000" w:themeColor="text1"/>
              </w:rPr>
              <w:t xml:space="preserve">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3A873250" w14:textId="77777777" w:rsidR="00831BC0" w:rsidRPr="00A510B3" w:rsidRDefault="00831BC0" w:rsidP="00855719">
            <w:pPr>
              <w:rPr>
                <w:color w:val="000000" w:themeColor="text1"/>
                <w:sz w:val="20"/>
              </w:rPr>
            </w:pPr>
          </w:p>
          <w:p w14:paraId="6FA1E8D9" w14:textId="77777777" w:rsidR="00831BC0" w:rsidRPr="00D90165" w:rsidRDefault="009C4EC4" w:rsidP="00855719">
            <w:pPr>
              <w:rPr>
                <w:color w:val="000000" w:themeColor="text1"/>
                <w:sz w:val="20"/>
              </w:rPr>
            </w:pPr>
            <w:r w:rsidRPr="00D90165">
              <w:rPr>
                <w:noProof/>
                <w:lang w:eastAsia="pl-PL"/>
              </w:rPr>
              <w:drawing>
                <wp:anchor distT="0" distB="0" distL="114300" distR="114300" simplePos="0" relativeHeight="251660288" behindDoc="0" locked="0" layoutInCell="1" allowOverlap="1" wp14:anchorId="4A67D1DC" wp14:editId="0BEAC429">
                  <wp:simplePos x="0" y="0"/>
                  <wp:positionH relativeFrom="column">
                    <wp:posOffset>-3810</wp:posOffset>
                  </wp:positionH>
                  <wp:positionV relativeFrom="paragraph">
                    <wp:posOffset>1905</wp:posOffset>
                  </wp:positionV>
                  <wp:extent cx="1868170" cy="20116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73514" name=""/>
                          <pic:cNvPicPr/>
                        </pic:nvPicPr>
                        <pic:blipFill>
                          <a:blip r:embed="rId21">
                            <a:extLst>
                              <a:ext uri="{28A0092B-C50C-407E-A947-70E740481C1C}">
                                <a14:useLocalDpi xmlns:a14="http://schemas.microsoft.com/office/drawing/2010/main" val="0"/>
                              </a:ext>
                            </a:extLst>
                          </a:blip>
                          <a:stretch>
                            <a:fillRect/>
                          </a:stretch>
                        </pic:blipFill>
                        <pic:spPr>
                          <a:xfrm>
                            <a:off x="0" y="0"/>
                            <a:ext cx="1868170" cy="2011680"/>
                          </a:xfrm>
                          <a:prstGeom prst="rect">
                            <a:avLst/>
                          </a:prstGeom>
                        </pic:spPr>
                      </pic:pic>
                    </a:graphicData>
                  </a:graphic>
                  <wp14:sizeRelH relativeFrom="margin">
                    <wp14:pctWidth>0</wp14:pctWidth>
                  </wp14:sizeRelH>
                  <wp14:sizeRelV relativeFrom="margin">
                    <wp14:pctHeight>0</wp14:pctHeight>
                  </wp14:sizeRelV>
                </wp:anchor>
              </w:drawing>
            </w:r>
          </w:p>
          <w:p w14:paraId="316EB91B" w14:textId="77777777" w:rsidR="00831BC0" w:rsidRPr="00A510B3" w:rsidRDefault="00831BC0" w:rsidP="00855719">
            <w:pPr>
              <w:rPr>
                <w:color w:val="000000" w:themeColor="text1"/>
                <w:sz w:val="20"/>
              </w:rPr>
            </w:pPr>
          </w:p>
        </w:tc>
      </w:tr>
      <w:tr w:rsidR="005A28CF" w14:paraId="70FFB497"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04C306E6" w14:textId="77777777" w:rsidR="00831BC0" w:rsidRPr="00A510B3"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48EC58BB" w14:textId="77777777" w:rsidR="00831BC0" w:rsidRPr="00D90165" w:rsidRDefault="009C4EC4" w:rsidP="0056402B">
            <w:pPr>
              <w:keepNext/>
              <w:rPr>
                <w:color w:val="000000" w:themeColor="text1"/>
                <w:szCs w:val="22"/>
              </w:rPr>
            </w:pPr>
            <w:r w:rsidRPr="00D90165">
              <w:rPr>
                <w:b/>
                <w:color w:val="000000" w:themeColor="text1"/>
              </w:rPr>
              <w:t>Podawanie leku AGAMREE</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2E14DA19" w14:textId="77777777" w:rsidR="00831BC0" w:rsidRPr="00D90165" w:rsidRDefault="00831BC0" w:rsidP="00855719">
            <w:pPr>
              <w:rPr>
                <w:szCs w:val="22"/>
                <w:lang w:val="en-GB"/>
              </w:rPr>
            </w:pPr>
          </w:p>
        </w:tc>
      </w:tr>
      <w:tr w:rsidR="005A28CF" w14:paraId="260065F7"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CBFF7F3" w14:textId="77777777" w:rsidR="00831BC0" w:rsidRPr="00D90165" w:rsidRDefault="009C4EC4" w:rsidP="00855719">
            <w:pPr>
              <w:jc w:val="center"/>
              <w:rPr>
                <w:color w:val="000000" w:themeColor="text1"/>
                <w:szCs w:val="22"/>
              </w:rPr>
            </w:pPr>
            <w:r w:rsidRPr="00D90165">
              <w:rPr>
                <w:b/>
                <w:color w:val="000000" w:themeColor="text1"/>
              </w:rPr>
              <w:t>Krok 8</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0B97D8C2" w14:textId="77777777" w:rsidR="00831BC0" w:rsidRPr="00D90165" w:rsidRDefault="009C4EC4" w:rsidP="00855719">
            <w:pPr>
              <w:rPr>
                <w:color w:val="000000" w:themeColor="text1"/>
                <w:szCs w:val="22"/>
              </w:rPr>
            </w:pPr>
            <w:r w:rsidRPr="00D90165">
              <w:rPr>
                <w:color w:val="000000" w:themeColor="text1"/>
              </w:rPr>
              <w:t>Nie mieszać leku z żadnym płynem przed podaniem.</w:t>
            </w:r>
          </w:p>
          <w:p w14:paraId="5B6335C9" w14:textId="77777777" w:rsidR="00831BC0" w:rsidRPr="00D90165" w:rsidRDefault="009C4EC4" w:rsidP="00855719">
            <w:pPr>
              <w:rPr>
                <w:color w:val="000000" w:themeColor="text1"/>
                <w:szCs w:val="22"/>
              </w:rPr>
            </w:pPr>
            <w:r w:rsidRPr="00D90165">
              <w:rPr>
                <w:color w:val="000000" w:themeColor="text1"/>
              </w:rPr>
              <w:t>Podczas przyjmowania leku pacjent musi siedzieć pionowo.</w:t>
            </w:r>
          </w:p>
          <w:p w14:paraId="0813396A" w14:textId="77777777" w:rsidR="00831BC0" w:rsidRPr="00D90165" w:rsidRDefault="009C4EC4" w:rsidP="00855719">
            <w:pPr>
              <w:rPr>
                <w:color w:val="000000" w:themeColor="text1"/>
                <w:szCs w:val="22"/>
              </w:rPr>
            </w:pPr>
            <w:r w:rsidRPr="00D90165">
              <w:rPr>
                <w:color w:val="000000" w:themeColor="text1"/>
              </w:rPr>
              <w:t xml:space="preserve">Wycisnąć zawartość strzykawki bezpośrednio do ust. </w:t>
            </w:r>
          </w:p>
          <w:p w14:paraId="648E3F5E" w14:textId="77777777" w:rsidR="00831BC0" w:rsidRPr="00A510B3" w:rsidRDefault="00831BC0" w:rsidP="00855719">
            <w:pPr>
              <w:rPr>
                <w:color w:val="000000" w:themeColor="text1"/>
                <w:szCs w:val="22"/>
              </w:rPr>
            </w:pPr>
          </w:p>
          <w:p w14:paraId="4021EB44" w14:textId="77777777" w:rsidR="00831BC0" w:rsidRPr="00D90165" w:rsidRDefault="009C4EC4" w:rsidP="00855719">
            <w:pPr>
              <w:rPr>
                <w:color w:val="000000" w:themeColor="text1"/>
                <w:szCs w:val="22"/>
              </w:rPr>
            </w:pPr>
            <w:r w:rsidRPr="00D90165">
              <w:rPr>
                <w:color w:val="000000" w:themeColor="text1"/>
              </w:rPr>
              <w:t>Delikatnie nacisnąć tłok, aby opróżnić strzykawkę. Nie naciskać tłoka na siłę.</w:t>
            </w:r>
          </w:p>
          <w:p w14:paraId="704B5BAE" w14:textId="77777777" w:rsidR="00831BC0" w:rsidRPr="00D90165" w:rsidRDefault="009C4EC4" w:rsidP="00855719">
            <w:pPr>
              <w:rPr>
                <w:szCs w:val="22"/>
              </w:rPr>
            </w:pPr>
            <w:r w:rsidRPr="00D90165">
              <w:t>Aby uniknąć ryzyka zakrztuszenia, nie należy podawać leku do tylnej części jamy ustnej lub gardła.</w:t>
            </w:r>
          </w:p>
          <w:p w14:paraId="16090319" w14:textId="77777777" w:rsidR="00831BC0" w:rsidRPr="00D90165" w:rsidRDefault="009C4EC4" w:rsidP="00855719">
            <w:pPr>
              <w:rPr>
                <w:color w:val="000000" w:themeColor="text1"/>
                <w:szCs w:val="22"/>
              </w:rPr>
            </w:pPr>
            <w:r w:rsidRPr="00D90165">
              <w:br/>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72C8844F" w14:textId="77777777" w:rsidR="006C0DFA" w:rsidRPr="00A510B3" w:rsidRDefault="006C0DFA" w:rsidP="00855719"/>
          <w:p w14:paraId="1188CDAD" w14:textId="77777777" w:rsidR="006C0DFA" w:rsidRPr="00A510B3" w:rsidRDefault="006C0DFA" w:rsidP="00855719"/>
          <w:p w14:paraId="48472CCE" w14:textId="77777777" w:rsidR="006C0DFA" w:rsidRPr="00A510B3" w:rsidRDefault="006C0DFA" w:rsidP="00855719"/>
          <w:p w14:paraId="6D8EB532" w14:textId="77777777" w:rsidR="006C0DFA" w:rsidRPr="00A510B3" w:rsidRDefault="006C0DFA" w:rsidP="00855719"/>
          <w:p w14:paraId="16CA419E" w14:textId="77777777" w:rsidR="006C0DFA" w:rsidRPr="00A510B3" w:rsidRDefault="006C0DFA" w:rsidP="00855719"/>
          <w:p w14:paraId="68440703" w14:textId="77777777" w:rsidR="006C0DFA" w:rsidRPr="00A510B3" w:rsidRDefault="006C0DFA" w:rsidP="00855719"/>
          <w:p w14:paraId="14CDFC46" w14:textId="77777777" w:rsidR="006C0DFA" w:rsidRPr="00A510B3" w:rsidRDefault="006C0DFA" w:rsidP="00855719"/>
          <w:p w14:paraId="3D53B869" w14:textId="77777777" w:rsidR="006C0DFA" w:rsidRPr="00A510B3" w:rsidRDefault="006C0DFA" w:rsidP="00855719"/>
          <w:p w14:paraId="4FD669B6" w14:textId="77777777" w:rsidR="00831BC0" w:rsidRPr="00D90165" w:rsidRDefault="009C4EC4" w:rsidP="00855719">
            <w:r w:rsidRPr="00D90165">
              <w:rPr>
                <w:noProof/>
                <w:lang w:eastAsia="pl-PL"/>
              </w:rPr>
              <w:drawing>
                <wp:inline distT="0" distB="0" distL="0" distR="0" wp14:anchorId="48740733" wp14:editId="3F341985">
                  <wp:extent cx="1543050" cy="1371600"/>
                  <wp:effectExtent l="0" t="0" r="0" b="0"/>
                  <wp:docPr id="1286861582" name="Picture 128686158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17517"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43050" cy="1371600"/>
                          </a:xfrm>
                          <a:prstGeom prst="rect">
                            <a:avLst/>
                          </a:prstGeom>
                        </pic:spPr>
                      </pic:pic>
                    </a:graphicData>
                  </a:graphic>
                </wp:inline>
              </w:drawing>
            </w:r>
          </w:p>
          <w:p w14:paraId="6FA25596" w14:textId="77777777" w:rsidR="00831BC0" w:rsidRPr="00D90165" w:rsidRDefault="00831BC0" w:rsidP="00855719">
            <w:pPr>
              <w:rPr>
                <w:lang w:val="en-GB"/>
              </w:rPr>
            </w:pPr>
          </w:p>
          <w:p w14:paraId="41BA5FF7" w14:textId="77777777" w:rsidR="00831BC0" w:rsidRPr="00D90165" w:rsidRDefault="009C4EC4" w:rsidP="00855719">
            <w:pPr>
              <w:rPr>
                <w:szCs w:val="22"/>
              </w:rPr>
            </w:pPr>
            <w:r w:rsidRPr="00D90165">
              <w:t xml:space="preserve"> </w:t>
            </w:r>
          </w:p>
        </w:tc>
      </w:tr>
      <w:tr w:rsidR="005A28CF" w14:paraId="35FD5655"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78548965" w14:textId="77777777" w:rsidR="00831BC0" w:rsidRPr="00D90165" w:rsidRDefault="00831BC0" w:rsidP="0056402B">
            <w:pPr>
              <w:keepNext/>
              <w:jc w:val="center"/>
              <w:rPr>
                <w:color w:val="000000" w:themeColor="text1"/>
                <w:szCs w:val="22"/>
                <w:lang w:val="en-GB"/>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5E27F1A2" w14:textId="77777777" w:rsidR="00831BC0" w:rsidRPr="00D90165" w:rsidRDefault="009C4EC4" w:rsidP="0056402B">
            <w:pPr>
              <w:keepNext/>
              <w:rPr>
                <w:color w:val="000000" w:themeColor="text1"/>
                <w:szCs w:val="22"/>
              </w:rPr>
            </w:pPr>
            <w:r w:rsidRPr="00D90165">
              <w:rPr>
                <w:b/>
                <w:color w:val="000000" w:themeColor="text1"/>
              </w:rPr>
              <w:t>Po podaniu leku AGAMREE</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3D6DBD20" w14:textId="77777777" w:rsidR="00831BC0" w:rsidRPr="00D90165" w:rsidRDefault="00831BC0" w:rsidP="00855719">
            <w:pPr>
              <w:rPr>
                <w:szCs w:val="22"/>
                <w:lang w:val="en-GB"/>
              </w:rPr>
            </w:pPr>
          </w:p>
        </w:tc>
      </w:tr>
      <w:tr w:rsidR="005A28CF" w14:paraId="1C506E5A"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52E5CF52" w14:textId="77777777" w:rsidR="00831BC0" w:rsidRPr="00D90165" w:rsidRDefault="009C4EC4" w:rsidP="00855719">
            <w:pPr>
              <w:jc w:val="center"/>
              <w:rPr>
                <w:color w:val="000000" w:themeColor="text1"/>
                <w:szCs w:val="22"/>
              </w:rPr>
            </w:pPr>
            <w:r w:rsidRPr="00D90165">
              <w:rPr>
                <w:b/>
                <w:color w:val="000000" w:themeColor="text1"/>
              </w:rPr>
              <w:t>Krok 9</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554F71D3" w14:textId="77777777" w:rsidR="00831BC0" w:rsidRPr="00D90165" w:rsidRDefault="009C4EC4" w:rsidP="00855719">
            <w:pPr>
              <w:rPr>
                <w:color w:val="000000" w:themeColor="text1"/>
                <w:szCs w:val="22"/>
              </w:rPr>
            </w:pPr>
            <w:r w:rsidRPr="00D90165">
              <w:rPr>
                <w:color w:val="000000" w:themeColor="text1"/>
              </w:rPr>
              <w:t>Po każdym użyciu zamknąć butelkę nakrętką zabezpieczającą przed otwarciem przez dzieci.</w:t>
            </w:r>
          </w:p>
          <w:p w14:paraId="63CEA137" w14:textId="77777777" w:rsidR="00831BC0" w:rsidRPr="00A510B3"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090B9499" w14:textId="77777777" w:rsidR="00831BC0" w:rsidRPr="00A510B3" w:rsidRDefault="00831BC0" w:rsidP="00855719">
            <w:pPr>
              <w:rPr>
                <w:szCs w:val="22"/>
              </w:rPr>
            </w:pPr>
          </w:p>
        </w:tc>
      </w:tr>
      <w:tr w:rsidR="005A28CF" w14:paraId="2EBAF04B"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54A63215" w14:textId="77777777" w:rsidR="00831BC0" w:rsidRPr="00D90165" w:rsidRDefault="009C4EC4" w:rsidP="00855719">
            <w:pPr>
              <w:jc w:val="center"/>
              <w:rPr>
                <w:color w:val="000000" w:themeColor="text1"/>
                <w:szCs w:val="22"/>
              </w:rPr>
            </w:pPr>
            <w:r w:rsidRPr="00D90165">
              <w:rPr>
                <w:b/>
                <w:color w:val="000000" w:themeColor="text1"/>
              </w:rPr>
              <w:t>Krok 10</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06DC4319" w14:textId="77777777" w:rsidR="00831BC0" w:rsidRPr="00D90165" w:rsidRDefault="009C4EC4" w:rsidP="00855719">
            <w:pPr>
              <w:spacing w:before="100" w:beforeAutospacing="1" w:after="100" w:afterAutospacing="1"/>
              <w:rPr>
                <w:color w:val="000000" w:themeColor="text1"/>
                <w:szCs w:val="22"/>
              </w:rPr>
            </w:pPr>
            <w:r w:rsidRPr="00D90165">
              <w:rPr>
                <w:color w:val="000000" w:themeColor="text1"/>
              </w:rPr>
              <w:t>Rozmontować strzykawkę doustną, przepłukać pod bieżącą zimną wodą i wysuszyć na powietrzu przed kolejnym użyciem.</w:t>
            </w:r>
          </w:p>
          <w:p w14:paraId="4B06C609" w14:textId="77777777" w:rsidR="00831BC0" w:rsidRPr="00D90165" w:rsidRDefault="009C4EC4" w:rsidP="00855719">
            <w:pPr>
              <w:rPr>
                <w:color w:val="000000" w:themeColor="text1"/>
                <w:szCs w:val="22"/>
              </w:rPr>
            </w:pPr>
            <w:r w:rsidRPr="00D90165">
              <w:rPr>
                <w:color w:val="000000" w:themeColor="text1"/>
              </w:rPr>
              <w:t>Każda strzykawka doustna dostarczana wraz z lekiem AGAMREE może być używana przez maksymalnie 45 dni.</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5DE82AB3" w14:textId="77777777" w:rsidR="00831BC0" w:rsidRPr="00A510B3" w:rsidRDefault="00831BC0" w:rsidP="00855719">
            <w:pPr>
              <w:rPr>
                <w:szCs w:val="22"/>
              </w:rPr>
            </w:pPr>
          </w:p>
        </w:tc>
      </w:tr>
    </w:tbl>
    <w:p w14:paraId="54A129DD" w14:textId="77777777" w:rsidR="006550C7" w:rsidRDefault="006550C7" w:rsidP="00855719">
      <w:pPr>
        <w:tabs>
          <w:tab w:val="clear" w:pos="567"/>
        </w:tabs>
        <w:spacing w:line="240" w:lineRule="auto"/>
        <w:ind w:right="-2"/>
      </w:pPr>
    </w:p>
    <w:p w14:paraId="777172CE" w14:textId="77777777" w:rsidR="00D86F82" w:rsidRDefault="00D86F82" w:rsidP="00D86F82">
      <w:pPr>
        <w:keepNext/>
        <w:keepLines/>
        <w:numPr>
          <w:ilvl w:val="12"/>
          <w:numId w:val="0"/>
        </w:numPr>
        <w:tabs>
          <w:tab w:val="clear" w:pos="567"/>
        </w:tabs>
        <w:spacing w:line="240" w:lineRule="auto"/>
        <w:rPr>
          <w:b/>
          <w:bCs/>
          <w:noProof/>
          <w:szCs w:val="22"/>
        </w:rPr>
      </w:pPr>
      <w:r>
        <w:rPr>
          <w:b/>
        </w:rPr>
        <w:t>Zgłębnik dojelitowy</w:t>
      </w:r>
    </w:p>
    <w:p w14:paraId="564E40DF" w14:textId="77777777" w:rsidR="00D86F82" w:rsidRDefault="00D86F82" w:rsidP="00D86F82">
      <w:pPr>
        <w:rPr>
          <w:noProof/>
        </w:rPr>
      </w:pPr>
      <w:r>
        <w:t>Lek AGAMREE może być podawany przez zgłębnik dojelitowy, zgodnie z instrukcjami zawartymi w zestawie zgłębnika dojelitowego. Należy stosować zwykle zalecaną dawkę leku AGAMREE. Nie jest wymagane rozcieńczenie. Nie mieszać z preparatem do karmienia ani innymi produktami. Przed i po podaniu leku AGAMREE należy przepłukać zgłębnik za pomocą strzykawki dostarczonej w zestawie zgłębnika dojelitowego. Do przepłukania zgłębnika należy użyć co najmniej 20 ml wody.</w:t>
      </w:r>
    </w:p>
    <w:p w14:paraId="71784395" w14:textId="77777777" w:rsidR="00D86F82" w:rsidRPr="00D90165" w:rsidRDefault="00D86F82" w:rsidP="00855719">
      <w:pPr>
        <w:tabs>
          <w:tab w:val="clear" w:pos="567"/>
        </w:tabs>
        <w:spacing w:line="240" w:lineRule="auto"/>
        <w:ind w:right="-2"/>
      </w:pPr>
    </w:p>
    <w:p w14:paraId="45CFDB1A" w14:textId="77777777" w:rsidR="00582199" w:rsidRPr="00D90165" w:rsidRDefault="009C4EC4" w:rsidP="0056402B">
      <w:pPr>
        <w:keepNext/>
        <w:numPr>
          <w:ilvl w:val="12"/>
          <w:numId w:val="0"/>
        </w:numPr>
        <w:tabs>
          <w:tab w:val="clear" w:pos="567"/>
        </w:tabs>
        <w:spacing w:line="240" w:lineRule="auto"/>
        <w:rPr>
          <w:b/>
          <w:bCs/>
          <w:noProof/>
          <w:szCs w:val="22"/>
        </w:rPr>
      </w:pPr>
      <w:r w:rsidRPr="00D90165">
        <w:rPr>
          <w:b/>
        </w:rPr>
        <w:t>Przyjęcie większej niż zalecana dawki leku AGAMREE</w:t>
      </w:r>
    </w:p>
    <w:p w14:paraId="521549CA" w14:textId="77777777" w:rsidR="00546970" w:rsidRPr="00D90165" w:rsidRDefault="009C4EC4" w:rsidP="00855719">
      <w:pPr>
        <w:tabs>
          <w:tab w:val="clear" w:pos="567"/>
        </w:tabs>
        <w:spacing w:line="240" w:lineRule="auto"/>
      </w:pPr>
      <w:r w:rsidRPr="00D90165">
        <w:t>W przypadku przyjęcia zbyt dużej ilości leku AGAMREE należy skontaktować się z lekarzem lub szpitalem w celu uzyskania porady. Pokazać opakowanie leku AGAMREE i tę ulotkę. Konieczne może być zastosowanie leczenia.</w:t>
      </w:r>
    </w:p>
    <w:p w14:paraId="15BC9FF4" w14:textId="77777777" w:rsidR="00546970" w:rsidRPr="00D90165" w:rsidRDefault="00546970" w:rsidP="00855719">
      <w:pPr>
        <w:numPr>
          <w:ilvl w:val="12"/>
          <w:numId w:val="0"/>
        </w:numPr>
        <w:tabs>
          <w:tab w:val="clear" w:pos="567"/>
        </w:tabs>
        <w:spacing w:line="240" w:lineRule="auto"/>
        <w:ind w:right="-2"/>
        <w:rPr>
          <w:noProof/>
          <w:szCs w:val="22"/>
        </w:rPr>
      </w:pPr>
    </w:p>
    <w:p w14:paraId="005117C1" w14:textId="77777777" w:rsidR="00582199" w:rsidRPr="00D90165" w:rsidRDefault="009C4EC4" w:rsidP="0056402B">
      <w:pPr>
        <w:keepNext/>
        <w:tabs>
          <w:tab w:val="clear" w:pos="567"/>
        </w:tabs>
        <w:autoSpaceDE w:val="0"/>
        <w:autoSpaceDN w:val="0"/>
        <w:adjustRightInd w:val="0"/>
        <w:spacing w:line="240" w:lineRule="auto"/>
        <w:rPr>
          <w:rFonts w:eastAsia="SimSun"/>
          <w:b/>
          <w:bCs/>
        </w:rPr>
      </w:pPr>
      <w:r w:rsidRPr="00D90165">
        <w:rPr>
          <w:b/>
        </w:rPr>
        <w:t>Pominięcie przyjęcia leku AGAMREE</w:t>
      </w:r>
    </w:p>
    <w:p w14:paraId="4208FEDC" w14:textId="77777777" w:rsidR="00801FE8" w:rsidRPr="00D90165" w:rsidRDefault="009C4EC4" w:rsidP="00855719">
      <w:pPr>
        <w:tabs>
          <w:tab w:val="clear" w:pos="567"/>
        </w:tabs>
        <w:spacing w:line="240" w:lineRule="auto"/>
      </w:pPr>
      <w:r w:rsidRPr="00D90165">
        <w:t>Nie przyjmować większej ilości leku AGAMREE i nie powtarzać dawki.</w:t>
      </w:r>
    </w:p>
    <w:p w14:paraId="6E261D28" w14:textId="77777777" w:rsidR="00801FE8" w:rsidRPr="00D90165" w:rsidRDefault="009C4EC4" w:rsidP="00855719">
      <w:pPr>
        <w:tabs>
          <w:tab w:val="clear" w:pos="567"/>
        </w:tabs>
        <w:spacing w:line="240" w:lineRule="auto"/>
      </w:pPr>
      <w:r w:rsidRPr="00D90165">
        <w:t>Następną dawkę przyjąć o zwykłej porze.</w:t>
      </w:r>
    </w:p>
    <w:p w14:paraId="47396A96" w14:textId="77777777" w:rsidR="006550C7" w:rsidRPr="00D90165" w:rsidRDefault="009C4EC4" w:rsidP="00855719">
      <w:pPr>
        <w:tabs>
          <w:tab w:val="clear" w:pos="567"/>
        </w:tabs>
        <w:spacing w:line="240" w:lineRule="auto"/>
      </w:pPr>
      <w:r w:rsidRPr="00D90165">
        <w:t>W razie jakichkolwiek obaw należy zwrócić się do fachowego personelu medycznego.</w:t>
      </w:r>
    </w:p>
    <w:p w14:paraId="00BADB6E" w14:textId="77777777" w:rsidR="00CD573A" w:rsidRPr="00D90165" w:rsidRDefault="00CD573A" w:rsidP="00855719">
      <w:pPr>
        <w:tabs>
          <w:tab w:val="clear" w:pos="567"/>
        </w:tabs>
        <w:spacing w:line="240" w:lineRule="auto"/>
        <w:ind w:right="-2"/>
      </w:pPr>
    </w:p>
    <w:p w14:paraId="1B80C3C2" w14:textId="77777777" w:rsidR="00582199" w:rsidRPr="00D90165" w:rsidRDefault="009C4EC4" w:rsidP="0056402B">
      <w:pPr>
        <w:keepNext/>
        <w:numPr>
          <w:ilvl w:val="12"/>
          <w:numId w:val="0"/>
        </w:numPr>
        <w:tabs>
          <w:tab w:val="clear" w:pos="567"/>
        </w:tabs>
        <w:spacing w:line="240" w:lineRule="auto"/>
        <w:rPr>
          <w:b/>
          <w:bCs/>
          <w:noProof/>
          <w:szCs w:val="22"/>
        </w:rPr>
      </w:pPr>
      <w:r w:rsidRPr="00D90165">
        <w:rPr>
          <w:b/>
        </w:rPr>
        <w:t>Przerwanie przyjmowania leku AGAMREE</w:t>
      </w:r>
    </w:p>
    <w:p w14:paraId="35E2B72E" w14:textId="77777777" w:rsidR="00DB7750" w:rsidRPr="00D90165" w:rsidRDefault="009C4EC4" w:rsidP="00855719">
      <w:pPr>
        <w:tabs>
          <w:tab w:val="clear" w:pos="567"/>
        </w:tabs>
        <w:spacing w:line="240" w:lineRule="auto"/>
      </w:pPr>
      <w:r w:rsidRPr="00D90165">
        <w:t>Lek AGAMREE należy stosować tak długo, jak zaleci to lekarz. Przed przerwaniem stosowania leku AGAMREE należy omówić to z lekarzem, ponieważ dawkę leku należy stopniowo zmniejszać, aby uniknąć działań niepożądanych.</w:t>
      </w:r>
    </w:p>
    <w:p w14:paraId="559A2C8D" w14:textId="77777777" w:rsidR="00193A3D" w:rsidRPr="00D90165" w:rsidRDefault="00193A3D" w:rsidP="00855719">
      <w:pPr>
        <w:tabs>
          <w:tab w:val="clear" w:pos="567"/>
        </w:tabs>
        <w:spacing w:line="240" w:lineRule="auto"/>
        <w:ind w:right="-2"/>
      </w:pPr>
    </w:p>
    <w:p w14:paraId="16ABEE4C" w14:textId="77777777" w:rsidR="00193A3D" w:rsidRPr="00D90165" w:rsidRDefault="009C4EC4" w:rsidP="00855719">
      <w:pPr>
        <w:tabs>
          <w:tab w:val="clear" w:pos="567"/>
        </w:tabs>
        <w:spacing w:line="240" w:lineRule="auto"/>
        <w:ind w:right="-2"/>
      </w:pPr>
      <w:r w:rsidRPr="00D90165">
        <w:t>W razie jakichkolwiek dalszych wątpliwości związanych ze stosowaniem tego leku należy zwrócić się do lekarza lub farmaceuty.</w:t>
      </w:r>
    </w:p>
    <w:p w14:paraId="5CE1A19D" w14:textId="77777777" w:rsidR="009B6496" w:rsidRPr="00D90165" w:rsidRDefault="009B6496" w:rsidP="00855719">
      <w:pPr>
        <w:numPr>
          <w:ilvl w:val="12"/>
          <w:numId w:val="0"/>
        </w:numPr>
        <w:tabs>
          <w:tab w:val="clear" w:pos="567"/>
        </w:tabs>
        <w:spacing w:line="240" w:lineRule="auto"/>
      </w:pPr>
    </w:p>
    <w:p w14:paraId="5701F33A" w14:textId="77777777" w:rsidR="009B6496" w:rsidRPr="00D90165" w:rsidRDefault="009B6496" w:rsidP="00855719">
      <w:pPr>
        <w:numPr>
          <w:ilvl w:val="12"/>
          <w:numId w:val="0"/>
        </w:numPr>
        <w:tabs>
          <w:tab w:val="clear" w:pos="567"/>
        </w:tabs>
        <w:spacing w:line="240" w:lineRule="auto"/>
      </w:pPr>
    </w:p>
    <w:p w14:paraId="00DCE731" w14:textId="77777777" w:rsidR="009B6496" w:rsidRPr="00D90165" w:rsidRDefault="009C4EC4" w:rsidP="0056402B">
      <w:pPr>
        <w:keepNext/>
        <w:numPr>
          <w:ilvl w:val="12"/>
          <w:numId w:val="0"/>
        </w:numPr>
        <w:tabs>
          <w:tab w:val="clear" w:pos="567"/>
        </w:tabs>
        <w:spacing w:line="240" w:lineRule="auto"/>
        <w:ind w:left="567" w:right="-2" w:hanging="567"/>
      </w:pPr>
      <w:r w:rsidRPr="00D90165">
        <w:rPr>
          <w:rStyle w:val="DNEx2"/>
        </w:rPr>
        <w:lastRenderedPageBreak/>
        <w:t>4.</w:t>
      </w:r>
      <w:r w:rsidRPr="00D90165">
        <w:rPr>
          <w:rStyle w:val="DNEx2"/>
        </w:rPr>
        <w:tab/>
      </w:r>
      <w:r w:rsidRPr="00D90165">
        <w:rPr>
          <w:b/>
        </w:rPr>
        <w:t>Możliwe działania niepożądane</w:t>
      </w:r>
    </w:p>
    <w:p w14:paraId="359E0497" w14:textId="77777777" w:rsidR="009B6496" w:rsidRPr="00D90165" w:rsidRDefault="009B6496" w:rsidP="0056402B">
      <w:pPr>
        <w:keepNext/>
        <w:numPr>
          <w:ilvl w:val="12"/>
          <w:numId w:val="0"/>
        </w:numPr>
        <w:tabs>
          <w:tab w:val="clear" w:pos="567"/>
        </w:tabs>
        <w:spacing w:line="240" w:lineRule="auto"/>
      </w:pPr>
    </w:p>
    <w:p w14:paraId="0A22DAC5" w14:textId="77777777" w:rsidR="009B6496" w:rsidRPr="00D90165" w:rsidRDefault="009C4EC4" w:rsidP="00855719">
      <w:pPr>
        <w:tabs>
          <w:tab w:val="clear" w:pos="567"/>
        </w:tabs>
        <w:spacing w:line="240" w:lineRule="auto"/>
        <w:ind w:right="-29"/>
      </w:pPr>
      <w:r w:rsidRPr="00D90165">
        <w:t>Jak każdy lek, lek ten może powodować działania niepożądane, chociaż nie u każdego one wystąpią.</w:t>
      </w:r>
    </w:p>
    <w:p w14:paraId="762F6233" w14:textId="77777777" w:rsidR="009B6496" w:rsidRPr="00D90165" w:rsidRDefault="009B6496" w:rsidP="00855719">
      <w:pPr>
        <w:numPr>
          <w:ilvl w:val="12"/>
          <w:numId w:val="0"/>
        </w:numPr>
        <w:tabs>
          <w:tab w:val="clear" w:pos="567"/>
        </w:tabs>
        <w:spacing w:line="240" w:lineRule="auto"/>
        <w:ind w:right="-29"/>
        <w:rPr>
          <w:noProof/>
          <w:szCs w:val="22"/>
        </w:rPr>
      </w:pPr>
    </w:p>
    <w:p w14:paraId="12D725EE" w14:textId="77777777" w:rsidR="000770E2" w:rsidRPr="00D90165" w:rsidRDefault="009C4EC4" w:rsidP="00855719">
      <w:pPr>
        <w:tabs>
          <w:tab w:val="clear" w:pos="567"/>
        </w:tabs>
        <w:spacing w:line="240" w:lineRule="auto"/>
        <w:ind w:right="-29"/>
        <w:rPr>
          <w:noProof/>
        </w:rPr>
      </w:pPr>
      <w:r w:rsidRPr="00D90165">
        <w:t>Stosowanie leku AGAMREE prowadzi do niewydolności nadnerczy. Przed rozpoczęciem stosowania leku AGAMREE należy omówić to z lekarzem (więcej informacji znajduje się w punkcie 2).</w:t>
      </w:r>
    </w:p>
    <w:p w14:paraId="62D6E869" w14:textId="77777777" w:rsidR="1DD6F544" w:rsidRPr="00D90165" w:rsidRDefault="1DD6F544" w:rsidP="00855719">
      <w:pPr>
        <w:tabs>
          <w:tab w:val="clear" w:pos="567"/>
        </w:tabs>
        <w:spacing w:line="240" w:lineRule="auto"/>
        <w:ind w:right="-29"/>
        <w:rPr>
          <w:noProof/>
        </w:rPr>
      </w:pPr>
    </w:p>
    <w:p w14:paraId="699EF2E3" w14:textId="77777777" w:rsidR="000770E2" w:rsidRPr="00D90165" w:rsidRDefault="009C4EC4" w:rsidP="0056402B">
      <w:pPr>
        <w:keepNext/>
        <w:numPr>
          <w:ilvl w:val="12"/>
          <w:numId w:val="0"/>
        </w:numPr>
        <w:tabs>
          <w:tab w:val="clear" w:pos="567"/>
        </w:tabs>
        <w:spacing w:line="240" w:lineRule="auto"/>
        <w:ind w:right="-29"/>
        <w:rPr>
          <w:noProof/>
          <w:szCs w:val="22"/>
        </w:rPr>
      </w:pPr>
      <w:r w:rsidRPr="00D90165">
        <w:t>W związku ze stosowaniem leku AGAMREE zgłaszano następujące działania niepożądane występujące bardzo często (mogą wystąpić częściej niż u 1 na 10 pacjentów):</w:t>
      </w:r>
    </w:p>
    <w:p w14:paraId="11D8DA24" w14:textId="77777777" w:rsidR="006550C7" w:rsidRPr="00D90165" w:rsidRDefault="006550C7" w:rsidP="0056402B">
      <w:pPr>
        <w:keepNext/>
        <w:numPr>
          <w:ilvl w:val="12"/>
          <w:numId w:val="0"/>
        </w:numPr>
        <w:tabs>
          <w:tab w:val="clear" w:pos="567"/>
        </w:tabs>
        <w:spacing w:line="240" w:lineRule="auto"/>
        <w:ind w:right="-28"/>
        <w:rPr>
          <w:noProof/>
          <w:szCs w:val="22"/>
        </w:rPr>
      </w:pPr>
    </w:p>
    <w:p w14:paraId="47354B3A" w14:textId="77777777" w:rsidR="006550C7" w:rsidRPr="00D90165" w:rsidRDefault="009C4EC4" w:rsidP="00855719">
      <w:pPr>
        <w:pStyle w:val="ListParagraph"/>
        <w:numPr>
          <w:ilvl w:val="0"/>
          <w:numId w:val="7"/>
        </w:numPr>
        <w:spacing w:line="240" w:lineRule="auto"/>
        <w:ind w:left="567" w:hanging="567"/>
        <w:rPr>
          <w:rFonts w:eastAsia="SimSun"/>
          <w:szCs w:val="22"/>
        </w:rPr>
      </w:pPr>
      <w:r w:rsidRPr="00D90165">
        <w:t>bardziej zaokrąglony, spuchnięty wygląd twarzy (cecha cushingoidalna)</w:t>
      </w:r>
    </w:p>
    <w:p w14:paraId="6293DA18" w14:textId="77777777" w:rsidR="006550C7" w:rsidRPr="00D90165" w:rsidRDefault="009C4EC4" w:rsidP="00855719">
      <w:pPr>
        <w:pStyle w:val="ListParagraph"/>
        <w:numPr>
          <w:ilvl w:val="0"/>
          <w:numId w:val="7"/>
        </w:numPr>
        <w:spacing w:line="240" w:lineRule="auto"/>
        <w:ind w:left="567" w:hanging="567"/>
        <w:rPr>
          <w:rFonts w:eastAsia="SimSun"/>
          <w:szCs w:val="22"/>
        </w:rPr>
      </w:pPr>
      <w:r w:rsidRPr="00D90165">
        <w:t>zwiększenie masy ciała</w:t>
      </w:r>
    </w:p>
    <w:p w14:paraId="5D22A561" w14:textId="77777777" w:rsidR="006550C7" w:rsidRPr="00D90165" w:rsidRDefault="009C4EC4" w:rsidP="00855719">
      <w:pPr>
        <w:pStyle w:val="ListParagraph"/>
        <w:numPr>
          <w:ilvl w:val="0"/>
          <w:numId w:val="7"/>
        </w:numPr>
        <w:spacing w:line="240" w:lineRule="auto"/>
        <w:ind w:left="567" w:hanging="567"/>
        <w:rPr>
          <w:rFonts w:eastAsia="SimSun"/>
          <w:szCs w:val="22"/>
        </w:rPr>
      </w:pPr>
      <w:r w:rsidRPr="00D90165">
        <w:t>zwiększone łaknienie</w:t>
      </w:r>
    </w:p>
    <w:p w14:paraId="152F7234" w14:textId="77777777" w:rsidR="006550C7" w:rsidRPr="00D90165" w:rsidRDefault="009C4EC4" w:rsidP="00855719">
      <w:pPr>
        <w:pStyle w:val="ListParagraph"/>
        <w:numPr>
          <w:ilvl w:val="0"/>
          <w:numId w:val="7"/>
        </w:numPr>
        <w:spacing w:line="240" w:lineRule="auto"/>
        <w:ind w:left="567" w:hanging="567"/>
        <w:rPr>
          <w:rFonts w:eastAsia="SimSun"/>
          <w:szCs w:val="22"/>
        </w:rPr>
      </w:pPr>
      <w:r w:rsidRPr="00D90165">
        <w:t>drażliwość</w:t>
      </w:r>
    </w:p>
    <w:p w14:paraId="583CE0F3" w14:textId="77777777" w:rsidR="009A0601" w:rsidRPr="00D90165" w:rsidRDefault="009C4EC4" w:rsidP="00855719">
      <w:pPr>
        <w:pStyle w:val="ListParagraph"/>
        <w:numPr>
          <w:ilvl w:val="0"/>
          <w:numId w:val="7"/>
        </w:numPr>
        <w:spacing w:line="240" w:lineRule="auto"/>
        <w:ind w:left="567" w:hanging="567"/>
        <w:rPr>
          <w:rFonts w:eastAsia="SimSun"/>
          <w:szCs w:val="22"/>
        </w:rPr>
      </w:pPr>
      <w:r w:rsidRPr="00D90165">
        <w:t>wymioty</w:t>
      </w:r>
    </w:p>
    <w:p w14:paraId="328E9CA0" w14:textId="77777777" w:rsidR="007546DE" w:rsidRPr="00D90165" w:rsidRDefault="007546DE" w:rsidP="00855719">
      <w:pPr>
        <w:spacing w:line="240" w:lineRule="auto"/>
        <w:ind w:right="-29"/>
        <w:rPr>
          <w:noProof/>
        </w:rPr>
      </w:pPr>
    </w:p>
    <w:p w14:paraId="241B7181" w14:textId="77777777" w:rsidR="006D0DE8" w:rsidRPr="00D90165" w:rsidRDefault="009C4EC4" w:rsidP="0056402B">
      <w:pPr>
        <w:keepNext/>
        <w:spacing w:line="240" w:lineRule="auto"/>
        <w:ind w:right="-29"/>
        <w:rPr>
          <w:noProof/>
        </w:rPr>
      </w:pPr>
      <w:r w:rsidRPr="00D90165">
        <w:t>Następujące objawy niepożądane zgłaszano jako często występujące (mogą wystąpić u 1 na 10 pacjentów):</w:t>
      </w:r>
    </w:p>
    <w:p w14:paraId="4BDE315D" w14:textId="77777777" w:rsidR="006D0DE8" w:rsidRPr="00D90165" w:rsidRDefault="006D0DE8" w:rsidP="0056402B">
      <w:pPr>
        <w:keepNext/>
        <w:spacing w:line="240" w:lineRule="auto"/>
        <w:ind w:right="-29"/>
        <w:rPr>
          <w:noProof/>
        </w:rPr>
      </w:pPr>
    </w:p>
    <w:p w14:paraId="26188BE9" w14:textId="77777777" w:rsidR="006D0DE8" w:rsidRPr="00D90165" w:rsidRDefault="009C4EC4" w:rsidP="00855719">
      <w:pPr>
        <w:pStyle w:val="ListParagraph"/>
        <w:numPr>
          <w:ilvl w:val="0"/>
          <w:numId w:val="7"/>
        </w:numPr>
        <w:spacing w:line="240" w:lineRule="auto"/>
        <w:ind w:left="567" w:hanging="567"/>
        <w:rPr>
          <w:rFonts w:eastAsia="SimSun"/>
          <w:szCs w:val="22"/>
        </w:rPr>
      </w:pPr>
      <w:r w:rsidRPr="00D90165">
        <w:t>ból brzucha</w:t>
      </w:r>
    </w:p>
    <w:p w14:paraId="16BC3C4B" w14:textId="77777777" w:rsidR="006D0DE8" w:rsidRPr="00D90165" w:rsidRDefault="009C4EC4" w:rsidP="00855719">
      <w:pPr>
        <w:pStyle w:val="ListParagraph"/>
        <w:numPr>
          <w:ilvl w:val="0"/>
          <w:numId w:val="7"/>
        </w:numPr>
        <w:spacing w:line="240" w:lineRule="auto"/>
        <w:ind w:left="567" w:hanging="567"/>
        <w:rPr>
          <w:rFonts w:eastAsia="SimSun"/>
          <w:szCs w:val="22"/>
        </w:rPr>
      </w:pPr>
      <w:r w:rsidRPr="00D90165">
        <w:t>ból w nadbrzuszu (ból w górnej części jamy brzusznej)</w:t>
      </w:r>
    </w:p>
    <w:p w14:paraId="4E61CA22" w14:textId="77777777" w:rsidR="006D0DE8" w:rsidRPr="00D90165" w:rsidRDefault="009C4EC4" w:rsidP="00855719">
      <w:pPr>
        <w:pStyle w:val="ListParagraph"/>
        <w:numPr>
          <w:ilvl w:val="0"/>
          <w:numId w:val="7"/>
        </w:numPr>
        <w:spacing w:line="240" w:lineRule="auto"/>
        <w:ind w:left="567" w:hanging="567"/>
        <w:rPr>
          <w:rFonts w:eastAsia="SimSun"/>
          <w:szCs w:val="22"/>
        </w:rPr>
      </w:pPr>
      <w:r w:rsidRPr="00D90165">
        <w:t>biegunka</w:t>
      </w:r>
    </w:p>
    <w:p w14:paraId="18945FBB" w14:textId="77777777" w:rsidR="000D010D" w:rsidRPr="00D90165" w:rsidRDefault="009C4EC4" w:rsidP="00855719">
      <w:pPr>
        <w:pStyle w:val="ListParagraph"/>
        <w:numPr>
          <w:ilvl w:val="0"/>
          <w:numId w:val="7"/>
        </w:numPr>
        <w:spacing w:line="240" w:lineRule="auto"/>
        <w:ind w:left="567" w:hanging="567"/>
        <w:rPr>
          <w:rFonts w:eastAsia="SimSun"/>
          <w:szCs w:val="22"/>
        </w:rPr>
      </w:pPr>
      <w:r w:rsidRPr="00D90165">
        <w:t>ból głowy</w:t>
      </w:r>
    </w:p>
    <w:p w14:paraId="0F29598F" w14:textId="77777777" w:rsidR="008500F7" w:rsidRPr="00D90165" w:rsidRDefault="008500F7" w:rsidP="00855719">
      <w:pPr>
        <w:spacing w:line="240" w:lineRule="auto"/>
        <w:ind w:right="-29"/>
        <w:rPr>
          <w:noProof/>
          <w:szCs w:val="22"/>
        </w:rPr>
      </w:pPr>
    </w:p>
    <w:p w14:paraId="405D8782" w14:textId="77777777" w:rsidR="00582199" w:rsidRPr="00D90165" w:rsidRDefault="009C4EC4" w:rsidP="0056402B">
      <w:pPr>
        <w:keepNext/>
        <w:numPr>
          <w:ilvl w:val="12"/>
          <w:numId w:val="0"/>
        </w:numPr>
        <w:spacing w:line="240" w:lineRule="auto"/>
        <w:outlineLvl w:val="0"/>
        <w:rPr>
          <w:b/>
          <w:noProof/>
          <w:szCs w:val="22"/>
        </w:rPr>
      </w:pPr>
      <w:r w:rsidRPr="00D90165">
        <w:rPr>
          <w:b/>
        </w:rPr>
        <w:t>Zgłaszanie działań niepożądanych</w:t>
      </w:r>
    </w:p>
    <w:p w14:paraId="5F2467C8" w14:textId="274F9D53" w:rsidR="009B6496" w:rsidRPr="00D90165" w:rsidRDefault="009C4EC4" w:rsidP="005D5884">
      <w:r w:rsidRPr="00D90165">
        <w:t xml:space="preserve">Jeśli wystąpią jakiekolwiek objawy niepożądane, w tym wszelkie objawy niepożądane niewymienione w tej ulotce, należy powiedzieć o tym lekarzowi lub farmaceucie. </w:t>
      </w:r>
      <w:r w:rsidR="005D5884">
        <w:t xml:space="preserve">Działania niepożądane można zgłaszać bezpośrednio do </w:t>
      </w:r>
      <w:r w:rsidR="005D5884" w:rsidRPr="00232E40">
        <w:rPr>
          <w:highlight w:val="lightGray"/>
        </w:rPr>
        <w:t xml:space="preserve">„krajowego systemu zgłaszania” wymienionego w </w:t>
      </w:r>
      <w:hyperlink r:id="rId23" w:history="1">
        <w:r w:rsidR="005D5884" w:rsidRPr="00232E40">
          <w:rPr>
            <w:rStyle w:val="Hipercze1"/>
            <w:highlight w:val="lightGray"/>
          </w:rPr>
          <w:t>załączniku V</w:t>
        </w:r>
      </w:hyperlink>
      <w:r w:rsidR="005D5884">
        <w:rPr>
          <w:rStyle w:val="Hipercze1"/>
        </w:rPr>
        <w:t xml:space="preserve">. </w:t>
      </w:r>
      <w:r w:rsidRPr="00D90165">
        <w:t>Dzięki zgłaszaniu działań niepożądanych można będzie zgromadzić więcej informacji na temat bezpieczeństwa stosowania leku.</w:t>
      </w:r>
    </w:p>
    <w:p w14:paraId="12AE5088" w14:textId="77777777" w:rsidR="00A25442" w:rsidRPr="00D90165" w:rsidRDefault="00A25442" w:rsidP="00855719">
      <w:pPr>
        <w:pStyle w:val="BodytextAgency"/>
        <w:spacing w:after="0" w:line="240" w:lineRule="auto"/>
        <w:rPr>
          <w:rFonts w:ascii="Times New Roman" w:hAnsi="Times New Roman" w:cs="Times New Roman"/>
          <w:sz w:val="22"/>
          <w:szCs w:val="22"/>
        </w:rPr>
      </w:pPr>
    </w:p>
    <w:p w14:paraId="445421F6" w14:textId="77777777" w:rsidR="008D35AD" w:rsidRPr="00D90165" w:rsidRDefault="008D35AD" w:rsidP="00855719">
      <w:pPr>
        <w:autoSpaceDE w:val="0"/>
        <w:autoSpaceDN w:val="0"/>
        <w:adjustRightInd w:val="0"/>
        <w:spacing w:line="240" w:lineRule="auto"/>
        <w:rPr>
          <w:szCs w:val="22"/>
        </w:rPr>
      </w:pPr>
    </w:p>
    <w:p w14:paraId="6AA7A8D1" w14:textId="77777777" w:rsidR="009B6496" w:rsidRPr="00D90165" w:rsidRDefault="009C4EC4" w:rsidP="0056402B">
      <w:pPr>
        <w:keepNext/>
        <w:tabs>
          <w:tab w:val="clear" w:pos="567"/>
        </w:tabs>
        <w:spacing w:line="240" w:lineRule="auto"/>
        <w:ind w:left="567" w:hanging="567"/>
        <w:rPr>
          <w:b/>
          <w:bCs/>
          <w:noProof/>
        </w:rPr>
      </w:pPr>
      <w:r w:rsidRPr="00D90165">
        <w:rPr>
          <w:rStyle w:val="DNEx2"/>
        </w:rPr>
        <w:t>5.</w:t>
      </w:r>
      <w:r w:rsidRPr="00D90165">
        <w:rPr>
          <w:rStyle w:val="DNEx2"/>
        </w:rPr>
        <w:tab/>
      </w:r>
      <w:r w:rsidRPr="00D90165">
        <w:rPr>
          <w:b/>
        </w:rPr>
        <w:t>Jak przechowywać lek AGAMREE</w:t>
      </w:r>
    </w:p>
    <w:p w14:paraId="3D043A95" w14:textId="77777777" w:rsidR="009B6496" w:rsidRPr="00D90165" w:rsidRDefault="009B6496" w:rsidP="0056402B">
      <w:pPr>
        <w:keepNext/>
        <w:numPr>
          <w:ilvl w:val="12"/>
          <w:numId w:val="0"/>
        </w:numPr>
        <w:tabs>
          <w:tab w:val="clear" w:pos="567"/>
        </w:tabs>
        <w:spacing w:line="240" w:lineRule="auto"/>
        <w:rPr>
          <w:noProof/>
          <w:szCs w:val="22"/>
        </w:rPr>
      </w:pPr>
    </w:p>
    <w:p w14:paraId="66484C1B" w14:textId="77777777" w:rsidR="009B6496" w:rsidRPr="00D90165" w:rsidRDefault="009C4EC4" w:rsidP="00855719">
      <w:pPr>
        <w:tabs>
          <w:tab w:val="clear" w:pos="567"/>
        </w:tabs>
        <w:spacing w:line="240" w:lineRule="auto"/>
        <w:rPr>
          <w:noProof/>
          <w:szCs w:val="22"/>
        </w:rPr>
      </w:pPr>
      <w:r w:rsidRPr="00D90165">
        <w:t>Lek należy przechowywać w miejscu niewidocznym i niedostępnym dla dzieci.</w:t>
      </w:r>
    </w:p>
    <w:p w14:paraId="7E9C89D0" w14:textId="77777777" w:rsidR="009B6496" w:rsidRPr="00D90165" w:rsidRDefault="009B6496" w:rsidP="00855719">
      <w:pPr>
        <w:numPr>
          <w:ilvl w:val="12"/>
          <w:numId w:val="0"/>
        </w:numPr>
        <w:tabs>
          <w:tab w:val="clear" w:pos="567"/>
        </w:tabs>
        <w:spacing w:line="240" w:lineRule="auto"/>
        <w:ind w:right="-2"/>
        <w:rPr>
          <w:noProof/>
          <w:szCs w:val="22"/>
        </w:rPr>
      </w:pPr>
    </w:p>
    <w:p w14:paraId="565FE0E1" w14:textId="77777777" w:rsidR="00C54DEC" w:rsidRPr="00D90165" w:rsidRDefault="009C4EC4" w:rsidP="00855719">
      <w:pPr>
        <w:numPr>
          <w:ilvl w:val="12"/>
          <w:numId w:val="0"/>
        </w:numPr>
        <w:tabs>
          <w:tab w:val="clear" w:pos="567"/>
        </w:tabs>
        <w:spacing w:line="240" w:lineRule="auto"/>
        <w:ind w:right="-2"/>
        <w:rPr>
          <w:noProof/>
          <w:szCs w:val="22"/>
        </w:rPr>
      </w:pPr>
      <w:r w:rsidRPr="00D90165">
        <w:t>Nie stosować tego leku po upływie terminu ważności zamieszczonego na pudełku tekturowym i etykiecie butelki po: EXP. Termin ważności oznacza ostatni dzień podanego miesiąca.</w:t>
      </w:r>
    </w:p>
    <w:p w14:paraId="3742FC5E" w14:textId="77777777" w:rsidR="00A929F0" w:rsidRPr="00D90165" w:rsidRDefault="00A929F0" w:rsidP="00855719">
      <w:pPr>
        <w:spacing w:line="240" w:lineRule="auto"/>
        <w:rPr>
          <w:noProof/>
          <w:szCs w:val="22"/>
        </w:rPr>
      </w:pPr>
    </w:p>
    <w:p w14:paraId="1FD879D1" w14:textId="77777777" w:rsidR="00303389" w:rsidRPr="00D90165" w:rsidRDefault="009C4EC4" w:rsidP="00855719">
      <w:pPr>
        <w:tabs>
          <w:tab w:val="clear" w:pos="567"/>
        </w:tabs>
        <w:spacing w:line="240" w:lineRule="auto"/>
        <w:ind w:right="-2"/>
      </w:pPr>
      <w:r w:rsidRPr="00D90165">
        <w:t>Ten lek nie wymaga przechowywania w określonej temperaturze.</w:t>
      </w:r>
    </w:p>
    <w:p w14:paraId="4EC60E55" w14:textId="77777777" w:rsidR="00C4640D" w:rsidRPr="00D90165" w:rsidRDefault="009C4EC4" w:rsidP="00855719">
      <w:pPr>
        <w:tabs>
          <w:tab w:val="clear" w:pos="567"/>
        </w:tabs>
        <w:spacing w:line="240" w:lineRule="auto"/>
        <w:ind w:right="-2"/>
      </w:pPr>
      <w:r w:rsidRPr="00D90165">
        <w:t>Po pierwszym otwarciu opakowania leku AGAMREE przechowywać butelkę w pozycji pionowej w lodówce (2–8°C). Lek można przechowywać w lodówce przez maksymalnie 3 miesiące.</w:t>
      </w:r>
    </w:p>
    <w:p w14:paraId="1F20B0B1" w14:textId="77777777" w:rsidR="6F6870DC" w:rsidRPr="00D90165" w:rsidRDefault="6F6870DC" w:rsidP="00855719">
      <w:pPr>
        <w:tabs>
          <w:tab w:val="clear" w:pos="567"/>
        </w:tabs>
        <w:spacing w:line="240" w:lineRule="auto"/>
        <w:ind w:right="-2"/>
        <w:rPr>
          <w:noProof/>
        </w:rPr>
      </w:pPr>
    </w:p>
    <w:p w14:paraId="442739A9" w14:textId="77777777" w:rsidR="002844E6" w:rsidRPr="00D90165" w:rsidRDefault="009C4EC4" w:rsidP="00855719">
      <w:pPr>
        <w:tabs>
          <w:tab w:val="clear" w:pos="567"/>
        </w:tabs>
        <w:spacing w:line="240" w:lineRule="auto"/>
        <w:ind w:right="-2"/>
      </w:pPr>
      <w:r w:rsidRPr="00D90165">
        <w:t>Lek niewykorzystany w ciągu 3 miesięcy od pierwszego otwarcia butelki należy wyrzucić.</w:t>
      </w:r>
    </w:p>
    <w:p w14:paraId="2FDBED8D" w14:textId="77777777" w:rsidR="00303389" w:rsidRPr="00D90165" w:rsidRDefault="00303389" w:rsidP="00855719">
      <w:pPr>
        <w:tabs>
          <w:tab w:val="clear" w:pos="567"/>
        </w:tabs>
        <w:spacing w:line="240" w:lineRule="auto"/>
        <w:ind w:right="-2"/>
        <w:rPr>
          <w:noProof/>
        </w:rPr>
      </w:pPr>
    </w:p>
    <w:p w14:paraId="2334F5F1" w14:textId="77777777" w:rsidR="00BE214B" w:rsidRPr="00D90165" w:rsidRDefault="009C4EC4" w:rsidP="00855719">
      <w:pPr>
        <w:numPr>
          <w:ilvl w:val="12"/>
          <w:numId w:val="0"/>
        </w:numPr>
        <w:spacing w:line="240" w:lineRule="auto"/>
        <w:ind w:right="-2"/>
      </w:pPr>
      <w:r w:rsidRPr="00D90165">
        <w:t>Leków nie należy wyrzucać do kanalizacji ani domowych pojemników na odpadki. Należy zapytać farmaceutę, jak usunąć leki, których się już nie używa. Takie postępowanie pomoże chronić środowisko.</w:t>
      </w:r>
    </w:p>
    <w:p w14:paraId="41CBEF79" w14:textId="77777777" w:rsidR="00FA0798" w:rsidRPr="00D90165" w:rsidRDefault="00FA0798" w:rsidP="00855719">
      <w:pPr>
        <w:numPr>
          <w:ilvl w:val="12"/>
          <w:numId w:val="0"/>
        </w:numPr>
        <w:spacing w:line="240" w:lineRule="auto"/>
        <w:ind w:right="-2"/>
        <w:rPr>
          <w:rFonts w:eastAsia="Calibri" w:cs="Arial Narrow"/>
          <w:b/>
        </w:rPr>
      </w:pPr>
    </w:p>
    <w:p w14:paraId="47AED564" w14:textId="77777777" w:rsidR="004720BE" w:rsidRPr="00D90165" w:rsidRDefault="004720BE" w:rsidP="00855719">
      <w:pPr>
        <w:numPr>
          <w:ilvl w:val="12"/>
          <w:numId w:val="0"/>
        </w:numPr>
        <w:spacing w:line="240" w:lineRule="auto"/>
        <w:ind w:right="-2"/>
        <w:rPr>
          <w:rFonts w:eastAsia="Calibri" w:cs="Arial Narrow"/>
          <w:b/>
        </w:rPr>
      </w:pPr>
    </w:p>
    <w:p w14:paraId="193D2E67" w14:textId="77777777" w:rsidR="009B6496" w:rsidRPr="00D90165" w:rsidRDefault="009C4EC4" w:rsidP="0056402B">
      <w:pPr>
        <w:keepNext/>
        <w:spacing w:line="240" w:lineRule="auto"/>
        <w:ind w:right="-2"/>
        <w:rPr>
          <w:b/>
          <w:bCs/>
        </w:rPr>
      </w:pPr>
      <w:r w:rsidRPr="00D90165">
        <w:rPr>
          <w:rStyle w:val="DNEx2"/>
        </w:rPr>
        <w:t>6.</w:t>
      </w:r>
      <w:r w:rsidRPr="00D90165">
        <w:rPr>
          <w:rStyle w:val="DNEx2"/>
        </w:rPr>
        <w:tab/>
      </w:r>
      <w:r w:rsidRPr="00D90165">
        <w:rPr>
          <w:b/>
        </w:rPr>
        <w:t>Zawartość opakowania i inne informacje</w:t>
      </w:r>
    </w:p>
    <w:p w14:paraId="5B29ED6C" w14:textId="77777777" w:rsidR="009B6496" w:rsidRPr="00D90165" w:rsidRDefault="009B6496" w:rsidP="0056402B">
      <w:pPr>
        <w:keepNext/>
        <w:numPr>
          <w:ilvl w:val="12"/>
          <w:numId w:val="0"/>
        </w:numPr>
        <w:tabs>
          <w:tab w:val="clear" w:pos="567"/>
        </w:tabs>
        <w:spacing w:line="240" w:lineRule="auto"/>
      </w:pPr>
    </w:p>
    <w:p w14:paraId="7286376D" w14:textId="77777777" w:rsidR="004720BE" w:rsidRPr="00D90165" w:rsidRDefault="009C4EC4" w:rsidP="0056402B">
      <w:pPr>
        <w:keepNext/>
        <w:numPr>
          <w:ilvl w:val="12"/>
          <w:numId w:val="0"/>
        </w:numPr>
        <w:tabs>
          <w:tab w:val="clear" w:pos="567"/>
        </w:tabs>
        <w:spacing w:line="240" w:lineRule="auto"/>
        <w:ind w:right="-2"/>
        <w:rPr>
          <w:b/>
        </w:rPr>
      </w:pPr>
      <w:r w:rsidRPr="00D90165">
        <w:rPr>
          <w:b/>
        </w:rPr>
        <w:t>Co zawiera lek AGAMREE</w:t>
      </w:r>
    </w:p>
    <w:p w14:paraId="22093FB8" w14:textId="77777777" w:rsidR="00C4640D" w:rsidRPr="00D90165" w:rsidRDefault="009C4EC4" w:rsidP="00855719">
      <w:pPr>
        <w:numPr>
          <w:ilvl w:val="12"/>
          <w:numId w:val="0"/>
        </w:numPr>
        <w:spacing w:line="240" w:lineRule="auto"/>
        <w:ind w:right="-2"/>
      </w:pPr>
      <w:r w:rsidRPr="00D90165">
        <w:t>Substancją czynną leku jest wamorolon. Każdy ml zawiesiny zawiera 40 mg wamorolonu.</w:t>
      </w:r>
    </w:p>
    <w:p w14:paraId="57DE37B4" w14:textId="77777777" w:rsidR="00C4640D" w:rsidRPr="00D90165" w:rsidRDefault="00C4640D" w:rsidP="00855719">
      <w:pPr>
        <w:numPr>
          <w:ilvl w:val="12"/>
          <w:numId w:val="0"/>
        </w:numPr>
        <w:spacing w:line="240" w:lineRule="auto"/>
        <w:ind w:right="-2"/>
      </w:pPr>
    </w:p>
    <w:p w14:paraId="030BE7A2" w14:textId="77777777" w:rsidR="00C4640D" w:rsidRPr="00D90165" w:rsidRDefault="009C4EC4" w:rsidP="00855719">
      <w:pPr>
        <w:spacing w:line="240" w:lineRule="auto"/>
        <w:ind w:right="-2"/>
      </w:pPr>
      <w:r w:rsidRPr="00D90165">
        <w:t xml:space="preserve">Pozostałe składniki to: kwas cytrynowy (jednowodny) (E 330), </w:t>
      </w:r>
      <w:r w:rsidR="002A23F3" w:rsidRPr="00D90165">
        <w:t xml:space="preserve">disodu </w:t>
      </w:r>
      <w:r w:rsidRPr="00D90165">
        <w:t xml:space="preserve">fosforan (E 339), glicerol (E 422), aromat pomarańczowy, woda oczyszczona, </w:t>
      </w:r>
      <w:r w:rsidR="007D79F9" w:rsidRPr="00D90165">
        <w:t xml:space="preserve">sodu </w:t>
      </w:r>
      <w:r w:rsidRPr="00D90165">
        <w:t xml:space="preserve">benzoesan (E 211) (patrz punkt 2 „Lek </w:t>
      </w:r>
      <w:r w:rsidRPr="00D90165">
        <w:lastRenderedPageBreak/>
        <w:t xml:space="preserve">AGAMREE zawiera </w:t>
      </w:r>
      <w:r w:rsidR="007D79F9" w:rsidRPr="00D90165">
        <w:t xml:space="preserve">sodu </w:t>
      </w:r>
      <w:r w:rsidRPr="00D90165">
        <w:t>benzoesan”), sukraloza (E 955), guma ksantanowa (E 415) i kwas solny (do dostosowania pH). Patrz punkt 2 „Lek AGAMREE zawiera benzoesan sodu i sód”.</w:t>
      </w:r>
    </w:p>
    <w:p w14:paraId="7AC1F343" w14:textId="77777777" w:rsidR="491DD1BB" w:rsidRPr="00D90165" w:rsidRDefault="491DD1BB" w:rsidP="00855719">
      <w:pPr>
        <w:tabs>
          <w:tab w:val="clear" w:pos="567"/>
        </w:tabs>
        <w:spacing w:line="240" w:lineRule="auto"/>
        <w:ind w:right="-2"/>
        <w:rPr>
          <w:noProof/>
        </w:rPr>
      </w:pPr>
    </w:p>
    <w:p w14:paraId="7D9E4122" w14:textId="77777777" w:rsidR="008E5290" w:rsidRPr="00D90165" w:rsidRDefault="009C4EC4" w:rsidP="0056402B">
      <w:pPr>
        <w:keepNext/>
        <w:numPr>
          <w:ilvl w:val="12"/>
          <w:numId w:val="0"/>
        </w:numPr>
        <w:tabs>
          <w:tab w:val="clear" w:pos="567"/>
        </w:tabs>
        <w:spacing w:line="240" w:lineRule="auto"/>
        <w:rPr>
          <w:b/>
        </w:rPr>
      </w:pPr>
      <w:r w:rsidRPr="00D90165">
        <w:rPr>
          <w:b/>
        </w:rPr>
        <w:t>Jak wygląda lek AGAMREE i co zawiera opakowanie</w:t>
      </w:r>
    </w:p>
    <w:p w14:paraId="3B35A692" w14:textId="77777777" w:rsidR="004720BE" w:rsidRPr="00D90165" w:rsidRDefault="009C4EC4" w:rsidP="00855719">
      <w:r w:rsidRPr="00D90165">
        <w:t>Lek AGAMREE ma postać zawiesiny doustnej o barwie od białej do białawej. Lek dostępny jest w butelce ze szkła w kolorze bursztynowym z polipropylenowym zamknięciem zabezpieczającym przed otwarciem przez dzieci i z wkładką polietylenową o małej gęstości. Butelka zawiera 100 ml zawiesiny doustnej. Każde opakowanie zawiera jedną butelkę, adapter do butelki i dwie identyczne strzykawki doustne do dawkowania. Strzykawki doustne wyskalowane są w zakresie od 0 do 8 ml z podziałką co 0,1 ml.</w:t>
      </w:r>
    </w:p>
    <w:p w14:paraId="1443F433" w14:textId="77777777" w:rsidR="009B6496" w:rsidRPr="00D90165" w:rsidRDefault="009B6496" w:rsidP="00855719">
      <w:pPr>
        <w:tabs>
          <w:tab w:val="clear" w:pos="567"/>
        </w:tabs>
        <w:spacing w:line="240" w:lineRule="auto"/>
        <w:ind w:right="-2"/>
        <w:rPr>
          <w:b/>
          <w:bCs/>
        </w:rPr>
      </w:pPr>
    </w:p>
    <w:p w14:paraId="0DFC151C" w14:textId="77777777" w:rsidR="009B6496" w:rsidRPr="00D90165" w:rsidRDefault="009C4EC4" w:rsidP="0056402B">
      <w:pPr>
        <w:keepNext/>
        <w:numPr>
          <w:ilvl w:val="12"/>
          <w:numId w:val="0"/>
        </w:numPr>
        <w:tabs>
          <w:tab w:val="clear" w:pos="567"/>
        </w:tabs>
        <w:spacing w:line="240" w:lineRule="auto"/>
        <w:ind w:right="-2"/>
        <w:rPr>
          <w:b/>
        </w:rPr>
      </w:pPr>
      <w:r w:rsidRPr="00D90165">
        <w:rPr>
          <w:b/>
        </w:rPr>
        <w:t>Podmiot odpowiedzialny i wytwórca</w:t>
      </w:r>
    </w:p>
    <w:p w14:paraId="1AC278B7" w14:textId="77777777" w:rsidR="00C4640D" w:rsidRPr="00D90165" w:rsidRDefault="009C4EC4" w:rsidP="00981484">
      <w:pPr>
        <w:keepNext/>
        <w:spacing w:line="240" w:lineRule="auto"/>
        <w:rPr>
          <w:szCs w:val="22"/>
        </w:rPr>
      </w:pPr>
      <w:r w:rsidRPr="00D90165">
        <w:t>Santhera Pharmaceuticals (Deutschland) GmbH</w:t>
      </w:r>
    </w:p>
    <w:p w14:paraId="319DB808" w14:textId="77777777" w:rsidR="00C4640D" w:rsidRPr="00E80238" w:rsidRDefault="009C4EC4" w:rsidP="00981484">
      <w:pPr>
        <w:keepNext/>
        <w:spacing w:line="240" w:lineRule="auto"/>
        <w:rPr>
          <w:szCs w:val="22"/>
        </w:rPr>
      </w:pPr>
      <w:r w:rsidRPr="00E80238">
        <w:t>Marie-Curie-Strasse 8</w:t>
      </w:r>
    </w:p>
    <w:p w14:paraId="0AA9E38D" w14:textId="77777777" w:rsidR="00C4640D" w:rsidRPr="00E80238" w:rsidRDefault="009C4EC4" w:rsidP="00981484">
      <w:pPr>
        <w:keepNext/>
        <w:spacing w:line="240" w:lineRule="auto"/>
        <w:rPr>
          <w:szCs w:val="22"/>
        </w:rPr>
      </w:pPr>
      <w:r w:rsidRPr="00E80238">
        <w:t>D-79539 Lörrach</w:t>
      </w:r>
    </w:p>
    <w:p w14:paraId="328B4721" w14:textId="77777777" w:rsidR="00C4640D" w:rsidRPr="00E80238" w:rsidRDefault="009C4EC4" w:rsidP="00855719">
      <w:pPr>
        <w:spacing w:line="240" w:lineRule="auto"/>
        <w:rPr>
          <w:szCs w:val="22"/>
        </w:rPr>
      </w:pPr>
      <w:r w:rsidRPr="00E80238">
        <w:t>Niemcy</w:t>
      </w:r>
    </w:p>
    <w:p w14:paraId="24348B97" w14:textId="77777777" w:rsidR="009B6496" w:rsidRPr="00E80238" w:rsidRDefault="009B6496" w:rsidP="00855719">
      <w:pPr>
        <w:numPr>
          <w:ilvl w:val="12"/>
          <w:numId w:val="0"/>
        </w:numPr>
        <w:tabs>
          <w:tab w:val="clear" w:pos="567"/>
        </w:tabs>
        <w:spacing w:line="240" w:lineRule="auto"/>
        <w:ind w:right="-2"/>
        <w:rPr>
          <w:szCs w:val="22"/>
        </w:rPr>
      </w:pPr>
    </w:p>
    <w:p w14:paraId="0EDBE817" w14:textId="4A01D0E9" w:rsidR="009B6496" w:rsidRPr="00D90165" w:rsidRDefault="009C4EC4" w:rsidP="00855719">
      <w:pPr>
        <w:numPr>
          <w:ilvl w:val="12"/>
          <w:numId w:val="0"/>
        </w:numPr>
        <w:tabs>
          <w:tab w:val="clear" w:pos="567"/>
        </w:tabs>
        <w:spacing w:line="240" w:lineRule="auto"/>
        <w:ind w:right="-2"/>
        <w:outlineLvl w:val="0"/>
        <w:rPr>
          <w:noProof/>
          <w:szCs w:val="22"/>
        </w:rPr>
      </w:pPr>
      <w:r w:rsidRPr="00D90165">
        <w:rPr>
          <w:b/>
        </w:rPr>
        <w:t>Data ostatniej aktualizacji ulotki</w:t>
      </w:r>
    </w:p>
    <w:p w14:paraId="256371BB" w14:textId="77777777" w:rsidR="009B6496" w:rsidRPr="00D90165" w:rsidRDefault="009B6496" w:rsidP="00855719">
      <w:pPr>
        <w:numPr>
          <w:ilvl w:val="12"/>
          <w:numId w:val="0"/>
        </w:numPr>
        <w:spacing w:line="240" w:lineRule="auto"/>
        <w:ind w:right="-2"/>
        <w:rPr>
          <w:noProof/>
          <w:szCs w:val="22"/>
        </w:rPr>
      </w:pPr>
    </w:p>
    <w:p w14:paraId="730ECF53" w14:textId="77777777" w:rsidR="009B6496" w:rsidRPr="00D90165" w:rsidRDefault="009B6496" w:rsidP="00855719">
      <w:pPr>
        <w:numPr>
          <w:ilvl w:val="12"/>
          <w:numId w:val="0"/>
        </w:numPr>
        <w:spacing w:line="240" w:lineRule="auto"/>
        <w:ind w:right="-2"/>
      </w:pPr>
    </w:p>
    <w:p w14:paraId="1A348C6E" w14:textId="77777777" w:rsidR="00812D16" w:rsidRPr="00D90165" w:rsidRDefault="009C4EC4" w:rsidP="008250ED">
      <w:pPr>
        <w:numPr>
          <w:ilvl w:val="12"/>
          <w:numId w:val="0"/>
        </w:numPr>
        <w:spacing w:line="240" w:lineRule="auto"/>
        <w:ind w:right="-2"/>
        <w:rPr>
          <w:noProof/>
        </w:rPr>
      </w:pPr>
      <w:r w:rsidRPr="00D90165">
        <w:t xml:space="preserve">Szczegółowe informacje o tym leku znajdują się na stronie internetowej Europejskiej Agencji Leków </w:t>
      </w:r>
      <w:hyperlink r:id="rId24" w:history="1">
        <w:r w:rsidR="00A510B3">
          <w:rPr>
            <w:rStyle w:val="Hyperlink"/>
            <w:noProof/>
            <w:szCs w:val="22"/>
          </w:rPr>
          <w:t>http://www.ema.europa.eu</w:t>
        </w:r>
      </w:hyperlink>
      <w:hyperlink w:history="1">
        <w:r w:rsidR="00E91CE7" w:rsidRPr="00A510B3">
          <w:rPr>
            <w:b/>
            <w:bCs/>
          </w:rPr>
          <w:t>.</w:t>
        </w:r>
      </w:hyperlink>
    </w:p>
    <w:sectPr w:rsidR="00812D16" w:rsidRPr="00D90165" w:rsidSect="00DB725B">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43A9" w14:textId="77777777" w:rsidR="008A5320" w:rsidRDefault="008A5320">
      <w:pPr>
        <w:spacing w:line="240" w:lineRule="auto"/>
      </w:pPr>
      <w:r>
        <w:separator/>
      </w:r>
    </w:p>
  </w:endnote>
  <w:endnote w:type="continuationSeparator" w:id="0">
    <w:p w14:paraId="57C976CB" w14:textId="77777777" w:rsidR="008A5320" w:rsidRDefault="008A5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IDFont+F1">
    <w:altName w:val="Yu Gothic"/>
    <w:panose1 w:val="00000000000000000000"/>
    <w:charset w:val="80"/>
    <w:family w:val="auto"/>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F744" w14:textId="77777777" w:rsidR="008A5320" w:rsidRPr="00D90165" w:rsidRDefault="008A5320">
    <w:pPr>
      <w:pStyle w:val="Footer"/>
      <w:tabs>
        <w:tab w:val="right" w:pos="8931"/>
      </w:tabs>
      <w:ind w:right="96"/>
      <w:jc w:val="center"/>
    </w:pPr>
    <w:r w:rsidRPr="00D90165">
      <w:fldChar w:fldCharType="begin"/>
    </w:r>
    <w:r w:rsidRPr="00D90165">
      <w:instrText xml:space="preserve"> EQ </w:instrText>
    </w:r>
    <w:r w:rsidRPr="00D90165">
      <w:fldChar w:fldCharType="end"/>
    </w:r>
    <w:r w:rsidRPr="00D90165">
      <w:rPr>
        <w:rStyle w:val="PageNumber"/>
        <w:rFonts w:cs="Arial"/>
      </w:rPr>
      <w:fldChar w:fldCharType="begin"/>
    </w:r>
    <w:r w:rsidRPr="00D90165">
      <w:rPr>
        <w:rStyle w:val="PageNumber"/>
        <w:rFonts w:cs="Arial"/>
      </w:rPr>
      <w:instrText xml:space="preserve">PAGE  </w:instrText>
    </w:r>
    <w:r w:rsidRPr="00D90165">
      <w:rPr>
        <w:rStyle w:val="PageNumber"/>
        <w:rFonts w:cs="Arial"/>
      </w:rPr>
      <w:fldChar w:fldCharType="separate"/>
    </w:r>
    <w:r>
      <w:rPr>
        <w:rStyle w:val="PageNumber"/>
        <w:rFonts w:cs="Arial"/>
      </w:rPr>
      <w:t>21</w:t>
    </w:r>
    <w:r w:rsidRPr="00D90165">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EA8C" w14:textId="77777777" w:rsidR="008A5320" w:rsidRPr="00D90165" w:rsidRDefault="008A5320">
    <w:pPr>
      <w:pStyle w:val="Footer"/>
      <w:tabs>
        <w:tab w:val="right" w:pos="8931"/>
      </w:tabs>
      <w:ind w:right="96"/>
      <w:jc w:val="center"/>
    </w:pPr>
    <w:r w:rsidRPr="00D90165">
      <w:fldChar w:fldCharType="begin"/>
    </w:r>
    <w:r w:rsidRPr="00D90165">
      <w:instrText xml:space="preserve"> EQ </w:instrText>
    </w:r>
    <w:r w:rsidRPr="00D90165">
      <w:fldChar w:fldCharType="end"/>
    </w:r>
    <w:r w:rsidRPr="00D90165">
      <w:rPr>
        <w:rStyle w:val="PageNumber"/>
        <w:rFonts w:cs="Arial"/>
      </w:rPr>
      <w:fldChar w:fldCharType="begin"/>
    </w:r>
    <w:r w:rsidRPr="00D90165">
      <w:rPr>
        <w:rStyle w:val="PageNumber"/>
        <w:rFonts w:cs="Arial"/>
      </w:rPr>
      <w:instrText xml:space="preserve">PAGE  </w:instrText>
    </w:r>
    <w:r w:rsidRPr="00D90165">
      <w:rPr>
        <w:rStyle w:val="PageNumber"/>
        <w:rFonts w:cs="Arial"/>
      </w:rPr>
      <w:fldChar w:fldCharType="separate"/>
    </w:r>
    <w:r>
      <w:rPr>
        <w:rStyle w:val="PageNumber"/>
        <w:rFonts w:cs="Arial"/>
      </w:rPr>
      <w:t>1</w:t>
    </w:r>
    <w:r w:rsidRPr="00D90165">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6BEC" w14:textId="77777777" w:rsidR="008A5320" w:rsidRDefault="008A5320">
      <w:pPr>
        <w:spacing w:line="240" w:lineRule="auto"/>
      </w:pPr>
      <w:r>
        <w:separator/>
      </w:r>
    </w:p>
  </w:footnote>
  <w:footnote w:type="continuationSeparator" w:id="0">
    <w:p w14:paraId="732C0075" w14:textId="77777777" w:rsidR="008A5320" w:rsidRDefault="008A53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807E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C078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AE23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480AC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F9009B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DAA8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EECA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C013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42B9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E6DD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A686DA2E">
      <w:start w:val="1"/>
      <w:numFmt w:val="bullet"/>
      <w:lvlText w:val=""/>
      <w:lvlJc w:val="left"/>
      <w:pPr>
        <w:tabs>
          <w:tab w:val="num" w:pos="720"/>
        </w:tabs>
        <w:ind w:left="720" w:hanging="360"/>
      </w:pPr>
      <w:rPr>
        <w:rFonts w:ascii="Symbol" w:hAnsi="Symbol" w:hint="default"/>
      </w:rPr>
    </w:lvl>
    <w:lvl w:ilvl="1" w:tplc="D7FED848" w:tentative="1">
      <w:start w:val="1"/>
      <w:numFmt w:val="bullet"/>
      <w:lvlText w:val="o"/>
      <w:lvlJc w:val="left"/>
      <w:pPr>
        <w:tabs>
          <w:tab w:val="num" w:pos="1440"/>
        </w:tabs>
        <w:ind w:left="1440" w:hanging="360"/>
      </w:pPr>
      <w:rPr>
        <w:rFonts w:ascii="Courier New" w:hAnsi="Courier New" w:cs="Courier New" w:hint="default"/>
      </w:rPr>
    </w:lvl>
    <w:lvl w:ilvl="2" w:tplc="04C693AA" w:tentative="1">
      <w:start w:val="1"/>
      <w:numFmt w:val="bullet"/>
      <w:lvlText w:val=""/>
      <w:lvlJc w:val="left"/>
      <w:pPr>
        <w:tabs>
          <w:tab w:val="num" w:pos="2160"/>
        </w:tabs>
        <w:ind w:left="2160" w:hanging="360"/>
      </w:pPr>
      <w:rPr>
        <w:rFonts w:ascii="Wingdings" w:hAnsi="Wingdings" w:hint="default"/>
      </w:rPr>
    </w:lvl>
    <w:lvl w:ilvl="3" w:tplc="61A67DDA" w:tentative="1">
      <w:start w:val="1"/>
      <w:numFmt w:val="bullet"/>
      <w:lvlText w:val=""/>
      <w:lvlJc w:val="left"/>
      <w:pPr>
        <w:tabs>
          <w:tab w:val="num" w:pos="2880"/>
        </w:tabs>
        <w:ind w:left="2880" w:hanging="360"/>
      </w:pPr>
      <w:rPr>
        <w:rFonts w:ascii="Symbol" w:hAnsi="Symbol" w:hint="default"/>
      </w:rPr>
    </w:lvl>
    <w:lvl w:ilvl="4" w:tplc="B734D874" w:tentative="1">
      <w:start w:val="1"/>
      <w:numFmt w:val="bullet"/>
      <w:lvlText w:val="o"/>
      <w:lvlJc w:val="left"/>
      <w:pPr>
        <w:tabs>
          <w:tab w:val="num" w:pos="3600"/>
        </w:tabs>
        <w:ind w:left="3600" w:hanging="360"/>
      </w:pPr>
      <w:rPr>
        <w:rFonts w:ascii="Courier New" w:hAnsi="Courier New" w:cs="Courier New" w:hint="default"/>
      </w:rPr>
    </w:lvl>
    <w:lvl w:ilvl="5" w:tplc="8F7275E2" w:tentative="1">
      <w:start w:val="1"/>
      <w:numFmt w:val="bullet"/>
      <w:lvlText w:val=""/>
      <w:lvlJc w:val="left"/>
      <w:pPr>
        <w:tabs>
          <w:tab w:val="num" w:pos="4320"/>
        </w:tabs>
        <w:ind w:left="4320" w:hanging="360"/>
      </w:pPr>
      <w:rPr>
        <w:rFonts w:ascii="Wingdings" w:hAnsi="Wingdings" w:hint="default"/>
      </w:rPr>
    </w:lvl>
    <w:lvl w:ilvl="6" w:tplc="DEFC186A" w:tentative="1">
      <w:start w:val="1"/>
      <w:numFmt w:val="bullet"/>
      <w:lvlText w:val=""/>
      <w:lvlJc w:val="left"/>
      <w:pPr>
        <w:tabs>
          <w:tab w:val="num" w:pos="5040"/>
        </w:tabs>
        <w:ind w:left="5040" w:hanging="360"/>
      </w:pPr>
      <w:rPr>
        <w:rFonts w:ascii="Symbol" w:hAnsi="Symbol" w:hint="default"/>
      </w:rPr>
    </w:lvl>
    <w:lvl w:ilvl="7" w:tplc="1B201D8A" w:tentative="1">
      <w:start w:val="1"/>
      <w:numFmt w:val="bullet"/>
      <w:lvlText w:val="o"/>
      <w:lvlJc w:val="left"/>
      <w:pPr>
        <w:tabs>
          <w:tab w:val="num" w:pos="5760"/>
        </w:tabs>
        <w:ind w:left="5760" w:hanging="360"/>
      </w:pPr>
      <w:rPr>
        <w:rFonts w:ascii="Courier New" w:hAnsi="Courier New" w:cs="Courier New" w:hint="default"/>
      </w:rPr>
    </w:lvl>
    <w:lvl w:ilvl="8" w:tplc="87703C9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E5682"/>
    <w:multiLevelType w:val="hybridMultilevel"/>
    <w:tmpl w:val="F77632D6"/>
    <w:lvl w:ilvl="0" w:tplc="A1A6E7AA">
      <w:start w:val="1"/>
      <w:numFmt w:val="decimal"/>
      <w:lvlText w:val="%1."/>
      <w:lvlJc w:val="left"/>
      <w:pPr>
        <w:ind w:left="1713" w:hanging="360"/>
      </w:pPr>
    </w:lvl>
    <w:lvl w:ilvl="1" w:tplc="E20EF17C" w:tentative="1">
      <w:start w:val="1"/>
      <w:numFmt w:val="lowerLetter"/>
      <w:lvlText w:val="%2."/>
      <w:lvlJc w:val="left"/>
      <w:pPr>
        <w:ind w:left="2433" w:hanging="360"/>
      </w:pPr>
    </w:lvl>
    <w:lvl w:ilvl="2" w:tplc="BC021410" w:tentative="1">
      <w:start w:val="1"/>
      <w:numFmt w:val="lowerRoman"/>
      <w:lvlText w:val="%3."/>
      <w:lvlJc w:val="right"/>
      <w:pPr>
        <w:ind w:left="3153" w:hanging="180"/>
      </w:pPr>
    </w:lvl>
    <w:lvl w:ilvl="3" w:tplc="EA2678C0" w:tentative="1">
      <w:start w:val="1"/>
      <w:numFmt w:val="decimal"/>
      <w:lvlText w:val="%4."/>
      <w:lvlJc w:val="left"/>
      <w:pPr>
        <w:ind w:left="3873" w:hanging="360"/>
      </w:pPr>
    </w:lvl>
    <w:lvl w:ilvl="4" w:tplc="F17CC430" w:tentative="1">
      <w:start w:val="1"/>
      <w:numFmt w:val="lowerLetter"/>
      <w:lvlText w:val="%5."/>
      <w:lvlJc w:val="left"/>
      <w:pPr>
        <w:ind w:left="4593" w:hanging="360"/>
      </w:pPr>
    </w:lvl>
    <w:lvl w:ilvl="5" w:tplc="187A4110" w:tentative="1">
      <w:start w:val="1"/>
      <w:numFmt w:val="lowerRoman"/>
      <w:lvlText w:val="%6."/>
      <w:lvlJc w:val="right"/>
      <w:pPr>
        <w:ind w:left="5313" w:hanging="180"/>
      </w:pPr>
    </w:lvl>
    <w:lvl w:ilvl="6" w:tplc="4C944BCE" w:tentative="1">
      <w:start w:val="1"/>
      <w:numFmt w:val="decimal"/>
      <w:lvlText w:val="%7."/>
      <w:lvlJc w:val="left"/>
      <w:pPr>
        <w:ind w:left="6033" w:hanging="360"/>
      </w:pPr>
    </w:lvl>
    <w:lvl w:ilvl="7" w:tplc="6CD22434" w:tentative="1">
      <w:start w:val="1"/>
      <w:numFmt w:val="lowerLetter"/>
      <w:lvlText w:val="%8."/>
      <w:lvlJc w:val="left"/>
      <w:pPr>
        <w:ind w:left="6753" w:hanging="360"/>
      </w:pPr>
    </w:lvl>
    <w:lvl w:ilvl="8" w:tplc="3CACED64" w:tentative="1">
      <w:start w:val="1"/>
      <w:numFmt w:val="lowerRoman"/>
      <w:lvlText w:val="%9."/>
      <w:lvlJc w:val="right"/>
      <w:pPr>
        <w:ind w:left="7473" w:hanging="180"/>
      </w:pPr>
    </w:lvl>
  </w:abstractNum>
  <w:abstractNum w:abstractNumId="13" w15:restartNumberingAfterBreak="0">
    <w:nsid w:val="38E72523"/>
    <w:multiLevelType w:val="hybridMultilevel"/>
    <w:tmpl w:val="628067D0"/>
    <w:lvl w:ilvl="0" w:tplc="AE821CDA">
      <w:start w:val="1"/>
      <w:numFmt w:val="bullet"/>
      <w:lvlText w:val="-"/>
      <w:lvlJc w:val="left"/>
      <w:pPr>
        <w:ind w:left="720" w:hanging="360"/>
      </w:pPr>
      <w:rPr>
        <w:rFonts w:hint="default"/>
      </w:rPr>
    </w:lvl>
    <w:lvl w:ilvl="1" w:tplc="32624810">
      <w:start w:val="1"/>
      <w:numFmt w:val="bullet"/>
      <w:lvlText w:val="o"/>
      <w:lvlJc w:val="left"/>
      <w:pPr>
        <w:ind w:left="1440" w:hanging="360"/>
      </w:pPr>
      <w:rPr>
        <w:rFonts w:ascii="Courier New" w:hAnsi="Courier New" w:cs="Courier New" w:hint="default"/>
      </w:rPr>
    </w:lvl>
    <w:lvl w:ilvl="2" w:tplc="E4260D08">
      <w:start w:val="1"/>
      <w:numFmt w:val="bullet"/>
      <w:lvlText w:val=""/>
      <w:lvlJc w:val="left"/>
      <w:pPr>
        <w:ind w:left="2160" w:hanging="360"/>
      </w:pPr>
      <w:rPr>
        <w:rFonts w:ascii="Wingdings" w:hAnsi="Wingdings" w:hint="default"/>
      </w:rPr>
    </w:lvl>
    <w:lvl w:ilvl="3" w:tplc="4502ADF0">
      <w:start w:val="1"/>
      <w:numFmt w:val="bullet"/>
      <w:lvlText w:val=""/>
      <w:lvlJc w:val="left"/>
      <w:pPr>
        <w:ind w:left="2880" w:hanging="360"/>
      </w:pPr>
      <w:rPr>
        <w:rFonts w:ascii="Symbol" w:hAnsi="Symbol" w:hint="default"/>
      </w:rPr>
    </w:lvl>
    <w:lvl w:ilvl="4" w:tplc="6B4800FC">
      <w:start w:val="1"/>
      <w:numFmt w:val="bullet"/>
      <w:lvlText w:val="o"/>
      <w:lvlJc w:val="left"/>
      <w:pPr>
        <w:ind w:left="3600" w:hanging="360"/>
      </w:pPr>
      <w:rPr>
        <w:rFonts w:ascii="Courier New" w:hAnsi="Courier New" w:cs="Courier New" w:hint="default"/>
      </w:rPr>
    </w:lvl>
    <w:lvl w:ilvl="5" w:tplc="194E40C8">
      <w:start w:val="1"/>
      <w:numFmt w:val="bullet"/>
      <w:lvlText w:val=""/>
      <w:lvlJc w:val="left"/>
      <w:pPr>
        <w:ind w:left="4320" w:hanging="360"/>
      </w:pPr>
      <w:rPr>
        <w:rFonts w:ascii="Wingdings" w:hAnsi="Wingdings" w:hint="default"/>
      </w:rPr>
    </w:lvl>
    <w:lvl w:ilvl="6" w:tplc="9A7A9F96">
      <w:start w:val="1"/>
      <w:numFmt w:val="bullet"/>
      <w:lvlText w:val=""/>
      <w:lvlJc w:val="left"/>
      <w:pPr>
        <w:ind w:left="5040" w:hanging="360"/>
      </w:pPr>
      <w:rPr>
        <w:rFonts w:ascii="Symbol" w:hAnsi="Symbol" w:hint="default"/>
      </w:rPr>
    </w:lvl>
    <w:lvl w:ilvl="7" w:tplc="CF3A85F6">
      <w:start w:val="1"/>
      <w:numFmt w:val="bullet"/>
      <w:lvlText w:val="o"/>
      <w:lvlJc w:val="left"/>
      <w:pPr>
        <w:ind w:left="5760" w:hanging="360"/>
      </w:pPr>
      <w:rPr>
        <w:rFonts w:ascii="Courier New" w:hAnsi="Courier New" w:cs="Courier New" w:hint="default"/>
      </w:rPr>
    </w:lvl>
    <w:lvl w:ilvl="8" w:tplc="B9EC32F0">
      <w:start w:val="1"/>
      <w:numFmt w:val="bullet"/>
      <w:lvlText w:val=""/>
      <w:lvlJc w:val="left"/>
      <w:pPr>
        <w:ind w:left="6480" w:hanging="360"/>
      </w:pPr>
      <w:rPr>
        <w:rFonts w:ascii="Wingdings" w:hAnsi="Wingdings" w:hint="default"/>
      </w:rPr>
    </w:lvl>
  </w:abstractNum>
  <w:abstractNum w:abstractNumId="14" w15:restartNumberingAfterBreak="0">
    <w:nsid w:val="4892A595"/>
    <w:multiLevelType w:val="hybridMultilevel"/>
    <w:tmpl w:val="EBAA67FE"/>
    <w:lvl w:ilvl="0" w:tplc="BA5AB6A6">
      <w:start w:val="1"/>
      <w:numFmt w:val="bullet"/>
      <w:lvlText w:val=""/>
      <w:lvlJc w:val="left"/>
      <w:pPr>
        <w:ind w:left="720" w:hanging="360"/>
      </w:pPr>
      <w:rPr>
        <w:rFonts w:ascii="Symbol" w:hAnsi="Symbol" w:hint="default"/>
      </w:rPr>
    </w:lvl>
    <w:lvl w:ilvl="1" w:tplc="AC2EE2A8">
      <w:start w:val="1"/>
      <w:numFmt w:val="bullet"/>
      <w:lvlText w:val="o"/>
      <w:lvlJc w:val="left"/>
      <w:pPr>
        <w:ind w:left="1440" w:hanging="360"/>
      </w:pPr>
      <w:rPr>
        <w:rFonts w:ascii="Courier New" w:hAnsi="Courier New" w:hint="default"/>
      </w:rPr>
    </w:lvl>
    <w:lvl w:ilvl="2" w:tplc="E0AA68F2">
      <w:start w:val="1"/>
      <w:numFmt w:val="bullet"/>
      <w:lvlText w:val=""/>
      <w:lvlJc w:val="left"/>
      <w:pPr>
        <w:ind w:left="2160" w:hanging="360"/>
      </w:pPr>
      <w:rPr>
        <w:rFonts w:ascii="Wingdings" w:hAnsi="Wingdings" w:hint="default"/>
      </w:rPr>
    </w:lvl>
    <w:lvl w:ilvl="3" w:tplc="7FA6959E">
      <w:start w:val="1"/>
      <w:numFmt w:val="bullet"/>
      <w:lvlText w:val=""/>
      <w:lvlJc w:val="left"/>
      <w:pPr>
        <w:ind w:left="2880" w:hanging="360"/>
      </w:pPr>
      <w:rPr>
        <w:rFonts w:ascii="Symbol" w:hAnsi="Symbol" w:hint="default"/>
      </w:rPr>
    </w:lvl>
    <w:lvl w:ilvl="4" w:tplc="5D982AE2">
      <w:start w:val="1"/>
      <w:numFmt w:val="bullet"/>
      <w:lvlText w:val="o"/>
      <w:lvlJc w:val="left"/>
      <w:pPr>
        <w:ind w:left="3600" w:hanging="360"/>
      </w:pPr>
      <w:rPr>
        <w:rFonts w:ascii="Courier New" w:hAnsi="Courier New" w:hint="default"/>
      </w:rPr>
    </w:lvl>
    <w:lvl w:ilvl="5" w:tplc="97681AAC">
      <w:start w:val="1"/>
      <w:numFmt w:val="bullet"/>
      <w:lvlText w:val=""/>
      <w:lvlJc w:val="left"/>
      <w:pPr>
        <w:ind w:left="4320" w:hanging="360"/>
      </w:pPr>
      <w:rPr>
        <w:rFonts w:ascii="Wingdings" w:hAnsi="Wingdings" w:hint="default"/>
      </w:rPr>
    </w:lvl>
    <w:lvl w:ilvl="6" w:tplc="89866868">
      <w:start w:val="1"/>
      <w:numFmt w:val="bullet"/>
      <w:lvlText w:val=""/>
      <w:lvlJc w:val="left"/>
      <w:pPr>
        <w:ind w:left="5040" w:hanging="360"/>
      </w:pPr>
      <w:rPr>
        <w:rFonts w:ascii="Symbol" w:hAnsi="Symbol" w:hint="default"/>
      </w:rPr>
    </w:lvl>
    <w:lvl w:ilvl="7" w:tplc="C4C44B82">
      <w:start w:val="1"/>
      <w:numFmt w:val="bullet"/>
      <w:lvlText w:val="o"/>
      <w:lvlJc w:val="left"/>
      <w:pPr>
        <w:ind w:left="5760" w:hanging="360"/>
      </w:pPr>
      <w:rPr>
        <w:rFonts w:ascii="Courier New" w:hAnsi="Courier New" w:hint="default"/>
      </w:rPr>
    </w:lvl>
    <w:lvl w:ilvl="8" w:tplc="471A2798">
      <w:start w:val="1"/>
      <w:numFmt w:val="bullet"/>
      <w:lvlText w:val=""/>
      <w:lvlJc w:val="left"/>
      <w:pPr>
        <w:ind w:left="6480" w:hanging="360"/>
      </w:pPr>
      <w:rPr>
        <w:rFonts w:ascii="Wingdings" w:hAnsi="Wingdings" w:hint="default"/>
      </w:rPr>
    </w:lvl>
  </w:abstractNum>
  <w:abstractNum w:abstractNumId="15" w15:restartNumberingAfterBreak="0">
    <w:nsid w:val="513932C3"/>
    <w:multiLevelType w:val="hybridMultilevel"/>
    <w:tmpl w:val="C2A4A236"/>
    <w:lvl w:ilvl="0" w:tplc="25FC9190">
      <w:start w:val="1"/>
      <w:numFmt w:val="bullet"/>
      <w:lvlText w:val=""/>
      <w:lvlJc w:val="left"/>
      <w:pPr>
        <w:ind w:left="1080" w:hanging="360"/>
      </w:pPr>
      <w:rPr>
        <w:rFonts w:ascii="Symbol" w:hAnsi="Symbol" w:hint="default"/>
      </w:rPr>
    </w:lvl>
    <w:lvl w:ilvl="1" w:tplc="B5E839EA">
      <w:start w:val="1"/>
      <w:numFmt w:val="bullet"/>
      <w:lvlText w:val="o"/>
      <w:lvlJc w:val="left"/>
      <w:pPr>
        <w:ind w:left="1800" w:hanging="360"/>
      </w:pPr>
      <w:rPr>
        <w:rFonts w:ascii="Courier New" w:hAnsi="Courier New" w:hint="default"/>
      </w:rPr>
    </w:lvl>
    <w:lvl w:ilvl="2" w:tplc="1196F36A">
      <w:start w:val="1"/>
      <w:numFmt w:val="bullet"/>
      <w:lvlText w:val=""/>
      <w:lvlJc w:val="left"/>
      <w:pPr>
        <w:ind w:left="2520" w:hanging="360"/>
      </w:pPr>
      <w:rPr>
        <w:rFonts w:ascii="Wingdings" w:hAnsi="Wingdings" w:hint="default"/>
      </w:rPr>
    </w:lvl>
    <w:lvl w:ilvl="3" w:tplc="EE5AB48E">
      <w:start w:val="1"/>
      <w:numFmt w:val="bullet"/>
      <w:lvlText w:val=""/>
      <w:lvlJc w:val="left"/>
      <w:pPr>
        <w:ind w:left="3240" w:hanging="360"/>
      </w:pPr>
      <w:rPr>
        <w:rFonts w:ascii="Symbol" w:hAnsi="Symbol" w:hint="default"/>
      </w:rPr>
    </w:lvl>
    <w:lvl w:ilvl="4" w:tplc="32EA80E2">
      <w:start w:val="1"/>
      <w:numFmt w:val="bullet"/>
      <w:lvlText w:val="o"/>
      <w:lvlJc w:val="left"/>
      <w:pPr>
        <w:ind w:left="3960" w:hanging="360"/>
      </w:pPr>
      <w:rPr>
        <w:rFonts w:ascii="Courier New" w:hAnsi="Courier New" w:hint="default"/>
      </w:rPr>
    </w:lvl>
    <w:lvl w:ilvl="5" w:tplc="FA96EE00">
      <w:start w:val="1"/>
      <w:numFmt w:val="bullet"/>
      <w:lvlText w:val=""/>
      <w:lvlJc w:val="left"/>
      <w:pPr>
        <w:ind w:left="4680" w:hanging="360"/>
      </w:pPr>
      <w:rPr>
        <w:rFonts w:ascii="Wingdings" w:hAnsi="Wingdings" w:hint="default"/>
      </w:rPr>
    </w:lvl>
    <w:lvl w:ilvl="6" w:tplc="FAF65712">
      <w:start w:val="1"/>
      <w:numFmt w:val="bullet"/>
      <w:lvlText w:val=""/>
      <w:lvlJc w:val="left"/>
      <w:pPr>
        <w:ind w:left="5400" w:hanging="360"/>
      </w:pPr>
      <w:rPr>
        <w:rFonts w:ascii="Symbol" w:hAnsi="Symbol" w:hint="default"/>
      </w:rPr>
    </w:lvl>
    <w:lvl w:ilvl="7" w:tplc="9F52A60C">
      <w:start w:val="1"/>
      <w:numFmt w:val="bullet"/>
      <w:lvlText w:val="o"/>
      <w:lvlJc w:val="left"/>
      <w:pPr>
        <w:ind w:left="6120" w:hanging="360"/>
      </w:pPr>
      <w:rPr>
        <w:rFonts w:ascii="Courier New" w:hAnsi="Courier New" w:hint="default"/>
      </w:rPr>
    </w:lvl>
    <w:lvl w:ilvl="8" w:tplc="84B0E86C">
      <w:start w:val="1"/>
      <w:numFmt w:val="bullet"/>
      <w:lvlText w:val=""/>
      <w:lvlJc w:val="left"/>
      <w:pPr>
        <w:ind w:left="6840" w:hanging="360"/>
      </w:pPr>
      <w:rPr>
        <w:rFonts w:ascii="Wingdings" w:hAnsi="Wingdings" w:hint="default"/>
      </w:rPr>
    </w:lvl>
  </w:abstractNum>
  <w:abstractNum w:abstractNumId="16" w15:restartNumberingAfterBreak="0">
    <w:nsid w:val="54E524DE"/>
    <w:multiLevelType w:val="hybridMultilevel"/>
    <w:tmpl w:val="CB9CBEE4"/>
    <w:lvl w:ilvl="0" w:tplc="A4A84092">
      <w:start w:val="1"/>
      <w:numFmt w:val="upperLetter"/>
      <w:pStyle w:val="Style3"/>
      <w:suff w:val="space"/>
      <w:lvlText w:val="%1."/>
      <w:lvlJc w:val="left"/>
      <w:pPr>
        <w:ind w:left="0" w:firstLine="0"/>
      </w:pPr>
      <w:rPr>
        <w:rFonts w:hint="default"/>
      </w:rPr>
    </w:lvl>
    <w:lvl w:ilvl="1" w:tplc="70F26A7E" w:tentative="1">
      <w:start w:val="1"/>
      <w:numFmt w:val="lowerLetter"/>
      <w:lvlText w:val="%2."/>
      <w:lvlJc w:val="left"/>
      <w:pPr>
        <w:ind w:left="1440" w:hanging="360"/>
      </w:pPr>
    </w:lvl>
    <w:lvl w:ilvl="2" w:tplc="029C8022" w:tentative="1">
      <w:start w:val="1"/>
      <w:numFmt w:val="lowerRoman"/>
      <w:lvlText w:val="%3."/>
      <w:lvlJc w:val="right"/>
      <w:pPr>
        <w:ind w:left="2160" w:hanging="180"/>
      </w:pPr>
    </w:lvl>
    <w:lvl w:ilvl="3" w:tplc="3FEE02F8" w:tentative="1">
      <w:start w:val="1"/>
      <w:numFmt w:val="decimal"/>
      <w:lvlText w:val="%4."/>
      <w:lvlJc w:val="left"/>
      <w:pPr>
        <w:ind w:left="2880" w:hanging="360"/>
      </w:pPr>
    </w:lvl>
    <w:lvl w:ilvl="4" w:tplc="426A580A" w:tentative="1">
      <w:start w:val="1"/>
      <w:numFmt w:val="lowerLetter"/>
      <w:lvlText w:val="%5."/>
      <w:lvlJc w:val="left"/>
      <w:pPr>
        <w:ind w:left="3600" w:hanging="360"/>
      </w:pPr>
    </w:lvl>
    <w:lvl w:ilvl="5" w:tplc="04326EA4" w:tentative="1">
      <w:start w:val="1"/>
      <w:numFmt w:val="lowerRoman"/>
      <w:lvlText w:val="%6."/>
      <w:lvlJc w:val="right"/>
      <w:pPr>
        <w:ind w:left="4320" w:hanging="180"/>
      </w:pPr>
    </w:lvl>
    <w:lvl w:ilvl="6" w:tplc="0C8EDDEA" w:tentative="1">
      <w:start w:val="1"/>
      <w:numFmt w:val="decimal"/>
      <w:lvlText w:val="%7."/>
      <w:lvlJc w:val="left"/>
      <w:pPr>
        <w:ind w:left="5040" w:hanging="360"/>
      </w:pPr>
    </w:lvl>
    <w:lvl w:ilvl="7" w:tplc="0CDA5D62" w:tentative="1">
      <w:start w:val="1"/>
      <w:numFmt w:val="lowerLetter"/>
      <w:lvlText w:val="%8."/>
      <w:lvlJc w:val="left"/>
      <w:pPr>
        <w:ind w:left="5760" w:hanging="360"/>
      </w:pPr>
    </w:lvl>
    <w:lvl w:ilvl="8" w:tplc="CF3CC45A" w:tentative="1">
      <w:start w:val="1"/>
      <w:numFmt w:val="lowerRoman"/>
      <w:lvlText w:val="%9."/>
      <w:lvlJc w:val="right"/>
      <w:pPr>
        <w:ind w:left="6480" w:hanging="180"/>
      </w:pPr>
    </w:lvl>
  </w:abstractNum>
  <w:abstractNum w:abstractNumId="17" w15:restartNumberingAfterBreak="0">
    <w:nsid w:val="5B6442C2"/>
    <w:multiLevelType w:val="hybridMultilevel"/>
    <w:tmpl w:val="1B107E36"/>
    <w:lvl w:ilvl="0" w:tplc="B2362F80">
      <w:start w:val="1"/>
      <w:numFmt w:val="upperLetter"/>
      <w:pStyle w:val="Style1"/>
      <w:lvlText w:val="%1."/>
      <w:lvlJc w:val="left"/>
      <w:pPr>
        <w:ind w:left="1698" w:hanging="705"/>
      </w:pPr>
      <w:rPr>
        <w:rFonts w:hint="default"/>
      </w:rPr>
    </w:lvl>
    <w:lvl w:ilvl="1" w:tplc="9E50F044" w:tentative="1">
      <w:start w:val="1"/>
      <w:numFmt w:val="lowerLetter"/>
      <w:lvlText w:val="%2."/>
      <w:lvlJc w:val="left"/>
      <w:pPr>
        <w:ind w:left="2073" w:hanging="360"/>
      </w:pPr>
    </w:lvl>
    <w:lvl w:ilvl="2" w:tplc="E1564E5A" w:tentative="1">
      <w:start w:val="1"/>
      <w:numFmt w:val="lowerRoman"/>
      <w:lvlText w:val="%3."/>
      <w:lvlJc w:val="right"/>
      <w:pPr>
        <w:ind w:left="2793" w:hanging="180"/>
      </w:pPr>
    </w:lvl>
    <w:lvl w:ilvl="3" w:tplc="6BFACE80" w:tentative="1">
      <w:start w:val="1"/>
      <w:numFmt w:val="decimal"/>
      <w:lvlText w:val="%4."/>
      <w:lvlJc w:val="left"/>
      <w:pPr>
        <w:ind w:left="3513" w:hanging="360"/>
      </w:pPr>
    </w:lvl>
    <w:lvl w:ilvl="4" w:tplc="B5B0CCEE" w:tentative="1">
      <w:start w:val="1"/>
      <w:numFmt w:val="lowerLetter"/>
      <w:lvlText w:val="%5."/>
      <w:lvlJc w:val="left"/>
      <w:pPr>
        <w:ind w:left="4233" w:hanging="360"/>
      </w:pPr>
    </w:lvl>
    <w:lvl w:ilvl="5" w:tplc="7B7E0918" w:tentative="1">
      <w:start w:val="1"/>
      <w:numFmt w:val="lowerRoman"/>
      <w:lvlText w:val="%6."/>
      <w:lvlJc w:val="right"/>
      <w:pPr>
        <w:ind w:left="4953" w:hanging="180"/>
      </w:pPr>
    </w:lvl>
    <w:lvl w:ilvl="6" w:tplc="30C42F86" w:tentative="1">
      <w:start w:val="1"/>
      <w:numFmt w:val="decimal"/>
      <w:lvlText w:val="%7."/>
      <w:lvlJc w:val="left"/>
      <w:pPr>
        <w:ind w:left="5673" w:hanging="360"/>
      </w:pPr>
    </w:lvl>
    <w:lvl w:ilvl="7" w:tplc="B232C2C6" w:tentative="1">
      <w:start w:val="1"/>
      <w:numFmt w:val="lowerLetter"/>
      <w:lvlText w:val="%8."/>
      <w:lvlJc w:val="left"/>
      <w:pPr>
        <w:ind w:left="6393" w:hanging="360"/>
      </w:pPr>
    </w:lvl>
    <w:lvl w:ilvl="8" w:tplc="A6A0FB44" w:tentative="1">
      <w:start w:val="1"/>
      <w:numFmt w:val="lowerRoman"/>
      <w:lvlText w:val="%9."/>
      <w:lvlJc w:val="right"/>
      <w:pPr>
        <w:ind w:left="7113" w:hanging="180"/>
      </w:pPr>
    </w:lvl>
  </w:abstractNum>
  <w:abstractNum w:abstractNumId="18" w15:restartNumberingAfterBreak="0">
    <w:nsid w:val="67283ABE"/>
    <w:multiLevelType w:val="hybridMultilevel"/>
    <w:tmpl w:val="4734E3D6"/>
    <w:lvl w:ilvl="0" w:tplc="1C2E6F20">
      <w:start w:val="1"/>
      <w:numFmt w:val="upperLetter"/>
      <w:pStyle w:val="Style2"/>
      <w:lvlText w:val="%1."/>
      <w:lvlJc w:val="left"/>
      <w:pPr>
        <w:ind w:left="0" w:firstLine="0"/>
      </w:pPr>
      <w:rPr>
        <w:rFonts w:hint="default"/>
      </w:rPr>
    </w:lvl>
    <w:lvl w:ilvl="1" w:tplc="519C2C3A" w:tentative="1">
      <w:start w:val="1"/>
      <w:numFmt w:val="lowerLetter"/>
      <w:lvlText w:val="%2."/>
      <w:lvlJc w:val="left"/>
      <w:pPr>
        <w:ind w:left="1440" w:hanging="360"/>
      </w:pPr>
    </w:lvl>
    <w:lvl w:ilvl="2" w:tplc="1DDA7AB8" w:tentative="1">
      <w:start w:val="1"/>
      <w:numFmt w:val="lowerRoman"/>
      <w:lvlText w:val="%3."/>
      <w:lvlJc w:val="right"/>
      <w:pPr>
        <w:ind w:left="2160" w:hanging="180"/>
      </w:pPr>
    </w:lvl>
    <w:lvl w:ilvl="3" w:tplc="4492F234" w:tentative="1">
      <w:start w:val="1"/>
      <w:numFmt w:val="decimal"/>
      <w:lvlText w:val="%4."/>
      <w:lvlJc w:val="left"/>
      <w:pPr>
        <w:ind w:left="2880" w:hanging="360"/>
      </w:pPr>
    </w:lvl>
    <w:lvl w:ilvl="4" w:tplc="681E9F40" w:tentative="1">
      <w:start w:val="1"/>
      <w:numFmt w:val="lowerLetter"/>
      <w:lvlText w:val="%5."/>
      <w:lvlJc w:val="left"/>
      <w:pPr>
        <w:ind w:left="3600" w:hanging="360"/>
      </w:pPr>
    </w:lvl>
    <w:lvl w:ilvl="5" w:tplc="E1063BD4" w:tentative="1">
      <w:start w:val="1"/>
      <w:numFmt w:val="lowerRoman"/>
      <w:lvlText w:val="%6."/>
      <w:lvlJc w:val="right"/>
      <w:pPr>
        <w:ind w:left="4320" w:hanging="180"/>
      </w:pPr>
    </w:lvl>
    <w:lvl w:ilvl="6" w:tplc="9B78BDE8" w:tentative="1">
      <w:start w:val="1"/>
      <w:numFmt w:val="decimal"/>
      <w:lvlText w:val="%7."/>
      <w:lvlJc w:val="left"/>
      <w:pPr>
        <w:ind w:left="5040" w:hanging="360"/>
      </w:pPr>
    </w:lvl>
    <w:lvl w:ilvl="7" w:tplc="1FEC115E" w:tentative="1">
      <w:start w:val="1"/>
      <w:numFmt w:val="lowerLetter"/>
      <w:lvlText w:val="%8."/>
      <w:lvlJc w:val="left"/>
      <w:pPr>
        <w:ind w:left="5760" w:hanging="360"/>
      </w:pPr>
    </w:lvl>
    <w:lvl w:ilvl="8" w:tplc="9C227110"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AB161E78">
      <w:start w:val="1"/>
      <w:numFmt w:val="bullet"/>
      <w:lvlText w:val=""/>
      <w:lvlJc w:val="left"/>
      <w:pPr>
        <w:tabs>
          <w:tab w:val="num" w:pos="720"/>
        </w:tabs>
        <w:ind w:left="720" w:hanging="360"/>
      </w:pPr>
      <w:rPr>
        <w:rFonts w:ascii="Symbol" w:hAnsi="Symbol" w:hint="default"/>
      </w:rPr>
    </w:lvl>
    <w:lvl w:ilvl="1" w:tplc="419A18B4" w:tentative="1">
      <w:start w:val="1"/>
      <w:numFmt w:val="bullet"/>
      <w:lvlText w:val="o"/>
      <w:lvlJc w:val="left"/>
      <w:pPr>
        <w:tabs>
          <w:tab w:val="num" w:pos="1440"/>
        </w:tabs>
        <w:ind w:left="1440" w:hanging="360"/>
      </w:pPr>
      <w:rPr>
        <w:rFonts w:ascii="Courier New" w:hAnsi="Courier New" w:cs="Courier New" w:hint="default"/>
      </w:rPr>
    </w:lvl>
    <w:lvl w:ilvl="2" w:tplc="17F8E8EA" w:tentative="1">
      <w:start w:val="1"/>
      <w:numFmt w:val="bullet"/>
      <w:lvlText w:val=""/>
      <w:lvlJc w:val="left"/>
      <w:pPr>
        <w:tabs>
          <w:tab w:val="num" w:pos="2160"/>
        </w:tabs>
        <w:ind w:left="2160" w:hanging="360"/>
      </w:pPr>
      <w:rPr>
        <w:rFonts w:ascii="Wingdings" w:hAnsi="Wingdings" w:hint="default"/>
      </w:rPr>
    </w:lvl>
    <w:lvl w:ilvl="3" w:tplc="2182FE7C" w:tentative="1">
      <w:start w:val="1"/>
      <w:numFmt w:val="bullet"/>
      <w:lvlText w:val=""/>
      <w:lvlJc w:val="left"/>
      <w:pPr>
        <w:tabs>
          <w:tab w:val="num" w:pos="2880"/>
        </w:tabs>
        <w:ind w:left="2880" w:hanging="360"/>
      </w:pPr>
      <w:rPr>
        <w:rFonts w:ascii="Symbol" w:hAnsi="Symbol" w:hint="default"/>
      </w:rPr>
    </w:lvl>
    <w:lvl w:ilvl="4" w:tplc="71B0DAFA" w:tentative="1">
      <w:start w:val="1"/>
      <w:numFmt w:val="bullet"/>
      <w:lvlText w:val="o"/>
      <w:lvlJc w:val="left"/>
      <w:pPr>
        <w:tabs>
          <w:tab w:val="num" w:pos="3600"/>
        </w:tabs>
        <w:ind w:left="3600" w:hanging="360"/>
      </w:pPr>
      <w:rPr>
        <w:rFonts w:ascii="Courier New" w:hAnsi="Courier New" w:cs="Courier New" w:hint="default"/>
      </w:rPr>
    </w:lvl>
    <w:lvl w:ilvl="5" w:tplc="209677A8" w:tentative="1">
      <w:start w:val="1"/>
      <w:numFmt w:val="bullet"/>
      <w:lvlText w:val=""/>
      <w:lvlJc w:val="left"/>
      <w:pPr>
        <w:tabs>
          <w:tab w:val="num" w:pos="4320"/>
        </w:tabs>
        <w:ind w:left="4320" w:hanging="360"/>
      </w:pPr>
      <w:rPr>
        <w:rFonts w:ascii="Wingdings" w:hAnsi="Wingdings" w:hint="default"/>
      </w:rPr>
    </w:lvl>
    <w:lvl w:ilvl="6" w:tplc="E0CC7F66" w:tentative="1">
      <w:start w:val="1"/>
      <w:numFmt w:val="bullet"/>
      <w:lvlText w:val=""/>
      <w:lvlJc w:val="left"/>
      <w:pPr>
        <w:tabs>
          <w:tab w:val="num" w:pos="5040"/>
        </w:tabs>
        <w:ind w:left="5040" w:hanging="360"/>
      </w:pPr>
      <w:rPr>
        <w:rFonts w:ascii="Symbol" w:hAnsi="Symbol" w:hint="default"/>
      </w:rPr>
    </w:lvl>
    <w:lvl w:ilvl="7" w:tplc="0A5E3426" w:tentative="1">
      <w:start w:val="1"/>
      <w:numFmt w:val="bullet"/>
      <w:lvlText w:val="o"/>
      <w:lvlJc w:val="left"/>
      <w:pPr>
        <w:tabs>
          <w:tab w:val="num" w:pos="5760"/>
        </w:tabs>
        <w:ind w:left="5760" w:hanging="360"/>
      </w:pPr>
      <w:rPr>
        <w:rFonts w:ascii="Courier New" w:hAnsi="Courier New" w:cs="Courier New" w:hint="default"/>
      </w:rPr>
    </w:lvl>
    <w:lvl w:ilvl="8" w:tplc="DE3A0794" w:tentative="1">
      <w:start w:val="1"/>
      <w:numFmt w:val="bullet"/>
      <w:lvlText w:val=""/>
      <w:lvlJc w:val="left"/>
      <w:pPr>
        <w:tabs>
          <w:tab w:val="num" w:pos="6480"/>
        </w:tabs>
        <w:ind w:left="6480" w:hanging="360"/>
      </w:pPr>
      <w:rPr>
        <w:rFonts w:ascii="Wingdings" w:hAnsi="Wingdings" w:hint="default"/>
      </w:rPr>
    </w:lvl>
  </w:abstractNum>
  <w:num w:numId="1" w16cid:durableId="483394978">
    <w:abstractNumId w:val="14"/>
  </w:num>
  <w:num w:numId="2" w16cid:durableId="451553232">
    <w:abstractNumId w:val="15"/>
  </w:num>
  <w:num w:numId="3" w16cid:durableId="1692414217">
    <w:abstractNumId w:val="10"/>
    <w:lvlOverride w:ilvl="0">
      <w:lvl w:ilvl="0">
        <w:start w:val="1"/>
        <w:numFmt w:val="bullet"/>
        <w:lvlText w:val="-"/>
        <w:legacy w:legacy="1" w:legacySpace="0" w:legacyIndent="360"/>
        <w:lvlJc w:val="left"/>
        <w:pPr>
          <w:ind w:left="360" w:hanging="360"/>
        </w:pPr>
      </w:lvl>
    </w:lvlOverride>
  </w:num>
  <w:num w:numId="4" w16cid:durableId="385840072">
    <w:abstractNumId w:val="11"/>
  </w:num>
  <w:num w:numId="5" w16cid:durableId="975834966">
    <w:abstractNumId w:val="19"/>
  </w:num>
  <w:num w:numId="6" w16cid:durableId="117577207">
    <w:abstractNumId w:val="19"/>
  </w:num>
  <w:num w:numId="7" w16cid:durableId="784076007">
    <w:abstractNumId w:val="13"/>
  </w:num>
  <w:num w:numId="8" w16cid:durableId="1815029745">
    <w:abstractNumId w:val="19"/>
  </w:num>
  <w:num w:numId="9" w16cid:durableId="1500776369">
    <w:abstractNumId w:val="12"/>
  </w:num>
  <w:num w:numId="10" w16cid:durableId="1187870453">
    <w:abstractNumId w:val="17"/>
  </w:num>
  <w:num w:numId="11" w16cid:durableId="1827670954">
    <w:abstractNumId w:val="18"/>
  </w:num>
  <w:num w:numId="12" w16cid:durableId="1350109464">
    <w:abstractNumId w:val="16"/>
  </w:num>
  <w:num w:numId="13" w16cid:durableId="1681615669">
    <w:abstractNumId w:val="9"/>
  </w:num>
  <w:num w:numId="14" w16cid:durableId="535974210">
    <w:abstractNumId w:val="7"/>
  </w:num>
  <w:num w:numId="15" w16cid:durableId="411317231">
    <w:abstractNumId w:val="6"/>
  </w:num>
  <w:num w:numId="16" w16cid:durableId="2080595706">
    <w:abstractNumId w:val="5"/>
  </w:num>
  <w:num w:numId="17" w16cid:durableId="128939062">
    <w:abstractNumId w:val="4"/>
  </w:num>
  <w:num w:numId="18" w16cid:durableId="1767994923">
    <w:abstractNumId w:val="8"/>
  </w:num>
  <w:num w:numId="19" w16cid:durableId="523791466">
    <w:abstractNumId w:val="3"/>
  </w:num>
  <w:num w:numId="20" w16cid:durableId="1971858920">
    <w:abstractNumId w:val="2"/>
  </w:num>
  <w:num w:numId="21" w16cid:durableId="2113935518">
    <w:abstractNumId w:val="1"/>
  </w:num>
  <w:num w:numId="22" w16cid:durableId="125431554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77"/>
    <w:rsid w:val="00000629"/>
    <w:rsid w:val="0000097C"/>
    <w:rsid w:val="00000D62"/>
    <w:rsid w:val="0000114F"/>
    <w:rsid w:val="00001587"/>
    <w:rsid w:val="00002731"/>
    <w:rsid w:val="000029E3"/>
    <w:rsid w:val="0000362A"/>
    <w:rsid w:val="00003AEF"/>
    <w:rsid w:val="00003B86"/>
    <w:rsid w:val="000040F8"/>
    <w:rsid w:val="000042DF"/>
    <w:rsid w:val="00004A43"/>
    <w:rsid w:val="000056F6"/>
    <w:rsid w:val="00005701"/>
    <w:rsid w:val="000058B3"/>
    <w:rsid w:val="00005A30"/>
    <w:rsid w:val="00005EB8"/>
    <w:rsid w:val="000060D9"/>
    <w:rsid w:val="0000655E"/>
    <w:rsid w:val="00006ACA"/>
    <w:rsid w:val="0000716F"/>
    <w:rsid w:val="000071A0"/>
    <w:rsid w:val="00007528"/>
    <w:rsid w:val="00007E95"/>
    <w:rsid w:val="0001062F"/>
    <w:rsid w:val="00010F67"/>
    <w:rsid w:val="000110DC"/>
    <w:rsid w:val="0001164F"/>
    <w:rsid w:val="00012218"/>
    <w:rsid w:val="000122C5"/>
    <w:rsid w:val="00012AFD"/>
    <w:rsid w:val="00012B9D"/>
    <w:rsid w:val="0001330E"/>
    <w:rsid w:val="00014869"/>
    <w:rsid w:val="00014944"/>
    <w:rsid w:val="00014D59"/>
    <w:rsid w:val="000150D3"/>
    <w:rsid w:val="000151B5"/>
    <w:rsid w:val="00015365"/>
    <w:rsid w:val="00015938"/>
    <w:rsid w:val="000166C1"/>
    <w:rsid w:val="00016E66"/>
    <w:rsid w:val="00016EBE"/>
    <w:rsid w:val="00017287"/>
    <w:rsid w:val="00017DB1"/>
    <w:rsid w:val="0002006B"/>
    <w:rsid w:val="00020552"/>
    <w:rsid w:val="000205C8"/>
    <w:rsid w:val="0002090B"/>
    <w:rsid w:val="00020A18"/>
    <w:rsid w:val="00020AE8"/>
    <w:rsid w:val="000212BB"/>
    <w:rsid w:val="00021890"/>
    <w:rsid w:val="000222FA"/>
    <w:rsid w:val="00022535"/>
    <w:rsid w:val="00022D78"/>
    <w:rsid w:val="00023150"/>
    <w:rsid w:val="00023635"/>
    <w:rsid w:val="000239EE"/>
    <w:rsid w:val="00023A2C"/>
    <w:rsid w:val="00023F73"/>
    <w:rsid w:val="0002408A"/>
    <w:rsid w:val="00024986"/>
    <w:rsid w:val="000249F6"/>
    <w:rsid w:val="00024A4D"/>
    <w:rsid w:val="00024A9E"/>
    <w:rsid w:val="0002543A"/>
    <w:rsid w:val="000254C4"/>
    <w:rsid w:val="00025675"/>
    <w:rsid w:val="00025EBE"/>
    <w:rsid w:val="00026BF2"/>
    <w:rsid w:val="0002701D"/>
    <w:rsid w:val="000271F6"/>
    <w:rsid w:val="000302A4"/>
    <w:rsid w:val="000303BD"/>
    <w:rsid w:val="0003043A"/>
    <w:rsid w:val="00030445"/>
    <w:rsid w:val="000316D1"/>
    <w:rsid w:val="000318C7"/>
    <w:rsid w:val="000318E0"/>
    <w:rsid w:val="00032084"/>
    <w:rsid w:val="00032C0C"/>
    <w:rsid w:val="00033D26"/>
    <w:rsid w:val="00033FDB"/>
    <w:rsid w:val="000340BF"/>
    <w:rsid w:val="0003445B"/>
    <w:rsid w:val="000344F6"/>
    <w:rsid w:val="000345B1"/>
    <w:rsid w:val="0003484C"/>
    <w:rsid w:val="00035874"/>
    <w:rsid w:val="0003657F"/>
    <w:rsid w:val="00037184"/>
    <w:rsid w:val="00037543"/>
    <w:rsid w:val="000375B3"/>
    <w:rsid w:val="00037DCA"/>
    <w:rsid w:val="00040497"/>
    <w:rsid w:val="00041C36"/>
    <w:rsid w:val="00042263"/>
    <w:rsid w:val="00042EDA"/>
    <w:rsid w:val="00043297"/>
    <w:rsid w:val="00043505"/>
    <w:rsid w:val="000439B4"/>
    <w:rsid w:val="00043C70"/>
    <w:rsid w:val="00043E88"/>
    <w:rsid w:val="00044042"/>
    <w:rsid w:val="0004441C"/>
    <w:rsid w:val="00044A75"/>
    <w:rsid w:val="0004586E"/>
    <w:rsid w:val="00045B79"/>
    <w:rsid w:val="00045E85"/>
    <w:rsid w:val="00046AC9"/>
    <w:rsid w:val="00047071"/>
    <w:rsid w:val="00047477"/>
    <w:rsid w:val="000474D2"/>
    <w:rsid w:val="000479C5"/>
    <w:rsid w:val="000506B9"/>
    <w:rsid w:val="00050825"/>
    <w:rsid w:val="00050A37"/>
    <w:rsid w:val="00050DFD"/>
    <w:rsid w:val="00050F77"/>
    <w:rsid w:val="0005119C"/>
    <w:rsid w:val="000515D5"/>
    <w:rsid w:val="000519B2"/>
    <w:rsid w:val="00051F78"/>
    <w:rsid w:val="000528CE"/>
    <w:rsid w:val="00052A12"/>
    <w:rsid w:val="00052C8F"/>
    <w:rsid w:val="00052E66"/>
    <w:rsid w:val="000533DD"/>
    <w:rsid w:val="00053809"/>
    <w:rsid w:val="00053914"/>
    <w:rsid w:val="00053CE8"/>
    <w:rsid w:val="00054704"/>
    <w:rsid w:val="00054705"/>
    <w:rsid w:val="00054756"/>
    <w:rsid w:val="00054B8C"/>
    <w:rsid w:val="000556C8"/>
    <w:rsid w:val="00055C9B"/>
    <w:rsid w:val="000560C5"/>
    <w:rsid w:val="000569AA"/>
    <w:rsid w:val="00056C49"/>
    <w:rsid w:val="00056FE0"/>
    <w:rsid w:val="000573F6"/>
    <w:rsid w:val="00057796"/>
    <w:rsid w:val="00057BFC"/>
    <w:rsid w:val="00057E04"/>
    <w:rsid w:val="00060090"/>
    <w:rsid w:val="000603C8"/>
    <w:rsid w:val="00060538"/>
    <w:rsid w:val="00060891"/>
    <w:rsid w:val="000608A4"/>
    <w:rsid w:val="00060AA1"/>
    <w:rsid w:val="00060D89"/>
    <w:rsid w:val="00061FEE"/>
    <w:rsid w:val="00062309"/>
    <w:rsid w:val="00062924"/>
    <w:rsid w:val="000631FD"/>
    <w:rsid w:val="000643D3"/>
    <w:rsid w:val="000649DB"/>
    <w:rsid w:val="00064C21"/>
    <w:rsid w:val="00065156"/>
    <w:rsid w:val="000651D3"/>
    <w:rsid w:val="00067158"/>
    <w:rsid w:val="0006733A"/>
    <w:rsid w:val="00067B16"/>
    <w:rsid w:val="00067EDE"/>
    <w:rsid w:val="00070E0A"/>
    <w:rsid w:val="00070E4A"/>
    <w:rsid w:val="00071515"/>
    <w:rsid w:val="000717B2"/>
    <w:rsid w:val="00071AD3"/>
    <w:rsid w:val="00071C43"/>
    <w:rsid w:val="00071DFB"/>
    <w:rsid w:val="00071F8A"/>
    <w:rsid w:val="00071FEC"/>
    <w:rsid w:val="0007238C"/>
    <w:rsid w:val="0007254A"/>
    <w:rsid w:val="0007391C"/>
    <w:rsid w:val="00073CA0"/>
    <w:rsid w:val="00073E04"/>
    <w:rsid w:val="0007401B"/>
    <w:rsid w:val="00074254"/>
    <w:rsid w:val="00074388"/>
    <w:rsid w:val="000745AE"/>
    <w:rsid w:val="000747A9"/>
    <w:rsid w:val="00074998"/>
    <w:rsid w:val="000757B2"/>
    <w:rsid w:val="00075DEF"/>
    <w:rsid w:val="000760C2"/>
    <w:rsid w:val="0007628D"/>
    <w:rsid w:val="0007672F"/>
    <w:rsid w:val="0007696D"/>
    <w:rsid w:val="00076A28"/>
    <w:rsid w:val="00076D05"/>
    <w:rsid w:val="000770E2"/>
    <w:rsid w:val="00077421"/>
    <w:rsid w:val="00077D32"/>
    <w:rsid w:val="00080239"/>
    <w:rsid w:val="00080CD8"/>
    <w:rsid w:val="0008110D"/>
    <w:rsid w:val="000814DD"/>
    <w:rsid w:val="00081962"/>
    <w:rsid w:val="00081DAB"/>
    <w:rsid w:val="000823CE"/>
    <w:rsid w:val="00082779"/>
    <w:rsid w:val="00083424"/>
    <w:rsid w:val="000836DC"/>
    <w:rsid w:val="00083C31"/>
    <w:rsid w:val="00083E6C"/>
    <w:rsid w:val="00083E9B"/>
    <w:rsid w:val="00084199"/>
    <w:rsid w:val="000851F5"/>
    <w:rsid w:val="00085449"/>
    <w:rsid w:val="0008640C"/>
    <w:rsid w:val="0008651D"/>
    <w:rsid w:val="00086D74"/>
    <w:rsid w:val="00087039"/>
    <w:rsid w:val="00087890"/>
    <w:rsid w:val="00087FC6"/>
    <w:rsid w:val="00090BE6"/>
    <w:rsid w:val="00090E8A"/>
    <w:rsid w:val="00091499"/>
    <w:rsid w:val="00092221"/>
    <w:rsid w:val="000922E4"/>
    <w:rsid w:val="000925D6"/>
    <w:rsid w:val="00092829"/>
    <w:rsid w:val="00092B09"/>
    <w:rsid w:val="00092CC7"/>
    <w:rsid w:val="000932B9"/>
    <w:rsid w:val="0009351E"/>
    <w:rsid w:val="000935DA"/>
    <w:rsid w:val="00093775"/>
    <w:rsid w:val="00093DA7"/>
    <w:rsid w:val="000944B0"/>
    <w:rsid w:val="0009479A"/>
    <w:rsid w:val="000947D9"/>
    <w:rsid w:val="00094AD6"/>
    <w:rsid w:val="00095D61"/>
    <w:rsid w:val="00095E44"/>
    <w:rsid w:val="00095EDD"/>
    <w:rsid w:val="00096A19"/>
    <w:rsid w:val="00096A85"/>
    <w:rsid w:val="00096D8D"/>
    <w:rsid w:val="0009755A"/>
    <w:rsid w:val="000975BB"/>
    <w:rsid w:val="00097DEB"/>
    <w:rsid w:val="000A08CF"/>
    <w:rsid w:val="000A0CB3"/>
    <w:rsid w:val="000A0F88"/>
    <w:rsid w:val="000A1232"/>
    <w:rsid w:val="000A14DF"/>
    <w:rsid w:val="000A17E7"/>
    <w:rsid w:val="000A1864"/>
    <w:rsid w:val="000A264D"/>
    <w:rsid w:val="000A30E5"/>
    <w:rsid w:val="000A3100"/>
    <w:rsid w:val="000A3212"/>
    <w:rsid w:val="000A34BF"/>
    <w:rsid w:val="000A3990"/>
    <w:rsid w:val="000A3B66"/>
    <w:rsid w:val="000A40D0"/>
    <w:rsid w:val="000A5770"/>
    <w:rsid w:val="000A5999"/>
    <w:rsid w:val="000A6687"/>
    <w:rsid w:val="000A6945"/>
    <w:rsid w:val="000A69F1"/>
    <w:rsid w:val="000A6A33"/>
    <w:rsid w:val="000A78C6"/>
    <w:rsid w:val="000B0097"/>
    <w:rsid w:val="000B02DA"/>
    <w:rsid w:val="000B101F"/>
    <w:rsid w:val="000B11B7"/>
    <w:rsid w:val="000B1F13"/>
    <w:rsid w:val="000B1F4B"/>
    <w:rsid w:val="000B2085"/>
    <w:rsid w:val="000B210D"/>
    <w:rsid w:val="000B2758"/>
    <w:rsid w:val="000B2857"/>
    <w:rsid w:val="000B2867"/>
    <w:rsid w:val="000B2D7A"/>
    <w:rsid w:val="000B2F27"/>
    <w:rsid w:val="000B2F58"/>
    <w:rsid w:val="000B37A8"/>
    <w:rsid w:val="000B37FA"/>
    <w:rsid w:val="000B38BD"/>
    <w:rsid w:val="000B4A6B"/>
    <w:rsid w:val="000B4CF3"/>
    <w:rsid w:val="000B510E"/>
    <w:rsid w:val="000B51D9"/>
    <w:rsid w:val="000B5256"/>
    <w:rsid w:val="000B5490"/>
    <w:rsid w:val="000B6767"/>
    <w:rsid w:val="000B699A"/>
    <w:rsid w:val="000B7A6B"/>
    <w:rsid w:val="000B7CAC"/>
    <w:rsid w:val="000B7DFC"/>
    <w:rsid w:val="000B7FD2"/>
    <w:rsid w:val="000C03FB"/>
    <w:rsid w:val="000C09E7"/>
    <w:rsid w:val="000C0AC8"/>
    <w:rsid w:val="000C0C5C"/>
    <w:rsid w:val="000C0D40"/>
    <w:rsid w:val="000C0D9A"/>
    <w:rsid w:val="000C0FBC"/>
    <w:rsid w:val="000C1025"/>
    <w:rsid w:val="000C12D1"/>
    <w:rsid w:val="000C1776"/>
    <w:rsid w:val="000C18AA"/>
    <w:rsid w:val="000C2B96"/>
    <w:rsid w:val="000C2C8E"/>
    <w:rsid w:val="000C308F"/>
    <w:rsid w:val="000C3E98"/>
    <w:rsid w:val="000C453F"/>
    <w:rsid w:val="000C4658"/>
    <w:rsid w:val="000C57D2"/>
    <w:rsid w:val="000C5A4E"/>
    <w:rsid w:val="000C5AAB"/>
    <w:rsid w:val="000C5DF0"/>
    <w:rsid w:val="000C635D"/>
    <w:rsid w:val="000C667C"/>
    <w:rsid w:val="000C6795"/>
    <w:rsid w:val="000C6AB1"/>
    <w:rsid w:val="000C6C16"/>
    <w:rsid w:val="000C6C4A"/>
    <w:rsid w:val="000C6D8B"/>
    <w:rsid w:val="000C73F1"/>
    <w:rsid w:val="000C77DA"/>
    <w:rsid w:val="000C7B54"/>
    <w:rsid w:val="000C7F49"/>
    <w:rsid w:val="000D010D"/>
    <w:rsid w:val="000D033C"/>
    <w:rsid w:val="000D058F"/>
    <w:rsid w:val="000D18F2"/>
    <w:rsid w:val="000D1AEE"/>
    <w:rsid w:val="000D1B27"/>
    <w:rsid w:val="000D1B58"/>
    <w:rsid w:val="000D1CA0"/>
    <w:rsid w:val="000D1F4F"/>
    <w:rsid w:val="000D22A5"/>
    <w:rsid w:val="000D3267"/>
    <w:rsid w:val="000D3DBF"/>
    <w:rsid w:val="000D418F"/>
    <w:rsid w:val="000D4D07"/>
    <w:rsid w:val="000D59CF"/>
    <w:rsid w:val="000D5B09"/>
    <w:rsid w:val="000D627D"/>
    <w:rsid w:val="000D6C13"/>
    <w:rsid w:val="000D708A"/>
    <w:rsid w:val="000D733B"/>
    <w:rsid w:val="000D7535"/>
    <w:rsid w:val="000D7CD6"/>
    <w:rsid w:val="000E00AD"/>
    <w:rsid w:val="000E03DE"/>
    <w:rsid w:val="000E165D"/>
    <w:rsid w:val="000E1BAF"/>
    <w:rsid w:val="000E1E96"/>
    <w:rsid w:val="000E1EF7"/>
    <w:rsid w:val="000E202D"/>
    <w:rsid w:val="000E223E"/>
    <w:rsid w:val="000E2491"/>
    <w:rsid w:val="000E2984"/>
    <w:rsid w:val="000E2BC5"/>
    <w:rsid w:val="000E2EA9"/>
    <w:rsid w:val="000E30A6"/>
    <w:rsid w:val="000E3938"/>
    <w:rsid w:val="000E46A3"/>
    <w:rsid w:val="000E4D1E"/>
    <w:rsid w:val="000E4E88"/>
    <w:rsid w:val="000E53A9"/>
    <w:rsid w:val="000E5726"/>
    <w:rsid w:val="000E6C94"/>
    <w:rsid w:val="000E7023"/>
    <w:rsid w:val="000E7353"/>
    <w:rsid w:val="000E7C73"/>
    <w:rsid w:val="000F010A"/>
    <w:rsid w:val="000F0327"/>
    <w:rsid w:val="000F08D2"/>
    <w:rsid w:val="000F1BB2"/>
    <w:rsid w:val="000F217A"/>
    <w:rsid w:val="000F2348"/>
    <w:rsid w:val="000F2623"/>
    <w:rsid w:val="000F2830"/>
    <w:rsid w:val="000F2F10"/>
    <w:rsid w:val="000F349F"/>
    <w:rsid w:val="000F37AB"/>
    <w:rsid w:val="000F3869"/>
    <w:rsid w:val="000F3F94"/>
    <w:rsid w:val="000F3FC9"/>
    <w:rsid w:val="000F42C6"/>
    <w:rsid w:val="000F4F29"/>
    <w:rsid w:val="000F4FFF"/>
    <w:rsid w:val="000F50D6"/>
    <w:rsid w:val="000F513B"/>
    <w:rsid w:val="000F5235"/>
    <w:rsid w:val="000F54D1"/>
    <w:rsid w:val="000F57EA"/>
    <w:rsid w:val="000F5B21"/>
    <w:rsid w:val="000F5EA1"/>
    <w:rsid w:val="000F5F24"/>
    <w:rsid w:val="000F660A"/>
    <w:rsid w:val="000F7923"/>
    <w:rsid w:val="001002B7"/>
    <w:rsid w:val="001011BD"/>
    <w:rsid w:val="001013BB"/>
    <w:rsid w:val="00101836"/>
    <w:rsid w:val="00101999"/>
    <w:rsid w:val="001022E8"/>
    <w:rsid w:val="00102841"/>
    <w:rsid w:val="00103501"/>
    <w:rsid w:val="001035B2"/>
    <w:rsid w:val="00103605"/>
    <w:rsid w:val="00103B2D"/>
    <w:rsid w:val="00103CD2"/>
    <w:rsid w:val="00104061"/>
    <w:rsid w:val="0010406B"/>
    <w:rsid w:val="00104B82"/>
    <w:rsid w:val="00104F22"/>
    <w:rsid w:val="00105C9F"/>
    <w:rsid w:val="0010622D"/>
    <w:rsid w:val="00107087"/>
    <w:rsid w:val="001070A7"/>
    <w:rsid w:val="00107186"/>
    <w:rsid w:val="001071D8"/>
    <w:rsid w:val="00107236"/>
    <w:rsid w:val="001074B3"/>
    <w:rsid w:val="00107BC2"/>
    <w:rsid w:val="00107E40"/>
    <w:rsid w:val="00107FA6"/>
    <w:rsid w:val="001100EF"/>
    <w:rsid w:val="001101A2"/>
    <w:rsid w:val="001106F7"/>
    <w:rsid w:val="001108A9"/>
    <w:rsid w:val="001108E4"/>
    <w:rsid w:val="00110B08"/>
    <w:rsid w:val="00111062"/>
    <w:rsid w:val="001111FD"/>
    <w:rsid w:val="001118FA"/>
    <w:rsid w:val="00111A9A"/>
    <w:rsid w:val="00112D8E"/>
    <w:rsid w:val="00112EDA"/>
    <w:rsid w:val="001134C2"/>
    <w:rsid w:val="00114092"/>
    <w:rsid w:val="00114174"/>
    <w:rsid w:val="001146D9"/>
    <w:rsid w:val="00114BA6"/>
    <w:rsid w:val="00115056"/>
    <w:rsid w:val="001156AF"/>
    <w:rsid w:val="0011575F"/>
    <w:rsid w:val="00115A42"/>
    <w:rsid w:val="00115DF8"/>
    <w:rsid w:val="00115E4A"/>
    <w:rsid w:val="001161BC"/>
    <w:rsid w:val="00117252"/>
    <w:rsid w:val="0011757E"/>
    <w:rsid w:val="0011761B"/>
    <w:rsid w:val="00117915"/>
    <w:rsid w:val="00117B4A"/>
    <w:rsid w:val="00117C1D"/>
    <w:rsid w:val="00117E4F"/>
    <w:rsid w:val="001206A9"/>
    <w:rsid w:val="00120C3D"/>
    <w:rsid w:val="00122395"/>
    <w:rsid w:val="00122608"/>
    <w:rsid w:val="00122B38"/>
    <w:rsid w:val="00123688"/>
    <w:rsid w:val="00123883"/>
    <w:rsid w:val="00123B3F"/>
    <w:rsid w:val="00124304"/>
    <w:rsid w:val="001247E0"/>
    <w:rsid w:val="001252A5"/>
    <w:rsid w:val="00125773"/>
    <w:rsid w:val="00125F2F"/>
    <w:rsid w:val="001267DB"/>
    <w:rsid w:val="00126F63"/>
    <w:rsid w:val="00127909"/>
    <w:rsid w:val="001279E3"/>
    <w:rsid w:val="00127B94"/>
    <w:rsid w:val="00127DFB"/>
    <w:rsid w:val="00127F47"/>
    <w:rsid w:val="0012A2DF"/>
    <w:rsid w:val="00130BB5"/>
    <w:rsid w:val="001310FB"/>
    <w:rsid w:val="0013121F"/>
    <w:rsid w:val="001316D0"/>
    <w:rsid w:val="00131776"/>
    <w:rsid w:val="00131DE7"/>
    <w:rsid w:val="00132563"/>
    <w:rsid w:val="00133572"/>
    <w:rsid w:val="00133809"/>
    <w:rsid w:val="00133A0E"/>
    <w:rsid w:val="0013430E"/>
    <w:rsid w:val="00134664"/>
    <w:rsid w:val="001347B2"/>
    <w:rsid w:val="001347C5"/>
    <w:rsid w:val="00134A01"/>
    <w:rsid w:val="00134E4A"/>
    <w:rsid w:val="00135BAA"/>
    <w:rsid w:val="001364FB"/>
    <w:rsid w:val="001365BE"/>
    <w:rsid w:val="001365F2"/>
    <w:rsid w:val="00136D7A"/>
    <w:rsid w:val="00137432"/>
    <w:rsid w:val="001374C5"/>
    <w:rsid w:val="00137E11"/>
    <w:rsid w:val="00137E86"/>
    <w:rsid w:val="001404A3"/>
    <w:rsid w:val="00140648"/>
    <w:rsid w:val="00140CFF"/>
    <w:rsid w:val="00141470"/>
    <w:rsid w:val="00141540"/>
    <w:rsid w:val="00142999"/>
    <w:rsid w:val="00142E44"/>
    <w:rsid w:val="001436C5"/>
    <w:rsid w:val="001445E3"/>
    <w:rsid w:val="0014499E"/>
    <w:rsid w:val="001449DF"/>
    <w:rsid w:val="00145045"/>
    <w:rsid w:val="0014569B"/>
    <w:rsid w:val="00145D00"/>
    <w:rsid w:val="00145E31"/>
    <w:rsid w:val="00146322"/>
    <w:rsid w:val="0014634F"/>
    <w:rsid w:val="00146462"/>
    <w:rsid w:val="001470E0"/>
    <w:rsid w:val="0014796B"/>
    <w:rsid w:val="00147B32"/>
    <w:rsid w:val="00150060"/>
    <w:rsid w:val="00150FF6"/>
    <w:rsid w:val="00152DE7"/>
    <w:rsid w:val="00152F31"/>
    <w:rsid w:val="00153303"/>
    <w:rsid w:val="00153727"/>
    <w:rsid w:val="00153C8A"/>
    <w:rsid w:val="00154C69"/>
    <w:rsid w:val="00154CD8"/>
    <w:rsid w:val="00154D5E"/>
    <w:rsid w:val="001557DA"/>
    <w:rsid w:val="00155B01"/>
    <w:rsid w:val="00156416"/>
    <w:rsid w:val="00156877"/>
    <w:rsid w:val="001569BE"/>
    <w:rsid w:val="0015704C"/>
    <w:rsid w:val="00157895"/>
    <w:rsid w:val="001579B2"/>
    <w:rsid w:val="00157AC5"/>
    <w:rsid w:val="00157CEE"/>
    <w:rsid w:val="0016011A"/>
    <w:rsid w:val="001602A3"/>
    <w:rsid w:val="0016068C"/>
    <w:rsid w:val="00160F14"/>
    <w:rsid w:val="00161126"/>
    <w:rsid w:val="00161701"/>
    <w:rsid w:val="001617A8"/>
    <w:rsid w:val="001617B5"/>
    <w:rsid w:val="00161817"/>
    <w:rsid w:val="00161E87"/>
    <w:rsid w:val="00161EEC"/>
    <w:rsid w:val="001623F8"/>
    <w:rsid w:val="00162468"/>
    <w:rsid w:val="001632B1"/>
    <w:rsid w:val="00163547"/>
    <w:rsid w:val="001637D6"/>
    <w:rsid w:val="00163BDB"/>
    <w:rsid w:val="00163F3B"/>
    <w:rsid w:val="001641FE"/>
    <w:rsid w:val="00164A2B"/>
    <w:rsid w:val="00164C63"/>
    <w:rsid w:val="0016558C"/>
    <w:rsid w:val="0016566C"/>
    <w:rsid w:val="00165F05"/>
    <w:rsid w:val="001664E6"/>
    <w:rsid w:val="00166F0F"/>
    <w:rsid w:val="00167684"/>
    <w:rsid w:val="00167764"/>
    <w:rsid w:val="00167860"/>
    <w:rsid w:val="0016793F"/>
    <w:rsid w:val="00167D92"/>
    <w:rsid w:val="00170537"/>
    <w:rsid w:val="00170FE6"/>
    <w:rsid w:val="001714B0"/>
    <w:rsid w:val="00171F24"/>
    <w:rsid w:val="001721F3"/>
    <w:rsid w:val="00172566"/>
    <w:rsid w:val="001727F0"/>
    <w:rsid w:val="00172B06"/>
    <w:rsid w:val="00172D95"/>
    <w:rsid w:val="00173071"/>
    <w:rsid w:val="0017347E"/>
    <w:rsid w:val="00173582"/>
    <w:rsid w:val="001736FD"/>
    <w:rsid w:val="00173B96"/>
    <w:rsid w:val="00173CED"/>
    <w:rsid w:val="00173F63"/>
    <w:rsid w:val="001748BC"/>
    <w:rsid w:val="00174BD9"/>
    <w:rsid w:val="0017520E"/>
    <w:rsid w:val="001752D8"/>
    <w:rsid w:val="00175931"/>
    <w:rsid w:val="0017626C"/>
    <w:rsid w:val="001763B8"/>
    <w:rsid w:val="001769FB"/>
    <w:rsid w:val="00176A25"/>
    <w:rsid w:val="00176B25"/>
    <w:rsid w:val="00177761"/>
    <w:rsid w:val="0017777B"/>
    <w:rsid w:val="00177DB0"/>
    <w:rsid w:val="00180630"/>
    <w:rsid w:val="001807A4"/>
    <w:rsid w:val="001807E2"/>
    <w:rsid w:val="00180D4A"/>
    <w:rsid w:val="0018238B"/>
    <w:rsid w:val="00182518"/>
    <w:rsid w:val="00182585"/>
    <w:rsid w:val="001832A0"/>
    <w:rsid w:val="001832A8"/>
    <w:rsid w:val="00183419"/>
    <w:rsid w:val="0018390F"/>
    <w:rsid w:val="0018394A"/>
    <w:rsid w:val="00184DCC"/>
    <w:rsid w:val="00185668"/>
    <w:rsid w:val="001866EA"/>
    <w:rsid w:val="00186A9D"/>
    <w:rsid w:val="00186C8E"/>
    <w:rsid w:val="00186DAC"/>
    <w:rsid w:val="00187228"/>
    <w:rsid w:val="001874A6"/>
    <w:rsid w:val="001874C0"/>
    <w:rsid w:val="0018765B"/>
    <w:rsid w:val="0019017A"/>
    <w:rsid w:val="001901E4"/>
    <w:rsid w:val="001904AE"/>
    <w:rsid w:val="00190913"/>
    <w:rsid w:val="00190EBD"/>
    <w:rsid w:val="001918BB"/>
    <w:rsid w:val="0019233F"/>
    <w:rsid w:val="0019236A"/>
    <w:rsid w:val="00192879"/>
    <w:rsid w:val="00192B82"/>
    <w:rsid w:val="00192E04"/>
    <w:rsid w:val="00192F7B"/>
    <w:rsid w:val="0019304B"/>
    <w:rsid w:val="0019315C"/>
    <w:rsid w:val="001936A3"/>
    <w:rsid w:val="00193744"/>
    <w:rsid w:val="00193915"/>
    <w:rsid w:val="00193A3D"/>
    <w:rsid w:val="00193B21"/>
    <w:rsid w:val="00193D1B"/>
    <w:rsid w:val="00193DD3"/>
    <w:rsid w:val="00194550"/>
    <w:rsid w:val="0019466F"/>
    <w:rsid w:val="001948AA"/>
    <w:rsid w:val="00194EF0"/>
    <w:rsid w:val="00195F65"/>
    <w:rsid w:val="00196451"/>
    <w:rsid w:val="00196A19"/>
    <w:rsid w:val="00196CBB"/>
    <w:rsid w:val="00196FFF"/>
    <w:rsid w:val="001976AF"/>
    <w:rsid w:val="001976DB"/>
    <w:rsid w:val="001A048D"/>
    <w:rsid w:val="001A05C5"/>
    <w:rsid w:val="001A05ED"/>
    <w:rsid w:val="001A0600"/>
    <w:rsid w:val="001A07E2"/>
    <w:rsid w:val="001A0A5D"/>
    <w:rsid w:val="001A0C71"/>
    <w:rsid w:val="001A10A9"/>
    <w:rsid w:val="001A12C7"/>
    <w:rsid w:val="001A17D8"/>
    <w:rsid w:val="001A2018"/>
    <w:rsid w:val="001A29A4"/>
    <w:rsid w:val="001A4D02"/>
    <w:rsid w:val="001A4D86"/>
    <w:rsid w:val="001A51C2"/>
    <w:rsid w:val="001A5688"/>
    <w:rsid w:val="001A56F1"/>
    <w:rsid w:val="001A5AC1"/>
    <w:rsid w:val="001A5D0E"/>
    <w:rsid w:val="001A6921"/>
    <w:rsid w:val="001A6B9B"/>
    <w:rsid w:val="001A6CE1"/>
    <w:rsid w:val="001B01C8"/>
    <w:rsid w:val="001B0B52"/>
    <w:rsid w:val="001B13F6"/>
    <w:rsid w:val="001B16F1"/>
    <w:rsid w:val="001B1747"/>
    <w:rsid w:val="001B1B19"/>
    <w:rsid w:val="001B1DBF"/>
    <w:rsid w:val="001B2499"/>
    <w:rsid w:val="001B2946"/>
    <w:rsid w:val="001B2BD6"/>
    <w:rsid w:val="001B2D44"/>
    <w:rsid w:val="001B3E20"/>
    <w:rsid w:val="001B51C2"/>
    <w:rsid w:val="001B51F5"/>
    <w:rsid w:val="001B5470"/>
    <w:rsid w:val="001B586D"/>
    <w:rsid w:val="001B5AB1"/>
    <w:rsid w:val="001B5BD9"/>
    <w:rsid w:val="001B5F69"/>
    <w:rsid w:val="001B5F76"/>
    <w:rsid w:val="001B636E"/>
    <w:rsid w:val="001B6838"/>
    <w:rsid w:val="001B7400"/>
    <w:rsid w:val="001B752A"/>
    <w:rsid w:val="001B7868"/>
    <w:rsid w:val="001B7FE0"/>
    <w:rsid w:val="001C0510"/>
    <w:rsid w:val="001C0CD9"/>
    <w:rsid w:val="001C12FB"/>
    <w:rsid w:val="001C16AC"/>
    <w:rsid w:val="001C1CA7"/>
    <w:rsid w:val="001C1D8F"/>
    <w:rsid w:val="001C1EDB"/>
    <w:rsid w:val="001C2010"/>
    <w:rsid w:val="001C213D"/>
    <w:rsid w:val="001C2174"/>
    <w:rsid w:val="001C2DB4"/>
    <w:rsid w:val="001C31E7"/>
    <w:rsid w:val="001C3228"/>
    <w:rsid w:val="001C35E9"/>
    <w:rsid w:val="001C36BD"/>
    <w:rsid w:val="001C3733"/>
    <w:rsid w:val="001C3760"/>
    <w:rsid w:val="001C39B0"/>
    <w:rsid w:val="001C3CC2"/>
    <w:rsid w:val="001C4323"/>
    <w:rsid w:val="001C4792"/>
    <w:rsid w:val="001C49A0"/>
    <w:rsid w:val="001C49B3"/>
    <w:rsid w:val="001C4BE9"/>
    <w:rsid w:val="001C55C4"/>
    <w:rsid w:val="001C583A"/>
    <w:rsid w:val="001C5B30"/>
    <w:rsid w:val="001C64C1"/>
    <w:rsid w:val="001C68C6"/>
    <w:rsid w:val="001C737B"/>
    <w:rsid w:val="001C7470"/>
    <w:rsid w:val="001C759D"/>
    <w:rsid w:val="001D0676"/>
    <w:rsid w:val="001D1872"/>
    <w:rsid w:val="001D1F6E"/>
    <w:rsid w:val="001D2953"/>
    <w:rsid w:val="001D2D1F"/>
    <w:rsid w:val="001D3738"/>
    <w:rsid w:val="001D3C05"/>
    <w:rsid w:val="001D3FE3"/>
    <w:rsid w:val="001D4BBC"/>
    <w:rsid w:val="001D5ECE"/>
    <w:rsid w:val="001D6386"/>
    <w:rsid w:val="001D67DE"/>
    <w:rsid w:val="001D6AF4"/>
    <w:rsid w:val="001D6B3B"/>
    <w:rsid w:val="001D7480"/>
    <w:rsid w:val="001D78A1"/>
    <w:rsid w:val="001DD013"/>
    <w:rsid w:val="001E0693"/>
    <w:rsid w:val="001E06C6"/>
    <w:rsid w:val="001E0CC1"/>
    <w:rsid w:val="001E1110"/>
    <w:rsid w:val="001E1442"/>
    <w:rsid w:val="001E18E1"/>
    <w:rsid w:val="001E1951"/>
    <w:rsid w:val="001E1C10"/>
    <w:rsid w:val="001E1CD4"/>
    <w:rsid w:val="001E1FBA"/>
    <w:rsid w:val="001E2265"/>
    <w:rsid w:val="001E23B3"/>
    <w:rsid w:val="001E3CC0"/>
    <w:rsid w:val="001E3E4C"/>
    <w:rsid w:val="001E4892"/>
    <w:rsid w:val="001E4CCE"/>
    <w:rsid w:val="001E54D7"/>
    <w:rsid w:val="001E56E9"/>
    <w:rsid w:val="001E5C32"/>
    <w:rsid w:val="001E5CE1"/>
    <w:rsid w:val="001E5EE7"/>
    <w:rsid w:val="001E5EE8"/>
    <w:rsid w:val="001E600A"/>
    <w:rsid w:val="001E713E"/>
    <w:rsid w:val="001E7565"/>
    <w:rsid w:val="001E77C3"/>
    <w:rsid w:val="001E781D"/>
    <w:rsid w:val="001F0157"/>
    <w:rsid w:val="001F02B9"/>
    <w:rsid w:val="001F0568"/>
    <w:rsid w:val="001F090B"/>
    <w:rsid w:val="001F0EDE"/>
    <w:rsid w:val="001F180A"/>
    <w:rsid w:val="001F1A28"/>
    <w:rsid w:val="001F1AD0"/>
    <w:rsid w:val="001F24A2"/>
    <w:rsid w:val="001F24DC"/>
    <w:rsid w:val="001F2682"/>
    <w:rsid w:val="001F268A"/>
    <w:rsid w:val="001F35E8"/>
    <w:rsid w:val="001F4014"/>
    <w:rsid w:val="001F445E"/>
    <w:rsid w:val="001F4E09"/>
    <w:rsid w:val="001F6423"/>
    <w:rsid w:val="001F6A98"/>
    <w:rsid w:val="001F7FDB"/>
    <w:rsid w:val="0020023D"/>
    <w:rsid w:val="00200EFC"/>
    <w:rsid w:val="00200FCD"/>
    <w:rsid w:val="00201213"/>
    <w:rsid w:val="0020165E"/>
    <w:rsid w:val="0020171B"/>
    <w:rsid w:val="0020272E"/>
    <w:rsid w:val="0020288C"/>
    <w:rsid w:val="002029EF"/>
    <w:rsid w:val="00202E50"/>
    <w:rsid w:val="00203262"/>
    <w:rsid w:val="00203AC8"/>
    <w:rsid w:val="00204AAB"/>
    <w:rsid w:val="00204DD9"/>
    <w:rsid w:val="00205009"/>
    <w:rsid w:val="0020501F"/>
    <w:rsid w:val="00205180"/>
    <w:rsid w:val="002052E4"/>
    <w:rsid w:val="00205F46"/>
    <w:rsid w:val="00205F5D"/>
    <w:rsid w:val="002065FB"/>
    <w:rsid w:val="0020687E"/>
    <w:rsid w:val="00206B4D"/>
    <w:rsid w:val="00207192"/>
    <w:rsid w:val="00207258"/>
    <w:rsid w:val="00207F81"/>
    <w:rsid w:val="002109F4"/>
    <w:rsid w:val="00210FEC"/>
    <w:rsid w:val="002111B1"/>
    <w:rsid w:val="0021123F"/>
    <w:rsid w:val="00211274"/>
    <w:rsid w:val="00211AAB"/>
    <w:rsid w:val="00211ADA"/>
    <w:rsid w:val="00211FDA"/>
    <w:rsid w:val="00212562"/>
    <w:rsid w:val="002128A5"/>
    <w:rsid w:val="00212B68"/>
    <w:rsid w:val="00212F28"/>
    <w:rsid w:val="00213A07"/>
    <w:rsid w:val="00213A95"/>
    <w:rsid w:val="00213EAF"/>
    <w:rsid w:val="00213F6F"/>
    <w:rsid w:val="002145C0"/>
    <w:rsid w:val="002145CF"/>
    <w:rsid w:val="00214F27"/>
    <w:rsid w:val="0021560C"/>
    <w:rsid w:val="00215FDA"/>
    <w:rsid w:val="002160C2"/>
    <w:rsid w:val="0021615E"/>
    <w:rsid w:val="00216768"/>
    <w:rsid w:val="00216C59"/>
    <w:rsid w:val="00216D5C"/>
    <w:rsid w:val="0021727A"/>
    <w:rsid w:val="0021766A"/>
    <w:rsid w:val="00217A7F"/>
    <w:rsid w:val="00217EC5"/>
    <w:rsid w:val="00220079"/>
    <w:rsid w:val="002201FB"/>
    <w:rsid w:val="0022071B"/>
    <w:rsid w:val="00220B83"/>
    <w:rsid w:val="002210A7"/>
    <w:rsid w:val="002212A1"/>
    <w:rsid w:val="0022176F"/>
    <w:rsid w:val="00221BDB"/>
    <w:rsid w:val="00221C15"/>
    <w:rsid w:val="00221D61"/>
    <w:rsid w:val="00221E7D"/>
    <w:rsid w:val="00222013"/>
    <w:rsid w:val="002222B6"/>
    <w:rsid w:val="0022268D"/>
    <w:rsid w:val="002228B7"/>
    <w:rsid w:val="00222A09"/>
    <w:rsid w:val="00222BB9"/>
    <w:rsid w:val="00224F47"/>
    <w:rsid w:val="0022508D"/>
    <w:rsid w:val="00225873"/>
    <w:rsid w:val="002258D6"/>
    <w:rsid w:val="00225A7B"/>
    <w:rsid w:val="00226941"/>
    <w:rsid w:val="00227120"/>
    <w:rsid w:val="00227301"/>
    <w:rsid w:val="002274FB"/>
    <w:rsid w:val="00227993"/>
    <w:rsid w:val="00227DD5"/>
    <w:rsid w:val="002307B8"/>
    <w:rsid w:val="002309D2"/>
    <w:rsid w:val="0023115F"/>
    <w:rsid w:val="002311C7"/>
    <w:rsid w:val="002316DE"/>
    <w:rsid w:val="00231B61"/>
    <w:rsid w:val="00232176"/>
    <w:rsid w:val="0023229B"/>
    <w:rsid w:val="0023268F"/>
    <w:rsid w:val="00232C82"/>
    <w:rsid w:val="0023315B"/>
    <w:rsid w:val="002337F0"/>
    <w:rsid w:val="00233842"/>
    <w:rsid w:val="00233EF4"/>
    <w:rsid w:val="00234557"/>
    <w:rsid w:val="002347FE"/>
    <w:rsid w:val="00234841"/>
    <w:rsid w:val="0023510B"/>
    <w:rsid w:val="00235F31"/>
    <w:rsid w:val="002360D3"/>
    <w:rsid w:val="002363C8"/>
    <w:rsid w:val="002367CE"/>
    <w:rsid w:val="002374E9"/>
    <w:rsid w:val="00237C6D"/>
    <w:rsid w:val="00237F28"/>
    <w:rsid w:val="002407F7"/>
    <w:rsid w:val="0024094E"/>
    <w:rsid w:val="00240AFB"/>
    <w:rsid w:val="00240D0F"/>
    <w:rsid w:val="0024140B"/>
    <w:rsid w:val="0024178D"/>
    <w:rsid w:val="00241924"/>
    <w:rsid w:val="00242126"/>
    <w:rsid w:val="00242393"/>
    <w:rsid w:val="00242923"/>
    <w:rsid w:val="00242CCF"/>
    <w:rsid w:val="00242F5A"/>
    <w:rsid w:val="0024328D"/>
    <w:rsid w:val="0024392B"/>
    <w:rsid w:val="00244393"/>
    <w:rsid w:val="002450C6"/>
    <w:rsid w:val="002451BB"/>
    <w:rsid w:val="0024573E"/>
    <w:rsid w:val="00245B8C"/>
    <w:rsid w:val="00245DCF"/>
    <w:rsid w:val="00245DED"/>
    <w:rsid w:val="00246224"/>
    <w:rsid w:val="00246403"/>
    <w:rsid w:val="00246C65"/>
    <w:rsid w:val="00246EF4"/>
    <w:rsid w:val="002470E8"/>
    <w:rsid w:val="00247125"/>
    <w:rsid w:val="0024721F"/>
    <w:rsid w:val="00247633"/>
    <w:rsid w:val="00247C37"/>
    <w:rsid w:val="00250B25"/>
    <w:rsid w:val="00251A10"/>
    <w:rsid w:val="00251A8B"/>
    <w:rsid w:val="00252200"/>
    <w:rsid w:val="00252210"/>
    <w:rsid w:val="002527A9"/>
    <w:rsid w:val="002528A9"/>
    <w:rsid w:val="00252BFF"/>
    <w:rsid w:val="0025349D"/>
    <w:rsid w:val="002536AB"/>
    <w:rsid w:val="00253732"/>
    <w:rsid w:val="002537B1"/>
    <w:rsid w:val="00253A26"/>
    <w:rsid w:val="00253B10"/>
    <w:rsid w:val="00253CC0"/>
    <w:rsid w:val="002542A8"/>
    <w:rsid w:val="00255187"/>
    <w:rsid w:val="00255240"/>
    <w:rsid w:val="0025537F"/>
    <w:rsid w:val="002561A8"/>
    <w:rsid w:val="002563A3"/>
    <w:rsid w:val="00256A85"/>
    <w:rsid w:val="00256D69"/>
    <w:rsid w:val="00256DBE"/>
    <w:rsid w:val="00257048"/>
    <w:rsid w:val="0025761B"/>
    <w:rsid w:val="002579BD"/>
    <w:rsid w:val="002600C8"/>
    <w:rsid w:val="00260A11"/>
    <w:rsid w:val="00260F41"/>
    <w:rsid w:val="00260FA7"/>
    <w:rsid w:val="00261167"/>
    <w:rsid w:val="0026169A"/>
    <w:rsid w:val="002621AC"/>
    <w:rsid w:val="00262287"/>
    <w:rsid w:val="002625CE"/>
    <w:rsid w:val="00262763"/>
    <w:rsid w:val="00262C26"/>
    <w:rsid w:val="00262C5A"/>
    <w:rsid w:val="00263005"/>
    <w:rsid w:val="00263B3F"/>
    <w:rsid w:val="00263BF1"/>
    <w:rsid w:val="00263DFF"/>
    <w:rsid w:val="00264BEA"/>
    <w:rsid w:val="00264F81"/>
    <w:rsid w:val="00265672"/>
    <w:rsid w:val="00266691"/>
    <w:rsid w:val="00266731"/>
    <w:rsid w:val="00266B92"/>
    <w:rsid w:val="002674CF"/>
    <w:rsid w:val="00267850"/>
    <w:rsid w:val="002679C7"/>
    <w:rsid w:val="00267A30"/>
    <w:rsid w:val="00267B13"/>
    <w:rsid w:val="00267E6E"/>
    <w:rsid w:val="00270876"/>
    <w:rsid w:val="00270E94"/>
    <w:rsid w:val="00270F13"/>
    <w:rsid w:val="00271032"/>
    <w:rsid w:val="0027105E"/>
    <w:rsid w:val="00271875"/>
    <w:rsid w:val="00271F10"/>
    <w:rsid w:val="002724EA"/>
    <w:rsid w:val="0027308D"/>
    <w:rsid w:val="00273472"/>
    <w:rsid w:val="00273E3E"/>
    <w:rsid w:val="00273F12"/>
    <w:rsid w:val="0027401E"/>
    <w:rsid w:val="00274032"/>
    <w:rsid w:val="00274147"/>
    <w:rsid w:val="0027438D"/>
    <w:rsid w:val="00274D32"/>
    <w:rsid w:val="00275189"/>
    <w:rsid w:val="00275278"/>
    <w:rsid w:val="002756DC"/>
    <w:rsid w:val="002758CF"/>
    <w:rsid w:val="002762A7"/>
    <w:rsid w:val="00276412"/>
    <w:rsid w:val="00276437"/>
    <w:rsid w:val="00276A3D"/>
    <w:rsid w:val="00276BC5"/>
    <w:rsid w:val="00277243"/>
    <w:rsid w:val="002773AF"/>
    <w:rsid w:val="00277EE0"/>
    <w:rsid w:val="00280053"/>
    <w:rsid w:val="0028063F"/>
    <w:rsid w:val="00280740"/>
    <w:rsid w:val="00280846"/>
    <w:rsid w:val="00280B0C"/>
    <w:rsid w:val="00280C47"/>
    <w:rsid w:val="00280CC3"/>
    <w:rsid w:val="00280DC4"/>
    <w:rsid w:val="00280F9E"/>
    <w:rsid w:val="00281091"/>
    <w:rsid w:val="002818A8"/>
    <w:rsid w:val="00281C11"/>
    <w:rsid w:val="002831BC"/>
    <w:rsid w:val="00283B02"/>
    <w:rsid w:val="00283C5D"/>
    <w:rsid w:val="002844B0"/>
    <w:rsid w:val="002844E6"/>
    <w:rsid w:val="002845BC"/>
    <w:rsid w:val="00284D7F"/>
    <w:rsid w:val="00285037"/>
    <w:rsid w:val="00285B0E"/>
    <w:rsid w:val="00286322"/>
    <w:rsid w:val="00287970"/>
    <w:rsid w:val="002879FC"/>
    <w:rsid w:val="00287A37"/>
    <w:rsid w:val="00290D25"/>
    <w:rsid w:val="00290F74"/>
    <w:rsid w:val="0029107D"/>
    <w:rsid w:val="0029112F"/>
    <w:rsid w:val="00291191"/>
    <w:rsid w:val="00291609"/>
    <w:rsid w:val="00291B35"/>
    <w:rsid w:val="00291F71"/>
    <w:rsid w:val="00292772"/>
    <w:rsid w:val="0029335D"/>
    <w:rsid w:val="00293386"/>
    <w:rsid w:val="002939BF"/>
    <w:rsid w:val="00294760"/>
    <w:rsid w:val="0029494D"/>
    <w:rsid w:val="00294B00"/>
    <w:rsid w:val="00294E7C"/>
    <w:rsid w:val="00294EA6"/>
    <w:rsid w:val="00295A7D"/>
    <w:rsid w:val="00295D83"/>
    <w:rsid w:val="00296223"/>
    <w:rsid w:val="00296B03"/>
    <w:rsid w:val="00296C1F"/>
    <w:rsid w:val="00296EBC"/>
    <w:rsid w:val="00297172"/>
    <w:rsid w:val="002973C6"/>
    <w:rsid w:val="002974A4"/>
    <w:rsid w:val="002A021E"/>
    <w:rsid w:val="002A02A1"/>
    <w:rsid w:val="002A06FA"/>
    <w:rsid w:val="002A08E3"/>
    <w:rsid w:val="002A0B4C"/>
    <w:rsid w:val="002A0CB3"/>
    <w:rsid w:val="002A11FC"/>
    <w:rsid w:val="002A1B01"/>
    <w:rsid w:val="002A1DC0"/>
    <w:rsid w:val="002A23F3"/>
    <w:rsid w:val="002A2E6C"/>
    <w:rsid w:val="002A30A3"/>
    <w:rsid w:val="002A3C3B"/>
    <w:rsid w:val="002A40AD"/>
    <w:rsid w:val="002A41E6"/>
    <w:rsid w:val="002A44C8"/>
    <w:rsid w:val="002A545A"/>
    <w:rsid w:val="002A58D5"/>
    <w:rsid w:val="002A5A67"/>
    <w:rsid w:val="002A5C31"/>
    <w:rsid w:val="002A5E48"/>
    <w:rsid w:val="002A634F"/>
    <w:rsid w:val="002A6A8D"/>
    <w:rsid w:val="002A6AD9"/>
    <w:rsid w:val="002A6D7D"/>
    <w:rsid w:val="002A73D4"/>
    <w:rsid w:val="002A7B7D"/>
    <w:rsid w:val="002B0059"/>
    <w:rsid w:val="002B0455"/>
    <w:rsid w:val="002B069C"/>
    <w:rsid w:val="002B07D1"/>
    <w:rsid w:val="002B1785"/>
    <w:rsid w:val="002B1B2D"/>
    <w:rsid w:val="002B1C70"/>
    <w:rsid w:val="002B1CE6"/>
    <w:rsid w:val="002B212C"/>
    <w:rsid w:val="002B23D9"/>
    <w:rsid w:val="002B261C"/>
    <w:rsid w:val="002B2BEE"/>
    <w:rsid w:val="002B35C5"/>
    <w:rsid w:val="002B3935"/>
    <w:rsid w:val="002B3E39"/>
    <w:rsid w:val="002B406A"/>
    <w:rsid w:val="002B41D4"/>
    <w:rsid w:val="002B47B4"/>
    <w:rsid w:val="002B49F2"/>
    <w:rsid w:val="002B543F"/>
    <w:rsid w:val="002B578F"/>
    <w:rsid w:val="002B5935"/>
    <w:rsid w:val="002B5C07"/>
    <w:rsid w:val="002B5E9F"/>
    <w:rsid w:val="002B5EA3"/>
    <w:rsid w:val="002B6165"/>
    <w:rsid w:val="002B6D3A"/>
    <w:rsid w:val="002B6E8C"/>
    <w:rsid w:val="002B7260"/>
    <w:rsid w:val="002B7564"/>
    <w:rsid w:val="002B7928"/>
    <w:rsid w:val="002B7D73"/>
    <w:rsid w:val="002B7DD7"/>
    <w:rsid w:val="002C06E3"/>
    <w:rsid w:val="002C0801"/>
    <w:rsid w:val="002C1173"/>
    <w:rsid w:val="002C12FB"/>
    <w:rsid w:val="002C145F"/>
    <w:rsid w:val="002C28D1"/>
    <w:rsid w:val="002C2D0F"/>
    <w:rsid w:val="002C33B3"/>
    <w:rsid w:val="002C3564"/>
    <w:rsid w:val="002C4475"/>
    <w:rsid w:val="002C44B0"/>
    <w:rsid w:val="002C4E07"/>
    <w:rsid w:val="002C5945"/>
    <w:rsid w:val="002C5B1D"/>
    <w:rsid w:val="002C6C0E"/>
    <w:rsid w:val="002C766F"/>
    <w:rsid w:val="002C7923"/>
    <w:rsid w:val="002C7A7C"/>
    <w:rsid w:val="002D03D1"/>
    <w:rsid w:val="002D0586"/>
    <w:rsid w:val="002D06AC"/>
    <w:rsid w:val="002D0711"/>
    <w:rsid w:val="002D0B67"/>
    <w:rsid w:val="002D0EA2"/>
    <w:rsid w:val="002D1023"/>
    <w:rsid w:val="002D1459"/>
    <w:rsid w:val="002D1470"/>
    <w:rsid w:val="002D191B"/>
    <w:rsid w:val="002D1C8B"/>
    <w:rsid w:val="002D1FD4"/>
    <w:rsid w:val="002D21CF"/>
    <w:rsid w:val="002D21E6"/>
    <w:rsid w:val="002D2606"/>
    <w:rsid w:val="002D26F3"/>
    <w:rsid w:val="002D2FDC"/>
    <w:rsid w:val="002D3127"/>
    <w:rsid w:val="002D31F6"/>
    <w:rsid w:val="002D33B7"/>
    <w:rsid w:val="002D3CCF"/>
    <w:rsid w:val="002D3DB7"/>
    <w:rsid w:val="002D4705"/>
    <w:rsid w:val="002D5B65"/>
    <w:rsid w:val="002D5C85"/>
    <w:rsid w:val="002D6396"/>
    <w:rsid w:val="002D645C"/>
    <w:rsid w:val="002D668D"/>
    <w:rsid w:val="002D6FCB"/>
    <w:rsid w:val="002D798D"/>
    <w:rsid w:val="002D7E5E"/>
    <w:rsid w:val="002D7F70"/>
    <w:rsid w:val="002E00C7"/>
    <w:rsid w:val="002E07BA"/>
    <w:rsid w:val="002E07EF"/>
    <w:rsid w:val="002E0D06"/>
    <w:rsid w:val="002E0D20"/>
    <w:rsid w:val="002E0D39"/>
    <w:rsid w:val="002E1186"/>
    <w:rsid w:val="002E120B"/>
    <w:rsid w:val="002E1810"/>
    <w:rsid w:val="002E2900"/>
    <w:rsid w:val="002E2D70"/>
    <w:rsid w:val="002E2E97"/>
    <w:rsid w:val="002E2F56"/>
    <w:rsid w:val="002E3D09"/>
    <w:rsid w:val="002E481D"/>
    <w:rsid w:val="002E4E94"/>
    <w:rsid w:val="002E4FDD"/>
    <w:rsid w:val="002E5857"/>
    <w:rsid w:val="002E5DEE"/>
    <w:rsid w:val="002E6BFA"/>
    <w:rsid w:val="002F0004"/>
    <w:rsid w:val="002F0AFF"/>
    <w:rsid w:val="002F0D30"/>
    <w:rsid w:val="002F0D58"/>
    <w:rsid w:val="002F117D"/>
    <w:rsid w:val="002F12D8"/>
    <w:rsid w:val="002F12DD"/>
    <w:rsid w:val="002F1F28"/>
    <w:rsid w:val="002F22BE"/>
    <w:rsid w:val="002F2810"/>
    <w:rsid w:val="002F2978"/>
    <w:rsid w:val="002F2BFC"/>
    <w:rsid w:val="002F301C"/>
    <w:rsid w:val="002F3A98"/>
    <w:rsid w:val="002F42F5"/>
    <w:rsid w:val="002F43CA"/>
    <w:rsid w:val="002F57AA"/>
    <w:rsid w:val="002F6567"/>
    <w:rsid w:val="002F6BA9"/>
    <w:rsid w:val="002F6EF7"/>
    <w:rsid w:val="002F714C"/>
    <w:rsid w:val="002F77BF"/>
    <w:rsid w:val="002F7E10"/>
    <w:rsid w:val="0030039A"/>
    <w:rsid w:val="003004A2"/>
    <w:rsid w:val="00300A3A"/>
    <w:rsid w:val="00301872"/>
    <w:rsid w:val="00301F41"/>
    <w:rsid w:val="0030238E"/>
    <w:rsid w:val="00302896"/>
    <w:rsid w:val="00302A6A"/>
    <w:rsid w:val="00302BA6"/>
    <w:rsid w:val="003032A0"/>
    <w:rsid w:val="00303389"/>
    <w:rsid w:val="00303598"/>
    <w:rsid w:val="00303A70"/>
    <w:rsid w:val="00303DD5"/>
    <w:rsid w:val="003042E0"/>
    <w:rsid w:val="003042EC"/>
    <w:rsid w:val="00304DBC"/>
    <w:rsid w:val="00305181"/>
    <w:rsid w:val="00305373"/>
    <w:rsid w:val="0030541B"/>
    <w:rsid w:val="00305CEF"/>
    <w:rsid w:val="0030656B"/>
    <w:rsid w:val="003070A5"/>
    <w:rsid w:val="00307B74"/>
    <w:rsid w:val="00310764"/>
    <w:rsid w:val="00310FBE"/>
    <w:rsid w:val="00311543"/>
    <w:rsid w:val="00311636"/>
    <w:rsid w:val="00311BFD"/>
    <w:rsid w:val="00311C7F"/>
    <w:rsid w:val="00311D1B"/>
    <w:rsid w:val="00312809"/>
    <w:rsid w:val="00312D4B"/>
    <w:rsid w:val="00312E71"/>
    <w:rsid w:val="00312FA9"/>
    <w:rsid w:val="003131BB"/>
    <w:rsid w:val="0031322C"/>
    <w:rsid w:val="00313518"/>
    <w:rsid w:val="00313D9C"/>
    <w:rsid w:val="003141CD"/>
    <w:rsid w:val="00314718"/>
    <w:rsid w:val="0031488A"/>
    <w:rsid w:val="00314FE9"/>
    <w:rsid w:val="00314FF0"/>
    <w:rsid w:val="003159D1"/>
    <w:rsid w:val="0031657D"/>
    <w:rsid w:val="00317524"/>
    <w:rsid w:val="003175E1"/>
    <w:rsid w:val="00317714"/>
    <w:rsid w:val="00317858"/>
    <w:rsid w:val="00317F1A"/>
    <w:rsid w:val="003200E7"/>
    <w:rsid w:val="00320203"/>
    <w:rsid w:val="00320A0B"/>
    <w:rsid w:val="00320C73"/>
    <w:rsid w:val="00320E69"/>
    <w:rsid w:val="0032114A"/>
    <w:rsid w:val="00321871"/>
    <w:rsid w:val="003219DD"/>
    <w:rsid w:val="00321A99"/>
    <w:rsid w:val="00321B10"/>
    <w:rsid w:val="00322002"/>
    <w:rsid w:val="00322033"/>
    <w:rsid w:val="00322341"/>
    <w:rsid w:val="00322CFF"/>
    <w:rsid w:val="00322D7B"/>
    <w:rsid w:val="00324007"/>
    <w:rsid w:val="00324101"/>
    <w:rsid w:val="0032460D"/>
    <w:rsid w:val="003247B0"/>
    <w:rsid w:val="003250C6"/>
    <w:rsid w:val="00325E81"/>
    <w:rsid w:val="00326732"/>
    <w:rsid w:val="00326794"/>
    <w:rsid w:val="00326948"/>
    <w:rsid w:val="00326E42"/>
    <w:rsid w:val="00327052"/>
    <w:rsid w:val="00327DFD"/>
    <w:rsid w:val="00327EDC"/>
    <w:rsid w:val="00327F4B"/>
    <w:rsid w:val="00330948"/>
    <w:rsid w:val="00331A2B"/>
    <w:rsid w:val="00331B68"/>
    <w:rsid w:val="003322CD"/>
    <w:rsid w:val="00332C0A"/>
    <w:rsid w:val="00332E5D"/>
    <w:rsid w:val="0033372A"/>
    <w:rsid w:val="0033399A"/>
    <w:rsid w:val="00333D83"/>
    <w:rsid w:val="00334373"/>
    <w:rsid w:val="00334425"/>
    <w:rsid w:val="003346F4"/>
    <w:rsid w:val="0033486D"/>
    <w:rsid w:val="00334914"/>
    <w:rsid w:val="00335228"/>
    <w:rsid w:val="0033528E"/>
    <w:rsid w:val="0033535C"/>
    <w:rsid w:val="00335A72"/>
    <w:rsid w:val="003367C4"/>
    <w:rsid w:val="00336D8E"/>
    <w:rsid w:val="00336E60"/>
    <w:rsid w:val="00337329"/>
    <w:rsid w:val="003376B3"/>
    <w:rsid w:val="003376FD"/>
    <w:rsid w:val="00340E24"/>
    <w:rsid w:val="0034124E"/>
    <w:rsid w:val="0034157B"/>
    <w:rsid w:val="003420A3"/>
    <w:rsid w:val="00342249"/>
    <w:rsid w:val="00342620"/>
    <w:rsid w:val="00342CCF"/>
    <w:rsid w:val="00342DBA"/>
    <w:rsid w:val="0034307C"/>
    <w:rsid w:val="003435E4"/>
    <w:rsid w:val="0034368C"/>
    <w:rsid w:val="0034395F"/>
    <w:rsid w:val="00343C78"/>
    <w:rsid w:val="003441F7"/>
    <w:rsid w:val="00344395"/>
    <w:rsid w:val="00344C9B"/>
    <w:rsid w:val="0034594F"/>
    <w:rsid w:val="00345A28"/>
    <w:rsid w:val="00345D1B"/>
    <w:rsid w:val="00345F79"/>
    <w:rsid w:val="00345F9C"/>
    <w:rsid w:val="00346822"/>
    <w:rsid w:val="00346EAD"/>
    <w:rsid w:val="00347604"/>
    <w:rsid w:val="0034761B"/>
    <w:rsid w:val="00347776"/>
    <w:rsid w:val="00350270"/>
    <w:rsid w:val="003504CD"/>
    <w:rsid w:val="003507DA"/>
    <w:rsid w:val="00350B17"/>
    <w:rsid w:val="00350E6A"/>
    <w:rsid w:val="00351A91"/>
    <w:rsid w:val="003520C4"/>
    <w:rsid w:val="003523B0"/>
    <w:rsid w:val="00352947"/>
    <w:rsid w:val="003533AE"/>
    <w:rsid w:val="00353EC8"/>
    <w:rsid w:val="00354110"/>
    <w:rsid w:val="00355177"/>
    <w:rsid w:val="0035569C"/>
    <w:rsid w:val="0035585A"/>
    <w:rsid w:val="00355995"/>
    <w:rsid w:val="00355B75"/>
    <w:rsid w:val="00355E14"/>
    <w:rsid w:val="00355ED4"/>
    <w:rsid w:val="003560A4"/>
    <w:rsid w:val="00356282"/>
    <w:rsid w:val="003563C3"/>
    <w:rsid w:val="00356704"/>
    <w:rsid w:val="00356A58"/>
    <w:rsid w:val="00357851"/>
    <w:rsid w:val="00357C5E"/>
    <w:rsid w:val="00360425"/>
    <w:rsid w:val="00360450"/>
    <w:rsid w:val="003606B1"/>
    <w:rsid w:val="003608BD"/>
    <w:rsid w:val="0036104F"/>
    <w:rsid w:val="00361280"/>
    <w:rsid w:val="003615F1"/>
    <w:rsid w:val="00361A6E"/>
    <w:rsid w:val="00361ABA"/>
    <w:rsid w:val="003626AF"/>
    <w:rsid w:val="00362AE1"/>
    <w:rsid w:val="00362D26"/>
    <w:rsid w:val="00363064"/>
    <w:rsid w:val="003639E7"/>
    <w:rsid w:val="00363D7F"/>
    <w:rsid w:val="00364671"/>
    <w:rsid w:val="00364780"/>
    <w:rsid w:val="0036531E"/>
    <w:rsid w:val="0036655E"/>
    <w:rsid w:val="003671E8"/>
    <w:rsid w:val="003673F5"/>
    <w:rsid w:val="00367964"/>
    <w:rsid w:val="00367C66"/>
    <w:rsid w:val="00370054"/>
    <w:rsid w:val="003700B2"/>
    <w:rsid w:val="00370645"/>
    <w:rsid w:val="00370B48"/>
    <w:rsid w:val="00370D0A"/>
    <w:rsid w:val="00371286"/>
    <w:rsid w:val="00371523"/>
    <w:rsid w:val="0037199E"/>
    <w:rsid w:val="0037223E"/>
    <w:rsid w:val="0037233D"/>
    <w:rsid w:val="003729C2"/>
    <w:rsid w:val="003736EF"/>
    <w:rsid w:val="003737E3"/>
    <w:rsid w:val="003739FE"/>
    <w:rsid w:val="00373D32"/>
    <w:rsid w:val="003748F5"/>
    <w:rsid w:val="00374B3B"/>
    <w:rsid w:val="003755F2"/>
    <w:rsid w:val="003759F0"/>
    <w:rsid w:val="003762C1"/>
    <w:rsid w:val="003763F2"/>
    <w:rsid w:val="00376664"/>
    <w:rsid w:val="00376B83"/>
    <w:rsid w:val="0037700D"/>
    <w:rsid w:val="003771A4"/>
    <w:rsid w:val="003771C9"/>
    <w:rsid w:val="00377966"/>
    <w:rsid w:val="00377C1B"/>
    <w:rsid w:val="00380522"/>
    <w:rsid w:val="00380815"/>
    <w:rsid w:val="00380A1A"/>
    <w:rsid w:val="00380D80"/>
    <w:rsid w:val="00380F62"/>
    <w:rsid w:val="00381B88"/>
    <w:rsid w:val="00381D0D"/>
    <w:rsid w:val="0038252A"/>
    <w:rsid w:val="00383C76"/>
    <w:rsid w:val="00383E4D"/>
    <w:rsid w:val="00384728"/>
    <w:rsid w:val="003847E8"/>
    <w:rsid w:val="00384A94"/>
    <w:rsid w:val="00384CA6"/>
    <w:rsid w:val="0038500E"/>
    <w:rsid w:val="003853D7"/>
    <w:rsid w:val="003857F9"/>
    <w:rsid w:val="00386CBB"/>
    <w:rsid w:val="0038761D"/>
    <w:rsid w:val="003906F8"/>
    <w:rsid w:val="00390700"/>
    <w:rsid w:val="003910A2"/>
    <w:rsid w:val="0039131C"/>
    <w:rsid w:val="0039165B"/>
    <w:rsid w:val="00392602"/>
    <w:rsid w:val="003935EE"/>
    <w:rsid w:val="0039361B"/>
    <w:rsid w:val="00393A12"/>
    <w:rsid w:val="00393B48"/>
    <w:rsid w:val="00393EE9"/>
    <w:rsid w:val="0039408A"/>
    <w:rsid w:val="003945F5"/>
    <w:rsid w:val="00394852"/>
    <w:rsid w:val="003948AD"/>
    <w:rsid w:val="00394A8F"/>
    <w:rsid w:val="0039556E"/>
    <w:rsid w:val="0039632A"/>
    <w:rsid w:val="00396616"/>
    <w:rsid w:val="0039673D"/>
    <w:rsid w:val="00397588"/>
    <w:rsid w:val="003975DA"/>
    <w:rsid w:val="00397893"/>
    <w:rsid w:val="0039797C"/>
    <w:rsid w:val="003A0441"/>
    <w:rsid w:val="003A143B"/>
    <w:rsid w:val="003A1935"/>
    <w:rsid w:val="003A1AB7"/>
    <w:rsid w:val="003A1DD6"/>
    <w:rsid w:val="003A2407"/>
    <w:rsid w:val="003A242A"/>
    <w:rsid w:val="003A264C"/>
    <w:rsid w:val="003A2A5A"/>
    <w:rsid w:val="003A2C8D"/>
    <w:rsid w:val="003A2CF0"/>
    <w:rsid w:val="003A32A8"/>
    <w:rsid w:val="003A33D3"/>
    <w:rsid w:val="003A340D"/>
    <w:rsid w:val="003A380A"/>
    <w:rsid w:val="003A3880"/>
    <w:rsid w:val="003A3ED0"/>
    <w:rsid w:val="003A43B7"/>
    <w:rsid w:val="003A4716"/>
    <w:rsid w:val="003A4793"/>
    <w:rsid w:val="003A4B52"/>
    <w:rsid w:val="003A4D30"/>
    <w:rsid w:val="003A5411"/>
    <w:rsid w:val="003A59D2"/>
    <w:rsid w:val="003A5BC5"/>
    <w:rsid w:val="003A5D55"/>
    <w:rsid w:val="003A6676"/>
    <w:rsid w:val="003A68E0"/>
    <w:rsid w:val="003A6CD1"/>
    <w:rsid w:val="003A6DB7"/>
    <w:rsid w:val="003A72A6"/>
    <w:rsid w:val="003A7388"/>
    <w:rsid w:val="003A75E6"/>
    <w:rsid w:val="003A763E"/>
    <w:rsid w:val="003A7C3B"/>
    <w:rsid w:val="003B0271"/>
    <w:rsid w:val="003B0544"/>
    <w:rsid w:val="003B08D2"/>
    <w:rsid w:val="003B0B93"/>
    <w:rsid w:val="003B0C6C"/>
    <w:rsid w:val="003B0DB9"/>
    <w:rsid w:val="003B0F0B"/>
    <w:rsid w:val="003B1041"/>
    <w:rsid w:val="003B1279"/>
    <w:rsid w:val="003B1307"/>
    <w:rsid w:val="003B15D1"/>
    <w:rsid w:val="003B1843"/>
    <w:rsid w:val="003B21F2"/>
    <w:rsid w:val="003B255B"/>
    <w:rsid w:val="003B276E"/>
    <w:rsid w:val="003B2A8A"/>
    <w:rsid w:val="003B2D50"/>
    <w:rsid w:val="003B317C"/>
    <w:rsid w:val="003B3317"/>
    <w:rsid w:val="003B3357"/>
    <w:rsid w:val="003B33BF"/>
    <w:rsid w:val="003B3936"/>
    <w:rsid w:val="003B41CE"/>
    <w:rsid w:val="003B4B2F"/>
    <w:rsid w:val="003B4C50"/>
    <w:rsid w:val="003B52D4"/>
    <w:rsid w:val="003B5545"/>
    <w:rsid w:val="003B5F55"/>
    <w:rsid w:val="003B665F"/>
    <w:rsid w:val="003B67A6"/>
    <w:rsid w:val="003B6B96"/>
    <w:rsid w:val="003B7110"/>
    <w:rsid w:val="003B77FD"/>
    <w:rsid w:val="003C04B6"/>
    <w:rsid w:val="003C0855"/>
    <w:rsid w:val="003C0875"/>
    <w:rsid w:val="003C090A"/>
    <w:rsid w:val="003C0ED2"/>
    <w:rsid w:val="003C0FC1"/>
    <w:rsid w:val="003C1149"/>
    <w:rsid w:val="003C117C"/>
    <w:rsid w:val="003C15F0"/>
    <w:rsid w:val="003C1801"/>
    <w:rsid w:val="003C1C58"/>
    <w:rsid w:val="003C1CA5"/>
    <w:rsid w:val="003C1EC7"/>
    <w:rsid w:val="003C26DA"/>
    <w:rsid w:val="003C27DB"/>
    <w:rsid w:val="003C281E"/>
    <w:rsid w:val="003C2F4A"/>
    <w:rsid w:val="003C3527"/>
    <w:rsid w:val="003C36C6"/>
    <w:rsid w:val="003C3CB6"/>
    <w:rsid w:val="003C3D8E"/>
    <w:rsid w:val="003C482A"/>
    <w:rsid w:val="003C577A"/>
    <w:rsid w:val="003C5E61"/>
    <w:rsid w:val="003C62E2"/>
    <w:rsid w:val="003C637B"/>
    <w:rsid w:val="003C64A0"/>
    <w:rsid w:val="003C6529"/>
    <w:rsid w:val="003C6B8C"/>
    <w:rsid w:val="003C6C4D"/>
    <w:rsid w:val="003C6CF4"/>
    <w:rsid w:val="003C6F0B"/>
    <w:rsid w:val="003C7643"/>
    <w:rsid w:val="003C7BA3"/>
    <w:rsid w:val="003C7C0B"/>
    <w:rsid w:val="003D09E2"/>
    <w:rsid w:val="003D0CAC"/>
    <w:rsid w:val="003D1A1A"/>
    <w:rsid w:val="003D278C"/>
    <w:rsid w:val="003D2925"/>
    <w:rsid w:val="003D2B77"/>
    <w:rsid w:val="003D2E34"/>
    <w:rsid w:val="003D316A"/>
    <w:rsid w:val="003D3439"/>
    <w:rsid w:val="003D3642"/>
    <w:rsid w:val="003D3976"/>
    <w:rsid w:val="003D4228"/>
    <w:rsid w:val="003D456A"/>
    <w:rsid w:val="003D4B8E"/>
    <w:rsid w:val="003D4D02"/>
    <w:rsid w:val="003D4D89"/>
    <w:rsid w:val="003D4E9C"/>
    <w:rsid w:val="003D50D9"/>
    <w:rsid w:val="003D5298"/>
    <w:rsid w:val="003D591D"/>
    <w:rsid w:val="003D5EE8"/>
    <w:rsid w:val="003D5F07"/>
    <w:rsid w:val="003D6897"/>
    <w:rsid w:val="003D692A"/>
    <w:rsid w:val="003D6A11"/>
    <w:rsid w:val="003D6C50"/>
    <w:rsid w:val="003E0185"/>
    <w:rsid w:val="003E0496"/>
    <w:rsid w:val="003E081F"/>
    <w:rsid w:val="003E0D78"/>
    <w:rsid w:val="003E0F6B"/>
    <w:rsid w:val="003E115F"/>
    <w:rsid w:val="003E17FA"/>
    <w:rsid w:val="003E1869"/>
    <w:rsid w:val="003E1CB1"/>
    <w:rsid w:val="003E1D19"/>
    <w:rsid w:val="003E2A5C"/>
    <w:rsid w:val="003E3147"/>
    <w:rsid w:val="003E3190"/>
    <w:rsid w:val="003E3A1D"/>
    <w:rsid w:val="003E4510"/>
    <w:rsid w:val="003E4B18"/>
    <w:rsid w:val="003E4C8E"/>
    <w:rsid w:val="003E67FC"/>
    <w:rsid w:val="003E6A15"/>
    <w:rsid w:val="003E6BE7"/>
    <w:rsid w:val="003E6CA0"/>
    <w:rsid w:val="003E7CB7"/>
    <w:rsid w:val="003E7F2C"/>
    <w:rsid w:val="003E7F84"/>
    <w:rsid w:val="003F1067"/>
    <w:rsid w:val="003F1A79"/>
    <w:rsid w:val="003F1F41"/>
    <w:rsid w:val="003F22EC"/>
    <w:rsid w:val="003F2FDE"/>
    <w:rsid w:val="003F330B"/>
    <w:rsid w:val="003F3819"/>
    <w:rsid w:val="003F5381"/>
    <w:rsid w:val="003F5609"/>
    <w:rsid w:val="003F58B9"/>
    <w:rsid w:val="003F6040"/>
    <w:rsid w:val="003F61F8"/>
    <w:rsid w:val="003F673A"/>
    <w:rsid w:val="003F6919"/>
    <w:rsid w:val="003F69C9"/>
    <w:rsid w:val="003F6EA3"/>
    <w:rsid w:val="003F6FDF"/>
    <w:rsid w:val="003F7082"/>
    <w:rsid w:val="003F793C"/>
    <w:rsid w:val="003F7D61"/>
    <w:rsid w:val="004005C1"/>
    <w:rsid w:val="00400707"/>
    <w:rsid w:val="004007EC"/>
    <w:rsid w:val="0040088D"/>
    <w:rsid w:val="00400C22"/>
    <w:rsid w:val="00400FDB"/>
    <w:rsid w:val="004011DC"/>
    <w:rsid w:val="004016F5"/>
    <w:rsid w:val="004018AF"/>
    <w:rsid w:val="00401CB9"/>
    <w:rsid w:val="00402093"/>
    <w:rsid w:val="00402415"/>
    <w:rsid w:val="0040276B"/>
    <w:rsid w:val="00403FA4"/>
    <w:rsid w:val="004045AA"/>
    <w:rsid w:val="0040549A"/>
    <w:rsid w:val="00405CC9"/>
    <w:rsid w:val="004065E2"/>
    <w:rsid w:val="00406755"/>
    <w:rsid w:val="004067BF"/>
    <w:rsid w:val="0040711E"/>
    <w:rsid w:val="004071AD"/>
    <w:rsid w:val="004073C0"/>
    <w:rsid w:val="00407583"/>
    <w:rsid w:val="00407D67"/>
    <w:rsid w:val="00410313"/>
    <w:rsid w:val="00411334"/>
    <w:rsid w:val="0041148F"/>
    <w:rsid w:val="00411819"/>
    <w:rsid w:val="00411A5F"/>
    <w:rsid w:val="00412450"/>
    <w:rsid w:val="004127CF"/>
    <w:rsid w:val="00412920"/>
    <w:rsid w:val="0041308C"/>
    <w:rsid w:val="004130AF"/>
    <w:rsid w:val="004138DE"/>
    <w:rsid w:val="00413B39"/>
    <w:rsid w:val="00413CCA"/>
    <w:rsid w:val="004146FA"/>
    <w:rsid w:val="00414B2F"/>
    <w:rsid w:val="00414D49"/>
    <w:rsid w:val="004150A2"/>
    <w:rsid w:val="004153D5"/>
    <w:rsid w:val="004154EB"/>
    <w:rsid w:val="00415A59"/>
    <w:rsid w:val="00415E58"/>
    <w:rsid w:val="00416231"/>
    <w:rsid w:val="00416577"/>
    <w:rsid w:val="00417166"/>
    <w:rsid w:val="00417517"/>
    <w:rsid w:val="00417F00"/>
    <w:rsid w:val="004204B2"/>
    <w:rsid w:val="004208AB"/>
    <w:rsid w:val="00420DB0"/>
    <w:rsid w:val="004212F0"/>
    <w:rsid w:val="004219EF"/>
    <w:rsid w:val="00421A52"/>
    <w:rsid w:val="00421A72"/>
    <w:rsid w:val="00422500"/>
    <w:rsid w:val="00422A03"/>
    <w:rsid w:val="00422ACE"/>
    <w:rsid w:val="00422AE5"/>
    <w:rsid w:val="00422D22"/>
    <w:rsid w:val="004233E7"/>
    <w:rsid w:val="00423B6F"/>
    <w:rsid w:val="00424348"/>
    <w:rsid w:val="00424648"/>
    <w:rsid w:val="00424B44"/>
    <w:rsid w:val="0042586D"/>
    <w:rsid w:val="00426934"/>
    <w:rsid w:val="00426CD9"/>
    <w:rsid w:val="00427549"/>
    <w:rsid w:val="0042764D"/>
    <w:rsid w:val="004278E0"/>
    <w:rsid w:val="00427DD5"/>
    <w:rsid w:val="004304F3"/>
    <w:rsid w:val="00430638"/>
    <w:rsid w:val="00430C3A"/>
    <w:rsid w:val="00430FEB"/>
    <w:rsid w:val="004310EE"/>
    <w:rsid w:val="0043136E"/>
    <w:rsid w:val="00431D2E"/>
    <w:rsid w:val="00431F64"/>
    <w:rsid w:val="004323E3"/>
    <w:rsid w:val="00432427"/>
    <w:rsid w:val="00432B2B"/>
    <w:rsid w:val="0043310D"/>
    <w:rsid w:val="00433191"/>
    <w:rsid w:val="00433677"/>
    <w:rsid w:val="00433790"/>
    <w:rsid w:val="00433CF8"/>
    <w:rsid w:val="004340D5"/>
    <w:rsid w:val="00434189"/>
    <w:rsid w:val="004343C4"/>
    <w:rsid w:val="00434880"/>
    <w:rsid w:val="004348A0"/>
    <w:rsid w:val="004349E1"/>
    <w:rsid w:val="00434A21"/>
    <w:rsid w:val="00434DC1"/>
    <w:rsid w:val="0043505E"/>
    <w:rsid w:val="004351D0"/>
    <w:rsid w:val="0043526D"/>
    <w:rsid w:val="00435590"/>
    <w:rsid w:val="004356A2"/>
    <w:rsid w:val="00435A09"/>
    <w:rsid w:val="00435B76"/>
    <w:rsid w:val="00435B85"/>
    <w:rsid w:val="00435BB8"/>
    <w:rsid w:val="004360E5"/>
    <w:rsid w:val="004410CD"/>
    <w:rsid w:val="0044133A"/>
    <w:rsid w:val="004416D6"/>
    <w:rsid w:val="00441E86"/>
    <w:rsid w:val="00442453"/>
    <w:rsid w:val="00442593"/>
    <w:rsid w:val="00443668"/>
    <w:rsid w:val="004437BA"/>
    <w:rsid w:val="0044394C"/>
    <w:rsid w:val="004439E0"/>
    <w:rsid w:val="004444BC"/>
    <w:rsid w:val="004445D5"/>
    <w:rsid w:val="00444DC2"/>
    <w:rsid w:val="004453C7"/>
    <w:rsid w:val="0044553B"/>
    <w:rsid w:val="004457BD"/>
    <w:rsid w:val="004460E9"/>
    <w:rsid w:val="0044612C"/>
    <w:rsid w:val="00446EDD"/>
    <w:rsid w:val="0044750B"/>
    <w:rsid w:val="00447555"/>
    <w:rsid w:val="00447AE9"/>
    <w:rsid w:val="00447B6F"/>
    <w:rsid w:val="004501E5"/>
    <w:rsid w:val="0045025F"/>
    <w:rsid w:val="00450825"/>
    <w:rsid w:val="004510E3"/>
    <w:rsid w:val="004511D1"/>
    <w:rsid w:val="00451294"/>
    <w:rsid w:val="00452441"/>
    <w:rsid w:val="004532BA"/>
    <w:rsid w:val="00453623"/>
    <w:rsid w:val="00453C11"/>
    <w:rsid w:val="0045416F"/>
    <w:rsid w:val="00454192"/>
    <w:rsid w:val="00454240"/>
    <w:rsid w:val="004547A2"/>
    <w:rsid w:val="00455083"/>
    <w:rsid w:val="0045542A"/>
    <w:rsid w:val="004557B0"/>
    <w:rsid w:val="00456500"/>
    <w:rsid w:val="00456921"/>
    <w:rsid w:val="00457946"/>
    <w:rsid w:val="00457D8B"/>
    <w:rsid w:val="004607C1"/>
    <w:rsid w:val="00460A17"/>
    <w:rsid w:val="00460BD3"/>
    <w:rsid w:val="00460E48"/>
    <w:rsid w:val="0046120A"/>
    <w:rsid w:val="00461983"/>
    <w:rsid w:val="004620EA"/>
    <w:rsid w:val="00462452"/>
    <w:rsid w:val="00462DEB"/>
    <w:rsid w:val="00462E78"/>
    <w:rsid w:val="00462F79"/>
    <w:rsid w:val="004630A4"/>
    <w:rsid w:val="00463240"/>
    <w:rsid w:val="00463438"/>
    <w:rsid w:val="0046359F"/>
    <w:rsid w:val="0046396D"/>
    <w:rsid w:val="00463ECE"/>
    <w:rsid w:val="00464159"/>
    <w:rsid w:val="0046419B"/>
    <w:rsid w:val="0046455C"/>
    <w:rsid w:val="004649B9"/>
    <w:rsid w:val="00464E39"/>
    <w:rsid w:val="0046512B"/>
    <w:rsid w:val="00465388"/>
    <w:rsid w:val="0046560D"/>
    <w:rsid w:val="00465724"/>
    <w:rsid w:val="00466097"/>
    <w:rsid w:val="00466195"/>
    <w:rsid w:val="004661AF"/>
    <w:rsid w:val="004664FF"/>
    <w:rsid w:val="00466B87"/>
    <w:rsid w:val="0046769D"/>
    <w:rsid w:val="004677C9"/>
    <w:rsid w:val="004705B2"/>
    <w:rsid w:val="00470690"/>
    <w:rsid w:val="004706BF"/>
    <w:rsid w:val="00470977"/>
    <w:rsid w:val="00470CB5"/>
    <w:rsid w:val="00471152"/>
    <w:rsid w:val="00471560"/>
    <w:rsid w:val="004715DA"/>
    <w:rsid w:val="00471B3C"/>
    <w:rsid w:val="00471B98"/>
    <w:rsid w:val="00471EAB"/>
    <w:rsid w:val="004720BE"/>
    <w:rsid w:val="00472242"/>
    <w:rsid w:val="004723EE"/>
    <w:rsid w:val="004724C0"/>
    <w:rsid w:val="00472E9F"/>
    <w:rsid w:val="00473303"/>
    <w:rsid w:val="00473BEB"/>
    <w:rsid w:val="0047450E"/>
    <w:rsid w:val="00474AC7"/>
    <w:rsid w:val="00474FCF"/>
    <w:rsid w:val="0047536D"/>
    <w:rsid w:val="004753A3"/>
    <w:rsid w:val="00475A92"/>
    <w:rsid w:val="004767D8"/>
    <w:rsid w:val="004772C8"/>
    <w:rsid w:val="00477BB9"/>
    <w:rsid w:val="0048084D"/>
    <w:rsid w:val="004817CE"/>
    <w:rsid w:val="004819AC"/>
    <w:rsid w:val="00481B03"/>
    <w:rsid w:val="004824C7"/>
    <w:rsid w:val="0048260E"/>
    <w:rsid w:val="00483A59"/>
    <w:rsid w:val="0048407E"/>
    <w:rsid w:val="0048505E"/>
    <w:rsid w:val="004850AE"/>
    <w:rsid w:val="004853DB"/>
    <w:rsid w:val="004853F1"/>
    <w:rsid w:val="004854A4"/>
    <w:rsid w:val="00485818"/>
    <w:rsid w:val="004859EE"/>
    <w:rsid w:val="004862D4"/>
    <w:rsid w:val="00486707"/>
    <w:rsid w:val="00486896"/>
    <w:rsid w:val="00486A31"/>
    <w:rsid w:val="00487366"/>
    <w:rsid w:val="004873E4"/>
    <w:rsid w:val="00490377"/>
    <w:rsid w:val="0049072C"/>
    <w:rsid w:val="00490FD1"/>
    <w:rsid w:val="0049132A"/>
    <w:rsid w:val="00491AD2"/>
    <w:rsid w:val="00491BF7"/>
    <w:rsid w:val="004920F3"/>
    <w:rsid w:val="00492A4B"/>
    <w:rsid w:val="00492C5C"/>
    <w:rsid w:val="004930FC"/>
    <w:rsid w:val="00493381"/>
    <w:rsid w:val="004935C0"/>
    <w:rsid w:val="00493AB0"/>
    <w:rsid w:val="00493B43"/>
    <w:rsid w:val="00494248"/>
    <w:rsid w:val="00494535"/>
    <w:rsid w:val="004946DF"/>
    <w:rsid w:val="0049491F"/>
    <w:rsid w:val="00494EB1"/>
    <w:rsid w:val="00495533"/>
    <w:rsid w:val="0049575D"/>
    <w:rsid w:val="0049615E"/>
    <w:rsid w:val="00496414"/>
    <w:rsid w:val="004978DA"/>
    <w:rsid w:val="00497A38"/>
    <w:rsid w:val="004A0382"/>
    <w:rsid w:val="004A0502"/>
    <w:rsid w:val="004A087A"/>
    <w:rsid w:val="004A0D07"/>
    <w:rsid w:val="004A0E54"/>
    <w:rsid w:val="004A1F1C"/>
    <w:rsid w:val="004A2AFB"/>
    <w:rsid w:val="004A4454"/>
    <w:rsid w:val="004A45BD"/>
    <w:rsid w:val="004A4656"/>
    <w:rsid w:val="004A4933"/>
    <w:rsid w:val="004A4F35"/>
    <w:rsid w:val="004A5991"/>
    <w:rsid w:val="004A5B8E"/>
    <w:rsid w:val="004A6EDC"/>
    <w:rsid w:val="004A6F3D"/>
    <w:rsid w:val="004A77B0"/>
    <w:rsid w:val="004B0783"/>
    <w:rsid w:val="004B08A9"/>
    <w:rsid w:val="004B0974"/>
    <w:rsid w:val="004B0BAA"/>
    <w:rsid w:val="004B1364"/>
    <w:rsid w:val="004B179E"/>
    <w:rsid w:val="004B18C0"/>
    <w:rsid w:val="004B191A"/>
    <w:rsid w:val="004B1CED"/>
    <w:rsid w:val="004B2139"/>
    <w:rsid w:val="004B34A7"/>
    <w:rsid w:val="004B35DC"/>
    <w:rsid w:val="004B371C"/>
    <w:rsid w:val="004B3B06"/>
    <w:rsid w:val="004B3CED"/>
    <w:rsid w:val="004B3ED5"/>
    <w:rsid w:val="004B4643"/>
    <w:rsid w:val="004B4B9F"/>
    <w:rsid w:val="004B4E50"/>
    <w:rsid w:val="004B4F6A"/>
    <w:rsid w:val="004B6007"/>
    <w:rsid w:val="004B6F77"/>
    <w:rsid w:val="004B752B"/>
    <w:rsid w:val="004B7F67"/>
    <w:rsid w:val="004C04FA"/>
    <w:rsid w:val="004C06BE"/>
    <w:rsid w:val="004C0938"/>
    <w:rsid w:val="004C1561"/>
    <w:rsid w:val="004C1994"/>
    <w:rsid w:val="004C2852"/>
    <w:rsid w:val="004C2C15"/>
    <w:rsid w:val="004C2D0E"/>
    <w:rsid w:val="004C313D"/>
    <w:rsid w:val="004C33FD"/>
    <w:rsid w:val="004C3C6C"/>
    <w:rsid w:val="004C3EBC"/>
    <w:rsid w:val="004C4231"/>
    <w:rsid w:val="004C5120"/>
    <w:rsid w:val="004C61BB"/>
    <w:rsid w:val="004C642C"/>
    <w:rsid w:val="004C6A78"/>
    <w:rsid w:val="004C6AC8"/>
    <w:rsid w:val="004C6B1B"/>
    <w:rsid w:val="004C6BB4"/>
    <w:rsid w:val="004C6F17"/>
    <w:rsid w:val="004C704F"/>
    <w:rsid w:val="004C70FC"/>
    <w:rsid w:val="004C77B4"/>
    <w:rsid w:val="004C7E07"/>
    <w:rsid w:val="004D022C"/>
    <w:rsid w:val="004D0734"/>
    <w:rsid w:val="004D1B44"/>
    <w:rsid w:val="004D1ECD"/>
    <w:rsid w:val="004D2675"/>
    <w:rsid w:val="004D3753"/>
    <w:rsid w:val="004D3AC3"/>
    <w:rsid w:val="004D4080"/>
    <w:rsid w:val="004D41C2"/>
    <w:rsid w:val="004D43BD"/>
    <w:rsid w:val="004D53AB"/>
    <w:rsid w:val="004D5C6E"/>
    <w:rsid w:val="004D6A79"/>
    <w:rsid w:val="004D6A80"/>
    <w:rsid w:val="004D7187"/>
    <w:rsid w:val="004D7AC7"/>
    <w:rsid w:val="004E05FD"/>
    <w:rsid w:val="004E08CD"/>
    <w:rsid w:val="004E0F43"/>
    <w:rsid w:val="004E1A0D"/>
    <w:rsid w:val="004E1AD1"/>
    <w:rsid w:val="004E1C2C"/>
    <w:rsid w:val="004E23F5"/>
    <w:rsid w:val="004E27A4"/>
    <w:rsid w:val="004E27F7"/>
    <w:rsid w:val="004E3356"/>
    <w:rsid w:val="004E3F87"/>
    <w:rsid w:val="004E440F"/>
    <w:rsid w:val="004E47BA"/>
    <w:rsid w:val="004E4B59"/>
    <w:rsid w:val="004E4CB1"/>
    <w:rsid w:val="004E5418"/>
    <w:rsid w:val="004E5E71"/>
    <w:rsid w:val="004E63E5"/>
    <w:rsid w:val="004E646D"/>
    <w:rsid w:val="004E6A47"/>
    <w:rsid w:val="004E6B76"/>
    <w:rsid w:val="004E6F5E"/>
    <w:rsid w:val="004E71BC"/>
    <w:rsid w:val="004E77BF"/>
    <w:rsid w:val="004E7F24"/>
    <w:rsid w:val="004F001F"/>
    <w:rsid w:val="004F05C0"/>
    <w:rsid w:val="004F068C"/>
    <w:rsid w:val="004F1011"/>
    <w:rsid w:val="004F12BA"/>
    <w:rsid w:val="004F141C"/>
    <w:rsid w:val="004F1437"/>
    <w:rsid w:val="004F1559"/>
    <w:rsid w:val="004F1A8A"/>
    <w:rsid w:val="004F1AAE"/>
    <w:rsid w:val="004F23A8"/>
    <w:rsid w:val="004F3346"/>
    <w:rsid w:val="004F3540"/>
    <w:rsid w:val="004F3A78"/>
    <w:rsid w:val="004F3F6B"/>
    <w:rsid w:val="004F4555"/>
    <w:rsid w:val="004F4FE2"/>
    <w:rsid w:val="004F52DB"/>
    <w:rsid w:val="004F5609"/>
    <w:rsid w:val="004F5624"/>
    <w:rsid w:val="004F5CCD"/>
    <w:rsid w:val="004F5DA4"/>
    <w:rsid w:val="004F5F41"/>
    <w:rsid w:val="004F62B2"/>
    <w:rsid w:val="004F6424"/>
    <w:rsid w:val="004F6773"/>
    <w:rsid w:val="004F7E5A"/>
    <w:rsid w:val="00500500"/>
    <w:rsid w:val="005008B9"/>
    <w:rsid w:val="00500DDF"/>
    <w:rsid w:val="00501959"/>
    <w:rsid w:val="00502121"/>
    <w:rsid w:val="0050288C"/>
    <w:rsid w:val="005040CD"/>
    <w:rsid w:val="00504229"/>
    <w:rsid w:val="005042F2"/>
    <w:rsid w:val="00504A55"/>
    <w:rsid w:val="00504E86"/>
    <w:rsid w:val="00505030"/>
    <w:rsid w:val="00505229"/>
    <w:rsid w:val="00505278"/>
    <w:rsid w:val="00505E68"/>
    <w:rsid w:val="00506677"/>
    <w:rsid w:val="0050691D"/>
    <w:rsid w:val="00506C9C"/>
    <w:rsid w:val="00506CEC"/>
    <w:rsid w:val="00507397"/>
    <w:rsid w:val="00507719"/>
    <w:rsid w:val="00507BEF"/>
    <w:rsid w:val="00507F98"/>
    <w:rsid w:val="00510115"/>
    <w:rsid w:val="00510233"/>
    <w:rsid w:val="00510327"/>
    <w:rsid w:val="005103D0"/>
    <w:rsid w:val="005108A3"/>
    <w:rsid w:val="00510CB0"/>
    <w:rsid w:val="00510DB5"/>
    <w:rsid w:val="00510F6E"/>
    <w:rsid w:val="00511139"/>
    <w:rsid w:val="005111EF"/>
    <w:rsid w:val="00511242"/>
    <w:rsid w:val="00511422"/>
    <w:rsid w:val="0051144E"/>
    <w:rsid w:val="005115C4"/>
    <w:rsid w:val="00511723"/>
    <w:rsid w:val="00511826"/>
    <w:rsid w:val="005118AE"/>
    <w:rsid w:val="00511925"/>
    <w:rsid w:val="00511A1C"/>
    <w:rsid w:val="0051212F"/>
    <w:rsid w:val="00513878"/>
    <w:rsid w:val="00514BC2"/>
    <w:rsid w:val="0051510C"/>
    <w:rsid w:val="00515220"/>
    <w:rsid w:val="0051580E"/>
    <w:rsid w:val="0051587A"/>
    <w:rsid w:val="005158FA"/>
    <w:rsid w:val="005169AD"/>
    <w:rsid w:val="005169EE"/>
    <w:rsid w:val="005170AA"/>
    <w:rsid w:val="005172D4"/>
    <w:rsid w:val="00517A7E"/>
    <w:rsid w:val="00517D6E"/>
    <w:rsid w:val="00517EC5"/>
    <w:rsid w:val="005207C4"/>
    <w:rsid w:val="005207E1"/>
    <w:rsid w:val="005208B9"/>
    <w:rsid w:val="00520B4A"/>
    <w:rsid w:val="00521CA5"/>
    <w:rsid w:val="005221F0"/>
    <w:rsid w:val="0052246B"/>
    <w:rsid w:val="00524807"/>
    <w:rsid w:val="005252FE"/>
    <w:rsid w:val="0052535B"/>
    <w:rsid w:val="005254B7"/>
    <w:rsid w:val="005257A1"/>
    <w:rsid w:val="00525EB2"/>
    <w:rsid w:val="00525FF9"/>
    <w:rsid w:val="00526072"/>
    <w:rsid w:val="00527348"/>
    <w:rsid w:val="00527698"/>
    <w:rsid w:val="00527D14"/>
    <w:rsid w:val="00527FB0"/>
    <w:rsid w:val="0053019F"/>
    <w:rsid w:val="00530747"/>
    <w:rsid w:val="00530A23"/>
    <w:rsid w:val="00531482"/>
    <w:rsid w:val="00531684"/>
    <w:rsid w:val="00531748"/>
    <w:rsid w:val="00531C94"/>
    <w:rsid w:val="00531CF9"/>
    <w:rsid w:val="005325F7"/>
    <w:rsid w:val="00532C41"/>
    <w:rsid w:val="00532D3F"/>
    <w:rsid w:val="00532E67"/>
    <w:rsid w:val="00532EFC"/>
    <w:rsid w:val="00532F98"/>
    <w:rsid w:val="00532FC9"/>
    <w:rsid w:val="00533108"/>
    <w:rsid w:val="005331B3"/>
    <w:rsid w:val="00533204"/>
    <w:rsid w:val="005333EE"/>
    <w:rsid w:val="0053346A"/>
    <w:rsid w:val="005334F2"/>
    <w:rsid w:val="0053386D"/>
    <w:rsid w:val="0053392F"/>
    <w:rsid w:val="00534134"/>
    <w:rsid w:val="005345C3"/>
    <w:rsid w:val="00534700"/>
    <w:rsid w:val="00534D3A"/>
    <w:rsid w:val="0053540F"/>
    <w:rsid w:val="00535C6C"/>
    <w:rsid w:val="00535D94"/>
    <w:rsid w:val="00535EDC"/>
    <w:rsid w:val="0053605B"/>
    <w:rsid w:val="0053613A"/>
    <w:rsid w:val="005368A2"/>
    <w:rsid w:val="00537845"/>
    <w:rsid w:val="00537892"/>
    <w:rsid w:val="0053791F"/>
    <w:rsid w:val="005404F4"/>
    <w:rsid w:val="005410F2"/>
    <w:rsid w:val="00542599"/>
    <w:rsid w:val="005441DF"/>
    <w:rsid w:val="00544681"/>
    <w:rsid w:val="005448F7"/>
    <w:rsid w:val="00544B33"/>
    <w:rsid w:val="00545363"/>
    <w:rsid w:val="00545490"/>
    <w:rsid w:val="005454E9"/>
    <w:rsid w:val="00545767"/>
    <w:rsid w:val="005462BC"/>
    <w:rsid w:val="00546622"/>
    <w:rsid w:val="00546970"/>
    <w:rsid w:val="00546A1F"/>
    <w:rsid w:val="00546A54"/>
    <w:rsid w:val="00546AA5"/>
    <w:rsid w:val="00546EB1"/>
    <w:rsid w:val="00547538"/>
    <w:rsid w:val="00547942"/>
    <w:rsid w:val="005506F9"/>
    <w:rsid w:val="005518B2"/>
    <w:rsid w:val="00551FD9"/>
    <w:rsid w:val="0055224D"/>
    <w:rsid w:val="005524F4"/>
    <w:rsid w:val="005529BD"/>
    <w:rsid w:val="005531CE"/>
    <w:rsid w:val="0055329A"/>
    <w:rsid w:val="0055329F"/>
    <w:rsid w:val="005533FD"/>
    <w:rsid w:val="00553405"/>
    <w:rsid w:val="005534E1"/>
    <w:rsid w:val="00553BFA"/>
    <w:rsid w:val="00553EB3"/>
    <w:rsid w:val="0055449A"/>
    <w:rsid w:val="005547AA"/>
    <w:rsid w:val="005547C7"/>
    <w:rsid w:val="00554A88"/>
    <w:rsid w:val="00554ADE"/>
    <w:rsid w:val="00554D05"/>
    <w:rsid w:val="00554DE4"/>
    <w:rsid w:val="00554FAC"/>
    <w:rsid w:val="0055586B"/>
    <w:rsid w:val="0055596B"/>
    <w:rsid w:val="005568DE"/>
    <w:rsid w:val="005569D6"/>
    <w:rsid w:val="00556CDE"/>
    <w:rsid w:val="00556E1C"/>
    <w:rsid w:val="00556FC0"/>
    <w:rsid w:val="005574AA"/>
    <w:rsid w:val="00557C05"/>
    <w:rsid w:val="00557E19"/>
    <w:rsid w:val="0056077E"/>
    <w:rsid w:val="00560EDA"/>
    <w:rsid w:val="005612CB"/>
    <w:rsid w:val="00561C3B"/>
    <w:rsid w:val="00561DFE"/>
    <w:rsid w:val="00562837"/>
    <w:rsid w:val="005629EE"/>
    <w:rsid w:val="00562CD0"/>
    <w:rsid w:val="00562DF7"/>
    <w:rsid w:val="00563307"/>
    <w:rsid w:val="00563C5F"/>
    <w:rsid w:val="00563F72"/>
    <w:rsid w:val="00563F9A"/>
    <w:rsid w:val="0056402B"/>
    <w:rsid w:val="005648FA"/>
    <w:rsid w:val="00564D50"/>
    <w:rsid w:val="00567346"/>
    <w:rsid w:val="0056781F"/>
    <w:rsid w:val="00567D5E"/>
    <w:rsid w:val="00570966"/>
    <w:rsid w:val="00570B36"/>
    <w:rsid w:val="00571267"/>
    <w:rsid w:val="00572899"/>
    <w:rsid w:val="00573128"/>
    <w:rsid w:val="0057371B"/>
    <w:rsid w:val="00574586"/>
    <w:rsid w:val="005747F4"/>
    <w:rsid w:val="00575DEB"/>
    <w:rsid w:val="00575EB8"/>
    <w:rsid w:val="00575FA9"/>
    <w:rsid w:val="0057600F"/>
    <w:rsid w:val="0057613A"/>
    <w:rsid w:val="005762BD"/>
    <w:rsid w:val="0057646F"/>
    <w:rsid w:val="00576839"/>
    <w:rsid w:val="00576864"/>
    <w:rsid w:val="00576B33"/>
    <w:rsid w:val="00576B82"/>
    <w:rsid w:val="005772F3"/>
    <w:rsid w:val="005775F6"/>
    <w:rsid w:val="00577AC2"/>
    <w:rsid w:val="00577F63"/>
    <w:rsid w:val="00580A5F"/>
    <w:rsid w:val="00580B9E"/>
    <w:rsid w:val="00580D62"/>
    <w:rsid w:val="0058106B"/>
    <w:rsid w:val="00581B79"/>
    <w:rsid w:val="00581FB0"/>
    <w:rsid w:val="00582199"/>
    <w:rsid w:val="0058295A"/>
    <w:rsid w:val="00582A04"/>
    <w:rsid w:val="00582A9B"/>
    <w:rsid w:val="00582F89"/>
    <w:rsid w:val="005832AB"/>
    <w:rsid w:val="005841F0"/>
    <w:rsid w:val="0058437C"/>
    <w:rsid w:val="005844FB"/>
    <w:rsid w:val="00584AC2"/>
    <w:rsid w:val="0058549D"/>
    <w:rsid w:val="005855D7"/>
    <w:rsid w:val="0058598B"/>
    <w:rsid w:val="00586514"/>
    <w:rsid w:val="00586CA1"/>
    <w:rsid w:val="00587135"/>
    <w:rsid w:val="0058733E"/>
    <w:rsid w:val="005873FB"/>
    <w:rsid w:val="00590154"/>
    <w:rsid w:val="005901FA"/>
    <w:rsid w:val="00590994"/>
    <w:rsid w:val="00590D4F"/>
    <w:rsid w:val="00590D9E"/>
    <w:rsid w:val="00590DE0"/>
    <w:rsid w:val="00590FF1"/>
    <w:rsid w:val="00591100"/>
    <w:rsid w:val="0059125A"/>
    <w:rsid w:val="00591497"/>
    <w:rsid w:val="00591543"/>
    <w:rsid w:val="00591602"/>
    <w:rsid w:val="00591864"/>
    <w:rsid w:val="00591F39"/>
    <w:rsid w:val="005920CC"/>
    <w:rsid w:val="00592473"/>
    <w:rsid w:val="0059257B"/>
    <w:rsid w:val="005925A7"/>
    <w:rsid w:val="005926CB"/>
    <w:rsid w:val="00592A26"/>
    <w:rsid w:val="00592C37"/>
    <w:rsid w:val="005934A4"/>
    <w:rsid w:val="005935F4"/>
    <w:rsid w:val="00593E0A"/>
    <w:rsid w:val="00594210"/>
    <w:rsid w:val="0059429B"/>
    <w:rsid w:val="00594431"/>
    <w:rsid w:val="00594498"/>
    <w:rsid w:val="005947E6"/>
    <w:rsid w:val="00594959"/>
    <w:rsid w:val="00595C49"/>
    <w:rsid w:val="00595D24"/>
    <w:rsid w:val="005971B0"/>
    <w:rsid w:val="005977FC"/>
    <w:rsid w:val="005A007F"/>
    <w:rsid w:val="005A0E1A"/>
    <w:rsid w:val="005A12BA"/>
    <w:rsid w:val="005A167F"/>
    <w:rsid w:val="005A1A8A"/>
    <w:rsid w:val="005A1DAD"/>
    <w:rsid w:val="005A28CF"/>
    <w:rsid w:val="005A3079"/>
    <w:rsid w:val="005A346E"/>
    <w:rsid w:val="005A415F"/>
    <w:rsid w:val="005A49DF"/>
    <w:rsid w:val="005A605D"/>
    <w:rsid w:val="005A614B"/>
    <w:rsid w:val="005A66B2"/>
    <w:rsid w:val="005A691F"/>
    <w:rsid w:val="005A6E4D"/>
    <w:rsid w:val="005A6F32"/>
    <w:rsid w:val="005A7007"/>
    <w:rsid w:val="005A710A"/>
    <w:rsid w:val="005A719A"/>
    <w:rsid w:val="005A73CF"/>
    <w:rsid w:val="005A7996"/>
    <w:rsid w:val="005B0BF7"/>
    <w:rsid w:val="005B0EC5"/>
    <w:rsid w:val="005B0FC3"/>
    <w:rsid w:val="005B1888"/>
    <w:rsid w:val="005B1C9D"/>
    <w:rsid w:val="005B1CDC"/>
    <w:rsid w:val="005B1D40"/>
    <w:rsid w:val="005B214A"/>
    <w:rsid w:val="005B33A4"/>
    <w:rsid w:val="005B3EB1"/>
    <w:rsid w:val="005B3F6F"/>
    <w:rsid w:val="005B408C"/>
    <w:rsid w:val="005B46F3"/>
    <w:rsid w:val="005B4A59"/>
    <w:rsid w:val="005B50D0"/>
    <w:rsid w:val="005B577B"/>
    <w:rsid w:val="005B6411"/>
    <w:rsid w:val="005B66DC"/>
    <w:rsid w:val="005B6A93"/>
    <w:rsid w:val="005B798B"/>
    <w:rsid w:val="005B7FDE"/>
    <w:rsid w:val="005C122C"/>
    <w:rsid w:val="005C19A4"/>
    <w:rsid w:val="005C19F0"/>
    <w:rsid w:val="005C1FAE"/>
    <w:rsid w:val="005C25D3"/>
    <w:rsid w:val="005C2955"/>
    <w:rsid w:val="005C2D1C"/>
    <w:rsid w:val="005C3417"/>
    <w:rsid w:val="005C35B8"/>
    <w:rsid w:val="005C39E8"/>
    <w:rsid w:val="005C3FC5"/>
    <w:rsid w:val="005C43F1"/>
    <w:rsid w:val="005C468A"/>
    <w:rsid w:val="005C4BCE"/>
    <w:rsid w:val="005C5660"/>
    <w:rsid w:val="005C59B8"/>
    <w:rsid w:val="005C71E4"/>
    <w:rsid w:val="005C72E3"/>
    <w:rsid w:val="005C7415"/>
    <w:rsid w:val="005C7B99"/>
    <w:rsid w:val="005D06B8"/>
    <w:rsid w:val="005D0F07"/>
    <w:rsid w:val="005D1148"/>
    <w:rsid w:val="005D11B2"/>
    <w:rsid w:val="005D12F8"/>
    <w:rsid w:val="005D1D43"/>
    <w:rsid w:val="005D2439"/>
    <w:rsid w:val="005D2B0A"/>
    <w:rsid w:val="005D3068"/>
    <w:rsid w:val="005D3672"/>
    <w:rsid w:val="005D39E7"/>
    <w:rsid w:val="005D3DFF"/>
    <w:rsid w:val="005D3E72"/>
    <w:rsid w:val="005D4B2F"/>
    <w:rsid w:val="005D4B68"/>
    <w:rsid w:val="005D5163"/>
    <w:rsid w:val="005D57C9"/>
    <w:rsid w:val="005D5884"/>
    <w:rsid w:val="005D5C8B"/>
    <w:rsid w:val="005D644B"/>
    <w:rsid w:val="005D6B60"/>
    <w:rsid w:val="005D7278"/>
    <w:rsid w:val="005D7817"/>
    <w:rsid w:val="005E0237"/>
    <w:rsid w:val="005E02AD"/>
    <w:rsid w:val="005E0497"/>
    <w:rsid w:val="005E11C1"/>
    <w:rsid w:val="005E12AD"/>
    <w:rsid w:val="005E1E00"/>
    <w:rsid w:val="005E2075"/>
    <w:rsid w:val="005E2563"/>
    <w:rsid w:val="005E2D37"/>
    <w:rsid w:val="005E334F"/>
    <w:rsid w:val="005E359C"/>
    <w:rsid w:val="005E394C"/>
    <w:rsid w:val="005E3D65"/>
    <w:rsid w:val="005E42BF"/>
    <w:rsid w:val="005E4C43"/>
    <w:rsid w:val="005E4E70"/>
    <w:rsid w:val="005E567F"/>
    <w:rsid w:val="005E5750"/>
    <w:rsid w:val="005E5F36"/>
    <w:rsid w:val="005E6589"/>
    <w:rsid w:val="005E65BB"/>
    <w:rsid w:val="005E6747"/>
    <w:rsid w:val="005E6AEE"/>
    <w:rsid w:val="005F05D7"/>
    <w:rsid w:val="005F0DA0"/>
    <w:rsid w:val="005F1141"/>
    <w:rsid w:val="005F1256"/>
    <w:rsid w:val="005F12AE"/>
    <w:rsid w:val="005F1721"/>
    <w:rsid w:val="005F2657"/>
    <w:rsid w:val="005F2767"/>
    <w:rsid w:val="005F2BF9"/>
    <w:rsid w:val="005F34CB"/>
    <w:rsid w:val="005F404B"/>
    <w:rsid w:val="005F4790"/>
    <w:rsid w:val="005F4914"/>
    <w:rsid w:val="005F5506"/>
    <w:rsid w:val="005F5680"/>
    <w:rsid w:val="005F62B7"/>
    <w:rsid w:val="005F63AF"/>
    <w:rsid w:val="005F64EB"/>
    <w:rsid w:val="005F67FC"/>
    <w:rsid w:val="005F6869"/>
    <w:rsid w:val="005F6BB9"/>
    <w:rsid w:val="005F6BE6"/>
    <w:rsid w:val="005F6C1F"/>
    <w:rsid w:val="005F6CCA"/>
    <w:rsid w:val="005F7654"/>
    <w:rsid w:val="0060006A"/>
    <w:rsid w:val="00600080"/>
    <w:rsid w:val="006006C1"/>
    <w:rsid w:val="00601576"/>
    <w:rsid w:val="00601682"/>
    <w:rsid w:val="00601CCA"/>
    <w:rsid w:val="00602174"/>
    <w:rsid w:val="0060234A"/>
    <w:rsid w:val="00602D98"/>
    <w:rsid w:val="00603148"/>
    <w:rsid w:val="00603393"/>
    <w:rsid w:val="00603FAD"/>
    <w:rsid w:val="006046DE"/>
    <w:rsid w:val="00604EA2"/>
    <w:rsid w:val="00605157"/>
    <w:rsid w:val="00605E7B"/>
    <w:rsid w:val="00606000"/>
    <w:rsid w:val="006065A2"/>
    <w:rsid w:val="006069C1"/>
    <w:rsid w:val="00606E0F"/>
    <w:rsid w:val="00606FC7"/>
    <w:rsid w:val="006074A8"/>
    <w:rsid w:val="006079C8"/>
    <w:rsid w:val="0061007D"/>
    <w:rsid w:val="00610456"/>
    <w:rsid w:val="00610667"/>
    <w:rsid w:val="006106C4"/>
    <w:rsid w:val="006108B9"/>
    <w:rsid w:val="00610A0B"/>
    <w:rsid w:val="00610F94"/>
    <w:rsid w:val="00611473"/>
    <w:rsid w:val="006114F5"/>
    <w:rsid w:val="00611841"/>
    <w:rsid w:val="00611B36"/>
    <w:rsid w:val="00612794"/>
    <w:rsid w:val="00612F12"/>
    <w:rsid w:val="0061388C"/>
    <w:rsid w:val="00613A34"/>
    <w:rsid w:val="0061435C"/>
    <w:rsid w:val="006149CA"/>
    <w:rsid w:val="006154FA"/>
    <w:rsid w:val="0061590B"/>
    <w:rsid w:val="00615ADA"/>
    <w:rsid w:val="00615FAF"/>
    <w:rsid w:val="00617FEB"/>
    <w:rsid w:val="00620378"/>
    <w:rsid w:val="006203DB"/>
    <w:rsid w:val="006220D9"/>
    <w:rsid w:val="006221CD"/>
    <w:rsid w:val="00622220"/>
    <w:rsid w:val="00622415"/>
    <w:rsid w:val="006225D6"/>
    <w:rsid w:val="006228A4"/>
    <w:rsid w:val="00622CE7"/>
    <w:rsid w:val="00623807"/>
    <w:rsid w:val="00623C11"/>
    <w:rsid w:val="00623C3A"/>
    <w:rsid w:val="0062404C"/>
    <w:rsid w:val="0062408B"/>
    <w:rsid w:val="006240D9"/>
    <w:rsid w:val="00624634"/>
    <w:rsid w:val="00624707"/>
    <w:rsid w:val="00624A8A"/>
    <w:rsid w:val="006254EA"/>
    <w:rsid w:val="00625BEF"/>
    <w:rsid w:val="00625C15"/>
    <w:rsid w:val="00625F27"/>
    <w:rsid w:val="006261E0"/>
    <w:rsid w:val="006264BE"/>
    <w:rsid w:val="006266A9"/>
    <w:rsid w:val="00626743"/>
    <w:rsid w:val="006269B9"/>
    <w:rsid w:val="00627658"/>
    <w:rsid w:val="00630426"/>
    <w:rsid w:val="006307A8"/>
    <w:rsid w:val="006307A9"/>
    <w:rsid w:val="006307DA"/>
    <w:rsid w:val="00630AA5"/>
    <w:rsid w:val="006316C1"/>
    <w:rsid w:val="006317FE"/>
    <w:rsid w:val="0063192B"/>
    <w:rsid w:val="00631ED4"/>
    <w:rsid w:val="0063224F"/>
    <w:rsid w:val="00632BA3"/>
    <w:rsid w:val="00632DC3"/>
    <w:rsid w:val="00633BC7"/>
    <w:rsid w:val="0063496A"/>
    <w:rsid w:val="00634A36"/>
    <w:rsid w:val="00634A60"/>
    <w:rsid w:val="00635044"/>
    <w:rsid w:val="00635AC7"/>
    <w:rsid w:val="00635E9C"/>
    <w:rsid w:val="00636716"/>
    <w:rsid w:val="00636FFA"/>
    <w:rsid w:val="006373D1"/>
    <w:rsid w:val="0063753F"/>
    <w:rsid w:val="00637736"/>
    <w:rsid w:val="00637B41"/>
    <w:rsid w:val="00637C0A"/>
    <w:rsid w:val="006404EE"/>
    <w:rsid w:val="00640CF3"/>
    <w:rsid w:val="006414EE"/>
    <w:rsid w:val="00641611"/>
    <w:rsid w:val="006418E6"/>
    <w:rsid w:val="006422E3"/>
    <w:rsid w:val="00642524"/>
    <w:rsid w:val="006428E3"/>
    <w:rsid w:val="00642A9A"/>
    <w:rsid w:val="00642C08"/>
    <w:rsid w:val="00642D0A"/>
    <w:rsid w:val="006443AD"/>
    <w:rsid w:val="00644760"/>
    <w:rsid w:val="00644926"/>
    <w:rsid w:val="00645978"/>
    <w:rsid w:val="00645A7B"/>
    <w:rsid w:val="0064630E"/>
    <w:rsid w:val="0064637B"/>
    <w:rsid w:val="00646451"/>
    <w:rsid w:val="006468AE"/>
    <w:rsid w:val="00646D43"/>
    <w:rsid w:val="00646FE1"/>
    <w:rsid w:val="00647075"/>
    <w:rsid w:val="00647A43"/>
    <w:rsid w:val="00647E5F"/>
    <w:rsid w:val="006504ED"/>
    <w:rsid w:val="00650A25"/>
    <w:rsid w:val="00651777"/>
    <w:rsid w:val="00651A27"/>
    <w:rsid w:val="00651D3B"/>
    <w:rsid w:val="006520B9"/>
    <w:rsid w:val="006523EC"/>
    <w:rsid w:val="0065242C"/>
    <w:rsid w:val="0065292F"/>
    <w:rsid w:val="00652A08"/>
    <w:rsid w:val="0065330B"/>
    <w:rsid w:val="00653597"/>
    <w:rsid w:val="00654E52"/>
    <w:rsid w:val="006550C7"/>
    <w:rsid w:val="00655467"/>
    <w:rsid w:val="0065569E"/>
    <w:rsid w:val="0065581D"/>
    <w:rsid w:val="00655928"/>
    <w:rsid w:val="00655C2F"/>
    <w:rsid w:val="00655F2A"/>
    <w:rsid w:val="00656247"/>
    <w:rsid w:val="00656552"/>
    <w:rsid w:val="006569EF"/>
    <w:rsid w:val="00656B02"/>
    <w:rsid w:val="00656B41"/>
    <w:rsid w:val="00656B58"/>
    <w:rsid w:val="00656EB2"/>
    <w:rsid w:val="006576BF"/>
    <w:rsid w:val="006577C1"/>
    <w:rsid w:val="006579AC"/>
    <w:rsid w:val="00660403"/>
    <w:rsid w:val="006604D8"/>
    <w:rsid w:val="00660590"/>
    <w:rsid w:val="00660794"/>
    <w:rsid w:val="00661140"/>
    <w:rsid w:val="00661C07"/>
    <w:rsid w:val="00661C47"/>
    <w:rsid w:val="00662E6D"/>
    <w:rsid w:val="00663923"/>
    <w:rsid w:val="0066496E"/>
    <w:rsid w:val="00664D76"/>
    <w:rsid w:val="006652D4"/>
    <w:rsid w:val="00665479"/>
    <w:rsid w:val="00666544"/>
    <w:rsid w:val="00666C9D"/>
    <w:rsid w:val="00666EB1"/>
    <w:rsid w:val="0066793C"/>
    <w:rsid w:val="00667BF8"/>
    <w:rsid w:val="00670370"/>
    <w:rsid w:val="006707A1"/>
    <w:rsid w:val="006707F1"/>
    <w:rsid w:val="00670E82"/>
    <w:rsid w:val="006710DD"/>
    <w:rsid w:val="00671FC9"/>
    <w:rsid w:val="00672967"/>
    <w:rsid w:val="00673200"/>
    <w:rsid w:val="00673917"/>
    <w:rsid w:val="00673B0F"/>
    <w:rsid w:val="00673D16"/>
    <w:rsid w:val="00673F45"/>
    <w:rsid w:val="0067433A"/>
    <w:rsid w:val="00674492"/>
    <w:rsid w:val="006746A0"/>
    <w:rsid w:val="0067501E"/>
    <w:rsid w:val="00675039"/>
    <w:rsid w:val="006751EA"/>
    <w:rsid w:val="006759D2"/>
    <w:rsid w:val="00675F52"/>
    <w:rsid w:val="00675F9F"/>
    <w:rsid w:val="00676413"/>
    <w:rsid w:val="0067648F"/>
    <w:rsid w:val="00676857"/>
    <w:rsid w:val="00676F54"/>
    <w:rsid w:val="0067717B"/>
    <w:rsid w:val="006773D2"/>
    <w:rsid w:val="0067797C"/>
    <w:rsid w:val="00680581"/>
    <w:rsid w:val="00680A56"/>
    <w:rsid w:val="00680B53"/>
    <w:rsid w:val="00681A41"/>
    <w:rsid w:val="00681CEF"/>
    <w:rsid w:val="00682108"/>
    <w:rsid w:val="006821B2"/>
    <w:rsid w:val="0068234A"/>
    <w:rsid w:val="00683717"/>
    <w:rsid w:val="006838C0"/>
    <w:rsid w:val="006839A5"/>
    <w:rsid w:val="00683A17"/>
    <w:rsid w:val="0068415E"/>
    <w:rsid w:val="0068435C"/>
    <w:rsid w:val="0068455F"/>
    <w:rsid w:val="006845EC"/>
    <w:rsid w:val="006846DC"/>
    <w:rsid w:val="00684BF7"/>
    <w:rsid w:val="00684E60"/>
    <w:rsid w:val="0068507B"/>
    <w:rsid w:val="00685856"/>
    <w:rsid w:val="00685901"/>
    <w:rsid w:val="00685AA3"/>
    <w:rsid w:val="00685BB9"/>
    <w:rsid w:val="00686E9B"/>
    <w:rsid w:val="00687E06"/>
    <w:rsid w:val="00690127"/>
    <w:rsid w:val="006906F8"/>
    <w:rsid w:val="00690A52"/>
    <w:rsid w:val="00690A95"/>
    <w:rsid w:val="0069129A"/>
    <w:rsid w:val="00691672"/>
    <w:rsid w:val="00691BFF"/>
    <w:rsid w:val="00691C14"/>
    <w:rsid w:val="00691C9B"/>
    <w:rsid w:val="00692634"/>
    <w:rsid w:val="00692C98"/>
    <w:rsid w:val="00692CE2"/>
    <w:rsid w:val="00692E7E"/>
    <w:rsid w:val="00692EE4"/>
    <w:rsid w:val="00692FC1"/>
    <w:rsid w:val="00693075"/>
    <w:rsid w:val="00693553"/>
    <w:rsid w:val="006936A1"/>
    <w:rsid w:val="006939FA"/>
    <w:rsid w:val="00693BD0"/>
    <w:rsid w:val="00693E77"/>
    <w:rsid w:val="00693F2D"/>
    <w:rsid w:val="006943EE"/>
    <w:rsid w:val="006953C1"/>
    <w:rsid w:val="00695698"/>
    <w:rsid w:val="00695A6D"/>
    <w:rsid w:val="006965AF"/>
    <w:rsid w:val="00696EB2"/>
    <w:rsid w:val="0069741A"/>
    <w:rsid w:val="006975D1"/>
    <w:rsid w:val="00697ED0"/>
    <w:rsid w:val="006A0DEA"/>
    <w:rsid w:val="006A11D8"/>
    <w:rsid w:val="006A16E9"/>
    <w:rsid w:val="006A1A7C"/>
    <w:rsid w:val="006A1E25"/>
    <w:rsid w:val="006A2308"/>
    <w:rsid w:val="006A2399"/>
    <w:rsid w:val="006A267D"/>
    <w:rsid w:val="006A4B84"/>
    <w:rsid w:val="006A4CD8"/>
    <w:rsid w:val="006A5450"/>
    <w:rsid w:val="006A6557"/>
    <w:rsid w:val="006A6840"/>
    <w:rsid w:val="006A71F4"/>
    <w:rsid w:val="006A7301"/>
    <w:rsid w:val="006B0199"/>
    <w:rsid w:val="006B0A32"/>
    <w:rsid w:val="006B0BD8"/>
    <w:rsid w:val="006B0C27"/>
    <w:rsid w:val="006B1ED1"/>
    <w:rsid w:val="006B2100"/>
    <w:rsid w:val="006B2A3F"/>
    <w:rsid w:val="006B2FD8"/>
    <w:rsid w:val="006B330E"/>
    <w:rsid w:val="006B347D"/>
    <w:rsid w:val="006B4557"/>
    <w:rsid w:val="006B4D51"/>
    <w:rsid w:val="006B5789"/>
    <w:rsid w:val="006B604E"/>
    <w:rsid w:val="006B65D2"/>
    <w:rsid w:val="006B6657"/>
    <w:rsid w:val="006B6BD9"/>
    <w:rsid w:val="006B6EA5"/>
    <w:rsid w:val="006B794F"/>
    <w:rsid w:val="006B7A2A"/>
    <w:rsid w:val="006C0251"/>
    <w:rsid w:val="006C0320"/>
    <w:rsid w:val="006C05D9"/>
    <w:rsid w:val="006C07B5"/>
    <w:rsid w:val="006C0953"/>
    <w:rsid w:val="006C0A65"/>
    <w:rsid w:val="006C0DFA"/>
    <w:rsid w:val="006C1609"/>
    <w:rsid w:val="006C1B94"/>
    <w:rsid w:val="006C2341"/>
    <w:rsid w:val="006C2B9A"/>
    <w:rsid w:val="006C2FE3"/>
    <w:rsid w:val="006C3285"/>
    <w:rsid w:val="006C3572"/>
    <w:rsid w:val="006C380C"/>
    <w:rsid w:val="006C39BB"/>
    <w:rsid w:val="006C4121"/>
    <w:rsid w:val="006C4502"/>
    <w:rsid w:val="006C4F5D"/>
    <w:rsid w:val="006C51EE"/>
    <w:rsid w:val="006C537B"/>
    <w:rsid w:val="006C583A"/>
    <w:rsid w:val="006C5E4A"/>
    <w:rsid w:val="006C6114"/>
    <w:rsid w:val="006C6713"/>
    <w:rsid w:val="006C75EC"/>
    <w:rsid w:val="006C7977"/>
    <w:rsid w:val="006D0DE0"/>
    <w:rsid w:val="006D0DE8"/>
    <w:rsid w:val="006D158F"/>
    <w:rsid w:val="006D1936"/>
    <w:rsid w:val="006D19CF"/>
    <w:rsid w:val="006D2288"/>
    <w:rsid w:val="006D2389"/>
    <w:rsid w:val="006D269F"/>
    <w:rsid w:val="006D306A"/>
    <w:rsid w:val="006D30CE"/>
    <w:rsid w:val="006D43A3"/>
    <w:rsid w:val="006D4464"/>
    <w:rsid w:val="006D4A00"/>
    <w:rsid w:val="006D4D11"/>
    <w:rsid w:val="006D51A1"/>
    <w:rsid w:val="006D55C0"/>
    <w:rsid w:val="006D5921"/>
    <w:rsid w:val="006D5C14"/>
    <w:rsid w:val="006D5E91"/>
    <w:rsid w:val="006D69DF"/>
    <w:rsid w:val="006D71E9"/>
    <w:rsid w:val="006D78B2"/>
    <w:rsid w:val="006D7E87"/>
    <w:rsid w:val="006E03A9"/>
    <w:rsid w:val="006E0D8F"/>
    <w:rsid w:val="006E14E6"/>
    <w:rsid w:val="006E15F8"/>
    <w:rsid w:val="006E1A20"/>
    <w:rsid w:val="006E1AEE"/>
    <w:rsid w:val="006E24C1"/>
    <w:rsid w:val="006E2687"/>
    <w:rsid w:val="006E2BA2"/>
    <w:rsid w:val="006E2CEE"/>
    <w:rsid w:val="006E2F52"/>
    <w:rsid w:val="006E3103"/>
    <w:rsid w:val="006E32A9"/>
    <w:rsid w:val="006E3B9C"/>
    <w:rsid w:val="006E3F4F"/>
    <w:rsid w:val="006E449F"/>
    <w:rsid w:val="006E4F3C"/>
    <w:rsid w:val="006E51A2"/>
    <w:rsid w:val="006E5BC1"/>
    <w:rsid w:val="006E5D2A"/>
    <w:rsid w:val="006E607D"/>
    <w:rsid w:val="006E6235"/>
    <w:rsid w:val="006E62DD"/>
    <w:rsid w:val="006E6D56"/>
    <w:rsid w:val="006E6EC5"/>
    <w:rsid w:val="006E76E0"/>
    <w:rsid w:val="006E77B7"/>
    <w:rsid w:val="006F0184"/>
    <w:rsid w:val="006F0DE2"/>
    <w:rsid w:val="006F0E21"/>
    <w:rsid w:val="006F0EB2"/>
    <w:rsid w:val="006F11BD"/>
    <w:rsid w:val="006F1443"/>
    <w:rsid w:val="006F1497"/>
    <w:rsid w:val="006F25B4"/>
    <w:rsid w:val="006F273C"/>
    <w:rsid w:val="006F2B32"/>
    <w:rsid w:val="006F2CD8"/>
    <w:rsid w:val="006F32C7"/>
    <w:rsid w:val="006F3392"/>
    <w:rsid w:val="006F3495"/>
    <w:rsid w:val="006F37E0"/>
    <w:rsid w:val="006F393D"/>
    <w:rsid w:val="006F39E6"/>
    <w:rsid w:val="006F3A85"/>
    <w:rsid w:val="006F3AC5"/>
    <w:rsid w:val="006F3C57"/>
    <w:rsid w:val="006F417D"/>
    <w:rsid w:val="006F460B"/>
    <w:rsid w:val="006F47A2"/>
    <w:rsid w:val="006F47BE"/>
    <w:rsid w:val="006F5266"/>
    <w:rsid w:val="006F5C83"/>
    <w:rsid w:val="006F5EF4"/>
    <w:rsid w:val="006F6078"/>
    <w:rsid w:val="006F61E9"/>
    <w:rsid w:val="006F6222"/>
    <w:rsid w:val="006F67CC"/>
    <w:rsid w:val="006F6B89"/>
    <w:rsid w:val="006F6FCC"/>
    <w:rsid w:val="006F7309"/>
    <w:rsid w:val="006F74F7"/>
    <w:rsid w:val="0070079D"/>
    <w:rsid w:val="00700F5A"/>
    <w:rsid w:val="00700FE7"/>
    <w:rsid w:val="007017CC"/>
    <w:rsid w:val="00701C2D"/>
    <w:rsid w:val="00701D08"/>
    <w:rsid w:val="00701E3D"/>
    <w:rsid w:val="00701FB2"/>
    <w:rsid w:val="00702162"/>
    <w:rsid w:val="007028B3"/>
    <w:rsid w:val="00702C3D"/>
    <w:rsid w:val="007036D0"/>
    <w:rsid w:val="00703930"/>
    <w:rsid w:val="00703F3B"/>
    <w:rsid w:val="0070449B"/>
    <w:rsid w:val="00704C7C"/>
    <w:rsid w:val="00704DAD"/>
    <w:rsid w:val="00705491"/>
    <w:rsid w:val="0070610E"/>
    <w:rsid w:val="00706618"/>
    <w:rsid w:val="00706AC8"/>
    <w:rsid w:val="00706F53"/>
    <w:rsid w:val="007074DB"/>
    <w:rsid w:val="00707759"/>
    <w:rsid w:val="00710081"/>
    <w:rsid w:val="007104F0"/>
    <w:rsid w:val="007105A9"/>
    <w:rsid w:val="00710677"/>
    <w:rsid w:val="00710860"/>
    <w:rsid w:val="00710A7A"/>
    <w:rsid w:val="00710B0D"/>
    <w:rsid w:val="00711875"/>
    <w:rsid w:val="00711F13"/>
    <w:rsid w:val="00712966"/>
    <w:rsid w:val="00712AD4"/>
    <w:rsid w:val="00712F0F"/>
    <w:rsid w:val="007132BC"/>
    <w:rsid w:val="00713461"/>
    <w:rsid w:val="007138BA"/>
    <w:rsid w:val="00713CB5"/>
    <w:rsid w:val="00713EDB"/>
    <w:rsid w:val="0071464D"/>
    <w:rsid w:val="00714E3F"/>
    <w:rsid w:val="00715306"/>
    <w:rsid w:val="0071558B"/>
    <w:rsid w:val="0071570F"/>
    <w:rsid w:val="00715994"/>
    <w:rsid w:val="007160A8"/>
    <w:rsid w:val="00716BE5"/>
    <w:rsid w:val="007174BD"/>
    <w:rsid w:val="0071776A"/>
    <w:rsid w:val="00721037"/>
    <w:rsid w:val="00721189"/>
    <w:rsid w:val="007212F0"/>
    <w:rsid w:val="0072189F"/>
    <w:rsid w:val="0072194F"/>
    <w:rsid w:val="007221C3"/>
    <w:rsid w:val="007222B5"/>
    <w:rsid w:val="00722668"/>
    <w:rsid w:val="007227E4"/>
    <w:rsid w:val="00722D3A"/>
    <w:rsid w:val="00722F2C"/>
    <w:rsid w:val="0072336C"/>
    <w:rsid w:val="007236B2"/>
    <w:rsid w:val="007236DD"/>
    <w:rsid w:val="00724443"/>
    <w:rsid w:val="0072481D"/>
    <w:rsid w:val="00724AFC"/>
    <w:rsid w:val="0072544C"/>
    <w:rsid w:val="007254D1"/>
    <w:rsid w:val="007255DF"/>
    <w:rsid w:val="00725B32"/>
    <w:rsid w:val="00725B3C"/>
    <w:rsid w:val="00725D8C"/>
    <w:rsid w:val="00726F52"/>
    <w:rsid w:val="007270EE"/>
    <w:rsid w:val="00727B2C"/>
    <w:rsid w:val="00727FB0"/>
    <w:rsid w:val="0073027E"/>
    <w:rsid w:val="00730858"/>
    <w:rsid w:val="00730E7C"/>
    <w:rsid w:val="00731036"/>
    <w:rsid w:val="00731174"/>
    <w:rsid w:val="007313BF"/>
    <w:rsid w:val="00731470"/>
    <w:rsid w:val="0073175C"/>
    <w:rsid w:val="00731B2B"/>
    <w:rsid w:val="0073357D"/>
    <w:rsid w:val="007335F6"/>
    <w:rsid w:val="00733934"/>
    <w:rsid w:val="00733AEC"/>
    <w:rsid w:val="00733D54"/>
    <w:rsid w:val="0073491B"/>
    <w:rsid w:val="00734B10"/>
    <w:rsid w:val="00734C6D"/>
    <w:rsid w:val="00734CEE"/>
    <w:rsid w:val="0073617F"/>
    <w:rsid w:val="007361EE"/>
    <w:rsid w:val="007369A8"/>
    <w:rsid w:val="00736A4F"/>
    <w:rsid w:val="00737753"/>
    <w:rsid w:val="00737768"/>
    <w:rsid w:val="0073785E"/>
    <w:rsid w:val="00737BBF"/>
    <w:rsid w:val="00737D6D"/>
    <w:rsid w:val="00737FFA"/>
    <w:rsid w:val="00740971"/>
    <w:rsid w:val="00740BB8"/>
    <w:rsid w:val="00740CE9"/>
    <w:rsid w:val="00740D66"/>
    <w:rsid w:val="00741008"/>
    <w:rsid w:val="00741308"/>
    <w:rsid w:val="00741C89"/>
    <w:rsid w:val="007422B4"/>
    <w:rsid w:val="007428E3"/>
    <w:rsid w:val="007429AB"/>
    <w:rsid w:val="00742FDE"/>
    <w:rsid w:val="0074359D"/>
    <w:rsid w:val="00743727"/>
    <w:rsid w:val="007437E6"/>
    <w:rsid w:val="007438FF"/>
    <w:rsid w:val="0074394E"/>
    <w:rsid w:val="0074422D"/>
    <w:rsid w:val="0074435C"/>
    <w:rsid w:val="00744F13"/>
    <w:rsid w:val="00745359"/>
    <w:rsid w:val="00745798"/>
    <w:rsid w:val="00745A29"/>
    <w:rsid w:val="007467F7"/>
    <w:rsid w:val="00746BDF"/>
    <w:rsid w:val="00746E15"/>
    <w:rsid w:val="00747283"/>
    <w:rsid w:val="00747B6B"/>
    <w:rsid w:val="007500C4"/>
    <w:rsid w:val="00750ABA"/>
    <w:rsid w:val="00750D0A"/>
    <w:rsid w:val="00751A71"/>
    <w:rsid w:val="00751D93"/>
    <w:rsid w:val="00752300"/>
    <w:rsid w:val="00752BD7"/>
    <w:rsid w:val="00753170"/>
    <w:rsid w:val="00753484"/>
    <w:rsid w:val="00753B5C"/>
    <w:rsid w:val="00753BF5"/>
    <w:rsid w:val="00753E5A"/>
    <w:rsid w:val="007546DE"/>
    <w:rsid w:val="007546F8"/>
    <w:rsid w:val="00754702"/>
    <w:rsid w:val="00754B2E"/>
    <w:rsid w:val="00754E30"/>
    <w:rsid w:val="0075579B"/>
    <w:rsid w:val="00755BAB"/>
    <w:rsid w:val="00756D2F"/>
    <w:rsid w:val="00756EC9"/>
    <w:rsid w:val="007579A2"/>
    <w:rsid w:val="00757ACE"/>
    <w:rsid w:val="007603DB"/>
    <w:rsid w:val="0076064F"/>
    <w:rsid w:val="0076080E"/>
    <w:rsid w:val="00760C50"/>
    <w:rsid w:val="00762DD8"/>
    <w:rsid w:val="00762FDD"/>
    <w:rsid w:val="007633DA"/>
    <w:rsid w:val="0076391B"/>
    <w:rsid w:val="007639B6"/>
    <w:rsid w:val="0076411D"/>
    <w:rsid w:val="0076430D"/>
    <w:rsid w:val="007644FE"/>
    <w:rsid w:val="00764786"/>
    <w:rsid w:val="00765198"/>
    <w:rsid w:val="007654D5"/>
    <w:rsid w:val="00765BB7"/>
    <w:rsid w:val="00765E4B"/>
    <w:rsid w:val="00766DA7"/>
    <w:rsid w:val="007670F8"/>
    <w:rsid w:val="007671D4"/>
    <w:rsid w:val="00767BFB"/>
    <w:rsid w:val="00767C11"/>
    <w:rsid w:val="0077013C"/>
    <w:rsid w:val="00770A85"/>
    <w:rsid w:val="00771BA3"/>
    <w:rsid w:val="007733F8"/>
    <w:rsid w:val="0077390B"/>
    <w:rsid w:val="00773C44"/>
    <w:rsid w:val="00773DC9"/>
    <w:rsid w:val="007742EF"/>
    <w:rsid w:val="0077544E"/>
    <w:rsid w:val="0077572E"/>
    <w:rsid w:val="007767D3"/>
    <w:rsid w:val="00776EA6"/>
    <w:rsid w:val="007777F6"/>
    <w:rsid w:val="00777BE4"/>
    <w:rsid w:val="00777C32"/>
    <w:rsid w:val="0078031B"/>
    <w:rsid w:val="007808FD"/>
    <w:rsid w:val="00780B52"/>
    <w:rsid w:val="00780E72"/>
    <w:rsid w:val="00780F98"/>
    <w:rsid w:val="0078121C"/>
    <w:rsid w:val="00781771"/>
    <w:rsid w:val="00781E72"/>
    <w:rsid w:val="0078262F"/>
    <w:rsid w:val="00782772"/>
    <w:rsid w:val="00782941"/>
    <w:rsid w:val="00782DB8"/>
    <w:rsid w:val="00782F52"/>
    <w:rsid w:val="00783567"/>
    <w:rsid w:val="00783CFC"/>
    <w:rsid w:val="007849CC"/>
    <w:rsid w:val="00784EEF"/>
    <w:rsid w:val="00784F44"/>
    <w:rsid w:val="00784FD2"/>
    <w:rsid w:val="00785956"/>
    <w:rsid w:val="00785A9A"/>
    <w:rsid w:val="00785FD0"/>
    <w:rsid w:val="0078605C"/>
    <w:rsid w:val="0078613E"/>
    <w:rsid w:val="00786672"/>
    <w:rsid w:val="00786E29"/>
    <w:rsid w:val="00786EA3"/>
    <w:rsid w:val="007870BF"/>
    <w:rsid w:val="007872CC"/>
    <w:rsid w:val="007872CF"/>
    <w:rsid w:val="00787555"/>
    <w:rsid w:val="00787C84"/>
    <w:rsid w:val="00787FA1"/>
    <w:rsid w:val="0079028F"/>
    <w:rsid w:val="0079046C"/>
    <w:rsid w:val="007909BA"/>
    <w:rsid w:val="00790B00"/>
    <w:rsid w:val="00790BC2"/>
    <w:rsid w:val="0079110E"/>
    <w:rsid w:val="007913B3"/>
    <w:rsid w:val="007919A6"/>
    <w:rsid w:val="00791E5F"/>
    <w:rsid w:val="0079201C"/>
    <w:rsid w:val="0079262B"/>
    <w:rsid w:val="00792948"/>
    <w:rsid w:val="00792DB4"/>
    <w:rsid w:val="00792E59"/>
    <w:rsid w:val="0079307F"/>
    <w:rsid w:val="007932D3"/>
    <w:rsid w:val="00793682"/>
    <w:rsid w:val="007937F3"/>
    <w:rsid w:val="007940BE"/>
    <w:rsid w:val="007940C5"/>
    <w:rsid w:val="0079430E"/>
    <w:rsid w:val="007947C4"/>
    <w:rsid w:val="007949AD"/>
    <w:rsid w:val="00794C6A"/>
    <w:rsid w:val="00794DF2"/>
    <w:rsid w:val="00795812"/>
    <w:rsid w:val="00795A65"/>
    <w:rsid w:val="00795CE1"/>
    <w:rsid w:val="0079615D"/>
    <w:rsid w:val="00796583"/>
    <w:rsid w:val="00796ECC"/>
    <w:rsid w:val="00797D6C"/>
    <w:rsid w:val="007A010C"/>
    <w:rsid w:val="007A02F5"/>
    <w:rsid w:val="007A0463"/>
    <w:rsid w:val="007A0646"/>
    <w:rsid w:val="007A06AC"/>
    <w:rsid w:val="007A08F7"/>
    <w:rsid w:val="007A098B"/>
    <w:rsid w:val="007A142B"/>
    <w:rsid w:val="007A1536"/>
    <w:rsid w:val="007A1B2F"/>
    <w:rsid w:val="007A1FBE"/>
    <w:rsid w:val="007A2AE0"/>
    <w:rsid w:val="007A3C89"/>
    <w:rsid w:val="007A4202"/>
    <w:rsid w:val="007A461E"/>
    <w:rsid w:val="007A4636"/>
    <w:rsid w:val="007A4F1F"/>
    <w:rsid w:val="007A50FD"/>
    <w:rsid w:val="007A55CE"/>
    <w:rsid w:val="007A5719"/>
    <w:rsid w:val="007A571B"/>
    <w:rsid w:val="007A5985"/>
    <w:rsid w:val="007A5C26"/>
    <w:rsid w:val="007A6161"/>
    <w:rsid w:val="007A7377"/>
    <w:rsid w:val="007A7885"/>
    <w:rsid w:val="007B0193"/>
    <w:rsid w:val="007B01BF"/>
    <w:rsid w:val="007B027A"/>
    <w:rsid w:val="007B0563"/>
    <w:rsid w:val="007B0BC0"/>
    <w:rsid w:val="007B1014"/>
    <w:rsid w:val="007B103F"/>
    <w:rsid w:val="007B1484"/>
    <w:rsid w:val="007B1A10"/>
    <w:rsid w:val="007B2211"/>
    <w:rsid w:val="007B24CA"/>
    <w:rsid w:val="007B2578"/>
    <w:rsid w:val="007B2A48"/>
    <w:rsid w:val="007B2CAC"/>
    <w:rsid w:val="007B31AB"/>
    <w:rsid w:val="007B3268"/>
    <w:rsid w:val="007B37F1"/>
    <w:rsid w:val="007B3B2E"/>
    <w:rsid w:val="007B4299"/>
    <w:rsid w:val="007B42D3"/>
    <w:rsid w:val="007B46D9"/>
    <w:rsid w:val="007B4CF8"/>
    <w:rsid w:val="007B5882"/>
    <w:rsid w:val="007B6248"/>
    <w:rsid w:val="007B6659"/>
    <w:rsid w:val="007B6B61"/>
    <w:rsid w:val="007B6C39"/>
    <w:rsid w:val="007B76AB"/>
    <w:rsid w:val="007B78CF"/>
    <w:rsid w:val="007B78D8"/>
    <w:rsid w:val="007B7AF7"/>
    <w:rsid w:val="007B7CFA"/>
    <w:rsid w:val="007B7DBD"/>
    <w:rsid w:val="007C0706"/>
    <w:rsid w:val="007C0717"/>
    <w:rsid w:val="007C07B0"/>
    <w:rsid w:val="007C0898"/>
    <w:rsid w:val="007C09EA"/>
    <w:rsid w:val="007C0B17"/>
    <w:rsid w:val="007C114F"/>
    <w:rsid w:val="007C13AC"/>
    <w:rsid w:val="007C1548"/>
    <w:rsid w:val="007C1D0A"/>
    <w:rsid w:val="007C1DB7"/>
    <w:rsid w:val="007C2277"/>
    <w:rsid w:val="007C264B"/>
    <w:rsid w:val="007C2A0C"/>
    <w:rsid w:val="007C2B0F"/>
    <w:rsid w:val="007C3064"/>
    <w:rsid w:val="007C38D7"/>
    <w:rsid w:val="007C3C4C"/>
    <w:rsid w:val="007C45D3"/>
    <w:rsid w:val="007C597B"/>
    <w:rsid w:val="007C5A8D"/>
    <w:rsid w:val="007C63F0"/>
    <w:rsid w:val="007C65E3"/>
    <w:rsid w:val="007C6760"/>
    <w:rsid w:val="007C68D6"/>
    <w:rsid w:val="007C6937"/>
    <w:rsid w:val="007C73D5"/>
    <w:rsid w:val="007C760C"/>
    <w:rsid w:val="007C7846"/>
    <w:rsid w:val="007C7976"/>
    <w:rsid w:val="007C7E22"/>
    <w:rsid w:val="007D0515"/>
    <w:rsid w:val="007D08FD"/>
    <w:rsid w:val="007D0970"/>
    <w:rsid w:val="007D1324"/>
    <w:rsid w:val="007D153E"/>
    <w:rsid w:val="007D1584"/>
    <w:rsid w:val="007D16D3"/>
    <w:rsid w:val="007D1C41"/>
    <w:rsid w:val="007D2044"/>
    <w:rsid w:val="007D2657"/>
    <w:rsid w:val="007D2E79"/>
    <w:rsid w:val="007D3164"/>
    <w:rsid w:val="007D3DF6"/>
    <w:rsid w:val="007D4136"/>
    <w:rsid w:val="007D41FB"/>
    <w:rsid w:val="007D4651"/>
    <w:rsid w:val="007D4C7B"/>
    <w:rsid w:val="007D4DC8"/>
    <w:rsid w:val="007D4F33"/>
    <w:rsid w:val="007D554B"/>
    <w:rsid w:val="007D5792"/>
    <w:rsid w:val="007D59A9"/>
    <w:rsid w:val="007D65C7"/>
    <w:rsid w:val="007D6776"/>
    <w:rsid w:val="007D6C47"/>
    <w:rsid w:val="007D74D2"/>
    <w:rsid w:val="007D78DF"/>
    <w:rsid w:val="007D79B5"/>
    <w:rsid w:val="007D79F9"/>
    <w:rsid w:val="007D7B6A"/>
    <w:rsid w:val="007E0728"/>
    <w:rsid w:val="007E08F1"/>
    <w:rsid w:val="007E14F5"/>
    <w:rsid w:val="007E1ACE"/>
    <w:rsid w:val="007E1D88"/>
    <w:rsid w:val="007E2168"/>
    <w:rsid w:val="007E2334"/>
    <w:rsid w:val="007E23CE"/>
    <w:rsid w:val="007E24E1"/>
    <w:rsid w:val="007E2BFD"/>
    <w:rsid w:val="007E2CE7"/>
    <w:rsid w:val="007E2FD6"/>
    <w:rsid w:val="007E3227"/>
    <w:rsid w:val="007E379A"/>
    <w:rsid w:val="007E3A1C"/>
    <w:rsid w:val="007E4337"/>
    <w:rsid w:val="007E43D0"/>
    <w:rsid w:val="007E4F00"/>
    <w:rsid w:val="007E54F8"/>
    <w:rsid w:val="007E564E"/>
    <w:rsid w:val="007E5987"/>
    <w:rsid w:val="007E5A0E"/>
    <w:rsid w:val="007E5BD8"/>
    <w:rsid w:val="007E5C6F"/>
    <w:rsid w:val="007E7B9F"/>
    <w:rsid w:val="007E7BF9"/>
    <w:rsid w:val="007F0112"/>
    <w:rsid w:val="007F02BC"/>
    <w:rsid w:val="007F041A"/>
    <w:rsid w:val="007F07AC"/>
    <w:rsid w:val="007F1D17"/>
    <w:rsid w:val="007F20D7"/>
    <w:rsid w:val="007F23D7"/>
    <w:rsid w:val="007F2E65"/>
    <w:rsid w:val="007F322C"/>
    <w:rsid w:val="007F3283"/>
    <w:rsid w:val="007F329C"/>
    <w:rsid w:val="007F34D1"/>
    <w:rsid w:val="007F3540"/>
    <w:rsid w:val="007F399F"/>
    <w:rsid w:val="007F3E67"/>
    <w:rsid w:val="007F43BA"/>
    <w:rsid w:val="007F45D1"/>
    <w:rsid w:val="007F4D34"/>
    <w:rsid w:val="007F4F30"/>
    <w:rsid w:val="007F5553"/>
    <w:rsid w:val="007F5B71"/>
    <w:rsid w:val="007F5BF0"/>
    <w:rsid w:val="007F64BE"/>
    <w:rsid w:val="007F6DB9"/>
    <w:rsid w:val="007F6DC3"/>
    <w:rsid w:val="007F6E6F"/>
    <w:rsid w:val="007F7907"/>
    <w:rsid w:val="007F7B11"/>
    <w:rsid w:val="0080002B"/>
    <w:rsid w:val="00800548"/>
    <w:rsid w:val="008006B4"/>
    <w:rsid w:val="008015B6"/>
    <w:rsid w:val="00801DAB"/>
    <w:rsid w:val="00801FE8"/>
    <w:rsid w:val="008025E0"/>
    <w:rsid w:val="008034C0"/>
    <w:rsid w:val="008039A0"/>
    <w:rsid w:val="00803C31"/>
    <w:rsid w:val="00803F9F"/>
    <w:rsid w:val="00803FD4"/>
    <w:rsid w:val="008046F6"/>
    <w:rsid w:val="0080481C"/>
    <w:rsid w:val="00804C54"/>
    <w:rsid w:val="008056DD"/>
    <w:rsid w:val="00805C74"/>
    <w:rsid w:val="00805E07"/>
    <w:rsid w:val="0080630C"/>
    <w:rsid w:val="00806A63"/>
    <w:rsid w:val="00806D39"/>
    <w:rsid w:val="00806EC7"/>
    <w:rsid w:val="00807403"/>
    <w:rsid w:val="0080753C"/>
    <w:rsid w:val="00807610"/>
    <w:rsid w:val="008077DB"/>
    <w:rsid w:val="00807F5A"/>
    <w:rsid w:val="0081003B"/>
    <w:rsid w:val="00810B17"/>
    <w:rsid w:val="0081104C"/>
    <w:rsid w:val="00811134"/>
    <w:rsid w:val="00811448"/>
    <w:rsid w:val="008114E4"/>
    <w:rsid w:val="008115F4"/>
    <w:rsid w:val="00812116"/>
    <w:rsid w:val="008121F2"/>
    <w:rsid w:val="0081235A"/>
    <w:rsid w:val="0081268F"/>
    <w:rsid w:val="00812967"/>
    <w:rsid w:val="00812D16"/>
    <w:rsid w:val="00814045"/>
    <w:rsid w:val="00814311"/>
    <w:rsid w:val="008144B2"/>
    <w:rsid w:val="00815851"/>
    <w:rsid w:val="008159AC"/>
    <w:rsid w:val="00815B61"/>
    <w:rsid w:val="00815B88"/>
    <w:rsid w:val="00815D79"/>
    <w:rsid w:val="00815E9F"/>
    <w:rsid w:val="00816C26"/>
    <w:rsid w:val="00816C51"/>
    <w:rsid w:val="0082035F"/>
    <w:rsid w:val="00821865"/>
    <w:rsid w:val="00822208"/>
    <w:rsid w:val="008225EB"/>
    <w:rsid w:val="0082282C"/>
    <w:rsid w:val="00822C36"/>
    <w:rsid w:val="008230BA"/>
    <w:rsid w:val="008231E5"/>
    <w:rsid w:val="0082327D"/>
    <w:rsid w:val="008237DB"/>
    <w:rsid w:val="00823AF4"/>
    <w:rsid w:val="0082433D"/>
    <w:rsid w:val="00824AC3"/>
    <w:rsid w:val="00824B06"/>
    <w:rsid w:val="00824C28"/>
    <w:rsid w:val="00824E76"/>
    <w:rsid w:val="008250BF"/>
    <w:rsid w:val="008250ED"/>
    <w:rsid w:val="00825F5D"/>
    <w:rsid w:val="00826004"/>
    <w:rsid w:val="00826509"/>
    <w:rsid w:val="0082696D"/>
    <w:rsid w:val="00826A5A"/>
    <w:rsid w:val="00826C49"/>
    <w:rsid w:val="00827246"/>
    <w:rsid w:val="00827395"/>
    <w:rsid w:val="00827E2A"/>
    <w:rsid w:val="00830195"/>
    <w:rsid w:val="00830724"/>
    <w:rsid w:val="00830A79"/>
    <w:rsid w:val="008319B2"/>
    <w:rsid w:val="00831BC0"/>
    <w:rsid w:val="00831C03"/>
    <w:rsid w:val="00831CC5"/>
    <w:rsid w:val="0083354D"/>
    <w:rsid w:val="00833952"/>
    <w:rsid w:val="00833AD1"/>
    <w:rsid w:val="00834829"/>
    <w:rsid w:val="00834BA8"/>
    <w:rsid w:val="00835085"/>
    <w:rsid w:val="008350C3"/>
    <w:rsid w:val="0083513E"/>
    <w:rsid w:val="0083561B"/>
    <w:rsid w:val="00835D69"/>
    <w:rsid w:val="0083655E"/>
    <w:rsid w:val="008366F9"/>
    <w:rsid w:val="00837076"/>
    <w:rsid w:val="00837D78"/>
    <w:rsid w:val="00837E46"/>
    <w:rsid w:val="008400C0"/>
    <w:rsid w:val="0084097A"/>
    <w:rsid w:val="008409C2"/>
    <w:rsid w:val="00840D79"/>
    <w:rsid w:val="00840E04"/>
    <w:rsid w:val="00840EF1"/>
    <w:rsid w:val="00840F16"/>
    <w:rsid w:val="00840F99"/>
    <w:rsid w:val="008415B6"/>
    <w:rsid w:val="008417D4"/>
    <w:rsid w:val="008428FC"/>
    <w:rsid w:val="00842939"/>
    <w:rsid w:val="00842A21"/>
    <w:rsid w:val="00842CC5"/>
    <w:rsid w:val="0084342B"/>
    <w:rsid w:val="0084343D"/>
    <w:rsid w:val="00843B35"/>
    <w:rsid w:val="00844864"/>
    <w:rsid w:val="00844F0C"/>
    <w:rsid w:val="0084581F"/>
    <w:rsid w:val="00845A86"/>
    <w:rsid w:val="00845DAD"/>
    <w:rsid w:val="00846827"/>
    <w:rsid w:val="00846B7F"/>
    <w:rsid w:val="00846D4D"/>
    <w:rsid w:val="00847EF5"/>
    <w:rsid w:val="008500F7"/>
    <w:rsid w:val="008502AC"/>
    <w:rsid w:val="008502CA"/>
    <w:rsid w:val="00851377"/>
    <w:rsid w:val="008519A0"/>
    <w:rsid w:val="00851BBD"/>
    <w:rsid w:val="00851DF3"/>
    <w:rsid w:val="00851DFA"/>
    <w:rsid w:val="00852CA3"/>
    <w:rsid w:val="0085416F"/>
    <w:rsid w:val="00854171"/>
    <w:rsid w:val="0085437C"/>
    <w:rsid w:val="00854B2F"/>
    <w:rsid w:val="00855030"/>
    <w:rsid w:val="00855481"/>
    <w:rsid w:val="008556FA"/>
    <w:rsid w:val="00855719"/>
    <w:rsid w:val="00856271"/>
    <w:rsid w:val="00856354"/>
    <w:rsid w:val="0085653A"/>
    <w:rsid w:val="008568E1"/>
    <w:rsid w:val="00856BE9"/>
    <w:rsid w:val="00856CCA"/>
    <w:rsid w:val="00856CCF"/>
    <w:rsid w:val="00856E71"/>
    <w:rsid w:val="00857316"/>
    <w:rsid w:val="00857419"/>
    <w:rsid w:val="0085760B"/>
    <w:rsid w:val="008576E2"/>
    <w:rsid w:val="008578F8"/>
    <w:rsid w:val="00857B50"/>
    <w:rsid w:val="00857CF9"/>
    <w:rsid w:val="00858E03"/>
    <w:rsid w:val="00860566"/>
    <w:rsid w:val="008605FD"/>
    <w:rsid w:val="00860848"/>
    <w:rsid w:val="008608EC"/>
    <w:rsid w:val="00860DEB"/>
    <w:rsid w:val="00860FBD"/>
    <w:rsid w:val="0086129A"/>
    <w:rsid w:val="008612FF"/>
    <w:rsid w:val="008615F6"/>
    <w:rsid w:val="0086165C"/>
    <w:rsid w:val="00861B26"/>
    <w:rsid w:val="00862793"/>
    <w:rsid w:val="00862DD7"/>
    <w:rsid w:val="00862DEA"/>
    <w:rsid w:val="00862EED"/>
    <w:rsid w:val="008636F9"/>
    <w:rsid w:val="00863EDA"/>
    <w:rsid w:val="008643FC"/>
    <w:rsid w:val="008649B9"/>
    <w:rsid w:val="00864AA8"/>
    <w:rsid w:val="00864FDB"/>
    <w:rsid w:val="00865280"/>
    <w:rsid w:val="00865E18"/>
    <w:rsid w:val="0086674E"/>
    <w:rsid w:val="00866F7F"/>
    <w:rsid w:val="0086784F"/>
    <w:rsid w:val="008700D2"/>
    <w:rsid w:val="00870394"/>
    <w:rsid w:val="0087073B"/>
    <w:rsid w:val="00871613"/>
    <w:rsid w:val="00871B6A"/>
    <w:rsid w:val="00871B81"/>
    <w:rsid w:val="00872147"/>
    <w:rsid w:val="00873967"/>
    <w:rsid w:val="00873DE2"/>
    <w:rsid w:val="008743BB"/>
    <w:rsid w:val="00874696"/>
    <w:rsid w:val="00875EE3"/>
    <w:rsid w:val="008769BB"/>
    <w:rsid w:val="008770D4"/>
    <w:rsid w:val="008776CE"/>
    <w:rsid w:val="00877D87"/>
    <w:rsid w:val="008800E5"/>
    <w:rsid w:val="00880B27"/>
    <w:rsid w:val="00880BA8"/>
    <w:rsid w:val="0088127F"/>
    <w:rsid w:val="008812DC"/>
    <w:rsid w:val="008815EF"/>
    <w:rsid w:val="008821C8"/>
    <w:rsid w:val="00883ED5"/>
    <w:rsid w:val="00884474"/>
    <w:rsid w:val="00884C14"/>
    <w:rsid w:val="00884EDC"/>
    <w:rsid w:val="00885137"/>
    <w:rsid w:val="00885273"/>
    <w:rsid w:val="008854E5"/>
    <w:rsid w:val="00885554"/>
    <w:rsid w:val="00885F2C"/>
    <w:rsid w:val="00886031"/>
    <w:rsid w:val="00886386"/>
    <w:rsid w:val="00886520"/>
    <w:rsid w:val="00886E58"/>
    <w:rsid w:val="0088701C"/>
    <w:rsid w:val="0088708E"/>
    <w:rsid w:val="00887188"/>
    <w:rsid w:val="00887755"/>
    <w:rsid w:val="00887E08"/>
    <w:rsid w:val="00887E26"/>
    <w:rsid w:val="00887FE9"/>
    <w:rsid w:val="00890547"/>
    <w:rsid w:val="00890E09"/>
    <w:rsid w:val="0089180C"/>
    <w:rsid w:val="00891A92"/>
    <w:rsid w:val="00891B49"/>
    <w:rsid w:val="00892459"/>
    <w:rsid w:val="008929AA"/>
    <w:rsid w:val="00892AA5"/>
    <w:rsid w:val="00893EE5"/>
    <w:rsid w:val="0089409F"/>
    <w:rsid w:val="00894389"/>
    <w:rsid w:val="00894798"/>
    <w:rsid w:val="00894888"/>
    <w:rsid w:val="0089499B"/>
    <w:rsid w:val="00894ACA"/>
    <w:rsid w:val="00894CC8"/>
    <w:rsid w:val="00894EC5"/>
    <w:rsid w:val="008950B2"/>
    <w:rsid w:val="00895DB2"/>
    <w:rsid w:val="00895DB9"/>
    <w:rsid w:val="00895F97"/>
    <w:rsid w:val="00896238"/>
    <w:rsid w:val="00896357"/>
    <w:rsid w:val="00896658"/>
    <w:rsid w:val="008967B5"/>
    <w:rsid w:val="00896CD0"/>
    <w:rsid w:val="00896CF3"/>
    <w:rsid w:val="00897533"/>
    <w:rsid w:val="008976BD"/>
    <w:rsid w:val="00897AA8"/>
    <w:rsid w:val="008A006F"/>
    <w:rsid w:val="008A0251"/>
    <w:rsid w:val="008A03AC"/>
    <w:rsid w:val="008A0A2C"/>
    <w:rsid w:val="008A1008"/>
    <w:rsid w:val="008A138E"/>
    <w:rsid w:val="008A13CC"/>
    <w:rsid w:val="008A259A"/>
    <w:rsid w:val="008A263E"/>
    <w:rsid w:val="008A2773"/>
    <w:rsid w:val="008A28E2"/>
    <w:rsid w:val="008A2B67"/>
    <w:rsid w:val="008A305C"/>
    <w:rsid w:val="008A32AE"/>
    <w:rsid w:val="008A345A"/>
    <w:rsid w:val="008A3764"/>
    <w:rsid w:val="008A3818"/>
    <w:rsid w:val="008A3DB9"/>
    <w:rsid w:val="008A5320"/>
    <w:rsid w:val="008A556D"/>
    <w:rsid w:val="008A584E"/>
    <w:rsid w:val="008A5880"/>
    <w:rsid w:val="008A5FCF"/>
    <w:rsid w:val="008A617F"/>
    <w:rsid w:val="008A6A5C"/>
    <w:rsid w:val="008A7137"/>
    <w:rsid w:val="008A7316"/>
    <w:rsid w:val="008A794D"/>
    <w:rsid w:val="008B0089"/>
    <w:rsid w:val="008B0602"/>
    <w:rsid w:val="008B0625"/>
    <w:rsid w:val="008B06D3"/>
    <w:rsid w:val="008B0970"/>
    <w:rsid w:val="008B1D7D"/>
    <w:rsid w:val="008B25E0"/>
    <w:rsid w:val="008B29D1"/>
    <w:rsid w:val="008B29EC"/>
    <w:rsid w:val="008B2F25"/>
    <w:rsid w:val="008B30FE"/>
    <w:rsid w:val="008B36BF"/>
    <w:rsid w:val="008B4A1C"/>
    <w:rsid w:val="008B4E5A"/>
    <w:rsid w:val="008B500A"/>
    <w:rsid w:val="008B6ABB"/>
    <w:rsid w:val="008B72AC"/>
    <w:rsid w:val="008C090B"/>
    <w:rsid w:val="008C0BD7"/>
    <w:rsid w:val="008C1610"/>
    <w:rsid w:val="008C1CE6"/>
    <w:rsid w:val="008C25C5"/>
    <w:rsid w:val="008C2A2C"/>
    <w:rsid w:val="008C2B08"/>
    <w:rsid w:val="008C2CE3"/>
    <w:rsid w:val="008C2E59"/>
    <w:rsid w:val="008C2E72"/>
    <w:rsid w:val="008C2F1E"/>
    <w:rsid w:val="008C30E5"/>
    <w:rsid w:val="008C33C0"/>
    <w:rsid w:val="008C38A2"/>
    <w:rsid w:val="008C38E6"/>
    <w:rsid w:val="008C3B5B"/>
    <w:rsid w:val="008C3C02"/>
    <w:rsid w:val="008C3C04"/>
    <w:rsid w:val="008C409F"/>
    <w:rsid w:val="008C4831"/>
    <w:rsid w:val="008C4858"/>
    <w:rsid w:val="008C559B"/>
    <w:rsid w:val="008C5DDB"/>
    <w:rsid w:val="008C602D"/>
    <w:rsid w:val="008C61D2"/>
    <w:rsid w:val="008C69F4"/>
    <w:rsid w:val="008C6BCC"/>
    <w:rsid w:val="008C6C58"/>
    <w:rsid w:val="008C6DE7"/>
    <w:rsid w:val="008C7BF6"/>
    <w:rsid w:val="008C7CAD"/>
    <w:rsid w:val="008C7FC5"/>
    <w:rsid w:val="008CD411"/>
    <w:rsid w:val="008D04E6"/>
    <w:rsid w:val="008D05D7"/>
    <w:rsid w:val="008D098D"/>
    <w:rsid w:val="008D0F4E"/>
    <w:rsid w:val="008D135A"/>
    <w:rsid w:val="008D1AA8"/>
    <w:rsid w:val="008D2205"/>
    <w:rsid w:val="008D2331"/>
    <w:rsid w:val="008D26F8"/>
    <w:rsid w:val="008D29B1"/>
    <w:rsid w:val="008D323D"/>
    <w:rsid w:val="008D347F"/>
    <w:rsid w:val="008D35AD"/>
    <w:rsid w:val="008D36CD"/>
    <w:rsid w:val="008D4380"/>
    <w:rsid w:val="008D44C2"/>
    <w:rsid w:val="008D469E"/>
    <w:rsid w:val="008D477C"/>
    <w:rsid w:val="008D48D1"/>
    <w:rsid w:val="008D53DB"/>
    <w:rsid w:val="008D5840"/>
    <w:rsid w:val="008D59FC"/>
    <w:rsid w:val="008D5FD3"/>
    <w:rsid w:val="008D6755"/>
    <w:rsid w:val="008D6BE8"/>
    <w:rsid w:val="008D7198"/>
    <w:rsid w:val="008E03BF"/>
    <w:rsid w:val="008E0BA5"/>
    <w:rsid w:val="008E1276"/>
    <w:rsid w:val="008E1672"/>
    <w:rsid w:val="008E18C7"/>
    <w:rsid w:val="008E1CA1"/>
    <w:rsid w:val="008E2172"/>
    <w:rsid w:val="008E27E9"/>
    <w:rsid w:val="008E299A"/>
    <w:rsid w:val="008E30AE"/>
    <w:rsid w:val="008E3750"/>
    <w:rsid w:val="008E3880"/>
    <w:rsid w:val="008E42DE"/>
    <w:rsid w:val="008E4389"/>
    <w:rsid w:val="008E43E9"/>
    <w:rsid w:val="008E4A7A"/>
    <w:rsid w:val="008E4C09"/>
    <w:rsid w:val="008E4D99"/>
    <w:rsid w:val="008E4F39"/>
    <w:rsid w:val="008E50B3"/>
    <w:rsid w:val="008E5290"/>
    <w:rsid w:val="008E5344"/>
    <w:rsid w:val="008E6697"/>
    <w:rsid w:val="008E6841"/>
    <w:rsid w:val="008E6B2B"/>
    <w:rsid w:val="008E7B1A"/>
    <w:rsid w:val="008E7D51"/>
    <w:rsid w:val="008F0B4F"/>
    <w:rsid w:val="008F0EF4"/>
    <w:rsid w:val="008F0FC3"/>
    <w:rsid w:val="008F11E9"/>
    <w:rsid w:val="008F1723"/>
    <w:rsid w:val="008F1ED2"/>
    <w:rsid w:val="008F21FE"/>
    <w:rsid w:val="008F2735"/>
    <w:rsid w:val="008F2C49"/>
    <w:rsid w:val="008F3481"/>
    <w:rsid w:val="008F36F0"/>
    <w:rsid w:val="008F4431"/>
    <w:rsid w:val="008F4D75"/>
    <w:rsid w:val="008F5012"/>
    <w:rsid w:val="008F5493"/>
    <w:rsid w:val="008F59D7"/>
    <w:rsid w:val="008F5F92"/>
    <w:rsid w:val="008F6036"/>
    <w:rsid w:val="008F66BC"/>
    <w:rsid w:val="008F6C5D"/>
    <w:rsid w:val="008F7097"/>
    <w:rsid w:val="008F70DB"/>
    <w:rsid w:val="008F712A"/>
    <w:rsid w:val="008F7A5B"/>
    <w:rsid w:val="008F7AAD"/>
    <w:rsid w:val="008F7CFF"/>
    <w:rsid w:val="008F7ED1"/>
    <w:rsid w:val="008F7FB3"/>
    <w:rsid w:val="00900CF8"/>
    <w:rsid w:val="0090142B"/>
    <w:rsid w:val="009017A0"/>
    <w:rsid w:val="00901C8D"/>
    <w:rsid w:val="00901CBD"/>
    <w:rsid w:val="009020E7"/>
    <w:rsid w:val="00902213"/>
    <w:rsid w:val="009026A1"/>
    <w:rsid w:val="00902A7E"/>
    <w:rsid w:val="00902A92"/>
    <w:rsid w:val="00902B36"/>
    <w:rsid w:val="00902EE5"/>
    <w:rsid w:val="00903D79"/>
    <w:rsid w:val="00904227"/>
    <w:rsid w:val="00904A4D"/>
    <w:rsid w:val="00904B5D"/>
    <w:rsid w:val="00904E23"/>
    <w:rsid w:val="00905643"/>
    <w:rsid w:val="00905D51"/>
    <w:rsid w:val="00905EE9"/>
    <w:rsid w:val="009065F4"/>
    <w:rsid w:val="0090690B"/>
    <w:rsid w:val="00906D9A"/>
    <w:rsid w:val="00906DE0"/>
    <w:rsid w:val="009075A7"/>
    <w:rsid w:val="00907658"/>
    <w:rsid w:val="00907DFB"/>
    <w:rsid w:val="00907ED9"/>
    <w:rsid w:val="00910327"/>
    <w:rsid w:val="0091056B"/>
    <w:rsid w:val="00910624"/>
    <w:rsid w:val="00910FBA"/>
    <w:rsid w:val="0091119C"/>
    <w:rsid w:val="009111C5"/>
    <w:rsid w:val="00911321"/>
    <w:rsid w:val="00911827"/>
    <w:rsid w:val="00911A6E"/>
    <w:rsid w:val="00911D39"/>
    <w:rsid w:val="00912B9F"/>
    <w:rsid w:val="00912BDF"/>
    <w:rsid w:val="009130CD"/>
    <w:rsid w:val="00914067"/>
    <w:rsid w:val="0091469D"/>
    <w:rsid w:val="0091486A"/>
    <w:rsid w:val="00914E71"/>
    <w:rsid w:val="00915EB2"/>
    <w:rsid w:val="009161D3"/>
    <w:rsid w:val="0091647C"/>
    <w:rsid w:val="00917925"/>
    <w:rsid w:val="00917C0F"/>
    <w:rsid w:val="00920202"/>
    <w:rsid w:val="009202C5"/>
    <w:rsid w:val="0092040E"/>
    <w:rsid w:val="0092061F"/>
    <w:rsid w:val="00920A3B"/>
    <w:rsid w:val="00920A9B"/>
    <w:rsid w:val="00920C6C"/>
    <w:rsid w:val="00920CA2"/>
    <w:rsid w:val="00920D4A"/>
    <w:rsid w:val="009212B2"/>
    <w:rsid w:val="00921897"/>
    <w:rsid w:val="00921C6D"/>
    <w:rsid w:val="009227D9"/>
    <w:rsid w:val="00922A63"/>
    <w:rsid w:val="00922FE4"/>
    <w:rsid w:val="00923908"/>
    <w:rsid w:val="00923C44"/>
    <w:rsid w:val="00923E4D"/>
    <w:rsid w:val="00924AD1"/>
    <w:rsid w:val="00924AF7"/>
    <w:rsid w:val="009253C5"/>
    <w:rsid w:val="00925F00"/>
    <w:rsid w:val="009263C8"/>
    <w:rsid w:val="00926D08"/>
    <w:rsid w:val="009272E1"/>
    <w:rsid w:val="009276C0"/>
    <w:rsid w:val="00927791"/>
    <w:rsid w:val="00927B2F"/>
    <w:rsid w:val="009300D8"/>
    <w:rsid w:val="009305E1"/>
    <w:rsid w:val="00930607"/>
    <w:rsid w:val="00930D0A"/>
    <w:rsid w:val="00931723"/>
    <w:rsid w:val="00931EF0"/>
    <w:rsid w:val="009329BA"/>
    <w:rsid w:val="00932EAC"/>
    <w:rsid w:val="00932FC8"/>
    <w:rsid w:val="0093304D"/>
    <w:rsid w:val="00933459"/>
    <w:rsid w:val="00933B65"/>
    <w:rsid w:val="00933FE8"/>
    <w:rsid w:val="00933FF3"/>
    <w:rsid w:val="00934E99"/>
    <w:rsid w:val="00935DB7"/>
    <w:rsid w:val="00936939"/>
    <w:rsid w:val="00936B3B"/>
    <w:rsid w:val="00936E81"/>
    <w:rsid w:val="00937803"/>
    <w:rsid w:val="009379B2"/>
    <w:rsid w:val="00937ECD"/>
    <w:rsid w:val="009400E2"/>
    <w:rsid w:val="009402AF"/>
    <w:rsid w:val="0094053B"/>
    <w:rsid w:val="009407E1"/>
    <w:rsid w:val="00940CC0"/>
    <w:rsid w:val="00941108"/>
    <w:rsid w:val="00941707"/>
    <w:rsid w:val="00941830"/>
    <w:rsid w:val="00941B61"/>
    <w:rsid w:val="00942040"/>
    <w:rsid w:val="009427BD"/>
    <w:rsid w:val="00942C9F"/>
    <w:rsid w:val="009437B1"/>
    <w:rsid w:val="00943E6B"/>
    <w:rsid w:val="00943F98"/>
    <w:rsid w:val="0094444C"/>
    <w:rsid w:val="00945631"/>
    <w:rsid w:val="00946178"/>
    <w:rsid w:val="00946551"/>
    <w:rsid w:val="00946B9D"/>
    <w:rsid w:val="00946C3E"/>
    <w:rsid w:val="009472E8"/>
    <w:rsid w:val="00947549"/>
    <w:rsid w:val="00947970"/>
    <w:rsid w:val="00947977"/>
    <w:rsid w:val="00947B8C"/>
    <w:rsid w:val="00947CF3"/>
    <w:rsid w:val="00950C1F"/>
    <w:rsid w:val="00950C3F"/>
    <w:rsid w:val="009514B4"/>
    <w:rsid w:val="00951E7F"/>
    <w:rsid w:val="00951EB6"/>
    <w:rsid w:val="009524AA"/>
    <w:rsid w:val="0095292A"/>
    <w:rsid w:val="00952981"/>
    <w:rsid w:val="00953F9B"/>
    <w:rsid w:val="009542F6"/>
    <w:rsid w:val="00954615"/>
    <w:rsid w:val="00954699"/>
    <w:rsid w:val="00954F03"/>
    <w:rsid w:val="009558AE"/>
    <w:rsid w:val="009565FF"/>
    <w:rsid w:val="00956819"/>
    <w:rsid w:val="009571A8"/>
    <w:rsid w:val="009576D2"/>
    <w:rsid w:val="0095793C"/>
    <w:rsid w:val="0096065F"/>
    <w:rsid w:val="0096111E"/>
    <w:rsid w:val="00961125"/>
    <w:rsid w:val="00961799"/>
    <w:rsid w:val="00961929"/>
    <w:rsid w:val="00961C64"/>
    <w:rsid w:val="00961CC6"/>
    <w:rsid w:val="00961CEE"/>
    <w:rsid w:val="00962343"/>
    <w:rsid w:val="009623D8"/>
    <w:rsid w:val="009624C9"/>
    <w:rsid w:val="00963362"/>
    <w:rsid w:val="00963481"/>
    <w:rsid w:val="009634B8"/>
    <w:rsid w:val="0096368B"/>
    <w:rsid w:val="00963BD1"/>
    <w:rsid w:val="00963C71"/>
    <w:rsid w:val="009642F7"/>
    <w:rsid w:val="00964559"/>
    <w:rsid w:val="0096499E"/>
    <w:rsid w:val="0096525A"/>
    <w:rsid w:val="00966001"/>
    <w:rsid w:val="009662EF"/>
    <w:rsid w:val="00966679"/>
    <w:rsid w:val="00966B1F"/>
    <w:rsid w:val="0096715A"/>
    <w:rsid w:val="00967956"/>
    <w:rsid w:val="00970070"/>
    <w:rsid w:val="00970822"/>
    <w:rsid w:val="00970A7E"/>
    <w:rsid w:val="00970E04"/>
    <w:rsid w:val="0097116E"/>
    <w:rsid w:val="00971204"/>
    <w:rsid w:val="009714EB"/>
    <w:rsid w:val="00971B6C"/>
    <w:rsid w:val="00971BFF"/>
    <w:rsid w:val="00971E11"/>
    <w:rsid w:val="00971E4A"/>
    <w:rsid w:val="00972138"/>
    <w:rsid w:val="0097265B"/>
    <w:rsid w:val="00972680"/>
    <w:rsid w:val="00972DB0"/>
    <w:rsid w:val="00972F80"/>
    <w:rsid w:val="0097325D"/>
    <w:rsid w:val="009737E3"/>
    <w:rsid w:val="009737F6"/>
    <w:rsid w:val="00973DE6"/>
    <w:rsid w:val="009741C7"/>
    <w:rsid w:val="00974518"/>
    <w:rsid w:val="00974546"/>
    <w:rsid w:val="00975912"/>
    <w:rsid w:val="00975C6B"/>
    <w:rsid w:val="00976746"/>
    <w:rsid w:val="00976CF5"/>
    <w:rsid w:val="00976E99"/>
    <w:rsid w:val="00980FE0"/>
    <w:rsid w:val="00981484"/>
    <w:rsid w:val="009818B6"/>
    <w:rsid w:val="00981A66"/>
    <w:rsid w:val="00981CA7"/>
    <w:rsid w:val="00983102"/>
    <w:rsid w:val="009836CB"/>
    <w:rsid w:val="00983E93"/>
    <w:rsid w:val="009840F6"/>
    <w:rsid w:val="009841AE"/>
    <w:rsid w:val="0098455F"/>
    <w:rsid w:val="009848A6"/>
    <w:rsid w:val="00984BCA"/>
    <w:rsid w:val="009859B0"/>
    <w:rsid w:val="00985A40"/>
    <w:rsid w:val="00985F8B"/>
    <w:rsid w:val="00986488"/>
    <w:rsid w:val="0098648E"/>
    <w:rsid w:val="009866FD"/>
    <w:rsid w:val="00986E1C"/>
    <w:rsid w:val="009877C7"/>
    <w:rsid w:val="00987C58"/>
    <w:rsid w:val="00987F38"/>
    <w:rsid w:val="0099047C"/>
    <w:rsid w:val="00990486"/>
    <w:rsid w:val="0099087D"/>
    <w:rsid w:val="00990B70"/>
    <w:rsid w:val="00990C3B"/>
    <w:rsid w:val="00991312"/>
    <w:rsid w:val="00991CBD"/>
    <w:rsid w:val="009921E6"/>
    <w:rsid w:val="009922FE"/>
    <w:rsid w:val="009928B7"/>
    <w:rsid w:val="0099321A"/>
    <w:rsid w:val="00993CF5"/>
    <w:rsid w:val="00994614"/>
    <w:rsid w:val="009947E8"/>
    <w:rsid w:val="0099487A"/>
    <w:rsid w:val="00994D27"/>
    <w:rsid w:val="00995035"/>
    <w:rsid w:val="009953D4"/>
    <w:rsid w:val="00995458"/>
    <w:rsid w:val="009955B3"/>
    <w:rsid w:val="009960B7"/>
    <w:rsid w:val="00996735"/>
    <w:rsid w:val="009968A3"/>
    <w:rsid w:val="00996B35"/>
    <w:rsid w:val="00996F08"/>
    <w:rsid w:val="009972FE"/>
    <w:rsid w:val="009A0098"/>
    <w:rsid w:val="009A0444"/>
    <w:rsid w:val="009A0601"/>
    <w:rsid w:val="009A0AD7"/>
    <w:rsid w:val="009A0F85"/>
    <w:rsid w:val="009A1EDE"/>
    <w:rsid w:val="009A2A9A"/>
    <w:rsid w:val="009A2BAD"/>
    <w:rsid w:val="009A2C78"/>
    <w:rsid w:val="009A307C"/>
    <w:rsid w:val="009A3D1D"/>
    <w:rsid w:val="009A4083"/>
    <w:rsid w:val="009A4C25"/>
    <w:rsid w:val="009A524C"/>
    <w:rsid w:val="009A6543"/>
    <w:rsid w:val="009A658E"/>
    <w:rsid w:val="009A65E3"/>
    <w:rsid w:val="009A75FF"/>
    <w:rsid w:val="009A76A3"/>
    <w:rsid w:val="009B064F"/>
    <w:rsid w:val="009B0F99"/>
    <w:rsid w:val="009B0FBD"/>
    <w:rsid w:val="009B10F0"/>
    <w:rsid w:val="009B1483"/>
    <w:rsid w:val="009B1545"/>
    <w:rsid w:val="009B2116"/>
    <w:rsid w:val="009B281B"/>
    <w:rsid w:val="009B2AB2"/>
    <w:rsid w:val="009B2DD9"/>
    <w:rsid w:val="009B2E1C"/>
    <w:rsid w:val="009B3595"/>
    <w:rsid w:val="009B392D"/>
    <w:rsid w:val="009B3930"/>
    <w:rsid w:val="009B451C"/>
    <w:rsid w:val="009B45EA"/>
    <w:rsid w:val="009B494B"/>
    <w:rsid w:val="009B4AEB"/>
    <w:rsid w:val="009B4F10"/>
    <w:rsid w:val="009B5214"/>
    <w:rsid w:val="009B536C"/>
    <w:rsid w:val="009B5C19"/>
    <w:rsid w:val="009B6241"/>
    <w:rsid w:val="009B6496"/>
    <w:rsid w:val="009B6812"/>
    <w:rsid w:val="009B6C67"/>
    <w:rsid w:val="009B79B8"/>
    <w:rsid w:val="009B7C49"/>
    <w:rsid w:val="009B7EDD"/>
    <w:rsid w:val="009BA563"/>
    <w:rsid w:val="009C0000"/>
    <w:rsid w:val="009C01DA"/>
    <w:rsid w:val="009C0707"/>
    <w:rsid w:val="009C097C"/>
    <w:rsid w:val="009C0C88"/>
    <w:rsid w:val="009C1528"/>
    <w:rsid w:val="009C1A46"/>
    <w:rsid w:val="009C1A4C"/>
    <w:rsid w:val="009C1A83"/>
    <w:rsid w:val="009C20B4"/>
    <w:rsid w:val="009C20CC"/>
    <w:rsid w:val="009C2BDF"/>
    <w:rsid w:val="009C32BC"/>
    <w:rsid w:val="009C3558"/>
    <w:rsid w:val="009C4EC4"/>
    <w:rsid w:val="009C513C"/>
    <w:rsid w:val="009C562E"/>
    <w:rsid w:val="009C5E44"/>
    <w:rsid w:val="009C5EBB"/>
    <w:rsid w:val="009C6780"/>
    <w:rsid w:val="009C6FE5"/>
    <w:rsid w:val="009C7368"/>
    <w:rsid w:val="009C74C2"/>
    <w:rsid w:val="009C7531"/>
    <w:rsid w:val="009D029C"/>
    <w:rsid w:val="009D035D"/>
    <w:rsid w:val="009D0AD8"/>
    <w:rsid w:val="009D0EE1"/>
    <w:rsid w:val="009D1347"/>
    <w:rsid w:val="009D1692"/>
    <w:rsid w:val="009D220C"/>
    <w:rsid w:val="009D221F"/>
    <w:rsid w:val="009D2D75"/>
    <w:rsid w:val="009D30BF"/>
    <w:rsid w:val="009D37D4"/>
    <w:rsid w:val="009D38B2"/>
    <w:rsid w:val="009D3B29"/>
    <w:rsid w:val="009D3BD5"/>
    <w:rsid w:val="009D4161"/>
    <w:rsid w:val="009D4622"/>
    <w:rsid w:val="009D4A80"/>
    <w:rsid w:val="009D5352"/>
    <w:rsid w:val="009D60C5"/>
    <w:rsid w:val="009D64AB"/>
    <w:rsid w:val="009D668F"/>
    <w:rsid w:val="009D69B7"/>
    <w:rsid w:val="009D6BCA"/>
    <w:rsid w:val="009D6CD9"/>
    <w:rsid w:val="009E000A"/>
    <w:rsid w:val="009E0057"/>
    <w:rsid w:val="009E09F0"/>
    <w:rsid w:val="009E0E52"/>
    <w:rsid w:val="009E0F11"/>
    <w:rsid w:val="009E12E3"/>
    <w:rsid w:val="009E19E8"/>
    <w:rsid w:val="009E1CC8"/>
    <w:rsid w:val="009E1F02"/>
    <w:rsid w:val="009E24F3"/>
    <w:rsid w:val="009E309D"/>
    <w:rsid w:val="009E31BD"/>
    <w:rsid w:val="009E377C"/>
    <w:rsid w:val="009E3863"/>
    <w:rsid w:val="009E411C"/>
    <w:rsid w:val="009E458A"/>
    <w:rsid w:val="009E4D70"/>
    <w:rsid w:val="009E4F4B"/>
    <w:rsid w:val="009E5086"/>
    <w:rsid w:val="009E5316"/>
    <w:rsid w:val="009E5D7C"/>
    <w:rsid w:val="009E5DFC"/>
    <w:rsid w:val="009E6B1B"/>
    <w:rsid w:val="009F03A7"/>
    <w:rsid w:val="009F0583"/>
    <w:rsid w:val="009F1390"/>
    <w:rsid w:val="009F1789"/>
    <w:rsid w:val="009F1FF7"/>
    <w:rsid w:val="009F23F7"/>
    <w:rsid w:val="009F2E3B"/>
    <w:rsid w:val="009F34C8"/>
    <w:rsid w:val="009F357A"/>
    <w:rsid w:val="009F36D2"/>
    <w:rsid w:val="009F39E9"/>
    <w:rsid w:val="009F3A3A"/>
    <w:rsid w:val="009F3B6B"/>
    <w:rsid w:val="009F3D65"/>
    <w:rsid w:val="009F4038"/>
    <w:rsid w:val="009F4386"/>
    <w:rsid w:val="009F4504"/>
    <w:rsid w:val="009F4EC1"/>
    <w:rsid w:val="009F502C"/>
    <w:rsid w:val="009F52C5"/>
    <w:rsid w:val="009F5739"/>
    <w:rsid w:val="009F603B"/>
    <w:rsid w:val="009F6048"/>
    <w:rsid w:val="009F612D"/>
    <w:rsid w:val="009F66D3"/>
    <w:rsid w:val="009F6987"/>
    <w:rsid w:val="009F6A8B"/>
    <w:rsid w:val="009F6C78"/>
    <w:rsid w:val="009F720F"/>
    <w:rsid w:val="009F74DA"/>
    <w:rsid w:val="009F7877"/>
    <w:rsid w:val="009F787D"/>
    <w:rsid w:val="009F7B13"/>
    <w:rsid w:val="00A005C0"/>
    <w:rsid w:val="00A005FA"/>
    <w:rsid w:val="00A00BAA"/>
    <w:rsid w:val="00A010E7"/>
    <w:rsid w:val="00A013A6"/>
    <w:rsid w:val="00A01A17"/>
    <w:rsid w:val="00A01A60"/>
    <w:rsid w:val="00A0237F"/>
    <w:rsid w:val="00A037D1"/>
    <w:rsid w:val="00A03C2E"/>
    <w:rsid w:val="00A03D43"/>
    <w:rsid w:val="00A03DFB"/>
    <w:rsid w:val="00A04005"/>
    <w:rsid w:val="00A0453D"/>
    <w:rsid w:val="00A05CFB"/>
    <w:rsid w:val="00A06096"/>
    <w:rsid w:val="00A069B6"/>
    <w:rsid w:val="00A06E6E"/>
    <w:rsid w:val="00A076F9"/>
    <w:rsid w:val="00A07997"/>
    <w:rsid w:val="00A07A54"/>
    <w:rsid w:val="00A07D55"/>
    <w:rsid w:val="00A07F87"/>
    <w:rsid w:val="00A100C3"/>
    <w:rsid w:val="00A10367"/>
    <w:rsid w:val="00A1102E"/>
    <w:rsid w:val="00A113F4"/>
    <w:rsid w:val="00A114CD"/>
    <w:rsid w:val="00A121DC"/>
    <w:rsid w:val="00A12527"/>
    <w:rsid w:val="00A1332A"/>
    <w:rsid w:val="00A13659"/>
    <w:rsid w:val="00A136C5"/>
    <w:rsid w:val="00A13997"/>
    <w:rsid w:val="00A13AB7"/>
    <w:rsid w:val="00A13F88"/>
    <w:rsid w:val="00A1465E"/>
    <w:rsid w:val="00A14BEC"/>
    <w:rsid w:val="00A14E9F"/>
    <w:rsid w:val="00A14F49"/>
    <w:rsid w:val="00A15454"/>
    <w:rsid w:val="00A158CD"/>
    <w:rsid w:val="00A15ABA"/>
    <w:rsid w:val="00A15C0C"/>
    <w:rsid w:val="00A15CED"/>
    <w:rsid w:val="00A1609D"/>
    <w:rsid w:val="00A1637F"/>
    <w:rsid w:val="00A16A4A"/>
    <w:rsid w:val="00A16BA1"/>
    <w:rsid w:val="00A17F5E"/>
    <w:rsid w:val="00A206ED"/>
    <w:rsid w:val="00A20806"/>
    <w:rsid w:val="00A20C7F"/>
    <w:rsid w:val="00A20E5A"/>
    <w:rsid w:val="00A21BAD"/>
    <w:rsid w:val="00A21D41"/>
    <w:rsid w:val="00A21E6A"/>
    <w:rsid w:val="00A21FBA"/>
    <w:rsid w:val="00A22DBA"/>
    <w:rsid w:val="00A2329D"/>
    <w:rsid w:val="00A23674"/>
    <w:rsid w:val="00A23D2A"/>
    <w:rsid w:val="00A2490E"/>
    <w:rsid w:val="00A252A1"/>
    <w:rsid w:val="00A25442"/>
    <w:rsid w:val="00A25539"/>
    <w:rsid w:val="00A25BFF"/>
    <w:rsid w:val="00A26648"/>
    <w:rsid w:val="00A26999"/>
    <w:rsid w:val="00A26C6A"/>
    <w:rsid w:val="00A26F79"/>
    <w:rsid w:val="00A272BB"/>
    <w:rsid w:val="00A27522"/>
    <w:rsid w:val="00A2793F"/>
    <w:rsid w:val="00A27A0A"/>
    <w:rsid w:val="00A30388"/>
    <w:rsid w:val="00A30941"/>
    <w:rsid w:val="00A3136F"/>
    <w:rsid w:val="00A31EFB"/>
    <w:rsid w:val="00A31FD4"/>
    <w:rsid w:val="00A32609"/>
    <w:rsid w:val="00A32AF8"/>
    <w:rsid w:val="00A3322D"/>
    <w:rsid w:val="00A33B9A"/>
    <w:rsid w:val="00A3426D"/>
    <w:rsid w:val="00A34330"/>
    <w:rsid w:val="00A344B7"/>
    <w:rsid w:val="00A34B4F"/>
    <w:rsid w:val="00A34C3F"/>
    <w:rsid w:val="00A34D0C"/>
    <w:rsid w:val="00A34D76"/>
    <w:rsid w:val="00A35125"/>
    <w:rsid w:val="00A35230"/>
    <w:rsid w:val="00A365D0"/>
    <w:rsid w:val="00A36BB0"/>
    <w:rsid w:val="00A37094"/>
    <w:rsid w:val="00A372AE"/>
    <w:rsid w:val="00A373F8"/>
    <w:rsid w:val="00A37434"/>
    <w:rsid w:val="00A402B8"/>
    <w:rsid w:val="00A40371"/>
    <w:rsid w:val="00A4043E"/>
    <w:rsid w:val="00A40663"/>
    <w:rsid w:val="00A4098A"/>
    <w:rsid w:val="00A40D7F"/>
    <w:rsid w:val="00A41251"/>
    <w:rsid w:val="00A41B10"/>
    <w:rsid w:val="00A4266B"/>
    <w:rsid w:val="00A42CB9"/>
    <w:rsid w:val="00A42E0E"/>
    <w:rsid w:val="00A43081"/>
    <w:rsid w:val="00A4365E"/>
    <w:rsid w:val="00A43732"/>
    <w:rsid w:val="00A437D9"/>
    <w:rsid w:val="00A43C16"/>
    <w:rsid w:val="00A4413A"/>
    <w:rsid w:val="00A443A6"/>
    <w:rsid w:val="00A4455E"/>
    <w:rsid w:val="00A44859"/>
    <w:rsid w:val="00A4485C"/>
    <w:rsid w:val="00A44B90"/>
    <w:rsid w:val="00A44C06"/>
    <w:rsid w:val="00A4581D"/>
    <w:rsid w:val="00A45A1A"/>
    <w:rsid w:val="00A45E4B"/>
    <w:rsid w:val="00A45E61"/>
    <w:rsid w:val="00A46369"/>
    <w:rsid w:val="00A466A2"/>
    <w:rsid w:val="00A4673E"/>
    <w:rsid w:val="00A46EED"/>
    <w:rsid w:val="00A46F32"/>
    <w:rsid w:val="00A472F1"/>
    <w:rsid w:val="00A47F32"/>
    <w:rsid w:val="00A50278"/>
    <w:rsid w:val="00A5093B"/>
    <w:rsid w:val="00A5099B"/>
    <w:rsid w:val="00A510B3"/>
    <w:rsid w:val="00A51149"/>
    <w:rsid w:val="00A525A6"/>
    <w:rsid w:val="00A52674"/>
    <w:rsid w:val="00A527FC"/>
    <w:rsid w:val="00A52888"/>
    <w:rsid w:val="00A528DB"/>
    <w:rsid w:val="00A52B7A"/>
    <w:rsid w:val="00A52E6F"/>
    <w:rsid w:val="00A53220"/>
    <w:rsid w:val="00A538E6"/>
    <w:rsid w:val="00A54514"/>
    <w:rsid w:val="00A558C4"/>
    <w:rsid w:val="00A55E24"/>
    <w:rsid w:val="00A56102"/>
    <w:rsid w:val="00A562A8"/>
    <w:rsid w:val="00A5665C"/>
    <w:rsid w:val="00A56800"/>
    <w:rsid w:val="00A568F5"/>
    <w:rsid w:val="00A56BE5"/>
    <w:rsid w:val="00A56D05"/>
    <w:rsid w:val="00A56D7E"/>
    <w:rsid w:val="00A571FE"/>
    <w:rsid w:val="00A57347"/>
    <w:rsid w:val="00A57404"/>
    <w:rsid w:val="00A575BD"/>
    <w:rsid w:val="00A5788A"/>
    <w:rsid w:val="00A57E5C"/>
    <w:rsid w:val="00A57E6D"/>
    <w:rsid w:val="00A60696"/>
    <w:rsid w:val="00A60EEC"/>
    <w:rsid w:val="00A616A3"/>
    <w:rsid w:val="00A61BA0"/>
    <w:rsid w:val="00A620CA"/>
    <w:rsid w:val="00A630BA"/>
    <w:rsid w:val="00A632BA"/>
    <w:rsid w:val="00A63B83"/>
    <w:rsid w:val="00A63EEB"/>
    <w:rsid w:val="00A63F89"/>
    <w:rsid w:val="00A643C6"/>
    <w:rsid w:val="00A647CD"/>
    <w:rsid w:val="00A64A8D"/>
    <w:rsid w:val="00A64D8D"/>
    <w:rsid w:val="00A65754"/>
    <w:rsid w:val="00A6583F"/>
    <w:rsid w:val="00A65BD9"/>
    <w:rsid w:val="00A6604B"/>
    <w:rsid w:val="00A66363"/>
    <w:rsid w:val="00A666F6"/>
    <w:rsid w:val="00A66718"/>
    <w:rsid w:val="00A671EF"/>
    <w:rsid w:val="00A70B31"/>
    <w:rsid w:val="00A716BA"/>
    <w:rsid w:val="00A71A28"/>
    <w:rsid w:val="00A72572"/>
    <w:rsid w:val="00A727B6"/>
    <w:rsid w:val="00A7326E"/>
    <w:rsid w:val="00A734D5"/>
    <w:rsid w:val="00A734E4"/>
    <w:rsid w:val="00A734FF"/>
    <w:rsid w:val="00A7377A"/>
    <w:rsid w:val="00A73A6D"/>
    <w:rsid w:val="00A73A74"/>
    <w:rsid w:val="00A73B1A"/>
    <w:rsid w:val="00A74EE7"/>
    <w:rsid w:val="00A7507F"/>
    <w:rsid w:val="00A759FE"/>
    <w:rsid w:val="00A75CF1"/>
    <w:rsid w:val="00A75FE1"/>
    <w:rsid w:val="00A76004"/>
    <w:rsid w:val="00A76D67"/>
    <w:rsid w:val="00A76ECB"/>
    <w:rsid w:val="00A7707E"/>
    <w:rsid w:val="00A77562"/>
    <w:rsid w:val="00A776B8"/>
    <w:rsid w:val="00A80C1D"/>
    <w:rsid w:val="00A80F47"/>
    <w:rsid w:val="00A8156F"/>
    <w:rsid w:val="00A81720"/>
    <w:rsid w:val="00A81EB6"/>
    <w:rsid w:val="00A81FA9"/>
    <w:rsid w:val="00A8214C"/>
    <w:rsid w:val="00A822E7"/>
    <w:rsid w:val="00A8253A"/>
    <w:rsid w:val="00A82BD2"/>
    <w:rsid w:val="00A82DE9"/>
    <w:rsid w:val="00A83024"/>
    <w:rsid w:val="00A83671"/>
    <w:rsid w:val="00A837FE"/>
    <w:rsid w:val="00A83EC0"/>
    <w:rsid w:val="00A84183"/>
    <w:rsid w:val="00A84741"/>
    <w:rsid w:val="00A8478C"/>
    <w:rsid w:val="00A84F66"/>
    <w:rsid w:val="00A85357"/>
    <w:rsid w:val="00A856B8"/>
    <w:rsid w:val="00A861C6"/>
    <w:rsid w:val="00A86263"/>
    <w:rsid w:val="00A86423"/>
    <w:rsid w:val="00A86A99"/>
    <w:rsid w:val="00A86DEA"/>
    <w:rsid w:val="00A871E5"/>
    <w:rsid w:val="00A874A3"/>
    <w:rsid w:val="00A87C90"/>
    <w:rsid w:val="00A87D78"/>
    <w:rsid w:val="00A902DD"/>
    <w:rsid w:val="00A90838"/>
    <w:rsid w:val="00A91617"/>
    <w:rsid w:val="00A91681"/>
    <w:rsid w:val="00A91AE8"/>
    <w:rsid w:val="00A929F0"/>
    <w:rsid w:val="00A93100"/>
    <w:rsid w:val="00A93405"/>
    <w:rsid w:val="00A9386B"/>
    <w:rsid w:val="00A93C1C"/>
    <w:rsid w:val="00A93D37"/>
    <w:rsid w:val="00A94656"/>
    <w:rsid w:val="00A94D81"/>
    <w:rsid w:val="00A951A9"/>
    <w:rsid w:val="00A95788"/>
    <w:rsid w:val="00A95F48"/>
    <w:rsid w:val="00A965BF"/>
    <w:rsid w:val="00A96DF8"/>
    <w:rsid w:val="00A96FA8"/>
    <w:rsid w:val="00A96FFF"/>
    <w:rsid w:val="00A9770A"/>
    <w:rsid w:val="00A9775D"/>
    <w:rsid w:val="00AA02FD"/>
    <w:rsid w:val="00AA092F"/>
    <w:rsid w:val="00AA0A43"/>
    <w:rsid w:val="00AA0BD0"/>
    <w:rsid w:val="00AA0DD3"/>
    <w:rsid w:val="00AA0EDC"/>
    <w:rsid w:val="00AA1B42"/>
    <w:rsid w:val="00AA1C07"/>
    <w:rsid w:val="00AA1F21"/>
    <w:rsid w:val="00AA217A"/>
    <w:rsid w:val="00AA2501"/>
    <w:rsid w:val="00AA3688"/>
    <w:rsid w:val="00AA3878"/>
    <w:rsid w:val="00AA3F99"/>
    <w:rsid w:val="00AA4006"/>
    <w:rsid w:val="00AA4069"/>
    <w:rsid w:val="00AA5025"/>
    <w:rsid w:val="00AA5729"/>
    <w:rsid w:val="00AA5887"/>
    <w:rsid w:val="00AA6420"/>
    <w:rsid w:val="00AA6927"/>
    <w:rsid w:val="00AA6FD5"/>
    <w:rsid w:val="00AA702B"/>
    <w:rsid w:val="00AA7A7C"/>
    <w:rsid w:val="00AB0268"/>
    <w:rsid w:val="00AB02C7"/>
    <w:rsid w:val="00AB0554"/>
    <w:rsid w:val="00AB19F8"/>
    <w:rsid w:val="00AB1BB6"/>
    <w:rsid w:val="00AB1C37"/>
    <w:rsid w:val="00AB2126"/>
    <w:rsid w:val="00AB2A61"/>
    <w:rsid w:val="00AB2AA6"/>
    <w:rsid w:val="00AB324A"/>
    <w:rsid w:val="00AB3A12"/>
    <w:rsid w:val="00AB3C1E"/>
    <w:rsid w:val="00AB3EED"/>
    <w:rsid w:val="00AB4459"/>
    <w:rsid w:val="00AB4C75"/>
    <w:rsid w:val="00AB4EB8"/>
    <w:rsid w:val="00AB5593"/>
    <w:rsid w:val="00AB55A9"/>
    <w:rsid w:val="00AB5692"/>
    <w:rsid w:val="00AB5A8D"/>
    <w:rsid w:val="00AB5C27"/>
    <w:rsid w:val="00AB5D6B"/>
    <w:rsid w:val="00AB630A"/>
    <w:rsid w:val="00AB6642"/>
    <w:rsid w:val="00AB6E91"/>
    <w:rsid w:val="00AB744E"/>
    <w:rsid w:val="00AC0104"/>
    <w:rsid w:val="00AC055F"/>
    <w:rsid w:val="00AC05A8"/>
    <w:rsid w:val="00AC061F"/>
    <w:rsid w:val="00AC0BC3"/>
    <w:rsid w:val="00AC232B"/>
    <w:rsid w:val="00AC26A9"/>
    <w:rsid w:val="00AC272C"/>
    <w:rsid w:val="00AC2745"/>
    <w:rsid w:val="00AC2C92"/>
    <w:rsid w:val="00AC2EFE"/>
    <w:rsid w:val="00AC350B"/>
    <w:rsid w:val="00AC3930"/>
    <w:rsid w:val="00AC3AB1"/>
    <w:rsid w:val="00AC4404"/>
    <w:rsid w:val="00AC46D5"/>
    <w:rsid w:val="00AC4982"/>
    <w:rsid w:val="00AC4E8D"/>
    <w:rsid w:val="00AC5552"/>
    <w:rsid w:val="00AC5E4D"/>
    <w:rsid w:val="00AC68C6"/>
    <w:rsid w:val="00AC6D6A"/>
    <w:rsid w:val="00AC6ECE"/>
    <w:rsid w:val="00AC7612"/>
    <w:rsid w:val="00AC79C1"/>
    <w:rsid w:val="00AC7CA4"/>
    <w:rsid w:val="00AD0868"/>
    <w:rsid w:val="00AD176B"/>
    <w:rsid w:val="00AD1B0E"/>
    <w:rsid w:val="00AD1CF9"/>
    <w:rsid w:val="00AD1EB9"/>
    <w:rsid w:val="00AD200B"/>
    <w:rsid w:val="00AD3C28"/>
    <w:rsid w:val="00AD3D5E"/>
    <w:rsid w:val="00AD3EE8"/>
    <w:rsid w:val="00AD493B"/>
    <w:rsid w:val="00AD4A64"/>
    <w:rsid w:val="00AD4D4E"/>
    <w:rsid w:val="00AD5180"/>
    <w:rsid w:val="00AD5184"/>
    <w:rsid w:val="00AD598F"/>
    <w:rsid w:val="00AD6798"/>
    <w:rsid w:val="00AD6D09"/>
    <w:rsid w:val="00AD72F3"/>
    <w:rsid w:val="00AD796E"/>
    <w:rsid w:val="00AD7B81"/>
    <w:rsid w:val="00AD7CCE"/>
    <w:rsid w:val="00AE07DA"/>
    <w:rsid w:val="00AE098E"/>
    <w:rsid w:val="00AE0BBA"/>
    <w:rsid w:val="00AE102D"/>
    <w:rsid w:val="00AE11AC"/>
    <w:rsid w:val="00AE14B6"/>
    <w:rsid w:val="00AE19FF"/>
    <w:rsid w:val="00AE1D91"/>
    <w:rsid w:val="00AE2291"/>
    <w:rsid w:val="00AE25C8"/>
    <w:rsid w:val="00AE2F78"/>
    <w:rsid w:val="00AE366B"/>
    <w:rsid w:val="00AE4003"/>
    <w:rsid w:val="00AE4113"/>
    <w:rsid w:val="00AE42E7"/>
    <w:rsid w:val="00AE4380"/>
    <w:rsid w:val="00AE46A6"/>
    <w:rsid w:val="00AE4A03"/>
    <w:rsid w:val="00AE4E3B"/>
    <w:rsid w:val="00AE4FAC"/>
    <w:rsid w:val="00AE5163"/>
    <w:rsid w:val="00AE5292"/>
    <w:rsid w:val="00AE53F0"/>
    <w:rsid w:val="00AE5525"/>
    <w:rsid w:val="00AE5A40"/>
    <w:rsid w:val="00AE5CA8"/>
    <w:rsid w:val="00AE630D"/>
    <w:rsid w:val="00AE6381"/>
    <w:rsid w:val="00AE64E4"/>
    <w:rsid w:val="00AE656F"/>
    <w:rsid w:val="00AE6854"/>
    <w:rsid w:val="00AE6962"/>
    <w:rsid w:val="00AE6A1C"/>
    <w:rsid w:val="00AE74A0"/>
    <w:rsid w:val="00AE76D9"/>
    <w:rsid w:val="00AE7D78"/>
    <w:rsid w:val="00AF1E9B"/>
    <w:rsid w:val="00AF23B0"/>
    <w:rsid w:val="00AF30CD"/>
    <w:rsid w:val="00AF33DA"/>
    <w:rsid w:val="00AF350E"/>
    <w:rsid w:val="00AF41F6"/>
    <w:rsid w:val="00AF438E"/>
    <w:rsid w:val="00AF45CA"/>
    <w:rsid w:val="00AF5309"/>
    <w:rsid w:val="00AF5CEE"/>
    <w:rsid w:val="00AF647A"/>
    <w:rsid w:val="00AF6EEB"/>
    <w:rsid w:val="00AF704F"/>
    <w:rsid w:val="00AF7420"/>
    <w:rsid w:val="00AF7506"/>
    <w:rsid w:val="00AF7A13"/>
    <w:rsid w:val="00AF7C10"/>
    <w:rsid w:val="00B003C3"/>
    <w:rsid w:val="00B00535"/>
    <w:rsid w:val="00B007DD"/>
    <w:rsid w:val="00B0098A"/>
    <w:rsid w:val="00B00C1B"/>
    <w:rsid w:val="00B01016"/>
    <w:rsid w:val="00B0146E"/>
    <w:rsid w:val="00B014C7"/>
    <w:rsid w:val="00B01EB0"/>
    <w:rsid w:val="00B02160"/>
    <w:rsid w:val="00B027CB"/>
    <w:rsid w:val="00B0352B"/>
    <w:rsid w:val="00B03C85"/>
    <w:rsid w:val="00B04500"/>
    <w:rsid w:val="00B04C51"/>
    <w:rsid w:val="00B04CC8"/>
    <w:rsid w:val="00B04D57"/>
    <w:rsid w:val="00B0521C"/>
    <w:rsid w:val="00B05AD4"/>
    <w:rsid w:val="00B05BFE"/>
    <w:rsid w:val="00B05E3A"/>
    <w:rsid w:val="00B06692"/>
    <w:rsid w:val="00B06C0C"/>
    <w:rsid w:val="00B06E55"/>
    <w:rsid w:val="00B073E6"/>
    <w:rsid w:val="00B074F8"/>
    <w:rsid w:val="00B07B98"/>
    <w:rsid w:val="00B07D79"/>
    <w:rsid w:val="00B10060"/>
    <w:rsid w:val="00B102FD"/>
    <w:rsid w:val="00B104AB"/>
    <w:rsid w:val="00B1147C"/>
    <w:rsid w:val="00B11A3D"/>
    <w:rsid w:val="00B11CF7"/>
    <w:rsid w:val="00B11FC5"/>
    <w:rsid w:val="00B121B0"/>
    <w:rsid w:val="00B12A4A"/>
    <w:rsid w:val="00B1387E"/>
    <w:rsid w:val="00B13B87"/>
    <w:rsid w:val="00B14D7D"/>
    <w:rsid w:val="00B150DD"/>
    <w:rsid w:val="00B15292"/>
    <w:rsid w:val="00B15931"/>
    <w:rsid w:val="00B15A6F"/>
    <w:rsid w:val="00B15C00"/>
    <w:rsid w:val="00B15F72"/>
    <w:rsid w:val="00B1649C"/>
    <w:rsid w:val="00B1661C"/>
    <w:rsid w:val="00B16DB9"/>
    <w:rsid w:val="00B1705B"/>
    <w:rsid w:val="00B17FAB"/>
    <w:rsid w:val="00B202AB"/>
    <w:rsid w:val="00B20FD5"/>
    <w:rsid w:val="00B21BE7"/>
    <w:rsid w:val="00B2215A"/>
    <w:rsid w:val="00B22675"/>
    <w:rsid w:val="00B22C5F"/>
    <w:rsid w:val="00B22EB1"/>
    <w:rsid w:val="00B232EE"/>
    <w:rsid w:val="00B23687"/>
    <w:rsid w:val="00B2389F"/>
    <w:rsid w:val="00B23AD2"/>
    <w:rsid w:val="00B248DA"/>
    <w:rsid w:val="00B2518C"/>
    <w:rsid w:val="00B25710"/>
    <w:rsid w:val="00B26108"/>
    <w:rsid w:val="00B261EC"/>
    <w:rsid w:val="00B26250"/>
    <w:rsid w:val="00B26765"/>
    <w:rsid w:val="00B269A5"/>
    <w:rsid w:val="00B27740"/>
    <w:rsid w:val="00B27A75"/>
    <w:rsid w:val="00B27A8D"/>
    <w:rsid w:val="00B27B03"/>
    <w:rsid w:val="00B27FB9"/>
    <w:rsid w:val="00B27FFD"/>
    <w:rsid w:val="00B30060"/>
    <w:rsid w:val="00B30573"/>
    <w:rsid w:val="00B30862"/>
    <w:rsid w:val="00B30A0C"/>
    <w:rsid w:val="00B30E3B"/>
    <w:rsid w:val="00B30FC3"/>
    <w:rsid w:val="00B31543"/>
    <w:rsid w:val="00B31B62"/>
    <w:rsid w:val="00B3208E"/>
    <w:rsid w:val="00B32909"/>
    <w:rsid w:val="00B33711"/>
    <w:rsid w:val="00B34246"/>
    <w:rsid w:val="00B34275"/>
    <w:rsid w:val="00B34561"/>
    <w:rsid w:val="00B34889"/>
    <w:rsid w:val="00B34E53"/>
    <w:rsid w:val="00B358D1"/>
    <w:rsid w:val="00B363F2"/>
    <w:rsid w:val="00B36DB5"/>
    <w:rsid w:val="00B36EC1"/>
    <w:rsid w:val="00B37550"/>
    <w:rsid w:val="00B3779E"/>
    <w:rsid w:val="00B37A47"/>
    <w:rsid w:val="00B37CCB"/>
    <w:rsid w:val="00B402C6"/>
    <w:rsid w:val="00B40806"/>
    <w:rsid w:val="00B410A7"/>
    <w:rsid w:val="00B415EF"/>
    <w:rsid w:val="00B41A4C"/>
    <w:rsid w:val="00B41DC1"/>
    <w:rsid w:val="00B425CA"/>
    <w:rsid w:val="00B42F69"/>
    <w:rsid w:val="00B43414"/>
    <w:rsid w:val="00B43844"/>
    <w:rsid w:val="00B43977"/>
    <w:rsid w:val="00B43ABE"/>
    <w:rsid w:val="00B44257"/>
    <w:rsid w:val="00B44AC4"/>
    <w:rsid w:val="00B44D3A"/>
    <w:rsid w:val="00B45157"/>
    <w:rsid w:val="00B46749"/>
    <w:rsid w:val="00B46D83"/>
    <w:rsid w:val="00B46DE7"/>
    <w:rsid w:val="00B46EC7"/>
    <w:rsid w:val="00B5037D"/>
    <w:rsid w:val="00B50A91"/>
    <w:rsid w:val="00B50B02"/>
    <w:rsid w:val="00B5160B"/>
    <w:rsid w:val="00B5161F"/>
    <w:rsid w:val="00B51761"/>
    <w:rsid w:val="00B51816"/>
    <w:rsid w:val="00B51871"/>
    <w:rsid w:val="00B5188B"/>
    <w:rsid w:val="00B52022"/>
    <w:rsid w:val="00B52049"/>
    <w:rsid w:val="00B52187"/>
    <w:rsid w:val="00B532FA"/>
    <w:rsid w:val="00B5456F"/>
    <w:rsid w:val="00B54668"/>
    <w:rsid w:val="00B54691"/>
    <w:rsid w:val="00B555A4"/>
    <w:rsid w:val="00B563F4"/>
    <w:rsid w:val="00B56841"/>
    <w:rsid w:val="00B56B67"/>
    <w:rsid w:val="00B57533"/>
    <w:rsid w:val="00B576F9"/>
    <w:rsid w:val="00B60A18"/>
    <w:rsid w:val="00B60CCD"/>
    <w:rsid w:val="00B614BE"/>
    <w:rsid w:val="00B61797"/>
    <w:rsid w:val="00B61C1B"/>
    <w:rsid w:val="00B61D4D"/>
    <w:rsid w:val="00B62695"/>
    <w:rsid w:val="00B62854"/>
    <w:rsid w:val="00B62CC6"/>
    <w:rsid w:val="00B62EF1"/>
    <w:rsid w:val="00B632D3"/>
    <w:rsid w:val="00B633D4"/>
    <w:rsid w:val="00B63FAB"/>
    <w:rsid w:val="00B640CC"/>
    <w:rsid w:val="00B645B6"/>
    <w:rsid w:val="00B64753"/>
    <w:rsid w:val="00B64B2F"/>
    <w:rsid w:val="00B65633"/>
    <w:rsid w:val="00B65BE0"/>
    <w:rsid w:val="00B662FC"/>
    <w:rsid w:val="00B667BF"/>
    <w:rsid w:val="00B66B22"/>
    <w:rsid w:val="00B674D6"/>
    <w:rsid w:val="00B67568"/>
    <w:rsid w:val="00B677B8"/>
    <w:rsid w:val="00B6797D"/>
    <w:rsid w:val="00B67B04"/>
    <w:rsid w:val="00B67ECB"/>
    <w:rsid w:val="00B70033"/>
    <w:rsid w:val="00B70862"/>
    <w:rsid w:val="00B70AF6"/>
    <w:rsid w:val="00B70C55"/>
    <w:rsid w:val="00B70F76"/>
    <w:rsid w:val="00B71179"/>
    <w:rsid w:val="00B711D3"/>
    <w:rsid w:val="00B713AA"/>
    <w:rsid w:val="00B7182D"/>
    <w:rsid w:val="00B7245B"/>
    <w:rsid w:val="00B72A3C"/>
    <w:rsid w:val="00B733DD"/>
    <w:rsid w:val="00B73551"/>
    <w:rsid w:val="00B735B8"/>
    <w:rsid w:val="00B73608"/>
    <w:rsid w:val="00B73B7A"/>
    <w:rsid w:val="00B73F56"/>
    <w:rsid w:val="00B745AA"/>
    <w:rsid w:val="00B74858"/>
    <w:rsid w:val="00B75090"/>
    <w:rsid w:val="00B752EB"/>
    <w:rsid w:val="00B75665"/>
    <w:rsid w:val="00B75AA4"/>
    <w:rsid w:val="00B75AE2"/>
    <w:rsid w:val="00B7638F"/>
    <w:rsid w:val="00B766E0"/>
    <w:rsid w:val="00B76740"/>
    <w:rsid w:val="00B76854"/>
    <w:rsid w:val="00B76DBE"/>
    <w:rsid w:val="00B77202"/>
    <w:rsid w:val="00B77310"/>
    <w:rsid w:val="00B77BE4"/>
    <w:rsid w:val="00B803CB"/>
    <w:rsid w:val="00B80457"/>
    <w:rsid w:val="00B80B0F"/>
    <w:rsid w:val="00B812BE"/>
    <w:rsid w:val="00B813D5"/>
    <w:rsid w:val="00B81617"/>
    <w:rsid w:val="00B8258D"/>
    <w:rsid w:val="00B825B4"/>
    <w:rsid w:val="00B82831"/>
    <w:rsid w:val="00B82888"/>
    <w:rsid w:val="00B82899"/>
    <w:rsid w:val="00B835D5"/>
    <w:rsid w:val="00B8377B"/>
    <w:rsid w:val="00B83E65"/>
    <w:rsid w:val="00B83FB0"/>
    <w:rsid w:val="00B841E6"/>
    <w:rsid w:val="00B84462"/>
    <w:rsid w:val="00B84CB1"/>
    <w:rsid w:val="00B84E7E"/>
    <w:rsid w:val="00B85063"/>
    <w:rsid w:val="00B85C07"/>
    <w:rsid w:val="00B85D46"/>
    <w:rsid w:val="00B85E1A"/>
    <w:rsid w:val="00B85EDC"/>
    <w:rsid w:val="00B85F2E"/>
    <w:rsid w:val="00B863A8"/>
    <w:rsid w:val="00B8652F"/>
    <w:rsid w:val="00B86608"/>
    <w:rsid w:val="00B86990"/>
    <w:rsid w:val="00B87847"/>
    <w:rsid w:val="00B87AB8"/>
    <w:rsid w:val="00B90477"/>
    <w:rsid w:val="00B90B68"/>
    <w:rsid w:val="00B914D2"/>
    <w:rsid w:val="00B91783"/>
    <w:rsid w:val="00B9185D"/>
    <w:rsid w:val="00B91FDA"/>
    <w:rsid w:val="00B921B8"/>
    <w:rsid w:val="00B9225C"/>
    <w:rsid w:val="00B925D0"/>
    <w:rsid w:val="00B928CC"/>
    <w:rsid w:val="00B92AA5"/>
    <w:rsid w:val="00B92B7E"/>
    <w:rsid w:val="00B93904"/>
    <w:rsid w:val="00B93C1C"/>
    <w:rsid w:val="00B941FF"/>
    <w:rsid w:val="00B949AA"/>
    <w:rsid w:val="00B94C20"/>
    <w:rsid w:val="00B94E9B"/>
    <w:rsid w:val="00B94ED4"/>
    <w:rsid w:val="00B951BF"/>
    <w:rsid w:val="00B955FE"/>
    <w:rsid w:val="00B95695"/>
    <w:rsid w:val="00B95A9F"/>
    <w:rsid w:val="00B95EEF"/>
    <w:rsid w:val="00B96744"/>
    <w:rsid w:val="00B97C6A"/>
    <w:rsid w:val="00B97EFF"/>
    <w:rsid w:val="00BA04E6"/>
    <w:rsid w:val="00BA0846"/>
    <w:rsid w:val="00BA0967"/>
    <w:rsid w:val="00BA0B9F"/>
    <w:rsid w:val="00BA10A9"/>
    <w:rsid w:val="00BA1813"/>
    <w:rsid w:val="00BA19C4"/>
    <w:rsid w:val="00BA20C4"/>
    <w:rsid w:val="00BA2E0B"/>
    <w:rsid w:val="00BA30C7"/>
    <w:rsid w:val="00BA3287"/>
    <w:rsid w:val="00BA35E4"/>
    <w:rsid w:val="00BA3922"/>
    <w:rsid w:val="00BA4256"/>
    <w:rsid w:val="00BA50DF"/>
    <w:rsid w:val="00BA5170"/>
    <w:rsid w:val="00BA5176"/>
    <w:rsid w:val="00BA54F2"/>
    <w:rsid w:val="00BA5CE5"/>
    <w:rsid w:val="00BA6419"/>
    <w:rsid w:val="00BA6550"/>
    <w:rsid w:val="00BA6B6C"/>
    <w:rsid w:val="00BA6D72"/>
    <w:rsid w:val="00BA6F67"/>
    <w:rsid w:val="00BA7FEB"/>
    <w:rsid w:val="00BB0071"/>
    <w:rsid w:val="00BB0EC3"/>
    <w:rsid w:val="00BB10C7"/>
    <w:rsid w:val="00BB18C6"/>
    <w:rsid w:val="00BB21E8"/>
    <w:rsid w:val="00BB228F"/>
    <w:rsid w:val="00BB3642"/>
    <w:rsid w:val="00BB4A3B"/>
    <w:rsid w:val="00BB4BD0"/>
    <w:rsid w:val="00BB506E"/>
    <w:rsid w:val="00BB59F6"/>
    <w:rsid w:val="00BB5EF0"/>
    <w:rsid w:val="00BB65D5"/>
    <w:rsid w:val="00BB66AB"/>
    <w:rsid w:val="00BB7304"/>
    <w:rsid w:val="00BB74AD"/>
    <w:rsid w:val="00BB7525"/>
    <w:rsid w:val="00BB7BBA"/>
    <w:rsid w:val="00BC0220"/>
    <w:rsid w:val="00BC0570"/>
    <w:rsid w:val="00BC086E"/>
    <w:rsid w:val="00BC0AD6"/>
    <w:rsid w:val="00BC0B99"/>
    <w:rsid w:val="00BC122E"/>
    <w:rsid w:val="00BC1443"/>
    <w:rsid w:val="00BC1C16"/>
    <w:rsid w:val="00BC2251"/>
    <w:rsid w:val="00BC28AD"/>
    <w:rsid w:val="00BC3584"/>
    <w:rsid w:val="00BC38D5"/>
    <w:rsid w:val="00BC3AFB"/>
    <w:rsid w:val="00BC41C6"/>
    <w:rsid w:val="00BC4686"/>
    <w:rsid w:val="00BC5409"/>
    <w:rsid w:val="00BC565E"/>
    <w:rsid w:val="00BC5838"/>
    <w:rsid w:val="00BC596C"/>
    <w:rsid w:val="00BC59CC"/>
    <w:rsid w:val="00BC5ACF"/>
    <w:rsid w:val="00BC694F"/>
    <w:rsid w:val="00BC6DC2"/>
    <w:rsid w:val="00BD01F2"/>
    <w:rsid w:val="00BD0434"/>
    <w:rsid w:val="00BD0C7B"/>
    <w:rsid w:val="00BD0E2E"/>
    <w:rsid w:val="00BD1042"/>
    <w:rsid w:val="00BD13E7"/>
    <w:rsid w:val="00BD1684"/>
    <w:rsid w:val="00BD1DA4"/>
    <w:rsid w:val="00BD2100"/>
    <w:rsid w:val="00BD219A"/>
    <w:rsid w:val="00BD24D8"/>
    <w:rsid w:val="00BD3035"/>
    <w:rsid w:val="00BD4BE1"/>
    <w:rsid w:val="00BD5ADF"/>
    <w:rsid w:val="00BD5EF5"/>
    <w:rsid w:val="00BD60D3"/>
    <w:rsid w:val="00BD60E4"/>
    <w:rsid w:val="00BD6181"/>
    <w:rsid w:val="00BD6DEB"/>
    <w:rsid w:val="00BD7053"/>
    <w:rsid w:val="00BD7339"/>
    <w:rsid w:val="00BD7D47"/>
    <w:rsid w:val="00BE01C4"/>
    <w:rsid w:val="00BE0749"/>
    <w:rsid w:val="00BE1226"/>
    <w:rsid w:val="00BE188B"/>
    <w:rsid w:val="00BE214B"/>
    <w:rsid w:val="00BE2248"/>
    <w:rsid w:val="00BE283E"/>
    <w:rsid w:val="00BE2DF8"/>
    <w:rsid w:val="00BE3491"/>
    <w:rsid w:val="00BE442D"/>
    <w:rsid w:val="00BE444F"/>
    <w:rsid w:val="00BE4864"/>
    <w:rsid w:val="00BE4A77"/>
    <w:rsid w:val="00BE4B76"/>
    <w:rsid w:val="00BE4ED6"/>
    <w:rsid w:val="00BE54F3"/>
    <w:rsid w:val="00BE5884"/>
    <w:rsid w:val="00BE59ED"/>
    <w:rsid w:val="00BE5F67"/>
    <w:rsid w:val="00BE601C"/>
    <w:rsid w:val="00BE64B9"/>
    <w:rsid w:val="00BE6718"/>
    <w:rsid w:val="00BE673B"/>
    <w:rsid w:val="00BE6EAB"/>
    <w:rsid w:val="00BE772D"/>
    <w:rsid w:val="00BE77F8"/>
    <w:rsid w:val="00BE791F"/>
    <w:rsid w:val="00BE7920"/>
    <w:rsid w:val="00BF03F1"/>
    <w:rsid w:val="00BF04C4"/>
    <w:rsid w:val="00BF073E"/>
    <w:rsid w:val="00BF0BA2"/>
    <w:rsid w:val="00BF0E4A"/>
    <w:rsid w:val="00BF1133"/>
    <w:rsid w:val="00BF1D99"/>
    <w:rsid w:val="00BF1E46"/>
    <w:rsid w:val="00BF2233"/>
    <w:rsid w:val="00BF2452"/>
    <w:rsid w:val="00BF2A3A"/>
    <w:rsid w:val="00BF2CD1"/>
    <w:rsid w:val="00BF2D16"/>
    <w:rsid w:val="00BF32E7"/>
    <w:rsid w:val="00BF34B1"/>
    <w:rsid w:val="00BF34E6"/>
    <w:rsid w:val="00BF36DE"/>
    <w:rsid w:val="00BF4B6A"/>
    <w:rsid w:val="00BF5135"/>
    <w:rsid w:val="00BF51DA"/>
    <w:rsid w:val="00BF52A4"/>
    <w:rsid w:val="00BF6018"/>
    <w:rsid w:val="00BF618E"/>
    <w:rsid w:val="00BF6254"/>
    <w:rsid w:val="00BF6BB5"/>
    <w:rsid w:val="00BF77FE"/>
    <w:rsid w:val="00BF793F"/>
    <w:rsid w:val="00C00312"/>
    <w:rsid w:val="00C00329"/>
    <w:rsid w:val="00C00578"/>
    <w:rsid w:val="00C00828"/>
    <w:rsid w:val="00C0096B"/>
    <w:rsid w:val="00C009F5"/>
    <w:rsid w:val="00C00B83"/>
    <w:rsid w:val="00C01129"/>
    <w:rsid w:val="00C017D2"/>
    <w:rsid w:val="00C019DE"/>
    <w:rsid w:val="00C01DD9"/>
    <w:rsid w:val="00C02239"/>
    <w:rsid w:val="00C022E1"/>
    <w:rsid w:val="00C02CA8"/>
    <w:rsid w:val="00C031D7"/>
    <w:rsid w:val="00C0398D"/>
    <w:rsid w:val="00C03BDE"/>
    <w:rsid w:val="00C03C32"/>
    <w:rsid w:val="00C04718"/>
    <w:rsid w:val="00C04785"/>
    <w:rsid w:val="00C048ED"/>
    <w:rsid w:val="00C04BED"/>
    <w:rsid w:val="00C05454"/>
    <w:rsid w:val="00C057FF"/>
    <w:rsid w:val="00C05823"/>
    <w:rsid w:val="00C05C3D"/>
    <w:rsid w:val="00C05DAC"/>
    <w:rsid w:val="00C06320"/>
    <w:rsid w:val="00C06482"/>
    <w:rsid w:val="00C06EFD"/>
    <w:rsid w:val="00C071AC"/>
    <w:rsid w:val="00C10167"/>
    <w:rsid w:val="00C104F5"/>
    <w:rsid w:val="00C109A2"/>
    <w:rsid w:val="00C10DB4"/>
    <w:rsid w:val="00C11115"/>
    <w:rsid w:val="00C1147B"/>
    <w:rsid w:val="00C11707"/>
    <w:rsid w:val="00C11E4C"/>
    <w:rsid w:val="00C12581"/>
    <w:rsid w:val="00C13053"/>
    <w:rsid w:val="00C136FE"/>
    <w:rsid w:val="00C13FE3"/>
    <w:rsid w:val="00C14954"/>
    <w:rsid w:val="00C150CE"/>
    <w:rsid w:val="00C1699B"/>
    <w:rsid w:val="00C16A76"/>
    <w:rsid w:val="00C16C4D"/>
    <w:rsid w:val="00C16EC3"/>
    <w:rsid w:val="00C17585"/>
    <w:rsid w:val="00C179B0"/>
    <w:rsid w:val="00C17E19"/>
    <w:rsid w:val="00C20245"/>
    <w:rsid w:val="00C204E1"/>
    <w:rsid w:val="00C20CA6"/>
    <w:rsid w:val="00C21374"/>
    <w:rsid w:val="00C21AD6"/>
    <w:rsid w:val="00C2257C"/>
    <w:rsid w:val="00C226F9"/>
    <w:rsid w:val="00C22EC0"/>
    <w:rsid w:val="00C23398"/>
    <w:rsid w:val="00C239A9"/>
    <w:rsid w:val="00C23B23"/>
    <w:rsid w:val="00C23F5A"/>
    <w:rsid w:val="00C2428B"/>
    <w:rsid w:val="00C24509"/>
    <w:rsid w:val="00C24D4B"/>
    <w:rsid w:val="00C25022"/>
    <w:rsid w:val="00C25EEC"/>
    <w:rsid w:val="00C25F2D"/>
    <w:rsid w:val="00C263CB"/>
    <w:rsid w:val="00C26C22"/>
    <w:rsid w:val="00C276B8"/>
    <w:rsid w:val="00C27B03"/>
    <w:rsid w:val="00C27C8E"/>
    <w:rsid w:val="00C301A0"/>
    <w:rsid w:val="00C3065F"/>
    <w:rsid w:val="00C3089B"/>
    <w:rsid w:val="00C30D74"/>
    <w:rsid w:val="00C318E1"/>
    <w:rsid w:val="00C31E38"/>
    <w:rsid w:val="00C31F9C"/>
    <w:rsid w:val="00C32344"/>
    <w:rsid w:val="00C32FA5"/>
    <w:rsid w:val="00C336EF"/>
    <w:rsid w:val="00C3376C"/>
    <w:rsid w:val="00C340D1"/>
    <w:rsid w:val="00C34B40"/>
    <w:rsid w:val="00C34E49"/>
    <w:rsid w:val="00C350EC"/>
    <w:rsid w:val="00C352B3"/>
    <w:rsid w:val="00C352BF"/>
    <w:rsid w:val="00C35786"/>
    <w:rsid w:val="00C35836"/>
    <w:rsid w:val="00C35E3C"/>
    <w:rsid w:val="00C35E7E"/>
    <w:rsid w:val="00C36436"/>
    <w:rsid w:val="00C369C0"/>
    <w:rsid w:val="00C369DB"/>
    <w:rsid w:val="00C36AB1"/>
    <w:rsid w:val="00C36BFB"/>
    <w:rsid w:val="00C373BA"/>
    <w:rsid w:val="00C374F2"/>
    <w:rsid w:val="00C40333"/>
    <w:rsid w:val="00C411D6"/>
    <w:rsid w:val="00C41544"/>
    <w:rsid w:val="00C418C6"/>
    <w:rsid w:val="00C419B2"/>
    <w:rsid w:val="00C41CD3"/>
    <w:rsid w:val="00C42059"/>
    <w:rsid w:val="00C42CCB"/>
    <w:rsid w:val="00C42E1E"/>
    <w:rsid w:val="00C433DB"/>
    <w:rsid w:val="00C43438"/>
    <w:rsid w:val="00C43C47"/>
    <w:rsid w:val="00C44264"/>
    <w:rsid w:val="00C444A9"/>
    <w:rsid w:val="00C448AF"/>
    <w:rsid w:val="00C45EC1"/>
    <w:rsid w:val="00C45F52"/>
    <w:rsid w:val="00C45F7C"/>
    <w:rsid w:val="00C45F9D"/>
    <w:rsid w:val="00C46251"/>
    <w:rsid w:val="00C4640D"/>
    <w:rsid w:val="00C4653D"/>
    <w:rsid w:val="00C466C6"/>
    <w:rsid w:val="00C46CDB"/>
    <w:rsid w:val="00C46D1F"/>
    <w:rsid w:val="00C46D64"/>
    <w:rsid w:val="00C46E32"/>
    <w:rsid w:val="00C46E76"/>
    <w:rsid w:val="00C47194"/>
    <w:rsid w:val="00C47200"/>
    <w:rsid w:val="00C4790F"/>
    <w:rsid w:val="00C47B4A"/>
    <w:rsid w:val="00C47FC0"/>
    <w:rsid w:val="00C5001B"/>
    <w:rsid w:val="00C50115"/>
    <w:rsid w:val="00C504EF"/>
    <w:rsid w:val="00C5179E"/>
    <w:rsid w:val="00C5189F"/>
    <w:rsid w:val="00C51DEE"/>
    <w:rsid w:val="00C523E1"/>
    <w:rsid w:val="00C528CC"/>
    <w:rsid w:val="00C53ABD"/>
    <w:rsid w:val="00C53AD3"/>
    <w:rsid w:val="00C53C94"/>
    <w:rsid w:val="00C53F17"/>
    <w:rsid w:val="00C54461"/>
    <w:rsid w:val="00C54510"/>
    <w:rsid w:val="00C54513"/>
    <w:rsid w:val="00C54D5E"/>
    <w:rsid w:val="00C54DEC"/>
    <w:rsid w:val="00C55014"/>
    <w:rsid w:val="00C562E5"/>
    <w:rsid w:val="00C56666"/>
    <w:rsid w:val="00C56BD2"/>
    <w:rsid w:val="00C57741"/>
    <w:rsid w:val="00C6074F"/>
    <w:rsid w:val="00C60762"/>
    <w:rsid w:val="00C616A5"/>
    <w:rsid w:val="00C61935"/>
    <w:rsid w:val="00C61B95"/>
    <w:rsid w:val="00C62120"/>
    <w:rsid w:val="00C6255A"/>
    <w:rsid w:val="00C62568"/>
    <w:rsid w:val="00C6296C"/>
    <w:rsid w:val="00C63570"/>
    <w:rsid w:val="00C63B11"/>
    <w:rsid w:val="00C63DB9"/>
    <w:rsid w:val="00C63F44"/>
    <w:rsid w:val="00C64143"/>
    <w:rsid w:val="00C64257"/>
    <w:rsid w:val="00C6434D"/>
    <w:rsid w:val="00C6435D"/>
    <w:rsid w:val="00C643F3"/>
    <w:rsid w:val="00C650A5"/>
    <w:rsid w:val="00C652E5"/>
    <w:rsid w:val="00C65967"/>
    <w:rsid w:val="00C66A4A"/>
    <w:rsid w:val="00C66E3A"/>
    <w:rsid w:val="00C67446"/>
    <w:rsid w:val="00C67610"/>
    <w:rsid w:val="00C700AA"/>
    <w:rsid w:val="00C70962"/>
    <w:rsid w:val="00C71309"/>
    <w:rsid w:val="00C7143E"/>
    <w:rsid w:val="00C71513"/>
    <w:rsid w:val="00C71674"/>
    <w:rsid w:val="00C71C3C"/>
    <w:rsid w:val="00C721B9"/>
    <w:rsid w:val="00C72311"/>
    <w:rsid w:val="00C72572"/>
    <w:rsid w:val="00C733F7"/>
    <w:rsid w:val="00C74170"/>
    <w:rsid w:val="00C750CC"/>
    <w:rsid w:val="00C751BF"/>
    <w:rsid w:val="00C7697F"/>
    <w:rsid w:val="00C7716A"/>
    <w:rsid w:val="00C7744E"/>
    <w:rsid w:val="00C77EE8"/>
    <w:rsid w:val="00C80290"/>
    <w:rsid w:val="00C81010"/>
    <w:rsid w:val="00C8136C"/>
    <w:rsid w:val="00C81619"/>
    <w:rsid w:val="00C82CC6"/>
    <w:rsid w:val="00C82FAC"/>
    <w:rsid w:val="00C82FFA"/>
    <w:rsid w:val="00C84032"/>
    <w:rsid w:val="00C848AA"/>
    <w:rsid w:val="00C84A1A"/>
    <w:rsid w:val="00C84A1B"/>
    <w:rsid w:val="00C852ED"/>
    <w:rsid w:val="00C85521"/>
    <w:rsid w:val="00C856C0"/>
    <w:rsid w:val="00C858D1"/>
    <w:rsid w:val="00C858F0"/>
    <w:rsid w:val="00C85961"/>
    <w:rsid w:val="00C85BE8"/>
    <w:rsid w:val="00C863EE"/>
    <w:rsid w:val="00C86415"/>
    <w:rsid w:val="00C8665A"/>
    <w:rsid w:val="00C86D79"/>
    <w:rsid w:val="00C8750B"/>
    <w:rsid w:val="00C87D4D"/>
    <w:rsid w:val="00C9025A"/>
    <w:rsid w:val="00C908D5"/>
    <w:rsid w:val="00C909E6"/>
    <w:rsid w:val="00C90E5A"/>
    <w:rsid w:val="00C9136A"/>
    <w:rsid w:val="00C91456"/>
    <w:rsid w:val="00C91484"/>
    <w:rsid w:val="00C920D1"/>
    <w:rsid w:val="00C92646"/>
    <w:rsid w:val="00C92BC0"/>
    <w:rsid w:val="00C92DDC"/>
    <w:rsid w:val="00C9316A"/>
    <w:rsid w:val="00C937E7"/>
    <w:rsid w:val="00C93B5E"/>
    <w:rsid w:val="00C94201"/>
    <w:rsid w:val="00C94906"/>
    <w:rsid w:val="00C95314"/>
    <w:rsid w:val="00C95650"/>
    <w:rsid w:val="00C95BE6"/>
    <w:rsid w:val="00C95D8D"/>
    <w:rsid w:val="00C96CE4"/>
    <w:rsid w:val="00C9726B"/>
    <w:rsid w:val="00C97C7F"/>
    <w:rsid w:val="00C97F85"/>
    <w:rsid w:val="00CA07D0"/>
    <w:rsid w:val="00CA0877"/>
    <w:rsid w:val="00CA1F0D"/>
    <w:rsid w:val="00CA2283"/>
    <w:rsid w:val="00CA253A"/>
    <w:rsid w:val="00CA27B9"/>
    <w:rsid w:val="00CA2AEF"/>
    <w:rsid w:val="00CA2CA3"/>
    <w:rsid w:val="00CA2F67"/>
    <w:rsid w:val="00CA325F"/>
    <w:rsid w:val="00CA33B8"/>
    <w:rsid w:val="00CA34DD"/>
    <w:rsid w:val="00CA3BA4"/>
    <w:rsid w:val="00CA42AE"/>
    <w:rsid w:val="00CA54F0"/>
    <w:rsid w:val="00CA5644"/>
    <w:rsid w:val="00CA5A29"/>
    <w:rsid w:val="00CA6001"/>
    <w:rsid w:val="00CA678E"/>
    <w:rsid w:val="00CA6DD8"/>
    <w:rsid w:val="00CA7782"/>
    <w:rsid w:val="00CA7811"/>
    <w:rsid w:val="00CA7F9B"/>
    <w:rsid w:val="00CB06FE"/>
    <w:rsid w:val="00CB09DD"/>
    <w:rsid w:val="00CB09ED"/>
    <w:rsid w:val="00CB0AFE"/>
    <w:rsid w:val="00CB1582"/>
    <w:rsid w:val="00CB1ED2"/>
    <w:rsid w:val="00CB2050"/>
    <w:rsid w:val="00CB208B"/>
    <w:rsid w:val="00CB2283"/>
    <w:rsid w:val="00CB22B7"/>
    <w:rsid w:val="00CB27C4"/>
    <w:rsid w:val="00CB2EC7"/>
    <w:rsid w:val="00CB31DA"/>
    <w:rsid w:val="00CB3F24"/>
    <w:rsid w:val="00CB465B"/>
    <w:rsid w:val="00CB47F9"/>
    <w:rsid w:val="00CB4B23"/>
    <w:rsid w:val="00CB4D55"/>
    <w:rsid w:val="00CB5032"/>
    <w:rsid w:val="00CB5054"/>
    <w:rsid w:val="00CB5739"/>
    <w:rsid w:val="00CB5999"/>
    <w:rsid w:val="00CB5C7E"/>
    <w:rsid w:val="00CB5E4A"/>
    <w:rsid w:val="00CB62E3"/>
    <w:rsid w:val="00CB6442"/>
    <w:rsid w:val="00CB7DF6"/>
    <w:rsid w:val="00CC0170"/>
    <w:rsid w:val="00CC08E4"/>
    <w:rsid w:val="00CC0B01"/>
    <w:rsid w:val="00CC0BB0"/>
    <w:rsid w:val="00CC1464"/>
    <w:rsid w:val="00CC1E3B"/>
    <w:rsid w:val="00CC303F"/>
    <w:rsid w:val="00CC3766"/>
    <w:rsid w:val="00CC3981"/>
    <w:rsid w:val="00CC3A1B"/>
    <w:rsid w:val="00CC3C96"/>
    <w:rsid w:val="00CC3D74"/>
    <w:rsid w:val="00CC54A3"/>
    <w:rsid w:val="00CC589F"/>
    <w:rsid w:val="00CC6038"/>
    <w:rsid w:val="00CC6ABD"/>
    <w:rsid w:val="00CC7714"/>
    <w:rsid w:val="00CC7799"/>
    <w:rsid w:val="00CC7A00"/>
    <w:rsid w:val="00CD02EF"/>
    <w:rsid w:val="00CD06B3"/>
    <w:rsid w:val="00CD077C"/>
    <w:rsid w:val="00CD0E41"/>
    <w:rsid w:val="00CD1794"/>
    <w:rsid w:val="00CD28DC"/>
    <w:rsid w:val="00CD2B5F"/>
    <w:rsid w:val="00CD2C36"/>
    <w:rsid w:val="00CD342A"/>
    <w:rsid w:val="00CD367A"/>
    <w:rsid w:val="00CD3901"/>
    <w:rsid w:val="00CD3940"/>
    <w:rsid w:val="00CD40A3"/>
    <w:rsid w:val="00CD4138"/>
    <w:rsid w:val="00CD45AE"/>
    <w:rsid w:val="00CD45EA"/>
    <w:rsid w:val="00CD543F"/>
    <w:rsid w:val="00CD573A"/>
    <w:rsid w:val="00CD5A63"/>
    <w:rsid w:val="00CD67D5"/>
    <w:rsid w:val="00CD68A9"/>
    <w:rsid w:val="00CD6C22"/>
    <w:rsid w:val="00CD6E49"/>
    <w:rsid w:val="00CD7040"/>
    <w:rsid w:val="00CE0040"/>
    <w:rsid w:val="00CE0062"/>
    <w:rsid w:val="00CE026A"/>
    <w:rsid w:val="00CE0C78"/>
    <w:rsid w:val="00CE0C9B"/>
    <w:rsid w:val="00CE14DD"/>
    <w:rsid w:val="00CE167A"/>
    <w:rsid w:val="00CE207E"/>
    <w:rsid w:val="00CE23DC"/>
    <w:rsid w:val="00CE2D31"/>
    <w:rsid w:val="00CE2F14"/>
    <w:rsid w:val="00CE2F86"/>
    <w:rsid w:val="00CE3445"/>
    <w:rsid w:val="00CE3DA1"/>
    <w:rsid w:val="00CE4124"/>
    <w:rsid w:val="00CE46D5"/>
    <w:rsid w:val="00CE4AB7"/>
    <w:rsid w:val="00CE4ECD"/>
    <w:rsid w:val="00CE52B8"/>
    <w:rsid w:val="00CE532B"/>
    <w:rsid w:val="00CE537B"/>
    <w:rsid w:val="00CE5ACF"/>
    <w:rsid w:val="00CE5F49"/>
    <w:rsid w:val="00CE655A"/>
    <w:rsid w:val="00CE6A0B"/>
    <w:rsid w:val="00CE7223"/>
    <w:rsid w:val="00CE7474"/>
    <w:rsid w:val="00CE7BF6"/>
    <w:rsid w:val="00CE7EB2"/>
    <w:rsid w:val="00CF014A"/>
    <w:rsid w:val="00CF0950"/>
    <w:rsid w:val="00CF11D2"/>
    <w:rsid w:val="00CF206B"/>
    <w:rsid w:val="00CF218A"/>
    <w:rsid w:val="00CF27B1"/>
    <w:rsid w:val="00CF2AF6"/>
    <w:rsid w:val="00CF2CC4"/>
    <w:rsid w:val="00CF365E"/>
    <w:rsid w:val="00CF3AD5"/>
    <w:rsid w:val="00CF3B07"/>
    <w:rsid w:val="00CF3C8B"/>
    <w:rsid w:val="00CF3E40"/>
    <w:rsid w:val="00CF4C13"/>
    <w:rsid w:val="00CF4EA1"/>
    <w:rsid w:val="00CF4F7C"/>
    <w:rsid w:val="00CF5714"/>
    <w:rsid w:val="00CF62E0"/>
    <w:rsid w:val="00CF6384"/>
    <w:rsid w:val="00CF6902"/>
    <w:rsid w:val="00CF6A80"/>
    <w:rsid w:val="00CF6B61"/>
    <w:rsid w:val="00CF6B63"/>
    <w:rsid w:val="00CF6D9B"/>
    <w:rsid w:val="00CF70F9"/>
    <w:rsid w:val="00CF71C5"/>
    <w:rsid w:val="00CF7303"/>
    <w:rsid w:val="00CF7582"/>
    <w:rsid w:val="00CF7924"/>
    <w:rsid w:val="00CF7C13"/>
    <w:rsid w:val="00CF7F78"/>
    <w:rsid w:val="00CF7F79"/>
    <w:rsid w:val="00CF7FCB"/>
    <w:rsid w:val="00D01E84"/>
    <w:rsid w:val="00D02771"/>
    <w:rsid w:val="00D02B8F"/>
    <w:rsid w:val="00D02DCC"/>
    <w:rsid w:val="00D03671"/>
    <w:rsid w:val="00D03799"/>
    <w:rsid w:val="00D03EDB"/>
    <w:rsid w:val="00D0401F"/>
    <w:rsid w:val="00D050EB"/>
    <w:rsid w:val="00D057A2"/>
    <w:rsid w:val="00D05D74"/>
    <w:rsid w:val="00D05ECA"/>
    <w:rsid w:val="00D06145"/>
    <w:rsid w:val="00D06900"/>
    <w:rsid w:val="00D06E88"/>
    <w:rsid w:val="00D07CC1"/>
    <w:rsid w:val="00D100A1"/>
    <w:rsid w:val="00D1030E"/>
    <w:rsid w:val="00D10C95"/>
    <w:rsid w:val="00D10CDA"/>
    <w:rsid w:val="00D10E39"/>
    <w:rsid w:val="00D11902"/>
    <w:rsid w:val="00D11A18"/>
    <w:rsid w:val="00D11C65"/>
    <w:rsid w:val="00D11EA3"/>
    <w:rsid w:val="00D11F90"/>
    <w:rsid w:val="00D1206E"/>
    <w:rsid w:val="00D1217E"/>
    <w:rsid w:val="00D12582"/>
    <w:rsid w:val="00D12B03"/>
    <w:rsid w:val="00D12D10"/>
    <w:rsid w:val="00D12E5F"/>
    <w:rsid w:val="00D1339B"/>
    <w:rsid w:val="00D13527"/>
    <w:rsid w:val="00D14B6F"/>
    <w:rsid w:val="00D150BE"/>
    <w:rsid w:val="00D15C6B"/>
    <w:rsid w:val="00D15E4E"/>
    <w:rsid w:val="00D16043"/>
    <w:rsid w:val="00D166EF"/>
    <w:rsid w:val="00D17426"/>
    <w:rsid w:val="00D17601"/>
    <w:rsid w:val="00D20D6E"/>
    <w:rsid w:val="00D21300"/>
    <w:rsid w:val="00D216F6"/>
    <w:rsid w:val="00D2172E"/>
    <w:rsid w:val="00D22101"/>
    <w:rsid w:val="00D22F7B"/>
    <w:rsid w:val="00D230DC"/>
    <w:rsid w:val="00D23823"/>
    <w:rsid w:val="00D24FAB"/>
    <w:rsid w:val="00D25797"/>
    <w:rsid w:val="00D2583E"/>
    <w:rsid w:val="00D259C3"/>
    <w:rsid w:val="00D25E13"/>
    <w:rsid w:val="00D25EDF"/>
    <w:rsid w:val="00D2614C"/>
    <w:rsid w:val="00D261DF"/>
    <w:rsid w:val="00D26C9A"/>
    <w:rsid w:val="00D26D02"/>
    <w:rsid w:val="00D270FE"/>
    <w:rsid w:val="00D272A1"/>
    <w:rsid w:val="00D275AD"/>
    <w:rsid w:val="00D27AC5"/>
    <w:rsid w:val="00D27B56"/>
    <w:rsid w:val="00D27F47"/>
    <w:rsid w:val="00D27FF5"/>
    <w:rsid w:val="00D28953"/>
    <w:rsid w:val="00D303E8"/>
    <w:rsid w:val="00D30F73"/>
    <w:rsid w:val="00D31055"/>
    <w:rsid w:val="00D31BA6"/>
    <w:rsid w:val="00D31D77"/>
    <w:rsid w:val="00D31E60"/>
    <w:rsid w:val="00D31F59"/>
    <w:rsid w:val="00D32D53"/>
    <w:rsid w:val="00D32EA6"/>
    <w:rsid w:val="00D335D6"/>
    <w:rsid w:val="00D335E1"/>
    <w:rsid w:val="00D3470D"/>
    <w:rsid w:val="00D34F65"/>
    <w:rsid w:val="00D3545E"/>
    <w:rsid w:val="00D3569D"/>
    <w:rsid w:val="00D35728"/>
    <w:rsid w:val="00D35AFD"/>
    <w:rsid w:val="00D35B66"/>
    <w:rsid w:val="00D35FEA"/>
    <w:rsid w:val="00D366E4"/>
    <w:rsid w:val="00D36974"/>
    <w:rsid w:val="00D36BEA"/>
    <w:rsid w:val="00D36CF7"/>
    <w:rsid w:val="00D3747C"/>
    <w:rsid w:val="00D37733"/>
    <w:rsid w:val="00D40314"/>
    <w:rsid w:val="00D40453"/>
    <w:rsid w:val="00D40732"/>
    <w:rsid w:val="00D40A2F"/>
    <w:rsid w:val="00D41828"/>
    <w:rsid w:val="00D4233F"/>
    <w:rsid w:val="00D423AC"/>
    <w:rsid w:val="00D43F3D"/>
    <w:rsid w:val="00D442DD"/>
    <w:rsid w:val="00D44B15"/>
    <w:rsid w:val="00D44DC6"/>
    <w:rsid w:val="00D44E37"/>
    <w:rsid w:val="00D44E8B"/>
    <w:rsid w:val="00D44F4C"/>
    <w:rsid w:val="00D452D7"/>
    <w:rsid w:val="00D456A6"/>
    <w:rsid w:val="00D46702"/>
    <w:rsid w:val="00D46DAF"/>
    <w:rsid w:val="00D476EA"/>
    <w:rsid w:val="00D47A72"/>
    <w:rsid w:val="00D505D7"/>
    <w:rsid w:val="00D5063C"/>
    <w:rsid w:val="00D51075"/>
    <w:rsid w:val="00D514E5"/>
    <w:rsid w:val="00D5163A"/>
    <w:rsid w:val="00D51AEE"/>
    <w:rsid w:val="00D52276"/>
    <w:rsid w:val="00D5252D"/>
    <w:rsid w:val="00D52891"/>
    <w:rsid w:val="00D534A6"/>
    <w:rsid w:val="00D53589"/>
    <w:rsid w:val="00D5379D"/>
    <w:rsid w:val="00D5381C"/>
    <w:rsid w:val="00D539D5"/>
    <w:rsid w:val="00D544D5"/>
    <w:rsid w:val="00D549B7"/>
    <w:rsid w:val="00D549C4"/>
    <w:rsid w:val="00D54FCF"/>
    <w:rsid w:val="00D5504B"/>
    <w:rsid w:val="00D55399"/>
    <w:rsid w:val="00D573CD"/>
    <w:rsid w:val="00D57897"/>
    <w:rsid w:val="00D57BBA"/>
    <w:rsid w:val="00D57CAC"/>
    <w:rsid w:val="00D602DE"/>
    <w:rsid w:val="00D6096A"/>
    <w:rsid w:val="00D60ABE"/>
    <w:rsid w:val="00D60BFF"/>
    <w:rsid w:val="00D60CE5"/>
    <w:rsid w:val="00D612CB"/>
    <w:rsid w:val="00D614BF"/>
    <w:rsid w:val="00D61811"/>
    <w:rsid w:val="00D61F52"/>
    <w:rsid w:val="00D62054"/>
    <w:rsid w:val="00D621BE"/>
    <w:rsid w:val="00D62CCA"/>
    <w:rsid w:val="00D63049"/>
    <w:rsid w:val="00D638D9"/>
    <w:rsid w:val="00D63E40"/>
    <w:rsid w:val="00D63F9F"/>
    <w:rsid w:val="00D63FDF"/>
    <w:rsid w:val="00D646D3"/>
    <w:rsid w:val="00D64981"/>
    <w:rsid w:val="00D651C4"/>
    <w:rsid w:val="00D65BF5"/>
    <w:rsid w:val="00D662F2"/>
    <w:rsid w:val="00D664AC"/>
    <w:rsid w:val="00D665F1"/>
    <w:rsid w:val="00D670A7"/>
    <w:rsid w:val="00D6711E"/>
    <w:rsid w:val="00D679CF"/>
    <w:rsid w:val="00D70334"/>
    <w:rsid w:val="00D71116"/>
    <w:rsid w:val="00D71A88"/>
    <w:rsid w:val="00D71F01"/>
    <w:rsid w:val="00D722D8"/>
    <w:rsid w:val="00D72662"/>
    <w:rsid w:val="00D728E4"/>
    <w:rsid w:val="00D72F99"/>
    <w:rsid w:val="00D730D4"/>
    <w:rsid w:val="00D73A08"/>
    <w:rsid w:val="00D73B08"/>
    <w:rsid w:val="00D74084"/>
    <w:rsid w:val="00D743CF"/>
    <w:rsid w:val="00D74561"/>
    <w:rsid w:val="00D748BA"/>
    <w:rsid w:val="00D751C3"/>
    <w:rsid w:val="00D767C6"/>
    <w:rsid w:val="00D76CD6"/>
    <w:rsid w:val="00D77160"/>
    <w:rsid w:val="00D77597"/>
    <w:rsid w:val="00D80010"/>
    <w:rsid w:val="00D80127"/>
    <w:rsid w:val="00D804BA"/>
    <w:rsid w:val="00D804E2"/>
    <w:rsid w:val="00D80583"/>
    <w:rsid w:val="00D805D1"/>
    <w:rsid w:val="00D805F4"/>
    <w:rsid w:val="00D8086F"/>
    <w:rsid w:val="00D80E69"/>
    <w:rsid w:val="00D8111D"/>
    <w:rsid w:val="00D816FC"/>
    <w:rsid w:val="00D817D1"/>
    <w:rsid w:val="00D81FB3"/>
    <w:rsid w:val="00D823EF"/>
    <w:rsid w:val="00D828A3"/>
    <w:rsid w:val="00D82DA3"/>
    <w:rsid w:val="00D82FD7"/>
    <w:rsid w:val="00D83D7C"/>
    <w:rsid w:val="00D84570"/>
    <w:rsid w:val="00D84FA6"/>
    <w:rsid w:val="00D8541C"/>
    <w:rsid w:val="00D85BFE"/>
    <w:rsid w:val="00D85C5F"/>
    <w:rsid w:val="00D85ECC"/>
    <w:rsid w:val="00D85F0D"/>
    <w:rsid w:val="00D85F34"/>
    <w:rsid w:val="00D86475"/>
    <w:rsid w:val="00D864C7"/>
    <w:rsid w:val="00D8663A"/>
    <w:rsid w:val="00D86958"/>
    <w:rsid w:val="00D86EB7"/>
    <w:rsid w:val="00D86F82"/>
    <w:rsid w:val="00D875C4"/>
    <w:rsid w:val="00D9015F"/>
    <w:rsid w:val="00D90165"/>
    <w:rsid w:val="00D9076E"/>
    <w:rsid w:val="00D90867"/>
    <w:rsid w:val="00D91335"/>
    <w:rsid w:val="00D914E9"/>
    <w:rsid w:val="00D9157A"/>
    <w:rsid w:val="00D91C6C"/>
    <w:rsid w:val="00D91E9F"/>
    <w:rsid w:val="00D92025"/>
    <w:rsid w:val="00D9204D"/>
    <w:rsid w:val="00D92B5E"/>
    <w:rsid w:val="00D92F79"/>
    <w:rsid w:val="00D93388"/>
    <w:rsid w:val="00D933A5"/>
    <w:rsid w:val="00D937C6"/>
    <w:rsid w:val="00D937C7"/>
    <w:rsid w:val="00D93CDE"/>
    <w:rsid w:val="00D93CFF"/>
    <w:rsid w:val="00D9407A"/>
    <w:rsid w:val="00D94976"/>
    <w:rsid w:val="00D94EC1"/>
    <w:rsid w:val="00D95457"/>
    <w:rsid w:val="00D95628"/>
    <w:rsid w:val="00D95679"/>
    <w:rsid w:val="00D956EF"/>
    <w:rsid w:val="00D95E08"/>
    <w:rsid w:val="00D95F2D"/>
    <w:rsid w:val="00D969A1"/>
    <w:rsid w:val="00D97535"/>
    <w:rsid w:val="00D9758C"/>
    <w:rsid w:val="00D9789F"/>
    <w:rsid w:val="00D97A7B"/>
    <w:rsid w:val="00DA02A7"/>
    <w:rsid w:val="00DA0D5D"/>
    <w:rsid w:val="00DA1259"/>
    <w:rsid w:val="00DA1671"/>
    <w:rsid w:val="00DA1AAD"/>
    <w:rsid w:val="00DA1B55"/>
    <w:rsid w:val="00DA1E08"/>
    <w:rsid w:val="00DA3924"/>
    <w:rsid w:val="00DA3E87"/>
    <w:rsid w:val="00DA4427"/>
    <w:rsid w:val="00DA4A52"/>
    <w:rsid w:val="00DA4FBC"/>
    <w:rsid w:val="00DA55BE"/>
    <w:rsid w:val="00DA58CD"/>
    <w:rsid w:val="00DA6007"/>
    <w:rsid w:val="00DA61B9"/>
    <w:rsid w:val="00DA636F"/>
    <w:rsid w:val="00DA65B6"/>
    <w:rsid w:val="00DA69AA"/>
    <w:rsid w:val="00DA7457"/>
    <w:rsid w:val="00DA74F1"/>
    <w:rsid w:val="00DA770E"/>
    <w:rsid w:val="00DA7C1E"/>
    <w:rsid w:val="00DB05B5"/>
    <w:rsid w:val="00DB0E9E"/>
    <w:rsid w:val="00DB0F84"/>
    <w:rsid w:val="00DB1083"/>
    <w:rsid w:val="00DB16B2"/>
    <w:rsid w:val="00DB1B31"/>
    <w:rsid w:val="00DB1C9A"/>
    <w:rsid w:val="00DB1DE5"/>
    <w:rsid w:val="00DB1F5A"/>
    <w:rsid w:val="00DB1FB2"/>
    <w:rsid w:val="00DB2376"/>
    <w:rsid w:val="00DB2995"/>
    <w:rsid w:val="00DB2CE3"/>
    <w:rsid w:val="00DB2ED0"/>
    <w:rsid w:val="00DB321C"/>
    <w:rsid w:val="00DB32D6"/>
    <w:rsid w:val="00DB3607"/>
    <w:rsid w:val="00DB36B6"/>
    <w:rsid w:val="00DB38F0"/>
    <w:rsid w:val="00DB399E"/>
    <w:rsid w:val="00DB3A12"/>
    <w:rsid w:val="00DB3AB5"/>
    <w:rsid w:val="00DB3EE8"/>
    <w:rsid w:val="00DB45F0"/>
    <w:rsid w:val="00DB4701"/>
    <w:rsid w:val="00DB4E76"/>
    <w:rsid w:val="00DB4ECF"/>
    <w:rsid w:val="00DB519D"/>
    <w:rsid w:val="00DB59C0"/>
    <w:rsid w:val="00DB5DC2"/>
    <w:rsid w:val="00DB612A"/>
    <w:rsid w:val="00DB6567"/>
    <w:rsid w:val="00DB66A2"/>
    <w:rsid w:val="00DB6AE5"/>
    <w:rsid w:val="00DB725B"/>
    <w:rsid w:val="00DB73D4"/>
    <w:rsid w:val="00DB7750"/>
    <w:rsid w:val="00DB77DB"/>
    <w:rsid w:val="00DC007D"/>
    <w:rsid w:val="00DC0146"/>
    <w:rsid w:val="00DC03EE"/>
    <w:rsid w:val="00DC0A32"/>
    <w:rsid w:val="00DC0B71"/>
    <w:rsid w:val="00DC0F23"/>
    <w:rsid w:val="00DC12C5"/>
    <w:rsid w:val="00DC1457"/>
    <w:rsid w:val="00DC1814"/>
    <w:rsid w:val="00DC1C1B"/>
    <w:rsid w:val="00DC1C8F"/>
    <w:rsid w:val="00DC1DC7"/>
    <w:rsid w:val="00DC2527"/>
    <w:rsid w:val="00DC2DFC"/>
    <w:rsid w:val="00DC31D9"/>
    <w:rsid w:val="00DC36B8"/>
    <w:rsid w:val="00DC4CF0"/>
    <w:rsid w:val="00DC4F12"/>
    <w:rsid w:val="00DC5072"/>
    <w:rsid w:val="00DC53F2"/>
    <w:rsid w:val="00DC6528"/>
    <w:rsid w:val="00DC6B01"/>
    <w:rsid w:val="00DC7797"/>
    <w:rsid w:val="00DC7C6D"/>
    <w:rsid w:val="00DC7E53"/>
    <w:rsid w:val="00DD004A"/>
    <w:rsid w:val="00DD078A"/>
    <w:rsid w:val="00DD136B"/>
    <w:rsid w:val="00DD1737"/>
    <w:rsid w:val="00DD1FC7"/>
    <w:rsid w:val="00DD2734"/>
    <w:rsid w:val="00DD2F8C"/>
    <w:rsid w:val="00DD34E1"/>
    <w:rsid w:val="00DD3763"/>
    <w:rsid w:val="00DD3A5B"/>
    <w:rsid w:val="00DD3ECB"/>
    <w:rsid w:val="00DD4290"/>
    <w:rsid w:val="00DD442E"/>
    <w:rsid w:val="00DD45E7"/>
    <w:rsid w:val="00DD5376"/>
    <w:rsid w:val="00DD54F8"/>
    <w:rsid w:val="00DD5723"/>
    <w:rsid w:val="00DD70C7"/>
    <w:rsid w:val="00DD71F6"/>
    <w:rsid w:val="00DD7556"/>
    <w:rsid w:val="00DD756E"/>
    <w:rsid w:val="00DD7667"/>
    <w:rsid w:val="00DD777C"/>
    <w:rsid w:val="00DD7BF1"/>
    <w:rsid w:val="00DD7D25"/>
    <w:rsid w:val="00DD7FFA"/>
    <w:rsid w:val="00DE08A8"/>
    <w:rsid w:val="00DE09BD"/>
    <w:rsid w:val="00DE0D2F"/>
    <w:rsid w:val="00DE0D75"/>
    <w:rsid w:val="00DE16B5"/>
    <w:rsid w:val="00DE16FA"/>
    <w:rsid w:val="00DE1940"/>
    <w:rsid w:val="00DE19EB"/>
    <w:rsid w:val="00DE2FF9"/>
    <w:rsid w:val="00DE3203"/>
    <w:rsid w:val="00DE339F"/>
    <w:rsid w:val="00DE34F6"/>
    <w:rsid w:val="00DE3E42"/>
    <w:rsid w:val="00DE4148"/>
    <w:rsid w:val="00DE4636"/>
    <w:rsid w:val="00DE4CCE"/>
    <w:rsid w:val="00DE4D55"/>
    <w:rsid w:val="00DE52FA"/>
    <w:rsid w:val="00DE53D9"/>
    <w:rsid w:val="00DE57CF"/>
    <w:rsid w:val="00DE5B0F"/>
    <w:rsid w:val="00DE5FED"/>
    <w:rsid w:val="00DE7596"/>
    <w:rsid w:val="00DE7A68"/>
    <w:rsid w:val="00DE7E0D"/>
    <w:rsid w:val="00DF0251"/>
    <w:rsid w:val="00DF0AE6"/>
    <w:rsid w:val="00DF0B2C"/>
    <w:rsid w:val="00DF0D0A"/>
    <w:rsid w:val="00DF0E18"/>
    <w:rsid w:val="00DF0FE3"/>
    <w:rsid w:val="00DF1792"/>
    <w:rsid w:val="00DF1AAB"/>
    <w:rsid w:val="00DF244A"/>
    <w:rsid w:val="00DF270F"/>
    <w:rsid w:val="00DF2CB1"/>
    <w:rsid w:val="00DF33A0"/>
    <w:rsid w:val="00DF38CC"/>
    <w:rsid w:val="00DF4A00"/>
    <w:rsid w:val="00DF4FDD"/>
    <w:rsid w:val="00DF5019"/>
    <w:rsid w:val="00DF56CF"/>
    <w:rsid w:val="00DF5CBF"/>
    <w:rsid w:val="00DF69B7"/>
    <w:rsid w:val="00DF69F9"/>
    <w:rsid w:val="00DF7993"/>
    <w:rsid w:val="00E005FF"/>
    <w:rsid w:val="00E00976"/>
    <w:rsid w:val="00E00C56"/>
    <w:rsid w:val="00E00CA8"/>
    <w:rsid w:val="00E00D50"/>
    <w:rsid w:val="00E01A3D"/>
    <w:rsid w:val="00E01D42"/>
    <w:rsid w:val="00E02579"/>
    <w:rsid w:val="00E025C5"/>
    <w:rsid w:val="00E02794"/>
    <w:rsid w:val="00E02B50"/>
    <w:rsid w:val="00E0376B"/>
    <w:rsid w:val="00E03AAB"/>
    <w:rsid w:val="00E042E9"/>
    <w:rsid w:val="00E043B3"/>
    <w:rsid w:val="00E04ABD"/>
    <w:rsid w:val="00E04B3F"/>
    <w:rsid w:val="00E04B43"/>
    <w:rsid w:val="00E05004"/>
    <w:rsid w:val="00E05039"/>
    <w:rsid w:val="00E0558D"/>
    <w:rsid w:val="00E05ED7"/>
    <w:rsid w:val="00E060C1"/>
    <w:rsid w:val="00E06B1E"/>
    <w:rsid w:val="00E06D7E"/>
    <w:rsid w:val="00E07787"/>
    <w:rsid w:val="00E079E2"/>
    <w:rsid w:val="00E07FB5"/>
    <w:rsid w:val="00E10702"/>
    <w:rsid w:val="00E1072F"/>
    <w:rsid w:val="00E1094A"/>
    <w:rsid w:val="00E10AAF"/>
    <w:rsid w:val="00E11D49"/>
    <w:rsid w:val="00E11F7D"/>
    <w:rsid w:val="00E12269"/>
    <w:rsid w:val="00E122E6"/>
    <w:rsid w:val="00E12531"/>
    <w:rsid w:val="00E1264F"/>
    <w:rsid w:val="00E1392F"/>
    <w:rsid w:val="00E13D9F"/>
    <w:rsid w:val="00E1443E"/>
    <w:rsid w:val="00E147D5"/>
    <w:rsid w:val="00E14C0E"/>
    <w:rsid w:val="00E14D9F"/>
    <w:rsid w:val="00E14F19"/>
    <w:rsid w:val="00E16642"/>
    <w:rsid w:val="00E166A5"/>
    <w:rsid w:val="00E16977"/>
    <w:rsid w:val="00E1719B"/>
    <w:rsid w:val="00E175E0"/>
    <w:rsid w:val="00E1787C"/>
    <w:rsid w:val="00E179F4"/>
    <w:rsid w:val="00E21372"/>
    <w:rsid w:val="00E21654"/>
    <w:rsid w:val="00E21CAE"/>
    <w:rsid w:val="00E2249E"/>
    <w:rsid w:val="00E22537"/>
    <w:rsid w:val="00E22A12"/>
    <w:rsid w:val="00E22B76"/>
    <w:rsid w:val="00E22CDE"/>
    <w:rsid w:val="00E23373"/>
    <w:rsid w:val="00E234F1"/>
    <w:rsid w:val="00E23716"/>
    <w:rsid w:val="00E2373D"/>
    <w:rsid w:val="00E241ED"/>
    <w:rsid w:val="00E2439E"/>
    <w:rsid w:val="00E244CC"/>
    <w:rsid w:val="00E24A0F"/>
    <w:rsid w:val="00E24AAF"/>
    <w:rsid w:val="00E24E3A"/>
    <w:rsid w:val="00E24EEF"/>
    <w:rsid w:val="00E25AF8"/>
    <w:rsid w:val="00E25D80"/>
    <w:rsid w:val="00E26470"/>
    <w:rsid w:val="00E267F1"/>
    <w:rsid w:val="00E269CB"/>
    <w:rsid w:val="00E26C55"/>
    <w:rsid w:val="00E26F6C"/>
    <w:rsid w:val="00E275B7"/>
    <w:rsid w:val="00E27AE8"/>
    <w:rsid w:val="00E27D71"/>
    <w:rsid w:val="00E31574"/>
    <w:rsid w:val="00E31BD0"/>
    <w:rsid w:val="00E32C56"/>
    <w:rsid w:val="00E3354E"/>
    <w:rsid w:val="00E336C0"/>
    <w:rsid w:val="00E33A20"/>
    <w:rsid w:val="00E33DE8"/>
    <w:rsid w:val="00E34899"/>
    <w:rsid w:val="00E34CA3"/>
    <w:rsid w:val="00E35C4A"/>
    <w:rsid w:val="00E35F44"/>
    <w:rsid w:val="00E36871"/>
    <w:rsid w:val="00E36EDF"/>
    <w:rsid w:val="00E37867"/>
    <w:rsid w:val="00E37A0F"/>
    <w:rsid w:val="00E37D40"/>
    <w:rsid w:val="00E37DA6"/>
    <w:rsid w:val="00E37FA3"/>
    <w:rsid w:val="00E37FE3"/>
    <w:rsid w:val="00E3B8F6"/>
    <w:rsid w:val="00E40225"/>
    <w:rsid w:val="00E40EB7"/>
    <w:rsid w:val="00E41216"/>
    <w:rsid w:val="00E41771"/>
    <w:rsid w:val="00E4182E"/>
    <w:rsid w:val="00E4208A"/>
    <w:rsid w:val="00E43AAA"/>
    <w:rsid w:val="00E44B0A"/>
    <w:rsid w:val="00E44C62"/>
    <w:rsid w:val="00E44DAF"/>
    <w:rsid w:val="00E45117"/>
    <w:rsid w:val="00E45142"/>
    <w:rsid w:val="00E457DA"/>
    <w:rsid w:val="00E45B59"/>
    <w:rsid w:val="00E4635C"/>
    <w:rsid w:val="00E4640B"/>
    <w:rsid w:val="00E468A3"/>
    <w:rsid w:val="00E46997"/>
    <w:rsid w:val="00E4701E"/>
    <w:rsid w:val="00E47069"/>
    <w:rsid w:val="00E477E1"/>
    <w:rsid w:val="00E47CA7"/>
    <w:rsid w:val="00E47F27"/>
    <w:rsid w:val="00E50617"/>
    <w:rsid w:val="00E5113A"/>
    <w:rsid w:val="00E5158B"/>
    <w:rsid w:val="00E5190F"/>
    <w:rsid w:val="00E52C30"/>
    <w:rsid w:val="00E5387C"/>
    <w:rsid w:val="00E53E1B"/>
    <w:rsid w:val="00E54213"/>
    <w:rsid w:val="00E54EF2"/>
    <w:rsid w:val="00E55DF1"/>
    <w:rsid w:val="00E56453"/>
    <w:rsid w:val="00E56DC1"/>
    <w:rsid w:val="00E572CA"/>
    <w:rsid w:val="00E5756C"/>
    <w:rsid w:val="00E602BA"/>
    <w:rsid w:val="00E60633"/>
    <w:rsid w:val="00E60800"/>
    <w:rsid w:val="00E60DC5"/>
    <w:rsid w:val="00E60F8E"/>
    <w:rsid w:val="00E612E1"/>
    <w:rsid w:val="00E61D8F"/>
    <w:rsid w:val="00E61FE7"/>
    <w:rsid w:val="00E62D75"/>
    <w:rsid w:val="00E63271"/>
    <w:rsid w:val="00E63559"/>
    <w:rsid w:val="00E63644"/>
    <w:rsid w:val="00E64012"/>
    <w:rsid w:val="00E640B0"/>
    <w:rsid w:val="00E6502C"/>
    <w:rsid w:val="00E65220"/>
    <w:rsid w:val="00E65789"/>
    <w:rsid w:val="00E66750"/>
    <w:rsid w:val="00E668BB"/>
    <w:rsid w:val="00E6707D"/>
    <w:rsid w:val="00E67180"/>
    <w:rsid w:val="00E676E2"/>
    <w:rsid w:val="00E67861"/>
    <w:rsid w:val="00E700B2"/>
    <w:rsid w:val="00E701F7"/>
    <w:rsid w:val="00E70B7F"/>
    <w:rsid w:val="00E70D0A"/>
    <w:rsid w:val="00E70FEC"/>
    <w:rsid w:val="00E711CA"/>
    <w:rsid w:val="00E715D8"/>
    <w:rsid w:val="00E72428"/>
    <w:rsid w:val="00E72AF3"/>
    <w:rsid w:val="00E72B02"/>
    <w:rsid w:val="00E72C16"/>
    <w:rsid w:val="00E73984"/>
    <w:rsid w:val="00E73B14"/>
    <w:rsid w:val="00E73C75"/>
    <w:rsid w:val="00E74821"/>
    <w:rsid w:val="00E74C0D"/>
    <w:rsid w:val="00E74FA5"/>
    <w:rsid w:val="00E756A8"/>
    <w:rsid w:val="00E76032"/>
    <w:rsid w:val="00E768F2"/>
    <w:rsid w:val="00E76F13"/>
    <w:rsid w:val="00E77151"/>
    <w:rsid w:val="00E77820"/>
    <w:rsid w:val="00E779E7"/>
    <w:rsid w:val="00E77E9E"/>
    <w:rsid w:val="00E77F90"/>
    <w:rsid w:val="00E8005C"/>
    <w:rsid w:val="00E80238"/>
    <w:rsid w:val="00E80CE8"/>
    <w:rsid w:val="00E8121B"/>
    <w:rsid w:val="00E8146D"/>
    <w:rsid w:val="00E8153B"/>
    <w:rsid w:val="00E81D9D"/>
    <w:rsid w:val="00E81DED"/>
    <w:rsid w:val="00E81F3F"/>
    <w:rsid w:val="00E822DF"/>
    <w:rsid w:val="00E82316"/>
    <w:rsid w:val="00E824A2"/>
    <w:rsid w:val="00E825B3"/>
    <w:rsid w:val="00E82EB1"/>
    <w:rsid w:val="00E83A5C"/>
    <w:rsid w:val="00E83EC8"/>
    <w:rsid w:val="00E849DE"/>
    <w:rsid w:val="00E85948"/>
    <w:rsid w:val="00E85BEE"/>
    <w:rsid w:val="00E85CDF"/>
    <w:rsid w:val="00E85D50"/>
    <w:rsid w:val="00E86536"/>
    <w:rsid w:val="00E8655E"/>
    <w:rsid w:val="00E86822"/>
    <w:rsid w:val="00E86F0B"/>
    <w:rsid w:val="00E87275"/>
    <w:rsid w:val="00E8785A"/>
    <w:rsid w:val="00E87990"/>
    <w:rsid w:val="00E906A1"/>
    <w:rsid w:val="00E90AFB"/>
    <w:rsid w:val="00E90B7C"/>
    <w:rsid w:val="00E9167E"/>
    <w:rsid w:val="00E91B1F"/>
    <w:rsid w:val="00E91CE7"/>
    <w:rsid w:val="00E92072"/>
    <w:rsid w:val="00E922A4"/>
    <w:rsid w:val="00E9235D"/>
    <w:rsid w:val="00E9251F"/>
    <w:rsid w:val="00E925CE"/>
    <w:rsid w:val="00E933CB"/>
    <w:rsid w:val="00E93F3F"/>
    <w:rsid w:val="00E941FE"/>
    <w:rsid w:val="00E9443F"/>
    <w:rsid w:val="00E9477E"/>
    <w:rsid w:val="00E9520B"/>
    <w:rsid w:val="00E954D4"/>
    <w:rsid w:val="00E95EBA"/>
    <w:rsid w:val="00E963AA"/>
    <w:rsid w:val="00E967CB"/>
    <w:rsid w:val="00E967F1"/>
    <w:rsid w:val="00E967F8"/>
    <w:rsid w:val="00E96ACA"/>
    <w:rsid w:val="00E971A4"/>
    <w:rsid w:val="00EA0122"/>
    <w:rsid w:val="00EA0155"/>
    <w:rsid w:val="00EA02AD"/>
    <w:rsid w:val="00EA05D9"/>
    <w:rsid w:val="00EA1104"/>
    <w:rsid w:val="00EA115B"/>
    <w:rsid w:val="00EA232B"/>
    <w:rsid w:val="00EA241A"/>
    <w:rsid w:val="00EA25AC"/>
    <w:rsid w:val="00EA294C"/>
    <w:rsid w:val="00EA2D1F"/>
    <w:rsid w:val="00EA3526"/>
    <w:rsid w:val="00EA44AD"/>
    <w:rsid w:val="00EA4B35"/>
    <w:rsid w:val="00EA5257"/>
    <w:rsid w:val="00EA54A8"/>
    <w:rsid w:val="00EA59B6"/>
    <w:rsid w:val="00EA6F4C"/>
    <w:rsid w:val="00EA7415"/>
    <w:rsid w:val="00EA77DF"/>
    <w:rsid w:val="00EA7CCA"/>
    <w:rsid w:val="00EB00ED"/>
    <w:rsid w:val="00EB0433"/>
    <w:rsid w:val="00EB067A"/>
    <w:rsid w:val="00EB0AAA"/>
    <w:rsid w:val="00EB1447"/>
    <w:rsid w:val="00EB1B8B"/>
    <w:rsid w:val="00EB1E4C"/>
    <w:rsid w:val="00EB1F19"/>
    <w:rsid w:val="00EB1FC2"/>
    <w:rsid w:val="00EB204D"/>
    <w:rsid w:val="00EB24EC"/>
    <w:rsid w:val="00EB27D6"/>
    <w:rsid w:val="00EB321F"/>
    <w:rsid w:val="00EB34BF"/>
    <w:rsid w:val="00EB36C4"/>
    <w:rsid w:val="00EB3C54"/>
    <w:rsid w:val="00EB3D78"/>
    <w:rsid w:val="00EB4951"/>
    <w:rsid w:val="00EB4C29"/>
    <w:rsid w:val="00EB4C2B"/>
    <w:rsid w:val="00EB5240"/>
    <w:rsid w:val="00EB595B"/>
    <w:rsid w:val="00EB5A0D"/>
    <w:rsid w:val="00EB5C6C"/>
    <w:rsid w:val="00EB5EFB"/>
    <w:rsid w:val="00EB60EF"/>
    <w:rsid w:val="00EB62F8"/>
    <w:rsid w:val="00EB6859"/>
    <w:rsid w:val="00EB693C"/>
    <w:rsid w:val="00EB74E6"/>
    <w:rsid w:val="00EC05D8"/>
    <w:rsid w:val="00EC0799"/>
    <w:rsid w:val="00EC07FE"/>
    <w:rsid w:val="00EC098E"/>
    <w:rsid w:val="00EC0BCB"/>
    <w:rsid w:val="00EC0CBB"/>
    <w:rsid w:val="00EC0CCA"/>
    <w:rsid w:val="00EC0E71"/>
    <w:rsid w:val="00EC21DE"/>
    <w:rsid w:val="00EC3351"/>
    <w:rsid w:val="00EC3A2C"/>
    <w:rsid w:val="00EC4E6B"/>
    <w:rsid w:val="00EC5382"/>
    <w:rsid w:val="00EC5C79"/>
    <w:rsid w:val="00EC5D79"/>
    <w:rsid w:val="00EC6A70"/>
    <w:rsid w:val="00EC7818"/>
    <w:rsid w:val="00ED0057"/>
    <w:rsid w:val="00ED04F1"/>
    <w:rsid w:val="00ED052F"/>
    <w:rsid w:val="00ED071F"/>
    <w:rsid w:val="00ED105D"/>
    <w:rsid w:val="00ED1E1D"/>
    <w:rsid w:val="00ED1E55"/>
    <w:rsid w:val="00ED22D3"/>
    <w:rsid w:val="00ED2A6E"/>
    <w:rsid w:val="00ED30A7"/>
    <w:rsid w:val="00ED3459"/>
    <w:rsid w:val="00ED34CE"/>
    <w:rsid w:val="00ED3BDB"/>
    <w:rsid w:val="00ED430C"/>
    <w:rsid w:val="00ED4677"/>
    <w:rsid w:val="00ED5D45"/>
    <w:rsid w:val="00ED613A"/>
    <w:rsid w:val="00ED6BF2"/>
    <w:rsid w:val="00ED6CFA"/>
    <w:rsid w:val="00ED6D53"/>
    <w:rsid w:val="00ED6F7F"/>
    <w:rsid w:val="00ED733B"/>
    <w:rsid w:val="00ED74D0"/>
    <w:rsid w:val="00ED7DBD"/>
    <w:rsid w:val="00EE00C4"/>
    <w:rsid w:val="00EE01B2"/>
    <w:rsid w:val="00EE01F7"/>
    <w:rsid w:val="00EE029C"/>
    <w:rsid w:val="00EE0482"/>
    <w:rsid w:val="00EE0505"/>
    <w:rsid w:val="00EE0BA8"/>
    <w:rsid w:val="00EE10FD"/>
    <w:rsid w:val="00EE13C1"/>
    <w:rsid w:val="00EE1855"/>
    <w:rsid w:val="00EE1E1F"/>
    <w:rsid w:val="00EE2657"/>
    <w:rsid w:val="00EE2B68"/>
    <w:rsid w:val="00EE2F22"/>
    <w:rsid w:val="00EE33EC"/>
    <w:rsid w:val="00EE3733"/>
    <w:rsid w:val="00EE37B6"/>
    <w:rsid w:val="00EE395E"/>
    <w:rsid w:val="00EE4410"/>
    <w:rsid w:val="00EE4E12"/>
    <w:rsid w:val="00EE5068"/>
    <w:rsid w:val="00EE5699"/>
    <w:rsid w:val="00EE5D36"/>
    <w:rsid w:val="00EE5EA3"/>
    <w:rsid w:val="00EE5F9D"/>
    <w:rsid w:val="00EE66C8"/>
    <w:rsid w:val="00EE6916"/>
    <w:rsid w:val="00EE6D70"/>
    <w:rsid w:val="00EE7248"/>
    <w:rsid w:val="00EF0268"/>
    <w:rsid w:val="00EF0F34"/>
    <w:rsid w:val="00EF0FEF"/>
    <w:rsid w:val="00EF1061"/>
    <w:rsid w:val="00EF1386"/>
    <w:rsid w:val="00EF198C"/>
    <w:rsid w:val="00EF1E61"/>
    <w:rsid w:val="00EF2212"/>
    <w:rsid w:val="00EF2491"/>
    <w:rsid w:val="00EF256B"/>
    <w:rsid w:val="00EF2F40"/>
    <w:rsid w:val="00EF2FD7"/>
    <w:rsid w:val="00EF4448"/>
    <w:rsid w:val="00EF4470"/>
    <w:rsid w:val="00EF4AE9"/>
    <w:rsid w:val="00EF4D8F"/>
    <w:rsid w:val="00EF5277"/>
    <w:rsid w:val="00EF5CAD"/>
    <w:rsid w:val="00EF611F"/>
    <w:rsid w:val="00EF6964"/>
    <w:rsid w:val="00EF6CC6"/>
    <w:rsid w:val="00EF76E1"/>
    <w:rsid w:val="00F000B9"/>
    <w:rsid w:val="00F01095"/>
    <w:rsid w:val="00F01B19"/>
    <w:rsid w:val="00F029AF"/>
    <w:rsid w:val="00F02EEA"/>
    <w:rsid w:val="00F03B02"/>
    <w:rsid w:val="00F03B9E"/>
    <w:rsid w:val="00F03E49"/>
    <w:rsid w:val="00F04099"/>
    <w:rsid w:val="00F04F90"/>
    <w:rsid w:val="00F055E3"/>
    <w:rsid w:val="00F057CB"/>
    <w:rsid w:val="00F058F2"/>
    <w:rsid w:val="00F05B66"/>
    <w:rsid w:val="00F068A8"/>
    <w:rsid w:val="00F06CF5"/>
    <w:rsid w:val="00F07A8B"/>
    <w:rsid w:val="00F101CD"/>
    <w:rsid w:val="00F1030E"/>
    <w:rsid w:val="00F10925"/>
    <w:rsid w:val="00F10C15"/>
    <w:rsid w:val="00F10EEE"/>
    <w:rsid w:val="00F11ABA"/>
    <w:rsid w:val="00F11ED6"/>
    <w:rsid w:val="00F1249E"/>
    <w:rsid w:val="00F12F6C"/>
    <w:rsid w:val="00F12F95"/>
    <w:rsid w:val="00F134A8"/>
    <w:rsid w:val="00F13BB4"/>
    <w:rsid w:val="00F13DAE"/>
    <w:rsid w:val="00F14439"/>
    <w:rsid w:val="00F1451B"/>
    <w:rsid w:val="00F145AC"/>
    <w:rsid w:val="00F1461A"/>
    <w:rsid w:val="00F14C59"/>
    <w:rsid w:val="00F15045"/>
    <w:rsid w:val="00F157D8"/>
    <w:rsid w:val="00F15BD9"/>
    <w:rsid w:val="00F16000"/>
    <w:rsid w:val="00F16B67"/>
    <w:rsid w:val="00F16D15"/>
    <w:rsid w:val="00F17F52"/>
    <w:rsid w:val="00F201AD"/>
    <w:rsid w:val="00F204B9"/>
    <w:rsid w:val="00F20804"/>
    <w:rsid w:val="00F2095A"/>
    <w:rsid w:val="00F21209"/>
    <w:rsid w:val="00F21481"/>
    <w:rsid w:val="00F216EC"/>
    <w:rsid w:val="00F21A93"/>
    <w:rsid w:val="00F21B21"/>
    <w:rsid w:val="00F222BB"/>
    <w:rsid w:val="00F22C2B"/>
    <w:rsid w:val="00F23325"/>
    <w:rsid w:val="00F2358B"/>
    <w:rsid w:val="00F23A73"/>
    <w:rsid w:val="00F23A9E"/>
    <w:rsid w:val="00F23F35"/>
    <w:rsid w:val="00F2491A"/>
    <w:rsid w:val="00F24EF6"/>
    <w:rsid w:val="00F25371"/>
    <w:rsid w:val="00F254E4"/>
    <w:rsid w:val="00F25E05"/>
    <w:rsid w:val="00F25F29"/>
    <w:rsid w:val="00F26AAB"/>
    <w:rsid w:val="00F26C28"/>
    <w:rsid w:val="00F26EFC"/>
    <w:rsid w:val="00F26F5D"/>
    <w:rsid w:val="00F26F9E"/>
    <w:rsid w:val="00F2716D"/>
    <w:rsid w:val="00F275A2"/>
    <w:rsid w:val="00F27771"/>
    <w:rsid w:val="00F27A84"/>
    <w:rsid w:val="00F27E3A"/>
    <w:rsid w:val="00F27F66"/>
    <w:rsid w:val="00F30069"/>
    <w:rsid w:val="00F30CDF"/>
    <w:rsid w:val="00F30DD7"/>
    <w:rsid w:val="00F30F98"/>
    <w:rsid w:val="00F312A1"/>
    <w:rsid w:val="00F31460"/>
    <w:rsid w:val="00F31AF1"/>
    <w:rsid w:val="00F31E19"/>
    <w:rsid w:val="00F336E7"/>
    <w:rsid w:val="00F3381E"/>
    <w:rsid w:val="00F33AEA"/>
    <w:rsid w:val="00F34C92"/>
    <w:rsid w:val="00F359B6"/>
    <w:rsid w:val="00F35D19"/>
    <w:rsid w:val="00F372B8"/>
    <w:rsid w:val="00F377AE"/>
    <w:rsid w:val="00F40A0F"/>
    <w:rsid w:val="00F40E7B"/>
    <w:rsid w:val="00F411D1"/>
    <w:rsid w:val="00F41269"/>
    <w:rsid w:val="00F41319"/>
    <w:rsid w:val="00F4149D"/>
    <w:rsid w:val="00F41F93"/>
    <w:rsid w:val="00F42FC5"/>
    <w:rsid w:val="00F43EA8"/>
    <w:rsid w:val="00F4441B"/>
    <w:rsid w:val="00F4459A"/>
    <w:rsid w:val="00F44713"/>
    <w:rsid w:val="00F44A36"/>
    <w:rsid w:val="00F44B13"/>
    <w:rsid w:val="00F45BE7"/>
    <w:rsid w:val="00F45D0F"/>
    <w:rsid w:val="00F45DB8"/>
    <w:rsid w:val="00F463D7"/>
    <w:rsid w:val="00F46473"/>
    <w:rsid w:val="00F46741"/>
    <w:rsid w:val="00F46B68"/>
    <w:rsid w:val="00F46E20"/>
    <w:rsid w:val="00F4749F"/>
    <w:rsid w:val="00F47872"/>
    <w:rsid w:val="00F4795A"/>
    <w:rsid w:val="00F479D3"/>
    <w:rsid w:val="00F47C03"/>
    <w:rsid w:val="00F5007C"/>
    <w:rsid w:val="00F50163"/>
    <w:rsid w:val="00F505DA"/>
    <w:rsid w:val="00F50FC7"/>
    <w:rsid w:val="00F510E2"/>
    <w:rsid w:val="00F51172"/>
    <w:rsid w:val="00F512F2"/>
    <w:rsid w:val="00F51557"/>
    <w:rsid w:val="00F515DE"/>
    <w:rsid w:val="00F515F1"/>
    <w:rsid w:val="00F51F04"/>
    <w:rsid w:val="00F5273A"/>
    <w:rsid w:val="00F52974"/>
    <w:rsid w:val="00F52D6B"/>
    <w:rsid w:val="00F52DF6"/>
    <w:rsid w:val="00F52E18"/>
    <w:rsid w:val="00F530A2"/>
    <w:rsid w:val="00F53272"/>
    <w:rsid w:val="00F534C4"/>
    <w:rsid w:val="00F535E2"/>
    <w:rsid w:val="00F544D5"/>
    <w:rsid w:val="00F54516"/>
    <w:rsid w:val="00F546FB"/>
    <w:rsid w:val="00F55335"/>
    <w:rsid w:val="00F55CF7"/>
    <w:rsid w:val="00F562BC"/>
    <w:rsid w:val="00F57589"/>
    <w:rsid w:val="00F57759"/>
    <w:rsid w:val="00F57D1C"/>
    <w:rsid w:val="00F6077A"/>
    <w:rsid w:val="00F6086A"/>
    <w:rsid w:val="00F60F8F"/>
    <w:rsid w:val="00F6169B"/>
    <w:rsid w:val="00F62269"/>
    <w:rsid w:val="00F622CB"/>
    <w:rsid w:val="00F62824"/>
    <w:rsid w:val="00F62B2A"/>
    <w:rsid w:val="00F62D7C"/>
    <w:rsid w:val="00F62F2D"/>
    <w:rsid w:val="00F63355"/>
    <w:rsid w:val="00F634C8"/>
    <w:rsid w:val="00F64536"/>
    <w:rsid w:val="00F649A9"/>
    <w:rsid w:val="00F66714"/>
    <w:rsid w:val="00F66E24"/>
    <w:rsid w:val="00F6705E"/>
    <w:rsid w:val="00F67119"/>
    <w:rsid w:val="00F67155"/>
    <w:rsid w:val="00F70119"/>
    <w:rsid w:val="00F701EA"/>
    <w:rsid w:val="00F70484"/>
    <w:rsid w:val="00F704D0"/>
    <w:rsid w:val="00F7058F"/>
    <w:rsid w:val="00F70684"/>
    <w:rsid w:val="00F70695"/>
    <w:rsid w:val="00F70963"/>
    <w:rsid w:val="00F70D21"/>
    <w:rsid w:val="00F70FEF"/>
    <w:rsid w:val="00F7130F"/>
    <w:rsid w:val="00F71336"/>
    <w:rsid w:val="00F71839"/>
    <w:rsid w:val="00F7187E"/>
    <w:rsid w:val="00F7277F"/>
    <w:rsid w:val="00F7284D"/>
    <w:rsid w:val="00F7290F"/>
    <w:rsid w:val="00F7295B"/>
    <w:rsid w:val="00F72DAF"/>
    <w:rsid w:val="00F73143"/>
    <w:rsid w:val="00F731A4"/>
    <w:rsid w:val="00F73271"/>
    <w:rsid w:val="00F73E53"/>
    <w:rsid w:val="00F73F06"/>
    <w:rsid w:val="00F73F8C"/>
    <w:rsid w:val="00F74031"/>
    <w:rsid w:val="00F743DB"/>
    <w:rsid w:val="00F745F5"/>
    <w:rsid w:val="00F74764"/>
    <w:rsid w:val="00F748E7"/>
    <w:rsid w:val="00F74F3A"/>
    <w:rsid w:val="00F75017"/>
    <w:rsid w:val="00F7532D"/>
    <w:rsid w:val="00F75C02"/>
    <w:rsid w:val="00F76A20"/>
    <w:rsid w:val="00F7782A"/>
    <w:rsid w:val="00F779CF"/>
    <w:rsid w:val="00F77A35"/>
    <w:rsid w:val="00F77ECB"/>
    <w:rsid w:val="00F800BD"/>
    <w:rsid w:val="00F80602"/>
    <w:rsid w:val="00F812AF"/>
    <w:rsid w:val="00F81936"/>
    <w:rsid w:val="00F819E7"/>
    <w:rsid w:val="00F81BF8"/>
    <w:rsid w:val="00F81E47"/>
    <w:rsid w:val="00F824EF"/>
    <w:rsid w:val="00F82AE9"/>
    <w:rsid w:val="00F82DA3"/>
    <w:rsid w:val="00F83F26"/>
    <w:rsid w:val="00F84408"/>
    <w:rsid w:val="00F84470"/>
    <w:rsid w:val="00F850A9"/>
    <w:rsid w:val="00F85592"/>
    <w:rsid w:val="00F856AA"/>
    <w:rsid w:val="00F85A65"/>
    <w:rsid w:val="00F85DF6"/>
    <w:rsid w:val="00F85F23"/>
    <w:rsid w:val="00F86158"/>
    <w:rsid w:val="00F86474"/>
    <w:rsid w:val="00F868B4"/>
    <w:rsid w:val="00F8730A"/>
    <w:rsid w:val="00F90151"/>
    <w:rsid w:val="00F9016F"/>
    <w:rsid w:val="00F90601"/>
    <w:rsid w:val="00F910B0"/>
    <w:rsid w:val="00F91F00"/>
    <w:rsid w:val="00F92215"/>
    <w:rsid w:val="00F925F9"/>
    <w:rsid w:val="00F92FC8"/>
    <w:rsid w:val="00F93031"/>
    <w:rsid w:val="00F93703"/>
    <w:rsid w:val="00F9492A"/>
    <w:rsid w:val="00F95262"/>
    <w:rsid w:val="00F95637"/>
    <w:rsid w:val="00F95A44"/>
    <w:rsid w:val="00F95D15"/>
    <w:rsid w:val="00F96042"/>
    <w:rsid w:val="00F96086"/>
    <w:rsid w:val="00F96E20"/>
    <w:rsid w:val="00F97215"/>
    <w:rsid w:val="00F9765E"/>
    <w:rsid w:val="00FA0798"/>
    <w:rsid w:val="00FA0861"/>
    <w:rsid w:val="00FA08CA"/>
    <w:rsid w:val="00FA0DCB"/>
    <w:rsid w:val="00FA0EC4"/>
    <w:rsid w:val="00FA272B"/>
    <w:rsid w:val="00FA2902"/>
    <w:rsid w:val="00FA2A6F"/>
    <w:rsid w:val="00FA3AC8"/>
    <w:rsid w:val="00FA5B0B"/>
    <w:rsid w:val="00FA5C24"/>
    <w:rsid w:val="00FA5F48"/>
    <w:rsid w:val="00FA64C4"/>
    <w:rsid w:val="00FA68FD"/>
    <w:rsid w:val="00FA6923"/>
    <w:rsid w:val="00FA6AC8"/>
    <w:rsid w:val="00FA6BF7"/>
    <w:rsid w:val="00FA74A0"/>
    <w:rsid w:val="00FA7666"/>
    <w:rsid w:val="00FA78FD"/>
    <w:rsid w:val="00FA7D88"/>
    <w:rsid w:val="00FB022C"/>
    <w:rsid w:val="00FB030F"/>
    <w:rsid w:val="00FB06A5"/>
    <w:rsid w:val="00FB06BF"/>
    <w:rsid w:val="00FB0B2B"/>
    <w:rsid w:val="00FB0EBA"/>
    <w:rsid w:val="00FB0F66"/>
    <w:rsid w:val="00FB11BE"/>
    <w:rsid w:val="00FB1357"/>
    <w:rsid w:val="00FB1799"/>
    <w:rsid w:val="00FB1B56"/>
    <w:rsid w:val="00FB20DA"/>
    <w:rsid w:val="00FB25F9"/>
    <w:rsid w:val="00FB26C1"/>
    <w:rsid w:val="00FB27F1"/>
    <w:rsid w:val="00FB2B2B"/>
    <w:rsid w:val="00FB2EC3"/>
    <w:rsid w:val="00FB2FDD"/>
    <w:rsid w:val="00FB3397"/>
    <w:rsid w:val="00FB42C9"/>
    <w:rsid w:val="00FB445E"/>
    <w:rsid w:val="00FB4C6F"/>
    <w:rsid w:val="00FB4CD9"/>
    <w:rsid w:val="00FB5332"/>
    <w:rsid w:val="00FB6388"/>
    <w:rsid w:val="00FB63DA"/>
    <w:rsid w:val="00FB6F50"/>
    <w:rsid w:val="00FB76C8"/>
    <w:rsid w:val="00FB78A6"/>
    <w:rsid w:val="00FB7B5E"/>
    <w:rsid w:val="00FC01FF"/>
    <w:rsid w:val="00FC05F9"/>
    <w:rsid w:val="00FC0851"/>
    <w:rsid w:val="00FC0AC2"/>
    <w:rsid w:val="00FC0DBF"/>
    <w:rsid w:val="00FC0EAC"/>
    <w:rsid w:val="00FC1351"/>
    <w:rsid w:val="00FC1AA7"/>
    <w:rsid w:val="00FC1B8D"/>
    <w:rsid w:val="00FC20FD"/>
    <w:rsid w:val="00FC2383"/>
    <w:rsid w:val="00FC2497"/>
    <w:rsid w:val="00FC263B"/>
    <w:rsid w:val="00FC2C4D"/>
    <w:rsid w:val="00FC2DF1"/>
    <w:rsid w:val="00FC2FAD"/>
    <w:rsid w:val="00FC30F1"/>
    <w:rsid w:val="00FC4301"/>
    <w:rsid w:val="00FC50C2"/>
    <w:rsid w:val="00FC5166"/>
    <w:rsid w:val="00FC5E76"/>
    <w:rsid w:val="00FC64F5"/>
    <w:rsid w:val="00FC657C"/>
    <w:rsid w:val="00FC65F3"/>
    <w:rsid w:val="00FC69CF"/>
    <w:rsid w:val="00FC6A25"/>
    <w:rsid w:val="00FC70D5"/>
    <w:rsid w:val="00FC7214"/>
    <w:rsid w:val="00FC7A94"/>
    <w:rsid w:val="00FC7FB3"/>
    <w:rsid w:val="00FD03FC"/>
    <w:rsid w:val="00FD058F"/>
    <w:rsid w:val="00FD0B70"/>
    <w:rsid w:val="00FD0BF7"/>
    <w:rsid w:val="00FD0DD1"/>
    <w:rsid w:val="00FD0E0A"/>
    <w:rsid w:val="00FD11B8"/>
    <w:rsid w:val="00FD140C"/>
    <w:rsid w:val="00FD1440"/>
    <w:rsid w:val="00FD146D"/>
    <w:rsid w:val="00FD1489"/>
    <w:rsid w:val="00FD1494"/>
    <w:rsid w:val="00FD159D"/>
    <w:rsid w:val="00FD1638"/>
    <w:rsid w:val="00FD172D"/>
    <w:rsid w:val="00FD17D7"/>
    <w:rsid w:val="00FD28E1"/>
    <w:rsid w:val="00FD2A46"/>
    <w:rsid w:val="00FD2DA9"/>
    <w:rsid w:val="00FD3220"/>
    <w:rsid w:val="00FD35FA"/>
    <w:rsid w:val="00FD3EB4"/>
    <w:rsid w:val="00FD3FA4"/>
    <w:rsid w:val="00FD4443"/>
    <w:rsid w:val="00FD55B8"/>
    <w:rsid w:val="00FD59F1"/>
    <w:rsid w:val="00FD5B20"/>
    <w:rsid w:val="00FD66A4"/>
    <w:rsid w:val="00FD6FE2"/>
    <w:rsid w:val="00FD700D"/>
    <w:rsid w:val="00FD74CB"/>
    <w:rsid w:val="00FD7543"/>
    <w:rsid w:val="00FD7BF5"/>
    <w:rsid w:val="00FD7D5C"/>
    <w:rsid w:val="00FD7FD4"/>
    <w:rsid w:val="00FE026D"/>
    <w:rsid w:val="00FE0604"/>
    <w:rsid w:val="00FE091B"/>
    <w:rsid w:val="00FE1138"/>
    <w:rsid w:val="00FE1531"/>
    <w:rsid w:val="00FE185C"/>
    <w:rsid w:val="00FE1BD0"/>
    <w:rsid w:val="00FE2084"/>
    <w:rsid w:val="00FE272F"/>
    <w:rsid w:val="00FE336D"/>
    <w:rsid w:val="00FE3737"/>
    <w:rsid w:val="00FE3C5F"/>
    <w:rsid w:val="00FE3C61"/>
    <w:rsid w:val="00FE3F22"/>
    <w:rsid w:val="00FE401B"/>
    <w:rsid w:val="00FE4705"/>
    <w:rsid w:val="00FE486E"/>
    <w:rsid w:val="00FE4A09"/>
    <w:rsid w:val="00FE557C"/>
    <w:rsid w:val="00FE56D8"/>
    <w:rsid w:val="00FE5E4C"/>
    <w:rsid w:val="00FE6A42"/>
    <w:rsid w:val="00FE6A78"/>
    <w:rsid w:val="00FE731E"/>
    <w:rsid w:val="00FE7484"/>
    <w:rsid w:val="00FE7C06"/>
    <w:rsid w:val="00FF0800"/>
    <w:rsid w:val="00FF0C76"/>
    <w:rsid w:val="00FF1745"/>
    <w:rsid w:val="00FF1822"/>
    <w:rsid w:val="00FF2087"/>
    <w:rsid w:val="00FF27C7"/>
    <w:rsid w:val="00FF2C0C"/>
    <w:rsid w:val="00FF33F2"/>
    <w:rsid w:val="00FF35E1"/>
    <w:rsid w:val="00FF3B03"/>
    <w:rsid w:val="00FF46C7"/>
    <w:rsid w:val="00FF4C3A"/>
    <w:rsid w:val="00FF503D"/>
    <w:rsid w:val="00FF53A3"/>
    <w:rsid w:val="00FF62F4"/>
    <w:rsid w:val="00FF6519"/>
    <w:rsid w:val="00FF6FC8"/>
    <w:rsid w:val="00FF745A"/>
    <w:rsid w:val="00FF7970"/>
    <w:rsid w:val="0116E36E"/>
    <w:rsid w:val="0119C9B6"/>
    <w:rsid w:val="011F5A40"/>
    <w:rsid w:val="012376E3"/>
    <w:rsid w:val="0142ECFB"/>
    <w:rsid w:val="0157E594"/>
    <w:rsid w:val="018FF28D"/>
    <w:rsid w:val="0199A159"/>
    <w:rsid w:val="01AF9677"/>
    <w:rsid w:val="01BA95FB"/>
    <w:rsid w:val="01BF004A"/>
    <w:rsid w:val="01CC898A"/>
    <w:rsid w:val="01D18C60"/>
    <w:rsid w:val="01D2BBCC"/>
    <w:rsid w:val="01DBCC6A"/>
    <w:rsid w:val="02190379"/>
    <w:rsid w:val="0223E0E1"/>
    <w:rsid w:val="0224A175"/>
    <w:rsid w:val="022735C8"/>
    <w:rsid w:val="02310DB1"/>
    <w:rsid w:val="02540287"/>
    <w:rsid w:val="02675562"/>
    <w:rsid w:val="028A55C8"/>
    <w:rsid w:val="02A19FBD"/>
    <w:rsid w:val="02B93137"/>
    <w:rsid w:val="02BC62BF"/>
    <w:rsid w:val="02CC20C2"/>
    <w:rsid w:val="02CD2289"/>
    <w:rsid w:val="02D0EDF7"/>
    <w:rsid w:val="02E820BA"/>
    <w:rsid w:val="02FB9B24"/>
    <w:rsid w:val="03350D35"/>
    <w:rsid w:val="034CF327"/>
    <w:rsid w:val="034F5782"/>
    <w:rsid w:val="0375F5A6"/>
    <w:rsid w:val="0379548F"/>
    <w:rsid w:val="03AE0459"/>
    <w:rsid w:val="03D7E3E7"/>
    <w:rsid w:val="03E7C2EF"/>
    <w:rsid w:val="03FE4E12"/>
    <w:rsid w:val="04036C75"/>
    <w:rsid w:val="04100596"/>
    <w:rsid w:val="04220F9D"/>
    <w:rsid w:val="0425C313"/>
    <w:rsid w:val="0439B74D"/>
    <w:rsid w:val="043CE42D"/>
    <w:rsid w:val="044200F9"/>
    <w:rsid w:val="044EC568"/>
    <w:rsid w:val="0465BEBB"/>
    <w:rsid w:val="04746CF8"/>
    <w:rsid w:val="047F920E"/>
    <w:rsid w:val="04AA5765"/>
    <w:rsid w:val="04B10A28"/>
    <w:rsid w:val="04B41118"/>
    <w:rsid w:val="04BE957D"/>
    <w:rsid w:val="04D0D663"/>
    <w:rsid w:val="0527B393"/>
    <w:rsid w:val="05396EEC"/>
    <w:rsid w:val="053D5547"/>
    <w:rsid w:val="05475FA8"/>
    <w:rsid w:val="055E9778"/>
    <w:rsid w:val="056CF49E"/>
    <w:rsid w:val="05706D2C"/>
    <w:rsid w:val="05769046"/>
    <w:rsid w:val="059FF660"/>
    <w:rsid w:val="05A67D12"/>
    <w:rsid w:val="05B5DDD0"/>
    <w:rsid w:val="05C621AA"/>
    <w:rsid w:val="05D7566E"/>
    <w:rsid w:val="05DDE3ED"/>
    <w:rsid w:val="05DEE3BC"/>
    <w:rsid w:val="05E0A047"/>
    <w:rsid w:val="05E633AE"/>
    <w:rsid w:val="05F29232"/>
    <w:rsid w:val="05F59718"/>
    <w:rsid w:val="060D5AD0"/>
    <w:rsid w:val="06196CB5"/>
    <w:rsid w:val="061D8C1D"/>
    <w:rsid w:val="06276268"/>
    <w:rsid w:val="0629FBCA"/>
    <w:rsid w:val="06446891"/>
    <w:rsid w:val="0646E231"/>
    <w:rsid w:val="065426DA"/>
    <w:rsid w:val="0658B055"/>
    <w:rsid w:val="0660CE12"/>
    <w:rsid w:val="067A70D4"/>
    <w:rsid w:val="06828FCF"/>
    <w:rsid w:val="06877DC4"/>
    <w:rsid w:val="0687DFBC"/>
    <w:rsid w:val="06946723"/>
    <w:rsid w:val="069CFDA1"/>
    <w:rsid w:val="06FD6A2A"/>
    <w:rsid w:val="071405DA"/>
    <w:rsid w:val="07233C03"/>
    <w:rsid w:val="0724AE2D"/>
    <w:rsid w:val="072BE563"/>
    <w:rsid w:val="074D6CA9"/>
    <w:rsid w:val="079134A8"/>
    <w:rsid w:val="0795379F"/>
    <w:rsid w:val="07C6BD8F"/>
    <w:rsid w:val="07D3565D"/>
    <w:rsid w:val="07D59CE7"/>
    <w:rsid w:val="07F25D77"/>
    <w:rsid w:val="080C511B"/>
    <w:rsid w:val="083D39C3"/>
    <w:rsid w:val="08449896"/>
    <w:rsid w:val="088403FF"/>
    <w:rsid w:val="088F201E"/>
    <w:rsid w:val="089A8EEE"/>
    <w:rsid w:val="08AF973D"/>
    <w:rsid w:val="08B45E45"/>
    <w:rsid w:val="08D45635"/>
    <w:rsid w:val="08F7FDAF"/>
    <w:rsid w:val="0920368A"/>
    <w:rsid w:val="0934A383"/>
    <w:rsid w:val="0950927C"/>
    <w:rsid w:val="095373E2"/>
    <w:rsid w:val="095B4686"/>
    <w:rsid w:val="095D973C"/>
    <w:rsid w:val="09617FD7"/>
    <w:rsid w:val="096CA1EA"/>
    <w:rsid w:val="099B5F5E"/>
    <w:rsid w:val="09A69F79"/>
    <w:rsid w:val="09AD7078"/>
    <w:rsid w:val="09E4F04E"/>
    <w:rsid w:val="09E6FA0F"/>
    <w:rsid w:val="0A055D1F"/>
    <w:rsid w:val="0A27F2BB"/>
    <w:rsid w:val="0A4B679E"/>
    <w:rsid w:val="0A4DCED7"/>
    <w:rsid w:val="0A5339DE"/>
    <w:rsid w:val="0A55CEE3"/>
    <w:rsid w:val="0A77E460"/>
    <w:rsid w:val="0A982D84"/>
    <w:rsid w:val="0A9BA6BA"/>
    <w:rsid w:val="0AB15510"/>
    <w:rsid w:val="0AC87060"/>
    <w:rsid w:val="0AE423E9"/>
    <w:rsid w:val="0AFE7352"/>
    <w:rsid w:val="0B043C59"/>
    <w:rsid w:val="0B04F657"/>
    <w:rsid w:val="0B207013"/>
    <w:rsid w:val="0B24B475"/>
    <w:rsid w:val="0B4E9427"/>
    <w:rsid w:val="0B725A67"/>
    <w:rsid w:val="0B97D23C"/>
    <w:rsid w:val="0BA2E624"/>
    <w:rsid w:val="0BA3D3A1"/>
    <w:rsid w:val="0BAC6D9C"/>
    <w:rsid w:val="0BCB4220"/>
    <w:rsid w:val="0BE7522E"/>
    <w:rsid w:val="0BEBFF07"/>
    <w:rsid w:val="0BEDB9F8"/>
    <w:rsid w:val="0BF28D0B"/>
    <w:rsid w:val="0C1A2A18"/>
    <w:rsid w:val="0C6CCB78"/>
    <w:rsid w:val="0C76DCFE"/>
    <w:rsid w:val="0C916795"/>
    <w:rsid w:val="0CA16B01"/>
    <w:rsid w:val="0CBC1C0D"/>
    <w:rsid w:val="0CC28EA4"/>
    <w:rsid w:val="0CCE4112"/>
    <w:rsid w:val="0CE10738"/>
    <w:rsid w:val="0CF993D5"/>
    <w:rsid w:val="0D14A0BF"/>
    <w:rsid w:val="0D202AAE"/>
    <w:rsid w:val="0D3785AC"/>
    <w:rsid w:val="0D52A3DB"/>
    <w:rsid w:val="0D5B51FE"/>
    <w:rsid w:val="0D6342A0"/>
    <w:rsid w:val="0D6F02F2"/>
    <w:rsid w:val="0D970941"/>
    <w:rsid w:val="0DB1ADE5"/>
    <w:rsid w:val="0DC0EFB5"/>
    <w:rsid w:val="0DC71F0D"/>
    <w:rsid w:val="0DD49A4E"/>
    <w:rsid w:val="0DE22D86"/>
    <w:rsid w:val="0DE8AF8D"/>
    <w:rsid w:val="0DE9EAE2"/>
    <w:rsid w:val="0DEC7A58"/>
    <w:rsid w:val="0E1E0D21"/>
    <w:rsid w:val="0E20C4D7"/>
    <w:rsid w:val="0E2F4C61"/>
    <w:rsid w:val="0E3445FD"/>
    <w:rsid w:val="0E361414"/>
    <w:rsid w:val="0E3C9719"/>
    <w:rsid w:val="0E416D32"/>
    <w:rsid w:val="0E42DF9D"/>
    <w:rsid w:val="0E57EC6E"/>
    <w:rsid w:val="0E5CED19"/>
    <w:rsid w:val="0E799DE7"/>
    <w:rsid w:val="0E7A8B4A"/>
    <w:rsid w:val="0E9063FB"/>
    <w:rsid w:val="0EA06D9D"/>
    <w:rsid w:val="0EF09D21"/>
    <w:rsid w:val="0EF4BEC3"/>
    <w:rsid w:val="0EFF2607"/>
    <w:rsid w:val="0F01D8D1"/>
    <w:rsid w:val="0F1305B3"/>
    <w:rsid w:val="0F169275"/>
    <w:rsid w:val="0F40CFC3"/>
    <w:rsid w:val="0F4C3052"/>
    <w:rsid w:val="0F602ACC"/>
    <w:rsid w:val="0F62A337"/>
    <w:rsid w:val="0F6C2F45"/>
    <w:rsid w:val="0F76212E"/>
    <w:rsid w:val="0F7F20F8"/>
    <w:rsid w:val="0F81BD6A"/>
    <w:rsid w:val="0F8852EE"/>
    <w:rsid w:val="0F998D47"/>
    <w:rsid w:val="0FA0D9BA"/>
    <w:rsid w:val="0FA51532"/>
    <w:rsid w:val="0FAAFCD3"/>
    <w:rsid w:val="0FD3384E"/>
    <w:rsid w:val="0FD89A19"/>
    <w:rsid w:val="0FDBA4E5"/>
    <w:rsid w:val="0FDD3D93"/>
    <w:rsid w:val="0FDDE903"/>
    <w:rsid w:val="0FE9DF5E"/>
    <w:rsid w:val="0FF636F9"/>
    <w:rsid w:val="1018BE73"/>
    <w:rsid w:val="104003BD"/>
    <w:rsid w:val="10558D35"/>
    <w:rsid w:val="10766F8C"/>
    <w:rsid w:val="1086597B"/>
    <w:rsid w:val="109C61B5"/>
    <w:rsid w:val="10A10600"/>
    <w:rsid w:val="10AA6432"/>
    <w:rsid w:val="10C0164C"/>
    <w:rsid w:val="10C1814D"/>
    <w:rsid w:val="10DA9A6A"/>
    <w:rsid w:val="10FFB5A6"/>
    <w:rsid w:val="11010B62"/>
    <w:rsid w:val="11096B68"/>
    <w:rsid w:val="113679F8"/>
    <w:rsid w:val="1160379D"/>
    <w:rsid w:val="11630121"/>
    <w:rsid w:val="1166F818"/>
    <w:rsid w:val="116C9970"/>
    <w:rsid w:val="1174221D"/>
    <w:rsid w:val="1175C452"/>
    <w:rsid w:val="1186DD33"/>
    <w:rsid w:val="118CCD6F"/>
    <w:rsid w:val="1190BE56"/>
    <w:rsid w:val="11A7509B"/>
    <w:rsid w:val="11ADB701"/>
    <w:rsid w:val="11B41D6A"/>
    <w:rsid w:val="11CEC621"/>
    <w:rsid w:val="11DBC3A6"/>
    <w:rsid w:val="11FACB67"/>
    <w:rsid w:val="11FF72CF"/>
    <w:rsid w:val="12033555"/>
    <w:rsid w:val="125182BD"/>
    <w:rsid w:val="1261A888"/>
    <w:rsid w:val="1264ED88"/>
    <w:rsid w:val="12667DF6"/>
    <w:rsid w:val="1284775A"/>
    <w:rsid w:val="12A17565"/>
    <w:rsid w:val="12BC9FBB"/>
    <w:rsid w:val="12EF3630"/>
    <w:rsid w:val="12F068B7"/>
    <w:rsid w:val="12FCF455"/>
    <w:rsid w:val="1315B01F"/>
    <w:rsid w:val="13179442"/>
    <w:rsid w:val="131E29A3"/>
    <w:rsid w:val="13396482"/>
    <w:rsid w:val="133C01AA"/>
    <w:rsid w:val="1343DF6F"/>
    <w:rsid w:val="1361E331"/>
    <w:rsid w:val="1388FF7F"/>
    <w:rsid w:val="13892F85"/>
    <w:rsid w:val="138F56FE"/>
    <w:rsid w:val="13BB8886"/>
    <w:rsid w:val="13D163F3"/>
    <w:rsid w:val="13FE5729"/>
    <w:rsid w:val="141196E4"/>
    <w:rsid w:val="1446FC93"/>
    <w:rsid w:val="147CF6DF"/>
    <w:rsid w:val="14A74357"/>
    <w:rsid w:val="14B1E75E"/>
    <w:rsid w:val="14C06DC7"/>
    <w:rsid w:val="14C87AD7"/>
    <w:rsid w:val="14D136E6"/>
    <w:rsid w:val="14D890A6"/>
    <w:rsid w:val="14E18F7B"/>
    <w:rsid w:val="14EA4F2A"/>
    <w:rsid w:val="14FA3ED9"/>
    <w:rsid w:val="14FC4262"/>
    <w:rsid w:val="1526B0EC"/>
    <w:rsid w:val="154826B5"/>
    <w:rsid w:val="154E7682"/>
    <w:rsid w:val="155130C7"/>
    <w:rsid w:val="1562F064"/>
    <w:rsid w:val="156C519E"/>
    <w:rsid w:val="156E7A26"/>
    <w:rsid w:val="1586BFC3"/>
    <w:rsid w:val="15936500"/>
    <w:rsid w:val="159783C4"/>
    <w:rsid w:val="159B6334"/>
    <w:rsid w:val="15AFCEFF"/>
    <w:rsid w:val="15B0F84A"/>
    <w:rsid w:val="15B693E1"/>
    <w:rsid w:val="15BE35AB"/>
    <w:rsid w:val="15C1F2EA"/>
    <w:rsid w:val="15CC9A94"/>
    <w:rsid w:val="15CE6017"/>
    <w:rsid w:val="15F78C1B"/>
    <w:rsid w:val="161E62C2"/>
    <w:rsid w:val="161E7A1B"/>
    <w:rsid w:val="1663F76F"/>
    <w:rsid w:val="166C438D"/>
    <w:rsid w:val="1670EF0C"/>
    <w:rsid w:val="169B0FEA"/>
    <w:rsid w:val="16A0D906"/>
    <w:rsid w:val="16A6B8D9"/>
    <w:rsid w:val="16AAF557"/>
    <w:rsid w:val="16B680D9"/>
    <w:rsid w:val="16BA0163"/>
    <w:rsid w:val="16BE65B0"/>
    <w:rsid w:val="16EFEE63"/>
    <w:rsid w:val="16F968EF"/>
    <w:rsid w:val="1709B042"/>
    <w:rsid w:val="170D35DC"/>
    <w:rsid w:val="170E4EF8"/>
    <w:rsid w:val="171104D1"/>
    <w:rsid w:val="17142A7C"/>
    <w:rsid w:val="17224394"/>
    <w:rsid w:val="173DA169"/>
    <w:rsid w:val="173DC08D"/>
    <w:rsid w:val="17566968"/>
    <w:rsid w:val="17591E87"/>
    <w:rsid w:val="1779E501"/>
    <w:rsid w:val="17A118AD"/>
    <w:rsid w:val="17A2BE99"/>
    <w:rsid w:val="17C50931"/>
    <w:rsid w:val="17D26D2F"/>
    <w:rsid w:val="17D5D1D0"/>
    <w:rsid w:val="17E6F0DE"/>
    <w:rsid w:val="17ECC10D"/>
    <w:rsid w:val="1803CF5F"/>
    <w:rsid w:val="181D289C"/>
    <w:rsid w:val="1825DDEC"/>
    <w:rsid w:val="182AD6F8"/>
    <w:rsid w:val="182B84E5"/>
    <w:rsid w:val="184FD3E6"/>
    <w:rsid w:val="1862BDEE"/>
    <w:rsid w:val="1862F032"/>
    <w:rsid w:val="187B4613"/>
    <w:rsid w:val="189B5303"/>
    <w:rsid w:val="18B5BFC6"/>
    <w:rsid w:val="18B82D8A"/>
    <w:rsid w:val="18D26F95"/>
    <w:rsid w:val="18D8ABFE"/>
    <w:rsid w:val="18F4FC06"/>
    <w:rsid w:val="19013B8A"/>
    <w:rsid w:val="190454FB"/>
    <w:rsid w:val="190ABCEA"/>
    <w:rsid w:val="192025E7"/>
    <w:rsid w:val="194DB8B2"/>
    <w:rsid w:val="19560384"/>
    <w:rsid w:val="19654472"/>
    <w:rsid w:val="196E718B"/>
    <w:rsid w:val="1989E47C"/>
    <w:rsid w:val="19968295"/>
    <w:rsid w:val="199B6F10"/>
    <w:rsid w:val="19A1433E"/>
    <w:rsid w:val="19A58059"/>
    <w:rsid w:val="19B8F8FD"/>
    <w:rsid w:val="19B95807"/>
    <w:rsid w:val="19B97DFA"/>
    <w:rsid w:val="19C4F2A1"/>
    <w:rsid w:val="19E72736"/>
    <w:rsid w:val="19F30D46"/>
    <w:rsid w:val="1A1D0720"/>
    <w:rsid w:val="1A31125A"/>
    <w:rsid w:val="1A477B59"/>
    <w:rsid w:val="1A49F80A"/>
    <w:rsid w:val="1A4A0843"/>
    <w:rsid w:val="1A505CF7"/>
    <w:rsid w:val="1A641B30"/>
    <w:rsid w:val="1A70FBDA"/>
    <w:rsid w:val="1A815A49"/>
    <w:rsid w:val="1A81EAA0"/>
    <w:rsid w:val="1A9EC217"/>
    <w:rsid w:val="1AA074E2"/>
    <w:rsid w:val="1AA79803"/>
    <w:rsid w:val="1AA8CCC3"/>
    <w:rsid w:val="1AB7A21D"/>
    <w:rsid w:val="1ABEBC1C"/>
    <w:rsid w:val="1AC21C9F"/>
    <w:rsid w:val="1AE57934"/>
    <w:rsid w:val="1AE7B531"/>
    <w:rsid w:val="1B10B4A2"/>
    <w:rsid w:val="1B25B4DD"/>
    <w:rsid w:val="1B3F8907"/>
    <w:rsid w:val="1B54C95E"/>
    <w:rsid w:val="1B69A554"/>
    <w:rsid w:val="1B8CBDC9"/>
    <w:rsid w:val="1BACE6AF"/>
    <w:rsid w:val="1BCCCCD7"/>
    <w:rsid w:val="1BD208D7"/>
    <w:rsid w:val="1BD2F3C5"/>
    <w:rsid w:val="1BF97641"/>
    <w:rsid w:val="1C093CAB"/>
    <w:rsid w:val="1C16FE59"/>
    <w:rsid w:val="1C302538"/>
    <w:rsid w:val="1C6389FB"/>
    <w:rsid w:val="1C689C0D"/>
    <w:rsid w:val="1C85EBE1"/>
    <w:rsid w:val="1C95C35F"/>
    <w:rsid w:val="1C97ED54"/>
    <w:rsid w:val="1CAA51A8"/>
    <w:rsid w:val="1CB11D7E"/>
    <w:rsid w:val="1CB6EA82"/>
    <w:rsid w:val="1CC51315"/>
    <w:rsid w:val="1CCC331F"/>
    <w:rsid w:val="1CD2316E"/>
    <w:rsid w:val="1CE5BD37"/>
    <w:rsid w:val="1CF099BF"/>
    <w:rsid w:val="1CF68501"/>
    <w:rsid w:val="1D0D6FF3"/>
    <w:rsid w:val="1D1317C5"/>
    <w:rsid w:val="1D15DDB4"/>
    <w:rsid w:val="1D1D3A18"/>
    <w:rsid w:val="1D4B3B01"/>
    <w:rsid w:val="1D4D7E75"/>
    <w:rsid w:val="1D4FB52A"/>
    <w:rsid w:val="1D6A5CF5"/>
    <w:rsid w:val="1D7B7AA0"/>
    <w:rsid w:val="1D9FA468"/>
    <w:rsid w:val="1DB55A86"/>
    <w:rsid w:val="1DBF542C"/>
    <w:rsid w:val="1DC410EE"/>
    <w:rsid w:val="1DD134AB"/>
    <w:rsid w:val="1DD6F544"/>
    <w:rsid w:val="1DE767C0"/>
    <w:rsid w:val="1DFA54E1"/>
    <w:rsid w:val="1DFDEAAC"/>
    <w:rsid w:val="1E0D6AFC"/>
    <w:rsid w:val="1E1B33A9"/>
    <w:rsid w:val="1E5058CD"/>
    <w:rsid w:val="1E5CD561"/>
    <w:rsid w:val="1E642804"/>
    <w:rsid w:val="1E818D98"/>
    <w:rsid w:val="1EABB42B"/>
    <w:rsid w:val="1ED9644B"/>
    <w:rsid w:val="1EE2683B"/>
    <w:rsid w:val="1EFCDCD2"/>
    <w:rsid w:val="1F344C9E"/>
    <w:rsid w:val="1F3A9CD7"/>
    <w:rsid w:val="1F3BE748"/>
    <w:rsid w:val="1F3C0EF7"/>
    <w:rsid w:val="1F41B119"/>
    <w:rsid w:val="1F543EDC"/>
    <w:rsid w:val="1F64737F"/>
    <w:rsid w:val="1F696981"/>
    <w:rsid w:val="1F718503"/>
    <w:rsid w:val="1F815A2E"/>
    <w:rsid w:val="1F8F7D67"/>
    <w:rsid w:val="1F9B4957"/>
    <w:rsid w:val="1FA228BB"/>
    <w:rsid w:val="1FA76E6F"/>
    <w:rsid w:val="1FA8C7C5"/>
    <w:rsid w:val="1FB44350"/>
    <w:rsid w:val="1FB85BC0"/>
    <w:rsid w:val="1FBDBD34"/>
    <w:rsid w:val="1FCCB71D"/>
    <w:rsid w:val="1FCE9E56"/>
    <w:rsid w:val="1FE9D953"/>
    <w:rsid w:val="1FFE0734"/>
    <w:rsid w:val="200EE35F"/>
    <w:rsid w:val="20185E9B"/>
    <w:rsid w:val="202CBF84"/>
    <w:rsid w:val="202E044C"/>
    <w:rsid w:val="20322F3D"/>
    <w:rsid w:val="203520DB"/>
    <w:rsid w:val="203913C2"/>
    <w:rsid w:val="208B4F3F"/>
    <w:rsid w:val="20A31D3D"/>
    <w:rsid w:val="20B20877"/>
    <w:rsid w:val="20CC59D1"/>
    <w:rsid w:val="20CCE764"/>
    <w:rsid w:val="20DE1300"/>
    <w:rsid w:val="20F9FBAA"/>
    <w:rsid w:val="210CA515"/>
    <w:rsid w:val="210D5564"/>
    <w:rsid w:val="211542EA"/>
    <w:rsid w:val="212168BD"/>
    <w:rsid w:val="2129A376"/>
    <w:rsid w:val="2145C75B"/>
    <w:rsid w:val="214C8388"/>
    <w:rsid w:val="214D03AE"/>
    <w:rsid w:val="2150922E"/>
    <w:rsid w:val="215D1D77"/>
    <w:rsid w:val="2163C751"/>
    <w:rsid w:val="21640F71"/>
    <w:rsid w:val="217C6719"/>
    <w:rsid w:val="218D29E2"/>
    <w:rsid w:val="21933BFC"/>
    <w:rsid w:val="21A2E79A"/>
    <w:rsid w:val="21C19B3F"/>
    <w:rsid w:val="21C83B20"/>
    <w:rsid w:val="21D24BB5"/>
    <w:rsid w:val="21E9AD5F"/>
    <w:rsid w:val="21F86018"/>
    <w:rsid w:val="21FFE064"/>
    <w:rsid w:val="22021803"/>
    <w:rsid w:val="2209FDF0"/>
    <w:rsid w:val="2212BDCA"/>
    <w:rsid w:val="221C1206"/>
    <w:rsid w:val="2268B7C5"/>
    <w:rsid w:val="2273B919"/>
    <w:rsid w:val="227E554C"/>
    <w:rsid w:val="227F6FD5"/>
    <w:rsid w:val="22AA4370"/>
    <w:rsid w:val="22B54204"/>
    <w:rsid w:val="22BB9E2D"/>
    <w:rsid w:val="22BE9BFF"/>
    <w:rsid w:val="22BF13C7"/>
    <w:rsid w:val="22C375A9"/>
    <w:rsid w:val="22D33B17"/>
    <w:rsid w:val="22E1E14F"/>
    <w:rsid w:val="22FE791E"/>
    <w:rsid w:val="233FDE2E"/>
    <w:rsid w:val="235EF70E"/>
    <w:rsid w:val="237E37AD"/>
    <w:rsid w:val="239F0282"/>
    <w:rsid w:val="23A904E0"/>
    <w:rsid w:val="23BFFDC1"/>
    <w:rsid w:val="23C3CF8B"/>
    <w:rsid w:val="23D3C4E4"/>
    <w:rsid w:val="23DF9F5B"/>
    <w:rsid w:val="23E2483C"/>
    <w:rsid w:val="23E29A9C"/>
    <w:rsid w:val="23F9B206"/>
    <w:rsid w:val="24045ECC"/>
    <w:rsid w:val="24136BF4"/>
    <w:rsid w:val="242BE0B9"/>
    <w:rsid w:val="244F18E4"/>
    <w:rsid w:val="245F40EC"/>
    <w:rsid w:val="246ACF1A"/>
    <w:rsid w:val="24790C4D"/>
    <w:rsid w:val="24796C51"/>
    <w:rsid w:val="247C979C"/>
    <w:rsid w:val="247F8D8B"/>
    <w:rsid w:val="24819139"/>
    <w:rsid w:val="24965FD2"/>
    <w:rsid w:val="24B987E2"/>
    <w:rsid w:val="2507C73C"/>
    <w:rsid w:val="251E7339"/>
    <w:rsid w:val="252D74D4"/>
    <w:rsid w:val="252E6185"/>
    <w:rsid w:val="253366DC"/>
    <w:rsid w:val="25341006"/>
    <w:rsid w:val="255507A0"/>
    <w:rsid w:val="25577C64"/>
    <w:rsid w:val="255886CB"/>
    <w:rsid w:val="256A63E4"/>
    <w:rsid w:val="256B04AB"/>
    <w:rsid w:val="256B6FA2"/>
    <w:rsid w:val="256FCEC1"/>
    <w:rsid w:val="2574D19C"/>
    <w:rsid w:val="2578DA7B"/>
    <w:rsid w:val="2579AAB0"/>
    <w:rsid w:val="258C791E"/>
    <w:rsid w:val="25988D7F"/>
    <w:rsid w:val="25C05AC9"/>
    <w:rsid w:val="25C5F758"/>
    <w:rsid w:val="25EB9C9F"/>
    <w:rsid w:val="2607ED01"/>
    <w:rsid w:val="26085562"/>
    <w:rsid w:val="260913F3"/>
    <w:rsid w:val="263043EF"/>
    <w:rsid w:val="26339204"/>
    <w:rsid w:val="2659D9E9"/>
    <w:rsid w:val="2678DB6B"/>
    <w:rsid w:val="268DAE00"/>
    <w:rsid w:val="269147AE"/>
    <w:rsid w:val="269C8AA1"/>
    <w:rsid w:val="26D3FE45"/>
    <w:rsid w:val="26EC4B30"/>
    <w:rsid w:val="26F25D72"/>
    <w:rsid w:val="27176DB4"/>
    <w:rsid w:val="271AE38B"/>
    <w:rsid w:val="2759F272"/>
    <w:rsid w:val="276B2BDE"/>
    <w:rsid w:val="278EF1E1"/>
    <w:rsid w:val="27BA0289"/>
    <w:rsid w:val="27C269FA"/>
    <w:rsid w:val="27DC2F21"/>
    <w:rsid w:val="280B1F95"/>
    <w:rsid w:val="2846ED04"/>
    <w:rsid w:val="286460DE"/>
    <w:rsid w:val="287D8317"/>
    <w:rsid w:val="28BED0EC"/>
    <w:rsid w:val="28DB9EE0"/>
    <w:rsid w:val="291C4843"/>
    <w:rsid w:val="29220864"/>
    <w:rsid w:val="29377F0D"/>
    <w:rsid w:val="293BE152"/>
    <w:rsid w:val="293D51CB"/>
    <w:rsid w:val="293D9ADB"/>
    <w:rsid w:val="294D14E8"/>
    <w:rsid w:val="295040FD"/>
    <w:rsid w:val="29713C65"/>
    <w:rsid w:val="2993F9D1"/>
    <w:rsid w:val="2996D80B"/>
    <w:rsid w:val="29AA2281"/>
    <w:rsid w:val="29BB6178"/>
    <w:rsid w:val="29D93589"/>
    <w:rsid w:val="29E988EA"/>
    <w:rsid w:val="29F8D822"/>
    <w:rsid w:val="2A1A9319"/>
    <w:rsid w:val="2A484940"/>
    <w:rsid w:val="2A485806"/>
    <w:rsid w:val="2A5E9C42"/>
    <w:rsid w:val="2A80574E"/>
    <w:rsid w:val="2AAE762E"/>
    <w:rsid w:val="2ACB8BFA"/>
    <w:rsid w:val="2AD3205D"/>
    <w:rsid w:val="2AFBB4F4"/>
    <w:rsid w:val="2B1DD508"/>
    <w:rsid w:val="2B23AD64"/>
    <w:rsid w:val="2B2AF9BE"/>
    <w:rsid w:val="2B5735DE"/>
    <w:rsid w:val="2B598171"/>
    <w:rsid w:val="2B59EA29"/>
    <w:rsid w:val="2B79E630"/>
    <w:rsid w:val="2BA9A3E9"/>
    <w:rsid w:val="2BAEAEAC"/>
    <w:rsid w:val="2BB62D02"/>
    <w:rsid w:val="2BCCEF18"/>
    <w:rsid w:val="2BF3F9E9"/>
    <w:rsid w:val="2C02017D"/>
    <w:rsid w:val="2C0D4074"/>
    <w:rsid w:val="2C1A9B5F"/>
    <w:rsid w:val="2C2EE3E8"/>
    <w:rsid w:val="2C516108"/>
    <w:rsid w:val="2C5B69FF"/>
    <w:rsid w:val="2C6EBC23"/>
    <w:rsid w:val="2C716C0E"/>
    <w:rsid w:val="2C7AD1A9"/>
    <w:rsid w:val="2C8D683D"/>
    <w:rsid w:val="2C8DC0C2"/>
    <w:rsid w:val="2CB3E5B5"/>
    <w:rsid w:val="2CD26AF4"/>
    <w:rsid w:val="2CE1F22D"/>
    <w:rsid w:val="2CE684F6"/>
    <w:rsid w:val="2D12D921"/>
    <w:rsid w:val="2D1DF493"/>
    <w:rsid w:val="2D1E035E"/>
    <w:rsid w:val="2D24B0DA"/>
    <w:rsid w:val="2D41FFB0"/>
    <w:rsid w:val="2D423492"/>
    <w:rsid w:val="2D6E77C8"/>
    <w:rsid w:val="2D792425"/>
    <w:rsid w:val="2DA14309"/>
    <w:rsid w:val="2DAB9BBC"/>
    <w:rsid w:val="2DB888DE"/>
    <w:rsid w:val="2DFCA3CF"/>
    <w:rsid w:val="2DFD74D9"/>
    <w:rsid w:val="2DFF4022"/>
    <w:rsid w:val="2E00ABE4"/>
    <w:rsid w:val="2E0D3C6F"/>
    <w:rsid w:val="2E2354E5"/>
    <w:rsid w:val="2E27DBF6"/>
    <w:rsid w:val="2E2883C2"/>
    <w:rsid w:val="2E3963EA"/>
    <w:rsid w:val="2E5F7DB9"/>
    <w:rsid w:val="2E6CC1AA"/>
    <w:rsid w:val="2E74A128"/>
    <w:rsid w:val="2E80204C"/>
    <w:rsid w:val="2E94E8D0"/>
    <w:rsid w:val="2E9B2FCB"/>
    <w:rsid w:val="2EA8D6BB"/>
    <w:rsid w:val="2EAE3B79"/>
    <w:rsid w:val="2EB2321C"/>
    <w:rsid w:val="2EC571FD"/>
    <w:rsid w:val="2EF7243F"/>
    <w:rsid w:val="2F01EB07"/>
    <w:rsid w:val="2F17CB2D"/>
    <w:rsid w:val="2F3ACD79"/>
    <w:rsid w:val="2F40E865"/>
    <w:rsid w:val="2F5F5E6A"/>
    <w:rsid w:val="2F66BC1E"/>
    <w:rsid w:val="2F7B70D3"/>
    <w:rsid w:val="2F7BEA6A"/>
    <w:rsid w:val="2F8F9653"/>
    <w:rsid w:val="2FA3DAE7"/>
    <w:rsid w:val="2FA4AD26"/>
    <w:rsid w:val="2FB115B3"/>
    <w:rsid w:val="2FBFBE4B"/>
    <w:rsid w:val="2FF4A4D0"/>
    <w:rsid w:val="2FF4BE3A"/>
    <w:rsid w:val="2FF772B2"/>
    <w:rsid w:val="302ABE07"/>
    <w:rsid w:val="302CF294"/>
    <w:rsid w:val="302CF4AF"/>
    <w:rsid w:val="303344DA"/>
    <w:rsid w:val="303A8BF1"/>
    <w:rsid w:val="3047CA09"/>
    <w:rsid w:val="305AF095"/>
    <w:rsid w:val="306ABCCE"/>
    <w:rsid w:val="307475B6"/>
    <w:rsid w:val="3092B906"/>
    <w:rsid w:val="3097E944"/>
    <w:rsid w:val="30B44A87"/>
    <w:rsid w:val="30B91971"/>
    <w:rsid w:val="30E6CCFC"/>
    <w:rsid w:val="30E96422"/>
    <w:rsid w:val="30EB1F53"/>
    <w:rsid w:val="31001509"/>
    <w:rsid w:val="312B66B4"/>
    <w:rsid w:val="31389A88"/>
    <w:rsid w:val="3145FDF6"/>
    <w:rsid w:val="315AD232"/>
    <w:rsid w:val="316E78D3"/>
    <w:rsid w:val="3177AA86"/>
    <w:rsid w:val="318365CA"/>
    <w:rsid w:val="318ABFDC"/>
    <w:rsid w:val="319B2C54"/>
    <w:rsid w:val="31AB3165"/>
    <w:rsid w:val="31B67A19"/>
    <w:rsid w:val="31BB2A1E"/>
    <w:rsid w:val="31C18F9B"/>
    <w:rsid w:val="31C63E0D"/>
    <w:rsid w:val="31D65C52"/>
    <w:rsid w:val="31DCC3C0"/>
    <w:rsid w:val="31E64D09"/>
    <w:rsid w:val="31F853BE"/>
    <w:rsid w:val="322426AC"/>
    <w:rsid w:val="327B1A05"/>
    <w:rsid w:val="3281FF41"/>
    <w:rsid w:val="3289582C"/>
    <w:rsid w:val="32A1F217"/>
    <w:rsid w:val="32A9D54B"/>
    <w:rsid w:val="32AA8970"/>
    <w:rsid w:val="32B8F9B0"/>
    <w:rsid w:val="32BC85E8"/>
    <w:rsid w:val="32F8612A"/>
    <w:rsid w:val="32FCA2CE"/>
    <w:rsid w:val="330AD2D7"/>
    <w:rsid w:val="331858AA"/>
    <w:rsid w:val="332A019F"/>
    <w:rsid w:val="3347E317"/>
    <w:rsid w:val="334B6AF9"/>
    <w:rsid w:val="33B66D69"/>
    <w:rsid w:val="33C45008"/>
    <w:rsid w:val="33CD61DB"/>
    <w:rsid w:val="33D4330B"/>
    <w:rsid w:val="33DA2D51"/>
    <w:rsid w:val="3416EA66"/>
    <w:rsid w:val="34278659"/>
    <w:rsid w:val="345BA81F"/>
    <w:rsid w:val="345CC34F"/>
    <w:rsid w:val="34711D64"/>
    <w:rsid w:val="3482A839"/>
    <w:rsid w:val="348CFB90"/>
    <w:rsid w:val="349A0197"/>
    <w:rsid w:val="34B0D6AC"/>
    <w:rsid w:val="3517DE22"/>
    <w:rsid w:val="351FC5C5"/>
    <w:rsid w:val="353F1D9E"/>
    <w:rsid w:val="3543B7B4"/>
    <w:rsid w:val="35569246"/>
    <w:rsid w:val="355E8E6B"/>
    <w:rsid w:val="35730A2B"/>
    <w:rsid w:val="358BB7C7"/>
    <w:rsid w:val="358DB15F"/>
    <w:rsid w:val="359089F8"/>
    <w:rsid w:val="3592445B"/>
    <w:rsid w:val="35969D80"/>
    <w:rsid w:val="359BE1E9"/>
    <w:rsid w:val="359D9FF5"/>
    <w:rsid w:val="35A926B6"/>
    <w:rsid w:val="35AA9031"/>
    <w:rsid w:val="35B2518E"/>
    <w:rsid w:val="35B60A82"/>
    <w:rsid w:val="35CF20FC"/>
    <w:rsid w:val="35DCB66A"/>
    <w:rsid w:val="35DEF209"/>
    <w:rsid w:val="35E42611"/>
    <w:rsid w:val="35FDAFE8"/>
    <w:rsid w:val="35FF1AA8"/>
    <w:rsid w:val="35FF96A4"/>
    <w:rsid w:val="36277CCD"/>
    <w:rsid w:val="3638825B"/>
    <w:rsid w:val="364CA70D"/>
    <w:rsid w:val="364E499C"/>
    <w:rsid w:val="364F7307"/>
    <w:rsid w:val="3659DC8C"/>
    <w:rsid w:val="365DFABE"/>
    <w:rsid w:val="3664E2B3"/>
    <w:rsid w:val="3666AAC4"/>
    <w:rsid w:val="366AE5BF"/>
    <w:rsid w:val="367AA5DA"/>
    <w:rsid w:val="367EA288"/>
    <w:rsid w:val="36979DAF"/>
    <w:rsid w:val="369EC324"/>
    <w:rsid w:val="36ADAADC"/>
    <w:rsid w:val="36B9DF0C"/>
    <w:rsid w:val="36BEE5B3"/>
    <w:rsid w:val="36C0228A"/>
    <w:rsid w:val="36CA4186"/>
    <w:rsid w:val="36CD5F1A"/>
    <w:rsid w:val="36E7687A"/>
    <w:rsid w:val="36E803CA"/>
    <w:rsid w:val="36F5A159"/>
    <w:rsid w:val="37001754"/>
    <w:rsid w:val="371A57C1"/>
    <w:rsid w:val="3726775B"/>
    <w:rsid w:val="3755508F"/>
    <w:rsid w:val="3763B73A"/>
    <w:rsid w:val="37764052"/>
    <w:rsid w:val="377B486A"/>
    <w:rsid w:val="377F2D30"/>
    <w:rsid w:val="378057EC"/>
    <w:rsid w:val="379348E1"/>
    <w:rsid w:val="37A34046"/>
    <w:rsid w:val="37AAFC0E"/>
    <w:rsid w:val="37BE0436"/>
    <w:rsid w:val="37CF28B8"/>
    <w:rsid w:val="37D68B60"/>
    <w:rsid w:val="37DEF93A"/>
    <w:rsid w:val="37E8776E"/>
    <w:rsid w:val="38514881"/>
    <w:rsid w:val="38636294"/>
    <w:rsid w:val="387C1C07"/>
    <w:rsid w:val="388ED10B"/>
    <w:rsid w:val="38923829"/>
    <w:rsid w:val="38AE38DD"/>
    <w:rsid w:val="38C40B36"/>
    <w:rsid w:val="38DB18C3"/>
    <w:rsid w:val="38E1D4CC"/>
    <w:rsid w:val="38F20863"/>
    <w:rsid w:val="38F47607"/>
    <w:rsid w:val="390EAF73"/>
    <w:rsid w:val="391A2815"/>
    <w:rsid w:val="39294568"/>
    <w:rsid w:val="392F1942"/>
    <w:rsid w:val="39438B91"/>
    <w:rsid w:val="3945B0C0"/>
    <w:rsid w:val="394C5467"/>
    <w:rsid w:val="3969FDD4"/>
    <w:rsid w:val="396D7FB0"/>
    <w:rsid w:val="3990DB51"/>
    <w:rsid w:val="39970012"/>
    <w:rsid w:val="399E20E3"/>
    <w:rsid w:val="39B11CC4"/>
    <w:rsid w:val="39B1AC56"/>
    <w:rsid w:val="39B5DEA5"/>
    <w:rsid w:val="39BFE624"/>
    <w:rsid w:val="39CB7249"/>
    <w:rsid w:val="39D07607"/>
    <w:rsid w:val="39D24547"/>
    <w:rsid w:val="39EAF6D7"/>
    <w:rsid w:val="39F21705"/>
    <w:rsid w:val="3A0EBF63"/>
    <w:rsid w:val="3A1023DF"/>
    <w:rsid w:val="3A162A93"/>
    <w:rsid w:val="3A20181C"/>
    <w:rsid w:val="3A30E868"/>
    <w:rsid w:val="3A35FCB6"/>
    <w:rsid w:val="3A3E5623"/>
    <w:rsid w:val="3A442B4F"/>
    <w:rsid w:val="3A4FD02C"/>
    <w:rsid w:val="3A533C99"/>
    <w:rsid w:val="3A5EC564"/>
    <w:rsid w:val="3A6E6E0E"/>
    <w:rsid w:val="3A6FD717"/>
    <w:rsid w:val="3A87966B"/>
    <w:rsid w:val="3A8B17CA"/>
    <w:rsid w:val="3AB6ACEE"/>
    <w:rsid w:val="3AC3F0E9"/>
    <w:rsid w:val="3AE0DD94"/>
    <w:rsid w:val="3AE51D92"/>
    <w:rsid w:val="3AFEFA45"/>
    <w:rsid w:val="3AFFC8D5"/>
    <w:rsid w:val="3B03F273"/>
    <w:rsid w:val="3B0CFC26"/>
    <w:rsid w:val="3B1910F7"/>
    <w:rsid w:val="3B2C02C2"/>
    <w:rsid w:val="3B5DA929"/>
    <w:rsid w:val="3B663F99"/>
    <w:rsid w:val="3B71AED1"/>
    <w:rsid w:val="3B7225C7"/>
    <w:rsid w:val="3B7A40D3"/>
    <w:rsid w:val="3B7C1BD5"/>
    <w:rsid w:val="3BA6E79E"/>
    <w:rsid w:val="3BCCB244"/>
    <w:rsid w:val="3BD0A9A1"/>
    <w:rsid w:val="3BF476AD"/>
    <w:rsid w:val="3BFE0217"/>
    <w:rsid w:val="3C002824"/>
    <w:rsid w:val="3C0657BF"/>
    <w:rsid w:val="3C10C174"/>
    <w:rsid w:val="3C3DAA05"/>
    <w:rsid w:val="3C417547"/>
    <w:rsid w:val="3C44EA56"/>
    <w:rsid w:val="3C5F557C"/>
    <w:rsid w:val="3C66BA04"/>
    <w:rsid w:val="3C6E195B"/>
    <w:rsid w:val="3C6FB51A"/>
    <w:rsid w:val="3C727979"/>
    <w:rsid w:val="3C7A6640"/>
    <w:rsid w:val="3C80EF7D"/>
    <w:rsid w:val="3C8F99FA"/>
    <w:rsid w:val="3C9E2B78"/>
    <w:rsid w:val="3CA87CE4"/>
    <w:rsid w:val="3CB12F34"/>
    <w:rsid w:val="3CC85DFA"/>
    <w:rsid w:val="3CCF6661"/>
    <w:rsid w:val="3CE0BFB6"/>
    <w:rsid w:val="3CF2C43E"/>
    <w:rsid w:val="3CFC219B"/>
    <w:rsid w:val="3D1199C4"/>
    <w:rsid w:val="3D48B3F1"/>
    <w:rsid w:val="3D565659"/>
    <w:rsid w:val="3D7070E8"/>
    <w:rsid w:val="3D8CC4D3"/>
    <w:rsid w:val="3DD8DB4F"/>
    <w:rsid w:val="3DF01F8E"/>
    <w:rsid w:val="3E01394A"/>
    <w:rsid w:val="3E204878"/>
    <w:rsid w:val="3E3D6EF7"/>
    <w:rsid w:val="3E6B36C2"/>
    <w:rsid w:val="3E867DDA"/>
    <w:rsid w:val="3E8D932D"/>
    <w:rsid w:val="3EA0BC53"/>
    <w:rsid w:val="3EA5600C"/>
    <w:rsid w:val="3EB182CB"/>
    <w:rsid w:val="3EB4EE02"/>
    <w:rsid w:val="3ECA5FD6"/>
    <w:rsid w:val="3ECB5BF5"/>
    <w:rsid w:val="3ED97A92"/>
    <w:rsid w:val="3EDC96CC"/>
    <w:rsid w:val="3EE48452"/>
    <w:rsid w:val="3F0ABFA7"/>
    <w:rsid w:val="3F1C1876"/>
    <w:rsid w:val="3F384457"/>
    <w:rsid w:val="3F486236"/>
    <w:rsid w:val="3F63B78B"/>
    <w:rsid w:val="3F77DF4E"/>
    <w:rsid w:val="3F806B61"/>
    <w:rsid w:val="3F812D90"/>
    <w:rsid w:val="3F82EF68"/>
    <w:rsid w:val="3F8C9A6F"/>
    <w:rsid w:val="3F8CC177"/>
    <w:rsid w:val="3FA3BBD1"/>
    <w:rsid w:val="3FAF2EA7"/>
    <w:rsid w:val="3FC72968"/>
    <w:rsid w:val="3FCF16EE"/>
    <w:rsid w:val="3FE275B8"/>
    <w:rsid w:val="3FE3038B"/>
    <w:rsid w:val="3FE7111E"/>
    <w:rsid w:val="3FEDB190"/>
    <w:rsid w:val="400A93FD"/>
    <w:rsid w:val="400DF25C"/>
    <w:rsid w:val="402F6AE6"/>
    <w:rsid w:val="4038CA63"/>
    <w:rsid w:val="403AF33C"/>
    <w:rsid w:val="40498CEF"/>
    <w:rsid w:val="4051F08A"/>
    <w:rsid w:val="4061E805"/>
    <w:rsid w:val="4062C4E2"/>
    <w:rsid w:val="40875449"/>
    <w:rsid w:val="409AB860"/>
    <w:rsid w:val="409B6A70"/>
    <w:rsid w:val="40A83010"/>
    <w:rsid w:val="40B008A3"/>
    <w:rsid w:val="40B79649"/>
    <w:rsid w:val="40B9D1D8"/>
    <w:rsid w:val="40C0129E"/>
    <w:rsid w:val="40D414B8"/>
    <w:rsid w:val="40D5BD1B"/>
    <w:rsid w:val="40E189B5"/>
    <w:rsid w:val="40E78252"/>
    <w:rsid w:val="40F41583"/>
    <w:rsid w:val="4107F5B0"/>
    <w:rsid w:val="4111E6DC"/>
    <w:rsid w:val="411C3BC2"/>
    <w:rsid w:val="413BA28F"/>
    <w:rsid w:val="414472AE"/>
    <w:rsid w:val="414F32F7"/>
    <w:rsid w:val="415C9EBA"/>
    <w:rsid w:val="416A9B9F"/>
    <w:rsid w:val="41765C1B"/>
    <w:rsid w:val="41A018F4"/>
    <w:rsid w:val="41AB7C21"/>
    <w:rsid w:val="41ACECAB"/>
    <w:rsid w:val="41AD8887"/>
    <w:rsid w:val="41CB9026"/>
    <w:rsid w:val="41DE1AFA"/>
    <w:rsid w:val="41E34B46"/>
    <w:rsid w:val="42009458"/>
    <w:rsid w:val="421FAF25"/>
    <w:rsid w:val="422C61B1"/>
    <w:rsid w:val="4239C15A"/>
    <w:rsid w:val="4245BFCF"/>
    <w:rsid w:val="426C947B"/>
    <w:rsid w:val="42747C08"/>
    <w:rsid w:val="428C4AC3"/>
    <w:rsid w:val="42A368DB"/>
    <w:rsid w:val="42A3C611"/>
    <w:rsid w:val="42C71AB2"/>
    <w:rsid w:val="42DC32F0"/>
    <w:rsid w:val="42E131B2"/>
    <w:rsid w:val="42E60A3D"/>
    <w:rsid w:val="42F2E527"/>
    <w:rsid w:val="4302E57A"/>
    <w:rsid w:val="431693D5"/>
    <w:rsid w:val="4317AC61"/>
    <w:rsid w:val="431A3386"/>
    <w:rsid w:val="43267F3A"/>
    <w:rsid w:val="433ED6AD"/>
    <w:rsid w:val="434018F5"/>
    <w:rsid w:val="434EECDA"/>
    <w:rsid w:val="4350002E"/>
    <w:rsid w:val="43530F25"/>
    <w:rsid w:val="436699ED"/>
    <w:rsid w:val="4374FD2F"/>
    <w:rsid w:val="438719D9"/>
    <w:rsid w:val="439D68BB"/>
    <w:rsid w:val="43A35161"/>
    <w:rsid w:val="43B57482"/>
    <w:rsid w:val="43B728B6"/>
    <w:rsid w:val="43BD4DE3"/>
    <w:rsid w:val="43D1A595"/>
    <w:rsid w:val="43DFE53D"/>
    <w:rsid w:val="43E87288"/>
    <w:rsid w:val="43F38DFB"/>
    <w:rsid w:val="4462EB13"/>
    <w:rsid w:val="44706D0E"/>
    <w:rsid w:val="4470D62F"/>
    <w:rsid w:val="44933882"/>
    <w:rsid w:val="44A339FF"/>
    <w:rsid w:val="44AC93ED"/>
    <w:rsid w:val="44AD6565"/>
    <w:rsid w:val="44B47079"/>
    <w:rsid w:val="44D9E3DF"/>
    <w:rsid w:val="44DEC7F0"/>
    <w:rsid w:val="44E06ABE"/>
    <w:rsid w:val="44E5EC72"/>
    <w:rsid w:val="44F98BD4"/>
    <w:rsid w:val="4516E95D"/>
    <w:rsid w:val="4529AA19"/>
    <w:rsid w:val="4541C75A"/>
    <w:rsid w:val="454E9CED"/>
    <w:rsid w:val="456718FF"/>
    <w:rsid w:val="456E5943"/>
    <w:rsid w:val="45795995"/>
    <w:rsid w:val="457C4618"/>
    <w:rsid w:val="4599C735"/>
    <w:rsid w:val="45A99E81"/>
    <w:rsid w:val="45C7F13D"/>
    <w:rsid w:val="45CA4912"/>
    <w:rsid w:val="45D9876F"/>
    <w:rsid w:val="45E2A8FB"/>
    <w:rsid w:val="45EF529D"/>
    <w:rsid w:val="45FAB68E"/>
    <w:rsid w:val="45FE5DA8"/>
    <w:rsid w:val="462F3980"/>
    <w:rsid w:val="463CB85E"/>
    <w:rsid w:val="464D74C3"/>
    <w:rsid w:val="464DAA06"/>
    <w:rsid w:val="4663D2A4"/>
    <w:rsid w:val="467B9DF5"/>
    <w:rsid w:val="469C7EA9"/>
    <w:rsid w:val="469CAC0D"/>
    <w:rsid w:val="46B49575"/>
    <w:rsid w:val="46CE68F2"/>
    <w:rsid w:val="46D66DDA"/>
    <w:rsid w:val="46DE4E38"/>
    <w:rsid w:val="4709DF66"/>
    <w:rsid w:val="4711F374"/>
    <w:rsid w:val="474952EB"/>
    <w:rsid w:val="474F97A3"/>
    <w:rsid w:val="476471E2"/>
    <w:rsid w:val="476FEC33"/>
    <w:rsid w:val="4777B8AE"/>
    <w:rsid w:val="47A60A31"/>
    <w:rsid w:val="47B4A7FE"/>
    <w:rsid w:val="47CF2153"/>
    <w:rsid w:val="47D4542C"/>
    <w:rsid w:val="47DAB878"/>
    <w:rsid w:val="47DD03F1"/>
    <w:rsid w:val="4819CA39"/>
    <w:rsid w:val="482CA828"/>
    <w:rsid w:val="484A783B"/>
    <w:rsid w:val="484B06A0"/>
    <w:rsid w:val="488381C1"/>
    <w:rsid w:val="488E9F5F"/>
    <w:rsid w:val="4893E003"/>
    <w:rsid w:val="48A4DD15"/>
    <w:rsid w:val="48B9EA77"/>
    <w:rsid w:val="48C87235"/>
    <w:rsid w:val="48DF265A"/>
    <w:rsid w:val="48E5DBEE"/>
    <w:rsid w:val="48ED4447"/>
    <w:rsid w:val="48FE6C87"/>
    <w:rsid w:val="49046250"/>
    <w:rsid w:val="490803A0"/>
    <w:rsid w:val="490DB8C5"/>
    <w:rsid w:val="4911D16D"/>
    <w:rsid w:val="4914B7FB"/>
    <w:rsid w:val="491DD1BB"/>
    <w:rsid w:val="491E1F58"/>
    <w:rsid w:val="49218F7F"/>
    <w:rsid w:val="493A739C"/>
    <w:rsid w:val="493E3779"/>
    <w:rsid w:val="49487484"/>
    <w:rsid w:val="494F579D"/>
    <w:rsid w:val="496CF198"/>
    <w:rsid w:val="4992C888"/>
    <w:rsid w:val="49A6E682"/>
    <w:rsid w:val="49AE9078"/>
    <w:rsid w:val="49B9194F"/>
    <w:rsid w:val="49E57F95"/>
    <w:rsid w:val="49F2E514"/>
    <w:rsid w:val="49FCD7CE"/>
    <w:rsid w:val="49FE5CC4"/>
    <w:rsid w:val="49FEDDB5"/>
    <w:rsid w:val="4A1012C1"/>
    <w:rsid w:val="4A12790B"/>
    <w:rsid w:val="4A251FC1"/>
    <w:rsid w:val="4A4DC936"/>
    <w:rsid w:val="4A501BD8"/>
    <w:rsid w:val="4A581FDA"/>
    <w:rsid w:val="4A78D3A3"/>
    <w:rsid w:val="4A7AF6FE"/>
    <w:rsid w:val="4A8ED3BB"/>
    <w:rsid w:val="4AC49555"/>
    <w:rsid w:val="4AC82080"/>
    <w:rsid w:val="4ACEED16"/>
    <w:rsid w:val="4ADE89F0"/>
    <w:rsid w:val="4ADEE1BF"/>
    <w:rsid w:val="4AE9060A"/>
    <w:rsid w:val="4AF0A490"/>
    <w:rsid w:val="4AFEEEE4"/>
    <w:rsid w:val="4B053E25"/>
    <w:rsid w:val="4B177C19"/>
    <w:rsid w:val="4B1F495F"/>
    <w:rsid w:val="4B2AF1CE"/>
    <w:rsid w:val="4B2CA4E7"/>
    <w:rsid w:val="4B564BBB"/>
    <w:rsid w:val="4B5C16DE"/>
    <w:rsid w:val="4B7063F8"/>
    <w:rsid w:val="4B73C53B"/>
    <w:rsid w:val="4B75280F"/>
    <w:rsid w:val="4B85D78F"/>
    <w:rsid w:val="4B8ED2C6"/>
    <w:rsid w:val="4B9D3FBA"/>
    <w:rsid w:val="4B9E8DC0"/>
    <w:rsid w:val="4BB47175"/>
    <w:rsid w:val="4BC72C75"/>
    <w:rsid w:val="4BC9F941"/>
    <w:rsid w:val="4BCB8C41"/>
    <w:rsid w:val="4BDFEFF9"/>
    <w:rsid w:val="4BE3C0CF"/>
    <w:rsid w:val="4BEB755F"/>
    <w:rsid w:val="4BFBED76"/>
    <w:rsid w:val="4C04C345"/>
    <w:rsid w:val="4C103F42"/>
    <w:rsid w:val="4C14A404"/>
    <w:rsid w:val="4C16C71C"/>
    <w:rsid w:val="4C42D20B"/>
    <w:rsid w:val="4C4DD5EC"/>
    <w:rsid w:val="4C6065B6"/>
    <w:rsid w:val="4C61F49E"/>
    <w:rsid w:val="4C781F9F"/>
    <w:rsid w:val="4C8142E7"/>
    <w:rsid w:val="4C8DF617"/>
    <w:rsid w:val="4C9ABF45"/>
    <w:rsid w:val="4CEB6B5B"/>
    <w:rsid w:val="4D07063A"/>
    <w:rsid w:val="4D07515C"/>
    <w:rsid w:val="4D0D52CF"/>
    <w:rsid w:val="4D236E83"/>
    <w:rsid w:val="4D2CA06C"/>
    <w:rsid w:val="4D31C719"/>
    <w:rsid w:val="4D3420C9"/>
    <w:rsid w:val="4D3CA93A"/>
    <w:rsid w:val="4D3E19FE"/>
    <w:rsid w:val="4D5128B9"/>
    <w:rsid w:val="4D95B3E7"/>
    <w:rsid w:val="4D97BDD7"/>
    <w:rsid w:val="4DB5983A"/>
    <w:rsid w:val="4DBAB6D9"/>
    <w:rsid w:val="4DCA8C9E"/>
    <w:rsid w:val="4DE64F0F"/>
    <w:rsid w:val="4DE9792B"/>
    <w:rsid w:val="4E161C8B"/>
    <w:rsid w:val="4E168281"/>
    <w:rsid w:val="4E3209F3"/>
    <w:rsid w:val="4E44921C"/>
    <w:rsid w:val="4E47D6B8"/>
    <w:rsid w:val="4E534F1F"/>
    <w:rsid w:val="4E666BEB"/>
    <w:rsid w:val="4E6867E3"/>
    <w:rsid w:val="4E6E35E9"/>
    <w:rsid w:val="4E6FED10"/>
    <w:rsid w:val="4E76ADE0"/>
    <w:rsid w:val="4E870D49"/>
    <w:rsid w:val="4E8976DA"/>
    <w:rsid w:val="4E8E4155"/>
    <w:rsid w:val="4E91D4B8"/>
    <w:rsid w:val="4E944385"/>
    <w:rsid w:val="4EBA4104"/>
    <w:rsid w:val="4EE38FBD"/>
    <w:rsid w:val="4EF0BE7E"/>
    <w:rsid w:val="4F0C1E9E"/>
    <w:rsid w:val="4F0CF08F"/>
    <w:rsid w:val="4F159D27"/>
    <w:rsid w:val="4F240D19"/>
    <w:rsid w:val="4F2B85B7"/>
    <w:rsid w:val="4F2E01D2"/>
    <w:rsid w:val="4F318448"/>
    <w:rsid w:val="4F344CAB"/>
    <w:rsid w:val="4F4E7CA8"/>
    <w:rsid w:val="4F4FBE0F"/>
    <w:rsid w:val="4F53B2C3"/>
    <w:rsid w:val="4F698EA1"/>
    <w:rsid w:val="4F7E357A"/>
    <w:rsid w:val="4F80231D"/>
    <w:rsid w:val="4F8AB185"/>
    <w:rsid w:val="4F8C08FD"/>
    <w:rsid w:val="4F9A4F39"/>
    <w:rsid w:val="4FA76C7E"/>
    <w:rsid w:val="4FB252E2"/>
    <w:rsid w:val="4FC15422"/>
    <w:rsid w:val="4FC40A69"/>
    <w:rsid w:val="4FD70973"/>
    <w:rsid w:val="4FE0BC0D"/>
    <w:rsid w:val="4FF62D28"/>
    <w:rsid w:val="50018329"/>
    <w:rsid w:val="501A2AFD"/>
    <w:rsid w:val="5022AED4"/>
    <w:rsid w:val="502E721B"/>
    <w:rsid w:val="503D23BC"/>
    <w:rsid w:val="5040ABE4"/>
    <w:rsid w:val="5042FE07"/>
    <w:rsid w:val="504A5B6D"/>
    <w:rsid w:val="505EA5AA"/>
    <w:rsid w:val="506B9197"/>
    <w:rsid w:val="508C4923"/>
    <w:rsid w:val="509E845F"/>
    <w:rsid w:val="509F7B88"/>
    <w:rsid w:val="50A01BB0"/>
    <w:rsid w:val="50AAAC64"/>
    <w:rsid w:val="50C33E48"/>
    <w:rsid w:val="50CDDAFD"/>
    <w:rsid w:val="510B9661"/>
    <w:rsid w:val="51391E64"/>
    <w:rsid w:val="514B11B7"/>
    <w:rsid w:val="514C8D42"/>
    <w:rsid w:val="514E2343"/>
    <w:rsid w:val="51560AF9"/>
    <w:rsid w:val="51594993"/>
    <w:rsid w:val="517EF72B"/>
    <w:rsid w:val="518747C3"/>
    <w:rsid w:val="518DF2DD"/>
    <w:rsid w:val="5197F982"/>
    <w:rsid w:val="519D538A"/>
    <w:rsid w:val="51D4F0F7"/>
    <w:rsid w:val="51DACF8B"/>
    <w:rsid w:val="51E29264"/>
    <w:rsid w:val="51E40B48"/>
    <w:rsid w:val="51F4683C"/>
    <w:rsid w:val="51F560A1"/>
    <w:rsid w:val="52140922"/>
    <w:rsid w:val="521E8E71"/>
    <w:rsid w:val="52273811"/>
    <w:rsid w:val="522BA643"/>
    <w:rsid w:val="522C4376"/>
    <w:rsid w:val="52350EC1"/>
    <w:rsid w:val="5241B216"/>
    <w:rsid w:val="525A1218"/>
    <w:rsid w:val="5262C1D2"/>
    <w:rsid w:val="5273BC8C"/>
    <w:rsid w:val="52801814"/>
    <w:rsid w:val="528ED78B"/>
    <w:rsid w:val="528FAF7D"/>
    <w:rsid w:val="528FDD8F"/>
    <w:rsid w:val="529395E4"/>
    <w:rsid w:val="52A04923"/>
    <w:rsid w:val="52B67ED1"/>
    <w:rsid w:val="52CE62D4"/>
    <w:rsid w:val="52D1EFFB"/>
    <w:rsid w:val="52D3E058"/>
    <w:rsid w:val="52EC4CB0"/>
    <w:rsid w:val="52FDB28D"/>
    <w:rsid w:val="52FE9814"/>
    <w:rsid w:val="53044A95"/>
    <w:rsid w:val="533D4887"/>
    <w:rsid w:val="53629586"/>
    <w:rsid w:val="536CA888"/>
    <w:rsid w:val="5370C158"/>
    <w:rsid w:val="53851CF8"/>
    <w:rsid w:val="538E2813"/>
    <w:rsid w:val="53A2F900"/>
    <w:rsid w:val="53E3B962"/>
    <w:rsid w:val="53EA2A2D"/>
    <w:rsid w:val="53F8B8E1"/>
    <w:rsid w:val="53FC5A05"/>
    <w:rsid w:val="5408B0E7"/>
    <w:rsid w:val="540C532D"/>
    <w:rsid w:val="540C8C82"/>
    <w:rsid w:val="540D4676"/>
    <w:rsid w:val="5414DF49"/>
    <w:rsid w:val="54291DF4"/>
    <w:rsid w:val="542F6645"/>
    <w:rsid w:val="54492067"/>
    <w:rsid w:val="544FA239"/>
    <w:rsid w:val="5454A4F6"/>
    <w:rsid w:val="54594F73"/>
    <w:rsid w:val="5461BB3F"/>
    <w:rsid w:val="54631C33"/>
    <w:rsid w:val="547D458C"/>
    <w:rsid w:val="548106FB"/>
    <w:rsid w:val="5484C291"/>
    <w:rsid w:val="54AA16CF"/>
    <w:rsid w:val="54ABCD01"/>
    <w:rsid w:val="54ADFC86"/>
    <w:rsid w:val="54B7B8C2"/>
    <w:rsid w:val="54CAC1CB"/>
    <w:rsid w:val="54DB0452"/>
    <w:rsid w:val="54E09F7D"/>
    <w:rsid w:val="54FA72A8"/>
    <w:rsid w:val="551590E7"/>
    <w:rsid w:val="55196401"/>
    <w:rsid w:val="5526F71D"/>
    <w:rsid w:val="5542C0DF"/>
    <w:rsid w:val="55466122"/>
    <w:rsid w:val="5558AEC9"/>
    <w:rsid w:val="5563EFB5"/>
    <w:rsid w:val="5566E695"/>
    <w:rsid w:val="556E1474"/>
    <w:rsid w:val="5594EB34"/>
    <w:rsid w:val="55B29064"/>
    <w:rsid w:val="55B7B8EF"/>
    <w:rsid w:val="55BAA4B6"/>
    <w:rsid w:val="55BBE37D"/>
    <w:rsid w:val="55E54B54"/>
    <w:rsid w:val="55F13674"/>
    <w:rsid w:val="55F4E6C3"/>
    <w:rsid w:val="56014101"/>
    <w:rsid w:val="562065B6"/>
    <w:rsid w:val="5654C0D3"/>
    <w:rsid w:val="56638F9D"/>
    <w:rsid w:val="5672AD11"/>
    <w:rsid w:val="5677330A"/>
    <w:rsid w:val="569747A5"/>
    <w:rsid w:val="56A49819"/>
    <w:rsid w:val="56B14821"/>
    <w:rsid w:val="56B16148"/>
    <w:rsid w:val="56B67510"/>
    <w:rsid w:val="56C4A185"/>
    <w:rsid w:val="56CED193"/>
    <w:rsid w:val="56D34211"/>
    <w:rsid w:val="56DEF0D6"/>
    <w:rsid w:val="56E59BF9"/>
    <w:rsid w:val="56F726F9"/>
    <w:rsid w:val="56FD49C2"/>
    <w:rsid w:val="56FDA78F"/>
    <w:rsid w:val="56FF3438"/>
    <w:rsid w:val="57020B79"/>
    <w:rsid w:val="5724C40F"/>
    <w:rsid w:val="5735E5D2"/>
    <w:rsid w:val="57381E9C"/>
    <w:rsid w:val="5741F350"/>
    <w:rsid w:val="574AE93F"/>
    <w:rsid w:val="579893E8"/>
    <w:rsid w:val="579F4AA3"/>
    <w:rsid w:val="57A8524C"/>
    <w:rsid w:val="57B0C1E9"/>
    <w:rsid w:val="57B9103E"/>
    <w:rsid w:val="57BE833E"/>
    <w:rsid w:val="57D2A595"/>
    <w:rsid w:val="58041D8F"/>
    <w:rsid w:val="5818E567"/>
    <w:rsid w:val="582B5009"/>
    <w:rsid w:val="58341459"/>
    <w:rsid w:val="583507B6"/>
    <w:rsid w:val="58462A8C"/>
    <w:rsid w:val="5847F405"/>
    <w:rsid w:val="584AED66"/>
    <w:rsid w:val="585D8D77"/>
    <w:rsid w:val="58640827"/>
    <w:rsid w:val="588CD018"/>
    <w:rsid w:val="58904F8B"/>
    <w:rsid w:val="58BBAA58"/>
    <w:rsid w:val="5902D768"/>
    <w:rsid w:val="590D886B"/>
    <w:rsid w:val="592CCFC0"/>
    <w:rsid w:val="593F3B16"/>
    <w:rsid w:val="59462F5C"/>
    <w:rsid w:val="59505D67"/>
    <w:rsid w:val="595519A8"/>
    <w:rsid w:val="59588105"/>
    <w:rsid w:val="5971989D"/>
    <w:rsid w:val="5990F9CE"/>
    <w:rsid w:val="59B86D9C"/>
    <w:rsid w:val="59C9A055"/>
    <w:rsid w:val="59E002DC"/>
    <w:rsid w:val="59E22CF5"/>
    <w:rsid w:val="59E46E38"/>
    <w:rsid w:val="59FC11FB"/>
    <w:rsid w:val="5A2530B9"/>
    <w:rsid w:val="5A33DC06"/>
    <w:rsid w:val="5A35F6F3"/>
    <w:rsid w:val="5A40C51C"/>
    <w:rsid w:val="5A5EAD6A"/>
    <w:rsid w:val="5A6BFD32"/>
    <w:rsid w:val="5A91F5E1"/>
    <w:rsid w:val="5A921055"/>
    <w:rsid w:val="5ADC2F43"/>
    <w:rsid w:val="5AF54472"/>
    <w:rsid w:val="5AFCEACC"/>
    <w:rsid w:val="5B0C5FC9"/>
    <w:rsid w:val="5B194584"/>
    <w:rsid w:val="5B3BBEAE"/>
    <w:rsid w:val="5B3E46F2"/>
    <w:rsid w:val="5B60042F"/>
    <w:rsid w:val="5B84120B"/>
    <w:rsid w:val="5B8F3D09"/>
    <w:rsid w:val="5B9CE4F6"/>
    <w:rsid w:val="5B9FB9C7"/>
    <w:rsid w:val="5BA04282"/>
    <w:rsid w:val="5BC002C7"/>
    <w:rsid w:val="5BC7AF96"/>
    <w:rsid w:val="5BCBCBED"/>
    <w:rsid w:val="5BCC057C"/>
    <w:rsid w:val="5BF7D1C9"/>
    <w:rsid w:val="5C00E65C"/>
    <w:rsid w:val="5C0C261D"/>
    <w:rsid w:val="5C0C6642"/>
    <w:rsid w:val="5C0FCADA"/>
    <w:rsid w:val="5C2BC5D2"/>
    <w:rsid w:val="5C2E502B"/>
    <w:rsid w:val="5C4281D0"/>
    <w:rsid w:val="5C72F083"/>
    <w:rsid w:val="5C9DF276"/>
    <w:rsid w:val="5CA6D80E"/>
    <w:rsid w:val="5CBC3F25"/>
    <w:rsid w:val="5CC58EC0"/>
    <w:rsid w:val="5CC772C6"/>
    <w:rsid w:val="5CD0C2B6"/>
    <w:rsid w:val="5CD15DE4"/>
    <w:rsid w:val="5CD34C8F"/>
    <w:rsid w:val="5CDA1753"/>
    <w:rsid w:val="5D076BA4"/>
    <w:rsid w:val="5D09AB67"/>
    <w:rsid w:val="5D11C2EC"/>
    <w:rsid w:val="5D1802B1"/>
    <w:rsid w:val="5D315512"/>
    <w:rsid w:val="5D3AE679"/>
    <w:rsid w:val="5D42E167"/>
    <w:rsid w:val="5D5746C9"/>
    <w:rsid w:val="5D67D5DD"/>
    <w:rsid w:val="5D726D08"/>
    <w:rsid w:val="5D8A529C"/>
    <w:rsid w:val="5D983559"/>
    <w:rsid w:val="5DA3DB1C"/>
    <w:rsid w:val="5DBC49C9"/>
    <w:rsid w:val="5DC74C96"/>
    <w:rsid w:val="5DE8D7D1"/>
    <w:rsid w:val="5E03790B"/>
    <w:rsid w:val="5E044625"/>
    <w:rsid w:val="5E346298"/>
    <w:rsid w:val="5E350961"/>
    <w:rsid w:val="5E48165D"/>
    <w:rsid w:val="5E5AA9ED"/>
    <w:rsid w:val="5E60A2F6"/>
    <w:rsid w:val="5E7979E6"/>
    <w:rsid w:val="5EA4FB50"/>
    <w:rsid w:val="5EB7813B"/>
    <w:rsid w:val="5EC51928"/>
    <w:rsid w:val="5EF04432"/>
    <w:rsid w:val="5EF18F18"/>
    <w:rsid w:val="5EF2EC09"/>
    <w:rsid w:val="5EF3667C"/>
    <w:rsid w:val="5EF961A5"/>
    <w:rsid w:val="5F03B241"/>
    <w:rsid w:val="5F1CD71B"/>
    <w:rsid w:val="5F27F4D2"/>
    <w:rsid w:val="5F33AAF6"/>
    <w:rsid w:val="5F35FC34"/>
    <w:rsid w:val="5F47AF33"/>
    <w:rsid w:val="5F4CAF0E"/>
    <w:rsid w:val="5F66815A"/>
    <w:rsid w:val="5F78874E"/>
    <w:rsid w:val="5F9435B3"/>
    <w:rsid w:val="5F97F257"/>
    <w:rsid w:val="5F9CED50"/>
    <w:rsid w:val="5F9D1242"/>
    <w:rsid w:val="5FB06204"/>
    <w:rsid w:val="5FBBE812"/>
    <w:rsid w:val="5FC19A1E"/>
    <w:rsid w:val="5FC34669"/>
    <w:rsid w:val="5FD4FF28"/>
    <w:rsid w:val="5FDDB77A"/>
    <w:rsid w:val="5FF622F8"/>
    <w:rsid w:val="6006F2FF"/>
    <w:rsid w:val="603902FA"/>
    <w:rsid w:val="605B8096"/>
    <w:rsid w:val="60636E10"/>
    <w:rsid w:val="60637F54"/>
    <w:rsid w:val="60708664"/>
    <w:rsid w:val="6072873B"/>
    <w:rsid w:val="60995440"/>
    <w:rsid w:val="60A44736"/>
    <w:rsid w:val="60B8A77C"/>
    <w:rsid w:val="60DBDE3E"/>
    <w:rsid w:val="60DEAB0A"/>
    <w:rsid w:val="60EBFEED"/>
    <w:rsid w:val="60EE9961"/>
    <w:rsid w:val="60EECAA1"/>
    <w:rsid w:val="60FF71F3"/>
    <w:rsid w:val="61133E9B"/>
    <w:rsid w:val="612569F7"/>
    <w:rsid w:val="61384F77"/>
    <w:rsid w:val="614D6B7D"/>
    <w:rsid w:val="6155E746"/>
    <w:rsid w:val="61600C89"/>
    <w:rsid w:val="61630995"/>
    <w:rsid w:val="616C3493"/>
    <w:rsid w:val="617CE7F8"/>
    <w:rsid w:val="617F129B"/>
    <w:rsid w:val="61810BEE"/>
    <w:rsid w:val="61993A68"/>
    <w:rsid w:val="61A7D01F"/>
    <w:rsid w:val="61AD769D"/>
    <w:rsid w:val="61ADC91A"/>
    <w:rsid w:val="61BEABFD"/>
    <w:rsid w:val="61CEF72B"/>
    <w:rsid w:val="61D91BF7"/>
    <w:rsid w:val="61E8AF28"/>
    <w:rsid w:val="61EE1795"/>
    <w:rsid w:val="61F2F8BB"/>
    <w:rsid w:val="61F6F283"/>
    <w:rsid w:val="61FC1288"/>
    <w:rsid w:val="6205EF41"/>
    <w:rsid w:val="621E7BF3"/>
    <w:rsid w:val="6223608F"/>
    <w:rsid w:val="6252E446"/>
    <w:rsid w:val="625D2A4B"/>
    <w:rsid w:val="62689486"/>
    <w:rsid w:val="6275086D"/>
    <w:rsid w:val="62877FCD"/>
    <w:rsid w:val="628C9AE3"/>
    <w:rsid w:val="6290148B"/>
    <w:rsid w:val="629B4026"/>
    <w:rsid w:val="62BA770C"/>
    <w:rsid w:val="62E36A6F"/>
    <w:rsid w:val="62F45036"/>
    <w:rsid w:val="63013A39"/>
    <w:rsid w:val="63349672"/>
    <w:rsid w:val="6365F711"/>
    <w:rsid w:val="63688460"/>
    <w:rsid w:val="6376C700"/>
    <w:rsid w:val="63773F31"/>
    <w:rsid w:val="637CC036"/>
    <w:rsid w:val="638666ED"/>
    <w:rsid w:val="6388AE54"/>
    <w:rsid w:val="6388FA57"/>
    <w:rsid w:val="63917FDE"/>
    <w:rsid w:val="63AAA8EE"/>
    <w:rsid w:val="63BD5B5C"/>
    <w:rsid w:val="63D039BF"/>
    <w:rsid w:val="63D72364"/>
    <w:rsid w:val="63DBDE4A"/>
    <w:rsid w:val="63DC5C5B"/>
    <w:rsid w:val="63E3F8AF"/>
    <w:rsid w:val="63F0483E"/>
    <w:rsid w:val="64135743"/>
    <w:rsid w:val="6419B6CD"/>
    <w:rsid w:val="642833BF"/>
    <w:rsid w:val="646433DE"/>
    <w:rsid w:val="6489B7B0"/>
    <w:rsid w:val="64A87A19"/>
    <w:rsid w:val="64AD4BD6"/>
    <w:rsid w:val="64BED79F"/>
    <w:rsid w:val="64D4CE8A"/>
    <w:rsid w:val="64D6BC81"/>
    <w:rsid w:val="64EEBFF2"/>
    <w:rsid w:val="64F0F44A"/>
    <w:rsid w:val="64F96F04"/>
    <w:rsid w:val="64FA05FD"/>
    <w:rsid w:val="65166F83"/>
    <w:rsid w:val="652B78CA"/>
    <w:rsid w:val="653CFF5C"/>
    <w:rsid w:val="655F7D9C"/>
    <w:rsid w:val="65F49945"/>
    <w:rsid w:val="65FCDC88"/>
    <w:rsid w:val="660010CA"/>
    <w:rsid w:val="66013DB6"/>
    <w:rsid w:val="662393CD"/>
    <w:rsid w:val="66276718"/>
    <w:rsid w:val="662D3EBD"/>
    <w:rsid w:val="6630B5F3"/>
    <w:rsid w:val="663E4215"/>
    <w:rsid w:val="666F43BE"/>
    <w:rsid w:val="66A089B8"/>
    <w:rsid w:val="66A58428"/>
    <w:rsid w:val="66BB2902"/>
    <w:rsid w:val="66CCF47F"/>
    <w:rsid w:val="66D97E98"/>
    <w:rsid w:val="66E5586D"/>
    <w:rsid w:val="66E84D2D"/>
    <w:rsid w:val="67022BC4"/>
    <w:rsid w:val="67035399"/>
    <w:rsid w:val="670EC426"/>
    <w:rsid w:val="6711F224"/>
    <w:rsid w:val="672A16A4"/>
    <w:rsid w:val="672B1E33"/>
    <w:rsid w:val="6754A8EC"/>
    <w:rsid w:val="678AE6B0"/>
    <w:rsid w:val="67970B2E"/>
    <w:rsid w:val="679F2CE0"/>
    <w:rsid w:val="67AA3490"/>
    <w:rsid w:val="67D0B0C1"/>
    <w:rsid w:val="67E8C95F"/>
    <w:rsid w:val="67FFA171"/>
    <w:rsid w:val="68064645"/>
    <w:rsid w:val="6807BBE7"/>
    <w:rsid w:val="6816AA90"/>
    <w:rsid w:val="683232FF"/>
    <w:rsid w:val="685BBA7D"/>
    <w:rsid w:val="6864F101"/>
    <w:rsid w:val="686A72FE"/>
    <w:rsid w:val="686EF540"/>
    <w:rsid w:val="68943ADE"/>
    <w:rsid w:val="689C8621"/>
    <w:rsid w:val="68A50CAE"/>
    <w:rsid w:val="68A9661D"/>
    <w:rsid w:val="68D940CD"/>
    <w:rsid w:val="68E6CC6F"/>
    <w:rsid w:val="68E99704"/>
    <w:rsid w:val="68F4B61F"/>
    <w:rsid w:val="690D6AE8"/>
    <w:rsid w:val="693ACF6F"/>
    <w:rsid w:val="693EF889"/>
    <w:rsid w:val="69584684"/>
    <w:rsid w:val="695B1650"/>
    <w:rsid w:val="6971DD04"/>
    <w:rsid w:val="6994EE23"/>
    <w:rsid w:val="69C5C6A2"/>
    <w:rsid w:val="69D0E956"/>
    <w:rsid w:val="69DE49AC"/>
    <w:rsid w:val="69F52885"/>
    <w:rsid w:val="69F626A6"/>
    <w:rsid w:val="69F76EF9"/>
    <w:rsid w:val="6A04C0D7"/>
    <w:rsid w:val="6A4C7757"/>
    <w:rsid w:val="6A5F0065"/>
    <w:rsid w:val="6A6A00AD"/>
    <w:rsid w:val="6A7BBD67"/>
    <w:rsid w:val="6A824F03"/>
    <w:rsid w:val="6A86F390"/>
    <w:rsid w:val="6AA74EB1"/>
    <w:rsid w:val="6AC90485"/>
    <w:rsid w:val="6AD14046"/>
    <w:rsid w:val="6AD15CD7"/>
    <w:rsid w:val="6ADE188C"/>
    <w:rsid w:val="6AE05001"/>
    <w:rsid w:val="6AF3917F"/>
    <w:rsid w:val="6B055EBB"/>
    <w:rsid w:val="6B0CA099"/>
    <w:rsid w:val="6B111C51"/>
    <w:rsid w:val="6B12FC0A"/>
    <w:rsid w:val="6B137BF4"/>
    <w:rsid w:val="6B20EB72"/>
    <w:rsid w:val="6B2F7546"/>
    <w:rsid w:val="6B3518B9"/>
    <w:rsid w:val="6B470A4C"/>
    <w:rsid w:val="6B575468"/>
    <w:rsid w:val="6B57B9F1"/>
    <w:rsid w:val="6B58D52A"/>
    <w:rsid w:val="6B59CCBA"/>
    <w:rsid w:val="6B5F58ED"/>
    <w:rsid w:val="6B751810"/>
    <w:rsid w:val="6B906A88"/>
    <w:rsid w:val="6BA343A7"/>
    <w:rsid w:val="6BC5C139"/>
    <w:rsid w:val="6BC6604E"/>
    <w:rsid w:val="6BC90CEC"/>
    <w:rsid w:val="6BD48E1A"/>
    <w:rsid w:val="6C01C592"/>
    <w:rsid w:val="6C34F430"/>
    <w:rsid w:val="6C49D0AB"/>
    <w:rsid w:val="6C51A728"/>
    <w:rsid w:val="6C568725"/>
    <w:rsid w:val="6C56A42B"/>
    <w:rsid w:val="6C58E06A"/>
    <w:rsid w:val="6C63F7C8"/>
    <w:rsid w:val="6C6DD064"/>
    <w:rsid w:val="6C7D6D2E"/>
    <w:rsid w:val="6C7DCC74"/>
    <w:rsid w:val="6CA68685"/>
    <w:rsid w:val="6CB24368"/>
    <w:rsid w:val="6CC8B3C1"/>
    <w:rsid w:val="6CDAA72D"/>
    <w:rsid w:val="6D05ADE5"/>
    <w:rsid w:val="6D0C5DA8"/>
    <w:rsid w:val="6D3CDA5D"/>
    <w:rsid w:val="6D3EDC62"/>
    <w:rsid w:val="6D5C1E7C"/>
    <w:rsid w:val="6D5C9A1D"/>
    <w:rsid w:val="6D6E8911"/>
    <w:rsid w:val="6D8FDB63"/>
    <w:rsid w:val="6D929A4B"/>
    <w:rsid w:val="6DB47BDD"/>
    <w:rsid w:val="6DCAE12F"/>
    <w:rsid w:val="6DEBEDC2"/>
    <w:rsid w:val="6DED8F1B"/>
    <w:rsid w:val="6E3FF67B"/>
    <w:rsid w:val="6E50B765"/>
    <w:rsid w:val="6E6276EF"/>
    <w:rsid w:val="6E64860F"/>
    <w:rsid w:val="6E7DE408"/>
    <w:rsid w:val="6E8C307F"/>
    <w:rsid w:val="6E970862"/>
    <w:rsid w:val="6EA351FA"/>
    <w:rsid w:val="6EA9348C"/>
    <w:rsid w:val="6EABE58D"/>
    <w:rsid w:val="6EBF7CAE"/>
    <w:rsid w:val="6ED91EE6"/>
    <w:rsid w:val="6EECDAA4"/>
    <w:rsid w:val="6F0BBAC2"/>
    <w:rsid w:val="6F0D9957"/>
    <w:rsid w:val="6F217DFF"/>
    <w:rsid w:val="6F327188"/>
    <w:rsid w:val="6F414BCD"/>
    <w:rsid w:val="6F439219"/>
    <w:rsid w:val="6F6870DC"/>
    <w:rsid w:val="6F6B3683"/>
    <w:rsid w:val="6F7006DB"/>
    <w:rsid w:val="6F7F6360"/>
    <w:rsid w:val="6F905904"/>
    <w:rsid w:val="6F9EB499"/>
    <w:rsid w:val="6FC97242"/>
    <w:rsid w:val="6FCF9F70"/>
    <w:rsid w:val="6FD7F775"/>
    <w:rsid w:val="6FEDB518"/>
    <w:rsid w:val="701363F5"/>
    <w:rsid w:val="70230609"/>
    <w:rsid w:val="7033F0B4"/>
    <w:rsid w:val="70374A83"/>
    <w:rsid w:val="7066D2AB"/>
    <w:rsid w:val="70772236"/>
    <w:rsid w:val="708422EE"/>
    <w:rsid w:val="7087AE53"/>
    <w:rsid w:val="70A2E786"/>
    <w:rsid w:val="70A3D638"/>
    <w:rsid w:val="70A4C720"/>
    <w:rsid w:val="70A6D40D"/>
    <w:rsid w:val="70A92EAC"/>
    <w:rsid w:val="70D22436"/>
    <w:rsid w:val="70DA5027"/>
    <w:rsid w:val="70DBCF1F"/>
    <w:rsid w:val="70EC1C9F"/>
    <w:rsid w:val="70F495C8"/>
    <w:rsid w:val="70F5B319"/>
    <w:rsid w:val="70F72018"/>
    <w:rsid w:val="710BD73C"/>
    <w:rsid w:val="71106287"/>
    <w:rsid w:val="7114CCF5"/>
    <w:rsid w:val="7115C896"/>
    <w:rsid w:val="71169D52"/>
    <w:rsid w:val="712CC259"/>
    <w:rsid w:val="71314FEB"/>
    <w:rsid w:val="714C2BB1"/>
    <w:rsid w:val="7150DD69"/>
    <w:rsid w:val="7157658A"/>
    <w:rsid w:val="716C84FF"/>
    <w:rsid w:val="7176FA9C"/>
    <w:rsid w:val="717C3684"/>
    <w:rsid w:val="71A6C2F4"/>
    <w:rsid w:val="71AAF95E"/>
    <w:rsid w:val="71AD2FA6"/>
    <w:rsid w:val="71AF7837"/>
    <w:rsid w:val="71B7BE98"/>
    <w:rsid w:val="71BEBEAA"/>
    <w:rsid w:val="7223FD5F"/>
    <w:rsid w:val="726A463B"/>
    <w:rsid w:val="7282F5A1"/>
    <w:rsid w:val="7294C4D9"/>
    <w:rsid w:val="72959E90"/>
    <w:rsid w:val="729E41FD"/>
    <w:rsid w:val="72BE1392"/>
    <w:rsid w:val="72CD204C"/>
    <w:rsid w:val="72D5A8DD"/>
    <w:rsid w:val="72D615F9"/>
    <w:rsid w:val="72D8AB82"/>
    <w:rsid w:val="72EDC0C3"/>
    <w:rsid w:val="72FDD79F"/>
    <w:rsid w:val="7303DC54"/>
    <w:rsid w:val="730EBC5F"/>
    <w:rsid w:val="731A0D3E"/>
    <w:rsid w:val="731A176E"/>
    <w:rsid w:val="73217B6D"/>
    <w:rsid w:val="73235725"/>
    <w:rsid w:val="73251F69"/>
    <w:rsid w:val="732F322F"/>
    <w:rsid w:val="733896D0"/>
    <w:rsid w:val="7339C9C1"/>
    <w:rsid w:val="735682E5"/>
    <w:rsid w:val="73908A61"/>
    <w:rsid w:val="7394A133"/>
    <w:rsid w:val="739F4471"/>
    <w:rsid w:val="73B4091E"/>
    <w:rsid w:val="73C9AE09"/>
    <w:rsid w:val="73D2FEC4"/>
    <w:rsid w:val="73E92FBF"/>
    <w:rsid w:val="73ECB1A7"/>
    <w:rsid w:val="73EEBBC5"/>
    <w:rsid w:val="73F8C354"/>
    <w:rsid w:val="7409A040"/>
    <w:rsid w:val="741BE22C"/>
    <w:rsid w:val="7420C772"/>
    <w:rsid w:val="743CEAA7"/>
    <w:rsid w:val="74424D6E"/>
    <w:rsid w:val="745E9CEF"/>
    <w:rsid w:val="748052E3"/>
    <w:rsid w:val="7497B794"/>
    <w:rsid w:val="749AE65D"/>
    <w:rsid w:val="74A301A7"/>
    <w:rsid w:val="74B48FAB"/>
    <w:rsid w:val="74E8AA19"/>
    <w:rsid w:val="74F02B85"/>
    <w:rsid w:val="7526106C"/>
    <w:rsid w:val="752B1CE5"/>
    <w:rsid w:val="752EA523"/>
    <w:rsid w:val="75344FEB"/>
    <w:rsid w:val="755B9AE3"/>
    <w:rsid w:val="75648A9F"/>
    <w:rsid w:val="756EFADA"/>
    <w:rsid w:val="759FF53D"/>
    <w:rsid w:val="75B3A9CE"/>
    <w:rsid w:val="75BB899D"/>
    <w:rsid w:val="75CE69BA"/>
    <w:rsid w:val="75D1A6E5"/>
    <w:rsid w:val="75E53AD7"/>
    <w:rsid w:val="75E770C1"/>
    <w:rsid w:val="76056259"/>
    <w:rsid w:val="760AD8F1"/>
    <w:rsid w:val="760D0D9A"/>
    <w:rsid w:val="76386861"/>
    <w:rsid w:val="766B0A4E"/>
    <w:rsid w:val="7693A71A"/>
    <w:rsid w:val="76A4BF78"/>
    <w:rsid w:val="76B350F8"/>
    <w:rsid w:val="76BCE72F"/>
    <w:rsid w:val="76CC5799"/>
    <w:rsid w:val="76DA3451"/>
    <w:rsid w:val="76DBDDD6"/>
    <w:rsid w:val="7700AF2E"/>
    <w:rsid w:val="77110A5C"/>
    <w:rsid w:val="77196767"/>
    <w:rsid w:val="771F9ECF"/>
    <w:rsid w:val="77306416"/>
    <w:rsid w:val="7741C26A"/>
    <w:rsid w:val="7760B09D"/>
    <w:rsid w:val="77630033"/>
    <w:rsid w:val="7768635C"/>
    <w:rsid w:val="776EB9EA"/>
    <w:rsid w:val="778A634B"/>
    <w:rsid w:val="778CC4C7"/>
    <w:rsid w:val="77A45324"/>
    <w:rsid w:val="77AA275F"/>
    <w:rsid w:val="77B13C55"/>
    <w:rsid w:val="77C4CD29"/>
    <w:rsid w:val="77CA882F"/>
    <w:rsid w:val="77D3075D"/>
    <w:rsid w:val="77E11051"/>
    <w:rsid w:val="77E8A548"/>
    <w:rsid w:val="77ED7E61"/>
    <w:rsid w:val="782E17EE"/>
    <w:rsid w:val="782E63B3"/>
    <w:rsid w:val="784DA8F0"/>
    <w:rsid w:val="78543670"/>
    <w:rsid w:val="7870AD0C"/>
    <w:rsid w:val="7881FB9F"/>
    <w:rsid w:val="78933B92"/>
    <w:rsid w:val="78B83698"/>
    <w:rsid w:val="78B8E01D"/>
    <w:rsid w:val="78C7C051"/>
    <w:rsid w:val="78CF0CE5"/>
    <w:rsid w:val="78D227D1"/>
    <w:rsid w:val="78D4D589"/>
    <w:rsid w:val="78D8DD70"/>
    <w:rsid w:val="78FF3616"/>
    <w:rsid w:val="791C6CD8"/>
    <w:rsid w:val="792C3442"/>
    <w:rsid w:val="792D1069"/>
    <w:rsid w:val="792E5FA8"/>
    <w:rsid w:val="7936781B"/>
    <w:rsid w:val="793A5D7F"/>
    <w:rsid w:val="7953A16C"/>
    <w:rsid w:val="795FBEC4"/>
    <w:rsid w:val="7974E9CB"/>
    <w:rsid w:val="79852A29"/>
    <w:rsid w:val="798DFADA"/>
    <w:rsid w:val="79923E4A"/>
    <w:rsid w:val="799731B5"/>
    <w:rsid w:val="79980F5D"/>
    <w:rsid w:val="79A83E90"/>
    <w:rsid w:val="79AB30FC"/>
    <w:rsid w:val="79B63E66"/>
    <w:rsid w:val="79CC82F9"/>
    <w:rsid w:val="79DCDC5F"/>
    <w:rsid w:val="79E137AD"/>
    <w:rsid w:val="79E47AAE"/>
    <w:rsid w:val="79EBC1AB"/>
    <w:rsid w:val="79EC87DC"/>
    <w:rsid w:val="79ECC87D"/>
    <w:rsid w:val="7A03D5EB"/>
    <w:rsid w:val="7A1AED3E"/>
    <w:rsid w:val="7A20E5A6"/>
    <w:rsid w:val="7A28E9CC"/>
    <w:rsid w:val="7A3CB46C"/>
    <w:rsid w:val="7A4AEBA9"/>
    <w:rsid w:val="7A9AFBA9"/>
    <w:rsid w:val="7AB41ACE"/>
    <w:rsid w:val="7AC70612"/>
    <w:rsid w:val="7AD705CE"/>
    <w:rsid w:val="7AE39DF3"/>
    <w:rsid w:val="7B024F24"/>
    <w:rsid w:val="7B035D1E"/>
    <w:rsid w:val="7B118CEE"/>
    <w:rsid w:val="7B2E4E6D"/>
    <w:rsid w:val="7B2F6054"/>
    <w:rsid w:val="7B372348"/>
    <w:rsid w:val="7B7D080E"/>
    <w:rsid w:val="7B8B6E6A"/>
    <w:rsid w:val="7B8EB2FB"/>
    <w:rsid w:val="7B92051F"/>
    <w:rsid w:val="7B9A8A4A"/>
    <w:rsid w:val="7B9DC71D"/>
    <w:rsid w:val="7BB65BDC"/>
    <w:rsid w:val="7BC6CE9E"/>
    <w:rsid w:val="7BC779E2"/>
    <w:rsid w:val="7BCC6466"/>
    <w:rsid w:val="7BD1DE7D"/>
    <w:rsid w:val="7BD84BF2"/>
    <w:rsid w:val="7BDC5624"/>
    <w:rsid w:val="7BFDCDC3"/>
    <w:rsid w:val="7C06F302"/>
    <w:rsid w:val="7C0EFB89"/>
    <w:rsid w:val="7C2C00BF"/>
    <w:rsid w:val="7C31F9E5"/>
    <w:rsid w:val="7C32D4BE"/>
    <w:rsid w:val="7C38600E"/>
    <w:rsid w:val="7C5805A5"/>
    <w:rsid w:val="7C6035EA"/>
    <w:rsid w:val="7C652372"/>
    <w:rsid w:val="7C658A5D"/>
    <w:rsid w:val="7C7FB1B0"/>
    <w:rsid w:val="7CA5F842"/>
    <w:rsid w:val="7CB6759C"/>
    <w:rsid w:val="7CCED277"/>
    <w:rsid w:val="7CF92474"/>
    <w:rsid w:val="7CFBCFEB"/>
    <w:rsid w:val="7D028FA3"/>
    <w:rsid w:val="7D095D29"/>
    <w:rsid w:val="7D14AD87"/>
    <w:rsid w:val="7D8F1F05"/>
    <w:rsid w:val="7DA44D2C"/>
    <w:rsid w:val="7DC7D120"/>
    <w:rsid w:val="7DE761C6"/>
    <w:rsid w:val="7DEAB4C8"/>
    <w:rsid w:val="7E19F082"/>
    <w:rsid w:val="7E1E83C6"/>
    <w:rsid w:val="7E22BB78"/>
    <w:rsid w:val="7E66C05E"/>
    <w:rsid w:val="7E848ED2"/>
    <w:rsid w:val="7E8E7B93"/>
    <w:rsid w:val="7EA593C9"/>
    <w:rsid w:val="7EA951CD"/>
    <w:rsid w:val="7EA97D0C"/>
    <w:rsid w:val="7EB4A8D0"/>
    <w:rsid w:val="7ECC7194"/>
    <w:rsid w:val="7EDB6A5F"/>
    <w:rsid w:val="7EDD439A"/>
    <w:rsid w:val="7EE54703"/>
    <w:rsid w:val="7EFF24C4"/>
    <w:rsid w:val="7F032F8B"/>
    <w:rsid w:val="7F147D96"/>
    <w:rsid w:val="7F159876"/>
    <w:rsid w:val="7F1CC1C1"/>
    <w:rsid w:val="7F2475AD"/>
    <w:rsid w:val="7F294847"/>
    <w:rsid w:val="7F454A50"/>
    <w:rsid w:val="7F5C060F"/>
    <w:rsid w:val="7F5EB709"/>
    <w:rsid w:val="7F79D01E"/>
    <w:rsid w:val="7F89EB06"/>
    <w:rsid w:val="7F98861F"/>
    <w:rsid w:val="7F9CF794"/>
    <w:rsid w:val="7FA0C12E"/>
    <w:rsid w:val="7FA5D84A"/>
    <w:rsid w:val="7FA638A7"/>
    <w:rsid w:val="7FAC3937"/>
    <w:rsid w:val="7FE63036"/>
    <w:rsid w:val="7FE6C8BB"/>
    <w:rsid w:val="7FEFA4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C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BA04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A04E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6E3103"/>
    <w:pPr>
      <w:keepNext/>
      <w:spacing w:line="240" w:lineRule="auto"/>
      <w:outlineLvl w:val="3"/>
    </w:pPr>
    <w:rPr>
      <w:bCs/>
      <w:i/>
      <w:iCs/>
      <w:szCs w:val="22"/>
    </w:rPr>
  </w:style>
  <w:style w:type="paragraph" w:styleId="Heading5">
    <w:name w:val="heading 5"/>
    <w:basedOn w:val="Normal"/>
    <w:next w:val="Normal"/>
    <w:link w:val="Heading5Char"/>
    <w:semiHidden/>
    <w:unhideWhenUsed/>
    <w:qFormat/>
    <w:rsid w:val="00BA04E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BA04E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BA04E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BA04E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A04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pl-PL"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l-PL"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pl-PL"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character" w:customStyle="1" w:styleId="normaltextrun">
    <w:name w:val="normaltextrun"/>
    <w:basedOn w:val="DefaultParagraphFont"/>
    <w:rsid w:val="008D323D"/>
  </w:style>
  <w:style w:type="paragraph" w:styleId="NormalWeb">
    <w:name w:val="Normal (Web)"/>
    <w:basedOn w:val="Normal"/>
    <w:uiPriority w:val="99"/>
    <w:unhideWhenUsed/>
    <w:rsid w:val="005B0EC5"/>
    <w:pPr>
      <w:tabs>
        <w:tab w:val="clear" w:pos="567"/>
      </w:tabs>
      <w:spacing w:before="100" w:beforeAutospacing="1" w:after="100" w:afterAutospacing="1" w:line="240" w:lineRule="auto"/>
    </w:pPr>
    <w:rPr>
      <w:sz w:val="24"/>
      <w:szCs w:val="24"/>
      <w:lang w:eastAsia="en-GB"/>
    </w:rPr>
  </w:style>
  <w:style w:type="character" w:customStyle="1" w:styleId="Heading4Char">
    <w:name w:val="Heading 4 Char"/>
    <w:basedOn w:val="DefaultParagraphFont"/>
    <w:link w:val="Heading4"/>
    <w:rsid w:val="006E3103"/>
    <w:rPr>
      <w:rFonts w:eastAsia="Times New Roman"/>
      <w:bCs/>
      <w:i/>
      <w:iCs/>
      <w:sz w:val="22"/>
      <w:szCs w:val="22"/>
      <w:lang w:eastAsia="en-US"/>
    </w:rPr>
  </w:style>
  <w:style w:type="character" w:customStyle="1" w:styleId="eop">
    <w:name w:val="eop"/>
    <w:basedOn w:val="DefaultParagraphFont"/>
    <w:rsid w:val="006E3103"/>
  </w:style>
  <w:style w:type="paragraph" w:customStyle="1" w:styleId="paragraph">
    <w:name w:val="paragraph"/>
    <w:basedOn w:val="Normal"/>
    <w:rsid w:val="006E3103"/>
    <w:pPr>
      <w:tabs>
        <w:tab w:val="clear" w:pos="567"/>
      </w:tabs>
      <w:spacing w:before="100" w:beforeAutospacing="1" w:after="100" w:afterAutospacing="1" w:line="240" w:lineRule="auto"/>
    </w:pPr>
    <w:rPr>
      <w:sz w:val="24"/>
      <w:szCs w:val="24"/>
      <w:lang w:eastAsia="en-GB"/>
    </w:rPr>
  </w:style>
  <w:style w:type="paragraph" w:customStyle="1" w:styleId="C-Footnote">
    <w:name w:val="C-Footnote"/>
    <w:basedOn w:val="Normal"/>
    <w:uiPriority w:val="1"/>
    <w:qFormat/>
    <w:rsid w:val="006E3103"/>
    <w:pPr>
      <w:spacing w:line="240" w:lineRule="auto"/>
      <w:ind w:hanging="144"/>
    </w:pPr>
    <w:rPr>
      <w:rFonts w:cs="Arial"/>
      <w:sz w:val="20"/>
    </w:rPr>
  </w:style>
  <w:style w:type="character" w:customStyle="1" w:styleId="UnresolvedMention1">
    <w:name w:val="Unresolved Mention1"/>
    <w:basedOn w:val="DefaultParagraphFont"/>
    <w:rsid w:val="00E70B7F"/>
    <w:rPr>
      <w:color w:val="605E5C"/>
      <w:shd w:val="clear" w:color="auto" w:fill="E1DFDD"/>
    </w:rPr>
  </w:style>
  <w:style w:type="paragraph" w:styleId="ListParagraph">
    <w:name w:val="List Paragraph"/>
    <w:basedOn w:val="Normal"/>
    <w:uiPriority w:val="34"/>
    <w:qFormat/>
    <w:rsid w:val="008E30AE"/>
    <w:pPr>
      <w:tabs>
        <w:tab w:val="clear" w:pos="567"/>
      </w:tabs>
      <w:spacing w:line="260" w:lineRule="atLeast"/>
      <w:ind w:left="720"/>
    </w:pPr>
  </w:style>
  <w:style w:type="paragraph" w:customStyle="1" w:styleId="TextAr11">
    <w:name w:val="Text:Ar11"/>
    <w:basedOn w:val="Normal"/>
    <w:link w:val="TextAr11Char"/>
    <w:uiPriority w:val="99"/>
    <w:rsid w:val="006550C7"/>
    <w:pPr>
      <w:tabs>
        <w:tab w:val="clear" w:pos="567"/>
      </w:tabs>
      <w:spacing w:after="170" w:line="260" w:lineRule="atLeast"/>
      <w:jc w:val="both"/>
    </w:pPr>
  </w:style>
  <w:style w:type="character" w:customStyle="1" w:styleId="TextAr11Char">
    <w:name w:val="Text:Ar11 Char"/>
    <w:link w:val="TextAr11"/>
    <w:uiPriority w:val="99"/>
    <w:rsid w:val="006550C7"/>
    <w:rPr>
      <w:rFonts w:eastAsia="Times New Roman"/>
      <w:sz w:val="22"/>
      <w:lang w:val="pl-PL" w:eastAsia="en-US"/>
    </w:rPr>
  </w:style>
  <w:style w:type="character" w:customStyle="1" w:styleId="C-BodyTextChar">
    <w:name w:val="C-Body Text Char"/>
    <w:link w:val="C-BodyText"/>
    <w:locked/>
    <w:rsid w:val="00976E99"/>
    <w:rPr>
      <w:sz w:val="24"/>
    </w:rPr>
  </w:style>
  <w:style w:type="paragraph" w:customStyle="1" w:styleId="C-BodyText">
    <w:name w:val="C-Body Text"/>
    <w:link w:val="C-BodyTextChar"/>
    <w:rsid w:val="00976E99"/>
    <w:pPr>
      <w:spacing w:before="120" w:after="120" w:line="280" w:lineRule="atLeast"/>
    </w:pPr>
    <w:rPr>
      <w:sz w:val="24"/>
    </w:rPr>
  </w:style>
  <w:style w:type="paragraph" w:customStyle="1" w:styleId="Default">
    <w:name w:val="Default"/>
    <w:rsid w:val="008500F7"/>
    <w:pPr>
      <w:autoSpaceDE w:val="0"/>
      <w:autoSpaceDN w:val="0"/>
      <w:adjustRightInd w:val="0"/>
    </w:pPr>
    <w:rPr>
      <w:color w:val="000000"/>
      <w:sz w:val="24"/>
      <w:szCs w:val="24"/>
    </w:rPr>
  </w:style>
  <w:style w:type="character" w:styleId="FollowedHyperlink">
    <w:name w:val="FollowedHyperlink"/>
    <w:basedOn w:val="DefaultParagraphFont"/>
    <w:rsid w:val="000F2F10"/>
    <w:rPr>
      <w:color w:val="954F72" w:themeColor="followedHyperlink"/>
      <w:u w:val="single"/>
    </w:rPr>
  </w:style>
  <w:style w:type="table" w:styleId="TableGrid">
    <w:name w:val="Table Grid"/>
    <w:basedOn w:val="TableNormal"/>
    <w:rsid w:val="007E3227"/>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D29B1"/>
    <w:rPr>
      <w:color w:val="605E5C"/>
      <w:shd w:val="clear" w:color="auto" w:fill="E1DFDD"/>
    </w:rPr>
  </w:style>
  <w:style w:type="paragraph" w:customStyle="1" w:styleId="pf0">
    <w:name w:val="pf0"/>
    <w:basedOn w:val="Normal"/>
    <w:rsid w:val="004D3AC3"/>
    <w:pPr>
      <w:tabs>
        <w:tab w:val="clear" w:pos="567"/>
      </w:tabs>
      <w:spacing w:before="100" w:beforeAutospacing="1" w:after="100" w:afterAutospacing="1" w:line="240" w:lineRule="auto"/>
      <w:jc w:val="both"/>
    </w:pPr>
    <w:rPr>
      <w:rFonts w:ascii="Calibri" w:eastAsiaTheme="minorHAnsi" w:hAnsi="Calibri" w:cs="Calibri"/>
      <w:szCs w:val="22"/>
      <w:lang w:eastAsia="en-GB"/>
    </w:rPr>
  </w:style>
  <w:style w:type="character" w:customStyle="1" w:styleId="cf01">
    <w:name w:val="cf01"/>
    <w:basedOn w:val="DefaultParagraphFont"/>
    <w:rsid w:val="004D3AC3"/>
    <w:rPr>
      <w:rFonts w:ascii="Segoe UI" w:hAnsi="Segoe UI" w:cs="Segoe UI" w:hint="default"/>
    </w:rPr>
  </w:style>
  <w:style w:type="character" w:customStyle="1" w:styleId="cf11">
    <w:name w:val="cf11"/>
    <w:basedOn w:val="DefaultParagraphFont"/>
    <w:rsid w:val="005531CE"/>
    <w:rPr>
      <w:rFonts w:ascii="Segoe UI" w:hAnsi="Segoe UI" w:cs="Segoe UI" w:hint="default"/>
      <w:sz w:val="18"/>
      <w:szCs w:val="18"/>
      <w:shd w:val="clear" w:color="auto" w:fill="FF0000"/>
    </w:rPr>
  </w:style>
  <w:style w:type="character" w:styleId="Strong">
    <w:name w:val="Strong"/>
    <w:basedOn w:val="DefaultParagraphFont"/>
    <w:uiPriority w:val="22"/>
    <w:qFormat/>
    <w:rsid w:val="00624634"/>
    <w:rPr>
      <w:b/>
      <w:bCs/>
    </w:rPr>
  </w:style>
  <w:style w:type="paragraph" w:customStyle="1" w:styleId="TextAr11CarCar">
    <w:name w:val="Text:Ar11 Car Car"/>
    <w:basedOn w:val="Normal"/>
    <w:rsid w:val="005F12AE"/>
    <w:pPr>
      <w:tabs>
        <w:tab w:val="clear" w:pos="567"/>
      </w:tabs>
      <w:spacing w:after="170" w:line="260" w:lineRule="atLeast"/>
      <w:jc w:val="both"/>
    </w:pPr>
    <w:rPr>
      <w:sz w:val="24"/>
    </w:rPr>
  </w:style>
  <w:style w:type="paragraph" w:customStyle="1" w:styleId="No-numheading5Agency">
    <w:name w:val="No-num heading 5 (Agency)"/>
    <w:basedOn w:val="Normal"/>
    <w:next w:val="BodytextAgency"/>
    <w:link w:val="No-numheading5AgencyChar"/>
    <w:qFormat/>
    <w:rsid w:val="00920D4A"/>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customStyle="1" w:styleId="No-numheading5AgencyChar">
    <w:name w:val="No-num heading 5 (Agency) Char"/>
    <w:link w:val="No-numheading5Agency"/>
    <w:locked/>
    <w:rsid w:val="00920D4A"/>
    <w:rPr>
      <w:rFonts w:ascii="Verdana" w:eastAsia="Verdana" w:hAnsi="Verdana" w:cs="Arial"/>
      <w:b/>
      <w:bCs/>
      <w:kern w:val="32"/>
      <w:sz w:val="18"/>
      <w:szCs w:val="18"/>
    </w:rPr>
  </w:style>
  <w:style w:type="paragraph" w:styleId="Caption">
    <w:name w:val="caption"/>
    <w:next w:val="C-BodyText"/>
    <w:qFormat/>
    <w:rsid w:val="009020E7"/>
    <w:pPr>
      <w:keepNext/>
      <w:spacing w:before="120" w:after="120" w:line="280" w:lineRule="atLeast"/>
      <w:ind w:left="1440" w:hanging="1440"/>
    </w:pPr>
    <w:rPr>
      <w:rFonts w:ascii="Times New Roman Bold" w:eastAsia="Times New Roman" w:hAnsi="Times New Roman Bold"/>
      <w:b/>
      <w:bCs/>
      <w:sz w:val="22"/>
      <w:szCs w:val="24"/>
      <w:lang w:eastAsia="en-US"/>
    </w:rPr>
  </w:style>
  <w:style w:type="paragraph" w:styleId="Quote">
    <w:name w:val="Quote"/>
    <w:basedOn w:val="Normal"/>
    <w:next w:val="Normal"/>
    <w:link w:val="QuoteChar"/>
    <w:uiPriority w:val="29"/>
    <w:qFormat/>
    <w:rsid w:val="00507B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7BEF"/>
    <w:rPr>
      <w:rFonts w:eastAsia="Times New Roman"/>
      <w:i/>
      <w:iCs/>
      <w:color w:val="404040" w:themeColor="text1" w:themeTint="BF"/>
      <w:sz w:val="22"/>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UnresolvedMention3">
    <w:name w:val="Unresolved Mention3"/>
    <w:basedOn w:val="DefaultParagraphFont"/>
    <w:uiPriority w:val="99"/>
    <w:semiHidden/>
    <w:unhideWhenUsed/>
    <w:rsid w:val="002B07D1"/>
    <w:rPr>
      <w:color w:val="605E5C"/>
      <w:shd w:val="clear" w:color="auto" w:fill="E1DFDD"/>
    </w:rPr>
  </w:style>
  <w:style w:type="character" w:customStyle="1" w:styleId="UnresolvedMention4">
    <w:name w:val="Unresolved Mention4"/>
    <w:basedOn w:val="DefaultParagraphFont"/>
    <w:rsid w:val="006C7977"/>
    <w:rPr>
      <w:color w:val="605E5C"/>
      <w:shd w:val="clear" w:color="auto" w:fill="E1DFDD"/>
    </w:rPr>
  </w:style>
  <w:style w:type="character" w:customStyle="1" w:styleId="DNEx1">
    <w:name w:val="DNEx1"/>
    <w:basedOn w:val="DefaultParagraphFont"/>
    <w:uiPriority w:val="1"/>
    <w:qFormat/>
    <w:rsid w:val="002D0B67"/>
    <w:rPr>
      <w:noProof/>
      <w:sz w:val="32"/>
      <w:szCs w:val="22"/>
    </w:rPr>
  </w:style>
  <w:style w:type="character" w:customStyle="1" w:styleId="DNEx2">
    <w:name w:val="DNEx2"/>
    <w:basedOn w:val="DefaultParagraphFont"/>
    <w:uiPriority w:val="1"/>
    <w:qFormat/>
    <w:rsid w:val="002D0B67"/>
    <w:rPr>
      <w:b/>
      <w:noProof/>
      <w:szCs w:val="22"/>
    </w:rPr>
  </w:style>
  <w:style w:type="paragraph" w:customStyle="1" w:styleId="Style1">
    <w:name w:val="Style1"/>
    <w:basedOn w:val="Normal"/>
    <w:qFormat/>
    <w:rsid w:val="00744F13"/>
    <w:pPr>
      <w:numPr>
        <w:numId w:val="10"/>
      </w:numPr>
      <w:spacing w:line="240" w:lineRule="auto"/>
      <w:ind w:right="1416"/>
    </w:pPr>
    <w:rPr>
      <w:b/>
      <w:noProof/>
      <w:szCs w:val="22"/>
    </w:rPr>
  </w:style>
  <w:style w:type="paragraph" w:customStyle="1" w:styleId="Style2">
    <w:name w:val="Style2"/>
    <w:basedOn w:val="Normal"/>
    <w:qFormat/>
    <w:rsid w:val="00BB7525"/>
    <w:pPr>
      <w:keepNext/>
      <w:numPr>
        <w:numId w:val="11"/>
      </w:numPr>
      <w:spacing w:line="240" w:lineRule="auto"/>
    </w:pPr>
    <w:rPr>
      <w:b/>
      <w:noProof/>
      <w:szCs w:val="22"/>
    </w:rPr>
  </w:style>
  <w:style w:type="paragraph" w:customStyle="1" w:styleId="Style3">
    <w:name w:val="Style3"/>
    <w:basedOn w:val="Normal"/>
    <w:qFormat/>
    <w:rsid w:val="008250ED"/>
    <w:pPr>
      <w:numPr>
        <w:numId w:val="12"/>
      </w:numPr>
      <w:spacing w:line="240" w:lineRule="auto"/>
      <w:jc w:val="center"/>
      <w:outlineLvl w:val="0"/>
    </w:pPr>
    <w:rPr>
      <w:b/>
      <w:noProof/>
      <w:szCs w:val="22"/>
    </w:rPr>
  </w:style>
  <w:style w:type="character" w:customStyle="1" w:styleId="DNEx4">
    <w:name w:val="DNEx4"/>
    <w:basedOn w:val="DefaultParagraphFont"/>
    <w:uiPriority w:val="1"/>
    <w:qFormat/>
    <w:rsid w:val="008250ED"/>
    <w:rPr>
      <w:noProof/>
    </w:rPr>
  </w:style>
  <w:style w:type="paragraph" w:customStyle="1" w:styleId="Style4">
    <w:name w:val="Style4"/>
    <w:basedOn w:val="BodytextAgency"/>
    <w:qFormat/>
    <w:rsid w:val="001D2D1F"/>
    <w:pPr>
      <w:spacing w:after="0" w:line="240" w:lineRule="auto"/>
    </w:pPr>
    <w:rPr>
      <w:rFonts w:ascii="Times New Roman" w:hAnsi="Times New Roman" w:cs="Times New Roman"/>
      <w:sz w:val="22"/>
      <w:szCs w:val="22"/>
    </w:rPr>
  </w:style>
  <w:style w:type="paragraph" w:customStyle="1" w:styleId="DNEx5">
    <w:name w:val="DNEx5"/>
    <w:basedOn w:val="Normal"/>
    <w:qFormat/>
    <w:rsid w:val="009D38B2"/>
    <w:pPr>
      <w:spacing w:line="240" w:lineRule="auto"/>
    </w:pPr>
    <w:rPr>
      <w:noProof/>
      <w:szCs w:val="22"/>
    </w:rPr>
  </w:style>
  <w:style w:type="character" w:customStyle="1" w:styleId="Hipercze1">
    <w:name w:val="Hiperłącze1"/>
    <w:rsid w:val="00747283"/>
    <w:rPr>
      <w:color w:val="0000FF"/>
      <w:u w:val="single"/>
    </w:rPr>
  </w:style>
  <w:style w:type="paragraph" w:customStyle="1" w:styleId="AnnexI">
    <w:name w:val="Annex I"/>
    <w:basedOn w:val="Normal"/>
    <w:qFormat/>
    <w:rsid w:val="00CD45EA"/>
    <w:pPr>
      <w:spacing w:line="240" w:lineRule="auto"/>
      <w:jc w:val="center"/>
      <w:outlineLvl w:val="0"/>
    </w:pPr>
    <w:rPr>
      <w:b/>
    </w:rPr>
  </w:style>
  <w:style w:type="paragraph" w:customStyle="1" w:styleId="AnnexII">
    <w:name w:val="Annex II"/>
    <w:basedOn w:val="Style2"/>
    <w:qFormat/>
    <w:rsid w:val="00CD45EA"/>
  </w:style>
  <w:style w:type="paragraph" w:customStyle="1" w:styleId="AnnexIII">
    <w:name w:val="Annex III"/>
    <w:basedOn w:val="Style3"/>
    <w:qFormat/>
    <w:rsid w:val="00CD45EA"/>
  </w:style>
  <w:style w:type="paragraph" w:customStyle="1" w:styleId="TitleA">
    <w:name w:val="Title A"/>
    <w:basedOn w:val="Normal"/>
    <w:qFormat/>
    <w:rsid w:val="008A5320"/>
    <w:pPr>
      <w:jc w:val="center"/>
    </w:pPr>
    <w:rPr>
      <w:b/>
    </w:rPr>
  </w:style>
  <w:style w:type="paragraph" w:customStyle="1" w:styleId="TitleB">
    <w:name w:val="Title B"/>
    <w:basedOn w:val="Normal"/>
    <w:qFormat/>
    <w:rsid w:val="006F6222"/>
    <w:pPr>
      <w:ind w:left="567" w:hanging="567"/>
    </w:pPr>
    <w:rPr>
      <w:b/>
    </w:rPr>
  </w:style>
  <w:style w:type="paragraph" w:styleId="Bibliography">
    <w:name w:val="Bibliography"/>
    <w:basedOn w:val="Normal"/>
    <w:next w:val="Normal"/>
    <w:uiPriority w:val="37"/>
    <w:semiHidden/>
    <w:unhideWhenUsed/>
    <w:rsid w:val="00BA04E6"/>
  </w:style>
  <w:style w:type="paragraph" w:styleId="BlockText">
    <w:name w:val="Block Text"/>
    <w:basedOn w:val="Normal"/>
    <w:rsid w:val="00BA04E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BA04E6"/>
    <w:pPr>
      <w:spacing w:after="120" w:line="480" w:lineRule="auto"/>
    </w:pPr>
  </w:style>
  <w:style w:type="character" w:customStyle="1" w:styleId="BodyText2Char">
    <w:name w:val="Body Text 2 Char"/>
    <w:basedOn w:val="DefaultParagraphFont"/>
    <w:link w:val="BodyText2"/>
    <w:rsid w:val="00BA04E6"/>
    <w:rPr>
      <w:rFonts w:eastAsia="Times New Roman"/>
      <w:sz w:val="22"/>
      <w:lang w:eastAsia="en-US"/>
    </w:rPr>
  </w:style>
  <w:style w:type="paragraph" w:styleId="BodyText3">
    <w:name w:val="Body Text 3"/>
    <w:basedOn w:val="Normal"/>
    <w:link w:val="BodyText3Char"/>
    <w:rsid w:val="00BA04E6"/>
    <w:pPr>
      <w:spacing w:after="120"/>
    </w:pPr>
    <w:rPr>
      <w:sz w:val="16"/>
      <w:szCs w:val="16"/>
    </w:rPr>
  </w:style>
  <w:style w:type="character" w:customStyle="1" w:styleId="BodyText3Char">
    <w:name w:val="Body Text 3 Char"/>
    <w:basedOn w:val="DefaultParagraphFont"/>
    <w:link w:val="BodyText3"/>
    <w:rsid w:val="00BA04E6"/>
    <w:rPr>
      <w:rFonts w:eastAsia="Times New Roman"/>
      <w:sz w:val="16"/>
      <w:szCs w:val="16"/>
      <w:lang w:eastAsia="en-US"/>
    </w:rPr>
  </w:style>
  <w:style w:type="paragraph" w:styleId="BodyTextFirstIndent">
    <w:name w:val="Body Text First Indent"/>
    <w:basedOn w:val="BodyText"/>
    <w:link w:val="BodyTextFirstIndentChar"/>
    <w:rsid w:val="00BA04E6"/>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BA04E6"/>
    <w:rPr>
      <w:rFonts w:eastAsia="Times New Roman"/>
      <w:i/>
      <w:color w:val="008000"/>
      <w:sz w:val="22"/>
      <w:lang w:eastAsia="en-US"/>
    </w:rPr>
  </w:style>
  <w:style w:type="character" w:customStyle="1" w:styleId="BodyTextFirstIndentChar">
    <w:name w:val="Body Text First Indent Char"/>
    <w:basedOn w:val="BodyTextChar"/>
    <w:link w:val="BodyTextFirstIndent"/>
    <w:rsid w:val="00BA04E6"/>
    <w:rPr>
      <w:rFonts w:eastAsia="Times New Roman"/>
      <w:i w:val="0"/>
      <w:color w:val="008000"/>
      <w:sz w:val="22"/>
      <w:lang w:eastAsia="en-US"/>
    </w:rPr>
  </w:style>
  <w:style w:type="paragraph" w:styleId="BodyTextIndent">
    <w:name w:val="Body Text Indent"/>
    <w:basedOn w:val="Normal"/>
    <w:link w:val="BodyTextIndentChar"/>
    <w:rsid w:val="00BA04E6"/>
    <w:pPr>
      <w:spacing w:after="120"/>
      <w:ind w:left="283"/>
    </w:pPr>
  </w:style>
  <w:style w:type="character" w:customStyle="1" w:styleId="BodyTextIndentChar">
    <w:name w:val="Body Text Indent Char"/>
    <w:basedOn w:val="DefaultParagraphFont"/>
    <w:link w:val="BodyTextIndent"/>
    <w:rsid w:val="00BA04E6"/>
    <w:rPr>
      <w:rFonts w:eastAsia="Times New Roman"/>
      <w:sz w:val="22"/>
      <w:lang w:eastAsia="en-US"/>
    </w:rPr>
  </w:style>
  <w:style w:type="paragraph" w:styleId="BodyTextFirstIndent2">
    <w:name w:val="Body Text First Indent 2"/>
    <w:basedOn w:val="BodyTextIndent"/>
    <w:link w:val="BodyTextFirstIndent2Char"/>
    <w:rsid w:val="00BA04E6"/>
    <w:pPr>
      <w:spacing w:after="0"/>
      <w:ind w:left="360" w:firstLine="360"/>
    </w:pPr>
  </w:style>
  <w:style w:type="character" w:customStyle="1" w:styleId="BodyTextFirstIndent2Char">
    <w:name w:val="Body Text First Indent 2 Char"/>
    <w:basedOn w:val="BodyTextIndentChar"/>
    <w:link w:val="BodyTextFirstIndent2"/>
    <w:rsid w:val="00BA04E6"/>
    <w:rPr>
      <w:rFonts w:eastAsia="Times New Roman"/>
      <w:sz w:val="22"/>
      <w:lang w:eastAsia="en-US"/>
    </w:rPr>
  </w:style>
  <w:style w:type="paragraph" w:styleId="BodyTextIndent2">
    <w:name w:val="Body Text Indent 2"/>
    <w:basedOn w:val="Normal"/>
    <w:link w:val="BodyTextIndent2Char"/>
    <w:rsid w:val="00BA04E6"/>
    <w:pPr>
      <w:spacing w:after="120" w:line="480" w:lineRule="auto"/>
      <w:ind w:left="283"/>
    </w:pPr>
  </w:style>
  <w:style w:type="character" w:customStyle="1" w:styleId="BodyTextIndent2Char">
    <w:name w:val="Body Text Indent 2 Char"/>
    <w:basedOn w:val="DefaultParagraphFont"/>
    <w:link w:val="BodyTextIndent2"/>
    <w:rsid w:val="00BA04E6"/>
    <w:rPr>
      <w:rFonts w:eastAsia="Times New Roman"/>
      <w:sz w:val="22"/>
      <w:lang w:eastAsia="en-US"/>
    </w:rPr>
  </w:style>
  <w:style w:type="paragraph" w:styleId="BodyTextIndent3">
    <w:name w:val="Body Text Indent 3"/>
    <w:basedOn w:val="Normal"/>
    <w:link w:val="BodyTextIndent3Char"/>
    <w:rsid w:val="00BA04E6"/>
    <w:pPr>
      <w:spacing w:after="120"/>
      <w:ind w:left="283"/>
    </w:pPr>
    <w:rPr>
      <w:sz w:val="16"/>
      <w:szCs w:val="16"/>
    </w:rPr>
  </w:style>
  <w:style w:type="character" w:customStyle="1" w:styleId="BodyTextIndent3Char">
    <w:name w:val="Body Text Indent 3 Char"/>
    <w:basedOn w:val="DefaultParagraphFont"/>
    <w:link w:val="BodyTextIndent3"/>
    <w:rsid w:val="00BA04E6"/>
    <w:rPr>
      <w:rFonts w:eastAsia="Times New Roman"/>
      <w:sz w:val="16"/>
      <w:szCs w:val="16"/>
      <w:lang w:eastAsia="en-US"/>
    </w:rPr>
  </w:style>
  <w:style w:type="paragraph" w:styleId="Closing">
    <w:name w:val="Closing"/>
    <w:basedOn w:val="Normal"/>
    <w:link w:val="ClosingChar"/>
    <w:rsid w:val="00BA04E6"/>
    <w:pPr>
      <w:spacing w:line="240" w:lineRule="auto"/>
      <w:ind w:left="4252"/>
    </w:pPr>
  </w:style>
  <w:style w:type="character" w:customStyle="1" w:styleId="ClosingChar">
    <w:name w:val="Closing Char"/>
    <w:basedOn w:val="DefaultParagraphFont"/>
    <w:link w:val="Closing"/>
    <w:rsid w:val="00BA04E6"/>
    <w:rPr>
      <w:rFonts w:eastAsia="Times New Roman"/>
      <w:sz w:val="22"/>
      <w:lang w:eastAsia="en-US"/>
    </w:rPr>
  </w:style>
  <w:style w:type="paragraph" w:styleId="Date">
    <w:name w:val="Date"/>
    <w:basedOn w:val="Normal"/>
    <w:next w:val="Normal"/>
    <w:link w:val="DateChar"/>
    <w:rsid w:val="00BA04E6"/>
  </w:style>
  <w:style w:type="character" w:customStyle="1" w:styleId="DateChar">
    <w:name w:val="Date Char"/>
    <w:basedOn w:val="DefaultParagraphFont"/>
    <w:link w:val="Date"/>
    <w:rsid w:val="00BA04E6"/>
    <w:rPr>
      <w:rFonts w:eastAsia="Times New Roman"/>
      <w:sz w:val="22"/>
      <w:lang w:eastAsia="en-US"/>
    </w:rPr>
  </w:style>
  <w:style w:type="paragraph" w:styleId="DocumentMap">
    <w:name w:val="Document Map"/>
    <w:basedOn w:val="Normal"/>
    <w:link w:val="DocumentMapChar"/>
    <w:rsid w:val="00BA04E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sid w:val="00BA04E6"/>
    <w:rPr>
      <w:rFonts w:ascii="Segoe UI" w:eastAsia="Times New Roman" w:hAnsi="Segoe UI" w:cs="Segoe UI"/>
      <w:sz w:val="16"/>
      <w:szCs w:val="16"/>
      <w:lang w:eastAsia="en-US"/>
    </w:rPr>
  </w:style>
  <w:style w:type="paragraph" w:styleId="E-mailSignature">
    <w:name w:val="E-mail Signature"/>
    <w:basedOn w:val="Normal"/>
    <w:link w:val="E-mailSignatureChar"/>
    <w:rsid w:val="00BA04E6"/>
    <w:pPr>
      <w:spacing w:line="240" w:lineRule="auto"/>
    </w:pPr>
  </w:style>
  <w:style w:type="character" w:customStyle="1" w:styleId="E-mailSignatureChar">
    <w:name w:val="E-mail Signature Char"/>
    <w:basedOn w:val="DefaultParagraphFont"/>
    <w:link w:val="E-mailSignature"/>
    <w:rsid w:val="00BA04E6"/>
    <w:rPr>
      <w:rFonts w:eastAsia="Times New Roman"/>
      <w:sz w:val="22"/>
      <w:lang w:eastAsia="en-US"/>
    </w:rPr>
  </w:style>
  <w:style w:type="paragraph" w:styleId="EndnoteText">
    <w:name w:val="endnote text"/>
    <w:basedOn w:val="Normal"/>
    <w:link w:val="EndnoteTextChar"/>
    <w:rsid w:val="00BA04E6"/>
    <w:pPr>
      <w:spacing w:line="240" w:lineRule="auto"/>
    </w:pPr>
    <w:rPr>
      <w:sz w:val="20"/>
    </w:rPr>
  </w:style>
  <w:style w:type="character" w:customStyle="1" w:styleId="EndnoteTextChar">
    <w:name w:val="Endnote Text Char"/>
    <w:basedOn w:val="DefaultParagraphFont"/>
    <w:link w:val="EndnoteText"/>
    <w:rsid w:val="00BA04E6"/>
    <w:rPr>
      <w:rFonts w:eastAsia="Times New Roman"/>
      <w:lang w:eastAsia="en-US"/>
    </w:rPr>
  </w:style>
  <w:style w:type="paragraph" w:styleId="EnvelopeAddress">
    <w:name w:val="envelope address"/>
    <w:basedOn w:val="Normal"/>
    <w:rsid w:val="00BA04E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BA04E6"/>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rsid w:val="00BA04E6"/>
    <w:pPr>
      <w:spacing w:line="240" w:lineRule="auto"/>
    </w:pPr>
    <w:rPr>
      <w:sz w:val="20"/>
    </w:rPr>
  </w:style>
  <w:style w:type="character" w:customStyle="1" w:styleId="FootnoteTextChar">
    <w:name w:val="Footnote Text Char"/>
    <w:basedOn w:val="DefaultParagraphFont"/>
    <w:link w:val="FootnoteText"/>
    <w:rsid w:val="00BA04E6"/>
    <w:rPr>
      <w:rFonts w:eastAsia="Times New Roman"/>
      <w:lang w:eastAsia="en-US"/>
    </w:rPr>
  </w:style>
  <w:style w:type="character" w:customStyle="1" w:styleId="Heading2Char">
    <w:name w:val="Heading 2 Char"/>
    <w:basedOn w:val="DefaultParagraphFont"/>
    <w:link w:val="Heading2"/>
    <w:semiHidden/>
    <w:rsid w:val="00BA04E6"/>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semiHidden/>
    <w:rsid w:val="00BA04E6"/>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semiHidden/>
    <w:rsid w:val="00BA04E6"/>
    <w:rPr>
      <w:rFonts w:asciiTheme="majorHAnsi" w:eastAsiaTheme="majorEastAsia" w:hAnsiTheme="majorHAnsi" w:cstheme="majorBidi"/>
      <w:color w:val="2F5496" w:themeColor="accent1" w:themeShade="BF"/>
      <w:sz w:val="22"/>
      <w:lang w:eastAsia="en-US"/>
    </w:rPr>
  </w:style>
  <w:style w:type="character" w:customStyle="1" w:styleId="Heading6Char">
    <w:name w:val="Heading 6 Char"/>
    <w:basedOn w:val="DefaultParagraphFont"/>
    <w:link w:val="Heading6"/>
    <w:semiHidden/>
    <w:rsid w:val="00BA04E6"/>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semiHidden/>
    <w:rsid w:val="00BA04E6"/>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BA04E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BA04E6"/>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BA04E6"/>
    <w:pPr>
      <w:spacing w:line="240" w:lineRule="auto"/>
    </w:pPr>
    <w:rPr>
      <w:i/>
      <w:iCs/>
    </w:rPr>
  </w:style>
  <w:style w:type="character" w:customStyle="1" w:styleId="HTMLAddressChar">
    <w:name w:val="HTML Address Char"/>
    <w:basedOn w:val="DefaultParagraphFont"/>
    <w:link w:val="HTMLAddress"/>
    <w:rsid w:val="00BA04E6"/>
    <w:rPr>
      <w:rFonts w:eastAsia="Times New Roman"/>
      <w:i/>
      <w:iCs/>
      <w:sz w:val="22"/>
      <w:lang w:eastAsia="en-US"/>
    </w:rPr>
  </w:style>
  <w:style w:type="paragraph" w:styleId="HTMLPreformatted">
    <w:name w:val="HTML Preformatted"/>
    <w:basedOn w:val="Normal"/>
    <w:link w:val="HTMLPreformattedChar"/>
    <w:semiHidden/>
    <w:unhideWhenUsed/>
    <w:rsid w:val="00BA04E6"/>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BA04E6"/>
    <w:rPr>
      <w:rFonts w:ascii="Consolas" w:eastAsia="Times New Roman" w:hAnsi="Consolas"/>
      <w:lang w:eastAsia="en-US"/>
    </w:rPr>
  </w:style>
  <w:style w:type="paragraph" w:styleId="Index1">
    <w:name w:val="index 1"/>
    <w:basedOn w:val="Normal"/>
    <w:next w:val="Normal"/>
    <w:autoRedefine/>
    <w:rsid w:val="00BA04E6"/>
    <w:pPr>
      <w:tabs>
        <w:tab w:val="clear" w:pos="567"/>
      </w:tabs>
      <w:spacing w:line="240" w:lineRule="auto"/>
      <w:ind w:left="220" w:hanging="220"/>
    </w:pPr>
  </w:style>
  <w:style w:type="paragraph" w:styleId="Index2">
    <w:name w:val="index 2"/>
    <w:basedOn w:val="Normal"/>
    <w:next w:val="Normal"/>
    <w:autoRedefine/>
    <w:rsid w:val="00BA04E6"/>
    <w:pPr>
      <w:tabs>
        <w:tab w:val="clear" w:pos="567"/>
      </w:tabs>
      <w:spacing w:line="240" w:lineRule="auto"/>
      <w:ind w:left="440" w:hanging="220"/>
    </w:pPr>
  </w:style>
  <w:style w:type="paragraph" w:styleId="Index3">
    <w:name w:val="index 3"/>
    <w:basedOn w:val="Normal"/>
    <w:next w:val="Normal"/>
    <w:autoRedefine/>
    <w:rsid w:val="00BA04E6"/>
    <w:pPr>
      <w:tabs>
        <w:tab w:val="clear" w:pos="567"/>
      </w:tabs>
      <w:spacing w:line="240" w:lineRule="auto"/>
      <w:ind w:left="660" w:hanging="220"/>
    </w:pPr>
  </w:style>
  <w:style w:type="paragraph" w:styleId="Index4">
    <w:name w:val="index 4"/>
    <w:basedOn w:val="Normal"/>
    <w:next w:val="Normal"/>
    <w:autoRedefine/>
    <w:rsid w:val="00BA04E6"/>
    <w:pPr>
      <w:tabs>
        <w:tab w:val="clear" w:pos="567"/>
      </w:tabs>
      <w:spacing w:line="240" w:lineRule="auto"/>
      <w:ind w:left="880" w:hanging="220"/>
    </w:pPr>
  </w:style>
  <w:style w:type="paragraph" w:styleId="Index5">
    <w:name w:val="index 5"/>
    <w:basedOn w:val="Normal"/>
    <w:next w:val="Normal"/>
    <w:autoRedefine/>
    <w:rsid w:val="00BA04E6"/>
    <w:pPr>
      <w:tabs>
        <w:tab w:val="clear" w:pos="567"/>
      </w:tabs>
      <w:spacing w:line="240" w:lineRule="auto"/>
      <w:ind w:left="1100" w:hanging="220"/>
    </w:pPr>
  </w:style>
  <w:style w:type="paragraph" w:styleId="Index6">
    <w:name w:val="index 6"/>
    <w:basedOn w:val="Normal"/>
    <w:next w:val="Normal"/>
    <w:autoRedefine/>
    <w:rsid w:val="00BA04E6"/>
    <w:pPr>
      <w:tabs>
        <w:tab w:val="clear" w:pos="567"/>
      </w:tabs>
      <w:spacing w:line="240" w:lineRule="auto"/>
      <w:ind w:left="1320" w:hanging="220"/>
    </w:pPr>
  </w:style>
  <w:style w:type="paragraph" w:styleId="Index7">
    <w:name w:val="index 7"/>
    <w:basedOn w:val="Normal"/>
    <w:next w:val="Normal"/>
    <w:autoRedefine/>
    <w:rsid w:val="00BA04E6"/>
    <w:pPr>
      <w:tabs>
        <w:tab w:val="clear" w:pos="567"/>
      </w:tabs>
      <w:spacing w:line="240" w:lineRule="auto"/>
      <w:ind w:left="1540" w:hanging="220"/>
    </w:pPr>
  </w:style>
  <w:style w:type="paragraph" w:styleId="Index8">
    <w:name w:val="index 8"/>
    <w:basedOn w:val="Normal"/>
    <w:next w:val="Normal"/>
    <w:autoRedefine/>
    <w:rsid w:val="00BA04E6"/>
    <w:pPr>
      <w:tabs>
        <w:tab w:val="clear" w:pos="567"/>
      </w:tabs>
      <w:spacing w:line="240" w:lineRule="auto"/>
      <w:ind w:left="1760" w:hanging="220"/>
    </w:pPr>
  </w:style>
  <w:style w:type="paragraph" w:styleId="Index9">
    <w:name w:val="index 9"/>
    <w:basedOn w:val="Normal"/>
    <w:next w:val="Normal"/>
    <w:autoRedefine/>
    <w:rsid w:val="00BA04E6"/>
    <w:pPr>
      <w:tabs>
        <w:tab w:val="clear" w:pos="567"/>
      </w:tabs>
      <w:spacing w:line="240" w:lineRule="auto"/>
      <w:ind w:left="1980" w:hanging="220"/>
    </w:pPr>
  </w:style>
  <w:style w:type="paragraph" w:styleId="IndexHeading">
    <w:name w:val="index heading"/>
    <w:basedOn w:val="Normal"/>
    <w:next w:val="Index1"/>
    <w:rsid w:val="00BA04E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A04E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A04E6"/>
    <w:rPr>
      <w:rFonts w:eastAsia="Times New Roman"/>
      <w:i/>
      <w:iCs/>
      <w:color w:val="4472C4" w:themeColor="accent1"/>
      <w:sz w:val="22"/>
      <w:lang w:eastAsia="en-US"/>
    </w:rPr>
  </w:style>
  <w:style w:type="paragraph" w:styleId="List">
    <w:name w:val="List"/>
    <w:basedOn w:val="Normal"/>
    <w:rsid w:val="00BA04E6"/>
    <w:pPr>
      <w:ind w:left="283" w:hanging="283"/>
      <w:contextualSpacing/>
    </w:pPr>
  </w:style>
  <w:style w:type="paragraph" w:styleId="List2">
    <w:name w:val="List 2"/>
    <w:basedOn w:val="Normal"/>
    <w:rsid w:val="00BA04E6"/>
    <w:pPr>
      <w:ind w:left="566" w:hanging="283"/>
      <w:contextualSpacing/>
    </w:pPr>
  </w:style>
  <w:style w:type="paragraph" w:styleId="List3">
    <w:name w:val="List 3"/>
    <w:basedOn w:val="Normal"/>
    <w:rsid w:val="00BA04E6"/>
    <w:pPr>
      <w:ind w:left="849" w:hanging="283"/>
      <w:contextualSpacing/>
    </w:pPr>
  </w:style>
  <w:style w:type="paragraph" w:styleId="List4">
    <w:name w:val="List 4"/>
    <w:basedOn w:val="Normal"/>
    <w:rsid w:val="00BA04E6"/>
    <w:pPr>
      <w:ind w:left="1132" w:hanging="283"/>
      <w:contextualSpacing/>
    </w:pPr>
  </w:style>
  <w:style w:type="paragraph" w:styleId="List5">
    <w:name w:val="List 5"/>
    <w:basedOn w:val="Normal"/>
    <w:rsid w:val="00BA04E6"/>
    <w:pPr>
      <w:ind w:left="1415" w:hanging="283"/>
      <w:contextualSpacing/>
    </w:pPr>
  </w:style>
  <w:style w:type="paragraph" w:styleId="ListBullet">
    <w:name w:val="List Bullet"/>
    <w:basedOn w:val="Normal"/>
    <w:rsid w:val="00BA04E6"/>
    <w:pPr>
      <w:numPr>
        <w:numId w:val="13"/>
      </w:numPr>
      <w:contextualSpacing/>
    </w:pPr>
  </w:style>
  <w:style w:type="paragraph" w:styleId="ListBullet2">
    <w:name w:val="List Bullet 2"/>
    <w:basedOn w:val="Normal"/>
    <w:rsid w:val="00BA04E6"/>
    <w:pPr>
      <w:numPr>
        <w:numId w:val="14"/>
      </w:numPr>
      <w:contextualSpacing/>
    </w:pPr>
  </w:style>
  <w:style w:type="paragraph" w:styleId="ListBullet3">
    <w:name w:val="List Bullet 3"/>
    <w:basedOn w:val="Normal"/>
    <w:rsid w:val="00BA04E6"/>
    <w:pPr>
      <w:numPr>
        <w:numId w:val="15"/>
      </w:numPr>
      <w:contextualSpacing/>
    </w:pPr>
  </w:style>
  <w:style w:type="paragraph" w:styleId="ListBullet4">
    <w:name w:val="List Bullet 4"/>
    <w:basedOn w:val="Normal"/>
    <w:rsid w:val="00BA04E6"/>
    <w:pPr>
      <w:numPr>
        <w:numId w:val="16"/>
      </w:numPr>
      <w:contextualSpacing/>
    </w:pPr>
  </w:style>
  <w:style w:type="paragraph" w:styleId="ListBullet5">
    <w:name w:val="List Bullet 5"/>
    <w:basedOn w:val="Normal"/>
    <w:rsid w:val="00BA04E6"/>
    <w:pPr>
      <w:numPr>
        <w:numId w:val="17"/>
      </w:numPr>
      <w:contextualSpacing/>
    </w:pPr>
  </w:style>
  <w:style w:type="paragraph" w:styleId="ListContinue">
    <w:name w:val="List Continue"/>
    <w:basedOn w:val="Normal"/>
    <w:rsid w:val="00BA04E6"/>
    <w:pPr>
      <w:spacing w:after="120"/>
      <w:ind w:left="283"/>
      <w:contextualSpacing/>
    </w:pPr>
  </w:style>
  <w:style w:type="paragraph" w:styleId="ListContinue2">
    <w:name w:val="List Continue 2"/>
    <w:basedOn w:val="Normal"/>
    <w:rsid w:val="00BA04E6"/>
    <w:pPr>
      <w:spacing w:after="120"/>
      <w:ind w:left="566"/>
      <w:contextualSpacing/>
    </w:pPr>
  </w:style>
  <w:style w:type="paragraph" w:styleId="ListContinue3">
    <w:name w:val="List Continue 3"/>
    <w:basedOn w:val="Normal"/>
    <w:rsid w:val="00BA04E6"/>
    <w:pPr>
      <w:spacing w:after="120"/>
      <w:ind w:left="849"/>
      <w:contextualSpacing/>
    </w:pPr>
  </w:style>
  <w:style w:type="paragraph" w:styleId="ListContinue4">
    <w:name w:val="List Continue 4"/>
    <w:basedOn w:val="Normal"/>
    <w:rsid w:val="00BA04E6"/>
    <w:pPr>
      <w:spacing w:after="120"/>
      <w:ind w:left="1132"/>
      <w:contextualSpacing/>
    </w:pPr>
  </w:style>
  <w:style w:type="paragraph" w:styleId="ListContinue5">
    <w:name w:val="List Continue 5"/>
    <w:basedOn w:val="Normal"/>
    <w:rsid w:val="00BA04E6"/>
    <w:pPr>
      <w:spacing w:after="120"/>
      <w:ind w:left="1415"/>
      <w:contextualSpacing/>
    </w:pPr>
  </w:style>
  <w:style w:type="paragraph" w:styleId="ListNumber">
    <w:name w:val="List Number"/>
    <w:basedOn w:val="Normal"/>
    <w:rsid w:val="00BA04E6"/>
    <w:pPr>
      <w:numPr>
        <w:numId w:val="18"/>
      </w:numPr>
      <w:contextualSpacing/>
    </w:pPr>
  </w:style>
  <w:style w:type="paragraph" w:styleId="ListNumber2">
    <w:name w:val="List Number 2"/>
    <w:basedOn w:val="Normal"/>
    <w:rsid w:val="00BA04E6"/>
    <w:pPr>
      <w:numPr>
        <w:numId w:val="19"/>
      </w:numPr>
      <w:contextualSpacing/>
    </w:pPr>
  </w:style>
  <w:style w:type="paragraph" w:styleId="ListNumber3">
    <w:name w:val="List Number 3"/>
    <w:basedOn w:val="Normal"/>
    <w:rsid w:val="00BA04E6"/>
    <w:pPr>
      <w:numPr>
        <w:numId w:val="20"/>
      </w:numPr>
      <w:contextualSpacing/>
    </w:pPr>
  </w:style>
  <w:style w:type="paragraph" w:styleId="ListNumber4">
    <w:name w:val="List Number 4"/>
    <w:basedOn w:val="Normal"/>
    <w:rsid w:val="00BA04E6"/>
    <w:pPr>
      <w:numPr>
        <w:numId w:val="21"/>
      </w:numPr>
      <w:contextualSpacing/>
    </w:pPr>
  </w:style>
  <w:style w:type="paragraph" w:styleId="ListNumber5">
    <w:name w:val="List Number 5"/>
    <w:basedOn w:val="Normal"/>
    <w:rsid w:val="00BA04E6"/>
    <w:pPr>
      <w:numPr>
        <w:numId w:val="22"/>
      </w:numPr>
      <w:contextualSpacing/>
    </w:pPr>
  </w:style>
  <w:style w:type="paragraph" w:styleId="MacroText">
    <w:name w:val="macro"/>
    <w:link w:val="MacroTextChar"/>
    <w:rsid w:val="00BA04E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BA04E6"/>
    <w:rPr>
      <w:rFonts w:ascii="Consolas" w:eastAsia="Times New Roman" w:hAnsi="Consolas"/>
      <w:lang w:eastAsia="en-US"/>
    </w:rPr>
  </w:style>
  <w:style w:type="paragraph" w:styleId="MessageHeader">
    <w:name w:val="Message Header"/>
    <w:basedOn w:val="Normal"/>
    <w:link w:val="MessageHeaderChar"/>
    <w:rsid w:val="00BA04E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A04E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A04E6"/>
    <w:pPr>
      <w:tabs>
        <w:tab w:val="left" w:pos="567"/>
      </w:tabs>
    </w:pPr>
    <w:rPr>
      <w:rFonts w:eastAsia="Times New Roman"/>
      <w:sz w:val="22"/>
      <w:lang w:eastAsia="en-US"/>
    </w:rPr>
  </w:style>
  <w:style w:type="paragraph" w:styleId="NormalIndent">
    <w:name w:val="Normal Indent"/>
    <w:basedOn w:val="Normal"/>
    <w:rsid w:val="00BA04E6"/>
    <w:pPr>
      <w:ind w:left="720"/>
    </w:pPr>
  </w:style>
  <w:style w:type="paragraph" w:styleId="NoteHeading">
    <w:name w:val="Note Heading"/>
    <w:basedOn w:val="Normal"/>
    <w:next w:val="Normal"/>
    <w:link w:val="NoteHeadingChar"/>
    <w:rsid w:val="00BA04E6"/>
    <w:pPr>
      <w:spacing w:line="240" w:lineRule="auto"/>
    </w:pPr>
  </w:style>
  <w:style w:type="character" w:customStyle="1" w:styleId="NoteHeadingChar">
    <w:name w:val="Note Heading Char"/>
    <w:basedOn w:val="DefaultParagraphFont"/>
    <w:link w:val="NoteHeading"/>
    <w:rsid w:val="00BA04E6"/>
    <w:rPr>
      <w:rFonts w:eastAsia="Times New Roman"/>
      <w:sz w:val="22"/>
      <w:lang w:eastAsia="en-US"/>
    </w:rPr>
  </w:style>
  <w:style w:type="paragraph" w:styleId="PlainText">
    <w:name w:val="Plain Text"/>
    <w:basedOn w:val="Normal"/>
    <w:link w:val="PlainTextChar"/>
    <w:rsid w:val="00BA04E6"/>
    <w:pPr>
      <w:spacing w:line="240" w:lineRule="auto"/>
    </w:pPr>
    <w:rPr>
      <w:rFonts w:ascii="Consolas" w:hAnsi="Consolas"/>
      <w:sz w:val="21"/>
      <w:szCs w:val="21"/>
    </w:rPr>
  </w:style>
  <w:style w:type="character" w:customStyle="1" w:styleId="PlainTextChar">
    <w:name w:val="Plain Text Char"/>
    <w:basedOn w:val="DefaultParagraphFont"/>
    <w:link w:val="PlainText"/>
    <w:rsid w:val="00BA04E6"/>
    <w:rPr>
      <w:rFonts w:ascii="Consolas" w:eastAsia="Times New Roman" w:hAnsi="Consolas"/>
      <w:sz w:val="21"/>
      <w:szCs w:val="21"/>
      <w:lang w:eastAsia="en-US"/>
    </w:rPr>
  </w:style>
  <w:style w:type="paragraph" w:styleId="Salutation">
    <w:name w:val="Salutation"/>
    <w:basedOn w:val="Normal"/>
    <w:next w:val="Normal"/>
    <w:link w:val="SalutationChar"/>
    <w:rsid w:val="00BA04E6"/>
  </w:style>
  <w:style w:type="character" w:customStyle="1" w:styleId="SalutationChar">
    <w:name w:val="Salutation Char"/>
    <w:basedOn w:val="DefaultParagraphFont"/>
    <w:link w:val="Salutation"/>
    <w:rsid w:val="00BA04E6"/>
    <w:rPr>
      <w:rFonts w:eastAsia="Times New Roman"/>
      <w:sz w:val="22"/>
      <w:lang w:eastAsia="en-US"/>
    </w:rPr>
  </w:style>
  <w:style w:type="paragraph" w:styleId="Signature">
    <w:name w:val="Signature"/>
    <w:basedOn w:val="Normal"/>
    <w:link w:val="SignatureChar"/>
    <w:rsid w:val="00BA04E6"/>
    <w:pPr>
      <w:spacing w:line="240" w:lineRule="auto"/>
      <w:ind w:left="4252"/>
    </w:pPr>
  </w:style>
  <w:style w:type="character" w:customStyle="1" w:styleId="SignatureChar">
    <w:name w:val="Signature Char"/>
    <w:basedOn w:val="DefaultParagraphFont"/>
    <w:link w:val="Signature"/>
    <w:rsid w:val="00BA04E6"/>
    <w:rPr>
      <w:rFonts w:eastAsia="Times New Roman"/>
      <w:sz w:val="22"/>
      <w:lang w:eastAsia="en-US"/>
    </w:rPr>
  </w:style>
  <w:style w:type="paragraph" w:styleId="Subtitle">
    <w:name w:val="Subtitle"/>
    <w:basedOn w:val="Normal"/>
    <w:next w:val="Normal"/>
    <w:link w:val="SubtitleChar"/>
    <w:qFormat/>
    <w:rsid w:val="00BA04E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BA04E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A04E6"/>
    <w:pPr>
      <w:tabs>
        <w:tab w:val="clear" w:pos="567"/>
      </w:tabs>
      <w:ind w:left="220" w:hanging="220"/>
    </w:pPr>
  </w:style>
  <w:style w:type="paragraph" w:styleId="TableofFigures">
    <w:name w:val="table of figures"/>
    <w:basedOn w:val="Normal"/>
    <w:next w:val="Normal"/>
    <w:rsid w:val="00BA04E6"/>
    <w:pPr>
      <w:tabs>
        <w:tab w:val="clear" w:pos="567"/>
      </w:tabs>
    </w:pPr>
  </w:style>
  <w:style w:type="paragraph" w:styleId="Title">
    <w:name w:val="Title"/>
    <w:basedOn w:val="Normal"/>
    <w:next w:val="Normal"/>
    <w:link w:val="TitleChar"/>
    <w:qFormat/>
    <w:rsid w:val="00BA04E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A04E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A04E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BA04E6"/>
    <w:pPr>
      <w:tabs>
        <w:tab w:val="clear" w:pos="567"/>
      </w:tabs>
      <w:spacing w:after="100"/>
    </w:pPr>
  </w:style>
  <w:style w:type="paragraph" w:styleId="TOC2">
    <w:name w:val="toc 2"/>
    <w:basedOn w:val="Normal"/>
    <w:next w:val="Normal"/>
    <w:autoRedefine/>
    <w:rsid w:val="00BA04E6"/>
    <w:pPr>
      <w:tabs>
        <w:tab w:val="clear" w:pos="567"/>
      </w:tabs>
      <w:spacing w:after="100"/>
      <w:ind w:left="220"/>
    </w:pPr>
  </w:style>
  <w:style w:type="paragraph" w:styleId="TOC3">
    <w:name w:val="toc 3"/>
    <w:basedOn w:val="Normal"/>
    <w:next w:val="Normal"/>
    <w:autoRedefine/>
    <w:rsid w:val="00BA04E6"/>
    <w:pPr>
      <w:tabs>
        <w:tab w:val="clear" w:pos="567"/>
      </w:tabs>
      <w:spacing w:after="100"/>
      <w:ind w:left="440"/>
    </w:pPr>
  </w:style>
  <w:style w:type="paragraph" w:styleId="TOC4">
    <w:name w:val="toc 4"/>
    <w:basedOn w:val="Normal"/>
    <w:next w:val="Normal"/>
    <w:autoRedefine/>
    <w:rsid w:val="00BA04E6"/>
    <w:pPr>
      <w:tabs>
        <w:tab w:val="clear" w:pos="567"/>
      </w:tabs>
      <w:spacing w:after="100"/>
      <w:ind w:left="660"/>
    </w:pPr>
  </w:style>
  <w:style w:type="paragraph" w:styleId="TOC5">
    <w:name w:val="toc 5"/>
    <w:basedOn w:val="Normal"/>
    <w:next w:val="Normal"/>
    <w:autoRedefine/>
    <w:rsid w:val="00BA04E6"/>
    <w:pPr>
      <w:tabs>
        <w:tab w:val="clear" w:pos="567"/>
      </w:tabs>
      <w:spacing w:after="100"/>
      <w:ind w:left="880"/>
    </w:pPr>
  </w:style>
  <w:style w:type="paragraph" w:styleId="TOC6">
    <w:name w:val="toc 6"/>
    <w:basedOn w:val="Normal"/>
    <w:next w:val="Normal"/>
    <w:autoRedefine/>
    <w:rsid w:val="00BA04E6"/>
    <w:pPr>
      <w:tabs>
        <w:tab w:val="clear" w:pos="567"/>
      </w:tabs>
      <w:spacing w:after="100"/>
      <w:ind w:left="1100"/>
    </w:pPr>
  </w:style>
  <w:style w:type="paragraph" w:styleId="TOC7">
    <w:name w:val="toc 7"/>
    <w:basedOn w:val="Normal"/>
    <w:next w:val="Normal"/>
    <w:autoRedefine/>
    <w:rsid w:val="00BA04E6"/>
    <w:pPr>
      <w:tabs>
        <w:tab w:val="clear" w:pos="567"/>
      </w:tabs>
      <w:spacing w:after="100"/>
      <w:ind w:left="1320"/>
    </w:pPr>
  </w:style>
  <w:style w:type="paragraph" w:styleId="TOC8">
    <w:name w:val="toc 8"/>
    <w:basedOn w:val="Normal"/>
    <w:next w:val="Normal"/>
    <w:autoRedefine/>
    <w:rsid w:val="00BA04E6"/>
    <w:pPr>
      <w:tabs>
        <w:tab w:val="clear" w:pos="567"/>
      </w:tabs>
      <w:spacing w:after="100"/>
      <w:ind w:left="1540"/>
    </w:pPr>
  </w:style>
  <w:style w:type="paragraph" w:styleId="TOC9">
    <w:name w:val="toc 9"/>
    <w:basedOn w:val="Normal"/>
    <w:next w:val="Normal"/>
    <w:autoRedefine/>
    <w:rsid w:val="00BA04E6"/>
    <w:pPr>
      <w:tabs>
        <w:tab w:val="clear" w:pos="567"/>
      </w:tabs>
      <w:spacing w:after="100"/>
      <w:ind w:left="1760"/>
    </w:pPr>
  </w:style>
  <w:style w:type="paragraph" w:styleId="TOCHeading">
    <w:name w:val="TOC Heading"/>
    <w:basedOn w:val="Heading1"/>
    <w:next w:val="Normal"/>
    <w:uiPriority w:val="39"/>
    <w:semiHidden/>
    <w:unhideWhenUsed/>
    <w:qFormat/>
    <w:rsid w:val="00BA04E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anthera.com"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ff326a-f43d-4d6a-baa2-6f585583a5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795286F3E8524BB06B1AD319FB2302" ma:contentTypeVersion="15" ma:contentTypeDescription="Create a new document." ma:contentTypeScope="" ma:versionID="36ed5f834b2b5234914eaefbebee0e74">
  <xsd:schema xmlns:xsd="http://www.w3.org/2001/XMLSchema" xmlns:xs="http://www.w3.org/2001/XMLSchema" xmlns:p="http://schemas.microsoft.com/office/2006/metadata/properties" xmlns:ns2="fcff326a-f43d-4d6a-baa2-6f585583a5fe" xmlns:ns3="437fe4fd-2188-45ab-9613-8bbb2d6119bd" targetNamespace="http://schemas.microsoft.com/office/2006/metadata/properties" ma:root="true" ma:fieldsID="1f265c22d8b244ed10a9929d7dde96fc" ns2:_="" ns3:_="">
    <xsd:import namespace="fcff326a-f43d-4d6a-baa2-6f585583a5fe"/>
    <xsd:import namespace="437fe4fd-2188-45ab-9613-8bbb2d6119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f326a-f43d-4d6a-baa2-6f58558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76ab5d-d082-47c1-8619-8cc84cca9ae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fe4fd-2188-45ab-9613-8bbb2d6119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D243E-4BFF-4D15-A0C9-AB16DA366C84}">
  <ds:schemaRefs>
    <ds:schemaRef ds:uri="http://schemas.openxmlformats.org/officeDocument/2006/bibliography"/>
  </ds:schemaRefs>
</ds:datastoreItem>
</file>

<file path=customXml/itemProps2.xml><?xml version="1.0" encoding="utf-8"?>
<ds:datastoreItem xmlns:ds="http://schemas.openxmlformats.org/officeDocument/2006/customXml" ds:itemID="{6C4EE241-0EA5-4C5A-A8BC-F2847190B0A4}">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437fe4fd-2188-45ab-9613-8bbb2d6119bd"/>
    <ds:schemaRef ds:uri="fcff326a-f43d-4d6a-baa2-6f585583a5f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DB749FF-765D-4D84-8C26-CA2AAF590F0E}">
  <ds:schemaRefs>
    <ds:schemaRef ds:uri="http://schemas.microsoft.com/sharepoint/v3/contenttype/forms"/>
  </ds:schemaRefs>
</ds:datastoreItem>
</file>

<file path=customXml/itemProps4.xml><?xml version="1.0" encoding="utf-8"?>
<ds:datastoreItem xmlns:ds="http://schemas.openxmlformats.org/officeDocument/2006/customXml" ds:itemID="{AE0D18D0-E42D-44C6-B9B8-E592103F9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f326a-f43d-4d6a-baa2-6f585583a5fe"/>
    <ds:schemaRef ds:uri="437fe4fd-2188-45ab-9613-8bbb2d611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8622</Words>
  <Characters>56305</Characters>
  <Application>Microsoft Office Word</Application>
  <DocSecurity>0</DocSecurity>
  <Lines>2085</Lines>
  <Paragraphs>954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AGAMREE, INN-vamorolone</dc:title>
  <dc:subject>EPAR</dc:subject>
  <dc:creator/>
  <cp:keywords>AGAMREE, INN-vamorolone</cp:keywords>
  <dc:description/>
  <cp:lastModifiedBy/>
  <cp:revision>1</cp:revision>
  <dcterms:created xsi:type="dcterms:W3CDTF">2025-12-04T13:40:00Z</dcterms:created>
  <dcterms:modified xsi:type="dcterms:W3CDTF">2025-12-09T14:08:00Z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0x01010049795286F3E8524BB06B1AD319FB2302</vt:lpwstr>
  </property>
  <property fmtid="{D5CDD505-2E9C-101B-9397-08002B2CF9AE}" pid="3" name="MediaServiceImageTags">
    <vt:lpwstr/>
  </property>
</Properties>
</file>